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4AB31"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Name of Journal: </w:t>
      </w:r>
      <w:r w:rsidRPr="004D7457">
        <w:rPr>
          <w:rFonts w:ascii="Book Antiqua" w:eastAsia="Book Antiqua" w:hAnsi="Book Antiqua" w:cs="Book Antiqua"/>
          <w:i/>
          <w:color w:val="000000"/>
        </w:rPr>
        <w:t>World Journal of Gastroenterology</w:t>
      </w:r>
    </w:p>
    <w:p w14:paraId="28A83F55"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Manuscript NO: </w:t>
      </w:r>
      <w:r w:rsidRPr="004D7457">
        <w:rPr>
          <w:rFonts w:ascii="Book Antiqua" w:eastAsia="Book Antiqua" w:hAnsi="Book Antiqua" w:cs="Book Antiqua"/>
          <w:color w:val="000000"/>
        </w:rPr>
        <w:t>55606</w:t>
      </w:r>
    </w:p>
    <w:p w14:paraId="5992731F"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Manuscript Type: </w:t>
      </w:r>
      <w:r w:rsidRPr="004D7457">
        <w:rPr>
          <w:rFonts w:ascii="Book Antiqua" w:eastAsia="Book Antiqua" w:hAnsi="Book Antiqua" w:cs="Book Antiqua"/>
          <w:color w:val="000000"/>
        </w:rPr>
        <w:t>ORIGINAL ARTICLE</w:t>
      </w:r>
    </w:p>
    <w:p w14:paraId="625764E5" w14:textId="77777777" w:rsidR="00A77B3E" w:rsidRPr="004D7457" w:rsidRDefault="00A77B3E" w:rsidP="004D7457">
      <w:pPr>
        <w:snapToGrid w:val="0"/>
        <w:spacing w:line="360" w:lineRule="auto"/>
        <w:jc w:val="both"/>
      </w:pPr>
    </w:p>
    <w:p w14:paraId="4DC68FF7" w14:textId="77777777" w:rsidR="00A77B3E" w:rsidRPr="004D7457" w:rsidRDefault="00BB1006" w:rsidP="004D7457">
      <w:pPr>
        <w:snapToGrid w:val="0"/>
        <w:spacing w:line="360" w:lineRule="auto"/>
        <w:jc w:val="both"/>
        <w:rPr>
          <w:rFonts w:ascii="Book Antiqua" w:eastAsia="Book Antiqua" w:hAnsi="Book Antiqua" w:cs="Book Antiqua"/>
          <w:b/>
          <w:i/>
          <w:color w:val="000000"/>
        </w:rPr>
      </w:pPr>
      <w:r w:rsidRPr="004D7457">
        <w:rPr>
          <w:rFonts w:ascii="Book Antiqua" w:eastAsia="Book Antiqua" w:hAnsi="Book Antiqua" w:cs="Book Antiqua"/>
          <w:b/>
          <w:i/>
          <w:color w:val="000000"/>
        </w:rPr>
        <w:t>Basic Study</w:t>
      </w:r>
    </w:p>
    <w:p w14:paraId="00C180AF" w14:textId="07D4AB69" w:rsidR="00E4115D" w:rsidRPr="004D7457" w:rsidRDefault="00E4115D" w:rsidP="004D7457">
      <w:pPr>
        <w:snapToGrid w:val="0"/>
        <w:spacing w:line="360" w:lineRule="auto"/>
        <w:jc w:val="both"/>
        <w:rPr>
          <w:rFonts w:ascii="Book Antiqua" w:hAnsi="Book Antiqua"/>
          <w:b/>
        </w:rPr>
      </w:pPr>
      <w:bookmarkStart w:id="0" w:name="OLE_LINK1975"/>
      <w:bookmarkStart w:id="1" w:name="OLE_LINK1976"/>
      <w:r w:rsidRPr="004D7457">
        <w:rPr>
          <w:rFonts w:ascii="Book Antiqua" w:hAnsi="Book Antiqua"/>
          <w:b/>
        </w:rPr>
        <w:t xml:space="preserve">Tumor necrosis factor </w:t>
      </w:r>
      <w:r w:rsidR="008919E5" w:rsidRPr="004D7457">
        <w:rPr>
          <w:rFonts w:ascii="Book Antiqua" w:hAnsi="Book Antiqua"/>
          <w:b/>
        </w:rPr>
        <w:t>alpha</w:t>
      </w:r>
      <w:r w:rsidRPr="004D7457">
        <w:rPr>
          <w:rFonts w:ascii="Book Antiqua" w:hAnsi="Book Antiqua"/>
          <w:b/>
        </w:rPr>
        <w:t xml:space="preserve"> receptor</w:t>
      </w:r>
      <w:r w:rsidR="00BB4A21" w:rsidRPr="004D7457">
        <w:rPr>
          <w:rFonts w:ascii="Book Antiqua" w:hAnsi="Book Antiqua"/>
          <w:b/>
        </w:rPr>
        <w:t xml:space="preserve"> </w:t>
      </w:r>
      <w:r w:rsidRPr="004D7457">
        <w:rPr>
          <w:rFonts w:ascii="Book Antiqua" w:hAnsi="Book Antiqua"/>
          <w:b/>
        </w:rPr>
        <w:t>1 deficiency in hepatocytes does not protect from non-alcoholic steatohepatitis, but attenuates insulin resistance in mice</w:t>
      </w:r>
    </w:p>
    <w:bookmarkEnd w:id="0"/>
    <w:bookmarkEnd w:id="1"/>
    <w:p w14:paraId="3B98AD72" w14:textId="77777777" w:rsidR="00A77B3E" w:rsidRPr="004D7457" w:rsidRDefault="00A77B3E" w:rsidP="004D7457">
      <w:pPr>
        <w:snapToGrid w:val="0"/>
        <w:spacing w:line="360" w:lineRule="auto"/>
        <w:jc w:val="both"/>
      </w:pPr>
    </w:p>
    <w:p w14:paraId="6B42C494" w14:textId="77777777" w:rsidR="00A77B3E" w:rsidRPr="004D7457" w:rsidRDefault="00DF66D9" w:rsidP="004D7457">
      <w:pPr>
        <w:snapToGrid w:val="0"/>
        <w:spacing w:line="360" w:lineRule="auto"/>
        <w:jc w:val="both"/>
      </w:pPr>
      <w:r w:rsidRPr="004D7457">
        <w:rPr>
          <w:rFonts w:ascii="Book Antiqua" w:eastAsia="Book Antiqua" w:hAnsi="Book Antiqua" w:cs="Book Antiqua"/>
          <w:color w:val="000000"/>
        </w:rPr>
        <w:t xml:space="preserve">Bluemel S </w:t>
      </w:r>
      <w:r w:rsidRPr="004D7457">
        <w:rPr>
          <w:rFonts w:ascii="Book Antiqua" w:eastAsia="Book Antiqua" w:hAnsi="Book Antiqua" w:cs="Book Antiqua"/>
          <w:i/>
          <w:color w:val="000000"/>
        </w:rPr>
        <w:t>et al</w:t>
      </w:r>
      <w:r w:rsidRPr="004D7457">
        <w:rPr>
          <w:rFonts w:ascii="Book Antiqua" w:eastAsia="Book Antiqua" w:hAnsi="Book Antiqua" w:cs="Book Antiqua"/>
          <w:color w:val="000000"/>
        </w:rPr>
        <w:t xml:space="preserve">. </w:t>
      </w:r>
      <w:r w:rsidR="00BB1006" w:rsidRPr="004D7457">
        <w:rPr>
          <w:rFonts w:ascii="Book Antiqua" w:eastAsia="Book Antiqua" w:hAnsi="Book Antiqua" w:cs="Book Antiqua"/>
          <w:color w:val="000000"/>
        </w:rPr>
        <w:t>Role of TNFR1 in NASH</w:t>
      </w:r>
    </w:p>
    <w:p w14:paraId="7B7C5D9E" w14:textId="77777777" w:rsidR="00A77B3E" w:rsidRPr="004D7457" w:rsidRDefault="00A77B3E" w:rsidP="004D7457">
      <w:pPr>
        <w:snapToGrid w:val="0"/>
        <w:spacing w:line="360" w:lineRule="auto"/>
        <w:jc w:val="both"/>
      </w:pPr>
    </w:p>
    <w:p w14:paraId="6D208057"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Sena Bluemel, Yanhan Wang, Suhan Lee, Bernd Schnabl</w:t>
      </w:r>
    </w:p>
    <w:p w14:paraId="12E872E2" w14:textId="77777777" w:rsidR="00A77B3E" w:rsidRPr="004D7457" w:rsidRDefault="00A77B3E" w:rsidP="004D7457">
      <w:pPr>
        <w:snapToGrid w:val="0"/>
        <w:spacing w:line="360" w:lineRule="auto"/>
        <w:jc w:val="both"/>
      </w:pPr>
    </w:p>
    <w:p w14:paraId="7A8C0384"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Sena Bluemel, Yanhan Wang, Suhan Lee, Bernd Schnabl, </w:t>
      </w:r>
      <w:r w:rsidRPr="004D7457">
        <w:rPr>
          <w:rFonts w:ascii="Book Antiqua" w:eastAsia="Book Antiqua" w:hAnsi="Book Antiqua" w:cs="Book Antiqua"/>
          <w:color w:val="000000"/>
        </w:rPr>
        <w:t>Department of Medicine, University of California San Diego, La Jolla, CA</w:t>
      </w:r>
      <w:r w:rsidR="007F1675" w:rsidRPr="004D7457">
        <w:rPr>
          <w:rFonts w:ascii="Book Antiqua" w:eastAsia="Book Antiqua" w:hAnsi="Book Antiqua" w:cs="Book Antiqua"/>
          <w:color w:val="000000"/>
        </w:rPr>
        <w:t xml:space="preserve"> 92093</w:t>
      </w:r>
      <w:r w:rsidRPr="004D7457">
        <w:rPr>
          <w:rFonts w:ascii="Book Antiqua" w:eastAsia="Book Antiqua" w:hAnsi="Book Antiqua" w:cs="Book Antiqua"/>
          <w:color w:val="000000"/>
        </w:rPr>
        <w:t>, United States</w:t>
      </w:r>
    </w:p>
    <w:p w14:paraId="686FE0BA" w14:textId="77777777" w:rsidR="00A77B3E" w:rsidRPr="004D7457" w:rsidRDefault="00A77B3E" w:rsidP="004D7457">
      <w:pPr>
        <w:snapToGrid w:val="0"/>
        <w:spacing w:line="360" w:lineRule="auto"/>
        <w:jc w:val="both"/>
      </w:pPr>
    </w:p>
    <w:p w14:paraId="270D307D"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Sena Bluemel, </w:t>
      </w:r>
      <w:r w:rsidRPr="004D7457">
        <w:rPr>
          <w:rFonts w:ascii="Book Antiqua" w:eastAsia="Book Antiqua" w:hAnsi="Book Antiqua" w:cs="Book Antiqua"/>
          <w:color w:val="000000"/>
        </w:rPr>
        <w:t>Division of Gastroenterology and Hepatology, University Hospital Zurich, Zurich 8091, Switzerland</w:t>
      </w:r>
    </w:p>
    <w:p w14:paraId="4009FAFC" w14:textId="77777777" w:rsidR="00A77B3E" w:rsidRPr="004D7457" w:rsidRDefault="00A77B3E" w:rsidP="004D7457">
      <w:pPr>
        <w:snapToGrid w:val="0"/>
        <w:spacing w:line="360" w:lineRule="auto"/>
        <w:jc w:val="both"/>
      </w:pPr>
    </w:p>
    <w:p w14:paraId="59EE6BA3"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Yanhan Wang, Bernd Schnabl, </w:t>
      </w:r>
      <w:r w:rsidRPr="004D7457">
        <w:rPr>
          <w:rFonts w:ascii="Book Antiqua" w:eastAsia="Book Antiqua" w:hAnsi="Book Antiqua" w:cs="Book Antiqua"/>
          <w:color w:val="000000"/>
        </w:rPr>
        <w:t>Department of Medicine, VA San Diego Healthcare System, San Diego, CA</w:t>
      </w:r>
      <w:r w:rsidR="00D277CB" w:rsidRPr="004D7457">
        <w:rPr>
          <w:rFonts w:ascii="Book Antiqua" w:eastAsia="Book Antiqua" w:hAnsi="Book Antiqua" w:cs="Book Antiqua"/>
          <w:color w:val="000000"/>
        </w:rPr>
        <w:t xml:space="preserve"> 92161</w:t>
      </w:r>
      <w:r w:rsidRPr="004D7457">
        <w:rPr>
          <w:rFonts w:ascii="Book Antiqua" w:eastAsia="Book Antiqua" w:hAnsi="Book Antiqua" w:cs="Book Antiqua"/>
          <w:color w:val="000000"/>
        </w:rPr>
        <w:t>, United States</w:t>
      </w:r>
    </w:p>
    <w:p w14:paraId="2AA4411B" w14:textId="77777777" w:rsidR="00A77B3E" w:rsidRPr="004D7457" w:rsidRDefault="00A77B3E" w:rsidP="004D7457">
      <w:pPr>
        <w:snapToGrid w:val="0"/>
        <w:spacing w:line="360" w:lineRule="auto"/>
        <w:jc w:val="both"/>
      </w:pPr>
    </w:p>
    <w:p w14:paraId="7A626A11" w14:textId="37A515C1"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Author contributions: </w:t>
      </w:r>
      <w:r w:rsidR="00EF7045" w:rsidRPr="004D7457">
        <w:rPr>
          <w:rFonts w:ascii="Book Antiqua" w:eastAsia="Book Antiqua" w:hAnsi="Book Antiqua" w:cs="Book Antiqua"/>
          <w:color w:val="000000"/>
        </w:rPr>
        <w:t xml:space="preserve">Bluemel </w:t>
      </w:r>
      <w:r w:rsidRPr="004D7457">
        <w:rPr>
          <w:rFonts w:ascii="Book Antiqua" w:eastAsia="Book Antiqua" w:hAnsi="Book Antiqua" w:cs="Book Antiqua"/>
          <w:color w:val="000000"/>
        </w:rPr>
        <w:t>S</w:t>
      </w:r>
      <w:r w:rsidR="00EF704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performed experiments and wrote the manuscript</w:t>
      </w:r>
      <w:r w:rsidR="00726289"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00726289" w:rsidRPr="004D7457">
        <w:rPr>
          <w:rFonts w:ascii="Book Antiqua" w:eastAsia="Book Antiqua" w:hAnsi="Book Antiqua" w:cs="Book Antiqua"/>
          <w:color w:val="000000"/>
        </w:rPr>
        <w:t xml:space="preserve">Wang </w:t>
      </w:r>
      <w:r w:rsidRPr="004D7457">
        <w:rPr>
          <w:rFonts w:ascii="Book Antiqua" w:eastAsia="Book Antiqua" w:hAnsi="Book Antiqua" w:cs="Book Antiqua"/>
          <w:color w:val="000000"/>
        </w:rPr>
        <w:t>Y</w:t>
      </w:r>
      <w:r w:rsidR="00726289"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and </w:t>
      </w:r>
      <w:r w:rsidR="00726289" w:rsidRPr="004D7457">
        <w:rPr>
          <w:rFonts w:ascii="Book Antiqua" w:eastAsia="Book Antiqua" w:hAnsi="Book Antiqua" w:cs="Book Antiqua"/>
          <w:color w:val="000000"/>
        </w:rPr>
        <w:t xml:space="preserve">Lee </w:t>
      </w:r>
      <w:r w:rsidRPr="004D7457">
        <w:rPr>
          <w:rFonts w:ascii="Book Antiqua" w:eastAsia="Book Antiqua" w:hAnsi="Book Antiqua" w:cs="Book Antiqua"/>
          <w:color w:val="000000"/>
        </w:rPr>
        <w:t>S</w:t>
      </w:r>
      <w:r w:rsidR="00726289"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assisted with experiments</w:t>
      </w:r>
      <w:r w:rsidR="0001234E" w:rsidRPr="004D7457">
        <w:rPr>
          <w:rFonts w:ascii="Book Antiqua" w:eastAsia="Book Antiqua" w:hAnsi="Book Antiqua" w:cs="Book Antiqua"/>
          <w:color w:val="000000"/>
        </w:rPr>
        <w:t xml:space="preserve">; Schnabl </w:t>
      </w:r>
      <w:r w:rsidRPr="004D7457">
        <w:rPr>
          <w:rFonts w:ascii="Book Antiqua" w:eastAsia="Book Antiqua" w:hAnsi="Book Antiqua" w:cs="Book Antiqua"/>
          <w:color w:val="000000"/>
        </w:rPr>
        <w:t>B</w:t>
      </w:r>
      <w:r w:rsidR="0001234E"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supervised the study and edited the manuscript</w:t>
      </w:r>
      <w:r w:rsidR="00271496" w:rsidRPr="004D7457">
        <w:rPr>
          <w:rFonts w:ascii="Book Antiqua" w:eastAsia="Book Antiqua" w:hAnsi="Book Antiqua" w:cs="Book Antiqua"/>
          <w:color w:val="000000"/>
        </w:rPr>
        <w:t xml:space="preserve">; </w:t>
      </w:r>
      <w:r w:rsidR="00BB4A21" w:rsidRPr="004D7457">
        <w:rPr>
          <w:rFonts w:ascii="Book Antiqua" w:eastAsia="Book Antiqua" w:hAnsi="Book Antiqua" w:cs="Book Antiqua"/>
          <w:color w:val="000000"/>
        </w:rPr>
        <w:t>A</w:t>
      </w:r>
      <w:r w:rsidRPr="004D7457">
        <w:rPr>
          <w:rFonts w:ascii="Book Antiqua" w:eastAsia="Book Antiqua" w:hAnsi="Book Antiqua" w:cs="Book Antiqua"/>
          <w:color w:val="000000"/>
        </w:rPr>
        <w:t>ll authors approved the final version of the manuscript.</w:t>
      </w:r>
    </w:p>
    <w:p w14:paraId="2C8C1666" w14:textId="77777777" w:rsidR="00A77B3E" w:rsidRPr="004D7457" w:rsidRDefault="00A77B3E" w:rsidP="004D7457">
      <w:pPr>
        <w:snapToGrid w:val="0"/>
        <w:spacing w:line="360" w:lineRule="auto"/>
        <w:jc w:val="both"/>
      </w:pPr>
    </w:p>
    <w:p w14:paraId="1544033A"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Supported by</w:t>
      </w:r>
      <w:r w:rsidR="0028541E"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the Swiss National Science Foundation</w:t>
      </w:r>
      <w:r w:rsidR="0028541E"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0028541E"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 xml:space="preserve">P2SKP3_158649, </w:t>
      </w:r>
      <w:r w:rsidR="0028541E"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P3400PB_171581</w:t>
      </w:r>
      <w:r w:rsidR="0028541E"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w:t>
      </w:r>
      <w:r w:rsidR="0028541E"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P3P3PB_171582</w:t>
      </w:r>
      <w:r w:rsidR="0028541E" w:rsidRPr="004D7457">
        <w:rPr>
          <w:rFonts w:ascii="Book Antiqua" w:eastAsia="Book Antiqua" w:hAnsi="Book Antiqua" w:cs="Book Antiqua"/>
          <w:color w:val="000000"/>
        </w:rPr>
        <w:t xml:space="preserve"> (to Bluemel S</w:t>
      </w:r>
      <w:r w:rsidRPr="004D7457">
        <w:rPr>
          <w:rFonts w:ascii="Book Antiqua" w:eastAsia="Book Antiqua" w:hAnsi="Book Antiqua" w:cs="Book Antiqua"/>
          <w:color w:val="000000"/>
        </w:rPr>
        <w:t>)</w:t>
      </w:r>
      <w:r w:rsidR="00851FBE"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NIH grants</w:t>
      </w:r>
      <w:r w:rsidR="00851FBE" w:rsidRPr="004D7457">
        <w:rPr>
          <w:rFonts w:ascii="Book Antiqua" w:eastAsia="Book Antiqua" w:hAnsi="Book Antiqua" w:cs="Book Antiqua"/>
          <w:color w:val="000000"/>
        </w:rPr>
        <w:t xml:space="preserve"> (in part),</w:t>
      </w:r>
      <w:r w:rsidRPr="004D7457">
        <w:rPr>
          <w:rFonts w:ascii="Book Antiqua" w:eastAsia="Book Antiqua" w:hAnsi="Book Antiqua" w:cs="Book Antiqua"/>
          <w:color w:val="000000"/>
        </w:rPr>
        <w:t xml:space="preserve"> </w:t>
      </w:r>
      <w:r w:rsidR="00851FBE"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 xml:space="preserve">R01 AA24726, </w:t>
      </w:r>
      <w:r w:rsidR="00851FBE"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U01 AA026939</w:t>
      </w:r>
      <w:r w:rsidR="00851FBE"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services provided by P30 DK120515 (to </w:t>
      </w:r>
      <w:r w:rsidR="00851FBE" w:rsidRPr="004D7457">
        <w:rPr>
          <w:rFonts w:ascii="Book Antiqua" w:eastAsia="Book Antiqua" w:hAnsi="Book Antiqua" w:cs="Book Antiqua"/>
          <w:color w:val="000000"/>
        </w:rPr>
        <w:t>Schnabl B</w:t>
      </w:r>
      <w:r w:rsidRPr="004D7457">
        <w:rPr>
          <w:rFonts w:ascii="Book Antiqua" w:eastAsia="Book Antiqua" w:hAnsi="Book Antiqua" w:cs="Book Antiqua"/>
          <w:color w:val="000000"/>
        </w:rPr>
        <w:t>).</w:t>
      </w:r>
    </w:p>
    <w:p w14:paraId="6D3C7613" w14:textId="77777777" w:rsidR="00A77B3E" w:rsidRPr="004D7457" w:rsidRDefault="00A77B3E" w:rsidP="004D7457">
      <w:pPr>
        <w:snapToGrid w:val="0"/>
        <w:spacing w:line="360" w:lineRule="auto"/>
        <w:jc w:val="both"/>
      </w:pPr>
    </w:p>
    <w:p w14:paraId="438AA4F9"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lastRenderedPageBreak/>
        <w:t xml:space="preserve">Corresponding author: Bernd Schnabl, MD, Professor, </w:t>
      </w:r>
      <w:r w:rsidRPr="004D7457">
        <w:rPr>
          <w:rFonts w:ascii="Book Antiqua" w:eastAsia="Book Antiqua" w:hAnsi="Book Antiqua" w:cs="Book Antiqua"/>
          <w:color w:val="000000"/>
        </w:rPr>
        <w:t>Department of Medicine, University of California San Diego, Biomedical Research Facility 2 (BRF2), Room 4A22, 9500 Gilman Drive, MC0063, La Jolla, CA 92093, United States. beschnabl@ucsd.edu</w:t>
      </w:r>
    </w:p>
    <w:p w14:paraId="38E7B7DA" w14:textId="77777777" w:rsidR="00A77B3E" w:rsidRPr="004D7457" w:rsidRDefault="00A77B3E" w:rsidP="004D7457">
      <w:pPr>
        <w:snapToGrid w:val="0"/>
        <w:spacing w:line="360" w:lineRule="auto"/>
        <w:jc w:val="both"/>
      </w:pPr>
    </w:p>
    <w:p w14:paraId="2C850668"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Received: </w:t>
      </w:r>
      <w:r w:rsidRPr="004D7457">
        <w:rPr>
          <w:rFonts w:ascii="Book Antiqua" w:eastAsia="Book Antiqua" w:hAnsi="Book Antiqua" w:cs="Book Antiqua"/>
          <w:color w:val="000000"/>
        </w:rPr>
        <w:t>March 28, 2020</w:t>
      </w:r>
    </w:p>
    <w:p w14:paraId="06537FF4"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Revised: </w:t>
      </w:r>
      <w:r w:rsidRPr="004D7457">
        <w:rPr>
          <w:rFonts w:ascii="Book Antiqua" w:eastAsia="Book Antiqua" w:hAnsi="Book Antiqua" w:cs="Book Antiqua"/>
          <w:color w:val="000000"/>
        </w:rPr>
        <w:t>July 21, 2020</w:t>
      </w:r>
    </w:p>
    <w:p w14:paraId="4C6061A5" w14:textId="3D36B22E"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Accepted:</w:t>
      </w:r>
      <w:r w:rsidR="00AF60F8" w:rsidRPr="004D7457">
        <w:t xml:space="preserve"> </w:t>
      </w:r>
      <w:r w:rsidR="00AF60F8" w:rsidRPr="004D7457">
        <w:rPr>
          <w:rFonts w:ascii="Book Antiqua" w:eastAsia="Book Antiqua" w:hAnsi="Book Antiqua" w:cs="Book Antiqua"/>
          <w:color w:val="000000"/>
        </w:rPr>
        <w:t>August 12, 2020</w:t>
      </w:r>
      <w:r w:rsidRPr="004D7457">
        <w:rPr>
          <w:rFonts w:ascii="Book Antiqua" w:eastAsia="Book Antiqua" w:hAnsi="Book Antiqua" w:cs="Book Antiqua"/>
          <w:color w:val="000000"/>
        </w:rPr>
        <w:t xml:space="preserve"> </w:t>
      </w:r>
    </w:p>
    <w:p w14:paraId="288EE503" w14:textId="0E5A9645" w:rsidR="00A77B3E" w:rsidRPr="0097284D" w:rsidRDefault="00BB1006" w:rsidP="004D7457">
      <w:pPr>
        <w:snapToGrid w:val="0"/>
        <w:spacing w:line="360" w:lineRule="auto"/>
        <w:jc w:val="both"/>
        <w:rPr>
          <w:lang w:eastAsia="zh-CN"/>
        </w:rPr>
      </w:pPr>
      <w:r w:rsidRPr="004D7457">
        <w:rPr>
          <w:rFonts w:ascii="Book Antiqua" w:eastAsia="Book Antiqua" w:hAnsi="Book Antiqua" w:cs="Book Antiqua"/>
          <w:b/>
          <w:bCs/>
          <w:color w:val="000000"/>
        </w:rPr>
        <w:t xml:space="preserve">Published online: </w:t>
      </w:r>
      <w:r w:rsidR="0097284D" w:rsidRPr="0097284D">
        <w:rPr>
          <w:rFonts w:ascii="Book Antiqua" w:eastAsia="Book Antiqua" w:hAnsi="Book Antiqua" w:cs="Book Antiqua"/>
          <w:bCs/>
          <w:color w:val="000000"/>
        </w:rPr>
        <w:t>September 7</w:t>
      </w:r>
      <w:r w:rsidR="0097284D" w:rsidRPr="0097284D">
        <w:rPr>
          <w:rFonts w:ascii="Book Antiqua" w:hAnsi="Book Antiqua" w:cs="Book Antiqua" w:hint="eastAsia"/>
          <w:bCs/>
          <w:color w:val="000000"/>
          <w:lang w:eastAsia="zh-CN"/>
        </w:rPr>
        <w:t>, 2020</w:t>
      </w:r>
    </w:p>
    <w:p w14:paraId="0CF4776A" w14:textId="77777777" w:rsidR="00A77B3E" w:rsidRPr="004D7457" w:rsidRDefault="00A77B3E" w:rsidP="004D7457">
      <w:pPr>
        <w:snapToGrid w:val="0"/>
        <w:spacing w:line="360" w:lineRule="auto"/>
        <w:jc w:val="both"/>
        <w:sectPr w:rsidR="00A77B3E" w:rsidRPr="004D7457">
          <w:footerReference w:type="default" r:id="rId7"/>
          <w:pgSz w:w="12240" w:h="15840"/>
          <w:pgMar w:top="1440" w:right="1440" w:bottom="1440" w:left="1440" w:header="720" w:footer="720" w:gutter="0"/>
          <w:cols w:space="720"/>
          <w:docGrid w:linePitch="360"/>
        </w:sectPr>
      </w:pPr>
    </w:p>
    <w:p w14:paraId="1995D063"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lastRenderedPageBreak/>
        <w:t>Abstract</w:t>
      </w:r>
    </w:p>
    <w:p w14:paraId="2368264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BACKGROUND</w:t>
      </w:r>
    </w:p>
    <w:p w14:paraId="6D905F9B" w14:textId="753E08D1"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End-stage liver disease caused by non-alcoholic steatohepatitis (NASH) is the second leading indication for liver transplantation. To date, only moderately effective pharmacotherapies exist to treat NASH. Understanding the pathogenesis of NASH is therefore crucial for the development of new therapies. The inflammatory cytokine tumor necrosis factor </w:t>
      </w:r>
      <w:r w:rsidR="00BB4A21" w:rsidRPr="004D7457">
        <w:rPr>
          <w:rFonts w:ascii="Book Antiqua" w:eastAsia="Book Antiqua" w:hAnsi="Book Antiqua" w:cs="Book Antiqua"/>
          <w:color w:val="000000"/>
        </w:rPr>
        <w:t>alpha</w:t>
      </w:r>
      <w:r w:rsidRPr="004D7457">
        <w:rPr>
          <w:rFonts w:ascii="Book Antiqua" w:eastAsia="Book Antiqua" w:hAnsi="Book Antiqua" w:cs="Book Antiqua"/>
          <w:color w:val="000000"/>
        </w:rPr>
        <w:t xml:space="preserve"> (TNF</w:t>
      </w:r>
      <w:r w:rsidR="00BB4A21" w:rsidRPr="004D7457">
        <w:rPr>
          <w:rFonts w:ascii="Book Antiqua" w:eastAsia="Book Antiqua" w:hAnsi="Book Antiqua" w:cs="Book Antiqua"/>
          <w:color w:val="000000"/>
        </w:rPr>
        <w:t>-</w:t>
      </w:r>
      <w:r w:rsidR="00BB4A21" w:rsidRPr="00933517">
        <w:rPr>
          <w:rFonts w:ascii="Symbol" w:eastAsia="Book Antiqua" w:hAnsi="Symbol" w:cs="Book Antiqua"/>
          <w:color w:val="000000"/>
        </w:rPr>
        <w:t></w:t>
      </w:r>
      <w:r w:rsidRPr="004D7457">
        <w:rPr>
          <w:rFonts w:ascii="Book Antiqua" w:eastAsia="Book Antiqua" w:hAnsi="Book Antiqua" w:cs="Book Antiqua"/>
          <w:color w:val="000000"/>
        </w:rPr>
        <w:t xml:space="preserve">) is important for the progression of liver disease. TNF signaling </w:t>
      </w:r>
      <w:r w:rsidRPr="004D7457">
        <w:rPr>
          <w:rFonts w:ascii="Book Antiqua" w:eastAsia="Book Antiqua" w:hAnsi="Book Antiqua" w:cs="Book Antiqua"/>
          <w:i/>
          <w:color w:val="000000"/>
        </w:rPr>
        <w:t xml:space="preserve">via </w:t>
      </w:r>
      <w:r w:rsidRPr="004D7457">
        <w:rPr>
          <w:rFonts w:ascii="Book Antiqua" w:eastAsia="Book Antiqua" w:hAnsi="Book Antiqua" w:cs="Book Antiqua"/>
          <w:color w:val="000000"/>
        </w:rPr>
        <w:t xml:space="preserve">TNF receptor 1 (TNFR1) has been hypothesized to be important for the development of NASH and hepatocellular carcinoma in whole-body knockout animal models. </w:t>
      </w:r>
    </w:p>
    <w:p w14:paraId="56B0AEE6" w14:textId="77777777" w:rsidR="00A77B3E" w:rsidRPr="004D7457" w:rsidRDefault="00A77B3E" w:rsidP="004D7457">
      <w:pPr>
        <w:snapToGrid w:val="0"/>
        <w:spacing w:line="360" w:lineRule="auto"/>
        <w:jc w:val="both"/>
      </w:pPr>
    </w:p>
    <w:p w14:paraId="5332957B"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AIM</w:t>
      </w:r>
    </w:p>
    <w:p w14:paraId="569D670D"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To investigate the role of TNFR1 signaling in hepatocytes for steatohepatitis development in a mouse model of diet-induced NASH.</w:t>
      </w:r>
    </w:p>
    <w:p w14:paraId="6F872F9E" w14:textId="77777777" w:rsidR="00A77B3E" w:rsidRPr="004D7457" w:rsidRDefault="00A77B3E" w:rsidP="004D7457">
      <w:pPr>
        <w:snapToGrid w:val="0"/>
        <w:spacing w:line="360" w:lineRule="auto"/>
        <w:jc w:val="both"/>
      </w:pPr>
    </w:p>
    <w:p w14:paraId="303AAEB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METHODS</w:t>
      </w:r>
    </w:p>
    <w:p w14:paraId="564CA486" w14:textId="67E53C4D" w:rsidR="00A77B3E" w:rsidRPr="004D7457" w:rsidRDefault="00BB1006" w:rsidP="004D7457">
      <w:pPr>
        <w:snapToGrid w:val="0"/>
        <w:spacing w:line="360" w:lineRule="auto"/>
        <w:jc w:val="both"/>
      </w:pPr>
      <w:r w:rsidRPr="004D7457">
        <w:rPr>
          <w:rFonts w:ascii="Book Antiqua" w:eastAsia="Book Antiqua" w:hAnsi="Book Antiqua" w:cs="Book Antiqua"/>
          <w:color w:val="000000"/>
        </w:rPr>
        <w:t>NASH was induced by a western-style fast-food diet in mice deficient for TNFR1 in hepatocytes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and their wild-type littermates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Glucose tol</w:t>
      </w:r>
      <w:r w:rsidR="00352BA0" w:rsidRPr="004D7457">
        <w:rPr>
          <w:rFonts w:ascii="Book Antiqua" w:eastAsia="Book Antiqua" w:hAnsi="Book Antiqua" w:cs="Book Antiqua"/>
          <w:color w:val="000000"/>
        </w:rPr>
        <w:t>erance was assessed after 18 wk</w:t>
      </w:r>
      <w:r w:rsidRPr="004D7457">
        <w:rPr>
          <w:rFonts w:ascii="Book Antiqua" w:eastAsia="Book Antiqua" w:hAnsi="Book Antiqua" w:cs="Book Antiqua"/>
          <w:color w:val="000000"/>
        </w:rPr>
        <w:t xml:space="preserve"> and</w:t>
      </w:r>
      <w:r w:rsidR="00352BA0" w:rsidRPr="004D7457">
        <w:rPr>
          <w:rFonts w:ascii="Book Antiqua" w:eastAsia="Book Antiqua" w:hAnsi="Book Antiqua" w:cs="Book Antiqua"/>
          <w:color w:val="000000"/>
        </w:rPr>
        <w:t xml:space="preserve"> insulin resistance after 19 wk of feeding. After 20 wk</w:t>
      </w:r>
      <w:r w:rsidRPr="004D7457">
        <w:rPr>
          <w:rFonts w:ascii="Book Antiqua" w:eastAsia="Book Antiqua" w:hAnsi="Book Antiqua" w:cs="Book Antiqua"/>
          <w:color w:val="000000"/>
        </w:rPr>
        <w:t xml:space="preserve"> mice were assessed for features of NASH and the metabolic syndrome such as liver weight, liver steatosis, liver fibrosis and markers of liver inflammation.</w:t>
      </w:r>
    </w:p>
    <w:p w14:paraId="55509BEB" w14:textId="77777777" w:rsidR="00A77B3E" w:rsidRPr="004D7457" w:rsidRDefault="00A77B3E" w:rsidP="004D7457">
      <w:pPr>
        <w:snapToGrid w:val="0"/>
        <w:spacing w:line="360" w:lineRule="auto"/>
        <w:jc w:val="both"/>
      </w:pPr>
    </w:p>
    <w:p w14:paraId="107A6E26"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RESULTS</w:t>
      </w:r>
    </w:p>
    <w:p w14:paraId="43E0713C"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Obesity, liver injury, inflammation, steatosis and fibrosis was not different between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and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mice. However,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deficiency in hepatocytes protected against glucose intolerance and insulin resistance.</w:t>
      </w:r>
    </w:p>
    <w:p w14:paraId="1464E4F0" w14:textId="77777777" w:rsidR="00A77B3E" w:rsidRPr="004D7457" w:rsidRDefault="00A77B3E" w:rsidP="004D7457">
      <w:pPr>
        <w:snapToGrid w:val="0"/>
        <w:spacing w:line="360" w:lineRule="auto"/>
        <w:jc w:val="both"/>
      </w:pPr>
    </w:p>
    <w:p w14:paraId="7DAF925E"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CONCLUSION</w:t>
      </w:r>
    </w:p>
    <w:p w14:paraId="538F0F6B"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Our results indicate that deficiency of TNFR1 signaling in hepatocytes does not protect from diet-induced NASH. However, improved insulin resistance in this model strengthens the role of the liver in glucose homeostasis.</w:t>
      </w:r>
    </w:p>
    <w:p w14:paraId="324F4BAC" w14:textId="77777777" w:rsidR="00A77B3E" w:rsidRPr="004D7457" w:rsidRDefault="00A77B3E" w:rsidP="004D7457">
      <w:pPr>
        <w:snapToGrid w:val="0"/>
        <w:spacing w:line="360" w:lineRule="auto"/>
        <w:jc w:val="both"/>
      </w:pPr>
    </w:p>
    <w:p w14:paraId="2716CA1F" w14:textId="604731E8"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Key words: </w:t>
      </w:r>
      <w:r w:rsidR="00CD3B33" w:rsidRPr="004D7457">
        <w:rPr>
          <w:rFonts w:ascii="Book Antiqua" w:eastAsia="Book Antiqua" w:hAnsi="Book Antiqua" w:cs="Book Antiqua"/>
          <w:caps/>
          <w:color w:val="000000"/>
        </w:rPr>
        <w:t>t</w:t>
      </w:r>
      <w:r w:rsidR="00CD3B33" w:rsidRPr="004D7457">
        <w:rPr>
          <w:rFonts w:ascii="Book Antiqua" w:eastAsia="Book Antiqua" w:hAnsi="Book Antiqua" w:cs="Book Antiqua"/>
          <w:color w:val="000000"/>
        </w:rPr>
        <w:t xml:space="preserve">umor necrosis factor </w:t>
      </w:r>
      <w:r w:rsidR="008919E5" w:rsidRPr="004D7457">
        <w:rPr>
          <w:rFonts w:ascii="Book Antiqua" w:eastAsia="Book Antiqua" w:hAnsi="Book Antiqua" w:cs="Book Antiqua"/>
          <w:color w:val="000000"/>
        </w:rPr>
        <w:t xml:space="preserve">alpha </w:t>
      </w:r>
      <w:r w:rsidR="00CD3B33" w:rsidRPr="004D7457">
        <w:rPr>
          <w:rFonts w:ascii="Book Antiqua" w:eastAsia="Book Antiqua" w:hAnsi="Book Antiqua" w:cs="Book Antiqua"/>
          <w:color w:val="000000"/>
        </w:rPr>
        <w:t>receptor 1</w:t>
      </w:r>
      <w:r w:rsidRPr="004D7457">
        <w:rPr>
          <w:rFonts w:ascii="Book Antiqua" w:eastAsia="Book Antiqua" w:hAnsi="Book Antiqua" w:cs="Book Antiqua"/>
          <w:color w:val="000000"/>
        </w:rPr>
        <w:t xml:space="preserve">; </w:t>
      </w:r>
      <w:r w:rsidR="00CD3B33" w:rsidRPr="004D7457">
        <w:rPr>
          <w:rFonts w:ascii="Book Antiqua" w:eastAsia="Book Antiqua" w:hAnsi="Book Antiqua" w:cs="Book Antiqua"/>
          <w:caps/>
          <w:color w:val="000000"/>
        </w:rPr>
        <w:t>n</w:t>
      </w:r>
      <w:r w:rsidR="00CD3B33" w:rsidRPr="004D7457">
        <w:rPr>
          <w:rFonts w:ascii="Book Antiqua" w:eastAsia="Book Antiqua" w:hAnsi="Book Antiqua" w:cs="Book Antiqua"/>
          <w:color w:val="000000"/>
        </w:rPr>
        <w:t>on-alcoholic steatohepatitis</w:t>
      </w:r>
      <w:r w:rsidRPr="004D7457">
        <w:rPr>
          <w:rFonts w:ascii="Book Antiqua" w:eastAsia="Book Antiqua" w:hAnsi="Book Antiqua" w:cs="Book Antiqua"/>
          <w:color w:val="000000"/>
        </w:rPr>
        <w:t xml:space="preserve">; </w:t>
      </w:r>
      <w:r w:rsidR="00CD3B33" w:rsidRPr="004D7457">
        <w:rPr>
          <w:rFonts w:ascii="Book Antiqua" w:eastAsia="Book Antiqua" w:hAnsi="Book Antiqua" w:cs="Book Antiqua"/>
          <w:caps/>
          <w:color w:val="000000"/>
        </w:rPr>
        <w:t>n</w:t>
      </w:r>
      <w:r w:rsidR="00CD3B33" w:rsidRPr="004D7457">
        <w:rPr>
          <w:rFonts w:ascii="Book Antiqua" w:eastAsia="Book Antiqua" w:hAnsi="Book Antiqua" w:cs="Book Antiqua"/>
          <w:color w:val="000000"/>
        </w:rPr>
        <w:t>on-alcoholic fatty liver disease</w:t>
      </w:r>
      <w:r w:rsidRPr="004D7457">
        <w:rPr>
          <w:rFonts w:ascii="Book Antiqua" w:eastAsia="Book Antiqua" w:hAnsi="Book Antiqua" w:cs="Book Antiqua"/>
          <w:color w:val="000000"/>
        </w:rPr>
        <w:t xml:space="preserve">; Type 2 </w:t>
      </w:r>
      <w:r w:rsidR="0001372B" w:rsidRPr="004D7457">
        <w:rPr>
          <w:rFonts w:ascii="Book Antiqua" w:eastAsia="Book Antiqua" w:hAnsi="Book Antiqua" w:cs="Book Antiqua"/>
          <w:color w:val="000000"/>
        </w:rPr>
        <w:t>d</w:t>
      </w:r>
      <w:r w:rsidRPr="004D7457">
        <w:rPr>
          <w:rFonts w:ascii="Book Antiqua" w:eastAsia="Book Antiqua" w:hAnsi="Book Antiqua" w:cs="Book Antiqua"/>
          <w:color w:val="000000"/>
        </w:rPr>
        <w:t xml:space="preserve">iabetes; </w:t>
      </w:r>
      <w:r w:rsidRPr="004D7457">
        <w:rPr>
          <w:rFonts w:ascii="Book Antiqua" w:eastAsia="Book Antiqua" w:hAnsi="Book Antiqua" w:cs="Book Antiqua"/>
          <w:caps/>
          <w:color w:val="000000"/>
        </w:rPr>
        <w:t>i</w:t>
      </w:r>
      <w:r w:rsidRPr="004D7457">
        <w:rPr>
          <w:rFonts w:ascii="Book Antiqua" w:eastAsia="Book Antiqua" w:hAnsi="Book Antiqua" w:cs="Book Antiqua"/>
          <w:color w:val="000000"/>
        </w:rPr>
        <w:t xml:space="preserve">nsulin resistance; </w:t>
      </w:r>
      <w:r w:rsidRPr="004D7457">
        <w:rPr>
          <w:rFonts w:ascii="Book Antiqua" w:eastAsia="Book Antiqua" w:hAnsi="Book Antiqua" w:cs="Book Antiqua"/>
          <w:caps/>
          <w:color w:val="000000"/>
        </w:rPr>
        <w:t>g</w:t>
      </w:r>
      <w:r w:rsidRPr="004D7457">
        <w:rPr>
          <w:rFonts w:ascii="Book Antiqua" w:eastAsia="Book Antiqua" w:hAnsi="Book Antiqua" w:cs="Book Antiqua"/>
          <w:color w:val="000000"/>
        </w:rPr>
        <w:t>lucose intolerance</w:t>
      </w:r>
    </w:p>
    <w:p w14:paraId="3054C96D" w14:textId="77777777" w:rsidR="00A77B3E" w:rsidRPr="004D7457" w:rsidRDefault="00A77B3E" w:rsidP="004D7457">
      <w:pPr>
        <w:snapToGrid w:val="0"/>
        <w:spacing w:line="360" w:lineRule="auto"/>
        <w:jc w:val="both"/>
      </w:pPr>
    </w:p>
    <w:p w14:paraId="0386A703" w14:textId="77777777" w:rsidR="00B55492" w:rsidRDefault="00B55492" w:rsidP="004D7457">
      <w:pPr>
        <w:snapToGrid w:val="0"/>
        <w:spacing w:line="360" w:lineRule="auto"/>
        <w:jc w:val="both"/>
        <w:rPr>
          <w:rFonts w:ascii="Book Antiqua" w:hAnsi="Book Antiqua" w:cs="Book Antiqua" w:hint="eastAsia"/>
          <w:color w:val="000000"/>
          <w:lang w:eastAsia="zh-CN"/>
        </w:rPr>
      </w:pPr>
      <w:r w:rsidRPr="00B55492">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Pr="00B55492">
        <w:rPr>
          <w:rFonts w:ascii="Book Antiqua" w:eastAsia="Book Antiqua" w:hAnsi="Book Antiqua" w:cs="Book Antiqua"/>
          <w:color w:val="000000"/>
        </w:rPr>
        <w:t xml:space="preserve">Bluemel S, Wang Y, Lee S, Schnabl B. Tumor necrosis factor alpha receptor 1 deficiency in hepatocytes does not protect from non-alcoholic steatohepatitis, but attenuates insulin resistance in mice. World J Gastroenterol 2020; 26(33): 4933-4944 </w:t>
      </w:r>
    </w:p>
    <w:p w14:paraId="2C041D28" w14:textId="21C91F4D" w:rsidR="00B55492" w:rsidRDefault="00B55492" w:rsidP="004D7457">
      <w:pPr>
        <w:snapToGrid w:val="0"/>
        <w:spacing w:line="360" w:lineRule="auto"/>
        <w:jc w:val="both"/>
        <w:rPr>
          <w:rFonts w:ascii="Book Antiqua" w:hAnsi="Book Antiqua" w:cs="Book Antiqua" w:hint="eastAsia"/>
          <w:color w:val="000000"/>
          <w:lang w:eastAsia="zh-CN"/>
        </w:rPr>
      </w:pPr>
      <w:r w:rsidRPr="00B55492">
        <w:rPr>
          <w:rFonts w:ascii="Book Antiqua" w:eastAsia="Book Antiqua" w:hAnsi="Book Antiqua" w:cs="Book Antiqua"/>
          <w:b/>
          <w:color w:val="000000"/>
        </w:rPr>
        <w:t xml:space="preserve">URL: </w:t>
      </w:r>
      <w:hyperlink r:id="rId8" w:history="1">
        <w:r w:rsidRPr="00201709">
          <w:rPr>
            <w:rStyle w:val="a9"/>
            <w:rFonts w:ascii="Book Antiqua" w:eastAsia="Book Antiqua" w:hAnsi="Book Antiqua" w:cs="Book Antiqua"/>
          </w:rPr>
          <w:t>https://www.wjgnet.com/1007-9327/full/v26/i33/4933.htm</w:t>
        </w:r>
      </w:hyperlink>
      <w:r w:rsidRPr="00B55492">
        <w:rPr>
          <w:rFonts w:ascii="Book Antiqua" w:eastAsia="Book Antiqua" w:hAnsi="Book Antiqua" w:cs="Book Antiqua"/>
          <w:color w:val="000000"/>
        </w:rPr>
        <w:t xml:space="preserve"> </w:t>
      </w:r>
    </w:p>
    <w:p w14:paraId="4824C6D7" w14:textId="34DF50E3" w:rsidR="00A77B3E" w:rsidRPr="00B55492" w:rsidRDefault="00B55492" w:rsidP="004D7457">
      <w:pPr>
        <w:snapToGrid w:val="0"/>
        <w:spacing w:line="360" w:lineRule="auto"/>
        <w:jc w:val="both"/>
        <w:rPr>
          <w:rFonts w:hint="eastAsia"/>
          <w:lang w:eastAsia="zh-CN"/>
        </w:rPr>
      </w:pPr>
      <w:r w:rsidRPr="00B55492">
        <w:rPr>
          <w:rFonts w:ascii="Book Antiqua" w:eastAsia="Book Antiqua" w:hAnsi="Book Antiqua" w:cs="Book Antiqua"/>
          <w:b/>
          <w:color w:val="000000"/>
        </w:rPr>
        <w:t xml:space="preserve">DOI: </w:t>
      </w:r>
      <w:r w:rsidRPr="00B55492">
        <w:rPr>
          <w:rFonts w:ascii="Book Antiqua" w:eastAsia="Book Antiqua" w:hAnsi="Book Antiqua" w:cs="Book Antiqua"/>
          <w:color w:val="000000"/>
        </w:rPr>
        <w:t>https://dx.doi.org/10.3748/wjg.v26.i33.4933</w:t>
      </w:r>
    </w:p>
    <w:p w14:paraId="3BC2A144" w14:textId="77777777" w:rsidR="00B55492" w:rsidRDefault="00B55492" w:rsidP="004D7457">
      <w:pPr>
        <w:snapToGrid w:val="0"/>
        <w:spacing w:line="360" w:lineRule="auto"/>
        <w:jc w:val="both"/>
        <w:rPr>
          <w:rFonts w:ascii="Book Antiqua" w:hAnsi="Book Antiqua" w:cs="Book Antiqua" w:hint="eastAsia"/>
          <w:b/>
          <w:bCs/>
          <w:color w:val="000000"/>
          <w:lang w:eastAsia="zh-CN"/>
        </w:rPr>
      </w:pPr>
    </w:p>
    <w:p w14:paraId="45ECF109" w14:textId="59B4705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Core tip: </w:t>
      </w:r>
      <w:r w:rsidRPr="004D7457">
        <w:rPr>
          <w:rFonts w:ascii="Book Antiqua" w:eastAsia="Book Antiqua" w:hAnsi="Book Antiqua" w:cs="Book Antiqua"/>
          <w:color w:val="000000"/>
        </w:rPr>
        <w:t xml:space="preserve">We investigated the role of hepatocellular </w:t>
      </w:r>
      <w:r w:rsidR="00625D93" w:rsidRPr="004D7457">
        <w:rPr>
          <w:rFonts w:ascii="Book Antiqua" w:eastAsia="Book Antiqua" w:hAnsi="Book Antiqua" w:cs="Book Antiqua"/>
          <w:color w:val="000000"/>
        </w:rPr>
        <w:t>tumor necrosis factor</w:t>
      </w:r>
      <w:r w:rsidR="00B32692"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receptor 1 (TNFR1) signaling in diet-induced non-alcoholic steatohepatitis in mice with a deficiency for TNFR1 solely in hepatocytes. In contrast to most whole-body knock-out models, diet-induced </w:t>
      </w:r>
      <w:r w:rsidR="00B944AD" w:rsidRPr="004D7457">
        <w:rPr>
          <w:rFonts w:ascii="Book Antiqua" w:eastAsia="Book Antiqua" w:hAnsi="Book Antiqua" w:cs="Book Antiqua"/>
          <w:color w:val="000000"/>
        </w:rPr>
        <w:t>non-alcoholic steatohepatitis</w:t>
      </w:r>
      <w:r w:rsidRPr="004D7457">
        <w:rPr>
          <w:rFonts w:ascii="Book Antiqua" w:eastAsia="Book Antiqua" w:hAnsi="Book Antiqua" w:cs="Book Antiqua"/>
          <w:color w:val="000000"/>
        </w:rPr>
        <w:t xml:space="preserve"> is not aggravated by hepatocellular TNFR1 deficiency in our study. However, insulin resistance was markedly improved, which strengthens the role of the liver in glucose homeostasis.</w:t>
      </w:r>
    </w:p>
    <w:p w14:paraId="2DE7B253" w14:textId="2702C8E1" w:rsidR="00B944AD" w:rsidRDefault="00B944AD">
      <w:r>
        <w:br w:type="page"/>
      </w:r>
    </w:p>
    <w:p w14:paraId="30E125B9" w14:textId="77777777" w:rsidR="00A77B3E" w:rsidRPr="004D7457" w:rsidRDefault="00A77B3E" w:rsidP="004D7457">
      <w:pPr>
        <w:snapToGrid w:val="0"/>
        <w:spacing w:line="360" w:lineRule="auto"/>
        <w:jc w:val="both"/>
      </w:pPr>
    </w:p>
    <w:p w14:paraId="2CB0DBA4"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u w:val="single"/>
        </w:rPr>
        <w:t>INTRODUCTION</w:t>
      </w:r>
    </w:p>
    <w:p w14:paraId="17E6F2FB"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Complications of the obesity epidemic are increasing globally. Over 70% of obese adults have non-alcoholic fatty liver disease (NAFLD)</w:t>
      </w:r>
      <w:r w:rsidRPr="004D7457">
        <w:rPr>
          <w:rFonts w:ascii="Book Antiqua" w:eastAsia="Book Antiqua" w:hAnsi="Book Antiqua" w:cs="Book Antiqua"/>
          <w:color w:val="000000"/>
          <w:szCs w:val="30"/>
          <w:vertAlign w:val="superscript"/>
        </w:rPr>
        <w:t>[</w:t>
      </w:r>
      <w:hyperlink w:anchor="_ENREF_1" w:tooltip="Angulo, 2002 #1" w:history="1">
        <w:r w:rsidRPr="004D7457">
          <w:rPr>
            <w:rFonts w:ascii="Book Antiqua" w:eastAsia="Book Antiqua" w:hAnsi="Book Antiqua" w:cs="Book Antiqua"/>
            <w:color w:val="000000"/>
            <w:szCs w:val="20"/>
            <w:vertAlign w:val="superscript"/>
          </w:rPr>
          <w:t>1</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Disease progression to non-alcoholic steatohepatitis (NASH) and cirrhosis – often complicated by hepatocellular carcinoma (HCC) – worsens the prognosis. Therefore, NASH and its complications are becoming the second leading indication for liver transplantation</w:t>
      </w:r>
      <w:r w:rsidRPr="004D7457">
        <w:rPr>
          <w:rFonts w:ascii="Book Antiqua" w:eastAsia="Book Antiqua" w:hAnsi="Book Antiqua" w:cs="Book Antiqua"/>
          <w:color w:val="000000"/>
          <w:szCs w:val="30"/>
          <w:vertAlign w:val="superscript"/>
        </w:rPr>
        <w:t>[</w:t>
      </w:r>
      <w:hyperlink w:anchor="_ENREF_2" w:tooltip="Vernon, 2011 #2" w:history="1">
        <w:r w:rsidRPr="004D7457">
          <w:rPr>
            <w:rFonts w:ascii="Book Antiqua" w:eastAsia="Book Antiqua" w:hAnsi="Book Antiqua" w:cs="Book Antiqua"/>
            <w:color w:val="000000"/>
            <w:szCs w:val="20"/>
            <w:vertAlign w:val="superscript"/>
          </w:rPr>
          <w:t>2</w:t>
        </w:r>
      </w:hyperlink>
      <w:r w:rsidRPr="004D7457">
        <w:rPr>
          <w:rFonts w:ascii="Book Antiqua" w:eastAsia="Book Antiqua" w:hAnsi="Book Antiqua" w:cs="Book Antiqua"/>
          <w:color w:val="000000"/>
          <w:szCs w:val="30"/>
          <w:vertAlign w:val="superscript"/>
        </w:rPr>
        <w:t>,</w:t>
      </w:r>
      <w:hyperlink w:anchor="_ENREF_3" w:tooltip="Charlton, 2011 #3" w:history="1">
        <w:r w:rsidRPr="004D7457">
          <w:rPr>
            <w:rFonts w:ascii="Book Antiqua" w:eastAsia="Book Antiqua" w:hAnsi="Book Antiqua" w:cs="Book Antiqua"/>
            <w:color w:val="000000"/>
            <w:szCs w:val="20"/>
            <w:vertAlign w:val="superscript"/>
          </w:rPr>
          <w:t>3</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Besides weight loss, only moderately effective therapies exist to reverse NASH</w:t>
      </w:r>
      <w:r w:rsidRPr="004D7457">
        <w:rPr>
          <w:rFonts w:ascii="Book Antiqua" w:eastAsia="Book Antiqua" w:hAnsi="Book Antiqua" w:cs="Book Antiqua"/>
          <w:color w:val="000000"/>
          <w:szCs w:val="30"/>
          <w:vertAlign w:val="superscript"/>
        </w:rPr>
        <w:t>[</w:t>
      </w:r>
      <w:hyperlink w:anchor="_ENREF_4" w:tooltip="Patel, 2019 #45" w:history="1">
        <w:r w:rsidRPr="004D7457">
          <w:rPr>
            <w:rFonts w:ascii="Book Antiqua" w:eastAsia="Book Antiqua" w:hAnsi="Book Antiqua" w:cs="Book Antiqua"/>
            <w:color w:val="000000"/>
            <w:szCs w:val="20"/>
            <w:vertAlign w:val="superscript"/>
          </w:rPr>
          <w:t>4</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Understanding the pathogenesis of NASH is therefore crucial for the development of novel treatment strategies.</w:t>
      </w:r>
    </w:p>
    <w:p w14:paraId="120436D7" w14:textId="2544F30F"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The development of NAFLD and NASH is triggered by intestinal dysbiosis</w:t>
      </w:r>
      <w:r w:rsidRPr="004D7457">
        <w:rPr>
          <w:rFonts w:ascii="Book Antiqua" w:eastAsia="Book Antiqua" w:hAnsi="Book Antiqua" w:cs="Book Antiqua"/>
          <w:color w:val="000000"/>
          <w:szCs w:val="30"/>
          <w:vertAlign w:val="superscript"/>
        </w:rPr>
        <w:t>[</w:t>
      </w:r>
      <w:hyperlink w:anchor="_ENREF_5" w:tooltip="Abdou, 2016 #4" w:history="1">
        <w:r w:rsidRPr="004D7457">
          <w:rPr>
            <w:rFonts w:ascii="Book Antiqua" w:eastAsia="Book Antiqua" w:hAnsi="Book Antiqua" w:cs="Book Antiqua"/>
            <w:color w:val="000000"/>
            <w:szCs w:val="20"/>
            <w:vertAlign w:val="superscript"/>
          </w:rPr>
          <w:t>5-13</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This is underlined by the transmission of the disease through co-housing experiments in mice and microbiota transplantation to germ-free mice</w:t>
      </w:r>
      <w:r w:rsidRPr="004D7457">
        <w:rPr>
          <w:rFonts w:ascii="Book Antiqua" w:eastAsia="Book Antiqua" w:hAnsi="Book Antiqua" w:cs="Book Antiqua"/>
          <w:color w:val="000000"/>
          <w:szCs w:val="30"/>
          <w:vertAlign w:val="superscript"/>
        </w:rPr>
        <w:t>[</w:t>
      </w:r>
      <w:hyperlink w:anchor="_ENREF_14" w:tooltip="Le Roy, 2013 #13" w:history="1">
        <w:r w:rsidRPr="004D7457">
          <w:rPr>
            <w:rFonts w:ascii="Book Antiqua" w:eastAsia="Book Antiqua" w:hAnsi="Book Antiqua" w:cs="Book Antiqua"/>
            <w:color w:val="000000"/>
            <w:szCs w:val="20"/>
            <w:vertAlign w:val="superscript"/>
          </w:rPr>
          <w:t>14</w:t>
        </w:r>
      </w:hyperlink>
      <w:r w:rsidRPr="004D7457">
        <w:rPr>
          <w:rFonts w:ascii="Book Antiqua" w:eastAsia="Book Antiqua" w:hAnsi="Book Antiqua" w:cs="Book Antiqua"/>
          <w:color w:val="000000"/>
          <w:szCs w:val="30"/>
          <w:vertAlign w:val="superscript"/>
        </w:rPr>
        <w:t>,</w:t>
      </w:r>
      <w:hyperlink w:anchor="_ENREF_15" w:tooltip="Henao-Mejia, 2012 #14" w:history="1">
        <w:r w:rsidRPr="004D7457">
          <w:rPr>
            <w:rFonts w:ascii="Book Antiqua" w:eastAsia="Book Antiqua" w:hAnsi="Book Antiqua" w:cs="Book Antiqua"/>
            <w:color w:val="000000"/>
            <w:szCs w:val="20"/>
            <w:vertAlign w:val="superscript"/>
          </w:rPr>
          <w:t>15</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Poor nutrition and dysbiosis can damage the intestinal epithelial barrier and facilitate endotoxemia</w:t>
      </w:r>
      <w:r w:rsidRPr="004D7457">
        <w:rPr>
          <w:rFonts w:ascii="Book Antiqua" w:eastAsia="Book Antiqua" w:hAnsi="Book Antiqua" w:cs="Book Antiqua"/>
          <w:color w:val="000000"/>
          <w:szCs w:val="30"/>
          <w:vertAlign w:val="superscript"/>
        </w:rPr>
        <w:t>[</w:t>
      </w:r>
      <w:hyperlink w:anchor="_ENREF_16" w:tooltip="Bluemel, 2016 #15" w:history="1">
        <w:r w:rsidRPr="004D7457">
          <w:rPr>
            <w:rFonts w:ascii="Book Antiqua" w:eastAsia="Book Antiqua" w:hAnsi="Book Antiqua" w:cs="Book Antiqua"/>
            <w:color w:val="000000"/>
            <w:szCs w:val="20"/>
            <w:vertAlign w:val="superscript"/>
          </w:rPr>
          <w:t>16</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Lipopolysaccharide (LPS), which is a component of the outer membrane of Gram-negative bacteria, acts as an endotoxin. LPS activates toll-like receptor </w:t>
      </w:r>
      <w:r w:rsidR="007D7B68" w:rsidRPr="004D7457">
        <w:rPr>
          <w:rFonts w:ascii="Book Antiqua" w:eastAsia="Book Antiqua" w:hAnsi="Book Antiqua" w:cs="Book Antiqua"/>
          <w:color w:val="000000"/>
        </w:rPr>
        <w:t xml:space="preserve">4 </w:t>
      </w:r>
      <w:r w:rsidRPr="004D7457">
        <w:rPr>
          <w:rFonts w:ascii="Book Antiqua" w:eastAsia="Book Antiqua" w:hAnsi="Book Antiqua" w:cs="Book Antiqua"/>
          <w:color w:val="000000"/>
        </w:rPr>
        <w:t>(TLR-4</w:t>
      </w:r>
      <w:r w:rsidR="007D7B68" w:rsidRPr="004D7457">
        <w:rPr>
          <w:rFonts w:ascii="Book Antiqua" w:eastAsia="Book Antiqua" w:hAnsi="Book Antiqua" w:cs="Book Antiqua"/>
          <w:color w:val="000000"/>
        </w:rPr>
        <w:t>)</w:t>
      </w:r>
      <w:r w:rsidRPr="004D7457">
        <w:rPr>
          <w:rFonts w:ascii="Book Antiqua" w:eastAsia="Book Antiqua" w:hAnsi="Book Antiqua" w:cs="Book Antiqua"/>
          <w:color w:val="000000"/>
        </w:rPr>
        <w:t>. TLR-4 expression is elevated in liver biopsies of patients with NASH compared with NAFLD</w:t>
      </w:r>
      <w:r w:rsidRPr="004D7457">
        <w:rPr>
          <w:rFonts w:ascii="Book Antiqua" w:eastAsia="Book Antiqua" w:hAnsi="Book Antiqua" w:cs="Book Antiqua"/>
          <w:color w:val="000000"/>
          <w:szCs w:val="30"/>
          <w:vertAlign w:val="superscript"/>
        </w:rPr>
        <w:t>[</w:t>
      </w:r>
      <w:hyperlink w:anchor="_ENREF_17" w:tooltip="Sharifnia, 2015 #16" w:history="1">
        <w:r w:rsidRPr="004D7457">
          <w:rPr>
            <w:rFonts w:ascii="Book Antiqua" w:eastAsia="Book Antiqua" w:hAnsi="Book Antiqua" w:cs="Book Antiqua"/>
            <w:color w:val="000000"/>
            <w:szCs w:val="20"/>
            <w:vertAlign w:val="superscript"/>
          </w:rPr>
          <w:t>17</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Downstream signals of TLR</w:t>
      </w:r>
      <w:r w:rsidR="00032501"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activation, such as release of tumor necrosis factor alpha (TNF</w:t>
      </w:r>
      <w:r w:rsidR="00E81827" w:rsidRPr="004D7457">
        <w:rPr>
          <w:rFonts w:ascii="Book Antiqua" w:eastAsia="Book Antiqua" w:hAnsi="Book Antiqua" w:cs="Book Antiqua"/>
          <w:color w:val="000000"/>
        </w:rPr>
        <w:t>-</w:t>
      </w:r>
      <w:r w:rsidR="00E81827" w:rsidRPr="00933517">
        <w:rPr>
          <w:rFonts w:ascii="Symbol" w:eastAsia="Book Antiqua" w:hAnsi="Symbol" w:cs="Book Antiqua"/>
          <w:color w:val="000000"/>
        </w:rPr>
        <w:t></w:t>
      </w:r>
      <w:r w:rsidRPr="004D7457">
        <w:rPr>
          <w:rFonts w:ascii="Book Antiqua" w:eastAsia="Book Antiqua" w:hAnsi="Book Antiqua" w:cs="Book Antiqua"/>
          <w:color w:val="000000"/>
        </w:rPr>
        <w:t>), contribute to liver inflammation and fibrosis</w:t>
      </w:r>
      <w:r w:rsidRPr="004D7457">
        <w:rPr>
          <w:rFonts w:ascii="Book Antiqua" w:eastAsia="Book Antiqua" w:hAnsi="Book Antiqua" w:cs="Book Antiqua"/>
          <w:color w:val="000000"/>
          <w:szCs w:val="30"/>
          <w:vertAlign w:val="superscript"/>
        </w:rPr>
        <w:t>[</w:t>
      </w:r>
      <w:hyperlink w:anchor="_ENREF_18" w:tooltip="Seki, 2007 #17" w:history="1">
        <w:r w:rsidRPr="004D7457">
          <w:rPr>
            <w:rFonts w:ascii="Book Antiqua" w:eastAsia="Book Antiqua" w:hAnsi="Book Antiqua" w:cs="Book Antiqua"/>
            <w:color w:val="000000"/>
            <w:szCs w:val="20"/>
            <w:vertAlign w:val="superscript"/>
          </w:rPr>
          <w:t>18-20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w:t>
      </w:r>
    </w:p>
    <w:p w14:paraId="46B89DA9" w14:textId="60C4D816"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TNF is a pro-inflammatory cytokine thought to be substantially involved in the progression of liver disease</w:t>
      </w:r>
      <w:r w:rsidRPr="004D7457">
        <w:rPr>
          <w:rFonts w:ascii="Book Antiqua" w:eastAsia="Book Antiqua" w:hAnsi="Book Antiqua" w:cs="Book Antiqua"/>
          <w:color w:val="000000"/>
          <w:szCs w:val="30"/>
          <w:vertAlign w:val="superscript"/>
        </w:rPr>
        <w:t>[</w:t>
      </w:r>
      <w:hyperlink w:anchor="_ENREF_18" w:tooltip="Seki, 2007 #17" w:history="1">
        <w:r w:rsidRPr="004D7457">
          <w:rPr>
            <w:rFonts w:ascii="Book Antiqua" w:eastAsia="Book Antiqua" w:hAnsi="Book Antiqua" w:cs="Book Antiqua"/>
            <w:color w:val="000000"/>
            <w:szCs w:val="20"/>
            <w:vertAlign w:val="superscript"/>
          </w:rPr>
          <w:t>18-20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TNF signal transduction is mediated by TNF receptor 1 (TNFR1) and TNFR2. Whereas TNFR1 activation is thought to drive inflammation and metabolic alterations, TNFR2 regulat</w:t>
      </w:r>
      <w:r w:rsidR="00032501" w:rsidRPr="004D7457">
        <w:rPr>
          <w:rFonts w:ascii="Book Antiqua" w:eastAsia="Book Antiqua" w:hAnsi="Book Antiqua" w:cs="Book Antiqua"/>
          <w:color w:val="000000"/>
        </w:rPr>
        <w:t>es</w:t>
      </w:r>
      <w:r w:rsidRPr="004D7457">
        <w:rPr>
          <w:rFonts w:ascii="Book Antiqua" w:eastAsia="Book Antiqua" w:hAnsi="Book Antiqua" w:cs="Book Antiqua"/>
          <w:color w:val="000000"/>
        </w:rPr>
        <w:t xml:space="preserve"> regeneration and immune response in a protective manner</w:t>
      </w:r>
      <w:r w:rsidRPr="004D7457">
        <w:rPr>
          <w:rFonts w:ascii="Book Antiqua" w:eastAsia="Book Antiqua" w:hAnsi="Book Antiqua" w:cs="Book Antiqua"/>
          <w:color w:val="000000"/>
          <w:szCs w:val="30"/>
          <w:vertAlign w:val="superscript"/>
        </w:rPr>
        <w:t>[</w:t>
      </w:r>
      <w:hyperlink w:anchor="_ENREF_21" w:tooltip="Aggarwal, 2003 #47" w:history="1">
        <w:r w:rsidRPr="004D7457">
          <w:rPr>
            <w:rFonts w:ascii="Book Antiqua" w:eastAsia="Book Antiqua" w:hAnsi="Book Antiqua" w:cs="Book Antiqua"/>
            <w:color w:val="000000"/>
            <w:szCs w:val="20"/>
            <w:vertAlign w:val="superscript"/>
          </w:rPr>
          <w:t>21</w:t>
        </w:r>
      </w:hyperlink>
      <w:r w:rsidRPr="004D7457">
        <w:rPr>
          <w:rFonts w:ascii="Book Antiqua" w:eastAsia="Book Antiqua" w:hAnsi="Book Antiqua" w:cs="Book Antiqua"/>
          <w:color w:val="000000"/>
          <w:szCs w:val="30"/>
          <w:vertAlign w:val="superscript"/>
        </w:rPr>
        <w:t>,</w:t>
      </w:r>
      <w:hyperlink w:anchor="_ENREF_22" w:tooltip="Dong, 2016 #48" w:history="1">
        <w:r w:rsidRPr="004D7457">
          <w:rPr>
            <w:rFonts w:ascii="Book Antiqua" w:eastAsia="Book Antiqua" w:hAnsi="Book Antiqua" w:cs="Book Antiqua"/>
            <w:color w:val="000000"/>
            <w:szCs w:val="20"/>
            <w:vertAlign w:val="superscript"/>
          </w:rPr>
          <w:t>22</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In obesity, adipocytes are a major systemic source of TNF, while in the liver TNF is mainly released from Kupffer cells</w:t>
      </w:r>
      <w:r w:rsidRPr="004D7457">
        <w:rPr>
          <w:rFonts w:ascii="Book Antiqua" w:eastAsia="Book Antiqua" w:hAnsi="Book Antiqua" w:cs="Book Antiqua"/>
          <w:color w:val="000000"/>
          <w:szCs w:val="30"/>
          <w:vertAlign w:val="superscript"/>
        </w:rPr>
        <w:t>[</w:t>
      </w:r>
      <w:hyperlink w:anchor="_ENREF_23" w:tooltip="Sun, 2012 #22" w:history="1">
        <w:r w:rsidRPr="004D7457">
          <w:rPr>
            <w:rFonts w:ascii="Book Antiqua" w:eastAsia="Book Antiqua" w:hAnsi="Book Antiqua" w:cs="Book Antiqua"/>
            <w:color w:val="000000"/>
            <w:szCs w:val="20"/>
            <w:vertAlign w:val="superscript"/>
          </w:rPr>
          <w:t>23</w:t>
        </w:r>
      </w:hyperlink>
      <w:r w:rsidRPr="004D7457">
        <w:rPr>
          <w:rFonts w:ascii="Book Antiqua" w:eastAsia="Book Antiqua" w:hAnsi="Book Antiqua" w:cs="Book Antiqua"/>
          <w:color w:val="000000"/>
          <w:szCs w:val="30"/>
          <w:vertAlign w:val="superscript"/>
        </w:rPr>
        <w:t>,</w:t>
      </w:r>
      <w:hyperlink w:anchor="_ENREF_24" w:tooltip="Luster, 1994 #23" w:history="1">
        <w:r w:rsidRPr="004D7457">
          <w:rPr>
            <w:rFonts w:ascii="Book Antiqua" w:eastAsia="Book Antiqua" w:hAnsi="Book Antiqua" w:cs="Book Antiqua"/>
            <w:color w:val="000000"/>
            <w:szCs w:val="20"/>
            <w:vertAlign w:val="superscript"/>
          </w:rPr>
          <w:t>24</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Obese patients have higher serum level</w:t>
      </w:r>
      <w:r w:rsidR="00E81827" w:rsidRPr="004D7457">
        <w:rPr>
          <w:rFonts w:ascii="Book Antiqua" w:eastAsia="Book Antiqua" w:hAnsi="Book Antiqua" w:cs="Book Antiqua"/>
          <w:color w:val="000000"/>
        </w:rPr>
        <w:t>s</w:t>
      </w:r>
      <w:r w:rsidRPr="004D7457">
        <w:rPr>
          <w:rFonts w:ascii="Book Antiqua" w:eastAsia="Book Antiqua" w:hAnsi="Book Antiqua" w:cs="Book Antiqua"/>
          <w:color w:val="000000"/>
        </w:rPr>
        <w:t xml:space="preserve"> of TNF, and patients with NASH have higher hepatic expression of </w:t>
      </w:r>
      <w:r w:rsidRPr="004D7457">
        <w:rPr>
          <w:rFonts w:ascii="Book Antiqua" w:eastAsia="Book Antiqua" w:hAnsi="Book Antiqua" w:cs="Book Antiqua"/>
          <w:i/>
          <w:iCs/>
          <w:color w:val="000000"/>
        </w:rPr>
        <w:t xml:space="preserve">TNF </w:t>
      </w:r>
      <w:r w:rsidRPr="004D7457">
        <w:rPr>
          <w:rFonts w:ascii="Book Antiqua" w:eastAsia="Book Antiqua" w:hAnsi="Book Antiqua" w:cs="Book Antiqua"/>
          <w:color w:val="000000"/>
        </w:rPr>
        <w:t>compared with NAFLD</w:t>
      </w:r>
      <w:r w:rsidRPr="004D7457">
        <w:rPr>
          <w:rFonts w:ascii="Book Antiqua" w:eastAsia="Book Antiqua" w:hAnsi="Book Antiqua" w:cs="Book Antiqua"/>
          <w:color w:val="000000"/>
          <w:szCs w:val="30"/>
          <w:vertAlign w:val="superscript"/>
        </w:rPr>
        <w:t>[</w:t>
      </w:r>
      <w:hyperlink w:anchor="_ENREF_25" w:tooltip="Ruiz, 2007 #24" w:history="1">
        <w:r w:rsidRPr="004D7457">
          <w:rPr>
            <w:rFonts w:ascii="Book Antiqua" w:eastAsia="Book Antiqua" w:hAnsi="Book Antiqua" w:cs="Book Antiqua"/>
            <w:color w:val="000000"/>
            <w:szCs w:val="20"/>
            <w:vertAlign w:val="superscript"/>
          </w:rPr>
          <w:t>25</w:t>
        </w:r>
      </w:hyperlink>
      <w:r w:rsidRPr="004D7457">
        <w:rPr>
          <w:rFonts w:ascii="Book Antiqua" w:eastAsia="Book Antiqua" w:hAnsi="Book Antiqua" w:cs="Book Antiqua"/>
          <w:color w:val="000000"/>
          <w:szCs w:val="30"/>
          <w:vertAlign w:val="superscript"/>
        </w:rPr>
        <w:t>,</w:t>
      </w:r>
      <w:hyperlink w:anchor="_ENREF_26" w:tooltip="Crespo, 2001 #25" w:history="1">
        <w:r w:rsidRPr="004D7457">
          <w:rPr>
            <w:rFonts w:ascii="Book Antiqua" w:eastAsia="Book Antiqua" w:hAnsi="Book Antiqua" w:cs="Book Antiqua"/>
            <w:color w:val="000000"/>
            <w:szCs w:val="20"/>
            <w:vertAlign w:val="superscript"/>
          </w:rPr>
          <w:t>26</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In a mouse model of NAFLD, TNF </w:t>
      </w:r>
      <w:r w:rsidR="00E81827" w:rsidRPr="004D7457">
        <w:rPr>
          <w:rFonts w:ascii="Book Antiqua" w:eastAsia="Book Antiqua" w:hAnsi="Book Antiqua" w:cs="Book Antiqua"/>
          <w:color w:val="000000"/>
        </w:rPr>
        <w:t>was</w:t>
      </w:r>
      <w:r w:rsidRPr="004D7457">
        <w:rPr>
          <w:rFonts w:ascii="Book Antiqua" w:eastAsia="Book Antiqua" w:hAnsi="Book Antiqua" w:cs="Book Antiqua"/>
          <w:color w:val="000000"/>
        </w:rPr>
        <w:t xml:space="preserve"> suggested </w:t>
      </w:r>
      <w:r w:rsidR="00E81827" w:rsidRPr="004D7457">
        <w:rPr>
          <w:rFonts w:ascii="Book Antiqua" w:eastAsia="Book Antiqua" w:hAnsi="Book Antiqua" w:cs="Book Antiqua"/>
          <w:color w:val="000000"/>
        </w:rPr>
        <w:t>to be</w:t>
      </w:r>
      <w:r w:rsidRPr="004D7457">
        <w:rPr>
          <w:rFonts w:ascii="Book Antiqua" w:eastAsia="Book Antiqua" w:hAnsi="Book Antiqua" w:cs="Book Antiqua"/>
          <w:color w:val="000000"/>
        </w:rPr>
        <w:t xml:space="preserve"> a driver of HCC development and tumor-associated inflammation</w:t>
      </w:r>
      <w:r w:rsidRPr="004D7457">
        <w:rPr>
          <w:rFonts w:ascii="Book Antiqua" w:eastAsia="Book Antiqua" w:hAnsi="Book Antiqua" w:cs="Book Antiqua"/>
          <w:color w:val="000000"/>
          <w:szCs w:val="30"/>
          <w:vertAlign w:val="superscript"/>
        </w:rPr>
        <w:t>[</w:t>
      </w:r>
      <w:hyperlink w:anchor="_ENREF_27" w:tooltip="Park, 2010 #26" w:history="1">
        <w:r w:rsidRPr="004D7457">
          <w:rPr>
            <w:rFonts w:ascii="Book Antiqua" w:eastAsia="Book Antiqua" w:hAnsi="Book Antiqua" w:cs="Book Antiqua"/>
            <w:color w:val="000000"/>
            <w:szCs w:val="20"/>
            <w:vertAlign w:val="superscript"/>
          </w:rPr>
          <w:t>27</w:t>
        </w:r>
      </w:hyperlink>
      <w:r w:rsidRPr="004D7457">
        <w:rPr>
          <w:rFonts w:ascii="Book Antiqua" w:eastAsia="Book Antiqua" w:hAnsi="Book Antiqua" w:cs="Book Antiqua"/>
          <w:color w:val="000000"/>
          <w:szCs w:val="30"/>
          <w:vertAlign w:val="superscript"/>
        </w:rPr>
        <w:t>,</w:t>
      </w:r>
      <w:hyperlink w:anchor="_ENREF_28" w:tooltip="Nakagawa, 2014 #27" w:history="1">
        <w:r w:rsidRPr="004D7457">
          <w:rPr>
            <w:rFonts w:ascii="Book Antiqua" w:eastAsia="Book Antiqua" w:hAnsi="Book Antiqua" w:cs="Book Antiqua"/>
            <w:color w:val="000000"/>
            <w:szCs w:val="20"/>
            <w:vertAlign w:val="superscript"/>
          </w:rPr>
          <w:t>28</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Conversely, obese mice with whole-body knockout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have lower hepatic lipid accumulation, lower </w:t>
      </w:r>
      <w:r w:rsidRPr="004D7457">
        <w:rPr>
          <w:rFonts w:ascii="Book Antiqua" w:eastAsia="Book Antiqua" w:hAnsi="Book Antiqua" w:cs="Book Antiqua"/>
          <w:color w:val="000000"/>
        </w:rPr>
        <w:lastRenderedPageBreak/>
        <w:t>level of the pro-inflammatory cytokine IL-6</w:t>
      </w:r>
      <w:r w:rsidR="00E8182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lower hepatic accumulation of neutrophils and macrophages</w:t>
      </w:r>
      <w:r w:rsidRPr="004D7457">
        <w:rPr>
          <w:rFonts w:ascii="Book Antiqua" w:eastAsia="Book Antiqua" w:hAnsi="Book Antiqua" w:cs="Book Antiqua"/>
          <w:color w:val="000000"/>
          <w:szCs w:val="30"/>
          <w:vertAlign w:val="superscript"/>
        </w:rPr>
        <w:t>[</w:t>
      </w:r>
      <w:hyperlink w:anchor="_ENREF_27" w:tooltip="Park, 2010 #26" w:history="1">
        <w:r w:rsidRPr="004D7457">
          <w:rPr>
            <w:rFonts w:ascii="Book Antiqua" w:eastAsia="Book Antiqua" w:hAnsi="Book Antiqua" w:cs="Book Antiqua"/>
            <w:color w:val="000000"/>
            <w:szCs w:val="20"/>
            <w:vertAlign w:val="superscript"/>
          </w:rPr>
          <w:t>27</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Moreover, inducers of hepatocellular endoplasmic reticulum (ER) stress, which promotes NASH progression, are lower in </w:t>
      </w:r>
      <w:r w:rsidRPr="004D7457">
        <w:rPr>
          <w:rFonts w:ascii="Book Antiqua" w:eastAsia="Book Antiqua" w:hAnsi="Book Antiqua" w:cs="Book Antiqua"/>
          <w:i/>
          <w:iCs/>
          <w:color w:val="000000"/>
        </w:rPr>
        <w:t>Tnfr1</w:t>
      </w:r>
      <w:r w:rsidR="00E81827" w:rsidRPr="004D7457">
        <w:rPr>
          <w:rFonts w:ascii="Book Antiqua" w:eastAsia="Book Antiqua" w:hAnsi="Book Antiqua" w:cs="Book Antiqua"/>
          <w:color w:val="000000"/>
        </w:rPr>
        <w:t>-</w:t>
      </w:r>
      <w:r w:rsidRPr="004D7457">
        <w:rPr>
          <w:rFonts w:ascii="Book Antiqua" w:eastAsia="Book Antiqua" w:hAnsi="Book Antiqua" w:cs="Book Antiqua"/>
          <w:color w:val="000000"/>
        </w:rPr>
        <w:t>deficient mice</w:t>
      </w:r>
      <w:r w:rsidRPr="004D7457">
        <w:rPr>
          <w:rFonts w:ascii="Book Antiqua" w:eastAsia="Book Antiqua" w:hAnsi="Book Antiqua" w:cs="Book Antiqua"/>
          <w:color w:val="000000"/>
          <w:szCs w:val="30"/>
          <w:vertAlign w:val="superscript"/>
        </w:rPr>
        <w:t>[</w:t>
      </w:r>
      <w:hyperlink w:anchor="_ENREF_28" w:tooltip="Nakagawa, 2014 #27" w:history="1">
        <w:r w:rsidRPr="004D7457">
          <w:rPr>
            <w:rFonts w:ascii="Book Antiqua" w:eastAsia="Book Antiqua" w:hAnsi="Book Antiqua" w:cs="Book Antiqua"/>
            <w:color w:val="000000"/>
            <w:szCs w:val="20"/>
            <w:vertAlign w:val="superscript"/>
          </w:rPr>
          <w:t>28</w:t>
        </w:r>
      </w:hyperlink>
      <w:r w:rsidRPr="004D7457">
        <w:rPr>
          <w:rFonts w:ascii="Book Antiqua" w:eastAsia="Book Antiqua" w:hAnsi="Book Antiqua" w:cs="Book Antiqua"/>
          <w:color w:val="000000"/>
          <w:szCs w:val="30"/>
          <w:vertAlign w:val="superscript"/>
        </w:rPr>
        <w:t>,</w:t>
      </w:r>
      <w:hyperlink w:anchor="_ENREF_29" w:tooltip="Kim, 2018 #28" w:history="1">
        <w:r w:rsidRPr="004D7457">
          <w:rPr>
            <w:rFonts w:ascii="Book Antiqua" w:eastAsia="Book Antiqua" w:hAnsi="Book Antiqua" w:cs="Book Antiqua"/>
            <w:color w:val="000000"/>
            <w:szCs w:val="20"/>
            <w:vertAlign w:val="superscript"/>
          </w:rPr>
          <w:t>29</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This suggests that TNF signaling </w:t>
      </w:r>
      <w:r w:rsidRPr="004D7457">
        <w:rPr>
          <w:rFonts w:ascii="Book Antiqua" w:eastAsia="Book Antiqua" w:hAnsi="Book Antiqua" w:cs="Book Antiqua"/>
          <w:i/>
          <w:color w:val="000000"/>
        </w:rPr>
        <w:t>via</w:t>
      </w:r>
      <w:r w:rsidRPr="004D7457">
        <w:rPr>
          <w:rFonts w:ascii="Book Antiqua" w:eastAsia="Book Antiqua" w:hAnsi="Book Antiqua" w:cs="Book Antiqua"/>
          <w:color w:val="000000"/>
        </w:rPr>
        <w:t xml:space="preserve"> TNFR1 is important for the development of steatohepatitis. However, results are conflicting, with other studies showing more hepatic steatosis as well as fibrosis and higher inflammatory markers in mouse livers of high-fat diet</w:t>
      </w:r>
      <w:r w:rsidR="009B6C78" w:rsidRPr="004D7457">
        <w:rPr>
          <w:rFonts w:ascii="Book Antiqua" w:eastAsia="Book Antiqua" w:hAnsi="Book Antiqua" w:cs="Book Antiqua"/>
          <w:color w:val="000000"/>
        </w:rPr>
        <w:t>-</w:t>
      </w:r>
      <w:r w:rsidRPr="004D7457">
        <w:rPr>
          <w:rFonts w:ascii="Book Antiqua" w:eastAsia="Book Antiqua" w:hAnsi="Book Antiqua" w:cs="Book Antiqua"/>
          <w:color w:val="000000"/>
        </w:rPr>
        <w:t>induced NAFLD and dysfunctional TNFR1</w:t>
      </w:r>
      <w:r w:rsidRPr="004D7457">
        <w:rPr>
          <w:rFonts w:ascii="Book Antiqua" w:eastAsia="Book Antiqua" w:hAnsi="Book Antiqua" w:cs="Book Antiqua"/>
          <w:color w:val="000000"/>
          <w:szCs w:val="30"/>
          <w:vertAlign w:val="superscript"/>
        </w:rPr>
        <w:t>[</w:t>
      </w:r>
      <w:hyperlink w:anchor="_ENREF_30" w:tooltip="Lambertucci, 2018 #29" w:history="1">
        <w:r w:rsidRPr="004D7457">
          <w:rPr>
            <w:rFonts w:ascii="Book Antiqua" w:eastAsia="Book Antiqua" w:hAnsi="Book Antiqua" w:cs="Book Antiqua"/>
            <w:color w:val="000000"/>
            <w:szCs w:val="20"/>
            <w:vertAlign w:val="superscript"/>
          </w:rPr>
          <w:t>30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Therefore, the role of TNF and TNFR1 signaling in NAFLD and NASH remains unclear. </w:t>
      </w:r>
      <w:r w:rsidR="00E81827" w:rsidRPr="004D7457">
        <w:rPr>
          <w:rFonts w:ascii="Book Antiqua" w:eastAsia="Book Antiqua" w:hAnsi="Book Antiqua" w:cs="Book Antiqua"/>
          <w:color w:val="000000"/>
        </w:rPr>
        <w:t>The a</w:t>
      </w:r>
      <w:r w:rsidRPr="004D7457">
        <w:rPr>
          <w:rFonts w:ascii="Book Antiqua" w:eastAsia="Book Antiqua" w:hAnsi="Book Antiqua" w:cs="Book Antiqua"/>
          <w:color w:val="000000"/>
        </w:rPr>
        <w:t>bovementioned studies on TNFR1 involvement in hepatocellular ER stress suggest that TNFR1 signaling in hepatocytes is crucial for NASH progression (rather than TNFR1 activation in other liver-homed cells, such as Kupffer cells or stellate cells).</w:t>
      </w:r>
    </w:p>
    <w:p w14:paraId="33854824" w14:textId="7AA29FED"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 xml:space="preserve">To </w:t>
      </w:r>
      <w:r w:rsidR="00E81827" w:rsidRPr="004D7457">
        <w:rPr>
          <w:rFonts w:ascii="Book Antiqua" w:eastAsia="Book Antiqua" w:hAnsi="Book Antiqua" w:cs="Book Antiqua"/>
          <w:color w:val="000000"/>
        </w:rPr>
        <w:t xml:space="preserve">address </w:t>
      </w:r>
      <w:r w:rsidRPr="004D7457">
        <w:rPr>
          <w:rFonts w:ascii="Book Antiqua" w:eastAsia="Book Antiqua" w:hAnsi="Book Antiqua" w:cs="Book Antiqua"/>
          <w:color w:val="000000"/>
        </w:rPr>
        <w:t>this question, we investigated the role of TNFR1 signaling in hepatocytes on hepatic steatosis and steatohepatitis in a mouse model of diet-induced NASH.</w:t>
      </w:r>
    </w:p>
    <w:p w14:paraId="1B2D6E90" w14:textId="77777777" w:rsidR="00A77B3E" w:rsidRPr="004D7457" w:rsidRDefault="00A77B3E" w:rsidP="004D7457">
      <w:pPr>
        <w:snapToGrid w:val="0"/>
        <w:spacing w:line="360" w:lineRule="auto"/>
        <w:jc w:val="both"/>
      </w:pPr>
    </w:p>
    <w:p w14:paraId="38F749DA"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u w:val="single"/>
        </w:rPr>
        <w:t>MATERIALS AND METHODS</w:t>
      </w:r>
    </w:p>
    <w:p w14:paraId="01D90B3D"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Mice</w:t>
      </w:r>
    </w:p>
    <w:p w14:paraId="7E90CADE" w14:textId="78F6BDF7" w:rsidR="00A77B3E" w:rsidRPr="004D7457" w:rsidRDefault="00BB1006" w:rsidP="004D7457">
      <w:pPr>
        <w:snapToGrid w:val="0"/>
        <w:spacing w:line="360" w:lineRule="auto"/>
        <w:jc w:val="both"/>
      </w:pPr>
      <w:r w:rsidRPr="004D7457">
        <w:rPr>
          <w:rFonts w:ascii="Book Antiqua" w:eastAsia="Book Antiqua" w:hAnsi="Book Antiqua" w:cs="Book Antiqua"/>
          <w:color w:val="000000"/>
        </w:rPr>
        <w:t>Mice with loxP sites inserted in the tumor necrosis factor receptor 1 gene (</w:t>
      </w:r>
      <w:r w:rsidRPr="004D7457">
        <w:rPr>
          <w:rFonts w:ascii="Book Antiqua" w:eastAsia="Book Antiqua" w:hAnsi="Book Antiqua" w:cs="Book Antiqua"/>
          <w:i/>
          <w:iCs/>
          <w:color w:val="000000"/>
        </w:rPr>
        <w:t>Tnfr1</w:t>
      </w:r>
      <w:r w:rsidRPr="004D7457">
        <w:rPr>
          <w:rFonts w:ascii="Book Antiqua" w:eastAsia="Book Antiqua" w:hAnsi="Book Antiqua" w:cs="Book Antiqua"/>
          <w:i/>
          <w:iCs/>
          <w:color w:val="000000"/>
          <w:szCs w:val="30"/>
          <w:vertAlign w:val="superscript"/>
        </w:rPr>
        <w:t>flxneo/flxneo</w:t>
      </w:r>
      <w:r w:rsidRPr="004D7457">
        <w:rPr>
          <w:rFonts w:ascii="Book Antiqua" w:eastAsia="Book Antiqua" w:hAnsi="Book Antiqua" w:cs="Book Antiqua"/>
          <w:color w:val="000000"/>
        </w:rPr>
        <w:t>) were generated after receiving sperm from the European Mouse Mutant Archive</w:t>
      </w:r>
      <w:r w:rsidRPr="004D7457">
        <w:rPr>
          <w:rFonts w:ascii="Book Antiqua" w:eastAsia="Book Antiqua" w:hAnsi="Book Antiqua" w:cs="Book Antiqua"/>
          <w:color w:val="000000"/>
          <w:szCs w:val="30"/>
          <w:vertAlign w:val="superscript"/>
        </w:rPr>
        <w:t>[</w:t>
      </w:r>
      <w:hyperlink w:anchor="_ENREF_31" w:tooltip="Van Hauwermeiren, 2013 #52" w:history="1">
        <w:r w:rsidRPr="004D7457">
          <w:rPr>
            <w:rFonts w:ascii="Book Antiqua" w:eastAsia="Book Antiqua" w:hAnsi="Book Antiqua" w:cs="Book Antiqua"/>
            <w:color w:val="000000"/>
            <w:szCs w:val="20"/>
            <w:vertAlign w:val="superscript"/>
          </w:rPr>
          <w:t>31</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These mice have exons 2 to 5 flanked with loxP sites and were crossed with albumin-Cre transgenic mice (The Jackson Laboratory, Sacramento, CA) to create mice with a deficiency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w:t>
      </w:r>
      <w:r w:rsidRPr="004D7457">
        <w:rPr>
          <w:rFonts w:ascii="Book Antiqua" w:eastAsia="Book Antiqua" w:hAnsi="Book Antiqua" w:cs="Book Antiqua"/>
          <w:i/>
          <w:iCs/>
          <w:color w:val="000000"/>
        </w:rPr>
        <w:t>Tnfrsf1a</w:t>
      </w:r>
      <w:r w:rsidRPr="004D7457">
        <w:rPr>
          <w:rFonts w:ascii="Book Antiqua" w:eastAsia="Book Antiqua" w:hAnsi="Book Antiqua" w:cs="Book Antiqua"/>
          <w:color w:val="000000"/>
        </w:rPr>
        <w:t>) specifically in hepatocytes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Albumin-Cre negative </w:t>
      </w:r>
      <w:r w:rsidRPr="004D7457">
        <w:rPr>
          <w:rFonts w:ascii="Book Antiqua" w:eastAsia="Book Antiqua" w:hAnsi="Book Antiqua" w:cs="Book Antiqua"/>
          <w:i/>
          <w:iCs/>
          <w:color w:val="000000"/>
        </w:rPr>
        <w:t>Tnfr1</w:t>
      </w:r>
      <w:r w:rsidRPr="004D7457">
        <w:rPr>
          <w:rFonts w:ascii="Book Antiqua" w:eastAsia="Book Antiqua" w:hAnsi="Book Antiqua" w:cs="Book Antiqua"/>
          <w:i/>
          <w:iCs/>
          <w:color w:val="000000"/>
          <w:szCs w:val="30"/>
          <w:vertAlign w:val="superscript"/>
        </w:rPr>
        <w:t>flxneo/flxneo</w:t>
      </w:r>
      <w:r w:rsidRPr="004D7457">
        <w:rPr>
          <w:rFonts w:ascii="Book Antiqua" w:eastAsia="Book Antiqua" w:hAnsi="Book Antiqua" w:cs="Book Antiqua"/>
          <w:color w:val="000000"/>
        </w:rPr>
        <w:t xml:space="preserve"> littermates were used as controls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All mice were on a C57BL/6 background, and were maintained on a 12:12-h light-dark cycle. After weaning, male mice were housed with littermates of the same genoty</w:t>
      </w:r>
      <w:r w:rsidR="00352BA0" w:rsidRPr="004D7457">
        <w:rPr>
          <w:rFonts w:ascii="Book Antiqua" w:eastAsia="Book Antiqua" w:hAnsi="Book Antiqua" w:cs="Book Antiqua"/>
          <w:color w:val="000000"/>
        </w:rPr>
        <w:t>pe for experiments. At age 8 wk</w:t>
      </w:r>
      <w:r w:rsidRPr="004D7457">
        <w:rPr>
          <w:rFonts w:ascii="Book Antiqua" w:eastAsia="Book Antiqua" w:hAnsi="Book Antiqua" w:cs="Book Antiqua"/>
          <w:color w:val="000000"/>
        </w:rPr>
        <w:t>, mice were started on a fast food diet (FFD) consisting of irradiated western-style diet (AIN-76A</w:t>
      </w:r>
      <w:r w:rsidR="007D7B68"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Tes</w:t>
      </w:r>
      <w:r w:rsidR="00352BA0" w:rsidRPr="004D7457">
        <w:rPr>
          <w:rFonts w:ascii="Book Antiqua" w:eastAsia="Book Antiqua" w:hAnsi="Book Antiqua" w:cs="Book Antiqua"/>
          <w:color w:val="000000"/>
        </w:rPr>
        <w:t>tDiet, St. Louis, MO</w:t>
      </w:r>
      <w:r w:rsidR="00682937" w:rsidRPr="004D7457">
        <w:rPr>
          <w:rFonts w:ascii="Book Antiqua" w:eastAsia="Book Antiqua" w:hAnsi="Book Antiqua" w:cs="Book Antiqua"/>
          <w:color w:val="000000"/>
        </w:rPr>
        <w:t>, U</w:t>
      </w:r>
      <w:r w:rsidR="00682937" w:rsidRPr="004D7457">
        <w:rPr>
          <w:rFonts w:ascii="Book Antiqua" w:eastAsia="Book Antiqua" w:hAnsi="Book Antiqua" w:cs="Book Antiqua"/>
          <w:color w:val="000000"/>
          <w:lang w:eastAsia="zh-CN"/>
        </w:rPr>
        <w:t>nited States</w:t>
      </w:r>
      <w:r w:rsidR="00352BA0" w:rsidRPr="004D7457">
        <w:rPr>
          <w:rFonts w:ascii="Book Antiqua" w:eastAsia="Book Antiqua" w:hAnsi="Book Antiqua" w:cs="Book Antiqua"/>
          <w:color w:val="000000"/>
        </w:rPr>
        <w:t>) for 20 w</w:t>
      </w:r>
      <w:r w:rsidRPr="004D7457">
        <w:rPr>
          <w:rFonts w:ascii="Book Antiqua" w:eastAsia="Book Antiqua" w:hAnsi="Book Antiqua" w:cs="Book Antiqua"/>
          <w:color w:val="000000"/>
        </w:rPr>
        <w:t>k</w:t>
      </w:r>
      <w:r w:rsidRPr="004D7457">
        <w:rPr>
          <w:rFonts w:ascii="Book Antiqua" w:eastAsia="Book Antiqua" w:hAnsi="Book Antiqua" w:cs="Book Antiqua"/>
          <w:color w:val="000000"/>
          <w:szCs w:val="30"/>
          <w:vertAlign w:val="superscript"/>
        </w:rPr>
        <w:t>[</w:t>
      </w:r>
      <w:hyperlink w:anchor="_ENREF_32" w:tooltip="Bluemel, 2018 #31" w:history="1">
        <w:r w:rsidRPr="004D7457">
          <w:rPr>
            <w:rFonts w:ascii="Book Antiqua" w:eastAsia="Book Antiqua" w:hAnsi="Book Antiqua" w:cs="Book Antiqua"/>
            <w:color w:val="000000"/>
            <w:szCs w:val="20"/>
            <w:vertAlign w:val="superscript"/>
          </w:rPr>
          <w:t>32</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Drinking water was supplemented with 23.1 g/</w:t>
      </w:r>
      <w:r w:rsidRPr="004D7457">
        <w:rPr>
          <w:rFonts w:ascii="Book Antiqua" w:eastAsia="Book Antiqua" w:hAnsi="Book Antiqua" w:cs="Book Antiqua"/>
          <w:caps/>
          <w:color w:val="000000"/>
        </w:rPr>
        <w:t>l</w:t>
      </w:r>
      <w:r w:rsidRPr="004D7457">
        <w:rPr>
          <w:rFonts w:ascii="Book Antiqua" w:eastAsia="Book Antiqua" w:hAnsi="Book Antiqua" w:cs="Book Antiqua"/>
          <w:color w:val="000000"/>
        </w:rPr>
        <w:t xml:space="preserve"> fructose (F0127</w:t>
      </w:r>
      <w:r w:rsidR="007D7B68"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 Aldrich</w:t>
      </w:r>
      <w:r w:rsidR="0028014B" w:rsidRPr="004D7457">
        <w:rPr>
          <w:rFonts w:ascii="Book Antiqua" w:eastAsia="Book Antiqua" w:hAnsi="Book Antiqua" w:cs="Book Antiqua"/>
          <w:color w:val="000000"/>
        </w:rPr>
        <w:t>, St. Louis, MO, United States</w:t>
      </w:r>
      <w:r w:rsidRPr="004D7457">
        <w:rPr>
          <w:rFonts w:ascii="Book Antiqua" w:eastAsia="Book Antiqua" w:hAnsi="Book Antiqua" w:cs="Book Antiqua"/>
          <w:color w:val="000000"/>
        </w:rPr>
        <w:t>) and 18.9 g/</w:t>
      </w:r>
      <w:r w:rsidR="00682937" w:rsidRPr="004D7457">
        <w:rPr>
          <w:rFonts w:ascii="Book Antiqua" w:eastAsia="Book Antiqua" w:hAnsi="Book Antiqua" w:cs="Book Antiqua"/>
          <w:color w:val="000000"/>
        </w:rPr>
        <w:t>L</w:t>
      </w:r>
      <w:r w:rsidRPr="004D7457">
        <w:rPr>
          <w:rFonts w:ascii="Book Antiqua" w:eastAsia="Book Antiqua" w:hAnsi="Book Antiqua" w:cs="Book Antiqua"/>
          <w:color w:val="000000"/>
        </w:rPr>
        <w:t xml:space="preserve"> glucose (G8270</w:t>
      </w:r>
      <w:r w:rsidR="007D7B68"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 Aldrich) to mimic high-fructose corn syrup containing soft drinks</w:t>
      </w:r>
      <w:r w:rsidRPr="004D7457">
        <w:rPr>
          <w:rFonts w:ascii="Book Antiqua" w:eastAsia="Book Antiqua" w:hAnsi="Book Antiqua" w:cs="Book Antiqua"/>
          <w:color w:val="000000"/>
          <w:szCs w:val="30"/>
          <w:vertAlign w:val="superscript"/>
        </w:rPr>
        <w:t>[</w:t>
      </w:r>
      <w:hyperlink w:anchor="_ENREF_3" w:tooltip="Charlton, 2011 #3" w:history="1">
        <w:r w:rsidRPr="004D7457">
          <w:rPr>
            <w:rFonts w:ascii="Book Antiqua" w:eastAsia="Book Antiqua" w:hAnsi="Book Antiqua" w:cs="Book Antiqua"/>
            <w:color w:val="000000"/>
            <w:szCs w:val="20"/>
            <w:vertAlign w:val="superscript"/>
          </w:rPr>
          <w:t>3</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Control mice (Ctrl) received autoclaved tap </w:t>
      </w:r>
      <w:r w:rsidRPr="004D7457">
        <w:rPr>
          <w:rFonts w:ascii="Book Antiqua" w:eastAsia="Book Antiqua" w:hAnsi="Book Antiqua" w:cs="Book Antiqua"/>
          <w:color w:val="000000"/>
        </w:rPr>
        <w:lastRenderedPageBreak/>
        <w:t>water and irradiated standard chow (5053 PicoLab Rodent Diet</w:t>
      </w:r>
      <w:r w:rsidR="00E8182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LabDiet, St. Louis, MO</w:t>
      </w:r>
      <w:r w:rsidR="00C32194"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Mice had free access to food and water.</w:t>
      </w:r>
    </w:p>
    <w:p w14:paraId="13C3B132" w14:textId="0D1FD506"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 xml:space="preserve">A glucose tolerance test </w:t>
      </w:r>
      <w:r w:rsidR="00C32194" w:rsidRPr="004D7457">
        <w:rPr>
          <w:rFonts w:ascii="Book Antiqua" w:eastAsia="Book Antiqua" w:hAnsi="Book Antiqua" w:cs="Book Antiqua"/>
          <w:color w:val="000000"/>
        </w:rPr>
        <w:t>(GTT) was performed after 18 wk</w:t>
      </w:r>
      <w:r w:rsidRPr="004D7457">
        <w:rPr>
          <w:rFonts w:ascii="Book Antiqua" w:eastAsia="Book Antiqua" w:hAnsi="Book Antiqua" w:cs="Book Antiqua"/>
          <w:color w:val="000000"/>
        </w:rPr>
        <w:t xml:space="preserve"> of feeding by injecting 1 µg glucose/g body weight intraperitoneally</w:t>
      </w:r>
      <w:r w:rsidRPr="004D7457">
        <w:rPr>
          <w:rFonts w:ascii="Book Antiqua" w:eastAsia="Book Antiqua" w:hAnsi="Book Antiqua" w:cs="Book Antiqua"/>
          <w:color w:val="000000"/>
          <w:szCs w:val="30"/>
          <w:vertAlign w:val="superscript"/>
        </w:rPr>
        <w:t>[</w:t>
      </w:r>
      <w:hyperlink w:anchor="_ENREF_32" w:tooltip="Bluemel, 2018 #31" w:history="1">
        <w:r w:rsidRPr="004D7457">
          <w:rPr>
            <w:rFonts w:ascii="Book Antiqua" w:eastAsia="Book Antiqua" w:hAnsi="Book Antiqua" w:cs="Book Antiqua"/>
            <w:color w:val="000000"/>
            <w:szCs w:val="20"/>
            <w:vertAlign w:val="superscript"/>
          </w:rPr>
          <w:t>32</w:t>
        </w:r>
      </w:hyperlink>
      <w:r w:rsidRPr="004D7457">
        <w:rPr>
          <w:rFonts w:ascii="Book Antiqua" w:eastAsia="Book Antiqua" w:hAnsi="Book Antiqua" w:cs="Book Antiqua"/>
          <w:color w:val="000000"/>
          <w:szCs w:val="30"/>
          <w:vertAlign w:val="superscript"/>
        </w:rPr>
        <w:t>]</w:t>
      </w:r>
      <w:r w:rsidR="00C32194" w:rsidRPr="004D7457">
        <w:rPr>
          <w:rFonts w:ascii="Book Antiqua" w:eastAsia="Book Antiqua" w:hAnsi="Book Antiqua" w:cs="Book Antiqua"/>
          <w:color w:val="000000"/>
        </w:rPr>
        <w:t>. After 19 wk</w:t>
      </w:r>
      <w:r w:rsidRPr="004D7457">
        <w:rPr>
          <w:rFonts w:ascii="Book Antiqua" w:eastAsia="Book Antiqua" w:hAnsi="Book Antiqua" w:cs="Book Antiqua"/>
          <w:color w:val="000000"/>
        </w:rPr>
        <w:t xml:space="preserve"> of feeding, an insulin tolerance test (ITT) was performed by intraperitoneal injection of 0.5 mU/g body weight insulin (Novolin N NPH</w:t>
      </w:r>
      <w:r w:rsidR="00A210DA"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Novo Nordisk Inc, Princeton, NJ</w:t>
      </w:r>
      <w:r w:rsidR="006703FE"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Prior to both tests, mice were fasted for 6 h. Blood glucose levels were assessed from tail vein blood before injection (t</w:t>
      </w:r>
      <w:r w:rsidR="006E7A7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6E7A7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0 min) and at t</w:t>
      </w:r>
      <w:r w:rsidR="006E7A7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6E7A7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15, 30, 60, 90, </w:t>
      </w:r>
      <w:r w:rsidR="00A830AB" w:rsidRPr="004D7457">
        <w:rPr>
          <w:rFonts w:ascii="Book Antiqua" w:eastAsia="Book Antiqua" w:hAnsi="Book Antiqua" w:cs="Book Antiqua"/>
          <w:color w:val="000000"/>
        </w:rPr>
        <w:t xml:space="preserve">and </w:t>
      </w:r>
      <w:r w:rsidRPr="004D7457">
        <w:rPr>
          <w:rFonts w:ascii="Book Antiqua" w:eastAsia="Book Antiqua" w:hAnsi="Book Antiqua" w:cs="Book Antiqua"/>
          <w:color w:val="000000"/>
        </w:rPr>
        <w:t>120 min following injection.</w:t>
      </w:r>
    </w:p>
    <w:p w14:paraId="55719006" w14:textId="5334D8C1"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All animal studies were reviewed and approved by the Institutional Animal Care and Use Committee of the University of California, San Diego.</w:t>
      </w:r>
    </w:p>
    <w:p w14:paraId="00AF0D40" w14:textId="77777777" w:rsidR="00B953EC" w:rsidRPr="004D7457" w:rsidRDefault="00B953EC" w:rsidP="004D7457">
      <w:pPr>
        <w:snapToGrid w:val="0"/>
        <w:spacing w:line="360" w:lineRule="auto"/>
        <w:jc w:val="both"/>
        <w:rPr>
          <w:rFonts w:ascii="Book Antiqua" w:eastAsia="Book Antiqua" w:hAnsi="Book Antiqua" w:cs="Book Antiqua"/>
          <w:i/>
          <w:iCs/>
          <w:color w:val="000000"/>
        </w:rPr>
      </w:pPr>
    </w:p>
    <w:p w14:paraId="569C0646"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Biochemical analyses</w:t>
      </w:r>
    </w:p>
    <w:p w14:paraId="3AA983D9" w14:textId="17BCE279"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Biochemical analyses were done according to </w:t>
      </w:r>
      <w:r w:rsidR="0028014B" w:rsidRPr="004D7457">
        <w:rPr>
          <w:rFonts w:ascii="Book Antiqua" w:eastAsia="Book Antiqua" w:hAnsi="Book Antiqua" w:cs="Book Antiqua"/>
          <w:color w:val="000000"/>
        </w:rPr>
        <w:t xml:space="preserve">the </w:t>
      </w:r>
      <w:r w:rsidRPr="004D7457">
        <w:rPr>
          <w:rFonts w:ascii="Book Antiqua" w:eastAsia="Book Antiqua" w:hAnsi="Book Antiqua" w:cs="Book Antiqua"/>
          <w:color w:val="000000"/>
        </w:rPr>
        <w:t>manufacturers’ protocols. Alanine amino transferase (ALT) was measured from plasma obtained from inferior vena cava using a kinetic assay (TR71121</w:t>
      </w:r>
      <w:r w:rsidR="00AD11FD"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Style w:val="muted"/>
          <w:rFonts w:ascii="Book Antiqua" w:eastAsia="Book Antiqua" w:hAnsi="Book Antiqua" w:cs="Book Antiqua"/>
          <w:color w:val="000000"/>
        </w:rPr>
        <w:t>Thermo Fisher Scientific,</w:t>
      </w:r>
      <w:r w:rsidR="006703FE" w:rsidRPr="004D7457">
        <w:rPr>
          <w:rStyle w:val="muted"/>
          <w:rFonts w:ascii="Book Antiqua" w:eastAsia="Book Antiqua" w:hAnsi="Book Antiqua" w:cs="Book Antiqua"/>
          <w:color w:val="000000"/>
        </w:rPr>
        <w:t xml:space="preserve"> </w:t>
      </w:r>
      <w:r w:rsidRPr="004D7457">
        <w:rPr>
          <w:rStyle w:val="rlltdetails"/>
          <w:rFonts w:ascii="Book Antiqua" w:eastAsia="Book Antiqua" w:hAnsi="Book Antiqua" w:cs="Book Antiqua"/>
          <w:color w:val="000000"/>
        </w:rPr>
        <w:t>Waltham, MA</w:t>
      </w:r>
      <w:r w:rsidR="00DE2D6D" w:rsidRPr="004D7457">
        <w:rPr>
          <w:rFonts w:ascii="Book Antiqua" w:eastAsia="Book Antiqua" w:hAnsi="Book Antiqua" w:cs="Book Antiqua"/>
          <w:color w:val="000000"/>
        </w:rPr>
        <w:t>, United States</w:t>
      </w:r>
      <w:r w:rsidRPr="004D7457">
        <w:rPr>
          <w:rStyle w:val="rlltdetails"/>
          <w:rFonts w:ascii="Book Antiqua" w:eastAsia="Book Antiqua" w:hAnsi="Book Antiqua" w:cs="Book Antiqua"/>
          <w:color w:val="000000"/>
        </w:rPr>
        <w:t>).</w:t>
      </w:r>
      <w:r w:rsidRPr="004D7457">
        <w:rPr>
          <w:rFonts w:ascii="Book Antiqua" w:eastAsia="Book Antiqua" w:hAnsi="Book Antiqua" w:cs="Book Antiqua"/>
          <w:color w:val="000000"/>
        </w:rPr>
        <w:t xml:space="preserve"> Triglyceride levels were measured with a colorimetric endpoint assay (T7532</w:t>
      </w:r>
      <w:r w:rsidR="00A210DA"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Pointe Scientific, Canton, MI</w:t>
      </w:r>
      <w:r w:rsidR="00DA7159"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xml:space="preserve">) after tissue homogenization in </w:t>
      </w:r>
      <w:r w:rsidR="00A210DA" w:rsidRPr="004D7457">
        <w:rPr>
          <w:rFonts w:ascii="Book Antiqua" w:eastAsia="Book Antiqua" w:hAnsi="Book Antiqua" w:cs="Book Antiqua"/>
          <w:color w:val="000000"/>
        </w:rPr>
        <w:t>phosphate-buffered saline</w:t>
      </w:r>
      <w:r w:rsidRPr="004D7457">
        <w:rPr>
          <w:rFonts w:ascii="Book Antiqua" w:eastAsia="Book Antiqua" w:hAnsi="Book Antiqua" w:cs="Book Antiqua"/>
          <w:color w:val="000000"/>
        </w:rPr>
        <w:t xml:space="preserve">, and precipitation of lipids using methanol and chloroform. Liver hydroxyproline was extracted from 150-250 mg of mixed liver specimens from </w:t>
      </w:r>
      <w:r w:rsidR="0028014B" w:rsidRPr="004D7457">
        <w:rPr>
          <w:rFonts w:ascii="Book Antiqua" w:eastAsia="Book Antiqua" w:hAnsi="Book Antiqua" w:cs="Book Antiqua"/>
          <w:color w:val="000000"/>
        </w:rPr>
        <w:t xml:space="preserve">the </w:t>
      </w:r>
      <w:r w:rsidRPr="004D7457">
        <w:rPr>
          <w:rFonts w:ascii="Book Antiqua" w:eastAsia="Book Antiqua" w:hAnsi="Book Antiqua" w:cs="Book Antiqua"/>
          <w:color w:val="000000"/>
        </w:rPr>
        <w:t>right and left liver lobes</w:t>
      </w:r>
      <w:r w:rsidRPr="004D7457">
        <w:rPr>
          <w:rFonts w:ascii="Book Antiqua" w:eastAsia="Book Antiqua" w:hAnsi="Book Antiqua" w:cs="Book Antiqua"/>
          <w:color w:val="000000"/>
          <w:szCs w:val="30"/>
          <w:vertAlign w:val="superscript"/>
        </w:rPr>
        <w:t>[</w:t>
      </w:r>
      <w:hyperlink w:anchor="_ENREF_32" w:tooltip="Bluemel, 2018 #31" w:history="1">
        <w:r w:rsidRPr="004D7457">
          <w:rPr>
            <w:rFonts w:ascii="Book Antiqua" w:eastAsia="Book Antiqua" w:hAnsi="Book Antiqua" w:cs="Book Antiqua"/>
            <w:color w:val="000000"/>
            <w:szCs w:val="20"/>
            <w:vertAlign w:val="superscript"/>
          </w:rPr>
          <w:t>32</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The tissue was homogenized in 6N HCl (3750-32</w:t>
      </w:r>
      <w:r w:rsidR="00A210DA"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USABlueBook</w:t>
      </w:r>
      <w:r w:rsidR="0028014B" w:rsidRPr="004D7457">
        <w:rPr>
          <w:rFonts w:ascii="Book Antiqua" w:eastAsia="Book Antiqua" w:hAnsi="Book Antiqua" w:cs="Book Antiqua"/>
          <w:color w:val="000000"/>
        </w:rPr>
        <w:t>, Forest Park, GA, United States</w:t>
      </w:r>
      <w:r w:rsidRPr="004D7457">
        <w:rPr>
          <w:rFonts w:ascii="Book Antiqua" w:eastAsia="Book Antiqua" w:hAnsi="Book Antiqua" w:cs="Book Antiqua"/>
          <w:color w:val="000000"/>
        </w:rPr>
        <w:t>) using lysing matrix C tubes (MP116912</w:t>
      </w:r>
      <w:r w:rsidR="0028014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MP Biomedicals, Santa Ana, CA</w:t>
      </w:r>
      <w:r w:rsidR="006703FE"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and a Mini-BeadBeater-96 (GlenMills, Clifton, NJ</w:t>
      </w:r>
      <w:r w:rsidR="00383890"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w:t>
      </w:r>
      <w:r w:rsidRPr="004D7457">
        <w:rPr>
          <w:rFonts w:ascii="Book Antiqua" w:eastAsia="Book Antiqua" w:hAnsi="Book Antiqua" w:cs="Book Antiqua"/>
          <w:color w:val="000000"/>
          <w:szCs w:val="30"/>
          <w:vertAlign w:val="superscript"/>
        </w:rPr>
        <w:t>[</w:t>
      </w:r>
      <w:hyperlink w:anchor="_ENREF_32" w:tooltip="Bluemel, 2018 #31" w:history="1">
        <w:r w:rsidRPr="004D7457">
          <w:rPr>
            <w:rFonts w:ascii="Book Antiqua" w:eastAsia="Book Antiqua" w:hAnsi="Book Antiqua" w:cs="Book Antiqua"/>
            <w:color w:val="000000"/>
            <w:szCs w:val="20"/>
            <w:vertAlign w:val="superscript"/>
          </w:rPr>
          <w:t>32</w:t>
        </w:r>
      </w:hyperlink>
      <w:r w:rsidRPr="004D7457">
        <w:rPr>
          <w:rFonts w:ascii="Book Antiqua" w:eastAsia="Book Antiqua" w:hAnsi="Book Antiqua" w:cs="Book Antiqua"/>
          <w:color w:val="000000"/>
          <w:szCs w:val="30"/>
          <w:vertAlign w:val="superscript"/>
        </w:rPr>
        <w:t>,</w:t>
      </w:r>
      <w:hyperlink w:anchor="_ENREF_33" w:tooltip="Iwaisako, 2012 #21" w:history="1">
        <w:r w:rsidRPr="004D7457">
          <w:rPr>
            <w:rFonts w:ascii="Book Antiqua" w:eastAsia="Book Antiqua" w:hAnsi="Book Antiqua" w:cs="Book Antiqua"/>
            <w:color w:val="000000"/>
            <w:szCs w:val="20"/>
            <w:vertAlign w:val="superscript"/>
          </w:rPr>
          <w:t>33</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The homogenate was incubated at 110</w:t>
      </w:r>
      <w:r w:rsidR="00DA7159"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°C for 18 h and subsequently filtered using Whatman</w:t>
      </w:r>
      <w:r w:rsidRPr="004D7457">
        <w:rPr>
          <w:rFonts w:ascii="Book Antiqua" w:eastAsia="Book Antiqua" w:hAnsi="Book Antiqua" w:cs="Book Antiqua"/>
          <w:color w:val="000000"/>
          <w:vertAlign w:val="superscript"/>
        </w:rPr>
        <w:t>®</w:t>
      </w:r>
      <w:r w:rsidRPr="004D7457">
        <w:rPr>
          <w:rFonts w:ascii="Book Antiqua" w:eastAsia="Book Antiqua" w:hAnsi="Book Antiqua" w:cs="Book Antiqua"/>
          <w:color w:val="000000"/>
        </w:rPr>
        <w:t xml:space="preserve"> filter paper grade 595 1/2 (WHA10311644</w:t>
      </w:r>
      <w:r w:rsidR="00F20592"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 Aldrich). The lysate was incubated with chloramine T- (C9887</w:t>
      </w:r>
      <w:r w:rsidR="00F20592"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 Aldrich) as well as Ehrlich’s perchloric acid solution (AC168760250</w:t>
      </w:r>
      <w:r w:rsidR="00F20592"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Style w:val="muted"/>
          <w:rFonts w:ascii="Book Antiqua" w:eastAsia="Book Antiqua" w:hAnsi="Book Antiqua" w:cs="Book Antiqua"/>
          <w:color w:val="000000"/>
        </w:rPr>
        <w:t>Thermo Fisher Scientific</w:t>
      </w:r>
      <w:r w:rsidRPr="004D7457">
        <w:rPr>
          <w:rFonts w:ascii="Book Antiqua" w:eastAsia="Book Antiqua" w:hAnsi="Book Antiqua" w:cs="Book Antiqua"/>
          <w:color w:val="000000"/>
        </w:rPr>
        <w:t>). Triplicates were measured at 558 nm (SpectraMax 190 Microplate Reader</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Molecular Devices LLC, Sunnyvale, CA</w:t>
      </w:r>
      <w:r w:rsidR="00A53300"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w:t>
      </w:r>
      <w:r w:rsidRPr="004D7457">
        <w:rPr>
          <w:rFonts w:ascii="Book Antiqua" w:eastAsia="Book Antiqua" w:hAnsi="Book Antiqua" w:cs="Book Antiqua"/>
          <w:color w:val="000000"/>
          <w:szCs w:val="30"/>
          <w:vertAlign w:val="superscript"/>
        </w:rPr>
        <w:t>[</w:t>
      </w:r>
      <w:hyperlink w:anchor="_ENREF_33" w:tooltip="Iwaisako, 2012 #21" w:history="1">
        <w:r w:rsidRPr="004D7457">
          <w:rPr>
            <w:rFonts w:ascii="Book Antiqua" w:eastAsia="Book Antiqua" w:hAnsi="Book Antiqua" w:cs="Book Antiqua"/>
            <w:color w:val="000000"/>
            <w:szCs w:val="20"/>
            <w:vertAlign w:val="superscript"/>
          </w:rPr>
          <w:t>33</w:t>
        </w:r>
      </w:hyperlink>
      <w:r w:rsidRPr="004D7457">
        <w:rPr>
          <w:rFonts w:ascii="Book Antiqua" w:eastAsia="Book Antiqua" w:hAnsi="Book Antiqua" w:cs="Book Antiqua"/>
          <w:color w:val="000000"/>
          <w:szCs w:val="30"/>
          <w:vertAlign w:val="superscript"/>
        </w:rPr>
        <w:t>,</w:t>
      </w:r>
      <w:hyperlink w:anchor="_ENREF_34" w:tooltip="Jamall, 1981 #20" w:history="1">
        <w:r w:rsidRPr="004D7457">
          <w:rPr>
            <w:rFonts w:ascii="Book Antiqua" w:eastAsia="Book Antiqua" w:hAnsi="Book Antiqua" w:cs="Book Antiqua"/>
            <w:color w:val="000000"/>
            <w:szCs w:val="20"/>
            <w:vertAlign w:val="superscript"/>
          </w:rPr>
          <w:t>34</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w:t>
      </w:r>
    </w:p>
    <w:p w14:paraId="1433E7AA" w14:textId="77777777" w:rsidR="00DA7159" w:rsidRPr="004D7457" w:rsidRDefault="00DA7159" w:rsidP="004D7457">
      <w:pPr>
        <w:snapToGrid w:val="0"/>
        <w:spacing w:line="360" w:lineRule="auto"/>
        <w:jc w:val="both"/>
        <w:rPr>
          <w:rFonts w:ascii="Book Antiqua" w:eastAsia="Book Antiqua" w:hAnsi="Book Antiqua" w:cs="Book Antiqua"/>
          <w:i/>
          <w:iCs/>
          <w:color w:val="000000"/>
        </w:rPr>
      </w:pPr>
    </w:p>
    <w:p w14:paraId="264B1158"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lastRenderedPageBreak/>
        <w:t>Tissue staining</w:t>
      </w:r>
    </w:p>
    <w:p w14:paraId="28E5135E" w14:textId="6305CE9A"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At harvesting, the median liver lobe including </w:t>
      </w:r>
      <w:r w:rsidR="000D035B" w:rsidRPr="004D7457">
        <w:rPr>
          <w:rFonts w:ascii="Book Antiqua" w:eastAsia="Book Antiqua" w:hAnsi="Book Antiqua" w:cs="Book Antiqua"/>
          <w:color w:val="000000"/>
        </w:rPr>
        <w:t>the</w:t>
      </w:r>
      <w:r w:rsidR="00760917"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gall bladder was fixed in 10% formalin (HT501128</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 Aldrich) for 24 to 48 h, </w:t>
      </w:r>
      <w:r w:rsidR="000D035B" w:rsidRPr="004D7457">
        <w:rPr>
          <w:rFonts w:ascii="Book Antiqua" w:eastAsia="Book Antiqua" w:hAnsi="Book Antiqua" w:cs="Book Antiqua"/>
          <w:color w:val="000000"/>
        </w:rPr>
        <w:t xml:space="preserve">and </w:t>
      </w:r>
      <w:r w:rsidRPr="004D7457">
        <w:rPr>
          <w:rFonts w:ascii="Book Antiqua" w:eastAsia="Book Antiqua" w:hAnsi="Book Antiqua" w:cs="Book Antiqua"/>
          <w:color w:val="000000"/>
        </w:rPr>
        <w:t>then transferred to 70% ethanol and embedded in paraffin</w:t>
      </w:r>
      <w:r w:rsidRPr="004D7457">
        <w:rPr>
          <w:rFonts w:ascii="Book Antiqua" w:eastAsia="Book Antiqua" w:hAnsi="Book Antiqua" w:cs="Book Antiqua"/>
          <w:color w:val="000000"/>
          <w:szCs w:val="30"/>
          <w:vertAlign w:val="superscript"/>
        </w:rPr>
        <w:t>[</w:t>
      </w:r>
      <w:hyperlink w:anchor="_ENREF_32" w:tooltip="Bluemel, 2018 #31" w:history="1">
        <w:r w:rsidRPr="004D7457">
          <w:rPr>
            <w:rFonts w:ascii="Book Antiqua" w:eastAsia="Book Antiqua" w:hAnsi="Book Antiqua" w:cs="Book Antiqua"/>
            <w:color w:val="000000"/>
            <w:szCs w:val="20"/>
            <w:vertAlign w:val="superscript"/>
          </w:rPr>
          <w:t>32</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Five µm paraffin sections were stained with hematoxylin</w:t>
      </w:r>
      <w:r w:rsidR="000D035B" w:rsidRPr="004D7457">
        <w:rPr>
          <w:rFonts w:ascii="Book Antiqua" w:eastAsia="Book Antiqua" w:hAnsi="Book Antiqua" w:cs="Book Antiqua"/>
          <w:color w:val="000000"/>
        </w:rPr>
        <w:t xml:space="preserve"> and </w:t>
      </w:r>
      <w:r w:rsidRPr="004D7457">
        <w:rPr>
          <w:rFonts w:ascii="Book Antiqua" w:eastAsia="Book Antiqua" w:hAnsi="Book Antiqua" w:cs="Book Antiqua"/>
          <w:color w:val="000000"/>
        </w:rPr>
        <w:t>eosin (H</w:t>
      </w:r>
      <w:r w:rsidR="000D035B" w:rsidRPr="004D7457">
        <w:rPr>
          <w:rFonts w:ascii="Book Antiqua" w:eastAsia="Book Antiqua" w:hAnsi="Book Antiqua" w:cs="Book Antiqua"/>
          <w:color w:val="000000"/>
        </w:rPr>
        <w:t>&amp;</w:t>
      </w:r>
      <w:r w:rsidRPr="004D7457">
        <w:rPr>
          <w:rFonts w:ascii="Book Antiqua" w:eastAsia="Book Antiqua" w:hAnsi="Book Antiqua" w:cs="Book Antiqua"/>
          <w:color w:val="000000"/>
        </w:rPr>
        <w:t>E) (38015 and 380161 SelecTech</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Leica Biosystems Inc., </w:t>
      </w:r>
      <w:r w:rsidRPr="004D7457">
        <w:rPr>
          <w:rStyle w:val="locality"/>
          <w:rFonts w:ascii="Book Antiqua" w:eastAsia="Book Antiqua" w:hAnsi="Book Antiqua" w:cs="Book Antiqua"/>
          <w:color w:val="000000"/>
        </w:rPr>
        <w:t>Buffalo Grove</w:t>
      </w:r>
      <w:r w:rsidRPr="004D7457">
        <w:rPr>
          <w:rFonts w:ascii="Book Antiqua" w:eastAsia="Book Antiqua" w:hAnsi="Book Antiqua" w:cs="Book Antiqua"/>
          <w:color w:val="000000"/>
        </w:rPr>
        <w:t xml:space="preserve">, </w:t>
      </w:r>
      <w:r w:rsidRPr="004D7457">
        <w:rPr>
          <w:rStyle w:val="postal-code"/>
          <w:rFonts w:ascii="Book Antiqua" w:eastAsia="Book Antiqua" w:hAnsi="Book Antiqua" w:cs="Book Antiqua"/>
          <w:color w:val="000000"/>
        </w:rPr>
        <w:t>IL</w:t>
      </w:r>
      <w:r w:rsidR="001813C1" w:rsidRPr="004D7457">
        <w:rPr>
          <w:rFonts w:ascii="Book Antiqua" w:eastAsia="Book Antiqua" w:hAnsi="Book Antiqua" w:cs="Book Antiqua"/>
          <w:color w:val="000000"/>
        </w:rPr>
        <w:t>, United States</w:t>
      </w:r>
      <w:r w:rsidRPr="004D7457">
        <w:rPr>
          <w:rStyle w:val="postal-code"/>
          <w:rFonts w:ascii="Book Antiqua" w:eastAsia="Book Antiqua" w:hAnsi="Book Antiqua" w:cs="Book Antiqua"/>
          <w:color w:val="000000"/>
        </w:rPr>
        <w:t>)</w:t>
      </w:r>
      <w:r w:rsidRPr="004D7457">
        <w:rPr>
          <w:rFonts w:ascii="Book Antiqua" w:eastAsia="Book Antiqua" w:hAnsi="Book Antiqua" w:cs="Book Antiqua"/>
          <w:color w:val="000000"/>
        </w:rPr>
        <w:t xml:space="preserve"> or 0.1% picro Sirius red (color index 35780, 365548</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Sigma-Aldrich), respectively.</w:t>
      </w:r>
    </w:p>
    <w:p w14:paraId="7724D20A" w14:textId="77777777" w:rsidR="00DA7159" w:rsidRPr="004D7457" w:rsidRDefault="00DA7159" w:rsidP="004D7457">
      <w:pPr>
        <w:snapToGrid w:val="0"/>
        <w:spacing w:line="360" w:lineRule="auto"/>
        <w:jc w:val="both"/>
        <w:rPr>
          <w:rFonts w:ascii="Book Antiqua" w:eastAsia="Book Antiqua" w:hAnsi="Book Antiqua" w:cs="Book Antiqua"/>
          <w:i/>
          <w:iCs/>
          <w:color w:val="000000"/>
        </w:rPr>
      </w:pPr>
    </w:p>
    <w:p w14:paraId="5A9AC21E"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Gene expression analysis</w:t>
      </w:r>
    </w:p>
    <w:p w14:paraId="7E15D5BB" w14:textId="5C6315E2" w:rsidR="00A77B3E" w:rsidRPr="004D7457" w:rsidRDefault="00BB1006" w:rsidP="004D7457">
      <w:pPr>
        <w:snapToGrid w:val="0"/>
        <w:spacing w:line="360" w:lineRule="auto"/>
        <w:jc w:val="both"/>
        <w:rPr>
          <w:rFonts w:ascii="Book Antiqua" w:eastAsia="Book Antiqua" w:hAnsi="Book Antiqua" w:cs="Book Antiqua"/>
          <w:color w:val="000000"/>
        </w:rPr>
      </w:pPr>
      <w:r w:rsidRPr="004D7457">
        <w:rPr>
          <w:rFonts w:ascii="Book Antiqua" w:eastAsia="Book Antiqua" w:hAnsi="Book Antiqua" w:cs="Book Antiqua"/>
          <w:color w:val="000000"/>
        </w:rPr>
        <w:t>Liver RNA was extracted using Ambion Trizol Reagent (</w:t>
      </w:r>
      <w:r w:rsidRPr="004D7457">
        <w:rPr>
          <w:rStyle w:val="muted"/>
          <w:rFonts w:ascii="Book Antiqua" w:eastAsia="Book Antiqua" w:hAnsi="Book Antiqua" w:cs="Book Antiqua"/>
          <w:color w:val="000000"/>
        </w:rPr>
        <w:t>15596</w:t>
      </w:r>
      <w:r w:rsidR="000D035B" w:rsidRPr="004D7457">
        <w:rPr>
          <w:rStyle w:val="muted"/>
          <w:rFonts w:ascii="Book Antiqua" w:eastAsia="Book Antiqua" w:hAnsi="Book Antiqua" w:cs="Book Antiqua"/>
          <w:color w:val="000000"/>
        </w:rPr>
        <w:t>;</w:t>
      </w:r>
      <w:r w:rsidRPr="004D7457">
        <w:rPr>
          <w:rStyle w:val="muted"/>
          <w:rFonts w:ascii="Book Antiqua" w:eastAsia="Book Antiqua" w:hAnsi="Book Antiqua" w:cs="Book Antiqua"/>
          <w:color w:val="000000"/>
        </w:rPr>
        <w:t xml:space="preserve"> Thermo Fisher Scientific</w:t>
      </w:r>
      <w:r w:rsidRPr="004D7457">
        <w:rPr>
          <w:rFonts w:ascii="Book Antiqua" w:eastAsia="Book Antiqua" w:hAnsi="Book Antiqua" w:cs="Book Antiqua"/>
          <w:color w:val="000000"/>
        </w:rPr>
        <w:t>). RNA was treated with RQ1 RNase-Free DNase (M6101</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Promega), and was reverse</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transcribed using the Applied Biosystems High-Capacity cDNA Reverse Transcription Kit (43688</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Style w:val="muted"/>
          <w:rFonts w:ascii="Book Antiqua" w:eastAsia="Book Antiqua" w:hAnsi="Book Antiqua" w:cs="Book Antiqua"/>
          <w:color w:val="000000"/>
        </w:rPr>
        <w:t>Thermo Fisher Scientific</w:t>
      </w:r>
      <w:r w:rsidRPr="004D7457">
        <w:rPr>
          <w:rStyle w:val="rlltdetails"/>
          <w:rFonts w:ascii="Book Antiqua" w:eastAsia="Book Antiqua" w:hAnsi="Book Antiqua" w:cs="Book Antiqua"/>
          <w:color w:val="000000"/>
        </w:rPr>
        <w:t>)</w:t>
      </w:r>
      <w:r w:rsidRPr="004D7457">
        <w:rPr>
          <w:rFonts w:ascii="Book Antiqua" w:eastAsia="Book Antiqua" w:hAnsi="Book Antiqua" w:cs="Book Antiqua"/>
          <w:color w:val="000000"/>
        </w:rPr>
        <w:t xml:space="preserve">. Real-time qPCR was performed on </w:t>
      </w:r>
      <w:r w:rsidR="000D035B" w:rsidRPr="004D7457">
        <w:rPr>
          <w:rFonts w:ascii="Book Antiqua" w:eastAsia="Book Antiqua" w:hAnsi="Book Antiqua" w:cs="Book Antiqua"/>
          <w:color w:val="000000"/>
        </w:rPr>
        <w:t xml:space="preserve">the </w:t>
      </w:r>
      <w:r w:rsidRPr="004D7457">
        <w:rPr>
          <w:rFonts w:ascii="Book Antiqua" w:eastAsia="Book Antiqua" w:hAnsi="Book Antiqua" w:cs="Book Antiqua"/>
          <w:color w:val="000000"/>
        </w:rPr>
        <w:t xml:space="preserve">Applied Biosystems StepOnePlus </w:t>
      </w:r>
      <w:r w:rsidR="000D035B" w:rsidRPr="004D7457">
        <w:rPr>
          <w:rFonts w:ascii="Book Antiqua" w:eastAsia="Book Antiqua" w:hAnsi="Book Antiqua" w:cs="Book Antiqua"/>
          <w:color w:val="000000"/>
        </w:rPr>
        <w:t>T</w:t>
      </w:r>
      <w:r w:rsidRPr="004D7457">
        <w:rPr>
          <w:rFonts w:ascii="Book Antiqua" w:eastAsia="Book Antiqua" w:hAnsi="Book Antiqua" w:cs="Book Antiqua"/>
          <w:color w:val="000000"/>
        </w:rPr>
        <w:t>hermocycler (4376600</w:t>
      </w:r>
      <w:r w:rsidR="000D035B"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Style w:val="muted"/>
          <w:rFonts w:ascii="Book Antiqua" w:eastAsia="Book Antiqua" w:hAnsi="Book Antiqua" w:cs="Book Antiqua"/>
          <w:color w:val="000000"/>
        </w:rPr>
        <w:t>Thermo Fisher Scientific</w:t>
      </w:r>
      <w:r w:rsidRPr="004D7457">
        <w:rPr>
          <w:rFonts w:ascii="Book Antiqua" w:eastAsia="Book Antiqua" w:hAnsi="Book Antiqua" w:cs="Book Antiqua"/>
          <w:color w:val="000000"/>
        </w:rPr>
        <w:t>) using iTaq Universal SYBR Green Supermix (Bio-Rad, Hercules, CA</w:t>
      </w:r>
      <w:r w:rsidR="005A105E"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Primer sequences were obtained from the Ha</w:t>
      </w:r>
      <w:r w:rsidR="008A2200">
        <w:rPr>
          <w:rFonts w:ascii="Book Antiqua" w:eastAsia="Book Antiqua" w:hAnsi="Book Antiqua" w:cs="Book Antiqua"/>
          <w:color w:val="000000"/>
        </w:rPr>
        <w:t>r</w:t>
      </w:r>
      <w:r w:rsidRPr="004D7457">
        <w:rPr>
          <w:rFonts w:ascii="Book Antiqua" w:eastAsia="Book Antiqua" w:hAnsi="Book Antiqua" w:cs="Book Antiqua"/>
          <w:color w:val="000000"/>
        </w:rPr>
        <w:t>vard PrimerBank</w:t>
      </w:r>
      <w:r w:rsidRPr="004D7457">
        <w:rPr>
          <w:rFonts w:ascii="Book Antiqua" w:eastAsia="Book Antiqua" w:hAnsi="Book Antiqua" w:cs="Book Antiqua"/>
          <w:color w:val="000000"/>
          <w:szCs w:val="30"/>
          <w:vertAlign w:val="superscript"/>
        </w:rPr>
        <w:t>[</w:t>
      </w:r>
      <w:hyperlink w:anchor="_ENREF_35" w:tooltip="Spandidos, 2008 #50" w:history="1">
        <w:r w:rsidRPr="004D7457">
          <w:rPr>
            <w:rFonts w:ascii="Book Antiqua" w:eastAsia="Book Antiqua" w:hAnsi="Book Antiqua" w:cs="Book Antiqua"/>
            <w:color w:val="000000"/>
            <w:szCs w:val="20"/>
            <w:vertAlign w:val="superscript"/>
          </w:rPr>
          <w:t>35</w:t>
        </w:r>
      </w:hyperlink>
      <w:r w:rsidR="009F5C12" w:rsidRPr="004D7457">
        <w:rPr>
          <w:rFonts w:ascii="Book Antiqua" w:eastAsia="Book Antiqua" w:hAnsi="Book Antiqua" w:cs="Book Antiqua"/>
          <w:color w:val="000000"/>
          <w:szCs w:val="30"/>
          <w:vertAlign w:val="superscript"/>
        </w:rPr>
        <w:t>,</w:t>
      </w:r>
      <w:r w:rsidR="009F5C12" w:rsidRPr="004D7457">
        <w:fldChar w:fldCharType="begin">
          <w:fldData xml:space="preserve">PEVuZE5vdGU+PENpdGU+PEF1dGhvcj5EaWduYW08L0F1dGhvcj48WWVhcj4xOTgzPC9ZZWFyPjxS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</w:fldData>
        </w:fldChar>
      </w:r>
      <w:r w:rsidR="009F5C12" w:rsidRPr="004D7457">
        <w:instrText xml:space="preserve"> ADDIN EN.CITE </w:instrText>
      </w:r>
      <w:r w:rsidR="009F5C12" w:rsidRPr="004D7457">
        <w:fldChar w:fldCharType="begin">
          <w:fldData xml:space="preserve">PEVuZE5vdGU+PENpdGU+PEF1dGhvcj5EaWduYW08L0F1dGhvcj48WWVhcj4xOTgzPC9ZZWFyPjxS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</w:fldData>
        </w:fldChar>
      </w:r>
      <w:r w:rsidR="009F5C12" w:rsidRPr="004D7457">
        <w:instrText xml:space="preserve"> ADDIN EN.CITE.DATA </w:instrText>
      </w:r>
      <w:r w:rsidR="009F5C12" w:rsidRPr="004D7457">
        <w:fldChar w:fldCharType="end"/>
      </w:r>
      <w:r w:rsidR="009F5C12" w:rsidRPr="004D7457">
        <w:fldChar w:fldCharType="separate"/>
      </w:r>
      <w:hyperlink w:anchor="_ENREF_36" w:tooltip="Dignam, 1983 #51" w:history="1">
        <w:r w:rsidR="009F5C12" w:rsidRPr="004D7457">
          <w:rPr>
            <w:vertAlign w:val="superscript"/>
          </w:rPr>
          <w:t>36</w:t>
        </w:r>
      </w:hyperlink>
      <w:r w:rsidR="009F5C12" w:rsidRPr="004D7457">
        <w:rPr>
          <w:vertAlign w:val="superscript"/>
        </w:rPr>
        <w:t>]</w:t>
      </w:r>
      <w:r w:rsidR="009F5C12" w:rsidRPr="004D7457">
        <w:fldChar w:fldCharType="end"/>
      </w:r>
      <w:r w:rsidR="009F5C12" w:rsidRPr="004D7457">
        <w:t>.</w:t>
      </w:r>
      <w:r w:rsidRPr="004D7457">
        <w:rPr>
          <w:rFonts w:ascii="Book Antiqua" w:eastAsia="Book Antiqua" w:hAnsi="Book Antiqua" w:cs="Book Antiqua"/>
          <w:color w:val="000000"/>
        </w:rPr>
        <w:t xml:space="preserve"> The primer used for proving the absence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was generated using NCBI primer blast; the sequences were: ACCGTGACAATCCCCTGTAA (Fwd) and CTCTTTGACAGGCACGGGAT (Rev). These primer amplified mRNA from exon 3 to exon 7. Gene expression was normalized to mouse TATA-Box binding protein gene and expressed relative to Ctrl-fed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mice.</w:t>
      </w:r>
    </w:p>
    <w:p w14:paraId="26B56929" w14:textId="77777777" w:rsidR="005A105E" w:rsidRPr="004D7457" w:rsidRDefault="005A105E" w:rsidP="004D7457">
      <w:pPr>
        <w:snapToGrid w:val="0"/>
        <w:spacing w:line="360" w:lineRule="auto"/>
        <w:jc w:val="both"/>
      </w:pPr>
    </w:p>
    <w:p w14:paraId="1890180C"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Statistical analyses</w:t>
      </w:r>
    </w:p>
    <w:p w14:paraId="6AF74924" w14:textId="4753EAF4"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Numbers of biological replicates for each experiment are given in the respective figure legends. The area under the curve was used to compare blood glucose levels from ITT. The area over baseline (AOB) was calculated to compare blood glucose levels from GTT. Groups were compared by two-way </w:t>
      </w:r>
      <w:r w:rsidR="00760917" w:rsidRPr="004D7457">
        <w:rPr>
          <w:rFonts w:ascii="Book Antiqua" w:eastAsia="Book Antiqua" w:hAnsi="Book Antiqua" w:cs="Book Antiqua"/>
          <w:color w:val="000000"/>
        </w:rPr>
        <w:t xml:space="preserve">analysis of variance </w:t>
      </w:r>
      <w:r w:rsidRPr="004D7457">
        <w:rPr>
          <w:rFonts w:ascii="Book Antiqua" w:eastAsia="Book Antiqua" w:hAnsi="Book Antiqua" w:cs="Book Antiqua"/>
          <w:color w:val="000000"/>
        </w:rPr>
        <w:t xml:space="preserve">with Tukey’s post hoc test. All results are expressed as mean + </w:t>
      </w:r>
      <w:r w:rsidR="004156D0" w:rsidRPr="004D7457">
        <w:rPr>
          <w:rFonts w:ascii="Book Antiqua" w:eastAsia="Book Antiqua" w:hAnsi="Book Antiqua" w:cs="Book Antiqua"/>
          <w:color w:val="000000"/>
        </w:rPr>
        <w:t>standard error of the mean</w:t>
      </w:r>
      <w:r w:rsidRPr="004D7457">
        <w:rPr>
          <w:rFonts w:ascii="Book Antiqua" w:eastAsia="Book Antiqua" w:hAnsi="Book Antiqua" w:cs="Book Antiqua"/>
          <w:color w:val="000000"/>
        </w:rPr>
        <w:t xml:space="preserve">. Analyses and data plots </w:t>
      </w:r>
      <w:r w:rsidRPr="004D7457">
        <w:rPr>
          <w:rFonts w:ascii="Book Antiqua" w:eastAsia="Book Antiqua" w:hAnsi="Book Antiqua" w:cs="Book Antiqua"/>
          <w:color w:val="000000"/>
        </w:rPr>
        <w:lastRenderedPageBreak/>
        <w:t>were done with GraphPad Prism 6.01 (GraphPad Software, Inc., La Jolla, CA</w:t>
      </w:r>
      <w:r w:rsidR="00C8364D" w:rsidRPr="004D7457">
        <w:rPr>
          <w:rFonts w:ascii="Book Antiqua" w:eastAsia="Book Antiqua" w:hAnsi="Book Antiqua" w:cs="Book Antiqua"/>
          <w:color w:val="000000"/>
        </w:rPr>
        <w:t>, United States</w:t>
      </w:r>
      <w:r w:rsidRPr="004D7457">
        <w:rPr>
          <w:rFonts w:ascii="Book Antiqua" w:eastAsia="Book Antiqua" w:hAnsi="Book Antiqua" w:cs="Book Antiqua"/>
          <w:color w:val="000000"/>
        </w:rPr>
        <w:t>). Significant differences are marked with (</w:t>
      </w:r>
      <w:r w:rsidR="0035262C" w:rsidRPr="004D7457">
        <w:rPr>
          <w:rFonts w:ascii="Book Antiqua" w:eastAsia="Book Antiqua" w:hAnsi="Book Antiqua" w:cs="Book Antiqua"/>
          <w:color w:val="000000"/>
        </w:rPr>
        <w:t>a</w:t>
      </w:r>
      <w:r w:rsidRPr="004D7457">
        <w:rPr>
          <w:rFonts w:ascii="Book Antiqua" w:eastAsia="Book Antiqua" w:hAnsi="Book Antiqua" w:cs="Book Antiqua"/>
          <w:color w:val="000000"/>
        </w:rPr>
        <w:t xml:space="preserve">) if </w:t>
      </w:r>
      <w:r w:rsidRPr="004D7457">
        <w:rPr>
          <w:rFonts w:ascii="Book Antiqua" w:eastAsia="Book Antiqua" w:hAnsi="Book Antiqua" w:cs="Book Antiqua"/>
          <w:i/>
          <w:color w:val="000000"/>
        </w:rPr>
        <w:t>P</w:t>
      </w:r>
      <w:r w:rsidR="0047691C"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&lt;</w:t>
      </w:r>
      <w:r w:rsidR="0047691C"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0.05.</w:t>
      </w:r>
    </w:p>
    <w:p w14:paraId="2BBDE08B" w14:textId="77777777" w:rsidR="00A77B3E" w:rsidRPr="004D7457" w:rsidRDefault="00A77B3E" w:rsidP="004D7457">
      <w:pPr>
        <w:snapToGrid w:val="0"/>
        <w:spacing w:line="360" w:lineRule="auto"/>
        <w:jc w:val="both"/>
      </w:pPr>
    </w:p>
    <w:p w14:paraId="2E5BEEB7"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u w:val="single"/>
        </w:rPr>
        <w:t>RESULTS</w:t>
      </w:r>
    </w:p>
    <w:p w14:paraId="17E1C17E"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TNFR1</w:t>
      </w:r>
      <w:r w:rsidRPr="004D7457">
        <w:rPr>
          <w:rFonts w:ascii="Book Antiqua" w:eastAsia="Book Antiqua" w:hAnsi="Book Antiqua" w:cs="Book Antiqua"/>
          <w:color w:val="000000"/>
          <w:szCs w:val="30"/>
          <w:vertAlign w:val="superscript"/>
        </w:rPr>
        <w:t>ΔHEP</w:t>
      </w:r>
      <w:r w:rsidR="00D20175" w:rsidRPr="004D7457">
        <w:rPr>
          <w:rFonts w:ascii="Book Antiqua" w:eastAsia="Book Antiqua" w:hAnsi="Book Antiqua" w:cs="Book Antiqua"/>
          <w:color w:val="000000"/>
        </w:rPr>
        <w:t xml:space="preserve"> mice were fed for 20 wk</w:t>
      </w:r>
      <w:r w:rsidRPr="004D7457">
        <w:rPr>
          <w:rFonts w:ascii="Book Antiqua" w:eastAsia="Book Antiqua" w:hAnsi="Book Antiqua" w:cs="Book Antiqua"/>
          <w:color w:val="000000"/>
        </w:rPr>
        <w:t xml:space="preserve"> with a western-style diet (FFD) to evaluate, if the absence of TNFR1 in hepatocytes is protective against diet-induced NASH.</w:t>
      </w:r>
    </w:p>
    <w:p w14:paraId="4AC8BE89" w14:textId="77777777" w:rsidR="00D20175" w:rsidRPr="004D7457" w:rsidRDefault="00D20175" w:rsidP="004D7457">
      <w:pPr>
        <w:snapToGrid w:val="0"/>
        <w:spacing w:line="360" w:lineRule="auto"/>
        <w:jc w:val="both"/>
        <w:rPr>
          <w:rFonts w:ascii="Book Antiqua" w:eastAsia="Book Antiqua" w:hAnsi="Book Antiqua" w:cs="Book Antiqua"/>
          <w:i/>
          <w:iCs/>
          <w:color w:val="000000"/>
        </w:rPr>
      </w:pPr>
    </w:p>
    <w:p w14:paraId="12427DB7"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Mice with a deficiency of TNFR1 in hepatocytes are not protected from obesity</w:t>
      </w:r>
    </w:p>
    <w:p w14:paraId="1BDD973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Lower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expression in liver samples from mice with a deficiency of TNFR1 in hepatocytes is shown in </w:t>
      </w:r>
      <w:r w:rsidRPr="004D7457">
        <w:rPr>
          <w:rFonts w:ascii="Book Antiqua" w:eastAsia="Book Antiqua" w:hAnsi="Book Antiqua" w:cs="Book Antiqua"/>
          <w:bCs/>
          <w:color w:val="000000"/>
        </w:rPr>
        <w:t>Figure 1A</w:t>
      </w:r>
      <w:r w:rsidRPr="004D7457">
        <w:rPr>
          <w:rFonts w:ascii="Book Antiqua" w:eastAsia="Book Antiqua" w:hAnsi="Book Antiqua" w:cs="Book Antiqua"/>
          <w:color w:val="000000"/>
        </w:rPr>
        <w:t xml:space="preserve">. Food intake is given in </w:t>
      </w:r>
      <w:r w:rsidRPr="004D7457">
        <w:rPr>
          <w:rFonts w:ascii="Book Antiqua" w:eastAsia="Book Antiqua" w:hAnsi="Book Antiqua" w:cs="Book Antiqua"/>
          <w:bCs/>
          <w:color w:val="000000"/>
        </w:rPr>
        <w:t>Figure 1B</w:t>
      </w:r>
      <w:r w:rsidRPr="004D7457">
        <w:rPr>
          <w:rFonts w:ascii="Book Antiqua" w:eastAsia="Book Antiqua" w:hAnsi="Book Antiqua" w:cs="Book Antiqua"/>
          <w:color w:val="000000"/>
        </w:rPr>
        <w:t>. FFD led to an increase in body weight and adipose tissue (</w:t>
      </w:r>
      <w:r w:rsidRPr="004D7457">
        <w:rPr>
          <w:rFonts w:ascii="Book Antiqua" w:eastAsia="Book Antiqua" w:hAnsi="Book Antiqua" w:cs="Book Antiqua"/>
          <w:bCs/>
          <w:color w:val="000000"/>
        </w:rPr>
        <w:t>Figure</w:t>
      </w:r>
      <w:r w:rsidR="005E4E43" w:rsidRPr="004D7457">
        <w:rPr>
          <w:rFonts w:ascii="Book Antiqua" w:eastAsia="Book Antiqua" w:hAnsi="Book Antiqua" w:cs="Book Antiqua"/>
          <w:bCs/>
          <w:color w:val="000000"/>
        </w:rPr>
        <w:t xml:space="preserve"> </w:t>
      </w:r>
      <w:r w:rsidRPr="004D7457">
        <w:rPr>
          <w:rFonts w:ascii="Book Antiqua" w:eastAsia="Book Antiqua" w:hAnsi="Book Antiqua" w:cs="Book Antiqua"/>
          <w:bCs/>
          <w:color w:val="000000"/>
        </w:rPr>
        <w:t>1C-F</w:t>
      </w:r>
      <w:r w:rsidRPr="004D7457">
        <w:rPr>
          <w:rFonts w:ascii="Book Antiqua" w:eastAsia="Book Antiqua" w:hAnsi="Book Antiqua" w:cs="Book Antiqua"/>
          <w:color w:val="000000"/>
        </w:rPr>
        <w:t>). However,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did not differ from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in terms of body weight, epididymal fat weight and brown fat weight (</w:t>
      </w:r>
      <w:r w:rsidRPr="004D7457">
        <w:rPr>
          <w:rFonts w:ascii="Book Antiqua" w:eastAsia="Book Antiqua" w:hAnsi="Book Antiqua" w:cs="Book Antiqua"/>
          <w:bCs/>
          <w:color w:val="000000"/>
        </w:rPr>
        <w:t>Figure 1C-E</w:t>
      </w:r>
      <w:r w:rsidRPr="004D7457">
        <w:rPr>
          <w:rFonts w:ascii="Book Antiqua" w:eastAsia="Book Antiqua" w:hAnsi="Book Antiqua" w:cs="Book Antiqua"/>
          <w:color w:val="000000"/>
        </w:rPr>
        <w:t>). Taken together, western-style diet-fed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develop similar features of obesity compared with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w:t>
      </w:r>
    </w:p>
    <w:p w14:paraId="1EFE181B" w14:textId="77777777" w:rsidR="00F512F4" w:rsidRPr="004D7457" w:rsidRDefault="00F512F4" w:rsidP="004D7457">
      <w:pPr>
        <w:snapToGrid w:val="0"/>
        <w:spacing w:line="360" w:lineRule="auto"/>
        <w:jc w:val="both"/>
        <w:rPr>
          <w:rFonts w:ascii="Book Antiqua" w:eastAsia="Book Antiqua" w:hAnsi="Book Antiqua" w:cs="Book Antiqua"/>
          <w:i/>
          <w:iCs/>
          <w:color w:val="000000"/>
        </w:rPr>
      </w:pPr>
    </w:p>
    <w:p w14:paraId="14EF8D77"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Mice with a deficiency of TNFR1 in hepatocytes are not protected from diet-induced steatohepatitis</w:t>
      </w:r>
    </w:p>
    <w:p w14:paraId="4512D6E9" w14:textId="79695BEB" w:rsidR="00A77B3E" w:rsidRPr="004D7457" w:rsidRDefault="00BB1006" w:rsidP="004D7457">
      <w:pPr>
        <w:snapToGrid w:val="0"/>
        <w:spacing w:line="360" w:lineRule="auto"/>
        <w:jc w:val="both"/>
        <w:rPr>
          <w:rFonts w:ascii="Book Antiqua" w:eastAsia="Book Antiqua" w:hAnsi="Book Antiqua" w:cs="Book Antiqua"/>
          <w:color w:val="000000"/>
        </w:rPr>
      </w:pPr>
      <w:r w:rsidRPr="004D7457">
        <w:rPr>
          <w:rFonts w:ascii="Book Antiqua" w:eastAsia="Book Antiqua" w:hAnsi="Book Antiqua" w:cs="Book Antiqua"/>
          <w:color w:val="000000"/>
        </w:rPr>
        <w:t>To determine the significance of TNFR1 in hepatocytes for the development of NASH, parameters of liver injury, steatosis and fibrosis were investigated. Hepatic injury, expressed as plasma ALT, was not significantly different between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and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w:t>
      </w:r>
      <w:r w:rsidRPr="004D7457">
        <w:rPr>
          <w:rFonts w:ascii="Book Antiqua" w:eastAsia="Book Antiqua" w:hAnsi="Book Antiqua" w:cs="Book Antiqua"/>
          <w:bCs/>
          <w:color w:val="000000"/>
        </w:rPr>
        <w:t xml:space="preserve">Figure 2A </w:t>
      </w:r>
      <w:r w:rsidRPr="004D7457">
        <w:rPr>
          <w:rFonts w:ascii="Book Antiqua" w:eastAsia="Book Antiqua" w:hAnsi="Book Antiqua" w:cs="Book Antiqua"/>
          <w:color w:val="000000"/>
        </w:rPr>
        <w:t>and</w:t>
      </w:r>
      <w:r w:rsidR="00803AF4" w:rsidRPr="004D7457">
        <w:rPr>
          <w:rFonts w:ascii="Book Antiqua" w:eastAsia="Book Antiqua" w:hAnsi="Book Antiqua" w:cs="Book Antiqua"/>
          <w:bCs/>
          <w:color w:val="000000"/>
        </w:rPr>
        <w:t xml:space="preserve"> </w:t>
      </w:r>
      <w:r w:rsidRPr="004D7457">
        <w:rPr>
          <w:rFonts w:ascii="Book Antiqua" w:eastAsia="Book Antiqua" w:hAnsi="Book Antiqua" w:cs="Book Antiqua"/>
          <w:bCs/>
          <w:color w:val="000000"/>
        </w:rPr>
        <w:t>B</w:t>
      </w:r>
      <w:r w:rsidRPr="004D7457">
        <w:rPr>
          <w:rFonts w:ascii="Book Antiqua" w:eastAsia="Book Antiqua" w:hAnsi="Book Antiqua" w:cs="Book Antiqua"/>
          <w:color w:val="000000"/>
        </w:rPr>
        <w:t>). Similarly, hepatic steatosis, expressed as total liver triglycerides and relative liver weight, did not differ between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and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w:t>
      </w:r>
      <w:r w:rsidRPr="004D7457">
        <w:rPr>
          <w:rFonts w:ascii="Book Antiqua" w:eastAsia="Book Antiqua" w:hAnsi="Book Antiqua" w:cs="Book Antiqua"/>
          <w:bCs/>
          <w:color w:val="000000"/>
        </w:rPr>
        <w:t xml:space="preserve">Figure 2C </w:t>
      </w:r>
      <w:r w:rsidRPr="004D7457">
        <w:rPr>
          <w:rFonts w:ascii="Book Antiqua" w:eastAsia="Book Antiqua" w:hAnsi="Book Antiqua" w:cs="Book Antiqua"/>
          <w:color w:val="000000"/>
        </w:rPr>
        <w:t>and</w:t>
      </w:r>
      <w:r w:rsidR="00803AF4" w:rsidRPr="004D7457">
        <w:rPr>
          <w:rFonts w:ascii="Book Antiqua" w:eastAsia="Book Antiqua" w:hAnsi="Book Antiqua" w:cs="Book Antiqua"/>
          <w:bCs/>
          <w:color w:val="000000"/>
        </w:rPr>
        <w:t xml:space="preserve"> </w:t>
      </w:r>
      <w:r w:rsidRPr="004D7457">
        <w:rPr>
          <w:rFonts w:ascii="Book Antiqua" w:eastAsia="Book Antiqua" w:hAnsi="Book Antiqua" w:cs="Book Antiqua"/>
          <w:bCs/>
          <w:color w:val="000000"/>
        </w:rPr>
        <w:t>D</w:t>
      </w:r>
      <w:r w:rsidRPr="004D7457">
        <w:rPr>
          <w:rFonts w:ascii="Book Antiqua" w:eastAsia="Book Antiqua" w:hAnsi="Book Antiqua" w:cs="Book Antiqua"/>
          <w:color w:val="000000"/>
        </w:rPr>
        <w:t xml:space="preserve">). Representative liver sections are given in </w:t>
      </w:r>
      <w:r w:rsidRPr="004D7457">
        <w:rPr>
          <w:rFonts w:ascii="Book Antiqua" w:eastAsia="Book Antiqua" w:hAnsi="Book Antiqua" w:cs="Book Antiqua"/>
          <w:bCs/>
          <w:color w:val="000000"/>
        </w:rPr>
        <w:t>Figure 2B</w:t>
      </w:r>
      <w:r w:rsidRPr="004D7457">
        <w:rPr>
          <w:rFonts w:ascii="Book Antiqua" w:eastAsia="Book Antiqua" w:hAnsi="Book Antiqua" w:cs="Book Antiqua"/>
          <w:color w:val="000000"/>
        </w:rPr>
        <w:t>. Fibrosis, expressed as total liver hydroxyproline, was higher in FFD-fed mice, but not significantly different from control-fed mice in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as well as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mice (</w:t>
      </w:r>
      <w:r w:rsidRPr="004D7457">
        <w:rPr>
          <w:rFonts w:ascii="Book Antiqua" w:eastAsia="Book Antiqua" w:hAnsi="Book Antiqua" w:cs="Book Antiqua"/>
          <w:bCs/>
          <w:color w:val="000000"/>
        </w:rPr>
        <w:t xml:space="preserve">Figure 2E </w:t>
      </w:r>
      <w:r w:rsidRPr="004D7457">
        <w:rPr>
          <w:rFonts w:ascii="Book Antiqua" w:eastAsia="Book Antiqua" w:hAnsi="Book Antiqua" w:cs="Book Antiqua"/>
          <w:color w:val="000000"/>
        </w:rPr>
        <w:t>and</w:t>
      </w:r>
      <w:r w:rsidR="0027311F" w:rsidRPr="004D7457">
        <w:rPr>
          <w:rFonts w:ascii="Book Antiqua" w:eastAsia="Book Antiqua" w:hAnsi="Book Antiqua" w:cs="Book Antiqua"/>
          <w:bCs/>
          <w:color w:val="000000"/>
        </w:rPr>
        <w:t xml:space="preserve"> </w:t>
      </w:r>
      <w:r w:rsidRPr="004D7457">
        <w:rPr>
          <w:rFonts w:ascii="Book Antiqua" w:eastAsia="Book Antiqua" w:hAnsi="Book Antiqua" w:cs="Book Antiqua"/>
          <w:bCs/>
          <w:color w:val="000000"/>
        </w:rPr>
        <w:t>F</w:t>
      </w:r>
      <w:r w:rsidRPr="004D7457">
        <w:rPr>
          <w:rFonts w:ascii="Book Antiqua" w:eastAsia="Book Antiqua" w:hAnsi="Book Antiqua" w:cs="Book Antiqua"/>
          <w:color w:val="000000"/>
        </w:rPr>
        <w:t xml:space="preserve">). Liver inflammation, assessed by gene expression for </w:t>
      </w:r>
      <w:r w:rsidRPr="004D7457">
        <w:rPr>
          <w:rFonts w:ascii="Book Antiqua" w:eastAsia="Book Antiqua" w:hAnsi="Book Antiqua" w:cs="Book Antiqua"/>
          <w:i/>
          <w:iCs/>
          <w:color w:val="000000"/>
        </w:rPr>
        <w:t>Il1β</w:t>
      </w:r>
      <w:r w:rsidRPr="004D7457">
        <w:rPr>
          <w:rFonts w:ascii="Book Antiqua" w:eastAsia="Book Antiqua" w:hAnsi="Book Antiqua" w:cs="Book Antiqua"/>
          <w:color w:val="000000"/>
        </w:rPr>
        <w:t xml:space="preserve">, </w:t>
      </w:r>
      <w:r w:rsidRPr="004D7457">
        <w:rPr>
          <w:rFonts w:ascii="Book Antiqua" w:eastAsia="Book Antiqua" w:hAnsi="Book Antiqua" w:cs="Book Antiqua"/>
          <w:i/>
          <w:iCs/>
          <w:color w:val="000000"/>
        </w:rPr>
        <w:t>Tnf</w:t>
      </w:r>
      <w:r w:rsidR="004156D0"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w:t>
      </w:r>
      <w:r w:rsidRPr="004D7457">
        <w:rPr>
          <w:rFonts w:ascii="Book Antiqua" w:eastAsia="Book Antiqua" w:hAnsi="Book Antiqua" w:cs="Book Antiqua"/>
          <w:i/>
          <w:iCs/>
          <w:color w:val="000000"/>
        </w:rPr>
        <w:t>Ccl2</w:t>
      </w:r>
      <w:r w:rsidRPr="004D7457">
        <w:rPr>
          <w:rFonts w:ascii="Book Antiqua" w:eastAsia="Book Antiqua" w:hAnsi="Book Antiqua" w:cs="Book Antiqua"/>
          <w:color w:val="000000"/>
        </w:rPr>
        <w:t>, did not differ between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and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w:t>
      </w:r>
      <w:r w:rsidRPr="004D7457">
        <w:rPr>
          <w:rFonts w:ascii="Book Antiqua" w:eastAsia="Book Antiqua" w:hAnsi="Book Antiqua" w:cs="Book Antiqua"/>
          <w:bCs/>
          <w:color w:val="000000"/>
        </w:rPr>
        <w:t>Figure 2G</w:t>
      </w:r>
      <w:r w:rsidRPr="004D7457">
        <w:rPr>
          <w:rFonts w:ascii="Book Antiqua" w:eastAsia="Book Antiqua" w:hAnsi="Book Antiqua" w:cs="Book Antiqua"/>
          <w:color w:val="000000"/>
        </w:rPr>
        <w:t>)</w:t>
      </w:r>
      <w:r w:rsidRPr="004D7457">
        <w:rPr>
          <w:rFonts w:ascii="Book Antiqua" w:eastAsia="Book Antiqua" w:hAnsi="Book Antiqua" w:cs="Book Antiqua"/>
          <w:bCs/>
          <w:color w:val="000000"/>
        </w:rPr>
        <w:t xml:space="preserve">. </w:t>
      </w:r>
      <w:r w:rsidRPr="004D7457">
        <w:rPr>
          <w:rFonts w:ascii="Book Antiqua" w:eastAsia="Book Antiqua" w:hAnsi="Book Antiqua" w:cs="Book Antiqua"/>
          <w:color w:val="000000"/>
        </w:rPr>
        <w:t xml:space="preserve">Taken together, </w:t>
      </w:r>
      <w:r w:rsidRPr="004D7457">
        <w:rPr>
          <w:rFonts w:ascii="Book Antiqua" w:eastAsia="Book Antiqua" w:hAnsi="Book Antiqua" w:cs="Book Antiqua"/>
          <w:color w:val="000000"/>
        </w:rPr>
        <w:lastRenderedPageBreak/>
        <w:t>western-style diet-fed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develop similar signs of liver inflammation and fibrosis compared with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w:t>
      </w:r>
    </w:p>
    <w:p w14:paraId="7ECB89D3" w14:textId="77777777" w:rsidR="006A4C99" w:rsidRPr="004D7457" w:rsidRDefault="006A4C99" w:rsidP="004D7457">
      <w:pPr>
        <w:snapToGrid w:val="0"/>
        <w:spacing w:line="360" w:lineRule="auto"/>
        <w:jc w:val="both"/>
      </w:pPr>
    </w:p>
    <w:p w14:paraId="6173540B" w14:textId="77777777" w:rsidR="00A77B3E" w:rsidRPr="004D7457" w:rsidRDefault="00BB1006" w:rsidP="004D7457">
      <w:pPr>
        <w:snapToGrid w:val="0"/>
        <w:spacing w:line="360" w:lineRule="auto"/>
        <w:jc w:val="both"/>
        <w:rPr>
          <w:b/>
        </w:rPr>
      </w:pPr>
      <w:r w:rsidRPr="004D7457">
        <w:rPr>
          <w:rFonts w:ascii="Book Antiqua" w:eastAsia="Book Antiqua" w:hAnsi="Book Antiqua" w:cs="Book Antiqua"/>
          <w:b/>
          <w:i/>
          <w:iCs/>
          <w:color w:val="000000"/>
        </w:rPr>
        <w:t>Mice with a deficiency of TNFR1 in hepatocytes are partially protected from glucose intolerance</w:t>
      </w:r>
    </w:p>
    <w:p w14:paraId="206C158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To assess the metabolic phenotype,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and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were subjected to a glucose and an insulin tolerance test. The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did not develop glucose intolerance compared to their Ctrl-fed littermates (</w:t>
      </w:r>
      <w:r w:rsidRPr="004D7457">
        <w:rPr>
          <w:rFonts w:ascii="Book Antiqua" w:eastAsia="Book Antiqua" w:hAnsi="Book Antiqua" w:cs="Book Antiqua"/>
          <w:bCs/>
          <w:color w:val="000000"/>
        </w:rPr>
        <w:t>Figure 3A</w:t>
      </w:r>
      <w:r w:rsidRPr="004D7457">
        <w:rPr>
          <w:rFonts w:ascii="Book Antiqua" w:eastAsia="Book Antiqua" w:hAnsi="Book Antiqua" w:cs="Book Antiqua"/>
          <w:color w:val="000000"/>
        </w:rPr>
        <w:t>). The result was confirmed with the insulin tolerance test that showed a higher drop of blood glucose levels after insulin injections in FFD-fed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compared with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w:t>
      </w:r>
      <w:r w:rsidRPr="004D7457">
        <w:rPr>
          <w:rFonts w:ascii="Book Antiqua" w:eastAsia="Book Antiqua" w:hAnsi="Book Antiqua" w:cs="Book Antiqua"/>
          <w:bCs/>
          <w:color w:val="000000"/>
        </w:rPr>
        <w:t>Figure 3B</w:t>
      </w:r>
      <w:r w:rsidRPr="004D7457">
        <w:rPr>
          <w:rFonts w:ascii="Book Antiqua" w:eastAsia="Book Antiqua" w:hAnsi="Book Antiqua" w:cs="Book Antiqua"/>
          <w:color w:val="000000"/>
        </w:rPr>
        <w:t>). Taken together, although western-style diet equally induced obesity in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and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 mice, interestingly,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were resistant to the development of diet-induced glucose intolerance and insulin resistance.</w:t>
      </w:r>
    </w:p>
    <w:p w14:paraId="6D825BE4" w14:textId="77777777" w:rsidR="00A77B3E" w:rsidRPr="004D7457" w:rsidRDefault="00A77B3E" w:rsidP="004D7457">
      <w:pPr>
        <w:snapToGrid w:val="0"/>
        <w:spacing w:line="360" w:lineRule="auto"/>
        <w:jc w:val="both"/>
      </w:pPr>
    </w:p>
    <w:p w14:paraId="3D0C2C18"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u w:val="single"/>
        </w:rPr>
        <w:t>DISCUSSION</w:t>
      </w:r>
    </w:p>
    <w:p w14:paraId="17046EB6"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The role of the TNF receptor 1 in hepatocytes for diet-induced NASH was investigated in mice with a hepatocyte-specific deficiency of TNFR1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Obese mice with deficiency of TNFR1 in hepatocytes did not develop less liver disease than their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littermates. However,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mice were protected from glucose intolerance and insulin resistance.</w:t>
      </w:r>
    </w:p>
    <w:p w14:paraId="2017F55D" w14:textId="54E0857E"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 xml:space="preserve">Previous studies, using </w:t>
      </w:r>
      <w:r w:rsidRPr="004D7457">
        <w:rPr>
          <w:rFonts w:ascii="Book Antiqua" w:eastAsia="Book Antiqua" w:hAnsi="Book Antiqua" w:cs="Book Antiqua"/>
          <w:i/>
          <w:iCs/>
          <w:color w:val="000000"/>
        </w:rPr>
        <w:t xml:space="preserve">Tnfr1 </w:t>
      </w:r>
      <w:r w:rsidRPr="004D7457">
        <w:rPr>
          <w:rFonts w:ascii="Book Antiqua" w:eastAsia="Book Antiqua" w:hAnsi="Book Antiqua" w:cs="Book Antiqua"/>
          <w:color w:val="000000"/>
        </w:rPr>
        <w:t>whole-body knockout animals, concluded that TNFR1 signaling is a driver for NASH. Constitutional activation of TNFR1 in mice promoted the progression of NASH, but protected from insulin resistance</w:t>
      </w:r>
      <w:r w:rsidRPr="004D7457">
        <w:rPr>
          <w:rFonts w:ascii="Book Antiqua" w:eastAsia="Book Antiqua" w:hAnsi="Book Antiqua" w:cs="Book Antiqua"/>
          <w:color w:val="000000"/>
          <w:szCs w:val="30"/>
          <w:vertAlign w:val="superscript"/>
        </w:rPr>
        <w:t>[</w:t>
      </w:r>
      <w:hyperlink w:anchor="_ENREF_37" w:tooltip="Aparicio-Vergara, 2013 #32" w:history="1">
        <w:r w:rsidRPr="004D7457">
          <w:rPr>
            <w:rFonts w:ascii="Book Antiqua" w:eastAsia="Book Antiqua" w:hAnsi="Book Antiqua" w:cs="Book Antiqua"/>
            <w:color w:val="000000"/>
            <w:szCs w:val="20"/>
            <w:vertAlign w:val="superscript"/>
          </w:rPr>
          <w:t>37</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in contrast to our findings and studies showing </w:t>
      </w:r>
      <w:r w:rsidR="004156D0" w:rsidRPr="004D7457">
        <w:rPr>
          <w:rFonts w:ascii="Book Antiqua" w:eastAsia="Book Antiqua" w:hAnsi="Book Antiqua" w:cs="Book Antiqua"/>
          <w:color w:val="000000"/>
        </w:rPr>
        <w:t xml:space="preserve">the </w:t>
      </w:r>
      <w:r w:rsidRPr="004D7457">
        <w:rPr>
          <w:rFonts w:ascii="Book Antiqua" w:eastAsia="Book Antiqua" w:hAnsi="Book Antiqua" w:cs="Book Antiqua"/>
          <w:color w:val="000000"/>
        </w:rPr>
        <w:t>importance of TNFR1 signaling in diabetes development</w:t>
      </w:r>
      <w:r w:rsidRPr="004D7457">
        <w:rPr>
          <w:rFonts w:ascii="Book Antiqua" w:eastAsia="Book Antiqua" w:hAnsi="Book Antiqua" w:cs="Book Antiqua"/>
          <w:color w:val="000000"/>
          <w:szCs w:val="30"/>
          <w:vertAlign w:val="superscript"/>
        </w:rPr>
        <w:t>[</w:t>
      </w:r>
      <w:hyperlink w:anchor="_ENREF_38" w:tooltip="Uysal, 1997 #39" w:history="1">
        <w:r w:rsidRPr="004D7457">
          <w:rPr>
            <w:rFonts w:ascii="Book Antiqua" w:eastAsia="Book Antiqua" w:hAnsi="Book Antiqua" w:cs="Book Antiqua"/>
            <w:color w:val="000000"/>
            <w:szCs w:val="20"/>
            <w:vertAlign w:val="superscript"/>
          </w:rPr>
          <w:t>38-40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(discussed in more detail below). On the other hand, deficiency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was used to pro</w:t>
      </w:r>
      <w:r w:rsidR="004156D0" w:rsidRPr="004D7457">
        <w:rPr>
          <w:rFonts w:ascii="Book Antiqua" w:eastAsia="Book Antiqua" w:hAnsi="Book Antiqua" w:cs="Book Antiqua"/>
          <w:color w:val="000000"/>
        </w:rPr>
        <w:t>ve</w:t>
      </w:r>
      <w:r w:rsidRPr="004D7457">
        <w:rPr>
          <w:rFonts w:ascii="Book Antiqua" w:eastAsia="Book Antiqua" w:hAnsi="Book Antiqua" w:cs="Book Antiqua"/>
          <w:color w:val="000000"/>
        </w:rPr>
        <w:t xml:space="preserve"> the contribution of TNFR1 signaling for downstream activation of STAT3 or the induction of ER stress both to promote NASH progression and HCC development</w:t>
      </w:r>
      <w:r w:rsidRPr="004D7457">
        <w:rPr>
          <w:rFonts w:ascii="Book Antiqua" w:eastAsia="Book Antiqua" w:hAnsi="Book Antiqua" w:cs="Book Antiqua"/>
          <w:color w:val="000000"/>
          <w:szCs w:val="30"/>
          <w:vertAlign w:val="superscript"/>
        </w:rPr>
        <w:t>[</w:t>
      </w:r>
      <w:hyperlink w:anchor="_ENREF_27" w:tooltip="Park, 2010 #26" w:history="1">
        <w:r w:rsidRPr="004D7457">
          <w:rPr>
            <w:rFonts w:ascii="Book Antiqua" w:eastAsia="Book Antiqua" w:hAnsi="Book Antiqua" w:cs="Book Antiqua"/>
            <w:color w:val="000000"/>
            <w:szCs w:val="20"/>
            <w:vertAlign w:val="superscript"/>
          </w:rPr>
          <w:t>27</w:t>
        </w:r>
      </w:hyperlink>
      <w:r w:rsidRPr="004D7457">
        <w:rPr>
          <w:rFonts w:ascii="Book Antiqua" w:eastAsia="Book Antiqua" w:hAnsi="Book Antiqua" w:cs="Book Antiqua"/>
          <w:color w:val="000000"/>
          <w:szCs w:val="30"/>
          <w:vertAlign w:val="superscript"/>
        </w:rPr>
        <w:t>,</w:t>
      </w:r>
      <w:hyperlink w:anchor="_ENREF_28" w:tooltip="Nakagawa, 2014 #27" w:history="1">
        <w:r w:rsidRPr="004D7457">
          <w:rPr>
            <w:rFonts w:ascii="Book Antiqua" w:eastAsia="Book Antiqua" w:hAnsi="Book Antiqua" w:cs="Book Antiqua"/>
            <w:color w:val="000000"/>
            <w:szCs w:val="20"/>
            <w:vertAlign w:val="superscript"/>
          </w:rPr>
          <w:t>28</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In contrast to these studies, in our study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was deleted in </w:t>
      </w:r>
      <w:r w:rsidRPr="004D7457">
        <w:rPr>
          <w:rFonts w:ascii="Book Antiqua" w:eastAsia="Book Antiqua" w:hAnsi="Book Antiqua" w:cs="Book Antiqua"/>
          <w:color w:val="000000"/>
        </w:rPr>
        <w:lastRenderedPageBreak/>
        <w:t>hepatocytes only. Kupffer cells are the primary source of hepatic TNF release</w:t>
      </w:r>
      <w:r w:rsidRPr="004D7457">
        <w:rPr>
          <w:rFonts w:ascii="Book Antiqua" w:eastAsia="Book Antiqua" w:hAnsi="Book Antiqua" w:cs="Book Antiqua"/>
          <w:color w:val="000000"/>
          <w:szCs w:val="30"/>
          <w:vertAlign w:val="superscript"/>
        </w:rPr>
        <w:t>[</w:t>
      </w:r>
      <w:hyperlink w:anchor="_ENREF_24" w:tooltip="Luster, 1994 #23" w:history="1">
        <w:r w:rsidRPr="004D7457">
          <w:rPr>
            <w:rFonts w:ascii="Book Antiqua" w:eastAsia="Book Antiqua" w:hAnsi="Book Antiqua" w:cs="Book Antiqua"/>
            <w:color w:val="000000"/>
            <w:szCs w:val="20"/>
            <w:vertAlign w:val="superscript"/>
          </w:rPr>
          <w:t>24</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Moreover, TNF acts on Kupffer cells in an autocrine manner</w:t>
      </w:r>
      <w:r w:rsidRPr="004D7457">
        <w:rPr>
          <w:rFonts w:ascii="Book Antiqua" w:eastAsia="Book Antiqua" w:hAnsi="Book Antiqua" w:cs="Book Antiqua"/>
          <w:color w:val="000000"/>
          <w:szCs w:val="30"/>
          <w:vertAlign w:val="superscript"/>
        </w:rPr>
        <w:t>[</w:t>
      </w:r>
      <w:hyperlink w:anchor="_ENREF_41" w:tooltip="Kitamura, 2002 #33" w:history="1">
        <w:r w:rsidRPr="004D7457">
          <w:rPr>
            <w:rFonts w:ascii="Book Antiqua" w:eastAsia="Book Antiqua" w:hAnsi="Book Antiqua" w:cs="Book Antiqua"/>
            <w:color w:val="000000"/>
            <w:szCs w:val="20"/>
            <w:vertAlign w:val="superscript"/>
          </w:rPr>
          <w:t>41</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Therefore, it can be speculated that the expected protective effect of hepatocyte-specific TNFR1 deficiency was reduced by increased TNFR1 signaling in Kupffer cells or recruited immune cells. These immune cells might have caused the release of different inflammation mediators, such as IL-1β or IL-6, which in turn resulted in activation of inflammatory pathways in hepatocytes that are independent from TNFR1 activation. This hypothesis is supported by a study that used mice with a whole-body knock out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and also found increased NASH features</w:t>
      </w:r>
      <w:r w:rsidRPr="004D7457">
        <w:rPr>
          <w:rFonts w:ascii="Book Antiqua" w:eastAsia="Book Antiqua" w:hAnsi="Book Antiqua" w:cs="Book Antiqua"/>
          <w:color w:val="000000"/>
          <w:szCs w:val="30"/>
          <w:vertAlign w:val="superscript"/>
        </w:rPr>
        <w:t>[</w:t>
      </w:r>
      <w:hyperlink w:anchor="_ENREF_30" w:tooltip="Lambertucci, 2018 #29" w:history="1">
        <w:r w:rsidRPr="004D7457">
          <w:rPr>
            <w:rFonts w:ascii="Book Antiqua" w:eastAsia="Book Antiqua" w:hAnsi="Book Antiqua" w:cs="Book Antiqua"/>
            <w:color w:val="000000"/>
            <w:szCs w:val="20"/>
            <w:vertAlign w:val="superscript"/>
          </w:rPr>
          <w:t>30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In this study by Lambertucci </w:t>
      </w:r>
      <w:r w:rsidRPr="004D7457">
        <w:rPr>
          <w:rFonts w:ascii="Book Antiqua" w:eastAsia="Book Antiqua" w:hAnsi="Book Antiqua" w:cs="Book Antiqua"/>
          <w:i/>
          <w:color w:val="000000"/>
        </w:rPr>
        <w:t>et al</w:t>
      </w:r>
      <w:r w:rsidRPr="004D7457">
        <w:rPr>
          <w:rFonts w:ascii="Book Antiqua" w:eastAsia="Book Antiqua" w:hAnsi="Book Antiqua" w:cs="Book Antiqua"/>
          <w:color w:val="000000"/>
          <w:szCs w:val="30"/>
          <w:vertAlign w:val="superscript"/>
        </w:rPr>
        <w:t>[</w:t>
      </w:r>
      <w:hyperlink w:anchor="_ENREF_30" w:tooltip="Lambertucci, 2018 #29" w:history="1">
        <w:r w:rsidRPr="004D7457">
          <w:rPr>
            <w:rFonts w:ascii="Book Antiqua" w:eastAsia="Book Antiqua" w:hAnsi="Book Antiqua" w:cs="Book Antiqua"/>
            <w:color w:val="000000"/>
            <w:szCs w:val="20"/>
            <w:vertAlign w:val="superscript"/>
          </w:rPr>
          <w:t>30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deficiency resulted in increased numbers of both resident (</w:t>
      </w:r>
      <w:r w:rsidRPr="004D7457">
        <w:rPr>
          <w:rFonts w:ascii="Book Antiqua" w:eastAsia="Book Antiqua" w:hAnsi="Book Antiqua" w:cs="Book Antiqua"/>
          <w:i/>
          <w:color w:val="000000"/>
        </w:rPr>
        <w:t>i.e.</w:t>
      </w:r>
      <w:r w:rsidRPr="004D7457">
        <w:rPr>
          <w:rFonts w:ascii="Book Antiqua" w:eastAsia="Book Antiqua" w:hAnsi="Book Antiqua" w:cs="Book Antiqua"/>
          <w:color w:val="000000"/>
        </w:rPr>
        <w:t xml:space="preserve"> Kupffer cells) and recruited macrophages into the liver, as well as up-regulation of IL-1β and IL-6 in the liver along with increased release into the plasma. IL-1β promotes alcoholic and non-alcoholic liver disease</w:t>
      </w:r>
      <w:r w:rsidRPr="004D7457">
        <w:rPr>
          <w:rFonts w:ascii="Book Antiqua" w:eastAsia="Book Antiqua" w:hAnsi="Book Antiqua" w:cs="Book Antiqua"/>
          <w:color w:val="000000"/>
          <w:szCs w:val="30"/>
          <w:vertAlign w:val="superscript"/>
        </w:rPr>
        <w:t>[</w:t>
      </w:r>
      <w:hyperlink w:anchor="_ENREF_42" w:tooltip="Llorente, 2017 #43" w:history="1">
        <w:r w:rsidRPr="004D7457">
          <w:rPr>
            <w:rFonts w:ascii="Book Antiqua" w:eastAsia="Book Antiqua" w:hAnsi="Book Antiqua" w:cs="Book Antiqua"/>
            <w:color w:val="000000"/>
            <w:szCs w:val="20"/>
            <w:vertAlign w:val="superscript"/>
          </w:rPr>
          <w:t>42</w:t>
        </w:r>
      </w:hyperlink>
      <w:r w:rsidRPr="004D7457">
        <w:rPr>
          <w:rFonts w:ascii="Book Antiqua" w:eastAsia="Book Antiqua" w:hAnsi="Book Antiqua" w:cs="Book Antiqua"/>
          <w:color w:val="000000"/>
          <w:szCs w:val="30"/>
          <w:vertAlign w:val="superscript"/>
        </w:rPr>
        <w:t>,</w:t>
      </w:r>
      <w:hyperlink w:anchor="_ENREF_43" w:tooltip="Yang, 2017 #44" w:history="1">
        <w:r w:rsidRPr="004D7457">
          <w:rPr>
            <w:rFonts w:ascii="Book Antiqua" w:eastAsia="Book Antiqua" w:hAnsi="Book Antiqua" w:cs="Book Antiqua"/>
            <w:color w:val="000000"/>
            <w:szCs w:val="20"/>
            <w:vertAlign w:val="superscript"/>
          </w:rPr>
          <w:t>43</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In the present study, we did not detect differences in IL-1β expression between obese mice with a hepatocyte-specific TNFR1 deficiency and their wild-type littermates.</w:t>
      </w:r>
    </w:p>
    <w:p w14:paraId="522CC1EF" w14:textId="4B85249D"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 xml:space="preserve">Another possible explanation for our finding might be an enhanced signal transduction </w:t>
      </w:r>
      <w:r w:rsidRPr="004D7457">
        <w:rPr>
          <w:rFonts w:ascii="Book Antiqua" w:eastAsia="Book Antiqua" w:hAnsi="Book Antiqua" w:cs="Book Antiqua"/>
          <w:i/>
          <w:color w:val="000000"/>
        </w:rPr>
        <w:t>via</w:t>
      </w:r>
      <w:r w:rsidRPr="004D7457">
        <w:rPr>
          <w:rFonts w:ascii="Book Antiqua" w:eastAsia="Book Antiqua" w:hAnsi="Book Antiqua" w:cs="Book Antiqua"/>
          <w:color w:val="000000"/>
        </w:rPr>
        <w:t xml:space="preserve"> TNFR2. TNFR2 is a mediator of systemic inflammation and enhances cytotoxicity of monocytes</w:t>
      </w:r>
      <w:r w:rsidRPr="004D7457">
        <w:rPr>
          <w:rFonts w:ascii="Book Antiqua" w:eastAsia="Book Antiqua" w:hAnsi="Book Antiqua" w:cs="Book Antiqua"/>
          <w:color w:val="000000"/>
          <w:szCs w:val="30"/>
          <w:vertAlign w:val="superscript"/>
        </w:rPr>
        <w:t>[</w:t>
      </w:r>
      <w:hyperlink w:anchor="_ENREF_44" w:tooltip="Douni, 1998 #34" w:history="1">
        <w:r w:rsidRPr="004D7457">
          <w:rPr>
            <w:rFonts w:ascii="Book Antiqua" w:eastAsia="Book Antiqua" w:hAnsi="Book Antiqua" w:cs="Book Antiqua"/>
            <w:color w:val="000000"/>
            <w:szCs w:val="20"/>
            <w:vertAlign w:val="superscript"/>
          </w:rPr>
          <w:t>44-46</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Reduced expression of adhesion molecules VCAM-1 and ICAM-1, which both facilitate leukocyte infiltration, was described in a double-knockout model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and </w:t>
      </w:r>
      <w:r w:rsidRPr="004D7457">
        <w:rPr>
          <w:rFonts w:ascii="Book Antiqua" w:eastAsia="Book Antiqua" w:hAnsi="Book Antiqua" w:cs="Book Antiqua"/>
          <w:i/>
          <w:iCs/>
          <w:color w:val="000000"/>
        </w:rPr>
        <w:t>Tnfr2</w:t>
      </w:r>
      <w:r w:rsidRPr="004D7457">
        <w:rPr>
          <w:rFonts w:ascii="Book Antiqua" w:eastAsia="Book Antiqua" w:hAnsi="Book Antiqua" w:cs="Book Antiqua"/>
          <w:color w:val="000000"/>
        </w:rPr>
        <w:t>, along with a reduction of hepatic steatosis and fibrosis</w:t>
      </w:r>
      <w:r w:rsidRPr="004D7457">
        <w:rPr>
          <w:rFonts w:ascii="Book Antiqua" w:eastAsia="Book Antiqua" w:hAnsi="Book Antiqua" w:cs="Book Antiqua"/>
          <w:color w:val="000000"/>
          <w:szCs w:val="30"/>
          <w:vertAlign w:val="superscript"/>
        </w:rPr>
        <w:t>[</w:t>
      </w:r>
      <w:hyperlink w:anchor="_ENREF_47" w:tooltip="Tomita, 2006 #37" w:history="1">
        <w:r w:rsidRPr="004D7457">
          <w:rPr>
            <w:rFonts w:ascii="Book Antiqua" w:eastAsia="Book Antiqua" w:hAnsi="Book Antiqua" w:cs="Book Antiqua"/>
            <w:color w:val="000000"/>
            <w:szCs w:val="20"/>
            <w:vertAlign w:val="superscript"/>
          </w:rPr>
          <w:t>47</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However, a more prominent role of TNFR2 would have occurred in the whole-body knockout models as well. Higher serum level of soluble TNFR2 were detected in patients with HCC and hepatitis C</w:t>
      </w:r>
      <w:r w:rsidRPr="004D7457">
        <w:rPr>
          <w:rFonts w:ascii="Book Antiqua" w:eastAsia="Book Antiqua" w:hAnsi="Book Antiqua" w:cs="Book Antiqua"/>
          <w:color w:val="000000"/>
          <w:szCs w:val="30"/>
          <w:vertAlign w:val="superscript"/>
        </w:rPr>
        <w:t>[</w:t>
      </w:r>
      <w:hyperlink w:anchor="_ENREF_48" w:tooltip="Bastard, 2018 #38" w:history="1">
        <w:r w:rsidRPr="004D7457">
          <w:rPr>
            <w:rFonts w:ascii="Book Antiqua" w:eastAsia="Book Antiqua" w:hAnsi="Book Antiqua" w:cs="Book Antiqua"/>
            <w:color w:val="000000"/>
            <w:szCs w:val="20"/>
            <w:vertAlign w:val="superscript"/>
          </w:rPr>
          <w:t>48</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The role of TNFR2 for NASH development is not conclusive, but it is thought to be protective</w:t>
      </w:r>
      <w:r w:rsidRPr="004D7457">
        <w:rPr>
          <w:rFonts w:ascii="Book Antiqua" w:eastAsia="Book Antiqua" w:hAnsi="Book Antiqua" w:cs="Book Antiqua"/>
          <w:color w:val="000000"/>
          <w:szCs w:val="30"/>
          <w:vertAlign w:val="superscript"/>
        </w:rPr>
        <w:t>[</w:t>
      </w:r>
      <w:hyperlink w:anchor="_ENREF_49" w:tooltip="Wandrer, 2020 #46" w:history="1">
        <w:r w:rsidRPr="004D7457">
          <w:rPr>
            <w:rFonts w:ascii="Book Antiqua" w:eastAsia="Book Antiqua" w:hAnsi="Book Antiqua" w:cs="Book Antiqua"/>
            <w:color w:val="000000"/>
            <w:szCs w:val="20"/>
            <w:vertAlign w:val="superscript"/>
          </w:rPr>
          <w:t>49</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w:t>
      </w:r>
    </w:p>
    <w:p w14:paraId="1A18BCCD" w14:textId="77777777"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The increase in hepatic triglyceride content in NAFLD is associated with hepatic insulin resistance</w:t>
      </w:r>
      <w:r w:rsidRPr="004D7457">
        <w:rPr>
          <w:rFonts w:ascii="Book Antiqua" w:eastAsia="Book Antiqua" w:hAnsi="Book Antiqua" w:cs="Book Antiqua"/>
          <w:color w:val="000000"/>
          <w:szCs w:val="30"/>
          <w:vertAlign w:val="superscript"/>
        </w:rPr>
        <w:t>[</w:t>
      </w:r>
      <w:hyperlink w:anchor="_ENREF_50" w:tooltip="Perry, 2014 #49" w:history="1">
        <w:r w:rsidRPr="004D7457">
          <w:rPr>
            <w:rFonts w:ascii="Book Antiqua" w:eastAsia="Book Antiqua" w:hAnsi="Book Antiqua" w:cs="Book Antiqua"/>
            <w:color w:val="000000"/>
            <w:szCs w:val="20"/>
            <w:vertAlign w:val="superscript"/>
          </w:rPr>
          <w:t>50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This is mediated by the insulin receptor substrate IRS-2 and protein kinase-Cε. We did not detect a difference in hepatic triglycerides between obese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deficient mice and their </w:t>
      </w:r>
      <w:r w:rsidRPr="004D7457">
        <w:rPr>
          <w:rFonts w:ascii="Book Antiqua" w:eastAsia="Book Antiqua" w:hAnsi="Book Antiqua" w:cs="Book Antiqua"/>
          <w:i/>
          <w:iCs/>
          <w:color w:val="000000"/>
        </w:rPr>
        <w:t>Tnfr1</w:t>
      </w:r>
      <w:r w:rsidRPr="004D7457">
        <w:rPr>
          <w:rFonts w:ascii="Book Antiqua" w:eastAsia="Book Antiqua" w:hAnsi="Book Antiqua" w:cs="Book Antiqua"/>
          <w:i/>
          <w:iCs/>
          <w:color w:val="000000"/>
          <w:szCs w:val="30"/>
          <w:vertAlign w:val="superscript"/>
        </w:rPr>
        <w:t>fl/fl</w:t>
      </w:r>
      <w:r w:rsidRPr="004D7457">
        <w:rPr>
          <w:rFonts w:ascii="Book Antiqua" w:eastAsia="Book Antiqua" w:hAnsi="Book Antiqua" w:cs="Book Antiqua"/>
          <w:color w:val="000000"/>
        </w:rPr>
        <w:t xml:space="preserve"> littermates. However, compared to lean controls, only </w:t>
      </w:r>
      <w:r w:rsidRPr="004D7457">
        <w:rPr>
          <w:rFonts w:ascii="Book Antiqua" w:eastAsia="Book Antiqua" w:hAnsi="Book Antiqua" w:cs="Book Antiqua"/>
          <w:i/>
          <w:iCs/>
          <w:color w:val="000000"/>
        </w:rPr>
        <w:t>Tnfr1</w:t>
      </w:r>
      <w:r w:rsidRPr="004D7457">
        <w:rPr>
          <w:rFonts w:ascii="Book Antiqua" w:eastAsia="Book Antiqua" w:hAnsi="Book Antiqua" w:cs="Book Antiqua"/>
          <w:i/>
          <w:iCs/>
          <w:color w:val="000000"/>
          <w:szCs w:val="30"/>
          <w:vertAlign w:val="superscript"/>
        </w:rPr>
        <w:t>fl/fl</w:t>
      </w:r>
      <w:r w:rsidRPr="004D7457">
        <w:rPr>
          <w:rFonts w:ascii="Book Antiqua" w:eastAsia="Book Antiqua" w:hAnsi="Book Antiqua" w:cs="Book Antiqua"/>
          <w:color w:val="000000"/>
        </w:rPr>
        <w:t xml:space="preserve"> mice had high blood glucose level after glucose and insulin challenge. Our </w:t>
      </w:r>
      <w:r w:rsidRPr="004D7457">
        <w:rPr>
          <w:rFonts w:ascii="Book Antiqua" w:eastAsia="Book Antiqua" w:hAnsi="Book Antiqua" w:cs="Book Antiqua"/>
          <w:color w:val="000000"/>
        </w:rPr>
        <w:lastRenderedPageBreak/>
        <w:t xml:space="preserve">observation that mice with a deficiency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in hepatocytes are protected from insulin resistance, strengthens previous findings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deficiency and improved insulin resistance</w:t>
      </w:r>
      <w:r w:rsidRPr="004D7457">
        <w:rPr>
          <w:rFonts w:ascii="Book Antiqua" w:eastAsia="Book Antiqua" w:hAnsi="Book Antiqua" w:cs="Book Antiqua"/>
          <w:color w:val="000000"/>
          <w:szCs w:val="30"/>
          <w:vertAlign w:val="superscript"/>
        </w:rPr>
        <w:t>[</w:t>
      </w:r>
      <w:hyperlink w:anchor="_ENREF_38" w:tooltip="Uysal, 1997 #39" w:history="1">
        <w:r w:rsidRPr="004D7457">
          <w:rPr>
            <w:rFonts w:ascii="Book Antiqua" w:eastAsia="Book Antiqua" w:hAnsi="Book Antiqua" w:cs="Book Antiqua"/>
            <w:color w:val="000000"/>
            <w:szCs w:val="20"/>
            <w:vertAlign w:val="superscript"/>
          </w:rPr>
          <w:t>38</w:t>
        </w:r>
      </w:hyperlink>
      <w:r w:rsidRPr="004D7457">
        <w:rPr>
          <w:rFonts w:ascii="Book Antiqua" w:eastAsia="Book Antiqua" w:hAnsi="Book Antiqua" w:cs="Book Antiqua"/>
          <w:color w:val="000000"/>
          <w:szCs w:val="30"/>
          <w:vertAlign w:val="superscript"/>
        </w:rPr>
        <w:t>,</w:t>
      </w:r>
      <w:hyperlink w:anchor="_ENREF_49" w:tooltip="Wandrer, 2020 #46" w:history="1">
        <w:r w:rsidRPr="004D7457">
          <w:rPr>
            <w:rFonts w:ascii="Book Antiqua" w:eastAsia="Book Antiqua" w:hAnsi="Book Antiqua" w:cs="Book Antiqua"/>
            <w:color w:val="000000"/>
            <w:szCs w:val="20"/>
            <w:vertAlign w:val="superscript"/>
          </w:rPr>
          <w:t>49</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TNF-mediated insulin resistance occurs </w:t>
      </w:r>
      <w:r w:rsidRPr="004D7457">
        <w:rPr>
          <w:rFonts w:ascii="Book Antiqua" w:eastAsia="Book Antiqua" w:hAnsi="Book Antiqua" w:cs="Book Antiqua"/>
          <w:i/>
          <w:color w:val="000000"/>
        </w:rPr>
        <w:t>via</w:t>
      </w:r>
      <w:r w:rsidRPr="004D7457">
        <w:rPr>
          <w:rFonts w:ascii="Book Antiqua" w:eastAsia="Book Antiqua" w:hAnsi="Book Antiqua" w:cs="Book Antiqua"/>
          <w:color w:val="000000"/>
        </w:rPr>
        <w:t xml:space="preserve"> phosphorylation of the insulin receptor substrate IRS-1, which inhibits insulin-action in hepatocytes, and therefore promotes insulin resistance</w:t>
      </w:r>
      <w:r w:rsidRPr="004D7457">
        <w:rPr>
          <w:rFonts w:ascii="Book Antiqua" w:eastAsia="Book Antiqua" w:hAnsi="Book Antiqua" w:cs="Book Antiqua"/>
          <w:color w:val="000000"/>
          <w:szCs w:val="30"/>
          <w:vertAlign w:val="superscript"/>
        </w:rPr>
        <w:t>[</w:t>
      </w:r>
      <w:hyperlink w:anchor="_ENREF_39" w:tooltip="Kanety, 1995 #41" w:history="1">
        <w:r w:rsidRPr="004D7457">
          <w:rPr>
            <w:rFonts w:ascii="Book Antiqua" w:eastAsia="Book Antiqua" w:hAnsi="Book Antiqua" w:cs="Book Antiqua"/>
            <w:color w:val="000000"/>
            <w:szCs w:val="20"/>
            <w:vertAlign w:val="superscript"/>
          </w:rPr>
          <w:t>39</w:t>
        </w:r>
      </w:hyperlink>
      <w:r w:rsidRPr="004D7457">
        <w:rPr>
          <w:rFonts w:ascii="Book Antiqua" w:eastAsia="Book Antiqua" w:hAnsi="Book Antiqua" w:cs="Book Antiqua"/>
          <w:color w:val="000000"/>
          <w:szCs w:val="30"/>
          <w:vertAlign w:val="superscript"/>
        </w:rPr>
        <w:t>,</w:t>
      </w:r>
      <w:hyperlink w:anchor="_ENREF_40" w:tooltip="Hotamisligil, 1994 #40" w:history="1">
        <w:r w:rsidRPr="004D7457">
          <w:rPr>
            <w:rFonts w:ascii="Book Antiqua" w:eastAsia="Book Antiqua" w:hAnsi="Book Antiqua" w:cs="Book Antiqua"/>
            <w:color w:val="000000"/>
            <w:szCs w:val="20"/>
            <w:vertAlign w:val="superscript"/>
          </w:rPr>
          <w:t>40</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xml:space="preserve">. Phosphorylation of IRS-1 was reduced in mice with a whole-body deficiency of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thus enhancing insulin-uptake into hepatocytes</w:t>
      </w:r>
      <w:r w:rsidRPr="004D7457">
        <w:rPr>
          <w:rFonts w:ascii="Book Antiqua" w:eastAsia="Book Antiqua" w:hAnsi="Book Antiqua" w:cs="Book Antiqua"/>
          <w:color w:val="000000"/>
          <w:szCs w:val="30"/>
          <w:vertAlign w:val="superscript"/>
        </w:rPr>
        <w:t>[</w:t>
      </w:r>
      <w:hyperlink w:anchor="_ENREF_38" w:tooltip="Uysal, 1997 #39" w:history="1">
        <w:r w:rsidRPr="004D7457">
          <w:rPr>
            <w:rFonts w:ascii="Book Antiqua" w:eastAsia="Book Antiqua" w:hAnsi="Book Antiqua" w:cs="Book Antiqua"/>
            <w:color w:val="000000"/>
            <w:szCs w:val="20"/>
            <w:vertAlign w:val="superscript"/>
          </w:rPr>
          <w:t>38</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A similar mechanism occurs in brown adipose tissue and myocytes – alternative major sites of insulin action</w:t>
      </w:r>
      <w:r w:rsidRPr="004D7457">
        <w:rPr>
          <w:rFonts w:ascii="Book Antiqua" w:eastAsia="Book Antiqua" w:hAnsi="Book Antiqua" w:cs="Book Antiqua"/>
          <w:color w:val="000000"/>
          <w:szCs w:val="30"/>
          <w:vertAlign w:val="superscript"/>
        </w:rPr>
        <w:t>[</w:t>
      </w:r>
      <w:hyperlink w:anchor="_ENREF_51" w:tooltip="Nieto-Vazquez, 2008 #42" w:history="1">
        <w:r w:rsidRPr="004D7457">
          <w:rPr>
            <w:rFonts w:ascii="Book Antiqua" w:eastAsia="Book Antiqua" w:hAnsi="Book Antiqua" w:cs="Book Antiqua"/>
            <w:color w:val="000000"/>
            <w:szCs w:val="20"/>
            <w:vertAlign w:val="superscript"/>
          </w:rPr>
          <w:t>51</w:t>
        </w:r>
      </w:hyperlink>
      <w:r w:rsidRPr="004D7457">
        <w:rPr>
          <w:rFonts w:ascii="Book Antiqua" w:eastAsia="Book Antiqua" w:hAnsi="Book Antiqua" w:cs="Book Antiqua"/>
          <w:color w:val="000000"/>
          <w:szCs w:val="30"/>
          <w:vertAlign w:val="superscript"/>
        </w:rPr>
        <w:t>]</w:t>
      </w:r>
      <w:r w:rsidRPr="004D7457">
        <w:rPr>
          <w:rFonts w:ascii="Book Antiqua" w:eastAsia="Book Antiqua" w:hAnsi="Book Antiqua" w:cs="Book Antiqua"/>
          <w:color w:val="000000"/>
        </w:rPr>
        <w:t>. The effect seen in our study emphasizes the important role of hepatocytes for glucose homeostasis during obesity development.</w:t>
      </w:r>
    </w:p>
    <w:p w14:paraId="420FC92F" w14:textId="30184B7D"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 xml:space="preserve">Our findings </w:t>
      </w:r>
      <w:r w:rsidR="00982D1F" w:rsidRPr="004D7457">
        <w:rPr>
          <w:rFonts w:ascii="Book Antiqua" w:eastAsia="Book Antiqua" w:hAnsi="Book Antiqua" w:cs="Book Antiqua"/>
          <w:color w:val="000000"/>
        </w:rPr>
        <w:t xml:space="preserve">were </w:t>
      </w:r>
      <w:r w:rsidRPr="004D7457">
        <w:rPr>
          <w:rFonts w:ascii="Book Antiqua" w:eastAsia="Book Antiqua" w:hAnsi="Book Antiqua" w:cs="Book Antiqua"/>
          <w:color w:val="000000"/>
        </w:rPr>
        <w:t xml:space="preserve">limited by the selective deficiency of TNFR1 in hepatocytes. As mentioned above, selective deficiency of TNFR1 in Kupffer cells might have clarified the cell type specific role for the pathogenesis of NASH. Another limitation </w:t>
      </w:r>
      <w:r w:rsidR="00982D1F" w:rsidRPr="004D7457">
        <w:rPr>
          <w:rFonts w:ascii="Book Antiqua" w:eastAsia="Book Antiqua" w:hAnsi="Book Antiqua" w:cs="Book Antiqua"/>
          <w:color w:val="000000"/>
        </w:rPr>
        <w:t xml:space="preserve">was </w:t>
      </w:r>
      <w:r w:rsidRPr="004D7457">
        <w:rPr>
          <w:rFonts w:ascii="Book Antiqua" w:eastAsia="Book Antiqua" w:hAnsi="Book Antiqua" w:cs="Book Antiqua"/>
          <w:color w:val="000000"/>
        </w:rPr>
        <w:t>that we c</w:t>
      </w:r>
      <w:r w:rsidR="00982D1F" w:rsidRPr="004D7457">
        <w:rPr>
          <w:rFonts w:ascii="Book Antiqua" w:eastAsia="Book Antiqua" w:hAnsi="Book Antiqua" w:cs="Book Antiqua"/>
          <w:color w:val="000000"/>
        </w:rPr>
        <w:t>ould</w:t>
      </w:r>
      <w:r w:rsidRPr="004D7457">
        <w:rPr>
          <w:rFonts w:ascii="Book Antiqua" w:eastAsia="Book Antiqua" w:hAnsi="Book Antiqua" w:cs="Book Antiqua"/>
          <w:color w:val="000000"/>
        </w:rPr>
        <w:t xml:space="preserve"> only speculate about the compensating role of TNFR2. As TNFR2 signaling is expected to be protective, a selective manipulation of TNFR2 would be an interesting target for future studies. Furthermore, we could not investigate the mechanisms leading to insulin resistance in more details, because samples were not taken from starved animals, as usually done in metabolic studies.</w:t>
      </w:r>
    </w:p>
    <w:p w14:paraId="72A5D934" w14:textId="77777777" w:rsidR="00A77B3E" w:rsidRPr="004D7457" w:rsidRDefault="00BB1006" w:rsidP="004D7457">
      <w:pPr>
        <w:snapToGrid w:val="0"/>
        <w:spacing w:line="360" w:lineRule="auto"/>
        <w:ind w:firstLineChars="100" w:firstLine="240"/>
        <w:jc w:val="both"/>
      </w:pPr>
      <w:r w:rsidRPr="004D7457">
        <w:rPr>
          <w:rFonts w:ascii="Book Antiqua" w:eastAsia="Book Antiqua" w:hAnsi="Book Antiqua" w:cs="Book Antiqua"/>
          <w:color w:val="000000"/>
        </w:rPr>
        <w:t>In conclusion, our results do not indicate that loss of TNFR1 in hepatocytes can protect from diet-induced NASH. However, improved insulin resistance in this model confirms the important role of the liver for glucose homeostasis during obesity.</w:t>
      </w:r>
    </w:p>
    <w:p w14:paraId="5F8A8485" w14:textId="77777777" w:rsidR="00A77B3E" w:rsidRPr="004D7457" w:rsidRDefault="00A77B3E" w:rsidP="004D7457">
      <w:pPr>
        <w:snapToGrid w:val="0"/>
        <w:spacing w:line="360" w:lineRule="auto"/>
        <w:jc w:val="both"/>
      </w:pPr>
    </w:p>
    <w:p w14:paraId="600ABA0E"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u w:val="single"/>
        </w:rPr>
        <w:t>ARTICLE HIGHLIGHTS</w:t>
      </w:r>
    </w:p>
    <w:p w14:paraId="16909FD4"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background</w:t>
      </w:r>
    </w:p>
    <w:p w14:paraId="45503B57" w14:textId="2F14C8DD"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Understanding the pathogenesis of non-alcoholic steatohepatitis (NASH) is crucial for the development of new therapies. The inflammatory cytokine tumor necrosis factor </w:t>
      </w:r>
      <w:r w:rsidR="008919E5" w:rsidRPr="004D7457">
        <w:rPr>
          <w:rFonts w:ascii="Book Antiqua" w:eastAsia="Book Antiqua" w:hAnsi="Book Antiqua" w:cs="Book Antiqua"/>
          <w:color w:val="000000"/>
        </w:rPr>
        <w:t xml:space="preserve">alpha </w:t>
      </w:r>
      <w:r w:rsidRPr="004D7457">
        <w:rPr>
          <w:rFonts w:ascii="Book Antiqua" w:eastAsia="Book Antiqua" w:hAnsi="Book Antiqua" w:cs="Book Antiqua"/>
          <w:color w:val="000000"/>
        </w:rPr>
        <w:t>(TNF</w:t>
      </w:r>
      <w:r w:rsidR="008919E5" w:rsidRPr="004D7457">
        <w:rPr>
          <w:rFonts w:ascii="Book Antiqua" w:eastAsia="Book Antiqua" w:hAnsi="Book Antiqua" w:cs="Book Antiqua"/>
          <w:color w:val="000000"/>
        </w:rPr>
        <w:t>-</w:t>
      </w:r>
      <w:r w:rsidR="008919E5" w:rsidRPr="00933517">
        <w:rPr>
          <w:rFonts w:ascii="Symbol" w:eastAsia="Book Antiqua" w:hAnsi="Symbol" w:cs="Book Antiqua"/>
          <w:color w:val="000000"/>
        </w:rPr>
        <w:t></w:t>
      </w:r>
      <w:r w:rsidRPr="004D7457">
        <w:rPr>
          <w:rFonts w:ascii="Book Antiqua" w:eastAsia="Book Antiqua" w:hAnsi="Book Antiqua" w:cs="Book Antiqua"/>
          <w:color w:val="000000"/>
        </w:rPr>
        <w:t>) is important for the progression of liver disease. It binds to two receptors, TNF receptor 1 (TNFR1) and TNFR2.</w:t>
      </w:r>
    </w:p>
    <w:p w14:paraId="320162B5" w14:textId="77777777" w:rsidR="00A77B3E" w:rsidRPr="004D7457" w:rsidRDefault="00A77B3E" w:rsidP="004D7457">
      <w:pPr>
        <w:snapToGrid w:val="0"/>
        <w:spacing w:line="360" w:lineRule="auto"/>
        <w:jc w:val="both"/>
      </w:pPr>
    </w:p>
    <w:p w14:paraId="7A347505"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motivation</w:t>
      </w:r>
    </w:p>
    <w:p w14:paraId="497A34A8" w14:textId="4B6A8094"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TNF signaling </w:t>
      </w:r>
      <w:r w:rsidRPr="004D7457">
        <w:rPr>
          <w:rFonts w:ascii="Book Antiqua" w:eastAsia="Book Antiqua" w:hAnsi="Book Antiqua" w:cs="Book Antiqua"/>
          <w:i/>
          <w:color w:val="000000"/>
        </w:rPr>
        <w:t>via</w:t>
      </w:r>
      <w:r w:rsidRPr="004D7457">
        <w:rPr>
          <w:rFonts w:ascii="Book Antiqua" w:eastAsia="Book Antiqua" w:hAnsi="Book Antiqua" w:cs="Book Antiqua"/>
          <w:color w:val="000000"/>
        </w:rPr>
        <w:t xml:space="preserve"> TNFR1 has been hypothesized to be important for the development of NASH and hepatocellular carcinoma in whole-body knockout animal models.</w:t>
      </w:r>
    </w:p>
    <w:p w14:paraId="7042E3F9" w14:textId="77777777" w:rsidR="00A77B3E" w:rsidRPr="004D7457" w:rsidRDefault="00A77B3E" w:rsidP="004D7457">
      <w:pPr>
        <w:snapToGrid w:val="0"/>
        <w:spacing w:line="360" w:lineRule="auto"/>
        <w:jc w:val="both"/>
      </w:pPr>
    </w:p>
    <w:p w14:paraId="5130CA95"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objectives</w:t>
      </w:r>
    </w:p>
    <w:p w14:paraId="57D88B2C"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The aim of our study was to investigate the hepatocyte specific role of TNFR1 signaling for diet-induced steatohepatitis.</w:t>
      </w:r>
    </w:p>
    <w:p w14:paraId="295FF70B" w14:textId="77777777" w:rsidR="00A77B3E" w:rsidRPr="004D7457" w:rsidRDefault="00A77B3E" w:rsidP="004D7457">
      <w:pPr>
        <w:snapToGrid w:val="0"/>
        <w:spacing w:line="360" w:lineRule="auto"/>
        <w:jc w:val="both"/>
      </w:pPr>
    </w:p>
    <w:p w14:paraId="61953597"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methods</w:t>
      </w:r>
    </w:p>
    <w:p w14:paraId="3435BE78" w14:textId="77777777" w:rsidR="00A77B3E" w:rsidRPr="004D7457" w:rsidRDefault="00BB7EA4" w:rsidP="004D7457">
      <w:pPr>
        <w:snapToGrid w:val="0"/>
        <w:spacing w:line="360" w:lineRule="auto"/>
        <w:jc w:val="both"/>
      </w:pPr>
      <w:r w:rsidRPr="004D7457">
        <w:rPr>
          <w:rFonts w:ascii="Book Antiqua" w:eastAsia="Book Antiqua" w:hAnsi="Book Antiqua" w:cs="Book Antiqua"/>
          <w:color w:val="000000"/>
        </w:rPr>
        <w:t>NASH was induced by a 20-w</w:t>
      </w:r>
      <w:r w:rsidR="00BB1006" w:rsidRPr="004D7457">
        <w:rPr>
          <w:rFonts w:ascii="Book Antiqua" w:eastAsia="Book Antiqua" w:hAnsi="Book Antiqua" w:cs="Book Antiqua"/>
          <w:color w:val="000000"/>
        </w:rPr>
        <w:t>k western-style fast-food diet in mice deficient of TNFR1 in hepatocytes (TNFR1</w:t>
      </w:r>
      <w:r w:rsidR="00BB1006" w:rsidRPr="004D7457">
        <w:rPr>
          <w:rFonts w:ascii="Book Antiqua" w:eastAsia="Book Antiqua" w:hAnsi="Book Antiqua" w:cs="Book Antiqua"/>
          <w:color w:val="000000"/>
          <w:szCs w:val="30"/>
          <w:vertAlign w:val="superscript"/>
        </w:rPr>
        <w:t>ΔHEP</w:t>
      </w:r>
      <w:r w:rsidR="00BB1006" w:rsidRPr="004D7457">
        <w:rPr>
          <w:rFonts w:ascii="Book Antiqua" w:eastAsia="Book Antiqua" w:hAnsi="Book Antiqua" w:cs="Book Antiqua"/>
          <w:color w:val="000000"/>
        </w:rPr>
        <w:t>) and their wild-type littermates (TNFR1</w:t>
      </w:r>
      <w:r w:rsidR="00BB1006" w:rsidRPr="004D7457">
        <w:rPr>
          <w:rFonts w:ascii="Book Antiqua" w:eastAsia="Book Antiqua" w:hAnsi="Book Antiqua" w:cs="Book Antiqua"/>
          <w:color w:val="000000"/>
          <w:szCs w:val="30"/>
          <w:vertAlign w:val="superscript"/>
        </w:rPr>
        <w:t>fl/fl</w:t>
      </w:r>
      <w:r w:rsidR="00BB1006" w:rsidRPr="004D7457">
        <w:rPr>
          <w:rFonts w:ascii="Book Antiqua" w:eastAsia="Book Antiqua" w:hAnsi="Book Antiqua" w:cs="Book Antiqua"/>
          <w:color w:val="000000"/>
        </w:rPr>
        <w:t>). Features of NASH as well as glucose tolerance and insulin resistance were assessed.</w:t>
      </w:r>
    </w:p>
    <w:p w14:paraId="0CD8C88E" w14:textId="77777777" w:rsidR="00A77B3E" w:rsidRPr="004D7457" w:rsidRDefault="00A77B3E" w:rsidP="004D7457">
      <w:pPr>
        <w:snapToGrid w:val="0"/>
        <w:spacing w:line="360" w:lineRule="auto"/>
        <w:jc w:val="both"/>
      </w:pPr>
    </w:p>
    <w:p w14:paraId="7392A395"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results</w:t>
      </w:r>
    </w:p>
    <w:p w14:paraId="5B9A8D94" w14:textId="6808D949" w:rsidR="00A77B3E" w:rsidRPr="004D7457" w:rsidRDefault="00BB1006" w:rsidP="004D7457">
      <w:pPr>
        <w:snapToGrid w:val="0"/>
        <w:spacing w:line="360" w:lineRule="auto"/>
        <w:jc w:val="both"/>
      </w:pPr>
      <w:r w:rsidRPr="004D7457">
        <w:rPr>
          <w:rFonts w:ascii="Book Antiqua" w:eastAsia="Book Antiqua" w:hAnsi="Book Antiqua" w:cs="Book Antiqua"/>
          <w:color w:val="000000"/>
        </w:rPr>
        <w:t>Obesity, liver injury, inflammation, steatosis</w:t>
      </w:r>
      <w:r w:rsidR="00982D1F"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fibrosis was not different between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xml:space="preserve"> and TNFR1</w:t>
      </w:r>
      <w:r w:rsidRPr="004D7457">
        <w:rPr>
          <w:rFonts w:ascii="Book Antiqua" w:eastAsia="Book Antiqua" w:hAnsi="Book Antiqua" w:cs="Book Antiqua"/>
          <w:color w:val="000000"/>
          <w:szCs w:val="30"/>
          <w:vertAlign w:val="superscript"/>
        </w:rPr>
        <w:t>fl/fl</w:t>
      </w:r>
      <w:r w:rsidRPr="004D7457">
        <w:rPr>
          <w:rFonts w:ascii="Book Antiqua" w:eastAsia="Book Antiqua" w:hAnsi="Book Antiqua" w:cs="Book Antiqua"/>
          <w:color w:val="000000"/>
        </w:rPr>
        <w:t xml:space="preserve"> mice. However, </w:t>
      </w:r>
      <w:r w:rsidRPr="004D7457">
        <w:rPr>
          <w:rFonts w:ascii="Book Antiqua" w:eastAsia="Book Antiqua" w:hAnsi="Book Antiqua" w:cs="Book Antiqua"/>
          <w:i/>
          <w:iCs/>
          <w:color w:val="000000"/>
        </w:rPr>
        <w:t>Tnfr1</w:t>
      </w:r>
      <w:r w:rsidRPr="004D7457">
        <w:rPr>
          <w:rFonts w:ascii="Book Antiqua" w:eastAsia="Book Antiqua" w:hAnsi="Book Antiqua" w:cs="Book Antiqua"/>
          <w:color w:val="000000"/>
        </w:rPr>
        <w:t xml:space="preserve"> deficiency in hepatocytes protected mice against glucose intolerance and insulin resistance.</w:t>
      </w:r>
    </w:p>
    <w:p w14:paraId="533649BF" w14:textId="77777777" w:rsidR="00A77B3E" w:rsidRPr="004D7457" w:rsidRDefault="00A77B3E" w:rsidP="004D7457">
      <w:pPr>
        <w:snapToGrid w:val="0"/>
        <w:spacing w:line="360" w:lineRule="auto"/>
        <w:jc w:val="both"/>
      </w:pPr>
    </w:p>
    <w:p w14:paraId="64B7FC33"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conclusions</w:t>
      </w:r>
    </w:p>
    <w:p w14:paraId="01532C3D"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Our results do not indicate that inhibition of TNFR1 signaling in hepatocytes can protect from diet-induced NASH. However, improved insulin resistance in this model confirms the important role of the liver for glucose homeostasis during obesity.</w:t>
      </w:r>
    </w:p>
    <w:p w14:paraId="6ED4CF5D" w14:textId="77777777" w:rsidR="00A77B3E" w:rsidRPr="004D7457" w:rsidRDefault="00A77B3E" w:rsidP="004D7457">
      <w:pPr>
        <w:snapToGrid w:val="0"/>
        <w:spacing w:line="360" w:lineRule="auto"/>
        <w:jc w:val="both"/>
      </w:pPr>
    </w:p>
    <w:p w14:paraId="75240D42" w14:textId="77777777" w:rsidR="00A77B3E" w:rsidRPr="004D7457" w:rsidRDefault="00BB1006" w:rsidP="004D7457">
      <w:pPr>
        <w:snapToGrid w:val="0"/>
        <w:spacing w:line="360" w:lineRule="auto"/>
        <w:jc w:val="both"/>
      </w:pPr>
      <w:r w:rsidRPr="004D7457">
        <w:rPr>
          <w:rFonts w:ascii="Book Antiqua" w:eastAsia="Book Antiqua" w:hAnsi="Book Antiqua" w:cs="Book Antiqua"/>
          <w:b/>
          <w:i/>
          <w:color w:val="000000"/>
        </w:rPr>
        <w:t>Research perspectives</w:t>
      </w:r>
    </w:p>
    <w:p w14:paraId="031D86B4"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Compensatory mechanisms, possibly occurring </w:t>
      </w:r>
      <w:r w:rsidRPr="004D7457">
        <w:rPr>
          <w:rFonts w:ascii="Book Antiqua" w:eastAsia="Book Antiqua" w:hAnsi="Book Antiqua" w:cs="Book Antiqua"/>
          <w:i/>
          <w:color w:val="000000"/>
        </w:rPr>
        <w:t>via</w:t>
      </w:r>
      <w:r w:rsidRPr="004D7457">
        <w:rPr>
          <w:rFonts w:ascii="Book Antiqua" w:eastAsia="Book Antiqua" w:hAnsi="Book Antiqua" w:cs="Book Antiqua"/>
          <w:color w:val="000000"/>
        </w:rPr>
        <w:t xml:space="preserve"> TNFR2 signaling, need to be investigated in future studies.</w:t>
      </w:r>
    </w:p>
    <w:p w14:paraId="1EC56642" w14:textId="77777777" w:rsidR="00A77B3E" w:rsidRPr="004D7457" w:rsidRDefault="00A77B3E" w:rsidP="004D7457">
      <w:pPr>
        <w:snapToGrid w:val="0"/>
        <w:spacing w:line="360" w:lineRule="auto"/>
        <w:jc w:val="both"/>
      </w:pPr>
    </w:p>
    <w:p w14:paraId="15F0B4AB"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REFERENCES</w:t>
      </w:r>
    </w:p>
    <w:p w14:paraId="4E4FC190" w14:textId="77777777" w:rsidR="00A77B3E" w:rsidRPr="004D7457" w:rsidRDefault="00BB1006" w:rsidP="004D7457">
      <w:pPr>
        <w:snapToGrid w:val="0"/>
        <w:spacing w:line="360" w:lineRule="auto"/>
        <w:jc w:val="both"/>
      </w:pPr>
      <w:bookmarkStart w:id="2" w:name="OLE_LINK1979"/>
      <w:bookmarkStart w:id="3" w:name="OLE_LINK1980"/>
      <w:r w:rsidRPr="004D7457">
        <w:rPr>
          <w:rFonts w:ascii="Book Antiqua" w:eastAsia="Book Antiqua" w:hAnsi="Book Antiqua" w:cs="Book Antiqua"/>
          <w:color w:val="000000"/>
        </w:rPr>
        <w:t xml:space="preserve">1 </w:t>
      </w:r>
      <w:r w:rsidRPr="004D7457">
        <w:rPr>
          <w:rFonts w:ascii="Book Antiqua" w:eastAsia="Book Antiqua" w:hAnsi="Book Antiqua" w:cs="Book Antiqua"/>
          <w:b/>
          <w:bCs/>
          <w:color w:val="000000"/>
        </w:rPr>
        <w:t>Angulo P</w:t>
      </w:r>
      <w:r w:rsidRPr="004D7457">
        <w:rPr>
          <w:rFonts w:ascii="Book Antiqua" w:eastAsia="Book Antiqua" w:hAnsi="Book Antiqua" w:cs="Book Antiqua"/>
          <w:color w:val="000000"/>
        </w:rPr>
        <w:t xml:space="preserve">. Nonalcoholic fatty liver disease. </w:t>
      </w:r>
      <w:r w:rsidRPr="004D7457">
        <w:rPr>
          <w:rFonts w:ascii="Book Antiqua" w:eastAsia="Book Antiqua" w:hAnsi="Book Antiqua" w:cs="Book Antiqua"/>
          <w:i/>
          <w:iCs/>
          <w:color w:val="000000"/>
        </w:rPr>
        <w:t>N Engl J Med</w:t>
      </w:r>
      <w:r w:rsidRPr="004D7457">
        <w:rPr>
          <w:rFonts w:ascii="Book Antiqua" w:eastAsia="Book Antiqua" w:hAnsi="Book Antiqua" w:cs="Book Antiqua"/>
          <w:color w:val="000000"/>
        </w:rPr>
        <w:t xml:space="preserve"> 2002; </w:t>
      </w:r>
      <w:r w:rsidRPr="004D7457">
        <w:rPr>
          <w:rFonts w:ascii="Book Antiqua" w:eastAsia="Book Antiqua" w:hAnsi="Book Antiqua" w:cs="Book Antiqua"/>
          <w:b/>
          <w:bCs/>
          <w:color w:val="000000"/>
        </w:rPr>
        <w:t>346</w:t>
      </w:r>
      <w:r w:rsidRPr="004D7457">
        <w:rPr>
          <w:rFonts w:ascii="Book Antiqua" w:eastAsia="Book Antiqua" w:hAnsi="Book Antiqua" w:cs="Book Antiqua"/>
          <w:color w:val="000000"/>
        </w:rPr>
        <w:t>: 1221-1231 [PMID: 11961152 DOI: 10.1056/NEJMra011775]</w:t>
      </w:r>
    </w:p>
    <w:p w14:paraId="64C1890D"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2 </w:t>
      </w:r>
      <w:r w:rsidRPr="004D7457">
        <w:rPr>
          <w:rFonts w:ascii="Book Antiqua" w:eastAsia="Book Antiqua" w:hAnsi="Book Antiqua" w:cs="Book Antiqua"/>
          <w:b/>
          <w:bCs/>
          <w:color w:val="000000"/>
        </w:rPr>
        <w:t>Vernon G</w:t>
      </w:r>
      <w:r w:rsidRPr="004D7457">
        <w:rPr>
          <w:rFonts w:ascii="Book Antiqua" w:eastAsia="Book Antiqua" w:hAnsi="Book Antiqua" w:cs="Book Antiqua"/>
          <w:color w:val="000000"/>
        </w:rPr>
        <w:t xml:space="preserve">, Baranova A, Younossi ZM. Systematic review: the epidemiology and natural history of non-alcoholic fatty liver disease and non-alcoholic steatohepatitis in adults. </w:t>
      </w:r>
      <w:r w:rsidRPr="004D7457">
        <w:rPr>
          <w:rFonts w:ascii="Book Antiqua" w:eastAsia="Book Antiqua" w:hAnsi="Book Antiqua" w:cs="Book Antiqua"/>
          <w:i/>
          <w:iCs/>
          <w:color w:val="000000"/>
        </w:rPr>
        <w:t>Aliment Pharmacol Ther</w:t>
      </w:r>
      <w:r w:rsidRPr="004D7457">
        <w:rPr>
          <w:rFonts w:ascii="Book Antiqua" w:eastAsia="Book Antiqua" w:hAnsi="Book Antiqua" w:cs="Book Antiqua"/>
          <w:color w:val="000000"/>
        </w:rPr>
        <w:t xml:space="preserve"> 2011; </w:t>
      </w:r>
      <w:r w:rsidRPr="004D7457">
        <w:rPr>
          <w:rFonts w:ascii="Book Antiqua" w:eastAsia="Book Antiqua" w:hAnsi="Book Antiqua" w:cs="Book Antiqua"/>
          <w:b/>
          <w:bCs/>
          <w:color w:val="000000"/>
        </w:rPr>
        <w:t>34</w:t>
      </w:r>
      <w:r w:rsidRPr="004D7457">
        <w:rPr>
          <w:rFonts w:ascii="Book Antiqua" w:eastAsia="Book Antiqua" w:hAnsi="Book Antiqua" w:cs="Book Antiqua"/>
          <w:color w:val="000000"/>
        </w:rPr>
        <w:t>: 274-285 [PMID: 21623852 DOI: 10.1111/j.1365-2036.2011.04724.x]</w:t>
      </w:r>
    </w:p>
    <w:p w14:paraId="6FB3AC7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 </w:t>
      </w:r>
      <w:r w:rsidRPr="004D7457">
        <w:rPr>
          <w:rFonts w:ascii="Book Antiqua" w:eastAsia="Book Antiqua" w:hAnsi="Book Antiqua" w:cs="Book Antiqua"/>
          <w:b/>
          <w:bCs/>
          <w:color w:val="000000"/>
        </w:rPr>
        <w:t>Charlton M</w:t>
      </w:r>
      <w:r w:rsidRPr="004D7457">
        <w:rPr>
          <w:rFonts w:ascii="Book Antiqua" w:eastAsia="Book Antiqua" w:hAnsi="Book Antiqua" w:cs="Book Antiqua"/>
          <w:color w:val="000000"/>
        </w:rPr>
        <w:t xml:space="preserve">, Krishnan A, Viker K, Sanderson S, Cazanave S, McConico A, Masuoko H, Gores G. Fast food diet mouse: novel small animal model of NASH with ballooning, progressive fibrosis, and high physiological fidelity to the human condition. </w:t>
      </w:r>
      <w:r w:rsidRPr="004D7457">
        <w:rPr>
          <w:rFonts w:ascii="Book Antiqua" w:eastAsia="Book Antiqua" w:hAnsi="Book Antiqua" w:cs="Book Antiqua"/>
          <w:i/>
          <w:iCs/>
          <w:color w:val="000000"/>
        </w:rPr>
        <w:t>Am J Physiol Gastrointest Liver Physiol</w:t>
      </w:r>
      <w:r w:rsidRPr="004D7457">
        <w:rPr>
          <w:rFonts w:ascii="Book Antiqua" w:eastAsia="Book Antiqua" w:hAnsi="Book Antiqua" w:cs="Book Antiqua"/>
          <w:color w:val="000000"/>
        </w:rPr>
        <w:t xml:space="preserve"> 2011; </w:t>
      </w:r>
      <w:r w:rsidRPr="004D7457">
        <w:rPr>
          <w:rFonts w:ascii="Book Antiqua" w:eastAsia="Book Antiqua" w:hAnsi="Book Antiqua" w:cs="Book Antiqua"/>
          <w:b/>
          <w:bCs/>
          <w:color w:val="000000"/>
        </w:rPr>
        <w:t>301</w:t>
      </w:r>
      <w:r w:rsidRPr="004D7457">
        <w:rPr>
          <w:rFonts w:ascii="Book Antiqua" w:eastAsia="Book Antiqua" w:hAnsi="Book Antiqua" w:cs="Book Antiqua"/>
          <w:color w:val="000000"/>
        </w:rPr>
        <w:t>: G825-G834 [PMID: 21836057 DOI: 10.1152/ajpgi.00145.2011]</w:t>
      </w:r>
    </w:p>
    <w:p w14:paraId="5AEC048E"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 </w:t>
      </w:r>
      <w:r w:rsidRPr="004D7457">
        <w:rPr>
          <w:rFonts w:ascii="Book Antiqua" w:eastAsia="Book Antiqua" w:hAnsi="Book Antiqua" w:cs="Book Antiqua"/>
          <w:b/>
          <w:bCs/>
          <w:color w:val="000000"/>
        </w:rPr>
        <w:t>Patel SS</w:t>
      </w:r>
      <w:r w:rsidRPr="004D7457">
        <w:rPr>
          <w:rFonts w:ascii="Book Antiqua" w:eastAsia="Book Antiqua" w:hAnsi="Book Antiqua" w:cs="Book Antiqua"/>
          <w:color w:val="000000"/>
        </w:rPr>
        <w:t xml:space="preserve">, Siddiqui MS. Current and Emerging Therapies for Non-alcoholic Fatty Liver Disease. </w:t>
      </w:r>
      <w:r w:rsidRPr="004D7457">
        <w:rPr>
          <w:rFonts w:ascii="Book Antiqua" w:eastAsia="Book Antiqua" w:hAnsi="Book Antiqua" w:cs="Book Antiqua"/>
          <w:i/>
          <w:iCs/>
          <w:color w:val="000000"/>
        </w:rPr>
        <w:t>Drugs</w:t>
      </w:r>
      <w:r w:rsidRPr="004D7457">
        <w:rPr>
          <w:rFonts w:ascii="Book Antiqua" w:eastAsia="Book Antiqua" w:hAnsi="Book Antiqua" w:cs="Book Antiqua"/>
          <w:color w:val="000000"/>
        </w:rPr>
        <w:t xml:space="preserve"> 2019; </w:t>
      </w:r>
      <w:r w:rsidRPr="004D7457">
        <w:rPr>
          <w:rFonts w:ascii="Book Antiqua" w:eastAsia="Book Antiqua" w:hAnsi="Book Antiqua" w:cs="Book Antiqua"/>
          <w:b/>
          <w:bCs/>
          <w:color w:val="000000"/>
        </w:rPr>
        <w:t>79</w:t>
      </w:r>
      <w:r w:rsidRPr="004D7457">
        <w:rPr>
          <w:rFonts w:ascii="Book Antiqua" w:eastAsia="Book Antiqua" w:hAnsi="Book Antiqua" w:cs="Book Antiqua"/>
          <w:color w:val="000000"/>
        </w:rPr>
        <w:t>: 75-84 [PMID: 30588564 DOI: 10.1007/s40265-018-1040-1]</w:t>
      </w:r>
    </w:p>
    <w:p w14:paraId="2B77A5C3"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5 </w:t>
      </w:r>
      <w:r w:rsidRPr="004D7457">
        <w:rPr>
          <w:rFonts w:ascii="Book Antiqua" w:eastAsia="Book Antiqua" w:hAnsi="Book Antiqua" w:cs="Book Antiqua"/>
          <w:b/>
          <w:bCs/>
          <w:color w:val="000000"/>
        </w:rPr>
        <w:t>Abdou RM</w:t>
      </w:r>
      <w:r w:rsidRPr="004D7457">
        <w:rPr>
          <w:rFonts w:ascii="Book Antiqua" w:eastAsia="Book Antiqua" w:hAnsi="Book Antiqua" w:cs="Book Antiqua"/>
          <w:color w:val="000000"/>
        </w:rPr>
        <w:t xml:space="preserve">, Zhu L, Baker RD, Baker SS. Gut Microbiota of Nonalcoholic Fatty Liver Disease. </w:t>
      </w:r>
      <w:r w:rsidRPr="004D7457">
        <w:rPr>
          <w:rFonts w:ascii="Book Antiqua" w:eastAsia="Book Antiqua" w:hAnsi="Book Antiqua" w:cs="Book Antiqua"/>
          <w:i/>
          <w:iCs/>
          <w:color w:val="000000"/>
        </w:rPr>
        <w:t>Dig Dis Sci</w:t>
      </w:r>
      <w:r w:rsidRPr="004D7457">
        <w:rPr>
          <w:rFonts w:ascii="Book Antiqua" w:eastAsia="Book Antiqua" w:hAnsi="Book Antiqua" w:cs="Book Antiqua"/>
          <w:color w:val="000000"/>
        </w:rPr>
        <w:t xml:space="preserve"> 2016; </w:t>
      </w:r>
      <w:r w:rsidRPr="004D7457">
        <w:rPr>
          <w:rFonts w:ascii="Book Antiqua" w:eastAsia="Book Antiqua" w:hAnsi="Book Antiqua" w:cs="Book Antiqua"/>
          <w:b/>
          <w:bCs/>
          <w:color w:val="000000"/>
        </w:rPr>
        <w:t>61</w:t>
      </w:r>
      <w:r w:rsidRPr="004D7457">
        <w:rPr>
          <w:rFonts w:ascii="Book Antiqua" w:eastAsia="Book Antiqua" w:hAnsi="Book Antiqua" w:cs="Book Antiqua"/>
          <w:color w:val="000000"/>
        </w:rPr>
        <w:t>: 1268-1281 [PMID: 26898658 DOI: 10.1007/s10620-016-4045-1]</w:t>
      </w:r>
    </w:p>
    <w:p w14:paraId="281EEC14"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6 </w:t>
      </w:r>
      <w:r w:rsidRPr="004D7457">
        <w:rPr>
          <w:rFonts w:ascii="Book Antiqua" w:eastAsia="Book Antiqua" w:hAnsi="Book Antiqua" w:cs="Book Antiqua"/>
          <w:b/>
          <w:bCs/>
          <w:color w:val="000000"/>
        </w:rPr>
        <w:t>Hartmann P</w:t>
      </w:r>
      <w:r w:rsidRPr="004D7457">
        <w:rPr>
          <w:rFonts w:ascii="Book Antiqua" w:eastAsia="Book Antiqua" w:hAnsi="Book Antiqua" w:cs="Book Antiqua"/>
          <w:color w:val="000000"/>
        </w:rPr>
        <w:t xml:space="preserve">, Chen WC, Schnabl B. The intestinal microbiome and the leaky gut as therapeutic targets in alcoholic liver disease. </w:t>
      </w:r>
      <w:r w:rsidRPr="004D7457">
        <w:rPr>
          <w:rFonts w:ascii="Book Antiqua" w:eastAsia="Book Antiqua" w:hAnsi="Book Antiqua" w:cs="Book Antiqua"/>
          <w:i/>
          <w:iCs/>
          <w:color w:val="000000"/>
        </w:rPr>
        <w:t>Front Physiol</w:t>
      </w:r>
      <w:r w:rsidRPr="004D7457">
        <w:rPr>
          <w:rFonts w:ascii="Book Antiqua" w:eastAsia="Book Antiqua" w:hAnsi="Book Antiqua" w:cs="Book Antiqua"/>
          <w:color w:val="000000"/>
        </w:rPr>
        <w:t xml:space="preserve"> 2012; </w:t>
      </w:r>
      <w:r w:rsidRPr="004D7457">
        <w:rPr>
          <w:rFonts w:ascii="Book Antiqua" w:eastAsia="Book Antiqua" w:hAnsi="Book Antiqua" w:cs="Book Antiqua"/>
          <w:b/>
          <w:bCs/>
          <w:color w:val="000000"/>
        </w:rPr>
        <w:t>3</w:t>
      </w:r>
      <w:r w:rsidRPr="004D7457">
        <w:rPr>
          <w:rFonts w:ascii="Book Antiqua" w:eastAsia="Book Antiqua" w:hAnsi="Book Antiqua" w:cs="Book Antiqua"/>
          <w:color w:val="000000"/>
        </w:rPr>
        <w:t>: 402 [PMID: 23087650 DOI: 10.3389/fphys.2012.00402]</w:t>
      </w:r>
    </w:p>
    <w:p w14:paraId="4553849F"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7 </w:t>
      </w:r>
      <w:r w:rsidRPr="004D7457">
        <w:rPr>
          <w:rFonts w:ascii="Book Antiqua" w:eastAsia="Book Antiqua" w:hAnsi="Book Antiqua" w:cs="Book Antiqua"/>
          <w:b/>
          <w:bCs/>
          <w:color w:val="000000"/>
        </w:rPr>
        <w:t>Hartmann P</w:t>
      </w:r>
      <w:r w:rsidRPr="004D7457">
        <w:rPr>
          <w:rFonts w:ascii="Book Antiqua" w:eastAsia="Book Antiqua" w:hAnsi="Book Antiqua" w:cs="Book Antiqua"/>
          <w:color w:val="000000"/>
        </w:rPr>
        <w:t xml:space="preserve">, Seebauer CT, Schnabl B. Alcoholic liver disease: the gut microbiome and liver cross talk. </w:t>
      </w:r>
      <w:r w:rsidRPr="004D7457">
        <w:rPr>
          <w:rFonts w:ascii="Book Antiqua" w:eastAsia="Book Antiqua" w:hAnsi="Book Antiqua" w:cs="Book Antiqua"/>
          <w:i/>
          <w:iCs/>
          <w:color w:val="000000"/>
        </w:rPr>
        <w:t>Alcohol Clin Exp Res</w:t>
      </w:r>
      <w:r w:rsidRPr="004D7457">
        <w:rPr>
          <w:rFonts w:ascii="Book Antiqua" w:eastAsia="Book Antiqua" w:hAnsi="Book Antiqua" w:cs="Book Antiqua"/>
          <w:color w:val="000000"/>
        </w:rPr>
        <w:t xml:space="preserve"> 2015; </w:t>
      </w:r>
      <w:r w:rsidRPr="004D7457">
        <w:rPr>
          <w:rFonts w:ascii="Book Antiqua" w:eastAsia="Book Antiqua" w:hAnsi="Book Antiqua" w:cs="Book Antiqua"/>
          <w:b/>
          <w:bCs/>
          <w:color w:val="000000"/>
        </w:rPr>
        <w:t>39</w:t>
      </w:r>
      <w:r w:rsidRPr="004D7457">
        <w:rPr>
          <w:rFonts w:ascii="Book Antiqua" w:eastAsia="Book Antiqua" w:hAnsi="Book Antiqua" w:cs="Book Antiqua"/>
          <w:color w:val="000000"/>
        </w:rPr>
        <w:t>: 763-775 [PMID: 25872593 DOI: 10.1111/acer.12704]</w:t>
      </w:r>
    </w:p>
    <w:p w14:paraId="30139AEF"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8 </w:t>
      </w:r>
      <w:r w:rsidRPr="004D7457">
        <w:rPr>
          <w:rFonts w:ascii="Book Antiqua" w:eastAsia="Book Antiqua" w:hAnsi="Book Antiqua" w:cs="Book Antiqua"/>
          <w:b/>
          <w:bCs/>
          <w:color w:val="000000"/>
        </w:rPr>
        <w:t>Llorente C</w:t>
      </w:r>
      <w:r w:rsidRPr="004D7457">
        <w:rPr>
          <w:rFonts w:ascii="Book Antiqua" w:eastAsia="Book Antiqua" w:hAnsi="Book Antiqua" w:cs="Book Antiqua"/>
          <w:color w:val="000000"/>
        </w:rPr>
        <w:t xml:space="preserve">, Schnabl B. The gut microbiota and liver disease. </w:t>
      </w:r>
      <w:r w:rsidRPr="004D7457">
        <w:rPr>
          <w:rFonts w:ascii="Book Antiqua" w:eastAsia="Book Antiqua" w:hAnsi="Book Antiqua" w:cs="Book Antiqua"/>
          <w:i/>
          <w:iCs/>
          <w:color w:val="000000"/>
        </w:rPr>
        <w:t>Cell Mol Gastroenterol Hepatol</w:t>
      </w:r>
      <w:r w:rsidRPr="004D7457">
        <w:rPr>
          <w:rFonts w:ascii="Book Antiqua" w:eastAsia="Book Antiqua" w:hAnsi="Book Antiqua" w:cs="Book Antiqua"/>
          <w:color w:val="000000"/>
        </w:rPr>
        <w:t xml:space="preserve"> 2015; </w:t>
      </w:r>
      <w:r w:rsidRPr="004D7457">
        <w:rPr>
          <w:rFonts w:ascii="Book Antiqua" w:eastAsia="Book Antiqua" w:hAnsi="Book Antiqua" w:cs="Book Antiqua"/>
          <w:b/>
          <w:bCs/>
          <w:color w:val="000000"/>
        </w:rPr>
        <w:t>1</w:t>
      </w:r>
      <w:r w:rsidRPr="004D7457">
        <w:rPr>
          <w:rFonts w:ascii="Book Antiqua" w:eastAsia="Book Antiqua" w:hAnsi="Book Antiqua" w:cs="Book Antiqua"/>
          <w:color w:val="000000"/>
        </w:rPr>
        <w:t>: 275-284 [PMID: 26090511 DOI: 10.1016/j.jcmgh.2015.04.003]</w:t>
      </w:r>
    </w:p>
    <w:p w14:paraId="7B2B8E20"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9 </w:t>
      </w:r>
      <w:r w:rsidRPr="004D7457">
        <w:rPr>
          <w:rFonts w:ascii="Book Antiqua" w:eastAsia="Book Antiqua" w:hAnsi="Book Antiqua" w:cs="Book Antiqua"/>
          <w:b/>
          <w:bCs/>
          <w:color w:val="000000"/>
        </w:rPr>
        <w:t>Wieland A</w:t>
      </w:r>
      <w:r w:rsidRPr="004D7457">
        <w:rPr>
          <w:rFonts w:ascii="Book Antiqua" w:eastAsia="Book Antiqua" w:hAnsi="Book Antiqua" w:cs="Book Antiqua"/>
          <w:color w:val="000000"/>
        </w:rPr>
        <w:t xml:space="preserve">, Frank DN, Harnke B, Bambha K. Systematic review: microbial dysbiosis and nonalcoholic fatty liver disease. </w:t>
      </w:r>
      <w:r w:rsidRPr="004D7457">
        <w:rPr>
          <w:rFonts w:ascii="Book Antiqua" w:eastAsia="Book Antiqua" w:hAnsi="Book Antiqua" w:cs="Book Antiqua"/>
          <w:i/>
          <w:iCs/>
          <w:color w:val="000000"/>
        </w:rPr>
        <w:t>Aliment Pharmacol Ther</w:t>
      </w:r>
      <w:r w:rsidRPr="004D7457">
        <w:rPr>
          <w:rFonts w:ascii="Book Antiqua" w:eastAsia="Book Antiqua" w:hAnsi="Book Antiqua" w:cs="Book Antiqua"/>
          <w:color w:val="000000"/>
        </w:rPr>
        <w:t xml:space="preserve"> 2015; </w:t>
      </w:r>
      <w:r w:rsidRPr="004D7457">
        <w:rPr>
          <w:rFonts w:ascii="Book Antiqua" w:eastAsia="Book Antiqua" w:hAnsi="Book Antiqua" w:cs="Book Antiqua"/>
          <w:b/>
          <w:bCs/>
          <w:color w:val="000000"/>
        </w:rPr>
        <w:t>42</w:t>
      </w:r>
      <w:r w:rsidRPr="004D7457">
        <w:rPr>
          <w:rFonts w:ascii="Book Antiqua" w:eastAsia="Book Antiqua" w:hAnsi="Book Antiqua" w:cs="Book Antiqua"/>
          <w:color w:val="000000"/>
        </w:rPr>
        <w:t>: 1051-1063 [PMID: 26304302 DOI: 10.1111/apt.13376]</w:t>
      </w:r>
    </w:p>
    <w:p w14:paraId="50F8508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10 </w:t>
      </w:r>
      <w:r w:rsidRPr="004D7457">
        <w:rPr>
          <w:rFonts w:ascii="Book Antiqua" w:eastAsia="Book Antiqua" w:hAnsi="Book Antiqua" w:cs="Book Antiqua"/>
          <w:b/>
          <w:bCs/>
          <w:color w:val="000000"/>
        </w:rPr>
        <w:t>Yan AW</w:t>
      </w:r>
      <w:r w:rsidRPr="004D7457">
        <w:rPr>
          <w:rFonts w:ascii="Book Antiqua" w:eastAsia="Book Antiqua" w:hAnsi="Book Antiqua" w:cs="Book Antiqua"/>
          <w:color w:val="000000"/>
        </w:rPr>
        <w:t xml:space="preserve">, Schnabl B. Bacterial translocation and changes in the intestinal microbiome associated with alcoholic liver disease. </w:t>
      </w:r>
      <w:r w:rsidRPr="004D7457">
        <w:rPr>
          <w:rFonts w:ascii="Book Antiqua" w:eastAsia="Book Antiqua" w:hAnsi="Book Antiqua" w:cs="Book Antiqua"/>
          <w:i/>
          <w:iCs/>
          <w:color w:val="000000"/>
        </w:rPr>
        <w:t>World J Hepatol</w:t>
      </w:r>
      <w:r w:rsidRPr="004D7457">
        <w:rPr>
          <w:rFonts w:ascii="Book Antiqua" w:eastAsia="Book Antiqua" w:hAnsi="Book Antiqua" w:cs="Book Antiqua"/>
          <w:color w:val="000000"/>
        </w:rPr>
        <w:t xml:space="preserve"> 2012; </w:t>
      </w:r>
      <w:r w:rsidRPr="004D7457">
        <w:rPr>
          <w:rFonts w:ascii="Book Antiqua" w:eastAsia="Book Antiqua" w:hAnsi="Book Antiqua" w:cs="Book Antiqua"/>
          <w:b/>
          <w:bCs/>
          <w:color w:val="000000"/>
        </w:rPr>
        <w:t>4</w:t>
      </w:r>
      <w:r w:rsidRPr="004D7457">
        <w:rPr>
          <w:rFonts w:ascii="Book Antiqua" w:eastAsia="Book Antiqua" w:hAnsi="Book Antiqua" w:cs="Book Antiqua"/>
          <w:color w:val="000000"/>
        </w:rPr>
        <w:t>: 110-118 [PMID: 22567183 DOI: 10.4254/wjh.v4.i4.110]</w:t>
      </w:r>
    </w:p>
    <w:p w14:paraId="6135D18F"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11 </w:t>
      </w:r>
      <w:r w:rsidRPr="004D7457">
        <w:rPr>
          <w:rFonts w:ascii="Book Antiqua" w:eastAsia="Book Antiqua" w:hAnsi="Book Antiqua" w:cs="Book Antiqua"/>
          <w:b/>
          <w:bCs/>
          <w:color w:val="000000"/>
        </w:rPr>
        <w:t>Chen Y</w:t>
      </w:r>
      <w:r w:rsidRPr="004D7457">
        <w:rPr>
          <w:rFonts w:ascii="Book Antiqua" w:eastAsia="Book Antiqua" w:hAnsi="Book Antiqua" w:cs="Book Antiqua"/>
          <w:color w:val="000000"/>
        </w:rPr>
        <w:t xml:space="preserve">, Yang F, Lu H, Wang B, Chen Y, Lei D, Wang Y, Zhu B, Li L. Characterization of fecal microbial communities in patients with liver cirrhosis. </w:t>
      </w:r>
      <w:r w:rsidRPr="004D7457">
        <w:rPr>
          <w:rFonts w:ascii="Book Antiqua" w:eastAsia="Book Antiqua" w:hAnsi="Book Antiqua" w:cs="Book Antiqua"/>
          <w:i/>
          <w:iCs/>
          <w:color w:val="000000"/>
        </w:rPr>
        <w:t>Hepatology</w:t>
      </w:r>
      <w:r w:rsidRPr="004D7457">
        <w:rPr>
          <w:rFonts w:ascii="Book Antiqua" w:eastAsia="Book Antiqua" w:hAnsi="Book Antiqua" w:cs="Book Antiqua"/>
          <w:color w:val="000000"/>
        </w:rPr>
        <w:t xml:space="preserve"> 2011; </w:t>
      </w:r>
      <w:r w:rsidRPr="004D7457">
        <w:rPr>
          <w:rFonts w:ascii="Book Antiqua" w:eastAsia="Book Antiqua" w:hAnsi="Book Antiqua" w:cs="Book Antiqua"/>
          <w:b/>
          <w:bCs/>
          <w:color w:val="000000"/>
        </w:rPr>
        <w:t>54</w:t>
      </w:r>
      <w:r w:rsidRPr="004D7457">
        <w:rPr>
          <w:rFonts w:ascii="Book Antiqua" w:eastAsia="Book Antiqua" w:hAnsi="Book Antiqua" w:cs="Book Antiqua"/>
          <w:color w:val="000000"/>
        </w:rPr>
        <w:t>: 562-572 [PMID: 21574172 DOI: 10.1002/hep.24423]</w:t>
      </w:r>
    </w:p>
    <w:p w14:paraId="68B5539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12 </w:t>
      </w:r>
      <w:r w:rsidRPr="004D7457">
        <w:rPr>
          <w:rFonts w:ascii="Book Antiqua" w:eastAsia="Book Antiqua" w:hAnsi="Book Antiqua" w:cs="Book Antiqua"/>
          <w:b/>
          <w:bCs/>
          <w:color w:val="000000"/>
        </w:rPr>
        <w:t>Llopis M</w:t>
      </w:r>
      <w:r w:rsidRPr="004D7457">
        <w:rPr>
          <w:rFonts w:ascii="Book Antiqua" w:eastAsia="Book Antiqua" w:hAnsi="Book Antiqua" w:cs="Book Antiqua"/>
          <w:color w:val="000000"/>
        </w:rPr>
        <w:t xml:space="preserve">, Cassard AM, Wrzosek L, Boschat L, Bruneau A, Ferrere G, Puchois V, Martin JC, Lepage P, Le Roy T, Lefèvre L, Langelier B, Cailleux F, González-Castro AM, Rabot S, Gaudin F, Agostini H, Prévot S, Berrebi D, Ciocan D, Jousse C, Naveau S, Gérard P, Perlemuter G. Intestinal microbiota contributes to individual susceptibility to alcoholic liver disease. </w:t>
      </w:r>
      <w:r w:rsidRPr="004D7457">
        <w:rPr>
          <w:rFonts w:ascii="Book Antiqua" w:eastAsia="Book Antiqua" w:hAnsi="Book Antiqua" w:cs="Book Antiqua"/>
          <w:i/>
          <w:iCs/>
          <w:color w:val="000000"/>
        </w:rPr>
        <w:t>Gut</w:t>
      </w:r>
      <w:r w:rsidRPr="004D7457">
        <w:rPr>
          <w:rFonts w:ascii="Book Antiqua" w:eastAsia="Book Antiqua" w:hAnsi="Book Antiqua" w:cs="Book Antiqua"/>
          <w:color w:val="000000"/>
        </w:rPr>
        <w:t xml:space="preserve"> 2016; </w:t>
      </w:r>
      <w:r w:rsidRPr="004D7457">
        <w:rPr>
          <w:rFonts w:ascii="Book Antiqua" w:eastAsia="Book Antiqua" w:hAnsi="Book Antiqua" w:cs="Book Antiqua"/>
          <w:b/>
          <w:bCs/>
          <w:color w:val="000000"/>
        </w:rPr>
        <w:t>65</w:t>
      </w:r>
      <w:r w:rsidRPr="004D7457">
        <w:rPr>
          <w:rFonts w:ascii="Book Antiqua" w:eastAsia="Book Antiqua" w:hAnsi="Book Antiqua" w:cs="Book Antiqua"/>
          <w:color w:val="000000"/>
        </w:rPr>
        <w:t>: 830-839 [PMID: 26642859 DOI: 10.1136/gutjnl-2015-310585]</w:t>
      </w:r>
    </w:p>
    <w:p w14:paraId="0F5465E8"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13 </w:t>
      </w:r>
      <w:r w:rsidRPr="004D7457">
        <w:rPr>
          <w:rFonts w:ascii="Book Antiqua" w:eastAsia="Book Antiqua" w:hAnsi="Book Antiqua" w:cs="Book Antiqua"/>
          <w:b/>
          <w:bCs/>
          <w:color w:val="000000"/>
        </w:rPr>
        <w:t>Boursier J</w:t>
      </w:r>
      <w:r w:rsidRPr="004D7457">
        <w:rPr>
          <w:rFonts w:ascii="Book Antiqua" w:eastAsia="Book Antiqua" w:hAnsi="Book Antiqua" w:cs="Book Antiqua"/>
          <w:color w:val="000000"/>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sidRPr="004D7457">
        <w:rPr>
          <w:rFonts w:ascii="Book Antiqua" w:eastAsia="Book Antiqua" w:hAnsi="Book Antiqua" w:cs="Book Antiqua"/>
          <w:i/>
          <w:iCs/>
          <w:color w:val="000000"/>
        </w:rPr>
        <w:t>Hepatology</w:t>
      </w:r>
      <w:r w:rsidRPr="004D7457">
        <w:rPr>
          <w:rFonts w:ascii="Book Antiqua" w:eastAsia="Book Antiqua" w:hAnsi="Book Antiqua" w:cs="Book Antiqua"/>
          <w:color w:val="000000"/>
        </w:rPr>
        <w:t xml:space="preserve"> 2016; </w:t>
      </w:r>
      <w:r w:rsidRPr="004D7457">
        <w:rPr>
          <w:rFonts w:ascii="Book Antiqua" w:eastAsia="Book Antiqua" w:hAnsi="Book Antiqua" w:cs="Book Antiqua"/>
          <w:b/>
          <w:bCs/>
          <w:color w:val="000000"/>
        </w:rPr>
        <w:t>63</w:t>
      </w:r>
      <w:r w:rsidRPr="004D7457">
        <w:rPr>
          <w:rFonts w:ascii="Book Antiqua" w:eastAsia="Book Antiqua" w:hAnsi="Book Antiqua" w:cs="Book Antiqua"/>
          <w:color w:val="000000"/>
        </w:rPr>
        <w:t>: 764-775 [PMID: 26600078 DOI: 10.1002/hep.28356]</w:t>
      </w:r>
    </w:p>
    <w:p w14:paraId="33D6228A"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14 </w:t>
      </w:r>
      <w:r w:rsidRPr="004D7457">
        <w:rPr>
          <w:rFonts w:ascii="Book Antiqua" w:eastAsia="Book Antiqua" w:hAnsi="Book Antiqua" w:cs="Book Antiqua"/>
          <w:b/>
          <w:bCs/>
          <w:color w:val="000000"/>
        </w:rPr>
        <w:t>Le Roy T</w:t>
      </w:r>
      <w:r w:rsidRPr="004D7457">
        <w:rPr>
          <w:rFonts w:ascii="Book Antiqua" w:eastAsia="Book Antiqua" w:hAnsi="Book Antiqua" w:cs="Book Antiqua"/>
          <w:color w:val="000000"/>
        </w:rPr>
        <w:t xml:space="preserve">, Llopis M, Lepage P, Bruneau A, Rabot S, Bevilacqua C, Martin P, Philippe C, Walker F, Bado A, Perlemuter G, Cassard-Doulcier AM, Gérard P. Intestinal microbiota determines development of non-alcoholic fatty liver disease in mice. </w:t>
      </w:r>
      <w:r w:rsidRPr="004D7457">
        <w:rPr>
          <w:rFonts w:ascii="Book Antiqua" w:eastAsia="Book Antiqua" w:hAnsi="Book Antiqua" w:cs="Book Antiqua"/>
          <w:i/>
          <w:iCs/>
          <w:color w:val="000000"/>
        </w:rPr>
        <w:t>Gut</w:t>
      </w:r>
      <w:r w:rsidRPr="004D7457">
        <w:rPr>
          <w:rFonts w:ascii="Book Antiqua" w:eastAsia="Book Antiqua" w:hAnsi="Book Antiqua" w:cs="Book Antiqua"/>
          <w:color w:val="000000"/>
        </w:rPr>
        <w:t xml:space="preserve"> 2013; </w:t>
      </w:r>
      <w:r w:rsidRPr="004D7457">
        <w:rPr>
          <w:rFonts w:ascii="Book Antiqua" w:eastAsia="Book Antiqua" w:hAnsi="Book Antiqua" w:cs="Book Antiqua"/>
          <w:b/>
          <w:bCs/>
          <w:color w:val="000000"/>
        </w:rPr>
        <w:t>62</w:t>
      </w:r>
      <w:r w:rsidRPr="004D7457">
        <w:rPr>
          <w:rFonts w:ascii="Book Antiqua" w:eastAsia="Book Antiqua" w:hAnsi="Book Antiqua" w:cs="Book Antiqua"/>
          <w:color w:val="000000"/>
        </w:rPr>
        <w:t>: 1787-1794 [PMID: 23197411 DOI: 10.1136/gutjnl-2012-303816]</w:t>
      </w:r>
    </w:p>
    <w:p w14:paraId="38F7D6E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15 </w:t>
      </w:r>
      <w:r w:rsidRPr="004D7457">
        <w:rPr>
          <w:rFonts w:ascii="Book Antiqua" w:eastAsia="Book Antiqua" w:hAnsi="Book Antiqua" w:cs="Book Antiqua"/>
          <w:b/>
          <w:bCs/>
          <w:color w:val="000000"/>
        </w:rPr>
        <w:t>Henao-Mejia J</w:t>
      </w:r>
      <w:r w:rsidRPr="004D7457">
        <w:rPr>
          <w:rFonts w:ascii="Book Antiqua" w:eastAsia="Book Antiqua" w:hAnsi="Book Antiqua" w:cs="Book Antiqua"/>
          <w:color w:val="000000"/>
        </w:rPr>
        <w:t xml:space="preserve">, Elinav E, Jin C, Hao L, Mehal WZ, Strowig T, Thaiss CA, Kau AL, Eisenbarth SC, Jurczak MJ, Camporez JP, Shulman GI, Gordon JI, Hoffman HM, Flavell RA. Inflammasome-mediated dysbiosis regulates progression of NAFLD and obesity. </w:t>
      </w:r>
      <w:r w:rsidRPr="004D7457">
        <w:rPr>
          <w:rFonts w:ascii="Book Antiqua" w:eastAsia="Book Antiqua" w:hAnsi="Book Antiqua" w:cs="Book Antiqua"/>
          <w:i/>
          <w:iCs/>
          <w:color w:val="000000"/>
        </w:rPr>
        <w:t>Nature</w:t>
      </w:r>
      <w:r w:rsidRPr="004D7457">
        <w:rPr>
          <w:rFonts w:ascii="Book Antiqua" w:eastAsia="Book Antiqua" w:hAnsi="Book Antiqua" w:cs="Book Antiqua"/>
          <w:color w:val="000000"/>
        </w:rPr>
        <w:t xml:space="preserve"> 2012; </w:t>
      </w:r>
      <w:r w:rsidRPr="004D7457">
        <w:rPr>
          <w:rFonts w:ascii="Book Antiqua" w:eastAsia="Book Antiqua" w:hAnsi="Book Antiqua" w:cs="Book Antiqua"/>
          <w:b/>
          <w:bCs/>
          <w:color w:val="000000"/>
        </w:rPr>
        <w:t>482</w:t>
      </w:r>
      <w:r w:rsidRPr="004D7457">
        <w:rPr>
          <w:rFonts w:ascii="Book Antiqua" w:eastAsia="Book Antiqua" w:hAnsi="Book Antiqua" w:cs="Book Antiqua"/>
          <w:color w:val="000000"/>
        </w:rPr>
        <w:t>: 179-185 [PMID: 22297845 DOI: 10.1038/nature10809]</w:t>
      </w:r>
    </w:p>
    <w:p w14:paraId="16FB7246"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16 </w:t>
      </w:r>
      <w:r w:rsidRPr="004D7457">
        <w:rPr>
          <w:rFonts w:ascii="Book Antiqua" w:eastAsia="Book Antiqua" w:hAnsi="Book Antiqua" w:cs="Book Antiqua"/>
          <w:b/>
          <w:bCs/>
          <w:color w:val="000000"/>
        </w:rPr>
        <w:t>Bluemel S</w:t>
      </w:r>
      <w:r w:rsidRPr="004D7457">
        <w:rPr>
          <w:rFonts w:ascii="Book Antiqua" w:eastAsia="Book Antiqua" w:hAnsi="Book Antiqua" w:cs="Book Antiqua"/>
          <w:color w:val="000000"/>
        </w:rPr>
        <w:t xml:space="preserve">, Williams B, Knight R, Schnabl B. Precision medicine in alcoholic and nonalcoholic fatty liver disease via modulating the gut microbiota. </w:t>
      </w:r>
      <w:r w:rsidRPr="004D7457">
        <w:rPr>
          <w:rFonts w:ascii="Book Antiqua" w:eastAsia="Book Antiqua" w:hAnsi="Book Antiqua" w:cs="Book Antiqua"/>
          <w:i/>
          <w:iCs/>
          <w:color w:val="000000"/>
        </w:rPr>
        <w:t>Am J Physiol Gastrointest Liver Physiol</w:t>
      </w:r>
      <w:r w:rsidRPr="004D7457">
        <w:rPr>
          <w:rFonts w:ascii="Book Antiqua" w:eastAsia="Book Antiqua" w:hAnsi="Book Antiqua" w:cs="Book Antiqua"/>
          <w:color w:val="000000"/>
        </w:rPr>
        <w:t xml:space="preserve"> 2016; </w:t>
      </w:r>
      <w:r w:rsidRPr="004D7457">
        <w:rPr>
          <w:rFonts w:ascii="Book Antiqua" w:eastAsia="Book Antiqua" w:hAnsi="Book Antiqua" w:cs="Book Antiqua"/>
          <w:b/>
          <w:bCs/>
          <w:color w:val="000000"/>
        </w:rPr>
        <w:t>311</w:t>
      </w:r>
      <w:r w:rsidRPr="004D7457">
        <w:rPr>
          <w:rFonts w:ascii="Book Antiqua" w:eastAsia="Book Antiqua" w:hAnsi="Book Antiqua" w:cs="Book Antiqua"/>
          <w:color w:val="000000"/>
        </w:rPr>
        <w:t>: G1018-G1036 [PMID: 27686615 DOI: 10.1152/ajpgi.00245.2016]</w:t>
      </w:r>
    </w:p>
    <w:p w14:paraId="475B968F"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17 </w:t>
      </w:r>
      <w:r w:rsidRPr="004D7457">
        <w:rPr>
          <w:rFonts w:ascii="Book Antiqua" w:eastAsia="Book Antiqua" w:hAnsi="Book Antiqua" w:cs="Book Antiqua"/>
          <w:b/>
          <w:bCs/>
          <w:color w:val="000000"/>
        </w:rPr>
        <w:t>Sharifnia T</w:t>
      </w:r>
      <w:r w:rsidRPr="004D7457">
        <w:rPr>
          <w:rFonts w:ascii="Book Antiqua" w:eastAsia="Book Antiqua" w:hAnsi="Book Antiqua" w:cs="Book Antiqua"/>
          <w:color w:val="000000"/>
        </w:rPr>
        <w:t xml:space="preserve">, Antoun J, Verriere TG, Suarez G, Wattacheril J, Wilson KT, Peek RM Jr, Abumrad NN, Flynn CR. Hepatic TLR4 signaling in obese NAFLD. </w:t>
      </w:r>
      <w:r w:rsidRPr="004D7457">
        <w:rPr>
          <w:rFonts w:ascii="Book Antiqua" w:eastAsia="Book Antiqua" w:hAnsi="Book Antiqua" w:cs="Book Antiqua"/>
          <w:i/>
          <w:iCs/>
          <w:color w:val="000000"/>
        </w:rPr>
        <w:t xml:space="preserve">Am J Physiol </w:t>
      </w:r>
      <w:r w:rsidRPr="004D7457">
        <w:rPr>
          <w:rFonts w:ascii="Book Antiqua" w:eastAsia="Book Antiqua" w:hAnsi="Book Antiqua" w:cs="Book Antiqua"/>
          <w:i/>
          <w:iCs/>
          <w:color w:val="000000"/>
        </w:rPr>
        <w:lastRenderedPageBreak/>
        <w:t>Gastrointest Liver Physiol</w:t>
      </w:r>
      <w:r w:rsidRPr="004D7457">
        <w:rPr>
          <w:rFonts w:ascii="Book Antiqua" w:eastAsia="Book Antiqua" w:hAnsi="Book Antiqua" w:cs="Book Antiqua"/>
          <w:color w:val="000000"/>
        </w:rPr>
        <w:t xml:space="preserve"> 2015; </w:t>
      </w:r>
      <w:r w:rsidRPr="004D7457">
        <w:rPr>
          <w:rFonts w:ascii="Book Antiqua" w:eastAsia="Book Antiqua" w:hAnsi="Book Antiqua" w:cs="Book Antiqua"/>
          <w:b/>
          <w:bCs/>
          <w:color w:val="000000"/>
        </w:rPr>
        <w:t>309</w:t>
      </w:r>
      <w:r w:rsidRPr="004D7457">
        <w:rPr>
          <w:rFonts w:ascii="Book Antiqua" w:eastAsia="Book Antiqua" w:hAnsi="Book Antiqua" w:cs="Book Antiqua"/>
          <w:color w:val="000000"/>
        </w:rPr>
        <w:t>: G270-G278 [PMID: 26113297 DOI: 10.1152/ajpgi.00304.2014]</w:t>
      </w:r>
    </w:p>
    <w:p w14:paraId="1FABCF7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18 </w:t>
      </w:r>
      <w:r w:rsidRPr="004D7457">
        <w:rPr>
          <w:rFonts w:ascii="Book Antiqua" w:eastAsia="Book Antiqua" w:hAnsi="Book Antiqua" w:cs="Book Antiqua"/>
          <w:b/>
          <w:bCs/>
          <w:color w:val="000000"/>
        </w:rPr>
        <w:t>Seki E</w:t>
      </w:r>
      <w:r w:rsidRPr="004D7457">
        <w:rPr>
          <w:rFonts w:ascii="Book Antiqua" w:eastAsia="Book Antiqua" w:hAnsi="Book Antiqua" w:cs="Book Antiqua"/>
          <w:color w:val="000000"/>
        </w:rPr>
        <w:t xml:space="preserve">, De Minicis S, Osterreicher CH, Kluwe J, Osawa Y, Brenner DA, Schwabe RF. TLR4 enhances TGF-beta signaling and hepatic fibrosis. </w:t>
      </w:r>
      <w:r w:rsidRPr="004D7457">
        <w:rPr>
          <w:rFonts w:ascii="Book Antiqua" w:eastAsia="Book Antiqua" w:hAnsi="Book Antiqua" w:cs="Book Antiqua"/>
          <w:i/>
          <w:iCs/>
          <w:color w:val="000000"/>
        </w:rPr>
        <w:t>Nat Med</w:t>
      </w:r>
      <w:r w:rsidRPr="004D7457">
        <w:rPr>
          <w:rFonts w:ascii="Book Antiqua" w:eastAsia="Book Antiqua" w:hAnsi="Book Antiqua" w:cs="Book Antiqua"/>
          <w:color w:val="000000"/>
        </w:rPr>
        <w:t xml:space="preserve"> 2007; </w:t>
      </w:r>
      <w:r w:rsidRPr="004D7457">
        <w:rPr>
          <w:rFonts w:ascii="Book Antiqua" w:eastAsia="Book Antiqua" w:hAnsi="Book Antiqua" w:cs="Book Antiqua"/>
          <w:b/>
          <w:bCs/>
          <w:color w:val="000000"/>
        </w:rPr>
        <w:t>13</w:t>
      </w:r>
      <w:r w:rsidRPr="004D7457">
        <w:rPr>
          <w:rFonts w:ascii="Book Antiqua" w:eastAsia="Book Antiqua" w:hAnsi="Book Antiqua" w:cs="Book Antiqua"/>
          <w:color w:val="000000"/>
        </w:rPr>
        <w:t>: 1324-1332 [PMID: 17952090 DOI: 10.1038/nm1663]</w:t>
      </w:r>
    </w:p>
    <w:p w14:paraId="1D427760"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19 </w:t>
      </w:r>
      <w:r w:rsidRPr="004D7457">
        <w:rPr>
          <w:rFonts w:ascii="Book Antiqua" w:eastAsia="Book Antiqua" w:hAnsi="Book Antiqua" w:cs="Book Antiqua"/>
          <w:b/>
          <w:bCs/>
          <w:color w:val="000000"/>
        </w:rPr>
        <w:t>Su GL</w:t>
      </w:r>
      <w:r w:rsidRPr="004D7457">
        <w:rPr>
          <w:rFonts w:ascii="Book Antiqua" w:eastAsia="Book Antiqua" w:hAnsi="Book Antiqua" w:cs="Book Antiqua"/>
          <w:color w:val="000000"/>
        </w:rPr>
        <w:t xml:space="preserve">. Lipopolysaccharides in liver injury: molecular mechanisms of Kupffer cell activation. </w:t>
      </w:r>
      <w:r w:rsidRPr="004D7457">
        <w:rPr>
          <w:rFonts w:ascii="Book Antiqua" w:eastAsia="Book Antiqua" w:hAnsi="Book Antiqua" w:cs="Book Antiqua"/>
          <w:i/>
          <w:iCs/>
          <w:color w:val="000000"/>
        </w:rPr>
        <w:t>Am J Physiol Gastrointest Liver Physiol</w:t>
      </w:r>
      <w:r w:rsidRPr="004D7457">
        <w:rPr>
          <w:rFonts w:ascii="Book Antiqua" w:eastAsia="Book Antiqua" w:hAnsi="Book Antiqua" w:cs="Book Antiqua"/>
          <w:color w:val="000000"/>
        </w:rPr>
        <w:t xml:space="preserve"> 2002; </w:t>
      </w:r>
      <w:r w:rsidRPr="004D7457">
        <w:rPr>
          <w:rFonts w:ascii="Book Antiqua" w:eastAsia="Book Antiqua" w:hAnsi="Book Antiqua" w:cs="Book Antiqua"/>
          <w:b/>
          <w:bCs/>
          <w:color w:val="000000"/>
        </w:rPr>
        <w:t>283</w:t>
      </w:r>
      <w:r w:rsidRPr="004D7457">
        <w:rPr>
          <w:rFonts w:ascii="Book Antiqua" w:eastAsia="Book Antiqua" w:hAnsi="Book Antiqua" w:cs="Book Antiqua"/>
          <w:color w:val="000000"/>
        </w:rPr>
        <w:t>: G256-G265 [PMID: 12121871 DOI: 10.1152/ajpgi.00550.2001]</w:t>
      </w:r>
    </w:p>
    <w:p w14:paraId="19EA5660"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20 </w:t>
      </w:r>
      <w:r w:rsidRPr="004D7457">
        <w:rPr>
          <w:rFonts w:ascii="Book Antiqua" w:eastAsia="Book Antiqua" w:hAnsi="Book Antiqua" w:cs="Book Antiqua"/>
          <w:b/>
          <w:bCs/>
          <w:color w:val="000000"/>
        </w:rPr>
        <w:t>Leist M</w:t>
      </w:r>
      <w:r w:rsidRPr="004D7457">
        <w:rPr>
          <w:rFonts w:ascii="Book Antiqua" w:eastAsia="Book Antiqua" w:hAnsi="Book Antiqua" w:cs="Book Antiqua"/>
          <w:color w:val="000000"/>
        </w:rPr>
        <w:t xml:space="preserve">, Gantner F, Jilg S, Wendel A. Activation of the 55 kDa TNF receptor is necessary and sufficient for TNF-induced liver failure, hepatocyte apoptosis, and nitrite release. </w:t>
      </w:r>
      <w:r w:rsidRPr="004D7457">
        <w:rPr>
          <w:rFonts w:ascii="Book Antiqua" w:eastAsia="Book Antiqua" w:hAnsi="Book Antiqua" w:cs="Book Antiqua"/>
          <w:i/>
          <w:iCs/>
          <w:color w:val="000000"/>
        </w:rPr>
        <w:t>J Immunol</w:t>
      </w:r>
      <w:r w:rsidRPr="004D7457">
        <w:rPr>
          <w:rFonts w:ascii="Book Antiqua" w:eastAsia="Book Antiqua" w:hAnsi="Book Antiqua" w:cs="Book Antiqua"/>
          <w:color w:val="000000"/>
        </w:rPr>
        <w:t xml:space="preserve"> 1995; </w:t>
      </w:r>
      <w:r w:rsidRPr="004D7457">
        <w:rPr>
          <w:rFonts w:ascii="Book Antiqua" w:eastAsia="Book Antiqua" w:hAnsi="Book Antiqua" w:cs="Book Antiqua"/>
          <w:b/>
          <w:bCs/>
          <w:color w:val="000000"/>
        </w:rPr>
        <w:t>154</w:t>
      </w:r>
      <w:r w:rsidRPr="004D7457">
        <w:rPr>
          <w:rFonts w:ascii="Book Antiqua" w:eastAsia="Book Antiqua" w:hAnsi="Book Antiqua" w:cs="Book Antiqua"/>
          <w:color w:val="000000"/>
        </w:rPr>
        <w:t>: 1307-1316 [PMID: 7822799]</w:t>
      </w:r>
    </w:p>
    <w:p w14:paraId="4E0052B4"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21 </w:t>
      </w:r>
      <w:r w:rsidRPr="004D7457">
        <w:rPr>
          <w:rFonts w:ascii="Book Antiqua" w:eastAsia="Book Antiqua" w:hAnsi="Book Antiqua" w:cs="Book Antiqua"/>
          <w:b/>
          <w:bCs/>
          <w:color w:val="000000"/>
        </w:rPr>
        <w:t>Aggarwal BB</w:t>
      </w:r>
      <w:r w:rsidRPr="004D7457">
        <w:rPr>
          <w:rFonts w:ascii="Book Antiqua" w:eastAsia="Book Antiqua" w:hAnsi="Book Antiqua" w:cs="Book Antiqua"/>
          <w:color w:val="000000"/>
        </w:rPr>
        <w:t xml:space="preserve">. Signalling pathways of the TNF superfamily: a double-edged sword. </w:t>
      </w:r>
      <w:r w:rsidRPr="004D7457">
        <w:rPr>
          <w:rFonts w:ascii="Book Antiqua" w:eastAsia="Book Antiqua" w:hAnsi="Book Antiqua" w:cs="Book Antiqua"/>
          <w:i/>
          <w:iCs/>
          <w:color w:val="000000"/>
        </w:rPr>
        <w:t>Nat Rev Immunol</w:t>
      </w:r>
      <w:r w:rsidRPr="004D7457">
        <w:rPr>
          <w:rFonts w:ascii="Book Antiqua" w:eastAsia="Book Antiqua" w:hAnsi="Book Antiqua" w:cs="Book Antiqua"/>
          <w:color w:val="000000"/>
        </w:rPr>
        <w:t xml:space="preserve"> 2003; </w:t>
      </w:r>
      <w:r w:rsidRPr="004D7457">
        <w:rPr>
          <w:rFonts w:ascii="Book Antiqua" w:eastAsia="Book Antiqua" w:hAnsi="Book Antiqua" w:cs="Book Antiqua"/>
          <w:b/>
          <w:bCs/>
          <w:color w:val="000000"/>
        </w:rPr>
        <w:t>3</w:t>
      </w:r>
      <w:r w:rsidRPr="004D7457">
        <w:rPr>
          <w:rFonts w:ascii="Book Antiqua" w:eastAsia="Book Antiqua" w:hAnsi="Book Antiqua" w:cs="Book Antiqua"/>
          <w:color w:val="000000"/>
        </w:rPr>
        <w:t>: 745-756 [PMID: 12949498 DOI: 10.1038/nri1184]</w:t>
      </w:r>
    </w:p>
    <w:p w14:paraId="7D719535" w14:textId="35754435"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22 </w:t>
      </w:r>
      <w:r w:rsidRPr="004D7457">
        <w:rPr>
          <w:rFonts w:ascii="Book Antiqua" w:eastAsia="Book Antiqua" w:hAnsi="Book Antiqua" w:cs="Book Antiqua"/>
          <w:b/>
          <w:bCs/>
          <w:color w:val="000000"/>
        </w:rPr>
        <w:t>Dong Y</w:t>
      </w:r>
      <w:r w:rsidRPr="004D7457">
        <w:rPr>
          <w:rFonts w:ascii="Book Antiqua" w:eastAsia="Book Antiqua" w:hAnsi="Book Antiqua" w:cs="Book Antiqua"/>
          <w:color w:val="000000"/>
        </w:rPr>
        <w:t xml:space="preserve">, Fischer R, Naudé PJ, Maier O, Nyakas C, Duffey M, Van der Zee EA, Dekens D, Douwenga W, Herrmann A, Guenzi E, Kontermann RE, Pfizenmaier K, Eisel UL. Essential protective role of tumor necrosis factor receptor 2 in neurodegeneration. </w:t>
      </w:r>
      <w:r w:rsidR="00E25BAB">
        <w:rPr>
          <w:rFonts w:ascii="Book Antiqua" w:eastAsia="Book Antiqua" w:hAnsi="Book Antiqua" w:cs="Book Antiqua"/>
          <w:i/>
          <w:iCs/>
          <w:color w:val="000000"/>
        </w:rPr>
        <w:t>Proc Natl Acad Sci US</w:t>
      </w:r>
      <w:r w:rsidRPr="004D7457">
        <w:rPr>
          <w:rFonts w:ascii="Book Antiqua" w:eastAsia="Book Antiqua" w:hAnsi="Book Antiqua" w:cs="Book Antiqua"/>
          <w:i/>
          <w:iCs/>
          <w:color w:val="000000"/>
        </w:rPr>
        <w:t>A</w:t>
      </w:r>
      <w:r w:rsidRPr="004D7457">
        <w:rPr>
          <w:rFonts w:ascii="Book Antiqua" w:eastAsia="Book Antiqua" w:hAnsi="Book Antiqua" w:cs="Book Antiqua"/>
          <w:color w:val="000000"/>
        </w:rPr>
        <w:t xml:space="preserve"> 2016; </w:t>
      </w:r>
      <w:r w:rsidRPr="004D7457">
        <w:rPr>
          <w:rFonts w:ascii="Book Antiqua" w:eastAsia="Book Antiqua" w:hAnsi="Book Antiqua" w:cs="Book Antiqua"/>
          <w:b/>
          <w:bCs/>
          <w:color w:val="000000"/>
        </w:rPr>
        <w:t>113</w:t>
      </w:r>
      <w:r w:rsidRPr="004D7457">
        <w:rPr>
          <w:rFonts w:ascii="Book Antiqua" w:eastAsia="Book Antiqua" w:hAnsi="Book Antiqua" w:cs="Book Antiqua"/>
          <w:color w:val="000000"/>
        </w:rPr>
        <w:t>: 12304-12309 [PMID: 27791020 DOI: 10.1073/pnas.1605195113]</w:t>
      </w:r>
    </w:p>
    <w:p w14:paraId="09761FF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23 </w:t>
      </w:r>
      <w:r w:rsidRPr="004D7457">
        <w:rPr>
          <w:rFonts w:ascii="Book Antiqua" w:eastAsia="Book Antiqua" w:hAnsi="Book Antiqua" w:cs="Book Antiqua"/>
          <w:b/>
          <w:bCs/>
          <w:color w:val="000000"/>
        </w:rPr>
        <w:t>Sun B</w:t>
      </w:r>
      <w:r w:rsidRPr="004D7457">
        <w:rPr>
          <w:rFonts w:ascii="Book Antiqua" w:eastAsia="Book Antiqua" w:hAnsi="Book Antiqua" w:cs="Book Antiqua"/>
          <w:color w:val="000000"/>
        </w:rPr>
        <w:t xml:space="preserve">, Karin M. Obesity, inflammation, and liver cancer. </w:t>
      </w:r>
      <w:r w:rsidRPr="004D7457">
        <w:rPr>
          <w:rFonts w:ascii="Book Antiqua" w:eastAsia="Book Antiqua" w:hAnsi="Book Antiqua" w:cs="Book Antiqua"/>
          <w:i/>
          <w:iCs/>
          <w:color w:val="000000"/>
        </w:rPr>
        <w:t>J Hepatol</w:t>
      </w:r>
      <w:r w:rsidRPr="004D7457">
        <w:rPr>
          <w:rFonts w:ascii="Book Antiqua" w:eastAsia="Book Antiqua" w:hAnsi="Book Antiqua" w:cs="Book Antiqua"/>
          <w:color w:val="000000"/>
        </w:rPr>
        <w:t xml:space="preserve"> 2012; </w:t>
      </w:r>
      <w:r w:rsidRPr="004D7457">
        <w:rPr>
          <w:rFonts w:ascii="Book Antiqua" w:eastAsia="Book Antiqua" w:hAnsi="Book Antiqua" w:cs="Book Antiqua"/>
          <w:b/>
          <w:bCs/>
          <w:color w:val="000000"/>
        </w:rPr>
        <w:t>56</w:t>
      </w:r>
      <w:r w:rsidRPr="004D7457">
        <w:rPr>
          <w:rFonts w:ascii="Book Antiqua" w:eastAsia="Book Antiqua" w:hAnsi="Book Antiqua" w:cs="Book Antiqua"/>
          <w:color w:val="000000"/>
        </w:rPr>
        <w:t>: 704-713 [PMID: 22120206 DOI: 10.1016/j.jhep.2011.09.020]</w:t>
      </w:r>
    </w:p>
    <w:p w14:paraId="13B44CFA" w14:textId="16F385AE"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24 </w:t>
      </w:r>
      <w:r w:rsidRPr="004D7457">
        <w:rPr>
          <w:rFonts w:ascii="Book Antiqua" w:eastAsia="Book Antiqua" w:hAnsi="Book Antiqua" w:cs="Book Antiqua"/>
          <w:b/>
          <w:bCs/>
          <w:color w:val="000000"/>
        </w:rPr>
        <w:t>Luster MI</w:t>
      </w:r>
      <w:r w:rsidRPr="004D7457">
        <w:rPr>
          <w:rFonts w:ascii="Book Antiqua" w:eastAsia="Book Antiqua" w:hAnsi="Book Antiqua" w:cs="Book Antiqua"/>
          <w:color w:val="000000"/>
        </w:rPr>
        <w:t xml:space="preserve">, Germolec DR, Yoshida T, Kayama F, Thompson M. Endotoxin-induced cytokine gene expression and excretion in the liver. </w:t>
      </w:r>
      <w:r w:rsidRPr="004D7457">
        <w:rPr>
          <w:rFonts w:ascii="Book Antiqua" w:eastAsia="Book Antiqua" w:hAnsi="Book Antiqua" w:cs="Book Antiqua"/>
          <w:i/>
          <w:iCs/>
          <w:color w:val="000000"/>
        </w:rPr>
        <w:t>Hepatology</w:t>
      </w:r>
      <w:r w:rsidRPr="004D7457">
        <w:rPr>
          <w:rFonts w:ascii="Book Antiqua" w:eastAsia="Book Antiqua" w:hAnsi="Book Antiqua" w:cs="Book Antiqua"/>
          <w:color w:val="000000"/>
        </w:rPr>
        <w:t xml:space="preserve"> 1994; </w:t>
      </w:r>
      <w:r w:rsidRPr="004D7457">
        <w:rPr>
          <w:rFonts w:ascii="Book Antiqua" w:eastAsia="Book Antiqua" w:hAnsi="Book Antiqua" w:cs="Book Antiqua"/>
          <w:b/>
          <w:bCs/>
          <w:color w:val="000000"/>
        </w:rPr>
        <w:t>19</w:t>
      </w:r>
      <w:r w:rsidRPr="004D7457">
        <w:rPr>
          <w:rFonts w:ascii="Book Antiqua" w:eastAsia="Book Antiqua" w:hAnsi="Book Antiqua" w:cs="Book Antiqua"/>
          <w:color w:val="000000"/>
        </w:rPr>
        <w:t>: 480-488 [PMID: 8294104</w:t>
      </w:r>
      <w:r w:rsidR="00C542FC">
        <w:rPr>
          <w:rFonts w:ascii="Book Antiqua" w:hAnsi="Book Antiqua" w:cs="Book Antiqua" w:hint="eastAsia"/>
          <w:color w:val="000000"/>
          <w:lang w:eastAsia="zh-CN"/>
        </w:rPr>
        <w:t xml:space="preserve"> DOI: </w:t>
      </w:r>
      <w:r w:rsidR="00C542FC" w:rsidRPr="00C542FC">
        <w:rPr>
          <w:rFonts w:ascii="Book Antiqua" w:hAnsi="Book Antiqua" w:cs="Book Antiqua"/>
          <w:color w:val="000000"/>
          <w:lang w:eastAsia="zh-CN"/>
        </w:rPr>
        <w:t>10.1002/hep.1840190229</w:t>
      </w:r>
      <w:r w:rsidRPr="004D7457">
        <w:rPr>
          <w:rFonts w:ascii="Book Antiqua" w:eastAsia="Book Antiqua" w:hAnsi="Book Antiqua" w:cs="Book Antiqua"/>
          <w:color w:val="000000"/>
        </w:rPr>
        <w:t>]</w:t>
      </w:r>
    </w:p>
    <w:p w14:paraId="06F9BFEE"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25 </w:t>
      </w:r>
      <w:r w:rsidRPr="004D7457">
        <w:rPr>
          <w:rFonts w:ascii="Book Antiqua" w:eastAsia="Book Antiqua" w:hAnsi="Book Antiqua" w:cs="Book Antiqua"/>
          <w:b/>
          <w:bCs/>
          <w:color w:val="000000"/>
        </w:rPr>
        <w:t>Ruiz AG</w:t>
      </w:r>
      <w:r w:rsidRPr="004D7457">
        <w:rPr>
          <w:rFonts w:ascii="Book Antiqua" w:eastAsia="Book Antiqua" w:hAnsi="Book Antiqua" w:cs="Book Antiqua"/>
          <w:color w:val="000000"/>
        </w:rPr>
        <w:t xml:space="preserve">, Casafont F, Crespo J, Cayón A, Mayorga M, Estebanez A, Fernadez-Escalante JC, Pons-Romero F. Lipopolysaccharide-binding protein plasma levels and liver TNF-alpha gene expression in obese patients: evidence for the potential role of endotoxin in the pathogenesis of non-alcoholic steatohepatitis. </w:t>
      </w:r>
      <w:r w:rsidRPr="004D7457">
        <w:rPr>
          <w:rFonts w:ascii="Book Antiqua" w:eastAsia="Book Antiqua" w:hAnsi="Book Antiqua" w:cs="Book Antiqua"/>
          <w:i/>
          <w:iCs/>
          <w:color w:val="000000"/>
        </w:rPr>
        <w:t>Obes Surg</w:t>
      </w:r>
      <w:r w:rsidRPr="004D7457">
        <w:rPr>
          <w:rFonts w:ascii="Book Antiqua" w:eastAsia="Book Antiqua" w:hAnsi="Book Antiqua" w:cs="Book Antiqua"/>
          <w:color w:val="000000"/>
        </w:rPr>
        <w:t xml:space="preserve"> 2007; </w:t>
      </w:r>
      <w:r w:rsidRPr="004D7457">
        <w:rPr>
          <w:rFonts w:ascii="Book Antiqua" w:eastAsia="Book Antiqua" w:hAnsi="Book Antiqua" w:cs="Book Antiqua"/>
          <w:b/>
          <w:bCs/>
          <w:color w:val="000000"/>
        </w:rPr>
        <w:t>17</w:t>
      </w:r>
      <w:r w:rsidRPr="004D7457">
        <w:rPr>
          <w:rFonts w:ascii="Book Antiqua" w:eastAsia="Book Antiqua" w:hAnsi="Book Antiqua" w:cs="Book Antiqua"/>
          <w:color w:val="000000"/>
        </w:rPr>
        <w:t>: 1374-1380 [PMID: 18000721 DOI: 10.1007/s11695-007-9243-7]</w:t>
      </w:r>
    </w:p>
    <w:p w14:paraId="3644CE46"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26 </w:t>
      </w:r>
      <w:r w:rsidRPr="004D7457">
        <w:rPr>
          <w:rFonts w:ascii="Book Antiqua" w:eastAsia="Book Antiqua" w:hAnsi="Book Antiqua" w:cs="Book Antiqua"/>
          <w:b/>
          <w:bCs/>
          <w:color w:val="000000"/>
        </w:rPr>
        <w:t>Crespo J</w:t>
      </w:r>
      <w:r w:rsidRPr="004D7457">
        <w:rPr>
          <w:rFonts w:ascii="Book Antiqua" w:eastAsia="Book Antiqua" w:hAnsi="Book Antiqua" w:cs="Book Antiqua"/>
          <w:color w:val="000000"/>
        </w:rPr>
        <w:t xml:space="preserve">, Cayón A, Fernández-Gil P, Hernández-Guerra M, Mayorga M, Domínguez-Díez A, Fernández-Escalante JC, Pons-Romero F. Gene expression of tumor necrosis factor alpha and TNF-receptors, p55 and p75, in nonalcoholic steatohepatitis patients. </w:t>
      </w:r>
      <w:r w:rsidRPr="004D7457">
        <w:rPr>
          <w:rFonts w:ascii="Book Antiqua" w:eastAsia="Book Antiqua" w:hAnsi="Book Antiqua" w:cs="Book Antiqua"/>
          <w:i/>
          <w:iCs/>
          <w:color w:val="000000"/>
        </w:rPr>
        <w:t>Hepatology</w:t>
      </w:r>
      <w:r w:rsidRPr="004D7457">
        <w:rPr>
          <w:rFonts w:ascii="Book Antiqua" w:eastAsia="Book Antiqua" w:hAnsi="Book Antiqua" w:cs="Book Antiqua"/>
          <w:color w:val="000000"/>
        </w:rPr>
        <w:t xml:space="preserve"> 2001; </w:t>
      </w:r>
      <w:r w:rsidRPr="004D7457">
        <w:rPr>
          <w:rFonts w:ascii="Book Antiqua" w:eastAsia="Book Antiqua" w:hAnsi="Book Antiqua" w:cs="Book Antiqua"/>
          <w:b/>
          <w:bCs/>
          <w:color w:val="000000"/>
        </w:rPr>
        <w:t>34</w:t>
      </w:r>
      <w:r w:rsidRPr="004D7457">
        <w:rPr>
          <w:rFonts w:ascii="Book Antiqua" w:eastAsia="Book Antiqua" w:hAnsi="Book Antiqua" w:cs="Book Antiqua"/>
          <w:color w:val="000000"/>
        </w:rPr>
        <w:t>: 1158-1163 [PMID: 11732005 DOI: 10.1053/jhep.2001.29628]</w:t>
      </w:r>
    </w:p>
    <w:p w14:paraId="08AA31D8"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27 </w:t>
      </w:r>
      <w:r w:rsidRPr="004D7457">
        <w:rPr>
          <w:rFonts w:ascii="Book Antiqua" w:eastAsia="Book Antiqua" w:hAnsi="Book Antiqua" w:cs="Book Antiqua"/>
          <w:b/>
          <w:bCs/>
          <w:color w:val="000000"/>
        </w:rPr>
        <w:t>Park EJ</w:t>
      </w:r>
      <w:r w:rsidRPr="004D7457">
        <w:rPr>
          <w:rFonts w:ascii="Book Antiqua" w:eastAsia="Book Antiqua" w:hAnsi="Book Antiqua" w:cs="Book Antiqua"/>
          <w:color w:val="000000"/>
        </w:rPr>
        <w:t xml:space="preserve">, Lee JH, Yu GY, He G, Ali SR, Holzer RG, Osterreicher CH, Takahashi H, Karin M. Dietary and genetic obesity promote liver inflammation and tumorigenesis by enhancing IL-6 and TNF expression. </w:t>
      </w:r>
      <w:r w:rsidRPr="004D7457">
        <w:rPr>
          <w:rFonts w:ascii="Book Antiqua" w:eastAsia="Book Antiqua" w:hAnsi="Book Antiqua" w:cs="Book Antiqua"/>
          <w:i/>
          <w:iCs/>
          <w:color w:val="000000"/>
        </w:rPr>
        <w:t>Cell</w:t>
      </w:r>
      <w:r w:rsidRPr="004D7457">
        <w:rPr>
          <w:rFonts w:ascii="Book Antiqua" w:eastAsia="Book Antiqua" w:hAnsi="Book Antiqua" w:cs="Book Antiqua"/>
          <w:color w:val="000000"/>
        </w:rPr>
        <w:t xml:space="preserve"> 2010; </w:t>
      </w:r>
      <w:r w:rsidRPr="004D7457">
        <w:rPr>
          <w:rFonts w:ascii="Book Antiqua" w:eastAsia="Book Antiqua" w:hAnsi="Book Antiqua" w:cs="Book Antiqua"/>
          <w:b/>
          <w:bCs/>
          <w:color w:val="000000"/>
        </w:rPr>
        <w:t>140</w:t>
      </w:r>
      <w:r w:rsidRPr="004D7457">
        <w:rPr>
          <w:rFonts w:ascii="Book Antiqua" w:eastAsia="Book Antiqua" w:hAnsi="Book Antiqua" w:cs="Book Antiqua"/>
          <w:color w:val="000000"/>
        </w:rPr>
        <w:t>: 197-208 [PMID: 20141834 DOI: 10.1016/j.cell.2009.12.052]</w:t>
      </w:r>
    </w:p>
    <w:p w14:paraId="0446D9DA"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28 </w:t>
      </w:r>
      <w:r w:rsidRPr="004D7457">
        <w:rPr>
          <w:rFonts w:ascii="Book Antiqua" w:eastAsia="Book Antiqua" w:hAnsi="Book Antiqua" w:cs="Book Antiqua"/>
          <w:b/>
          <w:bCs/>
          <w:color w:val="000000"/>
        </w:rPr>
        <w:t>Nakagawa H</w:t>
      </w:r>
      <w:r w:rsidRPr="004D7457">
        <w:rPr>
          <w:rFonts w:ascii="Book Antiqua" w:eastAsia="Book Antiqua" w:hAnsi="Book Antiqua" w:cs="Book Antiqua"/>
          <w:color w:val="000000"/>
        </w:rPr>
        <w:t xml:space="preserve">, Umemura A, Taniguchi K, Font-Burgada J, Dhar D, Ogata H, Zhong Z, Valasek MA, Seki E, Hidalgo J, Koike K, Kaufman RJ, Karin M. ER stress cooperates with hypernutrition to trigger TNF-dependent spontaneous HCC development. </w:t>
      </w:r>
      <w:r w:rsidRPr="004D7457">
        <w:rPr>
          <w:rFonts w:ascii="Book Antiqua" w:eastAsia="Book Antiqua" w:hAnsi="Book Antiqua" w:cs="Book Antiqua"/>
          <w:i/>
          <w:iCs/>
          <w:color w:val="000000"/>
        </w:rPr>
        <w:t>Cancer Cell</w:t>
      </w:r>
      <w:r w:rsidRPr="004D7457">
        <w:rPr>
          <w:rFonts w:ascii="Book Antiqua" w:eastAsia="Book Antiqua" w:hAnsi="Book Antiqua" w:cs="Book Antiqua"/>
          <w:color w:val="000000"/>
        </w:rPr>
        <w:t xml:space="preserve"> 2014; </w:t>
      </w:r>
      <w:r w:rsidRPr="004D7457">
        <w:rPr>
          <w:rFonts w:ascii="Book Antiqua" w:eastAsia="Book Antiqua" w:hAnsi="Book Antiqua" w:cs="Book Antiqua"/>
          <w:b/>
          <w:bCs/>
          <w:color w:val="000000"/>
        </w:rPr>
        <w:t>26</w:t>
      </w:r>
      <w:r w:rsidRPr="004D7457">
        <w:rPr>
          <w:rFonts w:ascii="Book Antiqua" w:eastAsia="Book Antiqua" w:hAnsi="Book Antiqua" w:cs="Book Antiqua"/>
          <w:color w:val="000000"/>
        </w:rPr>
        <w:t>: 331-343 [PMID: 25132496 DOI: 10.1016/j.ccr.2014.07.001]</w:t>
      </w:r>
    </w:p>
    <w:p w14:paraId="2D20446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29 </w:t>
      </w:r>
      <w:r w:rsidRPr="004D7457">
        <w:rPr>
          <w:rFonts w:ascii="Book Antiqua" w:eastAsia="Book Antiqua" w:hAnsi="Book Antiqua" w:cs="Book Antiqua"/>
          <w:b/>
          <w:bCs/>
          <w:color w:val="000000"/>
        </w:rPr>
        <w:t>Kim JY</w:t>
      </w:r>
      <w:r w:rsidRPr="004D7457">
        <w:rPr>
          <w:rFonts w:ascii="Book Antiqua" w:eastAsia="Book Antiqua" w:hAnsi="Book Antiqua" w:cs="Book Antiqua"/>
          <w:color w:val="000000"/>
        </w:rPr>
        <w:t xml:space="preserve">, Garcia-Carbonell R, Yamachika S, Zhao P, Dhar D, Loomba R, Kaufman RJ, Saltiel AR, Karin M. ER Stress Drives Lipogenesis and Steatohepatitis via Caspase-2 Activation of S1P. </w:t>
      </w:r>
      <w:r w:rsidRPr="004D7457">
        <w:rPr>
          <w:rFonts w:ascii="Book Antiqua" w:eastAsia="Book Antiqua" w:hAnsi="Book Antiqua" w:cs="Book Antiqua"/>
          <w:i/>
          <w:iCs/>
          <w:color w:val="000000"/>
        </w:rPr>
        <w:t>Cell</w:t>
      </w:r>
      <w:r w:rsidRPr="004D7457">
        <w:rPr>
          <w:rFonts w:ascii="Book Antiqua" w:eastAsia="Book Antiqua" w:hAnsi="Book Antiqua" w:cs="Book Antiqua"/>
          <w:color w:val="000000"/>
        </w:rPr>
        <w:t xml:space="preserve"> 2018; </w:t>
      </w:r>
      <w:r w:rsidRPr="004D7457">
        <w:rPr>
          <w:rFonts w:ascii="Book Antiqua" w:eastAsia="Book Antiqua" w:hAnsi="Book Antiqua" w:cs="Book Antiqua"/>
          <w:b/>
          <w:bCs/>
          <w:color w:val="000000"/>
        </w:rPr>
        <w:t>175</w:t>
      </w:r>
      <w:r w:rsidRPr="004D7457">
        <w:rPr>
          <w:rFonts w:ascii="Book Antiqua" w:eastAsia="Book Antiqua" w:hAnsi="Book Antiqua" w:cs="Book Antiqua"/>
          <w:color w:val="000000"/>
        </w:rPr>
        <w:t>: 133-145.e15 [PMID: 30220454 DOI: 10.1016/j.cell.2018.08.020]</w:t>
      </w:r>
    </w:p>
    <w:p w14:paraId="49EC225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30 </w:t>
      </w:r>
      <w:r w:rsidRPr="004D7457">
        <w:rPr>
          <w:rFonts w:ascii="Book Antiqua" w:eastAsia="Book Antiqua" w:hAnsi="Book Antiqua" w:cs="Book Antiqua"/>
          <w:b/>
          <w:bCs/>
          <w:color w:val="000000"/>
        </w:rPr>
        <w:t>Lambertucci F</w:t>
      </w:r>
      <w:r w:rsidRPr="004D7457">
        <w:rPr>
          <w:rFonts w:ascii="Book Antiqua" w:eastAsia="Book Antiqua" w:hAnsi="Book Antiqua" w:cs="Book Antiqua"/>
          <w:color w:val="000000"/>
        </w:rPr>
        <w:t xml:space="preserve">, Arboatti A, Sedlmeier MG, Motiño O, Alvarez ML, Ceballos MP, Villar SR, Roggero E, Monti JA, Pisani G, Quiroga AD, Martín-Sanz P, Carnovale CE, Francés DE, Ronco MT. Disruption of tumor necrosis factor alpha receptor 1 signaling accelerates NAFLD progression in mice upon a high-fat diet. </w:t>
      </w:r>
      <w:r w:rsidRPr="004D7457">
        <w:rPr>
          <w:rFonts w:ascii="Book Antiqua" w:eastAsia="Book Antiqua" w:hAnsi="Book Antiqua" w:cs="Book Antiqua"/>
          <w:i/>
          <w:iCs/>
          <w:color w:val="000000"/>
        </w:rPr>
        <w:t>J Nutr Biochem</w:t>
      </w:r>
      <w:r w:rsidRPr="004D7457">
        <w:rPr>
          <w:rFonts w:ascii="Book Antiqua" w:eastAsia="Book Antiqua" w:hAnsi="Book Antiqua" w:cs="Book Antiqua"/>
          <w:color w:val="000000"/>
        </w:rPr>
        <w:t xml:space="preserve"> 2018; </w:t>
      </w:r>
      <w:r w:rsidRPr="004D7457">
        <w:rPr>
          <w:rFonts w:ascii="Book Antiqua" w:eastAsia="Book Antiqua" w:hAnsi="Book Antiqua" w:cs="Book Antiqua"/>
          <w:b/>
          <w:bCs/>
          <w:color w:val="000000"/>
        </w:rPr>
        <w:t>58</w:t>
      </w:r>
      <w:r w:rsidRPr="004D7457">
        <w:rPr>
          <w:rFonts w:ascii="Book Antiqua" w:eastAsia="Book Antiqua" w:hAnsi="Book Antiqua" w:cs="Book Antiqua"/>
          <w:color w:val="000000"/>
        </w:rPr>
        <w:t>: 17-27 [PMID: 29860102 DOI: 10.1016/j.jnutbio.2018.04.013]</w:t>
      </w:r>
    </w:p>
    <w:p w14:paraId="02ED588B"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31 </w:t>
      </w:r>
      <w:r w:rsidRPr="004D7457">
        <w:rPr>
          <w:rFonts w:ascii="Book Antiqua" w:eastAsia="Book Antiqua" w:hAnsi="Book Antiqua" w:cs="Book Antiqua"/>
          <w:b/>
          <w:bCs/>
          <w:color w:val="000000"/>
        </w:rPr>
        <w:t>Van Hauwermeiren F</w:t>
      </w:r>
      <w:r w:rsidRPr="004D7457">
        <w:rPr>
          <w:rFonts w:ascii="Book Antiqua" w:eastAsia="Book Antiqua" w:hAnsi="Book Antiqua" w:cs="Book Antiqua"/>
          <w:color w:val="000000"/>
        </w:rPr>
        <w:t xml:space="preserve">, Armaka M, Karagianni N, Kranidioti K, Vandenbroucke RE, Loges S, Van Roy M, Staelens J, Puimège L, Palagani A, Berghe WV, Victoratos P, Carmeliet P, Libert C, Kollias G. Safe TNF-based antitumor therapy following p55TNFR reduction in intestinal epithelium. </w:t>
      </w:r>
      <w:r w:rsidRPr="004D7457">
        <w:rPr>
          <w:rFonts w:ascii="Book Antiqua" w:eastAsia="Book Antiqua" w:hAnsi="Book Antiqua" w:cs="Book Antiqua"/>
          <w:i/>
          <w:iCs/>
          <w:color w:val="000000"/>
        </w:rPr>
        <w:t>J Clin Invest</w:t>
      </w:r>
      <w:r w:rsidRPr="004D7457">
        <w:rPr>
          <w:rFonts w:ascii="Book Antiqua" w:eastAsia="Book Antiqua" w:hAnsi="Book Antiqua" w:cs="Book Antiqua"/>
          <w:color w:val="000000"/>
        </w:rPr>
        <w:t xml:space="preserve"> 2013; </w:t>
      </w:r>
      <w:r w:rsidRPr="004D7457">
        <w:rPr>
          <w:rFonts w:ascii="Book Antiqua" w:eastAsia="Book Antiqua" w:hAnsi="Book Antiqua" w:cs="Book Antiqua"/>
          <w:b/>
          <w:bCs/>
          <w:color w:val="000000"/>
        </w:rPr>
        <w:t>123</w:t>
      </w:r>
      <w:r w:rsidRPr="004D7457">
        <w:rPr>
          <w:rFonts w:ascii="Book Antiqua" w:eastAsia="Book Antiqua" w:hAnsi="Book Antiqua" w:cs="Book Antiqua"/>
          <w:color w:val="000000"/>
        </w:rPr>
        <w:t>: 2590-2603 [PMID: 23676465 DOI: 10.1172/JCI65624]</w:t>
      </w:r>
    </w:p>
    <w:p w14:paraId="666A7B2D"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32 </w:t>
      </w:r>
      <w:r w:rsidRPr="004D7457">
        <w:rPr>
          <w:rFonts w:ascii="Book Antiqua" w:eastAsia="Book Antiqua" w:hAnsi="Book Antiqua" w:cs="Book Antiqua"/>
          <w:b/>
          <w:bCs/>
          <w:color w:val="000000"/>
        </w:rPr>
        <w:t>Bluemel S</w:t>
      </w:r>
      <w:r w:rsidRPr="004D7457">
        <w:rPr>
          <w:rFonts w:ascii="Book Antiqua" w:eastAsia="Book Antiqua" w:hAnsi="Book Antiqua" w:cs="Book Antiqua"/>
          <w:color w:val="000000"/>
        </w:rPr>
        <w:t xml:space="preserve">, Wang L, Martino C, Lee S, Wang Y, Williams B, Horvath A, Stadlbauer V, Zengler K, Schnabl B. The Role of Intestinal C-type Regenerating Islet Derived-3 Lectins </w:t>
      </w:r>
      <w:r w:rsidRPr="004D7457">
        <w:rPr>
          <w:rFonts w:ascii="Book Antiqua" w:eastAsia="Book Antiqua" w:hAnsi="Book Antiqua" w:cs="Book Antiqua"/>
          <w:color w:val="000000"/>
        </w:rPr>
        <w:lastRenderedPageBreak/>
        <w:t xml:space="preserve">for Nonalcoholic Steatohepatitis. </w:t>
      </w:r>
      <w:r w:rsidRPr="004D7457">
        <w:rPr>
          <w:rFonts w:ascii="Book Antiqua" w:eastAsia="Book Antiqua" w:hAnsi="Book Antiqua" w:cs="Book Antiqua"/>
          <w:i/>
          <w:iCs/>
          <w:color w:val="000000"/>
        </w:rPr>
        <w:t>Hepatol Commun</w:t>
      </w:r>
      <w:r w:rsidRPr="004D7457">
        <w:rPr>
          <w:rFonts w:ascii="Book Antiqua" w:eastAsia="Book Antiqua" w:hAnsi="Book Antiqua" w:cs="Book Antiqua"/>
          <w:color w:val="000000"/>
        </w:rPr>
        <w:t xml:space="preserve"> 2018; </w:t>
      </w:r>
      <w:r w:rsidRPr="004D7457">
        <w:rPr>
          <w:rFonts w:ascii="Book Antiqua" w:eastAsia="Book Antiqua" w:hAnsi="Book Antiqua" w:cs="Book Antiqua"/>
          <w:b/>
          <w:bCs/>
          <w:color w:val="000000"/>
        </w:rPr>
        <w:t>2</w:t>
      </w:r>
      <w:r w:rsidRPr="004D7457">
        <w:rPr>
          <w:rFonts w:ascii="Book Antiqua" w:eastAsia="Book Antiqua" w:hAnsi="Book Antiqua" w:cs="Book Antiqua"/>
          <w:color w:val="000000"/>
        </w:rPr>
        <w:t>: 393-406 [PMID: 29619418 DOI: 10.1002/hep4.1165]</w:t>
      </w:r>
    </w:p>
    <w:p w14:paraId="1E044D69" w14:textId="15D876A4"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33 </w:t>
      </w:r>
      <w:r w:rsidRPr="004D7457">
        <w:rPr>
          <w:rFonts w:ascii="Book Antiqua" w:eastAsia="Book Antiqua" w:hAnsi="Book Antiqua" w:cs="Book Antiqua"/>
          <w:b/>
          <w:bCs/>
          <w:color w:val="000000"/>
        </w:rPr>
        <w:t>Iwaisako K</w:t>
      </w:r>
      <w:r w:rsidRPr="004D7457">
        <w:rPr>
          <w:rFonts w:ascii="Book Antiqua" w:eastAsia="Book Antiqua" w:hAnsi="Book Antiqua" w:cs="Book Antiqua"/>
          <w:color w:val="000000"/>
        </w:rPr>
        <w:t xml:space="preserve">, Haimerl M, Paik YH, Taura K, Kodama Y, Sirlin C, Yu E, Yu RT, Downes M, Evans RM, Brenner DA, Schnabl B. Protection from liver fibrosis by a peroxisome proliferator-activated receptor δ agonist. </w:t>
      </w:r>
      <w:r w:rsidRPr="004D7457">
        <w:rPr>
          <w:rFonts w:ascii="Book Antiqua" w:eastAsia="Book Antiqua" w:hAnsi="Book Antiqua" w:cs="Book Antiqua"/>
          <w:i/>
          <w:iCs/>
          <w:color w:val="000000"/>
        </w:rPr>
        <w:t>Proc</w:t>
      </w:r>
      <w:r w:rsidR="00847ABB">
        <w:rPr>
          <w:rFonts w:ascii="Book Antiqua" w:eastAsia="Book Antiqua" w:hAnsi="Book Antiqua" w:cs="Book Antiqua"/>
          <w:i/>
          <w:iCs/>
          <w:color w:val="000000"/>
        </w:rPr>
        <w:t xml:space="preserve"> Natl Acad Sci US</w:t>
      </w:r>
      <w:r w:rsidRPr="004D7457">
        <w:rPr>
          <w:rFonts w:ascii="Book Antiqua" w:eastAsia="Book Antiqua" w:hAnsi="Book Antiqua" w:cs="Book Antiqua"/>
          <w:i/>
          <w:iCs/>
          <w:color w:val="000000"/>
        </w:rPr>
        <w:t>A</w:t>
      </w:r>
      <w:r w:rsidRPr="004D7457">
        <w:rPr>
          <w:rFonts w:ascii="Book Antiqua" w:eastAsia="Book Antiqua" w:hAnsi="Book Antiqua" w:cs="Book Antiqua"/>
          <w:color w:val="000000"/>
        </w:rPr>
        <w:t xml:space="preserve"> 2012; </w:t>
      </w:r>
      <w:r w:rsidRPr="004D7457">
        <w:rPr>
          <w:rFonts w:ascii="Book Antiqua" w:eastAsia="Book Antiqua" w:hAnsi="Book Antiqua" w:cs="Book Antiqua"/>
          <w:b/>
          <w:bCs/>
          <w:color w:val="000000"/>
        </w:rPr>
        <w:t>109</w:t>
      </w:r>
      <w:r w:rsidRPr="004D7457">
        <w:rPr>
          <w:rFonts w:ascii="Book Antiqua" w:eastAsia="Book Antiqua" w:hAnsi="Book Antiqua" w:cs="Book Antiqua"/>
          <w:color w:val="000000"/>
        </w:rPr>
        <w:t>: E1369-E1376 [PMID: 22538808 DOI: 10.1073/pnas.1202464109]</w:t>
      </w:r>
    </w:p>
    <w:p w14:paraId="261A7A6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34 </w:t>
      </w:r>
      <w:r w:rsidRPr="004D7457">
        <w:rPr>
          <w:rFonts w:ascii="Book Antiqua" w:eastAsia="Book Antiqua" w:hAnsi="Book Antiqua" w:cs="Book Antiqua"/>
          <w:b/>
          <w:bCs/>
          <w:color w:val="000000"/>
        </w:rPr>
        <w:t>Jamall IS</w:t>
      </w:r>
      <w:r w:rsidRPr="004D7457">
        <w:rPr>
          <w:rFonts w:ascii="Book Antiqua" w:eastAsia="Book Antiqua" w:hAnsi="Book Antiqua" w:cs="Book Antiqua"/>
          <w:color w:val="000000"/>
        </w:rPr>
        <w:t xml:space="preserve">, Finelli VN, Que Hee SS. A simple method to determine nanogram levels of 4-hydroxyproline in biological tissues. </w:t>
      </w:r>
      <w:r w:rsidRPr="004D7457">
        <w:rPr>
          <w:rFonts w:ascii="Book Antiqua" w:eastAsia="Book Antiqua" w:hAnsi="Book Antiqua" w:cs="Book Antiqua"/>
          <w:i/>
          <w:iCs/>
          <w:color w:val="000000"/>
        </w:rPr>
        <w:t>Anal Biochem</w:t>
      </w:r>
      <w:r w:rsidRPr="004D7457">
        <w:rPr>
          <w:rFonts w:ascii="Book Antiqua" w:eastAsia="Book Antiqua" w:hAnsi="Book Antiqua" w:cs="Book Antiqua"/>
          <w:color w:val="000000"/>
        </w:rPr>
        <w:t xml:space="preserve"> 1981; </w:t>
      </w:r>
      <w:r w:rsidRPr="004D7457">
        <w:rPr>
          <w:rFonts w:ascii="Book Antiqua" w:eastAsia="Book Antiqua" w:hAnsi="Book Antiqua" w:cs="Book Antiqua"/>
          <w:b/>
          <w:bCs/>
          <w:color w:val="000000"/>
        </w:rPr>
        <w:t>112</w:t>
      </w:r>
      <w:r w:rsidRPr="004D7457">
        <w:rPr>
          <w:rFonts w:ascii="Book Antiqua" w:eastAsia="Book Antiqua" w:hAnsi="Book Antiqua" w:cs="Book Antiqua"/>
          <w:color w:val="000000"/>
        </w:rPr>
        <w:t>: 70-75 [PMID: 7258630 DOI: 10.1016/0003-2697(81)90261-x]</w:t>
      </w:r>
    </w:p>
    <w:p w14:paraId="60D5AEC8"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35 </w:t>
      </w:r>
      <w:r w:rsidRPr="004D7457">
        <w:rPr>
          <w:rFonts w:ascii="Book Antiqua" w:eastAsia="Book Antiqua" w:hAnsi="Book Antiqua" w:cs="Book Antiqua"/>
          <w:b/>
          <w:bCs/>
          <w:color w:val="000000"/>
        </w:rPr>
        <w:t>Spandidos A</w:t>
      </w:r>
      <w:r w:rsidRPr="004D7457">
        <w:rPr>
          <w:rFonts w:ascii="Book Antiqua" w:eastAsia="Book Antiqua" w:hAnsi="Book Antiqua" w:cs="Book Antiqua"/>
          <w:color w:val="000000"/>
        </w:rPr>
        <w:t xml:space="preserve">, Wang X, Wang H, Dragnev S, Thurber T, Seed B. A comprehensive collection of experimentally validated primers for Polymerase Chain Reaction quantitation of murine transcript abundance. </w:t>
      </w:r>
      <w:r w:rsidRPr="004D7457">
        <w:rPr>
          <w:rFonts w:ascii="Book Antiqua" w:eastAsia="Book Antiqua" w:hAnsi="Book Antiqua" w:cs="Book Antiqua"/>
          <w:i/>
          <w:iCs/>
          <w:color w:val="000000"/>
        </w:rPr>
        <w:t>BMC Genomics</w:t>
      </w:r>
      <w:r w:rsidRPr="004D7457">
        <w:rPr>
          <w:rFonts w:ascii="Book Antiqua" w:eastAsia="Book Antiqua" w:hAnsi="Book Antiqua" w:cs="Book Antiqua"/>
          <w:color w:val="000000"/>
        </w:rPr>
        <w:t xml:space="preserve"> 2008; </w:t>
      </w:r>
      <w:r w:rsidRPr="004D7457">
        <w:rPr>
          <w:rFonts w:ascii="Book Antiqua" w:eastAsia="Book Antiqua" w:hAnsi="Book Antiqua" w:cs="Book Antiqua"/>
          <w:b/>
          <w:bCs/>
          <w:color w:val="000000"/>
        </w:rPr>
        <w:t>9</w:t>
      </w:r>
      <w:r w:rsidRPr="004D7457">
        <w:rPr>
          <w:rFonts w:ascii="Book Antiqua" w:eastAsia="Book Antiqua" w:hAnsi="Book Antiqua" w:cs="Book Antiqua"/>
          <w:color w:val="000000"/>
        </w:rPr>
        <w:t>: 633 [PMID: 19108745 DOI: 10.1186/1471-2164-9-633]</w:t>
      </w:r>
    </w:p>
    <w:p w14:paraId="009F1CCE"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36 </w:t>
      </w:r>
      <w:r w:rsidRPr="004D7457">
        <w:rPr>
          <w:rFonts w:ascii="Book Antiqua" w:eastAsia="Book Antiqua" w:hAnsi="Book Antiqua" w:cs="Book Antiqua"/>
          <w:b/>
          <w:bCs/>
          <w:color w:val="000000"/>
        </w:rPr>
        <w:t>Dignam JD</w:t>
      </w:r>
      <w:r w:rsidRPr="004D7457">
        <w:rPr>
          <w:rFonts w:ascii="Book Antiqua" w:eastAsia="Book Antiqua" w:hAnsi="Book Antiqua" w:cs="Book Antiqua"/>
          <w:color w:val="000000"/>
        </w:rPr>
        <w:t xml:space="preserve">, Lebovitz RM, Roeder RG. Accurate transcription initiation by RNA polymerase II in a soluble extract from isolated mammalian nuclei. </w:t>
      </w:r>
      <w:r w:rsidRPr="004D7457">
        <w:rPr>
          <w:rFonts w:ascii="Book Antiqua" w:eastAsia="Book Antiqua" w:hAnsi="Book Antiqua" w:cs="Book Antiqua"/>
          <w:i/>
          <w:iCs/>
          <w:color w:val="000000"/>
        </w:rPr>
        <w:t>Nucleic Acids Res</w:t>
      </w:r>
      <w:r w:rsidRPr="004D7457">
        <w:rPr>
          <w:rFonts w:ascii="Book Antiqua" w:eastAsia="Book Antiqua" w:hAnsi="Book Antiqua" w:cs="Book Antiqua"/>
          <w:color w:val="000000"/>
        </w:rPr>
        <w:t xml:space="preserve"> 1983; </w:t>
      </w:r>
      <w:r w:rsidRPr="004D7457">
        <w:rPr>
          <w:rFonts w:ascii="Book Antiqua" w:eastAsia="Book Antiqua" w:hAnsi="Book Antiqua" w:cs="Book Antiqua"/>
          <w:b/>
          <w:bCs/>
          <w:color w:val="000000"/>
        </w:rPr>
        <w:t>11</w:t>
      </w:r>
      <w:r w:rsidRPr="004D7457">
        <w:rPr>
          <w:rFonts w:ascii="Book Antiqua" w:eastAsia="Book Antiqua" w:hAnsi="Book Antiqua" w:cs="Book Antiqua"/>
          <w:color w:val="000000"/>
        </w:rPr>
        <w:t>: 1475-1489 [PMID: 6828386 DOI: 10.1093/nar/11.5.1475]</w:t>
      </w:r>
    </w:p>
    <w:p w14:paraId="7320BEC2"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37 </w:t>
      </w:r>
      <w:r w:rsidRPr="004D7457">
        <w:rPr>
          <w:rFonts w:ascii="Book Antiqua" w:eastAsia="Book Antiqua" w:hAnsi="Book Antiqua" w:cs="Book Antiqua"/>
          <w:b/>
          <w:bCs/>
          <w:color w:val="000000"/>
        </w:rPr>
        <w:t>Aparicio-Vergara M</w:t>
      </w:r>
      <w:r w:rsidRPr="004D7457">
        <w:rPr>
          <w:rFonts w:ascii="Book Antiqua" w:eastAsia="Book Antiqua" w:hAnsi="Book Antiqua" w:cs="Book Antiqua"/>
          <w:color w:val="000000"/>
        </w:rPr>
        <w:t xml:space="preserve">, Hommelberg PP, Schreurs M, Gruben N, Stienstra R, Shiri-Sverdlov R, Kloosterhuis NJ, de Bruin A, van de Sluis B, Koonen DP, Hofker MH. Tumor necrosis factor receptor 1 gain-of-function mutation aggravates nonalcoholic fatty liver disease but does not cause insulin resistance in a murine model. </w:t>
      </w:r>
      <w:r w:rsidRPr="004D7457">
        <w:rPr>
          <w:rFonts w:ascii="Book Antiqua" w:eastAsia="Book Antiqua" w:hAnsi="Book Antiqua" w:cs="Book Antiqua"/>
          <w:i/>
          <w:iCs/>
          <w:color w:val="000000"/>
        </w:rPr>
        <w:t>Hepatology</w:t>
      </w:r>
      <w:r w:rsidRPr="004D7457">
        <w:rPr>
          <w:rFonts w:ascii="Book Antiqua" w:eastAsia="Book Antiqua" w:hAnsi="Book Antiqua" w:cs="Book Antiqua"/>
          <w:color w:val="000000"/>
        </w:rPr>
        <w:t xml:space="preserve"> 2013; </w:t>
      </w:r>
      <w:r w:rsidRPr="004D7457">
        <w:rPr>
          <w:rFonts w:ascii="Book Antiqua" w:eastAsia="Book Antiqua" w:hAnsi="Book Antiqua" w:cs="Book Antiqua"/>
          <w:b/>
          <w:bCs/>
          <w:color w:val="000000"/>
        </w:rPr>
        <w:t>57</w:t>
      </w:r>
      <w:r w:rsidRPr="004D7457">
        <w:rPr>
          <w:rFonts w:ascii="Book Antiqua" w:eastAsia="Book Antiqua" w:hAnsi="Book Antiqua" w:cs="Book Antiqua"/>
          <w:color w:val="000000"/>
        </w:rPr>
        <w:t>: 566-576 [PMID: 22941955 DOI: 10.1002/hep.26046]</w:t>
      </w:r>
    </w:p>
    <w:p w14:paraId="4A4313F6"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38 </w:t>
      </w:r>
      <w:r w:rsidRPr="004D7457">
        <w:rPr>
          <w:rFonts w:ascii="Book Antiqua" w:eastAsia="Book Antiqua" w:hAnsi="Book Antiqua" w:cs="Book Antiqua"/>
          <w:b/>
          <w:bCs/>
          <w:color w:val="000000"/>
        </w:rPr>
        <w:t>Uysal KT</w:t>
      </w:r>
      <w:r w:rsidRPr="004D7457">
        <w:rPr>
          <w:rFonts w:ascii="Book Antiqua" w:eastAsia="Book Antiqua" w:hAnsi="Book Antiqua" w:cs="Book Antiqua"/>
          <w:color w:val="000000"/>
        </w:rPr>
        <w:t xml:space="preserve">, Wiesbrock SM, Marino MW, Hotamisligil GS. Protection from obesity-induced insulin resistance in mice lacking TNF-alpha function. </w:t>
      </w:r>
      <w:r w:rsidRPr="004D7457">
        <w:rPr>
          <w:rFonts w:ascii="Book Antiqua" w:eastAsia="Book Antiqua" w:hAnsi="Book Antiqua" w:cs="Book Antiqua"/>
          <w:i/>
          <w:iCs/>
          <w:color w:val="000000"/>
        </w:rPr>
        <w:t>Nature</w:t>
      </w:r>
      <w:r w:rsidRPr="004D7457">
        <w:rPr>
          <w:rFonts w:ascii="Book Antiqua" w:eastAsia="Book Antiqua" w:hAnsi="Book Antiqua" w:cs="Book Antiqua"/>
          <w:color w:val="000000"/>
        </w:rPr>
        <w:t xml:space="preserve"> 1997; </w:t>
      </w:r>
      <w:r w:rsidRPr="004D7457">
        <w:rPr>
          <w:rFonts w:ascii="Book Antiqua" w:eastAsia="Book Antiqua" w:hAnsi="Book Antiqua" w:cs="Book Antiqua"/>
          <w:b/>
          <w:bCs/>
          <w:color w:val="000000"/>
        </w:rPr>
        <w:t>389</w:t>
      </w:r>
      <w:r w:rsidRPr="004D7457">
        <w:rPr>
          <w:rFonts w:ascii="Book Antiqua" w:eastAsia="Book Antiqua" w:hAnsi="Book Antiqua" w:cs="Book Antiqua"/>
          <w:color w:val="000000"/>
        </w:rPr>
        <w:t>: 610-614 [PMID: 9335502 DOI: 10.1038/39335]</w:t>
      </w:r>
    </w:p>
    <w:p w14:paraId="0A619093"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39 </w:t>
      </w:r>
      <w:r w:rsidRPr="004D7457">
        <w:rPr>
          <w:rFonts w:ascii="Book Antiqua" w:eastAsia="Book Antiqua" w:hAnsi="Book Antiqua" w:cs="Book Antiqua"/>
          <w:b/>
          <w:bCs/>
          <w:color w:val="000000"/>
        </w:rPr>
        <w:t>Kanety H</w:t>
      </w:r>
      <w:r w:rsidRPr="004D7457">
        <w:rPr>
          <w:rFonts w:ascii="Book Antiqua" w:eastAsia="Book Antiqua" w:hAnsi="Book Antiqua" w:cs="Book Antiqua"/>
          <w:color w:val="000000"/>
        </w:rPr>
        <w:t xml:space="preserve">, Feinstein R, Papa MZ, Hemi R, Karasik A. Tumor necrosis factor alpha-induced phosphorylation of insulin receptor substrate-1 (IRS-1). Possible mechanism for suppression of insulin-stimulated tyrosine phosphorylation of IRS-1. </w:t>
      </w:r>
      <w:r w:rsidRPr="004D7457">
        <w:rPr>
          <w:rFonts w:ascii="Book Antiqua" w:eastAsia="Book Antiqua" w:hAnsi="Book Antiqua" w:cs="Book Antiqua"/>
          <w:i/>
          <w:iCs/>
          <w:color w:val="000000"/>
        </w:rPr>
        <w:t>J Biol Chem</w:t>
      </w:r>
      <w:r w:rsidRPr="004D7457">
        <w:rPr>
          <w:rFonts w:ascii="Book Antiqua" w:eastAsia="Book Antiqua" w:hAnsi="Book Antiqua" w:cs="Book Antiqua"/>
          <w:color w:val="000000"/>
        </w:rPr>
        <w:t xml:space="preserve"> 1995; </w:t>
      </w:r>
      <w:r w:rsidRPr="004D7457">
        <w:rPr>
          <w:rFonts w:ascii="Book Antiqua" w:eastAsia="Book Antiqua" w:hAnsi="Book Antiqua" w:cs="Book Antiqua"/>
          <w:b/>
          <w:bCs/>
          <w:color w:val="000000"/>
        </w:rPr>
        <w:t>270</w:t>
      </w:r>
      <w:r w:rsidRPr="004D7457">
        <w:rPr>
          <w:rFonts w:ascii="Book Antiqua" w:eastAsia="Book Antiqua" w:hAnsi="Book Antiqua" w:cs="Book Antiqua"/>
          <w:color w:val="000000"/>
        </w:rPr>
        <w:t>: 23780-23784 [PMID: 7559552 DOI: 10.1074/jbc.270.40.23780]</w:t>
      </w:r>
    </w:p>
    <w:p w14:paraId="5BF40076" w14:textId="78A63526"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40 </w:t>
      </w:r>
      <w:r w:rsidRPr="004D7457">
        <w:rPr>
          <w:rFonts w:ascii="Book Antiqua" w:eastAsia="Book Antiqua" w:hAnsi="Book Antiqua" w:cs="Book Antiqua"/>
          <w:b/>
          <w:bCs/>
          <w:color w:val="000000"/>
        </w:rPr>
        <w:t>Hotamisligil GS</w:t>
      </w:r>
      <w:r w:rsidRPr="004D7457">
        <w:rPr>
          <w:rFonts w:ascii="Book Antiqua" w:eastAsia="Book Antiqua" w:hAnsi="Book Antiqua" w:cs="Book Antiqua"/>
          <w:color w:val="000000"/>
        </w:rPr>
        <w:t xml:space="preserve">, Murray DL, Choy LN, Spiegelman BM. Tumor necrosis factor alpha inhibits signaling from the insulin receptor. </w:t>
      </w:r>
      <w:r w:rsidR="00847ABB">
        <w:rPr>
          <w:rFonts w:ascii="Book Antiqua" w:eastAsia="Book Antiqua" w:hAnsi="Book Antiqua" w:cs="Book Antiqua"/>
          <w:i/>
          <w:iCs/>
          <w:color w:val="000000"/>
        </w:rPr>
        <w:t>Proc Natl Acad Sci US</w:t>
      </w:r>
      <w:r w:rsidRPr="004D7457">
        <w:rPr>
          <w:rFonts w:ascii="Book Antiqua" w:eastAsia="Book Antiqua" w:hAnsi="Book Antiqua" w:cs="Book Antiqua"/>
          <w:i/>
          <w:iCs/>
          <w:color w:val="000000"/>
        </w:rPr>
        <w:t>A</w:t>
      </w:r>
      <w:r w:rsidRPr="004D7457">
        <w:rPr>
          <w:rFonts w:ascii="Book Antiqua" w:eastAsia="Book Antiqua" w:hAnsi="Book Antiqua" w:cs="Book Antiqua"/>
          <w:color w:val="000000"/>
        </w:rPr>
        <w:t xml:space="preserve"> 1994; </w:t>
      </w:r>
      <w:r w:rsidRPr="004D7457">
        <w:rPr>
          <w:rFonts w:ascii="Book Antiqua" w:eastAsia="Book Antiqua" w:hAnsi="Book Antiqua" w:cs="Book Antiqua"/>
          <w:b/>
          <w:bCs/>
          <w:color w:val="000000"/>
        </w:rPr>
        <w:t>91</w:t>
      </w:r>
      <w:r w:rsidRPr="004D7457">
        <w:rPr>
          <w:rFonts w:ascii="Book Antiqua" w:eastAsia="Book Antiqua" w:hAnsi="Book Antiqua" w:cs="Book Antiqua"/>
          <w:color w:val="000000"/>
        </w:rPr>
        <w:t>: 4854-4858 [PMID: 8197147 DOI: 10.1073/pnas.91.11.4854]</w:t>
      </w:r>
    </w:p>
    <w:p w14:paraId="3AC29D63"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41 </w:t>
      </w:r>
      <w:r w:rsidRPr="004D7457">
        <w:rPr>
          <w:rFonts w:ascii="Book Antiqua" w:eastAsia="Book Antiqua" w:hAnsi="Book Antiqua" w:cs="Book Antiqua"/>
          <w:b/>
          <w:bCs/>
          <w:color w:val="000000"/>
        </w:rPr>
        <w:t>Kitamura K</w:t>
      </w:r>
      <w:r w:rsidRPr="004D7457">
        <w:rPr>
          <w:rFonts w:ascii="Book Antiqua" w:eastAsia="Book Antiqua" w:hAnsi="Book Antiqua" w:cs="Book Antiqua"/>
          <w:color w:val="000000"/>
        </w:rPr>
        <w:t xml:space="preserve">, Nakamoto Y, Akiyama M, Fujii C, Kondo T, Kobayashi K, Kaneko S, Mukaida N. Pathogenic roles of tumor necrosis factor receptor p55-mediated signals in dimethylnitrosamine-induced murine liver fibrosis. </w:t>
      </w:r>
      <w:r w:rsidRPr="004D7457">
        <w:rPr>
          <w:rFonts w:ascii="Book Antiqua" w:eastAsia="Book Antiqua" w:hAnsi="Book Antiqua" w:cs="Book Antiqua"/>
          <w:i/>
          <w:iCs/>
          <w:color w:val="000000"/>
        </w:rPr>
        <w:t>Lab Invest</w:t>
      </w:r>
      <w:r w:rsidRPr="004D7457">
        <w:rPr>
          <w:rFonts w:ascii="Book Antiqua" w:eastAsia="Book Antiqua" w:hAnsi="Book Antiqua" w:cs="Book Antiqua"/>
          <w:color w:val="000000"/>
        </w:rPr>
        <w:t xml:space="preserve"> 2002; </w:t>
      </w:r>
      <w:r w:rsidRPr="004D7457">
        <w:rPr>
          <w:rFonts w:ascii="Book Antiqua" w:eastAsia="Book Antiqua" w:hAnsi="Book Antiqua" w:cs="Book Antiqua"/>
          <w:b/>
          <w:bCs/>
          <w:color w:val="000000"/>
        </w:rPr>
        <w:t>82</w:t>
      </w:r>
      <w:r w:rsidRPr="004D7457">
        <w:rPr>
          <w:rFonts w:ascii="Book Antiqua" w:eastAsia="Book Antiqua" w:hAnsi="Book Antiqua" w:cs="Book Antiqua"/>
          <w:color w:val="000000"/>
        </w:rPr>
        <w:t>: 571-583 [PMID: 12003998 DOI: 10.1038/labinvest.3780452]</w:t>
      </w:r>
    </w:p>
    <w:p w14:paraId="571CB5BB"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42 </w:t>
      </w:r>
      <w:r w:rsidRPr="004D7457">
        <w:rPr>
          <w:rFonts w:ascii="Book Antiqua" w:eastAsia="Book Antiqua" w:hAnsi="Book Antiqua" w:cs="Book Antiqua"/>
          <w:b/>
          <w:bCs/>
          <w:color w:val="000000"/>
        </w:rPr>
        <w:t>Llorente C</w:t>
      </w:r>
      <w:r w:rsidRPr="004D7457">
        <w:rPr>
          <w:rFonts w:ascii="Book Antiqua" w:eastAsia="Book Antiqua" w:hAnsi="Book Antiqua" w:cs="Book Antiqua"/>
          <w:color w:val="000000"/>
        </w:rPr>
        <w:t xml:space="preserve">, Jepsen P, Inamine T, Wang L, Bluemel S, Wang HJ, Loomba R, Bajaj JS, Schubert ML, Sikaroodi M, Gillevet PM, Xu J, Kisseleva T, Ho SB, DePew J, Du X, Sørensen HT, Vilstrup H, Nelson KE, Brenner DA, Fouts DE, Schnabl B. Gastric acid suppression promotes alcoholic liver disease by inducing overgrowth of intestinal Enterococcus. </w:t>
      </w:r>
      <w:r w:rsidRPr="004D7457">
        <w:rPr>
          <w:rFonts w:ascii="Book Antiqua" w:eastAsia="Book Antiqua" w:hAnsi="Book Antiqua" w:cs="Book Antiqua"/>
          <w:i/>
          <w:iCs/>
          <w:color w:val="000000"/>
        </w:rPr>
        <w:t>Nat Commun</w:t>
      </w:r>
      <w:r w:rsidRPr="004D7457">
        <w:rPr>
          <w:rFonts w:ascii="Book Antiqua" w:eastAsia="Book Antiqua" w:hAnsi="Book Antiqua" w:cs="Book Antiqua"/>
          <w:color w:val="000000"/>
        </w:rPr>
        <w:t xml:space="preserve"> 2017; </w:t>
      </w:r>
      <w:r w:rsidRPr="004D7457">
        <w:rPr>
          <w:rFonts w:ascii="Book Antiqua" w:eastAsia="Book Antiqua" w:hAnsi="Book Antiqua" w:cs="Book Antiqua"/>
          <w:b/>
          <w:bCs/>
          <w:color w:val="000000"/>
        </w:rPr>
        <w:t>8</w:t>
      </w:r>
      <w:r w:rsidRPr="004D7457">
        <w:rPr>
          <w:rFonts w:ascii="Book Antiqua" w:eastAsia="Book Antiqua" w:hAnsi="Book Antiqua" w:cs="Book Antiqua"/>
          <w:color w:val="000000"/>
        </w:rPr>
        <w:t>: 837 [PMID: 29038503 DOI: 10.1038/s41467-017-00796-x]</w:t>
      </w:r>
    </w:p>
    <w:p w14:paraId="0374ADD0"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43 </w:t>
      </w:r>
      <w:r w:rsidRPr="004D7457">
        <w:rPr>
          <w:rFonts w:ascii="Book Antiqua" w:eastAsia="Book Antiqua" w:hAnsi="Book Antiqua" w:cs="Book Antiqua"/>
          <w:b/>
          <w:bCs/>
          <w:color w:val="000000"/>
        </w:rPr>
        <w:t>Yang AM</w:t>
      </w:r>
      <w:r w:rsidRPr="004D7457">
        <w:rPr>
          <w:rFonts w:ascii="Book Antiqua" w:eastAsia="Book Antiqua" w:hAnsi="Book Antiqua" w:cs="Book Antiqua"/>
          <w:color w:val="000000"/>
        </w:rPr>
        <w:t xml:space="preserve">, Inamine T, Hochrath K, Chen P, Wang L, Llorente C, Bluemel S, Hartmann P, Xu J, Koyama Y, Kisseleva T, Torralba MG, Moncera K, Beeri K, Chen CS, Freese K, Hellerbrand C, Lee SM, Hoffman HM, Mehal WZ, Garcia-Tsao G, Mutlu EA, Keshavarzian A, Brown GD, Ho SB, Bataller R, Stärkel P, Fouts DE, Schnabl B. Intestinal fungi contribute to development of alcoholic liver disease. </w:t>
      </w:r>
      <w:r w:rsidRPr="004D7457">
        <w:rPr>
          <w:rFonts w:ascii="Book Antiqua" w:eastAsia="Book Antiqua" w:hAnsi="Book Antiqua" w:cs="Book Antiqua"/>
          <w:i/>
          <w:iCs/>
          <w:color w:val="000000"/>
        </w:rPr>
        <w:t>J Clin Invest</w:t>
      </w:r>
      <w:r w:rsidRPr="004D7457">
        <w:rPr>
          <w:rFonts w:ascii="Book Antiqua" w:eastAsia="Book Antiqua" w:hAnsi="Book Antiqua" w:cs="Book Antiqua"/>
          <w:color w:val="000000"/>
        </w:rPr>
        <w:t xml:space="preserve"> 2017; </w:t>
      </w:r>
      <w:r w:rsidRPr="004D7457">
        <w:rPr>
          <w:rFonts w:ascii="Book Antiqua" w:eastAsia="Book Antiqua" w:hAnsi="Book Antiqua" w:cs="Book Antiqua"/>
          <w:b/>
          <w:bCs/>
          <w:color w:val="000000"/>
        </w:rPr>
        <w:t>127</w:t>
      </w:r>
      <w:r w:rsidRPr="004D7457">
        <w:rPr>
          <w:rFonts w:ascii="Book Antiqua" w:eastAsia="Book Antiqua" w:hAnsi="Book Antiqua" w:cs="Book Antiqua"/>
          <w:color w:val="000000"/>
        </w:rPr>
        <w:t>: 2829-2841 [PMID: 28530644 DOI: 10.1172/JCI90562]</w:t>
      </w:r>
    </w:p>
    <w:p w14:paraId="2E3CC71A"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44 </w:t>
      </w:r>
      <w:r w:rsidRPr="004D7457">
        <w:rPr>
          <w:rFonts w:ascii="Book Antiqua" w:eastAsia="Book Antiqua" w:hAnsi="Book Antiqua" w:cs="Book Antiqua"/>
          <w:b/>
          <w:bCs/>
          <w:color w:val="000000"/>
        </w:rPr>
        <w:t>Douni E</w:t>
      </w:r>
      <w:r w:rsidRPr="004D7457">
        <w:rPr>
          <w:rFonts w:ascii="Book Antiqua" w:eastAsia="Book Antiqua" w:hAnsi="Book Antiqua" w:cs="Book Antiqua"/>
          <w:color w:val="000000"/>
        </w:rPr>
        <w:t xml:space="preserve">, Kollias G. A critical role of the p75 tumor necrosis factor receptor (p75TNF-R) in organ inflammation independent of TNF, lymphotoxin alpha, or the p55TNF-R. </w:t>
      </w:r>
      <w:r w:rsidRPr="004D7457">
        <w:rPr>
          <w:rFonts w:ascii="Book Antiqua" w:eastAsia="Book Antiqua" w:hAnsi="Book Antiqua" w:cs="Book Antiqua"/>
          <w:i/>
          <w:iCs/>
          <w:color w:val="000000"/>
        </w:rPr>
        <w:t>J Exp Med</w:t>
      </w:r>
      <w:r w:rsidRPr="004D7457">
        <w:rPr>
          <w:rFonts w:ascii="Book Antiqua" w:eastAsia="Book Antiqua" w:hAnsi="Book Antiqua" w:cs="Book Antiqua"/>
          <w:color w:val="000000"/>
        </w:rPr>
        <w:t xml:space="preserve"> 1998; </w:t>
      </w:r>
      <w:r w:rsidRPr="004D7457">
        <w:rPr>
          <w:rFonts w:ascii="Book Antiqua" w:eastAsia="Book Antiqua" w:hAnsi="Book Antiqua" w:cs="Book Antiqua"/>
          <w:b/>
          <w:bCs/>
          <w:color w:val="000000"/>
        </w:rPr>
        <w:t>188</w:t>
      </w:r>
      <w:r w:rsidRPr="004D7457">
        <w:rPr>
          <w:rFonts w:ascii="Book Antiqua" w:eastAsia="Book Antiqua" w:hAnsi="Book Antiqua" w:cs="Book Antiqua"/>
          <w:color w:val="000000"/>
        </w:rPr>
        <w:t>: 1343-1352 [PMID: 9763613 DOI: 10.1084/jem.188.7.1343]</w:t>
      </w:r>
    </w:p>
    <w:p w14:paraId="6CAEEF4F"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45 </w:t>
      </w:r>
      <w:r w:rsidRPr="004D7457">
        <w:rPr>
          <w:rFonts w:ascii="Book Antiqua" w:eastAsia="Book Antiqua" w:hAnsi="Book Antiqua" w:cs="Book Antiqua"/>
          <w:b/>
          <w:bCs/>
          <w:color w:val="000000"/>
        </w:rPr>
        <w:t>Riches DW</w:t>
      </w:r>
      <w:r w:rsidRPr="004D7457">
        <w:rPr>
          <w:rFonts w:ascii="Book Antiqua" w:eastAsia="Book Antiqua" w:hAnsi="Book Antiqua" w:cs="Book Antiqua"/>
          <w:color w:val="000000"/>
        </w:rPr>
        <w:t xml:space="preserve">, Chan ED, Zahradka EA, Winston BW, Remigio LK, Lake FR. Cooperative signaling by tumor necrosis factor receptors CD120a (p55) and CD120b (p75) in the expression of nitric oxide and inducible nitric oxide synthase by mouse macrophages. </w:t>
      </w:r>
      <w:r w:rsidRPr="004D7457">
        <w:rPr>
          <w:rFonts w:ascii="Book Antiqua" w:eastAsia="Book Antiqua" w:hAnsi="Book Antiqua" w:cs="Book Antiqua"/>
          <w:i/>
          <w:iCs/>
          <w:color w:val="000000"/>
        </w:rPr>
        <w:t>J Biol Chem</w:t>
      </w:r>
      <w:r w:rsidRPr="004D7457">
        <w:rPr>
          <w:rFonts w:ascii="Book Antiqua" w:eastAsia="Book Antiqua" w:hAnsi="Book Antiqua" w:cs="Book Antiqua"/>
          <w:color w:val="000000"/>
        </w:rPr>
        <w:t xml:space="preserve"> 1998; </w:t>
      </w:r>
      <w:r w:rsidRPr="004D7457">
        <w:rPr>
          <w:rFonts w:ascii="Book Antiqua" w:eastAsia="Book Antiqua" w:hAnsi="Book Antiqua" w:cs="Book Antiqua"/>
          <w:b/>
          <w:bCs/>
          <w:color w:val="000000"/>
        </w:rPr>
        <w:t>273</w:t>
      </w:r>
      <w:r w:rsidRPr="004D7457">
        <w:rPr>
          <w:rFonts w:ascii="Book Antiqua" w:eastAsia="Book Antiqua" w:hAnsi="Book Antiqua" w:cs="Book Antiqua"/>
          <w:color w:val="000000"/>
        </w:rPr>
        <w:t>: 22800-22806 [PMID: 9712914 DOI: 10.1074/jbc.273.35.22800]</w:t>
      </w:r>
    </w:p>
    <w:p w14:paraId="0E1F92C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lastRenderedPageBreak/>
        <w:t xml:space="preserve">46 </w:t>
      </w:r>
      <w:r w:rsidRPr="004D7457">
        <w:rPr>
          <w:rFonts w:ascii="Book Antiqua" w:eastAsia="Book Antiqua" w:hAnsi="Book Antiqua" w:cs="Book Antiqua"/>
          <w:b/>
          <w:bCs/>
          <w:color w:val="000000"/>
        </w:rPr>
        <w:t>Wajant H</w:t>
      </w:r>
      <w:r w:rsidRPr="004D7457">
        <w:rPr>
          <w:rFonts w:ascii="Book Antiqua" w:eastAsia="Book Antiqua" w:hAnsi="Book Antiqua" w:cs="Book Antiqua"/>
          <w:color w:val="000000"/>
        </w:rPr>
        <w:t xml:space="preserve">, Siegmund D. TNFR1 and TNFR2 in the Control of the Life and Death Balance of Macrophages. </w:t>
      </w:r>
      <w:r w:rsidRPr="004D7457">
        <w:rPr>
          <w:rFonts w:ascii="Book Antiqua" w:eastAsia="Book Antiqua" w:hAnsi="Book Antiqua" w:cs="Book Antiqua"/>
          <w:i/>
          <w:iCs/>
          <w:color w:val="000000"/>
        </w:rPr>
        <w:t>Front Cell Dev Biol</w:t>
      </w:r>
      <w:r w:rsidRPr="004D7457">
        <w:rPr>
          <w:rFonts w:ascii="Book Antiqua" w:eastAsia="Book Antiqua" w:hAnsi="Book Antiqua" w:cs="Book Antiqua"/>
          <w:color w:val="000000"/>
        </w:rPr>
        <w:t xml:space="preserve"> 2019; </w:t>
      </w:r>
      <w:r w:rsidRPr="004D7457">
        <w:rPr>
          <w:rFonts w:ascii="Book Antiqua" w:eastAsia="Book Antiqua" w:hAnsi="Book Antiqua" w:cs="Book Antiqua"/>
          <w:b/>
          <w:bCs/>
          <w:color w:val="000000"/>
        </w:rPr>
        <w:t>7</w:t>
      </w:r>
      <w:r w:rsidRPr="004D7457">
        <w:rPr>
          <w:rFonts w:ascii="Book Antiqua" w:eastAsia="Book Antiqua" w:hAnsi="Book Antiqua" w:cs="Book Antiqua"/>
          <w:color w:val="000000"/>
        </w:rPr>
        <w:t>: 91 [PMID: 31192209 DOI: 10.3389/fcell.2019.00091]</w:t>
      </w:r>
    </w:p>
    <w:p w14:paraId="6C4D9CB3"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47 </w:t>
      </w:r>
      <w:r w:rsidRPr="004D7457">
        <w:rPr>
          <w:rFonts w:ascii="Book Antiqua" w:eastAsia="Book Antiqua" w:hAnsi="Book Antiqua" w:cs="Book Antiqua"/>
          <w:b/>
          <w:bCs/>
          <w:color w:val="000000"/>
        </w:rPr>
        <w:t>Tomita K</w:t>
      </w:r>
      <w:r w:rsidRPr="004D7457">
        <w:rPr>
          <w:rFonts w:ascii="Book Antiqua" w:eastAsia="Book Antiqua" w:hAnsi="Book Antiqua" w:cs="Book Antiqua"/>
          <w:color w:val="000000"/>
        </w:rPr>
        <w:t xml:space="preserve">, Tamiya G, Ando S, Ohsumi K, Chiyo T, Mizutani A, Kitamura N, Toda K, Kaneko T, Horie Y, Han JY, Kato S, Shimoda M, Oike Y, Tomizawa M, Makino S, Ohkura T, Saito H, Kumagai N, Nagata H, Ishii H, Hibi T. Tumour necrosis factor alpha signalling through activation of Kupffer cells plays an essential role in liver fibrosis of non-alcoholic steatohepatitis in mice. </w:t>
      </w:r>
      <w:r w:rsidRPr="004D7457">
        <w:rPr>
          <w:rFonts w:ascii="Book Antiqua" w:eastAsia="Book Antiqua" w:hAnsi="Book Antiqua" w:cs="Book Antiqua"/>
          <w:i/>
          <w:iCs/>
          <w:color w:val="000000"/>
        </w:rPr>
        <w:t>Gut</w:t>
      </w:r>
      <w:r w:rsidRPr="004D7457">
        <w:rPr>
          <w:rFonts w:ascii="Book Antiqua" w:eastAsia="Book Antiqua" w:hAnsi="Book Antiqua" w:cs="Book Antiqua"/>
          <w:color w:val="000000"/>
        </w:rPr>
        <w:t xml:space="preserve"> 2006; </w:t>
      </w:r>
      <w:r w:rsidRPr="004D7457">
        <w:rPr>
          <w:rFonts w:ascii="Book Antiqua" w:eastAsia="Book Antiqua" w:hAnsi="Book Antiqua" w:cs="Book Antiqua"/>
          <w:b/>
          <w:bCs/>
          <w:color w:val="000000"/>
        </w:rPr>
        <w:t>55</w:t>
      </w:r>
      <w:r w:rsidRPr="004D7457">
        <w:rPr>
          <w:rFonts w:ascii="Book Antiqua" w:eastAsia="Book Antiqua" w:hAnsi="Book Antiqua" w:cs="Book Antiqua"/>
          <w:color w:val="000000"/>
        </w:rPr>
        <w:t>: 415-424 [PMID: 16174657 DOI: 10.1136/gut.2005.071118]</w:t>
      </w:r>
    </w:p>
    <w:p w14:paraId="78816DC5"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48 </w:t>
      </w:r>
      <w:r w:rsidRPr="004D7457">
        <w:rPr>
          <w:rFonts w:ascii="Book Antiqua" w:eastAsia="Book Antiqua" w:hAnsi="Book Antiqua" w:cs="Book Antiqua"/>
          <w:b/>
          <w:bCs/>
          <w:color w:val="000000"/>
        </w:rPr>
        <w:t>Bastard JP</w:t>
      </w:r>
      <w:r w:rsidRPr="004D7457">
        <w:rPr>
          <w:rFonts w:ascii="Book Antiqua" w:eastAsia="Book Antiqua" w:hAnsi="Book Antiqua" w:cs="Book Antiqua"/>
          <w:color w:val="000000"/>
        </w:rPr>
        <w:t xml:space="preserve">, Fellahi S, Audureau É, Layese R, Roudot-Thoraval F, Cagnot C, Mahuas-Bourcier V, Sutton A, Ziol M, Capeau J, Nahon P; ANRS CO12 CirVir group. Elevated adiponectin and sTNFRII serum levels can predict progression to hepatocellular carcinoma in patients with compensated HCV1 cirrhosis. </w:t>
      </w:r>
      <w:r w:rsidRPr="004D7457">
        <w:rPr>
          <w:rFonts w:ascii="Book Antiqua" w:eastAsia="Book Antiqua" w:hAnsi="Book Antiqua" w:cs="Book Antiqua"/>
          <w:i/>
          <w:iCs/>
          <w:color w:val="000000"/>
        </w:rPr>
        <w:t>Eur Cytokine Netw</w:t>
      </w:r>
      <w:r w:rsidRPr="004D7457">
        <w:rPr>
          <w:rFonts w:ascii="Book Antiqua" w:eastAsia="Book Antiqua" w:hAnsi="Book Antiqua" w:cs="Book Antiqua"/>
          <w:color w:val="000000"/>
        </w:rPr>
        <w:t xml:space="preserve"> 2018; </w:t>
      </w:r>
      <w:r w:rsidRPr="004D7457">
        <w:rPr>
          <w:rFonts w:ascii="Book Antiqua" w:eastAsia="Book Antiqua" w:hAnsi="Book Antiqua" w:cs="Book Antiqua"/>
          <w:b/>
          <w:bCs/>
          <w:color w:val="000000"/>
        </w:rPr>
        <w:t>29</w:t>
      </w:r>
      <w:r w:rsidRPr="004D7457">
        <w:rPr>
          <w:rFonts w:ascii="Book Antiqua" w:eastAsia="Book Antiqua" w:hAnsi="Book Antiqua" w:cs="Book Antiqua"/>
          <w:color w:val="000000"/>
        </w:rPr>
        <w:t>: 112-120 [PMID: 30547888 DOI: 10.1684/ecn.2018.0413]</w:t>
      </w:r>
    </w:p>
    <w:p w14:paraId="185D0A64"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49 </w:t>
      </w:r>
      <w:r w:rsidRPr="004D7457">
        <w:rPr>
          <w:rFonts w:ascii="Book Antiqua" w:eastAsia="Book Antiqua" w:hAnsi="Book Antiqua" w:cs="Book Antiqua"/>
          <w:b/>
          <w:bCs/>
          <w:color w:val="000000"/>
        </w:rPr>
        <w:t>Wandrer F</w:t>
      </w:r>
      <w:r w:rsidRPr="004D7457">
        <w:rPr>
          <w:rFonts w:ascii="Book Antiqua" w:eastAsia="Book Antiqua" w:hAnsi="Book Antiqua" w:cs="Book Antiqua"/>
          <w:color w:val="000000"/>
        </w:rPr>
        <w:t xml:space="preserve">, Liebig S, Marhenke S, Vogel A, John K, Manns MP, Teufel A, Itzel T, Longerich T, Maier O, Fischer R, Kontermann RE, Pfizenmaier K, Schulze-Osthoff K, Bantel H. TNF-Receptor-1 inhibition reduces liver steatosis, hepatocellular injury and fibrosis in NAFLD mice. </w:t>
      </w:r>
      <w:r w:rsidRPr="004D7457">
        <w:rPr>
          <w:rFonts w:ascii="Book Antiqua" w:eastAsia="Book Antiqua" w:hAnsi="Book Antiqua" w:cs="Book Antiqua"/>
          <w:i/>
          <w:iCs/>
          <w:color w:val="000000"/>
        </w:rPr>
        <w:t>Cell Death Dis</w:t>
      </w:r>
      <w:r w:rsidRPr="004D7457">
        <w:rPr>
          <w:rFonts w:ascii="Book Antiqua" w:eastAsia="Book Antiqua" w:hAnsi="Book Antiqua" w:cs="Book Antiqua"/>
          <w:color w:val="000000"/>
        </w:rPr>
        <w:t xml:space="preserve"> 2020; </w:t>
      </w:r>
      <w:r w:rsidRPr="004D7457">
        <w:rPr>
          <w:rFonts w:ascii="Book Antiqua" w:eastAsia="Book Antiqua" w:hAnsi="Book Antiqua" w:cs="Book Antiqua"/>
          <w:b/>
          <w:bCs/>
          <w:color w:val="000000"/>
        </w:rPr>
        <w:t>11</w:t>
      </w:r>
      <w:r w:rsidRPr="004D7457">
        <w:rPr>
          <w:rFonts w:ascii="Book Antiqua" w:eastAsia="Book Antiqua" w:hAnsi="Book Antiqua" w:cs="Book Antiqua"/>
          <w:color w:val="000000"/>
        </w:rPr>
        <w:t>: 212 [PMID: 32235829 DOI: 10.1038/s41419-020-2411-6]</w:t>
      </w:r>
    </w:p>
    <w:p w14:paraId="4464607D"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 xml:space="preserve">50 </w:t>
      </w:r>
      <w:r w:rsidRPr="004D7457">
        <w:rPr>
          <w:rFonts w:ascii="Book Antiqua" w:eastAsia="Book Antiqua" w:hAnsi="Book Antiqua" w:cs="Book Antiqua"/>
          <w:b/>
          <w:bCs/>
          <w:color w:val="000000"/>
        </w:rPr>
        <w:t>Perry RJ</w:t>
      </w:r>
      <w:r w:rsidRPr="004D7457">
        <w:rPr>
          <w:rFonts w:ascii="Book Antiqua" w:eastAsia="Book Antiqua" w:hAnsi="Book Antiqua" w:cs="Book Antiqua"/>
          <w:color w:val="000000"/>
        </w:rPr>
        <w:t xml:space="preserve">, Samuel VT, Petersen KF, Shulman GI. The role of hepatic lipids in hepatic insulin resistance and type 2 diabetes. </w:t>
      </w:r>
      <w:r w:rsidRPr="004D7457">
        <w:rPr>
          <w:rFonts w:ascii="Book Antiqua" w:eastAsia="Book Antiqua" w:hAnsi="Book Antiqua" w:cs="Book Antiqua"/>
          <w:i/>
          <w:iCs/>
          <w:color w:val="000000"/>
        </w:rPr>
        <w:t>Nature</w:t>
      </w:r>
      <w:r w:rsidRPr="004D7457">
        <w:rPr>
          <w:rFonts w:ascii="Book Antiqua" w:eastAsia="Book Antiqua" w:hAnsi="Book Antiqua" w:cs="Book Antiqua"/>
          <w:color w:val="000000"/>
        </w:rPr>
        <w:t xml:space="preserve"> 2014; </w:t>
      </w:r>
      <w:r w:rsidRPr="004D7457">
        <w:rPr>
          <w:rFonts w:ascii="Book Antiqua" w:eastAsia="Book Antiqua" w:hAnsi="Book Antiqua" w:cs="Book Antiqua"/>
          <w:b/>
          <w:bCs/>
          <w:color w:val="000000"/>
        </w:rPr>
        <w:t>510</w:t>
      </w:r>
      <w:r w:rsidRPr="004D7457">
        <w:rPr>
          <w:rFonts w:ascii="Book Antiqua" w:eastAsia="Book Antiqua" w:hAnsi="Book Antiqua" w:cs="Book Antiqua"/>
          <w:color w:val="000000"/>
        </w:rPr>
        <w:t>: 84-91 [PMID: 24899308 DOI: 10.1038/nature13478]</w:t>
      </w:r>
    </w:p>
    <w:p w14:paraId="59D68429" w14:textId="77777777" w:rsidR="00A77B3E" w:rsidRPr="004D7457" w:rsidRDefault="00BB1006" w:rsidP="004D7457">
      <w:pPr>
        <w:snapToGrid w:val="0"/>
        <w:spacing w:line="360" w:lineRule="auto"/>
        <w:jc w:val="both"/>
        <w:sectPr w:rsidR="00A77B3E" w:rsidRPr="004D7457">
          <w:pgSz w:w="12240" w:h="15840"/>
          <w:pgMar w:top="1440" w:right="1440" w:bottom="1440" w:left="1440" w:header="720" w:footer="720" w:gutter="0"/>
          <w:cols w:space="720"/>
          <w:docGrid w:linePitch="360"/>
        </w:sectPr>
      </w:pPr>
      <w:r w:rsidRPr="004D7457">
        <w:rPr>
          <w:rFonts w:ascii="Book Antiqua" w:eastAsia="Book Antiqua" w:hAnsi="Book Antiqua" w:cs="Book Antiqua"/>
          <w:color w:val="000000"/>
        </w:rPr>
        <w:t xml:space="preserve">51 </w:t>
      </w:r>
      <w:r w:rsidRPr="004D7457">
        <w:rPr>
          <w:rFonts w:ascii="Book Antiqua" w:eastAsia="Book Antiqua" w:hAnsi="Book Antiqua" w:cs="Book Antiqua"/>
          <w:b/>
          <w:bCs/>
          <w:color w:val="000000"/>
        </w:rPr>
        <w:t>Nieto-Vazquez I</w:t>
      </w:r>
      <w:r w:rsidRPr="004D7457">
        <w:rPr>
          <w:rFonts w:ascii="Book Antiqua" w:eastAsia="Book Antiqua" w:hAnsi="Book Antiqua" w:cs="Book Antiqua"/>
          <w:color w:val="000000"/>
        </w:rPr>
        <w:t xml:space="preserve">, Fernández-Veledo S, Krämer DK, Vila-Bedmar R, Garcia-Guerra L, Lorenzo M. Insulin resistance associated to obesity: the link TNF-alpha. </w:t>
      </w:r>
      <w:r w:rsidRPr="004D7457">
        <w:rPr>
          <w:rFonts w:ascii="Book Antiqua" w:eastAsia="Book Antiqua" w:hAnsi="Book Antiqua" w:cs="Book Antiqua"/>
          <w:i/>
          <w:iCs/>
          <w:color w:val="000000"/>
        </w:rPr>
        <w:t>Arch Physiol Biochem</w:t>
      </w:r>
      <w:r w:rsidRPr="004D7457">
        <w:rPr>
          <w:rFonts w:ascii="Book Antiqua" w:eastAsia="Book Antiqua" w:hAnsi="Book Antiqua" w:cs="Book Antiqua"/>
          <w:color w:val="000000"/>
        </w:rPr>
        <w:t xml:space="preserve"> 2008; </w:t>
      </w:r>
      <w:r w:rsidRPr="004D7457">
        <w:rPr>
          <w:rFonts w:ascii="Book Antiqua" w:eastAsia="Book Antiqua" w:hAnsi="Book Antiqua" w:cs="Book Antiqua"/>
          <w:b/>
          <w:bCs/>
          <w:color w:val="000000"/>
        </w:rPr>
        <w:t>114</w:t>
      </w:r>
      <w:r w:rsidRPr="004D7457">
        <w:rPr>
          <w:rFonts w:ascii="Book Antiqua" w:eastAsia="Book Antiqua" w:hAnsi="Book Antiqua" w:cs="Book Antiqua"/>
          <w:color w:val="000000"/>
        </w:rPr>
        <w:t>: 183-194 [PMID: 18629684 DOI: 10.1080/13813450802181047]</w:t>
      </w:r>
    </w:p>
    <w:bookmarkEnd w:id="2"/>
    <w:bookmarkEnd w:id="3"/>
    <w:p w14:paraId="1598F030"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lastRenderedPageBreak/>
        <w:t>Footnotes</w:t>
      </w:r>
    </w:p>
    <w:p w14:paraId="27432C5E" w14:textId="02D7C209"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Institutional animal care and use committee statement: </w:t>
      </w:r>
      <w:r w:rsidRPr="004D7457">
        <w:rPr>
          <w:rFonts w:ascii="Book Antiqua" w:eastAsia="Book Antiqua" w:hAnsi="Book Antiqua" w:cs="Book Antiqua"/>
          <w:color w:val="000000"/>
        </w:rPr>
        <w:t xml:space="preserve">All animal studies were reviewed and approved by the Institutional Animal Care and Use Committee of the University of California, San Diego (IACUC </w:t>
      </w:r>
      <w:r w:rsidR="00982D1F" w:rsidRPr="004D7457">
        <w:rPr>
          <w:rFonts w:ascii="Book Antiqua" w:eastAsia="Book Antiqua" w:hAnsi="Book Antiqua" w:cs="Book Antiqua"/>
          <w:color w:val="000000"/>
        </w:rPr>
        <w:t>P</w:t>
      </w:r>
      <w:r w:rsidRPr="004D7457">
        <w:rPr>
          <w:rFonts w:ascii="Book Antiqua" w:eastAsia="Book Antiqua" w:hAnsi="Book Antiqua" w:cs="Book Antiqua"/>
          <w:color w:val="000000"/>
        </w:rPr>
        <w:t xml:space="preserve">rotocol </w:t>
      </w:r>
      <w:r w:rsidR="00982D1F" w:rsidRPr="004D7457">
        <w:rPr>
          <w:rFonts w:ascii="Book Antiqua" w:eastAsia="Book Antiqua" w:hAnsi="Book Antiqua" w:cs="Book Antiqua"/>
          <w:color w:val="000000"/>
        </w:rPr>
        <w:t xml:space="preserve">No. </w:t>
      </w:r>
      <w:r w:rsidRPr="004D7457">
        <w:rPr>
          <w:rFonts w:ascii="Book Antiqua" w:eastAsia="Book Antiqua" w:hAnsi="Book Antiqua" w:cs="Book Antiqua"/>
          <w:color w:val="000000"/>
        </w:rPr>
        <w:t>S09042).</w:t>
      </w:r>
    </w:p>
    <w:p w14:paraId="5709DE33" w14:textId="77777777" w:rsidR="00A77B3E" w:rsidRPr="004D7457" w:rsidRDefault="00A77B3E" w:rsidP="004D7457">
      <w:pPr>
        <w:snapToGrid w:val="0"/>
        <w:spacing w:line="360" w:lineRule="auto"/>
        <w:jc w:val="both"/>
      </w:pPr>
    </w:p>
    <w:p w14:paraId="309E3261" w14:textId="089C88FE"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Conflict-of-interest statement: </w:t>
      </w:r>
      <w:r w:rsidR="00C30407" w:rsidRPr="004D7457">
        <w:rPr>
          <w:rFonts w:ascii="Book Antiqua" w:eastAsia="Book Antiqua" w:hAnsi="Book Antiqua" w:cs="Book Antiqua"/>
          <w:color w:val="000000"/>
        </w:rPr>
        <w:t xml:space="preserve">Schnabl B </w:t>
      </w:r>
      <w:r w:rsidRPr="004D7457">
        <w:rPr>
          <w:rFonts w:ascii="Book Antiqua" w:eastAsia="Book Antiqua" w:hAnsi="Book Antiqua" w:cs="Book Antiqua"/>
          <w:color w:val="000000"/>
        </w:rPr>
        <w:t xml:space="preserve">has been consulting for Ferring Research Institute, HOST Therabiomics, Intercept Pharmaceuticals and Patara Pharmaceuticals. </w:t>
      </w:r>
      <w:r w:rsidR="0071225A" w:rsidRPr="004D7457">
        <w:rPr>
          <w:rFonts w:ascii="Book Antiqua" w:eastAsia="Book Antiqua" w:hAnsi="Book Antiqua" w:cs="Book Antiqua"/>
          <w:color w:val="000000"/>
        </w:rPr>
        <w:t>Schnabl B</w:t>
      </w:r>
      <w:r w:rsidRPr="004D7457">
        <w:rPr>
          <w:rFonts w:ascii="Book Antiqua" w:eastAsia="Book Antiqua" w:hAnsi="Book Antiqua" w:cs="Book Antiqua"/>
          <w:color w:val="000000"/>
        </w:rPr>
        <w:t>’s institution UC San Diego has received research support from Axial Biotherapeutics, BiomX, CymaBay Therapeutics, NGM Biopharmaceuticals, and Synlogic Operating Company.</w:t>
      </w:r>
    </w:p>
    <w:p w14:paraId="3FFF83A3" w14:textId="77777777" w:rsidR="00A77B3E" w:rsidRPr="004D7457" w:rsidRDefault="00A77B3E" w:rsidP="004D7457">
      <w:pPr>
        <w:snapToGrid w:val="0"/>
        <w:spacing w:line="360" w:lineRule="auto"/>
        <w:jc w:val="both"/>
      </w:pPr>
    </w:p>
    <w:p w14:paraId="4869DA3B"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Data sharing statement: </w:t>
      </w:r>
      <w:r w:rsidRPr="004D7457">
        <w:rPr>
          <w:rFonts w:ascii="Book Antiqua" w:eastAsia="Book Antiqua" w:hAnsi="Book Antiqua" w:cs="Book Antiqua"/>
          <w:color w:val="000000"/>
        </w:rPr>
        <w:t>No additional data are available.</w:t>
      </w:r>
    </w:p>
    <w:p w14:paraId="1FE5F75B" w14:textId="77777777" w:rsidR="00A77B3E" w:rsidRPr="004D7457" w:rsidRDefault="00A77B3E" w:rsidP="004D7457">
      <w:pPr>
        <w:snapToGrid w:val="0"/>
        <w:spacing w:line="360" w:lineRule="auto"/>
        <w:jc w:val="both"/>
      </w:pPr>
    </w:p>
    <w:p w14:paraId="544F2371"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ARRIVE guidelines statement: </w:t>
      </w:r>
      <w:r w:rsidRPr="004D7457">
        <w:rPr>
          <w:rFonts w:ascii="Book Antiqua" w:eastAsia="Book Antiqua" w:hAnsi="Book Antiqua" w:cs="Book Antiqua"/>
          <w:color w:val="000000"/>
        </w:rPr>
        <w:t>The authors have read the ARRIVE guidelines, and the manuscript was prepared and revised according to the ARRIVE guidelines.</w:t>
      </w:r>
    </w:p>
    <w:p w14:paraId="7B0F8787" w14:textId="77777777" w:rsidR="00A77B3E" w:rsidRPr="004D7457" w:rsidRDefault="00A77B3E" w:rsidP="004D7457">
      <w:pPr>
        <w:snapToGrid w:val="0"/>
        <w:spacing w:line="360" w:lineRule="auto"/>
        <w:jc w:val="both"/>
      </w:pPr>
    </w:p>
    <w:p w14:paraId="1DCF5250" w14:textId="77777777" w:rsidR="00A77B3E" w:rsidRPr="004D7457" w:rsidRDefault="00BB1006" w:rsidP="004D7457">
      <w:pPr>
        <w:snapToGrid w:val="0"/>
        <w:spacing w:line="360" w:lineRule="auto"/>
        <w:jc w:val="both"/>
      </w:pPr>
      <w:r w:rsidRPr="004D7457">
        <w:rPr>
          <w:rFonts w:ascii="Book Antiqua" w:eastAsia="Book Antiqua" w:hAnsi="Book Antiqua" w:cs="Book Antiqua"/>
          <w:b/>
          <w:bCs/>
          <w:color w:val="000000"/>
        </w:rPr>
        <w:t xml:space="preserve">Open-Access: </w:t>
      </w:r>
      <w:r w:rsidRPr="004D745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957BBD" w14:textId="77777777" w:rsidR="00A77B3E" w:rsidRPr="004D7457" w:rsidRDefault="00A77B3E" w:rsidP="004D7457">
      <w:pPr>
        <w:snapToGrid w:val="0"/>
        <w:spacing w:line="360" w:lineRule="auto"/>
        <w:jc w:val="both"/>
      </w:pPr>
    </w:p>
    <w:p w14:paraId="42B8CFBC" w14:textId="501D7EF5"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Manuscript source: </w:t>
      </w:r>
      <w:r w:rsidRPr="004D7457">
        <w:rPr>
          <w:rFonts w:ascii="Book Antiqua" w:eastAsia="Book Antiqua" w:hAnsi="Book Antiqua" w:cs="Book Antiqua"/>
          <w:color w:val="000000"/>
        </w:rPr>
        <w:t xml:space="preserve">Unsolicited </w:t>
      </w:r>
      <w:r w:rsidR="00682937" w:rsidRPr="004D7457">
        <w:rPr>
          <w:rFonts w:ascii="Book Antiqua" w:eastAsia="Book Antiqua" w:hAnsi="Book Antiqua" w:cs="Book Antiqua"/>
          <w:color w:val="000000"/>
        </w:rPr>
        <w:t>m</w:t>
      </w:r>
      <w:r w:rsidRPr="004D7457">
        <w:rPr>
          <w:rFonts w:ascii="Book Antiqua" w:eastAsia="Book Antiqua" w:hAnsi="Book Antiqua" w:cs="Book Antiqua"/>
          <w:color w:val="000000"/>
        </w:rPr>
        <w:t>anuscript</w:t>
      </w:r>
    </w:p>
    <w:p w14:paraId="4706437A" w14:textId="77777777" w:rsidR="000C55FC" w:rsidRPr="004D7457" w:rsidRDefault="000C55FC" w:rsidP="004D7457">
      <w:pPr>
        <w:snapToGrid w:val="0"/>
        <w:spacing w:line="360" w:lineRule="auto"/>
        <w:jc w:val="both"/>
        <w:rPr>
          <w:rFonts w:ascii="Book Antiqua" w:eastAsia="Book Antiqua" w:hAnsi="Book Antiqua" w:cs="Book Antiqua"/>
          <w:b/>
          <w:color w:val="000000"/>
        </w:rPr>
      </w:pPr>
    </w:p>
    <w:p w14:paraId="5657738A"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Peer-review started: </w:t>
      </w:r>
      <w:r w:rsidRPr="004D7457">
        <w:rPr>
          <w:rFonts w:ascii="Book Antiqua" w:eastAsia="Book Antiqua" w:hAnsi="Book Antiqua" w:cs="Book Antiqua"/>
          <w:color w:val="000000"/>
        </w:rPr>
        <w:t>March 28, 2020</w:t>
      </w:r>
    </w:p>
    <w:p w14:paraId="73F85543"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First decision: </w:t>
      </w:r>
      <w:r w:rsidRPr="004D7457">
        <w:rPr>
          <w:rFonts w:ascii="Book Antiqua" w:eastAsia="Book Antiqua" w:hAnsi="Book Antiqua" w:cs="Book Antiqua"/>
          <w:color w:val="000000"/>
        </w:rPr>
        <w:t>May 21, 2020</w:t>
      </w:r>
    </w:p>
    <w:p w14:paraId="18EBED45" w14:textId="6147F644"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Article in press: </w:t>
      </w:r>
      <w:r w:rsidR="0097284D" w:rsidRPr="004D7457">
        <w:rPr>
          <w:rFonts w:ascii="Book Antiqua" w:eastAsia="Book Antiqua" w:hAnsi="Book Antiqua" w:cs="Book Antiqua"/>
          <w:color w:val="000000"/>
        </w:rPr>
        <w:t>August 12, 2020</w:t>
      </w:r>
    </w:p>
    <w:p w14:paraId="2DFA2258" w14:textId="77777777" w:rsidR="00A77B3E" w:rsidRPr="004D7457" w:rsidRDefault="00A77B3E" w:rsidP="004D7457">
      <w:pPr>
        <w:snapToGrid w:val="0"/>
        <w:spacing w:line="360" w:lineRule="auto"/>
        <w:jc w:val="both"/>
      </w:pPr>
    </w:p>
    <w:p w14:paraId="70045F3C"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Specialty type: </w:t>
      </w:r>
      <w:r w:rsidRPr="004D7457">
        <w:rPr>
          <w:rFonts w:ascii="Book Antiqua" w:eastAsia="Book Antiqua" w:hAnsi="Book Antiqua" w:cs="Book Antiqua"/>
          <w:color w:val="000000"/>
        </w:rPr>
        <w:t xml:space="preserve">Gastroenterology and </w:t>
      </w:r>
      <w:r w:rsidR="00590546" w:rsidRPr="004D7457">
        <w:rPr>
          <w:rFonts w:ascii="Book Antiqua" w:eastAsia="Book Antiqua" w:hAnsi="Book Antiqua" w:cs="Book Antiqua"/>
          <w:color w:val="000000"/>
        </w:rPr>
        <w:t>h</w:t>
      </w:r>
      <w:r w:rsidRPr="004D7457">
        <w:rPr>
          <w:rFonts w:ascii="Book Antiqua" w:eastAsia="Book Antiqua" w:hAnsi="Book Antiqua" w:cs="Book Antiqua"/>
          <w:color w:val="000000"/>
        </w:rPr>
        <w:t>epatology</w:t>
      </w:r>
    </w:p>
    <w:p w14:paraId="72C675C2"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 xml:space="preserve">Country/Territory of origin: </w:t>
      </w:r>
      <w:r w:rsidRPr="004D7457">
        <w:rPr>
          <w:rFonts w:ascii="Book Antiqua" w:eastAsia="Book Antiqua" w:hAnsi="Book Antiqua" w:cs="Book Antiqua"/>
          <w:color w:val="000000"/>
        </w:rPr>
        <w:t>United States</w:t>
      </w:r>
    </w:p>
    <w:p w14:paraId="42A08225"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t>Peer-review report’s scientific quality classification</w:t>
      </w:r>
    </w:p>
    <w:p w14:paraId="22ADAA39"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Grade A (Excellent): 0</w:t>
      </w:r>
    </w:p>
    <w:p w14:paraId="7B680BF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Grade B (Very good): B</w:t>
      </w:r>
    </w:p>
    <w:p w14:paraId="619F2871"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Grade C (Good): C, C</w:t>
      </w:r>
    </w:p>
    <w:p w14:paraId="31DF55B0"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Grade D (Fair): D</w:t>
      </w:r>
    </w:p>
    <w:p w14:paraId="5FE70439" w14:textId="77777777" w:rsidR="00A77B3E" w:rsidRPr="004D7457" w:rsidRDefault="00BB1006" w:rsidP="004D7457">
      <w:pPr>
        <w:snapToGrid w:val="0"/>
        <w:spacing w:line="360" w:lineRule="auto"/>
        <w:jc w:val="both"/>
      </w:pPr>
      <w:r w:rsidRPr="004D7457">
        <w:rPr>
          <w:rFonts w:ascii="Book Antiqua" w:eastAsia="Book Antiqua" w:hAnsi="Book Antiqua" w:cs="Book Antiqua"/>
          <w:color w:val="000000"/>
        </w:rPr>
        <w:t>Grade E (Poor): 0</w:t>
      </w:r>
      <w:bookmarkStart w:id="4" w:name="_GoBack"/>
      <w:bookmarkEnd w:id="4"/>
    </w:p>
    <w:p w14:paraId="3C99DCE4" w14:textId="77777777" w:rsidR="00A77B3E" w:rsidRPr="004D7457" w:rsidRDefault="00A77B3E" w:rsidP="004D7457">
      <w:pPr>
        <w:snapToGrid w:val="0"/>
        <w:spacing w:line="360" w:lineRule="auto"/>
        <w:jc w:val="both"/>
      </w:pPr>
    </w:p>
    <w:p w14:paraId="75BBFD07" w14:textId="2A2BDF51" w:rsidR="00A77B3E" w:rsidRDefault="00BB1006" w:rsidP="004D7457">
      <w:pPr>
        <w:snapToGrid w:val="0"/>
        <w:spacing w:line="360" w:lineRule="auto"/>
        <w:jc w:val="both"/>
        <w:rPr>
          <w:rFonts w:ascii="Book Antiqua" w:hAnsi="Book Antiqua" w:cs="Book Antiqua"/>
          <w:color w:val="000000"/>
          <w:lang w:eastAsia="zh-CN"/>
        </w:rPr>
      </w:pPr>
      <w:r w:rsidRPr="004D7457">
        <w:rPr>
          <w:rFonts w:ascii="Book Antiqua" w:eastAsia="Book Antiqua" w:hAnsi="Book Antiqua" w:cs="Book Antiqua"/>
          <w:b/>
          <w:color w:val="000000"/>
        </w:rPr>
        <w:t xml:space="preserve">P-Reviewer: </w:t>
      </w:r>
      <w:r w:rsidR="00F3521D" w:rsidRPr="004D7457">
        <w:rPr>
          <w:rFonts w:ascii="Book Antiqua" w:eastAsia="Book Antiqua" w:hAnsi="Book Antiqua" w:cs="Book Antiqua"/>
          <w:color w:val="000000"/>
        </w:rPr>
        <w:t xml:space="preserve">Cheng JT, </w:t>
      </w:r>
      <w:r w:rsidRPr="004D7457">
        <w:rPr>
          <w:rFonts w:ascii="Book Antiqua" w:eastAsia="Book Antiqua" w:hAnsi="Book Antiqua" w:cs="Book Antiqua"/>
          <w:color w:val="000000"/>
        </w:rPr>
        <w:t>Jamali R, Williams RS, Zhang L</w:t>
      </w:r>
      <w:r w:rsidRPr="004D7457">
        <w:rPr>
          <w:rFonts w:ascii="Book Antiqua" w:eastAsia="Book Antiqua" w:hAnsi="Book Antiqua" w:cs="Book Antiqua"/>
          <w:b/>
          <w:color w:val="000000"/>
        </w:rPr>
        <w:t xml:space="preserve"> S-Editor: </w:t>
      </w:r>
      <w:r w:rsidRPr="004D7457">
        <w:rPr>
          <w:rFonts w:ascii="Book Antiqua" w:eastAsia="Book Antiqua" w:hAnsi="Book Antiqua" w:cs="Book Antiqua"/>
          <w:color w:val="000000"/>
        </w:rPr>
        <w:t>Gong ZM</w:t>
      </w:r>
      <w:r w:rsidRPr="004D7457">
        <w:rPr>
          <w:rFonts w:ascii="Book Antiqua" w:eastAsia="Book Antiqua" w:hAnsi="Book Antiqua" w:cs="Book Antiqua"/>
          <w:b/>
          <w:color w:val="000000"/>
        </w:rPr>
        <w:t xml:space="preserve"> L-Editor: </w:t>
      </w:r>
      <w:r w:rsidR="00CD38E2" w:rsidRPr="004D7457">
        <w:rPr>
          <w:rFonts w:ascii="Book Antiqua" w:eastAsia="Book Antiqua" w:hAnsi="Book Antiqua" w:cs="Book Antiqua"/>
          <w:bCs/>
          <w:color w:val="000000"/>
        </w:rPr>
        <w:t>Filipodia</w:t>
      </w:r>
      <w:r w:rsidRPr="004D7457">
        <w:rPr>
          <w:rFonts w:ascii="Book Antiqua" w:eastAsia="Book Antiqua" w:hAnsi="Book Antiqua" w:cs="Book Antiqua"/>
          <w:b/>
          <w:color w:val="000000"/>
        </w:rPr>
        <w:t xml:space="preserve"> </w:t>
      </w:r>
      <w:r w:rsidR="0097284D">
        <w:rPr>
          <w:rFonts w:ascii="Book Antiqua" w:hAnsi="Book Antiqua" w:cs="Book Antiqua" w:hint="eastAsia"/>
          <w:b/>
          <w:color w:val="000000"/>
          <w:lang w:eastAsia="zh-CN"/>
        </w:rPr>
        <w:t>P</w:t>
      </w:r>
      <w:r w:rsidRPr="004D7457">
        <w:rPr>
          <w:rFonts w:ascii="Book Antiqua" w:eastAsia="Book Antiqua" w:hAnsi="Book Antiqua" w:cs="Book Antiqua"/>
          <w:b/>
          <w:color w:val="000000"/>
        </w:rPr>
        <w:t xml:space="preserve">-Editor: </w:t>
      </w:r>
      <w:r w:rsidR="0097284D" w:rsidRPr="0097284D">
        <w:rPr>
          <w:rFonts w:ascii="Book Antiqua" w:hAnsi="Book Antiqua" w:cs="Book Antiqua" w:hint="eastAsia"/>
          <w:color w:val="000000"/>
          <w:lang w:eastAsia="zh-CN"/>
        </w:rPr>
        <w:t>Wang LL</w:t>
      </w:r>
    </w:p>
    <w:p w14:paraId="7022FA45" w14:textId="77777777" w:rsidR="0097284D" w:rsidRDefault="0097284D" w:rsidP="004D7457">
      <w:pPr>
        <w:snapToGrid w:val="0"/>
        <w:spacing w:line="360" w:lineRule="auto"/>
        <w:jc w:val="both"/>
        <w:rPr>
          <w:rFonts w:ascii="Book Antiqua" w:hAnsi="Book Antiqua" w:cs="Book Antiqua"/>
          <w:color w:val="000000"/>
          <w:lang w:eastAsia="zh-CN"/>
        </w:rPr>
      </w:pPr>
    </w:p>
    <w:p w14:paraId="493CDF03" w14:textId="77777777" w:rsidR="0097284D" w:rsidRPr="0097284D" w:rsidRDefault="0097284D" w:rsidP="004D7457">
      <w:pPr>
        <w:snapToGrid w:val="0"/>
        <w:spacing w:line="360" w:lineRule="auto"/>
        <w:jc w:val="both"/>
        <w:rPr>
          <w:lang w:eastAsia="zh-CN"/>
        </w:rPr>
        <w:sectPr w:rsidR="0097284D" w:rsidRPr="0097284D">
          <w:pgSz w:w="12240" w:h="15840"/>
          <w:pgMar w:top="1440" w:right="1440" w:bottom="1440" w:left="1440" w:header="720" w:footer="720" w:gutter="0"/>
          <w:cols w:space="720"/>
          <w:docGrid w:linePitch="360"/>
        </w:sectPr>
      </w:pPr>
    </w:p>
    <w:p w14:paraId="47E6EC74" w14:textId="77777777" w:rsidR="00A77B3E" w:rsidRPr="004D7457" w:rsidRDefault="00BB1006" w:rsidP="004D7457">
      <w:pPr>
        <w:snapToGrid w:val="0"/>
        <w:spacing w:line="360" w:lineRule="auto"/>
        <w:jc w:val="both"/>
      </w:pPr>
      <w:r w:rsidRPr="004D7457">
        <w:rPr>
          <w:rFonts w:ascii="Book Antiqua" w:eastAsia="Book Antiqua" w:hAnsi="Book Antiqua" w:cs="Book Antiqua"/>
          <w:b/>
          <w:color w:val="000000"/>
        </w:rPr>
        <w:lastRenderedPageBreak/>
        <w:t>Figure Legends</w:t>
      </w:r>
    </w:p>
    <w:p w14:paraId="010A022D" w14:textId="77777777" w:rsidR="00FA52A0" w:rsidRPr="004D7457" w:rsidRDefault="00A807BA" w:rsidP="004D7457">
      <w:pPr>
        <w:snapToGrid w:val="0"/>
        <w:spacing w:line="360" w:lineRule="auto"/>
        <w:jc w:val="both"/>
        <w:rPr>
          <w:rFonts w:ascii="Book Antiqua" w:eastAsia="Book Antiqua" w:hAnsi="Book Antiqua" w:cs="Book Antiqua"/>
          <w:i/>
          <w:iCs/>
          <w:color w:val="000000"/>
        </w:rPr>
      </w:pPr>
      <w:r w:rsidRPr="004D7457">
        <w:rPr>
          <w:noProof/>
          <w:lang w:eastAsia="zh-CN"/>
        </w:rPr>
        <w:drawing>
          <wp:inline distT="0" distB="0" distL="0" distR="0" wp14:anchorId="2FEA3DB4" wp14:editId="484DF171">
            <wp:extent cx="5943600" cy="3549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49650"/>
                    </a:xfrm>
                    <a:prstGeom prst="rect">
                      <a:avLst/>
                    </a:prstGeom>
                  </pic:spPr>
                </pic:pic>
              </a:graphicData>
            </a:graphic>
          </wp:inline>
        </w:drawing>
      </w:r>
    </w:p>
    <w:p w14:paraId="78021844" w14:textId="77777777" w:rsidR="00A807BA" w:rsidRPr="004D7457" w:rsidRDefault="00A807BA" w:rsidP="004D7457">
      <w:pPr>
        <w:snapToGrid w:val="0"/>
        <w:spacing w:line="360" w:lineRule="auto"/>
        <w:jc w:val="both"/>
        <w:rPr>
          <w:rFonts w:ascii="Book Antiqua" w:eastAsia="Book Antiqua" w:hAnsi="Book Antiqua" w:cs="Book Antiqua"/>
          <w:i/>
          <w:iCs/>
          <w:color w:val="000000"/>
        </w:rPr>
      </w:pPr>
      <w:r w:rsidRPr="004D7457">
        <w:rPr>
          <w:noProof/>
          <w:lang w:eastAsia="zh-CN"/>
        </w:rPr>
        <w:drawing>
          <wp:inline distT="0" distB="0" distL="0" distR="0" wp14:anchorId="713447BA" wp14:editId="7DB095F0">
            <wp:extent cx="5943600" cy="38715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71595"/>
                    </a:xfrm>
                    <a:prstGeom prst="rect">
                      <a:avLst/>
                    </a:prstGeom>
                  </pic:spPr>
                </pic:pic>
              </a:graphicData>
            </a:graphic>
          </wp:inline>
        </w:drawing>
      </w:r>
    </w:p>
    <w:p w14:paraId="0369D115" w14:textId="12AC17FE" w:rsidR="0007343C" w:rsidRPr="004D7457" w:rsidRDefault="00BB1006" w:rsidP="004D7457">
      <w:pPr>
        <w:snapToGrid w:val="0"/>
        <w:spacing w:line="360" w:lineRule="auto"/>
        <w:jc w:val="both"/>
        <w:rPr>
          <w:b/>
        </w:rPr>
      </w:pPr>
      <w:r w:rsidRPr="004D7457">
        <w:rPr>
          <w:rFonts w:ascii="Book Antiqua" w:eastAsia="Book Antiqua" w:hAnsi="Book Antiqua" w:cs="Book Antiqua"/>
          <w:b/>
          <w:iCs/>
          <w:color w:val="000000"/>
        </w:rPr>
        <w:lastRenderedPageBreak/>
        <w:t>Figure 1</w:t>
      </w:r>
      <w:r w:rsidR="0018117B" w:rsidRPr="004D7457">
        <w:rPr>
          <w:rFonts w:ascii="Book Antiqua" w:eastAsia="Book Antiqua" w:hAnsi="Book Antiqua" w:cs="Book Antiqua"/>
          <w:b/>
          <w:iCs/>
          <w:color w:val="000000"/>
        </w:rPr>
        <w:t xml:space="preserve"> </w:t>
      </w:r>
      <w:r w:rsidRPr="004D7457">
        <w:rPr>
          <w:rFonts w:ascii="Book Antiqua" w:eastAsia="Book Antiqua" w:hAnsi="Book Antiqua" w:cs="Book Antiqua"/>
          <w:b/>
          <w:iCs/>
          <w:color w:val="000000"/>
        </w:rPr>
        <w:t xml:space="preserve">Effect of </w:t>
      </w:r>
      <w:r w:rsidR="00DD2327" w:rsidRPr="004D7457">
        <w:rPr>
          <w:rFonts w:ascii="Book Antiqua" w:eastAsia="Book Antiqua" w:hAnsi="Book Antiqua" w:cs="Book Antiqua"/>
          <w:b/>
          <w:color w:val="000000"/>
        </w:rPr>
        <w:t xml:space="preserve">tumor necrosis factor </w:t>
      </w:r>
      <w:r w:rsidR="008919E5" w:rsidRPr="004D7457">
        <w:rPr>
          <w:rFonts w:ascii="Book Antiqua" w:eastAsia="Book Antiqua" w:hAnsi="Book Antiqua" w:cs="Book Antiqua"/>
          <w:b/>
          <w:color w:val="000000"/>
        </w:rPr>
        <w:t xml:space="preserve">alpha </w:t>
      </w:r>
      <w:r w:rsidR="00DD2327" w:rsidRPr="004D7457">
        <w:rPr>
          <w:rFonts w:ascii="Book Antiqua" w:eastAsia="Book Antiqua" w:hAnsi="Book Antiqua" w:cs="Book Antiqua"/>
          <w:b/>
          <w:color w:val="000000"/>
        </w:rPr>
        <w:t>receptor 1</w:t>
      </w:r>
      <w:r w:rsidR="00DD2327" w:rsidRPr="004D7457">
        <w:rPr>
          <w:rFonts w:ascii="Book Antiqua" w:eastAsia="Book Antiqua" w:hAnsi="Book Antiqua" w:cs="Book Antiqua"/>
          <w:color w:val="000000"/>
        </w:rPr>
        <w:t xml:space="preserve"> </w:t>
      </w:r>
      <w:r w:rsidRPr="004D7457">
        <w:rPr>
          <w:rFonts w:ascii="Book Antiqua" w:eastAsia="Book Antiqua" w:hAnsi="Book Antiqua" w:cs="Book Antiqua"/>
          <w:b/>
          <w:iCs/>
          <w:color w:val="000000"/>
        </w:rPr>
        <w:t>deficiency in hepatocytes on body weight</w:t>
      </w:r>
      <w:r w:rsidR="0018117B" w:rsidRPr="004D7457">
        <w:rPr>
          <w:rFonts w:ascii="Book Antiqua" w:eastAsia="Book Antiqua" w:hAnsi="Book Antiqua" w:cs="Book Antiqua"/>
          <w:b/>
          <w:iCs/>
          <w:color w:val="000000"/>
        </w:rPr>
        <w:t>.</w:t>
      </w:r>
      <w:r w:rsidR="0018117B" w:rsidRPr="004D7457">
        <w:rPr>
          <w:b/>
          <w:lang w:eastAsia="zh-CN"/>
        </w:rPr>
        <w:t xml:space="preserve"> </w:t>
      </w:r>
      <w:r w:rsidRPr="004D7457">
        <w:rPr>
          <w:rFonts w:ascii="Book Antiqua" w:eastAsia="Book Antiqua" w:hAnsi="Book Antiqua" w:cs="Book Antiqua"/>
          <w:bCs/>
          <w:color w:val="000000"/>
        </w:rPr>
        <w:t>A</w:t>
      </w:r>
      <w:r w:rsidR="0018117B" w:rsidRPr="004D7457">
        <w:rPr>
          <w:rFonts w:ascii="Book Antiqua" w:eastAsia="Book Antiqua" w:hAnsi="Book Antiqua" w:cs="Book Antiqua"/>
          <w:color w:val="000000"/>
        </w:rPr>
        <w:t xml:space="preserve">: </w:t>
      </w:r>
      <w:r w:rsidR="003A10F6" w:rsidRPr="00933517">
        <w:rPr>
          <w:rFonts w:ascii="Book Antiqua" w:eastAsia="Book Antiqua" w:hAnsi="Book Antiqua" w:cs="Book Antiqua"/>
          <w:i/>
          <w:iCs/>
          <w:color w:val="000000"/>
        </w:rPr>
        <w:t>Tumor necrosis factor alpha receptor 1 (</w:t>
      </w:r>
      <w:r w:rsidRPr="004D7457">
        <w:rPr>
          <w:rFonts w:ascii="Book Antiqua" w:eastAsia="Book Antiqua" w:hAnsi="Book Antiqua" w:cs="Book Antiqua"/>
          <w:i/>
          <w:iCs/>
          <w:color w:val="000000"/>
        </w:rPr>
        <w:t>Tnfr1</w:t>
      </w:r>
      <w:r w:rsidR="003A10F6" w:rsidRPr="004D7457">
        <w:rPr>
          <w:rFonts w:ascii="Book Antiqua" w:eastAsia="Book Antiqua" w:hAnsi="Book Antiqua" w:cs="Book Antiqua"/>
          <w:i/>
          <w:iCs/>
          <w:color w:val="000000"/>
        </w:rPr>
        <w:t>)</w:t>
      </w:r>
      <w:r w:rsidRPr="004D7457">
        <w:rPr>
          <w:rFonts w:ascii="Book Antiqua" w:eastAsia="Book Antiqua" w:hAnsi="Book Antiqua" w:cs="Book Antiqua"/>
          <w:color w:val="000000"/>
        </w:rPr>
        <w:t xml:space="preserve"> expression in liver samples (</w:t>
      </w:r>
      <w:r w:rsidRPr="004D7457">
        <w:rPr>
          <w:rFonts w:ascii="Book Antiqua" w:eastAsia="Book Antiqua" w:hAnsi="Book Antiqua" w:cs="Book Antiqua"/>
          <w:i/>
          <w:color w:val="000000"/>
        </w:rPr>
        <w:t>n</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4-5)</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B</w:t>
      </w:r>
      <w:r w:rsidRPr="004D7457">
        <w:rPr>
          <w:rFonts w:ascii="Book Antiqua" w:eastAsia="Book Antiqua" w:hAnsi="Book Antiqua" w:cs="Book Antiqua"/>
          <w:color w:val="000000"/>
        </w:rPr>
        <w:t>: Food intake per group over the course of the experiment, given in kilocalories (Kcal) and normalized to the mouse weight</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C</w:t>
      </w:r>
      <w:r w:rsidR="00214130"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Body weight and relative weights of epididymal (</w:t>
      </w:r>
      <w:r w:rsidRPr="004D7457">
        <w:rPr>
          <w:rFonts w:ascii="Book Antiqua" w:eastAsia="Book Antiqua" w:hAnsi="Book Antiqua" w:cs="Book Antiqua"/>
          <w:bCs/>
          <w:color w:val="000000"/>
        </w:rPr>
        <w:t>D</w:t>
      </w:r>
      <w:r w:rsidRPr="004D7457">
        <w:rPr>
          <w:rFonts w:ascii="Book Antiqua" w:eastAsia="Book Antiqua" w:hAnsi="Book Antiqua" w:cs="Book Antiqua"/>
          <w:color w:val="000000"/>
        </w:rPr>
        <w:t>) and brown fat tissues (</w:t>
      </w:r>
      <w:r w:rsidRPr="004D7457">
        <w:rPr>
          <w:rFonts w:ascii="Book Antiqua" w:eastAsia="Book Antiqua" w:hAnsi="Book Antiqua" w:cs="Book Antiqua"/>
          <w:bCs/>
          <w:color w:val="000000"/>
        </w:rPr>
        <w:t>E</w:t>
      </w:r>
      <w:r w:rsidR="00214130" w:rsidRPr="004D7457">
        <w:rPr>
          <w:rFonts w:ascii="Book Antiqua" w:eastAsia="Book Antiqua" w:hAnsi="Book Antiqua" w:cs="Book Antiqua"/>
          <w:color w:val="000000"/>
        </w:rPr>
        <w:t>) after 20 wk</w:t>
      </w:r>
      <w:r w:rsidRPr="004D7457">
        <w:rPr>
          <w:rFonts w:ascii="Book Antiqua" w:eastAsia="Book Antiqua" w:hAnsi="Book Antiqua" w:cs="Book Antiqua"/>
          <w:color w:val="000000"/>
        </w:rPr>
        <w:t xml:space="preserve"> of feeding</w:t>
      </w:r>
      <w:r w:rsidR="00B944AD">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F</w:t>
      </w:r>
      <w:r w:rsidR="00B839D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Example appearance of mice with a knockout of TNFR1 in hepatocytes (TNFR1</w:t>
      </w:r>
      <w:r w:rsidRPr="004D7457">
        <w:rPr>
          <w:rFonts w:ascii="Book Antiqua" w:eastAsia="Book Antiqua" w:hAnsi="Book Antiqua" w:cs="Book Antiqua"/>
          <w:color w:val="000000"/>
          <w:szCs w:val="30"/>
          <w:vertAlign w:val="superscript"/>
        </w:rPr>
        <w:t>ΔHEP</w:t>
      </w:r>
      <w:r w:rsidRPr="004D7457">
        <w:rPr>
          <w:rFonts w:ascii="Book Antiqua" w:eastAsia="Book Antiqua" w:hAnsi="Book Antiqua" w:cs="Book Antiqua"/>
          <w:color w:val="000000"/>
        </w:rPr>
        <w:t>) and their TNFR1</w:t>
      </w:r>
      <w:r w:rsidR="008919E5" w:rsidRPr="004D7457">
        <w:rPr>
          <w:rFonts w:ascii="Book Antiqua" w:eastAsia="Book Antiqua" w:hAnsi="Book Antiqua" w:cs="Book Antiqua"/>
          <w:color w:val="000000"/>
        </w:rPr>
        <w:t>-</w:t>
      </w:r>
      <w:r w:rsidRPr="004D7457">
        <w:rPr>
          <w:rFonts w:ascii="Book Antiqua" w:eastAsia="Book Antiqua" w:hAnsi="Book Antiqua" w:cs="Book Antiqua"/>
          <w:color w:val="000000"/>
        </w:rPr>
        <w:t>expressing littermates (TNFR1</w:t>
      </w:r>
      <w:r w:rsidRPr="004D7457">
        <w:rPr>
          <w:rFonts w:ascii="Book Antiqua" w:eastAsia="Book Antiqua" w:hAnsi="Book Antiqua" w:cs="Book Antiqua"/>
          <w:color w:val="000000"/>
          <w:szCs w:val="30"/>
          <w:vertAlign w:val="superscript"/>
        </w:rPr>
        <w:t>fl/fl</w:t>
      </w:r>
      <w:r w:rsidR="00352BA0" w:rsidRPr="004D7457">
        <w:rPr>
          <w:rFonts w:ascii="Book Antiqua" w:eastAsia="Book Antiqua" w:hAnsi="Book Antiqua" w:cs="Book Antiqua"/>
          <w:color w:val="000000"/>
        </w:rPr>
        <w:t xml:space="preserve">) after 20 wk </w:t>
      </w:r>
      <w:r w:rsidRPr="004D7457">
        <w:rPr>
          <w:rFonts w:ascii="Book Antiqua" w:eastAsia="Book Antiqua" w:hAnsi="Book Antiqua" w:cs="Book Antiqua"/>
          <w:color w:val="000000"/>
        </w:rPr>
        <w:t xml:space="preserve">of </w:t>
      </w:r>
      <w:r w:rsidR="008919E5" w:rsidRPr="004D7457">
        <w:rPr>
          <w:rFonts w:ascii="Book Antiqua" w:eastAsia="Book Antiqua" w:hAnsi="Book Antiqua" w:cs="Book Antiqua"/>
          <w:color w:val="000000"/>
        </w:rPr>
        <w:t>fast food diet (</w:t>
      </w:r>
      <w:r w:rsidRPr="004D7457">
        <w:rPr>
          <w:rFonts w:ascii="Book Antiqua" w:eastAsia="Book Antiqua" w:hAnsi="Book Antiqua" w:cs="Book Antiqua"/>
          <w:color w:val="000000"/>
        </w:rPr>
        <w:t>FFD</w:t>
      </w:r>
      <w:r w:rsidR="008919E5" w:rsidRPr="004D7457">
        <w:rPr>
          <w:rFonts w:ascii="Book Antiqua" w:eastAsia="Book Antiqua" w:hAnsi="Book Antiqua" w:cs="Book Antiqua"/>
          <w:color w:val="000000"/>
        </w:rPr>
        <w:t>)</w:t>
      </w:r>
      <w:r w:rsidRPr="004D7457">
        <w:rPr>
          <w:rFonts w:ascii="Book Antiqua" w:eastAsia="Book Antiqua" w:hAnsi="Book Antiqua" w:cs="Book Antiqua"/>
          <w:color w:val="000000"/>
        </w:rPr>
        <w:t>. Numbers of biological replicates: Ctrl/TNFR1</w:t>
      </w:r>
      <w:r w:rsidRPr="004D7457">
        <w:rPr>
          <w:rFonts w:ascii="Book Antiqua" w:eastAsia="Book Antiqua" w:hAnsi="Book Antiqua" w:cs="Book Antiqua"/>
          <w:color w:val="000000"/>
          <w:szCs w:val="30"/>
          <w:vertAlign w:val="superscript"/>
        </w:rPr>
        <w:t xml:space="preserve">fl/fl </w:t>
      </w:r>
      <w:r w:rsidR="0018117B" w:rsidRPr="004D7457">
        <w:rPr>
          <w:rFonts w:ascii="Book Antiqua" w:eastAsia="Book Antiqua" w:hAnsi="Book Antiqua" w:cs="Book Antiqua"/>
          <w:i/>
          <w:color w:val="000000"/>
        </w:rPr>
        <w:t>n</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11; FFD/TNFR1</w:t>
      </w:r>
      <w:r w:rsidRPr="004D7457">
        <w:rPr>
          <w:rFonts w:ascii="Book Antiqua" w:eastAsia="Book Antiqua" w:hAnsi="Book Antiqua" w:cs="Book Antiqua"/>
          <w:color w:val="000000"/>
          <w:szCs w:val="30"/>
          <w:vertAlign w:val="superscript"/>
        </w:rPr>
        <w:t xml:space="preserve">fl/fl </w:t>
      </w:r>
      <w:r w:rsidR="0018117B" w:rsidRPr="004D7457">
        <w:rPr>
          <w:rFonts w:ascii="Book Antiqua" w:eastAsia="Book Antiqua" w:hAnsi="Book Antiqua" w:cs="Book Antiqua"/>
          <w:i/>
          <w:color w:val="000000"/>
        </w:rPr>
        <w:t>n</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23; Ctrl/TNFR1</w:t>
      </w:r>
      <w:r w:rsidRPr="004D7457">
        <w:rPr>
          <w:rFonts w:ascii="Book Antiqua" w:eastAsia="Book Antiqua" w:hAnsi="Book Antiqua" w:cs="Book Antiqua"/>
          <w:color w:val="000000"/>
          <w:szCs w:val="30"/>
          <w:vertAlign w:val="superscript"/>
        </w:rPr>
        <w:t xml:space="preserve">ΔHEP </w:t>
      </w:r>
      <w:r w:rsidR="0018117B" w:rsidRPr="004D7457">
        <w:rPr>
          <w:rFonts w:ascii="Book Antiqua" w:eastAsia="Book Antiqua" w:hAnsi="Book Antiqua" w:cs="Book Antiqua"/>
          <w:i/>
          <w:color w:val="000000"/>
        </w:rPr>
        <w:t>n</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18117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12; FFD/TNFR1</w:t>
      </w:r>
      <w:r w:rsidRPr="004D7457">
        <w:rPr>
          <w:rFonts w:ascii="Book Antiqua" w:eastAsia="Book Antiqua" w:hAnsi="Book Antiqua" w:cs="Book Antiqua"/>
          <w:color w:val="000000"/>
          <w:szCs w:val="30"/>
          <w:vertAlign w:val="superscript"/>
        </w:rPr>
        <w:t xml:space="preserve">ΔHEP </w:t>
      </w:r>
      <w:r w:rsidR="00CD0E49" w:rsidRPr="004D7457">
        <w:rPr>
          <w:rFonts w:ascii="Book Antiqua" w:eastAsia="Book Antiqua" w:hAnsi="Book Antiqua" w:cs="Book Antiqua"/>
          <w:i/>
          <w:color w:val="000000"/>
        </w:rPr>
        <w:t>n</w:t>
      </w:r>
      <w:r w:rsidR="00CD0E49"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CD0E49"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24. </w:t>
      </w:r>
      <w:r w:rsidR="0007343C" w:rsidRPr="004D7457">
        <w:rPr>
          <w:rFonts w:ascii="Book Antiqua" w:eastAsia="Book Antiqua" w:hAnsi="Book Antiqua" w:cs="Book Antiqua"/>
          <w:color w:val="000000"/>
        </w:rPr>
        <w:t xml:space="preserve">Line shows mean + </w:t>
      </w:r>
      <w:r w:rsidR="008919E5" w:rsidRPr="004D7457">
        <w:rPr>
          <w:rFonts w:ascii="Book Antiqua" w:eastAsia="Book Antiqua" w:hAnsi="Book Antiqua" w:cs="Book Antiqua"/>
          <w:color w:val="000000"/>
        </w:rPr>
        <w:t>standard error of the mean</w:t>
      </w:r>
      <w:r w:rsidR="0007343C" w:rsidRPr="004D7457">
        <w:rPr>
          <w:rFonts w:ascii="Book Antiqua" w:eastAsia="Book Antiqua" w:hAnsi="Book Antiqua" w:cs="Book Antiqua"/>
          <w:color w:val="000000"/>
        </w:rPr>
        <w:t xml:space="preserve">. Significant differences are marked with (a) if </w:t>
      </w:r>
      <w:r w:rsidR="0007343C" w:rsidRPr="004D7457">
        <w:rPr>
          <w:rFonts w:ascii="Book Antiqua" w:eastAsia="Book Antiqua" w:hAnsi="Book Antiqua" w:cs="Book Antiqua"/>
          <w:i/>
          <w:color w:val="000000"/>
        </w:rPr>
        <w:t>P</w:t>
      </w:r>
      <w:r w:rsidR="0007343C" w:rsidRPr="004D7457">
        <w:rPr>
          <w:rFonts w:ascii="Book Antiqua" w:eastAsia="Book Antiqua" w:hAnsi="Book Antiqua" w:cs="Book Antiqua"/>
          <w:color w:val="000000"/>
        </w:rPr>
        <w:t xml:space="preserve"> &lt; 0.05.</w:t>
      </w:r>
      <w:r w:rsidR="00201189" w:rsidRPr="004D7457">
        <w:rPr>
          <w:b/>
          <w:lang w:eastAsia="zh-CN"/>
        </w:rPr>
        <w:t xml:space="preserve"> </w:t>
      </w:r>
      <w:r w:rsidRPr="004D7457">
        <w:rPr>
          <w:rFonts w:ascii="Book Antiqua" w:eastAsia="Book Antiqua" w:hAnsi="Book Antiqua" w:cs="Book Antiqua"/>
          <w:color w:val="000000"/>
        </w:rPr>
        <w:t xml:space="preserve">Ctrl: </w:t>
      </w:r>
      <w:r w:rsidRPr="004D7457">
        <w:rPr>
          <w:rFonts w:ascii="Book Antiqua" w:eastAsia="Book Antiqua" w:hAnsi="Book Antiqua" w:cs="Book Antiqua"/>
          <w:caps/>
          <w:color w:val="000000"/>
        </w:rPr>
        <w:t>s</w:t>
      </w:r>
      <w:r w:rsidRPr="004D7457">
        <w:rPr>
          <w:rFonts w:ascii="Book Antiqua" w:eastAsia="Book Antiqua" w:hAnsi="Book Antiqua" w:cs="Book Antiqua"/>
          <w:color w:val="000000"/>
        </w:rPr>
        <w:t>tandard cho</w:t>
      </w:r>
      <w:r w:rsidR="00B839D5" w:rsidRPr="004D7457">
        <w:rPr>
          <w:rFonts w:ascii="Book Antiqua" w:eastAsia="Book Antiqua" w:hAnsi="Book Antiqua" w:cs="Book Antiqua"/>
          <w:color w:val="000000"/>
        </w:rPr>
        <w:t xml:space="preserve">w. </w:t>
      </w:r>
    </w:p>
    <w:p w14:paraId="0D86D2B2" w14:textId="77777777" w:rsidR="0007343C" w:rsidRPr="004D7457" w:rsidRDefault="0007343C" w:rsidP="004D7457">
      <w:pPr>
        <w:snapToGrid w:val="0"/>
        <w:spacing w:line="360" w:lineRule="auto"/>
        <w:jc w:val="both"/>
        <w:rPr>
          <w:rFonts w:ascii="Book Antiqua" w:eastAsia="Book Antiqua" w:hAnsi="Book Antiqua" w:cs="Book Antiqua"/>
          <w:color w:val="000000"/>
        </w:rPr>
      </w:pPr>
    </w:p>
    <w:p w14:paraId="084DB5C2" w14:textId="77777777" w:rsidR="00A77B3E" w:rsidRPr="004D7457" w:rsidRDefault="00FA52A0" w:rsidP="004D7457">
      <w:pPr>
        <w:snapToGrid w:val="0"/>
        <w:spacing w:line="360" w:lineRule="auto"/>
        <w:jc w:val="both"/>
      </w:pPr>
      <w:r w:rsidRPr="004D7457">
        <w:br w:type="page"/>
      </w:r>
      <w:r w:rsidR="008E5BB1" w:rsidRPr="004D7457">
        <w:rPr>
          <w:noProof/>
          <w:lang w:eastAsia="zh-CN"/>
        </w:rPr>
        <w:lastRenderedPageBreak/>
        <w:drawing>
          <wp:inline distT="0" distB="0" distL="0" distR="0" wp14:anchorId="7A7523A0" wp14:editId="7AE4B2AC">
            <wp:extent cx="5943600" cy="37992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99205"/>
                    </a:xfrm>
                    <a:prstGeom prst="rect">
                      <a:avLst/>
                    </a:prstGeom>
                  </pic:spPr>
                </pic:pic>
              </a:graphicData>
            </a:graphic>
          </wp:inline>
        </w:drawing>
      </w:r>
    </w:p>
    <w:p w14:paraId="284284B5" w14:textId="77777777" w:rsidR="00BD71CB" w:rsidRPr="004D7457" w:rsidRDefault="00BD71CB" w:rsidP="004D7457">
      <w:pPr>
        <w:snapToGrid w:val="0"/>
        <w:spacing w:line="360" w:lineRule="auto"/>
        <w:jc w:val="both"/>
      </w:pPr>
      <w:r w:rsidRPr="004D7457">
        <w:rPr>
          <w:noProof/>
          <w:lang w:eastAsia="zh-CN"/>
        </w:rPr>
        <w:drawing>
          <wp:inline distT="0" distB="0" distL="0" distR="0" wp14:anchorId="32A772F0" wp14:editId="5CF11DCE">
            <wp:extent cx="6058679" cy="37530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8679" cy="3753015"/>
                    </a:xfrm>
                    <a:prstGeom prst="rect">
                      <a:avLst/>
                    </a:prstGeom>
                  </pic:spPr>
                </pic:pic>
              </a:graphicData>
            </a:graphic>
          </wp:inline>
        </w:drawing>
      </w:r>
    </w:p>
    <w:p w14:paraId="1AE9D432" w14:textId="1C3B30FF" w:rsidR="00A77B3E" w:rsidRPr="004D7457" w:rsidRDefault="00BB1006" w:rsidP="004D7457">
      <w:pPr>
        <w:snapToGrid w:val="0"/>
        <w:spacing w:line="360" w:lineRule="auto"/>
        <w:jc w:val="both"/>
      </w:pPr>
      <w:r w:rsidRPr="004D7457">
        <w:rPr>
          <w:rFonts w:ascii="Book Antiqua" w:eastAsia="Book Antiqua" w:hAnsi="Book Antiqua" w:cs="Book Antiqua"/>
          <w:b/>
          <w:iCs/>
          <w:color w:val="000000"/>
        </w:rPr>
        <w:t>Figure 2</w:t>
      </w:r>
      <w:r w:rsidR="0023739A" w:rsidRPr="004D7457">
        <w:rPr>
          <w:rFonts w:ascii="Book Antiqua" w:eastAsia="Book Antiqua" w:hAnsi="Book Antiqua" w:cs="Book Antiqua"/>
          <w:b/>
          <w:iCs/>
          <w:color w:val="000000"/>
        </w:rPr>
        <w:t xml:space="preserve"> </w:t>
      </w:r>
      <w:r w:rsidRPr="004D7457">
        <w:rPr>
          <w:rFonts w:ascii="Book Antiqua" w:eastAsia="Book Antiqua" w:hAnsi="Book Antiqua" w:cs="Book Antiqua"/>
          <w:b/>
          <w:iCs/>
          <w:color w:val="000000"/>
        </w:rPr>
        <w:t xml:space="preserve">Effect of </w:t>
      </w:r>
      <w:r w:rsidR="00DD2327" w:rsidRPr="004D7457">
        <w:rPr>
          <w:rFonts w:ascii="Book Antiqua" w:eastAsia="Book Antiqua" w:hAnsi="Book Antiqua" w:cs="Book Antiqua"/>
          <w:b/>
          <w:color w:val="000000"/>
        </w:rPr>
        <w:t xml:space="preserve">tumor necrosis factor </w:t>
      </w:r>
      <w:r w:rsidR="00CD31EE" w:rsidRPr="004D7457">
        <w:rPr>
          <w:rFonts w:ascii="Book Antiqua" w:eastAsia="Book Antiqua" w:hAnsi="Book Antiqua" w:cs="Book Antiqua"/>
          <w:b/>
          <w:color w:val="000000"/>
        </w:rPr>
        <w:t xml:space="preserve">alpha </w:t>
      </w:r>
      <w:r w:rsidR="00DD2327" w:rsidRPr="004D7457">
        <w:rPr>
          <w:rFonts w:ascii="Book Antiqua" w:eastAsia="Book Antiqua" w:hAnsi="Book Antiqua" w:cs="Book Antiqua"/>
          <w:b/>
          <w:color w:val="000000"/>
        </w:rPr>
        <w:t>receptor 1</w:t>
      </w:r>
      <w:r w:rsidRPr="004D7457">
        <w:rPr>
          <w:rFonts w:ascii="Book Antiqua" w:eastAsia="Book Antiqua" w:hAnsi="Book Antiqua" w:cs="Book Antiqua"/>
          <w:b/>
          <w:iCs/>
          <w:color w:val="000000"/>
        </w:rPr>
        <w:t xml:space="preserve"> deficiency in hepatocytes on liver phenotype</w:t>
      </w:r>
      <w:r w:rsidR="0023739A" w:rsidRPr="004D7457">
        <w:rPr>
          <w:rFonts w:ascii="Book Antiqua" w:eastAsia="Book Antiqua" w:hAnsi="Book Antiqua" w:cs="Book Antiqua"/>
          <w:b/>
          <w:iCs/>
          <w:color w:val="000000"/>
        </w:rPr>
        <w:t xml:space="preserve">. </w:t>
      </w:r>
      <w:r w:rsidRPr="004D7457">
        <w:rPr>
          <w:rFonts w:ascii="Book Antiqua" w:eastAsia="Book Antiqua" w:hAnsi="Book Antiqua" w:cs="Book Antiqua"/>
          <w:bCs/>
          <w:color w:val="000000"/>
        </w:rPr>
        <w:t>A</w:t>
      </w:r>
      <w:r w:rsidR="0023739A"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Plasma levels of alanine amino transferase</w:t>
      </w:r>
      <w:r w:rsidR="00C20548" w:rsidRPr="004D7457">
        <w:rPr>
          <w:rFonts w:ascii="Book Antiqua" w:eastAsia="Book Antiqua" w:hAnsi="Book Antiqua" w:cs="Book Antiqua"/>
          <w:color w:val="000000"/>
        </w:rPr>
        <w:t xml:space="preserve"> (ALT)</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B</w:t>
      </w:r>
      <w:r w:rsidR="004132A8"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Representative </w:t>
      </w:r>
      <w:r w:rsidR="00CD31EE" w:rsidRPr="004D7457">
        <w:rPr>
          <w:rFonts w:ascii="Book Antiqua" w:eastAsia="Book Antiqua" w:hAnsi="Book Antiqua" w:cs="Book Antiqua"/>
          <w:color w:val="000000"/>
        </w:rPr>
        <w:lastRenderedPageBreak/>
        <w:t>hematoxylin and eosin-</w:t>
      </w:r>
      <w:r w:rsidRPr="004D7457">
        <w:rPr>
          <w:rFonts w:ascii="Book Antiqua" w:eastAsia="Book Antiqua" w:hAnsi="Book Antiqua" w:cs="Book Antiqua"/>
          <w:color w:val="000000"/>
        </w:rPr>
        <w:t>stained liver sections</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C</w:t>
      </w:r>
      <w:r w:rsidR="00832F82"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Relative liver weight</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D</w:t>
      </w:r>
      <w:r w:rsidR="00832F82"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Relative amount of triglycerides normalized to liver weight. </w:t>
      </w:r>
      <w:r w:rsidRPr="004D7457">
        <w:rPr>
          <w:rFonts w:ascii="Book Antiqua" w:eastAsia="Book Antiqua" w:hAnsi="Book Antiqua" w:cs="Book Antiqua"/>
          <w:bCs/>
          <w:color w:val="000000"/>
        </w:rPr>
        <w:t>E</w:t>
      </w:r>
      <w:r w:rsidR="0042149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Total amount of hydroxyproline per liver</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F</w:t>
      </w:r>
      <w:r w:rsidR="00421495"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Representative Sirius Red</w:t>
      </w:r>
      <w:r w:rsidR="00CD31EE" w:rsidRPr="004D7457">
        <w:rPr>
          <w:rFonts w:ascii="Book Antiqua" w:eastAsia="Book Antiqua" w:hAnsi="Book Antiqua" w:cs="Book Antiqua"/>
          <w:color w:val="000000"/>
        </w:rPr>
        <w:t>-</w:t>
      </w:r>
      <w:r w:rsidRPr="004D7457">
        <w:rPr>
          <w:rFonts w:ascii="Book Antiqua" w:eastAsia="Book Antiqua" w:hAnsi="Book Antiqua" w:cs="Book Antiqua"/>
          <w:color w:val="000000"/>
        </w:rPr>
        <w:t>stained liver sections</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G</w:t>
      </w:r>
      <w:r w:rsidR="00AD49ED"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Expression of the inflammatory genes interleukin 1-β (</w:t>
      </w:r>
      <w:r w:rsidRPr="004D7457">
        <w:rPr>
          <w:rFonts w:ascii="Book Antiqua" w:eastAsia="Book Antiqua" w:hAnsi="Book Antiqua" w:cs="Book Antiqua"/>
          <w:i/>
          <w:color w:val="000000"/>
        </w:rPr>
        <w:t>Il1-β</w:t>
      </w:r>
      <w:r w:rsidRPr="004D7457">
        <w:rPr>
          <w:rFonts w:ascii="Book Antiqua" w:eastAsia="Book Antiqua" w:hAnsi="Book Antiqua" w:cs="Book Antiqua"/>
          <w:color w:val="000000"/>
        </w:rPr>
        <w:t xml:space="preserve">), tumor necrosis factor </w:t>
      </w:r>
      <w:r w:rsidR="00CD31EE" w:rsidRPr="004D7457">
        <w:rPr>
          <w:rFonts w:ascii="Book Antiqua" w:eastAsia="Book Antiqua" w:hAnsi="Book Antiqua" w:cs="Book Antiqua"/>
          <w:color w:val="000000"/>
        </w:rPr>
        <w:t xml:space="preserve">alpha </w:t>
      </w:r>
      <w:r w:rsidRPr="004D7457">
        <w:rPr>
          <w:rFonts w:ascii="Book Antiqua" w:eastAsia="Book Antiqua" w:hAnsi="Book Antiqua" w:cs="Book Antiqua"/>
          <w:color w:val="000000"/>
        </w:rPr>
        <w:t>(</w:t>
      </w:r>
      <w:r w:rsidRPr="004D7457">
        <w:rPr>
          <w:rFonts w:ascii="Book Antiqua" w:eastAsia="Book Antiqua" w:hAnsi="Book Antiqua" w:cs="Book Antiqua"/>
          <w:i/>
          <w:color w:val="000000"/>
        </w:rPr>
        <w:t>Tnfα</w:t>
      </w:r>
      <w:r w:rsidRPr="004D7457">
        <w:rPr>
          <w:rFonts w:ascii="Book Antiqua" w:eastAsia="Book Antiqua" w:hAnsi="Book Antiqua" w:cs="Book Antiqua"/>
          <w:color w:val="000000"/>
        </w:rPr>
        <w:t>)</w:t>
      </w:r>
      <w:r w:rsidR="00CD31EE"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and C-C motif chemokine ligand 2 (</w:t>
      </w:r>
      <w:r w:rsidRPr="004D7457">
        <w:rPr>
          <w:rFonts w:ascii="Book Antiqua" w:eastAsia="Book Antiqua" w:hAnsi="Book Antiqua" w:cs="Book Antiqua"/>
          <w:i/>
          <w:color w:val="000000"/>
        </w:rPr>
        <w:t>Ccl2</w:t>
      </w:r>
      <w:r w:rsidRPr="004D7457">
        <w:rPr>
          <w:rFonts w:ascii="Book Antiqua" w:eastAsia="Book Antiqua" w:hAnsi="Book Antiqua" w:cs="Book Antiqua"/>
          <w:color w:val="000000"/>
        </w:rPr>
        <w:t>). Scale bars: 200 µm. Number of biological replicates: Ctrl/</w:t>
      </w:r>
      <w:r w:rsidR="00CD31EE" w:rsidRPr="004D7457">
        <w:rPr>
          <w:rFonts w:ascii="Book Antiqua" w:eastAsia="Book Antiqua" w:hAnsi="Book Antiqua" w:cs="Book Antiqua"/>
          <w:color w:val="000000"/>
        </w:rPr>
        <w:t>tumor necrosis factor alpha receptor 1</w:t>
      </w:r>
      <w:r w:rsidR="001B7E34" w:rsidRPr="004D7457">
        <w:rPr>
          <w:rFonts w:ascii="Book Antiqua" w:eastAsia="Book Antiqua" w:hAnsi="Book Antiqua" w:cs="Book Antiqua"/>
          <w:color w:val="000000"/>
        </w:rPr>
        <w:t>-expressing littermates</w:t>
      </w:r>
      <w:r w:rsidR="00CD31EE"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TNFR1</w:t>
      </w:r>
      <w:r w:rsidRPr="004D7457">
        <w:rPr>
          <w:rFonts w:ascii="Book Antiqua" w:eastAsia="Book Antiqua" w:hAnsi="Book Antiqua" w:cs="Book Antiqua"/>
          <w:color w:val="000000"/>
          <w:szCs w:val="30"/>
          <w:vertAlign w:val="superscript"/>
        </w:rPr>
        <w:t>fl/fl</w:t>
      </w:r>
      <w:r w:rsidR="00CD31EE" w:rsidRPr="004D7457">
        <w:rPr>
          <w:rFonts w:ascii="Book Antiqua" w:eastAsia="Book Antiqua" w:hAnsi="Book Antiqua" w:cs="Book Antiqua"/>
          <w:color w:val="000000"/>
          <w:szCs w:val="30"/>
        </w:rPr>
        <w:t>)</w:t>
      </w:r>
      <w:r w:rsidRPr="004D7457">
        <w:rPr>
          <w:rFonts w:ascii="Book Antiqua" w:eastAsia="Book Antiqua" w:hAnsi="Book Antiqua" w:cs="Book Antiqua"/>
          <w:color w:val="000000"/>
          <w:szCs w:val="30"/>
          <w:vertAlign w:val="superscript"/>
        </w:rPr>
        <w:t xml:space="preserve"> </w:t>
      </w:r>
      <w:r w:rsidR="0040253A" w:rsidRPr="004D7457">
        <w:rPr>
          <w:rFonts w:ascii="Book Antiqua" w:eastAsia="Book Antiqua" w:hAnsi="Book Antiqua" w:cs="Book Antiqua"/>
          <w:i/>
          <w:color w:val="000000"/>
        </w:rPr>
        <w:t>n</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3711AB"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9-11; </w:t>
      </w:r>
      <w:r w:rsidR="00CD31EE" w:rsidRPr="004D7457">
        <w:rPr>
          <w:rFonts w:ascii="Book Antiqua" w:eastAsia="Book Antiqua" w:hAnsi="Book Antiqua" w:cs="Book Antiqua"/>
          <w:color w:val="000000"/>
        </w:rPr>
        <w:t>fast food diet (</w:t>
      </w:r>
      <w:r w:rsidRPr="004D7457">
        <w:rPr>
          <w:rFonts w:ascii="Book Antiqua" w:eastAsia="Book Antiqua" w:hAnsi="Book Antiqua" w:cs="Book Antiqua"/>
          <w:color w:val="000000"/>
        </w:rPr>
        <w:t>FFD</w:t>
      </w:r>
      <w:r w:rsidR="00CD31EE" w:rsidRPr="004D7457">
        <w:rPr>
          <w:rFonts w:ascii="Book Antiqua" w:eastAsia="Book Antiqua" w:hAnsi="Book Antiqua" w:cs="Book Antiqua"/>
          <w:color w:val="000000"/>
        </w:rPr>
        <w:t>)</w:t>
      </w:r>
      <w:r w:rsidRPr="004D7457">
        <w:rPr>
          <w:rFonts w:ascii="Book Antiqua" w:eastAsia="Book Antiqua" w:hAnsi="Book Antiqua" w:cs="Book Antiqua"/>
          <w:color w:val="000000"/>
        </w:rPr>
        <w:t>/TNFR1</w:t>
      </w:r>
      <w:r w:rsidRPr="004D7457">
        <w:rPr>
          <w:rFonts w:ascii="Book Antiqua" w:eastAsia="Book Antiqua" w:hAnsi="Book Antiqua" w:cs="Book Antiqua"/>
          <w:color w:val="000000"/>
          <w:szCs w:val="30"/>
          <w:vertAlign w:val="superscript"/>
        </w:rPr>
        <w:t xml:space="preserve">fl/fl </w:t>
      </w:r>
      <w:r w:rsidR="0040253A" w:rsidRPr="004D7457">
        <w:rPr>
          <w:rFonts w:ascii="Book Antiqua" w:eastAsia="Book Antiqua" w:hAnsi="Book Antiqua" w:cs="Book Antiqua"/>
          <w:i/>
          <w:color w:val="000000"/>
        </w:rPr>
        <w:t>n</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19-23; Ctrl/TNFR1</w:t>
      </w:r>
      <w:r w:rsidRPr="004D7457">
        <w:rPr>
          <w:rFonts w:ascii="Book Antiqua" w:eastAsia="Book Antiqua" w:hAnsi="Book Antiqua" w:cs="Book Antiqua"/>
          <w:color w:val="000000"/>
          <w:szCs w:val="30"/>
          <w:vertAlign w:val="superscript"/>
        </w:rPr>
        <w:t xml:space="preserve">ΔHEP </w:t>
      </w:r>
      <w:r w:rsidR="0040253A" w:rsidRPr="004D7457">
        <w:rPr>
          <w:rFonts w:ascii="Book Antiqua" w:eastAsia="Book Antiqua" w:hAnsi="Book Antiqua" w:cs="Book Antiqua"/>
          <w:i/>
          <w:color w:val="000000"/>
        </w:rPr>
        <w:t>n</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11-12; FFD/TNFR1</w:t>
      </w:r>
      <w:r w:rsidRPr="004D7457">
        <w:rPr>
          <w:rFonts w:ascii="Book Antiqua" w:eastAsia="Book Antiqua" w:hAnsi="Book Antiqua" w:cs="Book Antiqua"/>
          <w:color w:val="000000"/>
          <w:szCs w:val="30"/>
          <w:vertAlign w:val="superscript"/>
        </w:rPr>
        <w:t xml:space="preserve">ΔHEP </w:t>
      </w:r>
      <w:r w:rsidR="0040253A" w:rsidRPr="004D7457">
        <w:rPr>
          <w:rFonts w:ascii="Book Antiqua" w:eastAsia="Book Antiqua" w:hAnsi="Book Antiqua" w:cs="Book Antiqua"/>
          <w:i/>
          <w:color w:val="000000"/>
        </w:rPr>
        <w:t>n</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40253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19-24. </w:t>
      </w:r>
      <w:r w:rsidR="0079369F" w:rsidRPr="004D7457">
        <w:rPr>
          <w:rFonts w:ascii="Book Antiqua" w:eastAsia="Book Antiqua" w:hAnsi="Book Antiqua" w:cs="Book Antiqua"/>
          <w:color w:val="000000"/>
        </w:rPr>
        <w:t xml:space="preserve">Line shows mean + </w:t>
      </w:r>
      <w:r w:rsidR="00CD31EE" w:rsidRPr="004D7457">
        <w:rPr>
          <w:rFonts w:ascii="Book Antiqua" w:eastAsia="Book Antiqua" w:hAnsi="Book Antiqua" w:cs="Book Antiqua"/>
          <w:color w:val="000000"/>
        </w:rPr>
        <w:t>standard error of the mean</w:t>
      </w:r>
      <w:r w:rsidR="0079369F" w:rsidRPr="004D7457">
        <w:rPr>
          <w:rFonts w:ascii="Book Antiqua" w:eastAsia="Book Antiqua" w:hAnsi="Book Antiqua" w:cs="Book Antiqua"/>
          <w:color w:val="000000"/>
        </w:rPr>
        <w:t xml:space="preserve">. Significant differences are marked with (a) if </w:t>
      </w:r>
      <w:r w:rsidR="0079369F" w:rsidRPr="004D7457">
        <w:rPr>
          <w:rFonts w:ascii="Book Antiqua" w:eastAsia="Book Antiqua" w:hAnsi="Book Antiqua" w:cs="Book Antiqua"/>
          <w:i/>
          <w:color w:val="000000"/>
        </w:rPr>
        <w:t>P</w:t>
      </w:r>
      <w:r w:rsidR="0079369F" w:rsidRPr="004D7457">
        <w:rPr>
          <w:rFonts w:ascii="Book Antiqua" w:eastAsia="Book Antiqua" w:hAnsi="Book Antiqua" w:cs="Book Antiqua"/>
          <w:color w:val="000000"/>
        </w:rPr>
        <w:t xml:space="preserve"> &lt; 0.05. </w:t>
      </w:r>
      <w:r w:rsidRPr="004D7457">
        <w:rPr>
          <w:rFonts w:ascii="Book Antiqua" w:eastAsia="Book Antiqua" w:hAnsi="Book Antiqua" w:cs="Book Antiqua"/>
          <w:color w:val="000000"/>
        </w:rPr>
        <w:t xml:space="preserve">Ctrl: </w:t>
      </w:r>
      <w:r w:rsidRPr="004D7457">
        <w:rPr>
          <w:rFonts w:ascii="Book Antiqua" w:eastAsia="Book Antiqua" w:hAnsi="Book Antiqua" w:cs="Book Antiqua"/>
          <w:caps/>
          <w:color w:val="000000"/>
        </w:rPr>
        <w:t>s</w:t>
      </w:r>
      <w:r w:rsidRPr="004D7457">
        <w:rPr>
          <w:rFonts w:ascii="Book Antiqua" w:eastAsia="Book Antiqua" w:hAnsi="Book Antiqua" w:cs="Book Antiqua"/>
          <w:color w:val="000000"/>
        </w:rPr>
        <w:t>tandard chow</w:t>
      </w:r>
      <w:r w:rsidR="00C20548" w:rsidRPr="004D7457">
        <w:rPr>
          <w:rFonts w:ascii="Book Antiqua" w:eastAsia="Book Antiqua" w:hAnsi="Book Antiqua" w:cs="Book Antiqua"/>
          <w:color w:val="000000"/>
        </w:rPr>
        <w:t>.</w:t>
      </w:r>
    </w:p>
    <w:p w14:paraId="177E3DBC" w14:textId="77777777" w:rsidR="00FA52A0" w:rsidRPr="004D7457" w:rsidRDefault="00FA52A0" w:rsidP="004D7457">
      <w:pPr>
        <w:snapToGrid w:val="0"/>
        <w:spacing w:line="360" w:lineRule="auto"/>
        <w:jc w:val="both"/>
        <w:rPr>
          <w:rFonts w:ascii="Book Antiqua" w:eastAsia="Book Antiqua" w:hAnsi="Book Antiqua" w:cs="Book Antiqua"/>
          <w:i/>
          <w:iCs/>
          <w:color w:val="000000"/>
        </w:rPr>
      </w:pPr>
    </w:p>
    <w:p w14:paraId="61131848" w14:textId="77777777" w:rsidR="00FA52A0" w:rsidRPr="004D7457" w:rsidRDefault="00FA52A0" w:rsidP="004D7457">
      <w:pPr>
        <w:snapToGrid w:val="0"/>
        <w:spacing w:line="360" w:lineRule="auto"/>
        <w:jc w:val="both"/>
        <w:rPr>
          <w:rFonts w:ascii="Book Antiqua" w:eastAsia="Book Antiqua" w:hAnsi="Book Antiqua" w:cs="Book Antiqua"/>
          <w:i/>
          <w:iCs/>
          <w:color w:val="000000"/>
        </w:rPr>
      </w:pPr>
      <w:r w:rsidRPr="004D7457">
        <w:rPr>
          <w:rFonts w:ascii="Book Antiqua" w:eastAsia="Book Antiqua" w:hAnsi="Book Antiqua" w:cs="Book Antiqua"/>
          <w:i/>
          <w:iCs/>
          <w:color w:val="000000"/>
        </w:rPr>
        <w:br w:type="page"/>
      </w:r>
      <w:r w:rsidR="005457E5" w:rsidRPr="004D7457">
        <w:rPr>
          <w:noProof/>
          <w:lang w:eastAsia="zh-CN"/>
        </w:rPr>
        <w:lastRenderedPageBreak/>
        <w:drawing>
          <wp:inline distT="0" distB="0" distL="0" distR="0" wp14:anchorId="29113FA7" wp14:editId="15C3BF04">
            <wp:extent cx="5943600" cy="198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986915"/>
                    </a:xfrm>
                    <a:prstGeom prst="rect">
                      <a:avLst/>
                    </a:prstGeom>
                  </pic:spPr>
                </pic:pic>
              </a:graphicData>
            </a:graphic>
          </wp:inline>
        </w:drawing>
      </w:r>
    </w:p>
    <w:p w14:paraId="34976AD5" w14:textId="58C9ECFC" w:rsidR="00A77B3E" w:rsidRPr="004D7457" w:rsidRDefault="00BB1006" w:rsidP="004D7457">
      <w:pPr>
        <w:snapToGrid w:val="0"/>
        <w:spacing w:line="360" w:lineRule="auto"/>
        <w:jc w:val="both"/>
        <w:rPr>
          <w:b/>
        </w:rPr>
      </w:pPr>
      <w:r w:rsidRPr="004D7457">
        <w:rPr>
          <w:rFonts w:ascii="Book Antiqua" w:eastAsia="Book Antiqua" w:hAnsi="Book Antiqua" w:cs="Book Antiqua"/>
          <w:b/>
          <w:iCs/>
          <w:color w:val="000000"/>
        </w:rPr>
        <w:t>Figure 3</w:t>
      </w:r>
      <w:r w:rsidR="005457E5" w:rsidRPr="004D7457">
        <w:rPr>
          <w:rFonts w:ascii="Book Antiqua" w:eastAsia="Book Antiqua" w:hAnsi="Book Antiqua" w:cs="Book Antiqua"/>
          <w:b/>
          <w:iCs/>
          <w:color w:val="000000"/>
        </w:rPr>
        <w:t xml:space="preserve"> </w:t>
      </w:r>
      <w:r w:rsidRPr="004D7457">
        <w:rPr>
          <w:rFonts w:ascii="Book Antiqua" w:eastAsia="Book Antiqua" w:hAnsi="Book Antiqua" w:cs="Book Antiqua"/>
          <w:b/>
          <w:iCs/>
          <w:color w:val="000000"/>
        </w:rPr>
        <w:t xml:space="preserve">Effect of </w:t>
      </w:r>
      <w:r w:rsidR="00D845AC" w:rsidRPr="004D7457">
        <w:rPr>
          <w:rFonts w:ascii="Book Antiqua" w:eastAsia="Book Antiqua" w:hAnsi="Book Antiqua" w:cs="Book Antiqua"/>
          <w:b/>
          <w:color w:val="000000"/>
        </w:rPr>
        <w:t xml:space="preserve">tumor necrosis factor </w:t>
      </w:r>
      <w:r w:rsidR="00CD31EE" w:rsidRPr="004D7457">
        <w:rPr>
          <w:rFonts w:ascii="Book Antiqua" w:eastAsia="Book Antiqua" w:hAnsi="Book Antiqua" w:cs="Book Antiqua"/>
          <w:b/>
          <w:color w:val="000000"/>
        </w:rPr>
        <w:t xml:space="preserve">alpha </w:t>
      </w:r>
      <w:r w:rsidR="00D845AC" w:rsidRPr="004D7457">
        <w:rPr>
          <w:rFonts w:ascii="Book Antiqua" w:eastAsia="Book Antiqua" w:hAnsi="Book Antiqua" w:cs="Book Antiqua"/>
          <w:b/>
          <w:color w:val="000000"/>
        </w:rPr>
        <w:t>receptor 1</w:t>
      </w:r>
      <w:r w:rsidR="00D845AC" w:rsidRPr="004D7457">
        <w:rPr>
          <w:rFonts w:ascii="Book Antiqua" w:eastAsia="Book Antiqua" w:hAnsi="Book Antiqua" w:cs="Book Antiqua"/>
          <w:color w:val="000000"/>
        </w:rPr>
        <w:t xml:space="preserve"> </w:t>
      </w:r>
      <w:r w:rsidRPr="004D7457">
        <w:rPr>
          <w:rFonts w:ascii="Book Antiqua" w:eastAsia="Book Antiqua" w:hAnsi="Book Antiqua" w:cs="Book Antiqua"/>
          <w:b/>
          <w:iCs/>
          <w:color w:val="000000"/>
        </w:rPr>
        <w:t>deficiency in hepatocytes on metabolic function</w:t>
      </w:r>
      <w:r w:rsidR="005457E5" w:rsidRPr="004D7457">
        <w:rPr>
          <w:rFonts w:ascii="Book Antiqua" w:eastAsia="Book Antiqua" w:hAnsi="Book Antiqua" w:cs="Book Antiqua"/>
          <w:b/>
          <w:iCs/>
          <w:color w:val="000000"/>
        </w:rPr>
        <w:t>.</w:t>
      </w:r>
      <w:r w:rsidR="00A5430A" w:rsidRPr="004D7457">
        <w:rPr>
          <w:b/>
          <w:lang w:eastAsia="zh-CN"/>
        </w:rPr>
        <w:t xml:space="preserve"> </w:t>
      </w:r>
      <w:r w:rsidRPr="004D7457">
        <w:rPr>
          <w:rFonts w:ascii="Book Antiqua" w:eastAsia="Book Antiqua" w:hAnsi="Book Antiqua" w:cs="Book Antiqua"/>
          <w:bCs/>
          <w:color w:val="000000"/>
        </w:rPr>
        <w:t>A</w:t>
      </w:r>
      <w:r w:rsidR="00A5430A"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Glucose tolerance test</w:t>
      </w:r>
      <w:r w:rsidR="007D3FE8"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perfor</w:t>
      </w:r>
      <w:r w:rsidR="00015343" w:rsidRPr="004D7457">
        <w:rPr>
          <w:rFonts w:ascii="Book Antiqua" w:eastAsia="Book Antiqua" w:hAnsi="Book Antiqua" w:cs="Book Antiqua"/>
          <w:color w:val="000000"/>
        </w:rPr>
        <w:t>med after 18 wk</w:t>
      </w:r>
      <w:r w:rsidRPr="004D7457">
        <w:rPr>
          <w:rFonts w:ascii="Book Antiqua" w:eastAsia="Book Antiqua" w:hAnsi="Book Antiqua" w:cs="Book Antiqua"/>
          <w:color w:val="000000"/>
        </w:rPr>
        <w:t xml:space="preserve"> of feeding</w:t>
      </w:r>
      <w:r w:rsidR="00682937" w:rsidRPr="004D7457">
        <w:rPr>
          <w:rFonts w:ascii="Book Antiqua" w:eastAsia="Book Antiqua" w:hAnsi="Book Antiqua" w:cs="Book Antiqua"/>
          <w:color w:val="000000"/>
        </w:rPr>
        <w:t>;</w:t>
      </w:r>
      <w:r w:rsidRPr="004D7457">
        <w:rPr>
          <w:rFonts w:ascii="Book Antiqua" w:eastAsia="Book Antiqua" w:hAnsi="Book Antiqua" w:cs="Book Antiqua"/>
          <w:color w:val="000000"/>
        </w:rPr>
        <w:t xml:space="preserve"> </w:t>
      </w:r>
      <w:r w:rsidRPr="004D7457">
        <w:rPr>
          <w:rFonts w:ascii="Book Antiqua" w:eastAsia="Book Antiqua" w:hAnsi="Book Antiqua" w:cs="Book Antiqua"/>
          <w:bCs/>
          <w:color w:val="000000"/>
        </w:rPr>
        <w:t>B</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Insulin tolerance t</w:t>
      </w:r>
      <w:r w:rsidR="007D3FE8" w:rsidRPr="004D7457">
        <w:rPr>
          <w:rFonts w:ascii="Book Antiqua" w:eastAsia="Book Antiqua" w:hAnsi="Book Antiqua" w:cs="Book Antiqua"/>
          <w:color w:val="000000"/>
        </w:rPr>
        <w:t>est performed after 19 wk</w:t>
      </w:r>
      <w:r w:rsidRPr="004D7457">
        <w:rPr>
          <w:rFonts w:ascii="Book Antiqua" w:eastAsia="Book Antiqua" w:hAnsi="Book Antiqua" w:cs="Book Antiqua"/>
          <w:color w:val="000000"/>
        </w:rPr>
        <w:t xml:space="preserve"> of feeding. Numbers of biological replicates: Ctrl/</w:t>
      </w:r>
      <w:r w:rsidR="001B7E34" w:rsidRPr="004D7457">
        <w:rPr>
          <w:rFonts w:ascii="Book Antiqua" w:eastAsia="Book Antiqua" w:hAnsi="Book Antiqua" w:cs="Book Antiqua"/>
          <w:color w:val="000000"/>
        </w:rPr>
        <w:t>tumor necrosis factor alpha receptor 1-expressing littermates (</w:t>
      </w:r>
      <w:r w:rsidRPr="004D7457">
        <w:rPr>
          <w:rFonts w:ascii="Book Antiqua" w:eastAsia="Book Antiqua" w:hAnsi="Book Antiqua" w:cs="Book Antiqua"/>
          <w:color w:val="000000"/>
        </w:rPr>
        <w:t>TNFR1</w:t>
      </w:r>
      <w:r w:rsidRPr="004D7457">
        <w:rPr>
          <w:rFonts w:ascii="Book Antiqua" w:eastAsia="Book Antiqua" w:hAnsi="Book Antiqua" w:cs="Book Antiqua"/>
          <w:color w:val="000000"/>
          <w:szCs w:val="30"/>
          <w:vertAlign w:val="superscript"/>
        </w:rPr>
        <w:t>fl/fl</w:t>
      </w:r>
      <w:r w:rsidR="001B7E34" w:rsidRPr="004D7457">
        <w:rPr>
          <w:rFonts w:ascii="Book Antiqua" w:eastAsia="Book Antiqua" w:hAnsi="Book Antiqua" w:cs="Book Antiqua"/>
          <w:color w:val="000000"/>
          <w:szCs w:val="30"/>
        </w:rPr>
        <w:t>)</w:t>
      </w:r>
      <w:r w:rsidRPr="004D7457">
        <w:rPr>
          <w:rFonts w:ascii="Book Antiqua" w:eastAsia="Book Antiqua" w:hAnsi="Book Antiqua" w:cs="Book Antiqua"/>
          <w:color w:val="000000"/>
          <w:szCs w:val="30"/>
          <w:vertAlign w:val="superscript"/>
        </w:rPr>
        <w:t xml:space="preserve"> </w:t>
      </w:r>
      <w:r w:rsidR="00A5430A" w:rsidRPr="004D7457">
        <w:rPr>
          <w:rFonts w:ascii="Book Antiqua" w:eastAsia="Book Antiqua" w:hAnsi="Book Antiqua" w:cs="Book Antiqua"/>
          <w:i/>
          <w:color w:val="000000"/>
        </w:rPr>
        <w:t>n</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11; </w:t>
      </w:r>
      <w:r w:rsidR="001B7E34" w:rsidRPr="004D7457">
        <w:rPr>
          <w:rFonts w:ascii="Book Antiqua" w:eastAsia="Book Antiqua" w:hAnsi="Book Antiqua" w:cs="Book Antiqua"/>
          <w:color w:val="000000"/>
        </w:rPr>
        <w:t>fast food diet (</w:t>
      </w:r>
      <w:r w:rsidRPr="004D7457">
        <w:rPr>
          <w:rFonts w:ascii="Book Antiqua" w:eastAsia="Book Antiqua" w:hAnsi="Book Antiqua" w:cs="Book Antiqua"/>
          <w:color w:val="000000"/>
        </w:rPr>
        <w:t>FFD</w:t>
      </w:r>
      <w:r w:rsidR="001B7E34" w:rsidRPr="004D7457">
        <w:rPr>
          <w:rFonts w:ascii="Book Antiqua" w:eastAsia="Book Antiqua" w:hAnsi="Book Antiqua" w:cs="Book Antiqua"/>
          <w:color w:val="000000"/>
        </w:rPr>
        <w:t>)</w:t>
      </w:r>
      <w:r w:rsidRPr="004D7457">
        <w:rPr>
          <w:rFonts w:ascii="Book Antiqua" w:eastAsia="Book Antiqua" w:hAnsi="Book Antiqua" w:cs="Book Antiqua"/>
          <w:color w:val="000000"/>
        </w:rPr>
        <w:t>/TNFR1</w:t>
      </w:r>
      <w:r w:rsidRPr="004D7457">
        <w:rPr>
          <w:rFonts w:ascii="Book Antiqua" w:eastAsia="Book Antiqua" w:hAnsi="Book Antiqua" w:cs="Book Antiqua"/>
          <w:color w:val="000000"/>
          <w:szCs w:val="30"/>
          <w:vertAlign w:val="superscript"/>
        </w:rPr>
        <w:t xml:space="preserve">fl/fl </w:t>
      </w:r>
      <w:r w:rsidR="00A5430A" w:rsidRPr="004D7457">
        <w:rPr>
          <w:rFonts w:ascii="Book Antiqua" w:eastAsia="Book Antiqua" w:hAnsi="Book Antiqua" w:cs="Book Antiqua"/>
          <w:i/>
          <w:color w:val="000000"/>
        </w:rPr>
        <w:t>n</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23-24; Ctrl/TNFR1</w:t>
      </w:r>
      <w:r w:rsidRPr="004D7457">
        <w:rPr>
          <w:rFonts w:ascii="Book Antiqua" w:eastAsia="Book Antiqua" w:hAnsi="Book Antiqua" w:cs="Book Antiqua"/>
          <w:color w:val="000000"/>
          <w:szCs w:val="30"/>
          <w:vertAlign w:val="superscript"/>
        </w:rPr>
        <w:t xml:space="preserve">ΔHEP </w:t>
      </w:r>
      <w:r w:rsidR="00A5430A" w:rsidRPr="004D7457">
        <w:rPr>
          <w:rFonts w:ascii="Book Antiqua" w:eastAsia="Book Antiqua" w:hAnsi="Book Antiqua" w:cs="Book Antiqua"/>
          <w:i/>
          <w:color w:val="000000"/>
        </w:rPr>
        <w:t>n</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12; FFD/TNFR1</w:t>
      </w:r>
      <w:r w:rsidRPr="004D7457">
        <w:rPr>
          <w:rFonts w:ascii="Book Antiqua" w:eastAsia="Book Antiqua" w:hAnsi="Book Antiqua" w:cs="Book Antiqua"/>
          <w:color w:val="000000"/>
          <w:szCs w:val="30"/>
          <w:vertAlign w:val="superscript"/>
        </w:rPr>
        <w:t xml:space="preserve">ΔHEP </w:t>
      </w:r>
      <w:r w:rsidR="00A5430A" w:rsidRPr="004D7457">
        <w:rPr>
          <w:rFonts w:ascii="Book Antiqua" w:eastAsia="Book Antiqua" w:hAnsi="Book Antiqua" w:cs="Book Antiqua"/>
          <w:i/>
          <w:color w:val="000000"/>
        </w:rPr>
        <w:t>n</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w:t>
      </w:r>
      <w:r w:rsidR="00A5430A" w:rsidRPr="004D7457">
        <w:rPr>
          <w:rFonts w:ascii="Book Antiqua" w:eastAsia="Book Antiqua" w:hAnsi="Book Antiqua" w:cs="Book Antiqua"/>
          <w:color w:val="000000"/>
        </w:rPr>
        <w:t xml:space="preserve"> </w:t>
      </w:r>
      <w:r w:rsidRPr="004D7457">
        <w:rPr>
          <w:rFonts w:ascii="Book Antiqua" w:eastAsia="Book Antiqua" w:hAnsi="Book Antiqua" w:cs="Book Antiqua"/>
          <w:color w:val="000000"/>
        </w:rPr>
        <w:t xml:space="preserve">24. </w:t>
      </w:r>
      <w:r w:rsidR="00D54FE4" w:rsidRPr="004D7457">
        <w:rPr>
          <w:rFonts w:ascii="Book Antiqua" w:eastAsia="Book Antiqua" w:hAnsi="Book Antiqua" w:cs="Book Antiqua"/>
          <w:color w:val="000000"/>
        </w:rPr>
        <w:t xml:space="preserve">Line shows mean + </w:t>
      </w:r>
      <w:r w:rsidR="001B7E34" w:rsidRPr="004D7457">
        <w:rPr>
          <w:rFonts w:ascii="Book Antiqua" w:eastAsia="Book Antiqua" w:hAnsi="Book Antiqua" w:cs="Book Antiqua"/>
          <w:color w:val="000000"/>
        </w:rPr>
        <w:t>standard</w:t>
      </w:r>
      <w:r w:rsidR="00D54FE4" w:rsidRPr="004D7457">
        <w:rPr>
          <w:rFonts w:ascii="Book Antiqua" w:eastAsia="Book Antiqua" w:hAnsi="Book Antiqua" w:cs="Book Antiqua"/>
          <w:color w:val="000000"/>
        </w:rPr>
        <w:t xml:space="preserve"> error</w:t>
      </w:r>
      <w:r w:rsidR="001B7E34" w:rsidRPr="004D7457">
        <w:rPr>
          <w:rFonts w:ascii="Book Antiqua" w:eastAsia="Book Antiqua" w:hAnsi="Book Antiqua" w:cs="Book Antiqua"/>
          <w:color w:val="000000"/>
        </w:rPr>
        <w:t xml:space="preserve"> of the mean</w:t>
      </w:r>
      <w:r w:rsidR="00D54FE4" w:rsidRPr="004D7457">
        <w:rPr>
          <w:rFonts w:ascii="Book Antiqua" w:eastAsia="Book Antiqua" w:hAnsi="Book Antiqua" w:cs="Book Antiqua"/>
          <w:color w:val="000000"/>
        </w:rPr>
        <w:t xml:space="preserve">. Significant differences are marked with (a) if </w:t>
      </w:r>
      <w:r w:rsidR="00D54FE4" w:rsidRPr="004D7457">
        <w:rPr>
          <w:rFonts w:ascii="Book Antiqua" w:eastAsia="Book Antiqua" w:hAnsi="Book Antiqua" w:cs="Book Antiqua"/>
          <w:i/>
          <w:color w:val="000000"/>
        </w:rPr>
        <w:t>P</w:t>
      </w:r>
      <w:r w:rsidR="00D54FE4" w:rsidRPr="004D7457">
        <w:rPr>
          <w:rFonts w:ascii="Book Antiqua" w:eastAsia="Book Antiqua" w:hAnsi="Book Antiqua" w:cs="Book Antiqua"/>
          <w:color w:val="000000"/>
        </w:rPr>
        <w:t xml:space="preserve"> &lt; 0.05. </w:t>
      </w:r>
      <w:r w:rsidRPr="004D7457">
        <w:rPr>
          <w:rFonts w:ascii="Book Antiqua" w:eastAsia="Book Antiqua" w:hAnsi="Book Antiqua" w:cs="Book Antiqua"/>
          <w:color w:val="000000"/>
        </w:rPr>
        <w:t xml:space="preserve">Ctrl: </w:t>
      </w:r>
      <w:r w:rsidRPr="004D7457">
        <w:rPr>
          <w:rFonts w:ascii="Book Antiqua" w:eastAsia="Book Antiqua" w:hAnsi="Book Antiqua" w:cs="Book Antiqua"/>
          <w:caps/>
          <w:color w:val="000000"/>
        </w:rPr>
        <w:t>s</w:t>
      </w:r>
      <w:r w:rsidRPr="004D7457">
        <w:rPr>
          <w:rFonts w:ascii="Book Antiqua" w:eastAsia="Book Antiqua" w:hAnsi="Book Antiqua" w:cs="Book Antiqua"/>
          <w:color w:val="000000"/>
        </w:rPr>
        <w:t>tandard chow</w:t>
      </w:r>
      <w:r w:rsidR="001C4225" w:rsidRPr="004D7457">
        <w:rPr>
          <w:rFonts w:ascii="Book Antiqua" w:eastAsia="Book Antiqua" w:hAnsi="Book Antiqua" w:cs="Book Antiqua"/>
          <w:color w:val="000000"/>
        </w:rPr>
        <w:t>; GTT: Glucose tolerance test</w:t>
      </w:r>
      <w:r w:rsidR="001B7E34" w:rsidRPr="004D7457">
        <w:rPr>
          <w:rFonts w:ascii="Book Antiqua" w:eastAsia="Book Antiqua" w:hAnsi="Book Antiqua" w:cs="Book Antiqua"/>
          <w:color w:val="000000"/>
        </w:rPr>
        <w:t>.</w:t>
      </w:r>
    </w:p>
    <w:sectPr w:rsidR="00A77B3E" w:rsidRPr="004D7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55DEF" w14:textId="77777777" w:rsidR="00E07F6D" w:rsidRDefault="00E07F6D" w:rsidP="00107BFD">
      <w:r>
        <w:separator/>
      </w:r>
    </w:p>
  </w:endnote>
  <w:endnote w:type="continuationSeparator" w:id="0">
    <w:p w14:paraId="7498B546" w14:textId="77777777" w:rsidR="00E07F6D" w:rsidRDefault="00E07F6D" w:rsidP="0010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211416"/>
      <w:docPartObj>
        <w:docPartGallery w:val="Page Numbers (Bottom of Page)"/>
        <w:docPartUnique/>
      </w:docPartObj>
    </w:sdtPr>
    <w:sdtEndPr>
      <w:rPr>
        <w:rFonts w:ascii="Book Antiqua" w:hAnsi="Book Antiqua"/>
        <w:sz w:val="24"/>
        <w:szCs w:val="24"/>
      </w:rPr>
    </w:sdtEndPr>
    <w:sdtContent>
      <w:sdt>
        <w:sdtPr>
          <w:id w:val="1155733700"/>
          <w:docPartObj>
            <w:docPartGallery w:val="Page Numbers (Top of Page)"/>
            <w:docPartUnique/>
          </w:docPartObj>
        </w:sdtPr>
        <w:sdtEndPr>
          <w:rPr>
            <w:rFonts w:ascii="Book Antiqua" w:hAnsi="Book Antiqua"/>
            <w:sz w:val="24"/>
            <w:szCs w:val="24"/>
          </w:rPr>
        </w:sdtEndPr>
        <w:sdtContent>
          <w:p w14:paraId="55D942E5" w14:textId="77777777" w:rsidR="00BB1006" w:rsidRPr="00933517" w:rsidRDefault="00BB1006" w:rsidP="00107BFD">
            <w:pPr>
              <w:pStyle w:val="a4"/>
              <w:jc w:val="right"/>
              <w:rPr>
                <w:rFonts w:ascii="Book Antiqua" w:hAnsi="Book Antiqua"/>
                <w:sz w:val="24"/>
                <w:szCs w:val="24"/>
              </w:rPr>
            </w:pPr>
            <w:r w:rsidRPr="00107BFD">
              <w:rPr>
                <w:sz w:val="24"/>
                <w:szCs w:val="24"/>
                <w:lang w:val="zh-CN" w:eastAsia="zh-CN"/>
              </w:rPr>
              <w:t xml:space="preserve"> </w:t>
            </w:r>
            <w:r w:rsidRPr="00933517">
              <w:rPr>
                <w:rFonts w:ascii="Book Antiqua" w:hAnsi="Book Antiqua"/>
                <w:bCs/>
                <w:sz w:val="24"/>
                <w:szCs w:val="24"/>
              </w:rPr>
              <w:fldChar w:fldCharType="begin"/>
            </w:r>
            <w:r w:rsidRPr="00933517">
              <w:rPr>
                <w:rFonts w:ascii="Book Antiqua" w:hAnsi="Book Antiqua"/>
                <w:bCs/>
                <w:sz w:val="24"/>
                <w:szCs w:val="24"/>
              </w:rPr>
              <w:instrText>PAGE</w:instrText>
            </w:r>
            <w:r w:rsidRPr="00933517">
              <w:rPr>
                <w:rFonts w:ascii="Book Antiqua" w:hAnsi="Book Antiqua"/>
                <w:bCs/>
                <w:sz w:val="24"/>
                <w:szCs w:val="24"/>
              </w:rPr>
              <w:fldChar w:fldCharType="separate"/>
            </w:r>
            <w:r w:rsidR="00B55492">
              <w:rPr>
                <w:rFonts w:ascii="Book Antiqua" w:hAnsi="Book Antiqua"/>
                <w:bCs/>
                <w:noProof/>
                <w:sz w:val="24"/>
                <w:szCs w:val="24"/>
              </w:rPr>
              <w:t>22</w:t>
            </w:r>
            <w:r w:rsidRPr="00933517">
              <w:rPr>
                <w:rFonts w:ascii="Book Antiqua" w:hAnsi="Book Antiqua"/>
                <w:bCs/>
                <w:sz w:val="24"/>
                <w:szCs w:val="24"/>
              </w:rPr>
              <w:fldChar w:fldCharType="end"/>
            </w:r>
            <w:r w:rsidRPr="00933517">
              <w:rPr>
                <w:rFonts w:ascii="Book Antiqua" w:hAnsi="Book Antiqua"/>
                <w:sz w:val="24"/>
                <w:szCs w:val="24"/>
                <w:lang w:val="zh-CN" w:eastAsia="zh-CN"/>
              </w:rPr>
              <w:t xml:space="preserve"> / </w:t>
            </w:r>
            <w:r w:rsidRPr="00933517">
              <w:rPr>
                <w:rFonts w:ascii="Book Antiqua" w:hAnsi="Book Antiqua"/>
                <w:bCs/>
                <w:sz w:val="24"/>
                <w:szCs w:val="24"/>
              </w:rPr>
              <w:fldChar w:fldCharType="begin"/>
            </w:r>
            <w:r w:rsidRPr="00933517">
              <w:rPr>
                <w:rFonts w:ascii="Book Antiqua" w:hAnsi="Book Antiqua"/>
                <w:bCs/>
                <w:sz w:val="24"/>
                <w:szCs w:val="24"/>
              </w:rPr>
              <w:instrText>NUMPAGES</w:instrText>
            </w:r>
            <w:r w:rsidRPr="00933517">
              <w:rPr>
                <w:rFonts w:ascii="Book Antiqua" w:hAnsi="Book Antiqua"/>
                <w:bCs/>
                <w:sz w:val="24"/>
                <w:szCs w:val="24"/>
              </w:rPr>
              <w:fldChar w:fldCharType="separate"/>
            </w:r>
            <w:r w:rsidR="00B55492">
              <w:rPr>
                <w:rFonts w:ascii="Book Antiqua" w:hAnsi="Book Antiqua"/>
                <w:bCs/>
                <w:noProof/>
                <w:sz w:val="24"/>
                <w:szCs w:val="24"/>
              </w:rPr>
              <w:t>27</w:t>
            </w:r>
            <w:r w:rsidRPr="00933517">
              <w:rPr>
                <w:rFonts w:ascii="Book Antiqua" w:hAnsi="Book Antiqua"/>
                <w:bCs/>
                <w:sz w:val="24"/>
                <w:szCs w:val="24"/>
              </w:rPr>
              <w:fldChar w:fldCharType="end"/>
            </w:r>
          </w:p>
        </w:sdtContent>
      </w:sdt>
    </w:sdtContent>
  </w:sdt>
  <w:p w14:paraId="0AE834D8" w14:textId="77777777" w:rsidR="00BB1006" w:rsidRDefault="00BB10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A1028" w14:textId="77777777" w:rsidR="00E07F6D" w:rsidRDefault="00E07F6D" w:rsidP="00107BFD">
      <w:r>
        <w:separator/>
      </w:r>
    </w:p>
  </w:footnote>
  <w:footnote w:type="continuationSeparator" w:id="0">
    <w:p w14:paraId="289C2D0F" w14:textId="77777777" w:rsidR="00E07F6D" w:rsidRDefault="00E07F6D" w:rsidP="00107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B7D"/>
    <w:rsid w:val="0001234E"/>
    <w:rsid w:val="0001372B"/>
    <w:rsid w:val="00015343"/>
    <w:rsid w:val="00020C0E"/>
    <w:rsid w:val="000216B9"/>
    <w:rsid w:val="0002192B"/>
    <w:rsid w:val="00032501"/>
    <w:rsid w:val="000338CD"/>
    <w:rsid w:val="00066036"/>
    <w:rsid w:val="000700ED"/>
    <w:rsid w:val="0007343C"/>
    <w:rsid w:val="00092081"/>
    <w:rsid w:val="000C1350"/>
    <w:rsid w:val="000C2FFD"/>
    <w:rsid w:val="000C55FC"/>
    <w:rsid w:val="000D035B"/>
    <w:rsid w:val="000D579A"/>
    <w:rsid w:val="000F0222"/>
    <w:rsid w:val="000F2DA3"/>
    <w:rsid w:val="00101D55"/>
    <w:rsid w:val="00107BFD"/>
    <w:rsid w:val="0011182E"/>
    <w:rsid w:val="001254E0"/>
    <w:rsid w:val="00127D1C"/>
    <w:rsid w:val="001531E3"/>
    <w:rsid w:val="001573BA"/>
    <w:rsid w:val="001679F2"/>
    <w:rsid w:val="001774DB"/>
    <w:rsid w:val="0018117B"/>
    <w:rsid w:val="001813C1"/>
    <w:rsid w:val="00184FB6"/>
    <w:rsid w:val="001872F1"/>
    <w:rsid w:val="001A4BD0"/>
    <w:rsid w:val="001B7E34"/>
    <w:rsid w:val="001C3222"/>
    <w:rsid w:val="001C4225"/>
    <w:rsid w:val="001F7284"/>
    <w:rsid w:val="00201189"/>
    <w:rsid w:val="00214130"/>
    <w:rsid w:val="00216BA7"/>
    <w:rsid w:val="0023739A"/>
    <w:rsid w:val="00271496"/>
    <w:rsid w:val="0027311F"/>
    <w:rsid w:val="00276BE6"/>
    <w:rsid w:val="0028014B"/>
    <w:rsid w:val="0028541E"/>
    <w:rsid w:val="00290CCF"/>
    <w:rsid w:val="00294063"/>
    <w:rsid w:val="00295219"/>
    <w:rsid w:val="002D389A"/>
    <w:rsid w:val="002E179D"/>
    <w:rsid w:val="002F1229"/>
    <w:rsid w:val="00303833"/>
    <w:rsid w:val="00305689"/>
    <w:rsid w:val="003064BF"/>
    <w:rsid w:val="00327D69"/>
    <w:rsid w:val="00334F70"/>
    <w:rsid w:val="0035262C"/>
    <w:rsid w:val="00352BA0"/>
    <w:rsid w:val="00364EFD"/>
    <w:rsid w:val="003653B6"/>
    <w:rsid w:val="003711AB"/>
    <w:rsid w:val="00374EC3"/>
    <w:rsid w:val="00383890"/>
    <w:rsid w:val="003864EA"/>
    <w:rsid w:val="003A10F6"/>
    <w:rsid w:val="003A5B9A"/>
    <w:rsid w:val="003E251B"/>
    <w:rsid w:val="003F7727"/>
    <w:rsid w:val="0040253A"/>
    <w:rsid w:val="00402F73"/>
    <w:rsid w:val="0040620C"/>
    <w:rsid w:val="004132A8"/>
    <w:rsid w:val="004156D0"/>
    <w:rsid w:val="00420F01"/>
    <w:rsid w:val="00421495"/>
    <w:rsid w:val="004264BF"/>
    <w:rsid w:val="0047533F"/>
    <w:rsid w:val="0047691C"/>
    <w:rsid w:val="004909D1"/>
    <w:rsid w:val="004B07CD"/>
    <w:rsid w:val="004D5C37"/>
    <w:rsid w:val="004D7457"/>
    <w:rsid w:val="004F7C71"/>
    <w:rsid w:val="00511A6D"/>
    <w:rsid w:val="005152F3"/>
    <w:rsid w:val="005432AD"/>
    <w:rsid w:val="005457E5"/>
    <w:rsid w:val="00557020"/>
    <w:rsid w:val="0056533F"/>
    <w:rsid w:val="00566E29"/>
    <w:rsid w:val="00570A74"/>
    <w:rsid w:val="00590546"/>
    <w:rsid w:val="005958D2"/>
    <w:rsid w:val="005A105E"/>
    <w:rsid w:val="005A1853"/>
    <w:rsid w:val="005C01F5"/>
    <w:rsid w:val="005D545A"/>
    <w:rsid w:val="005E4E43"/>
    <w:rsid w:val="005F5DF3"/>
    <w:rsid w:val="00605CAF"/>
    <w:rsid w:val="006066DD"/>
    <w:rsid w:val="00625D93"/>
    <w:rsid w:val="00644286"/>
    <w:rsid w:val="006703FE"/>
    <w:rsid w:val="00672020"/>
    <w:rsid w:val="00674496"/>
    <w:rsid w:val="00682937"/>
    <w:rsid w:val="006A4C99"/>
    <w:rsid w:val="006A71F6"/>
    <w:rsid w:val="006C4D34"/>
    <w:rsid w:val="006E7A75"/>
    <w:rsid w:val="006F502A"/>
    <w:rsid w:val="0071225A"/>
    <w:rsid w:val="00716046"/>
    <w:rsid w:val="00726289"/>
    <w:rsid w:val="007551E5"/>
    <w:rsid w:val="00760917"/>
    <w:rsid w:val="00792E19"/>
    <w:rsid w:val="0079369F"/>
    <w:rsid w:val="007C396F"/>
    <w:rsid w:val="007D3FE8"/>
    <w:rsid w:val="007D7A47"/>
    <w:rsid w:val="007D7B68"/>
    <w:rsid w:val="007F1675"/>
    <w:rsid w:val="00803AF4"/>
    <w:rsid w:val="00821A9B"/>
    <w:rsid w:val="00832F82"/>
    <w:rsid w:val="008339C4"/>
    <w:rsid w:val="00847ABB"/>
    <w:rsid w:val="00851FBE"/>
    <w:rsid w:val="008829A7"/>
    <w:rsid w:val="008919E5"/>
    <w:rsid w:val="008A2200"/>
    <w:rsid w:val="008D6947"/>
    <w:rsid w:val="008E2A58"/>
    <w:rsid w:val="008E5BB1"/>
    <w:rsid w:val="00922B8B"/>
    <w:rsid w:val="00933517"/>
    <w:rsid w:val="00943D04"/>
    <w:rsid w:val="00960FC4"/>
    <w:rsid w:val="0097284D"/>
    <w:rsid w:val="00972D35"/>
    <w:rsid w:val="00982D1F"/>
    <w:rsid w:val="0099285F"/>
    <w:rsid w:val="00996140"/>
    <w:rsid w:val="009A0E56"/>
    <w:rsid w:val="009B6C78"/>
    <w:rsid w:val="009E3598"/>
    <w:rsid w:val="009F5C12"/>
    <w:rsid w:val="009F77A9"/>
    <w:rsid w:val="00A07085"/>
    <w:rsid w:val="00A210DA"/>
    <w:rsid w:val="00A2743C"/>
    <w:rsid w:val="00A40776"/>
    <w:rsid w:val="00A53300"/>
    <w:rsid w:val="00A5430A"/>
    <w:rsid w:val="00A63F12"/>
    <w:rsid w:val="00A65C7F"/>
    <w:rsid w:val="00A67472"/>
    <w:rsid w:val="00A77B32"/>
    <w:rsid w:val="00A77B3E"/>
    <w:rsid w:val="00A807BA"/>
    <w:rsid w:val="00A830AB"/>
    <w:rsid w:val="00A97641"/>
    <w:rsid w:val="00AA07D2"/>
    <w:rsid w:val="00AA634E"/>
    <w:rsid w:val="00AB1390"/>
    <w:rsid w:val="00AB5D2C"/>
    <w:rsid w:val="00AD11FD"/>
    <w:rsid w:val="00AD49ED"/>
    <w:rsid w:val="00AD5490"/>
    <w:rsid w:val="00AE3A38"/>
    <w:rsid w:val="00AF5762"/>
    <w:rsid w:val="00AF60F8"/>
    <w:rsid w:val="00B32692"/>
    <w:rsid w:val="00B41A39"/>
    <w:rsid w:val="00B45C6E"/>
    <w:rsid w:val="00B52640"/>
    <w:rsid w:val="00B55492"/>
    <w:rsid w:val="00B839D5"/>
    <w:rsid w:val="00B944AD"/>
    <w:rsid w:val="00B953EC"/>
    <w:rsid w:val="00BA2E69"/>
    <w:rsid w:val="00BB1006"/>
    <w:rsid w:val="00BB4A21"/>
    <w:rsid w:val="00BB6747"/>
    <w:rsid w:val="00BB7EA4"/>
    <w:rsid w:val="00BD71CB"/>
    <w:rsid w:val="00BE7C27"/>
    <w:rsid w:val="00C00E8E"/>
    <w:rsid w:val="00C1406E"/>
    <w:rsid w:val="00C14161"/>
    <w:rsid w:val="00C1492D"/>
    <w:rsid w:val="00C20548"/>
    <w:rsid w:val="00C30407"/>
    <w:rsid w:val="00C32194"/>
    <w:rsid w:val="00C421C7"/>
    <w:rsid w:val="00C4554F"/>
    <w:rsid w:val="00C47860"/>
    <w:rsid w:val="00C542FC"/>
    <w:rsid w:val="00C8364D"/>
    <w:rsid w:val="00C93C19"/>
    <w:rsid w:val="00C93CE2"/>
    <w:rsid w:val="00C9694E"/>
    <w:rsid w:val="00C96A72"/>
    <w:rsid w:val="00CA2A55"/>
    <w:rsid w:val="00CB6D88"/>
    <w:rsid w:val="00CD0E49"/>
    <w:rsid w:val="00CD31EE"/>
    <w:rsid w:val="00CD38E2"/>
    <w:rsid w:val="00CD3B33"/>
    <w:rsid w:val="00CE4480"/>
    <w:rsid w:val="00CE755B"/>
    <w:rsid w:val="00CE7F89"/>
    <w:rsid w:val="00CF5F2D"/>
    <w:rsid w:val="00CF7225"/>
    <w:rsid w:val="00D20175"/>
    <w:rsid w:val="00D277CB"/>
    <w:rsid w:val="00D51B0F"/>
    <w:rsid w:val="00D54FE4"/>
    <w:rsid w:val="00D7064E"/>
    <w:rsid w:val="00D710F3"/>
    <w:rsid w:val="00D845AC"/>
    <w:rsid w:val="00DA7159"/>
    <w:rsid w:val="00DB0F6A"/>
    <w:rsid w:val="00DD2327"/>
    <w:rsid w:val="00DD23F0"/>
    <w:rsid w:val="00DE2D6D"/>
    <w:rsid w:val="00DF0C7A"/>
    <w:rsid w:val="00DF439C"/>
    <w:rsid w:val="00DF66D9"/>
    <w:rsid w:val="00E07F6D"/>
    <w:rsid w:val="00E25BAB"/>
    <w:rsid w:val="00E4115D"/>
    <w:rsid w:val="00E50105"/>
    <w:rsid w:val="00E65B10"/>
    <w:rsid w:val="00E73366"/>
    <w:rsid w:val="00E750C2"/>
    <w:rsid w:val="00E802FF"/>
    <w:rsid w:val="00E81827"/>
    <w:rsid w:val="00E9416D"/>
    <w:rsid w:val="00EA616F"/>
    <w:rsid w:val="00EC2650"/>
    <w:rsid w:val="00ED3B91"/>
    <w:rsid w:val="00EF7045"/>
    <w:rsid w:val="00F02A62"/>
    <w:rsid w:val="00F12DE3"/>
    <w:rsid w:val="00F1592A"/>
    <w:rsid w:val="00F20592"/>
    <w:rsid w:val="00F3521D"/>
    <w:rsid w:val="00F46FA1"/>
    <w:rsid w:val="00F512F4"/>
    <w:rsid w:val="00F642F5"/>
    <w:rsid w:val="00F8567A"/>
    <w:rsid w:val="00F90771"/>
    <w:rsid w:val="00FA52A0"/>
    <w:rsid w:val="00FC2540"/>
    <w:rsid w:val="00FE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4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ted">
    <w:name w:val="muted"/>
    <w:basedOn w:val="a0"/>
  </w:style>
  <w:style w:type="character" w:customStyle="1" w:styleId="rlltdetails">
    <w:name w:val="rlltdetails"/>
    <w:basedOn w:val="a0"/>
  </w:style>
  <w:style w:type="character" w:customStyle="1" w:styleId="locality">
    <w:name w:val="locality"/>
    <w:basedOn w:val="a0"/>
  </w:style>
  <w:style w:type="character" w:customStyle="1" w:styleId="postal-code">
    <w:name w:val="postal-code"/>
    <w:basedOn w:val="a0"/>
  </w:style>
  <w:style w:type="paragraph" w:styleId="a3">
    <w:name w:val="header"/>
    <w:basedOn w:val="a"/>
    <w:link w:val="Char"/>
    <w:unhideWhenUsed/>
    <w:rsid w:val="00107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BFD"/>
    <w:rPr>
      <w:sz w:val="18"/>
      <w:szCs w:val="18"/>
    </w:rPr>
  </w:style>
  <w:style w:type="paragraph" w:styleId="a4">
    <w:name w:val="footer"/>
    <w:basedOn w:val="a"/>
    <w:link w:val="Char0"/>
    <w:uiPriority w:val="99"/>
    <w:unhideWhenUsed/>
    <w:rsid w:val="00107BFD"/>
    <w:pPr>
      <w:tabs>
        <w:tab w:val="center" w:pos="4153"/>
        <w:tab w:val="right" w:pos="8306"/>
      </w:tabs>
      <w:snapToGrid w:val="0"/>
    </w:pPr>
    <w:rPr>
      <w:sz w:val="18"/>
      <w:szCs w:val="18"/>
    </w:rPr>
  </w:style>
  <w:style w:type="character" w:customStyle="1" w:styleId="Char0">
    <w:name w:val="页脚 Char"/>
    <w:basedOn w:val="a0"/>
    <w:link w:val="a4"/>
    <w:uiPriority w:val="99"/>
    <w:rsid w:val="00107BFD"/>
    <w:rPr>
      <w:sz w:val="18"/>
      <w:szCs w:val="18"/>
    </w:rPr>
  </w:style>
  <w:style w:type="character" w:styleId="a5">
    <w:name w:val="annotation reference"/>
    <w:basedOn w:val="a0"/>
    <w:semiHidden/>
    <w:unhideWhenUsed/>
    <w:rsid w:val="00803AF4"/>
    <w:rPr>
      <w:sz w:val="21"/>
      <w:szCs w:val="21"/>
    </w:rPr>
  </w:style>
  <w:style w:type="paragraph" w:styleId="a6">
    <w:name w:val="annotation text"/>
    <w:basedOn w:val="a"/>
    <w:link w:val="Char1"/>
    <w:semiHidden/>
    <w:unhideWhenUsed/>
    <w:rsid w:val="00803AF4"/>
  </w:style>
  <w:style w:type="character" w:customStyle="1" w:styleId="Char1">
    <w:name w:val="批注文字 Char"/>
    <w:basedOn w:val="a0"/>
    <w:link w:val="a6"/>
    <w:semiHidden/>
    <w:rsid w:val="00803AF4"/>
    <w:rPr>
      <w:sz w:val="24"/>
      <w:szCs w:val="24"/>
    </w:rPr>
  </w:style>
  <w:style w:type="paragraph" w:styleId="a7">
    <w:name w:val="annotation subject"/>
    <w:basedOn w:val="a6"/>
    <w:next w:val="a6"/>
    <w:link w:val="Char2"/>
    <w:semiHidden/>
    <w:unhideWhenUsed/>
    <w:rsid w:val="00803AF4"/>
    <w:rPr>
      <w:b/>
      <w:bCs/>
    </w:rPr>
  </w:style>
  <w:style w:type="character" w:customStyle="1" w:styleId="Char2">
    <w:name w:val="批注主题 Char"/>
    <w:basedOn w:val="Char1"/>
    <w:link w:val="a7"/>
    <w:semiHidden/>
    <w:rsid w:val="00803AF4"/>
    <w:rPr>
      <w:b/>
      <w:bCs/>
      <w:sz w:val="24"/>
      <w:szCs w:val="24"/>
    </w:rPr>
  </w:style>
  <w:style w:type="paragraph" w:styleId="a8">
    <w:name w:val="Balloon Text"/>
    <w:basedOn w:val="a"/>
    <w:link w:val="Char3"/>
    <w:semiHidden/>
    <w:unhideWhenUsed/>
    <w:rsid w:val="00803AF4"/>
    <w:rPr>
      <w:sz w:val="18"/>
      <w:szCs w:val="18"/>
    </w:rPr>
  </w:style>
  <w:style w:type="character" w:customStyle="1" w:styleId="Char3">
    <w:name w:val="批注框文本 Char"/>
    <w:basedOn w:val="a0"/>
    <w:link w:val="a8"/>
    <w:semiHidden/>
    <w:rsid w:val="00803AF4"/>
    <w:rPr>
      <w:sz w:val="18"/>
      <w:szCs w:val="18"/>
    </w:rPr>
  </w:style>
  <w:style w:type="character" w:styleId="a9">
    <w:name w:val="Hyperlink"/>
    <w:basedOn w:val="a0"/>
    <w:unhideWhenUsed/>
    <w:rsid w:val="00B554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ted">
    <w:name w:val="muted"/>
    <w:basedOn w:val="a0"/>
  </w:style>
  <w:style w:type="character" w:customStyle="1" w:styleId="rlltdetails">
    <w:name w:val="rlltdetails"/>
    <w:basedOn w:val="a0"/>
  </w:style>
  <w:style w:type="character" w:customStyle="1" w:styleId="locality">
    <w:name w:val="locality"/>
    <w:basedOn w:val="a0"/>
  </w:style>
  <w:style w:type="character" w:customStyle="1" w:styleId="postal-code">
    <w:name w:val="postal-code"/>
    <w:basedOn w:val="a0"/>
  </w:style>
  <w:style w:type="paragraph" w:styleId="a3">
    <w:name w:val="header"/>
    <w:basedOn w:val="a"/>
    <w:link w:val="Char"/>
    <w:unhideWhenUsed/>
    <w:rsid w:val="00107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BFD"/>
    <w:rPr>
      <w:sz w:val="18"/>
      <w:szCs w:val="18"/>
    </w:rPr>
  </w:style>
  <w:style w:type="paragraph" w:styleId="a4">
    <w:name w:val="footer"/>
    <w:basedOn w:val="a"/>
    <w:link w:val="Char0"/>
    <w:uiPriority w:val="99"/>
    <w:unhideWhenUsed/>
    <w:rsid w:val="00107BFD"/>
    <w:pPr>
      <w:tabs>
        <w:tab w:val="center" w:pos="4153"/>
        <w:tab w:val="right" w:pos="8306"/>
      </w:tabs>
      <w:snapToGrid w:val="0"/>
    </w:pPr>
    <w:rPr>
      <w:sz w:val="18"/>
      <w:szCs w:val="18"/>
    </w:rPr>
  </w:style>
  <w:style w:type="character" w:customStyle="1" w:styleId="Char0">
    <w:name w:val="页脚 Char"/>
    <w:basedOn w:val="a0"/>
    <w:link w:val="a4"/>
    <w:uiPriority w:val="99"/>
    <w:rsid w:val="00107BFD"/>
    <w:rPr>
      <w:sz w:val="18"/>
      <w:szCs w:val="18"/>
    </w:rPr>
  </w:style>
  <w:style w:type="character" w:styleId="a5">
    <w:name w:val="annotation reference"/>
    <w:basedOn w:val="a0"/>
    <w:semiHidden/>
    <w:unhideWhenUsed/>
    <w:rsid w:val="00803AF4"/>
    <w:rPr>
      <w:sz w:val="21"/>
      <w:szCs w:val="21"/>
    </w:rPr>
  </w:style>
  <w:style w:type="paragraph" w:styleId="a6">
    <w:name w:val="annotation text"/>
    <w:basedOn w:val="a"/>
    <w:link w:val="Char1"/>
    <w:semiHidden/>
    <w:unhideWhenUsed/>
    <w:rsid w:val="00803AF4"/>
  </w:style>
  <w:style w:type="character" w:customStyle="1" w:styleId="Char1">
    <w:name w:val="批注文字 Char"/>
    <w:basedOn w:val="a0"/>
    <w:link w:val="a6"/>
    <w:semiHidden/>
    <w:rsid w:val="00803AF4"/>
    <w:rPr>
      <w:sz w:val="24"/>
      <w:szCs w:val="24"/>
    </w:rPr>
  </w:style>
  <w:style w:type="paragraph" w:styleId="a7">
    <w:name w:val="annotation subject"/>
    <w:basedOn w:val="a6"/>
    <w:next w:val="a6"/>
    <w:link w:val="Char2"/>
    <w:semiHidden/>
    <w:unhideWhenUsed/>
    <w:rsid w:val="00803AF4"/>
    <w:rPr>
      <w:b/>
      <w:bCs/>
    </w:rPr>
  </w:style>
  <w:style w:type="character" w:customStyle="1" w:styleId="Char2">
    <w:name w:val="批注主题 Char"/>
    <w:basedOn w:val="Char1"/>
    <w:link w:val="a7"/>
    <w:semiHidden/>
    <w:rsid w:val="00803AF4"/>
    <w:rPr>
      <w:b/>
      <w:bCs/>
      <w:sz w:val="24"/>
      <w:szCs w:val="24"/>
    </w:rPr>
  </w:style>
  <w:style w:type="paragraph" w:styleId="a8">
    <w:name w:val="Balloon Text"/>
    <w:basedOn w:val="a"/>
    <w:link w:val="Char3"/>
    <w:semiHidden/>
    <w:unhideWhenUsed/>
    <w:rsid w:val="00803AF4"/>
    <w:rPr>
      <w:sz w:val="18"/>
      <w:szCs w:val="18"/>
    </w:rPr>
  </w:style>
  <w:style w:type="character" w:customStyle="1" w:styleId="Char3">
    <w:name w:val="批注框文本 Char"/>
    <w:basedOn w:val="a0"/>
    <w:link w:val="a8"/>
    <w:semiHidden/>
    <w:rsid w:val="00803AF4"/>
    <w:rPr>
      <w:sz w:val="18"/>
      <w:szCs w:val="18"/>
    </w:rPr>
  </w:style>
  <w:style w:type="character" w:styleId="a9">
    <w:name w:val="Hyperlink"/>
    <w:basedOn w:val="a0"/>
    <w:unhideWhenUsed/>
    <w:rsid w:val="00B55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6/i33/4933.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6445</Words>
  <Characters>36739</Characters>
  <Application>Microsoft Office Word</Application>
  <DocSecurity>0</DocSecurity>
  <Lines>306</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Kuyumcu</dc:creator>
  <cp:lastModifiedBy>Lenovo</cp:lastModifiedBy>
  <cp:revision>2</cp:revision>
  <dcterms:created xsi:type="dcterms:W3CDTF">2020-09-03T07:41:00Z</dcterms:created>
  <dcterms:modified xsi:type="dcterms:W3CDTF">2020-09-03T07:41:00Z</dcterms:modified>
</cp:coreProperties>
</file>