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C30" w:rsidRPr="002F1C30" w:rsidRDefault="002F1C30" w:rsidP="009A3473">
      <w:pPr>
        <w:widowControl/>
        <w:wordWrap/>
        <w:autoSpaceDE/>
        <w:autoSpaceDN/>
        <w:snapToGrid w:val="0"/>
        <w:spacing w:line="360" w:lineRule="auto"/>
        <w:rPr>
          <w:rFonts w:ascii="Book Antiqua" w:eastAsia="宋体" w:hAnsi="Book Antiqua"/>
          <w:b/>
          <w:kern w:val="0"/>
          <w:sz w:val="24"/>
          <w:szCs w:val="24"/>
          <w:highlight w:val="white"/>
          <w:lang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bookmarkStart w:id="21" w:name="OLE_LINK578"/>
      <w:r w:rsidRPr="002F1C30">
        <w:rPr>
          <w:rFonts w:ascii="Book Antiqua" w:eastAsia="宋体" w:hAnsi="Book Antiqua"/>
          <w:b/>
          <w:kern w:val="0"/>
          <w:sz w:val="24"/>
          <w:szCs w:val="24"/>
          <w:highlight w:val="white"/>
          <w:lang w:eastAsia="zh-CN"/>
        </w:rPr>
        <w:t xml:space="preserve">Name of </w:t>
      </w:r>
      <w:r w:rsidRPr="002F1C30">
        <w:rPr>
          <w:rFonts w:ascii="Book Antiqua" w:eastAsia="宋体" w:hAnsi="Book Antiqua"/>
          <w:b/>
          <w:caps/>
          <w:kern w:val="0"/>
          <w:sz w:val="24"/>
          <w:szCs w:val="24"/>
          <w:highlight w:val="white"/>
          <w:lang w:eastAsia="zh-CN"/>
        </w:rPr>
        <w:t>j</w:t>
      </w:r>
      <w:r w:rsidRPr="002F1C30">
        <w:rPr>
          <w:rFonts w:ascii="Book Antiqua" w:eastAsia="宋体" w:hAnsi="Book Antiqua"/>
          <w:b/>
          <w:kern w:val="0"/>
          <w:sz w:val="24"/>
          <w:szCs w:val="24"/>
          <w:highlight w:val="white"/>
          <w:lang w:eastAsia="zh-CN"/>
        </w:rPr>
        <w:t xml:space="preserve">ournal: </w:t>
      </w:r>
      <w:r w:rsidRPr="002F1C30">
        <w:rPr>
          <w:rFonts w:ascii="Book Antiqua" w:eastAsia="宋体" w:hAnsi="Book Antiqua"/>
          <w:i/>
          <w:kern w:val="0"/>
          <w:sz w:val="24"/>
          <w:szCs w:val="24"/>
          <w:lang w:eastAsia="zh-CN"/>
        </w:rPr>
        <w:t>World Journal of Clinical Cases</w:t>
      </w:r>
    </w:p>
    <w:p w:rsidR="002F1C30" w:rsidRPr="002F1C30" w:rsidRDefault="002F1C30" w:rsidP="009A3473">
      <w:pPr>
        <w:widowControl/>
        <w:wordWrap/>
        <w:autoSpaceDE/>
        <w:autoSpaceDN/>
        <w:snapToGrid w:val="0"/>
        <w:spacing w:line="360" w:lineRule="auto"/>
        <w:rPr>
          <w:rFonts w:ascii="Book Antiqua" w:eastAsia="宋体" w:hAnsi="Book Antiqua"/>
          <w:b/>
          <w:i/>
          <w:kern w:val="0"/>
          <w:sz w:val="24"/>
          <w:szCs w:val="24"/>
          <w:highlight w:val="white"/>
          <w:lang w:eastAsia="zh-CN"/>
        </w:rPr>
      </w:pPr>
      <w:bookmarkStart w:id="22" w:name="OLE_LINK485"/>
      <w:bookmarkStart w:id="23" w:name="OLE_LINK486"/>
      <w:bookmarkStart w:id="24" w:name="OLE_LINK661"/>
      <w:bookmarkStart w:id="25" w:name="OLE_LINK768"/>
      <w:bookmarkStart w:id="26" w:name="OLE_LINK568"/>
      <w:bookmarkStart w:id="27" w:name="OLE_LINK499"/>
      <w:bookmarkStart w:id="28" w:name="OLE_LINK437"/>
      <w:bookmarkStart w:id="29" w:name="OLE_LINK514"/>
      <w:bookmarkStart w:id="30" w:name="OLE_LINK515"/>
      <w:bookmarkStart w:id="31" w:name="OLE_LINK13"/>
      <w:bookmarkStart w:id="32" w:name="OLE_LINK351"/>
      <w:bookmarkStart w:id="33" w:name="OLE_LINK425"/>
      <w:r w:rsidRPr="002F1C30">
        <w:rPr>
          <w:rFonts w:ascii="Book Antiqua" w:eastAsia="宋体" w:hAnsi="Book Antiqua"/>
          <w:b/>
          <w:kern w:val="0"/>
          <w:sz w:val="24"/>
          <w:szCs w:val="24"/>
          <w:highlight w:val="white"/>
          <w:lang w:val="pl-PL" w:eastAsia="zh-CN"/>
        </w:rPr>
        <w:t>Manuscript NO:</w:t>
      </w:r>
      <w:bookmarkEnd w:id="22"/>
      <w:bookmarkEnd w:id="23"/>
      <w:bookmarkEnd w:id="24"/>
      <w:bookmarkEnd w:id="25"/>
      <w:bookmarkEnd w:id="26"/>
      <w:r w:rsidRPr="002F1C30">
        <w:rPr>
          <w:rFonts w:ascii="Book Antiqua" w:eastAsia="宋体" w:hAnsi="Book Antiqua"/>
          <w:b/>
          <w:kern w:val="0"/>
          <w:sz w:val="24"/>
          <w:szCs w:val="24"/>
          <w:highlight w:val="white"/>
          <w:lang w:val="pl-PL" w:eastAsia="zh-CN"/>
        </w:rPr>
        <w:t xml:space="preserve"> </w:t>
      </w:r>
      <w:bookmarkEnd w:id="27"/>
      <w:bookmarkEnd w:id="28"/>
      <w:r w:rsidRPr="002F1C30">
        <w:rPr>
          <w:rFonts w:ascii="Book Antiqua" w:eastAsia="宋体" w:hAnsi="Book Antiqua"/>
          <w:kern w:val="0"/>
          <w:sz w:val="24"/>
          <w:szCs w:val="24"/>
          <w:highlight w:val="white"/>
          <w:lang w:val="pl-PL" w:eastAsia="zh-CN"/>
        </w:rPr>
        <w:t>55672</w:t>
      </w:r>
    </w:p>
    <w:p w:rsidR="002F1C30" w:rsidRPr="002F1C30" w:rsidRDefault="002F1C30" w:rsidP="009A3473">
      <w:pPr>
        <w:widowControl/>
        <w:wordWrap/>
        <w:autoSpaceDE/>
        <w:autoSpaceDN/>
        <w:snapToGrid w:val="0"/>
        <w:spacing w:line="360" w:lineRule="auto"/>
        <w:rPr>
          <w:rFonts w:ascii="Book Antiqua" w:eastAsia="宋体" w:hAnsi="Book Antiqua" w:cs="宋体"/>
          <w:b/>
          <w:kern w:val="0"/>
          <w:sz w:val="24"/>
          <w:szCs w:val="24"/>
          <w:lang w:val="it-IT" w:eastAsia="zh-CN"/>
        </w:rPr>
      </w:pPr>
      <w:bookmarkStart w:id="34" w:name="OLE_LINK511"/>
      <w:bookmarkStart w:id="35" w:name="OLE_LINK512"/>
      <w:bookmarkEnd w:id="29"/>
      <w:bookmarkEnd w:id="30"/>
      <w:bookmarkEnd w:id="31"/>
      <w:bookmarkEnd w:id="32"/>
      <w:bookmarkEnd w:id="33"/>
      <w:r w:rsidRPr="002F1C30">
        <w:rPr>
          <w:rFonts w:ascii="Book Antiqua" w:eastAsia="宋体" w:hAnsi="Book Antiqua" w:cs="宋体"/>
          <w:b/>
          <w:kern w:val="0"/>
          <w:sz w:val="24"/>
          <w:szCs w:val="24"/>
          <w:highlight w:val="white"/>
          <w:lang w:val="it-IT" w:eastAsia="zh-CN"/>
        </w:rPr>
        <w:t xml:space="preserve">Manuscript </w:t>
      </w:r>
      <w:r w:rsidRPr="002F1C30">
        <w:rPr>
          <w:rFonts w:ascii="Book Antiqua" w:eastAsia="宋体" w:hAnsi="Book Antiqua" w:cs="宋体"/>
          <w:b/>
          <w:caps/>
          <w:kern w:val="0"/>
          <w:sz w:val="24"/>
          <w:szCs w:val="24"/>
          <w:highlight w:val="white"/>
          <w:lang w:eastAsia="zh-CN"/>
        </w:rPr>
        <w:t>t</w:t>
      </w:r>
      <w:r w:rsidRPr="002F1C30">
        <w:rPr>
          <w:rFonts w:ascii="Book Antiqua" w:eastAsia="宋体" w:hAnsi="Book Antiqua" w:cs="宋体"/>
          <w:b/>
          <w:kern w:val="0"/>
          <w:sz w:val="24"/>
          <w:szCs w:val="24"/>
          <w:highlight w:val="white"/>
          <w:lang w:val="it-IT" w:eastAsia="zh-CN"/>
        </w:rPr>
        <w:t>ype</w:t>
      </w:r>
      <w:r w:rsidRPr="002F1C30">
        <w:rPr>
          <w:rFonts w:ascii="Book Antiqua" w:eastAsia="宋体" w:hAnsi="Book Antiqua" w:cs="宋体"/>
          <w:b/>
          <w:kern w:val="0"/>
          <w:sz w:val="24"/>
          <w:szCs w:val="24"/>
          <w:lang w:val="it-IT" w:eastAsia="zh-CN"/>
        </w:rPr>
        <w:t>:</w:t>
      </w:r>
      <w:bookmarkEnd w:id="0"/>
      <w:bookmarkEnd w:id="1"/>
      <w:bookmarkEnd w:id="2"/>
      <w:bookmarkEnd w:id="3"/>
      <w:bookmarkEnd w:id="4"/>
      <w:bookmarkEnd w:id="5"/>
      <w:bookmarkEnd w:id="6"/>
      <w:bookmarkEnd w:id="7"/>
      <w:bookmarkEnd w:id="8"/>
      <w:bookmarkEnd w:id="9"/>
      <w:bookmarkEnd w:id="10"/>
      <w:bookmarkEnd w:id="11"/>
      <w:r w:rsidRPr="002F1C30">
        <w:rPr>
          <w:rFonts w:ascii="Book Antiqua" w:eastAsia="宋体" w:hAnsi="Book Antiqua" w:cs="宋体"/>
          <w:b/>
          <w:kern w:val="0"/>
          <w:sz w:val="24"/>
          <w:szCs w:val="24"/>
          <w:lang w:val="it-IT" w:eastAsia="zh-CN"/>
        </w:rPr>
        <w:t xml:space="preserve"> </w:t>
      </w:r>
      <w:r w:rsidRPr="002F1C30">
        <w:rPr>
          <w:rFonts w:ascii="Book Antiqua" w:eastAsia="宋体" w:hAnsi="Book Antiqua" w:cs="宋体"/>
          <w:caps/>
          <w:kern w:val="0"/>
          <w:sz w:val="24"/>
          <w:szCs w:val="24"/>
          <w:lang w:val="it-IT" w:eastAsia="zh-CN"/>
        </w:rPr>
        <w:t>Minireviews</w:t>
      </w:r>
    </w:p>
    <w:bookmarkEnd w:id="12"/>
    <w:bookmarkEnd w:id="13"/>
    <w:bookmarkEnd w:id="14"/>
    <w:bookmarkEnd w:id="15"/>
    <w:bookmarkEnd w:id="16"/>
    <w:bookmarkEnd w:id="17"/>
    <w:bookmarkEnd w:id="18"/>
    <w:bookmarkEnd w:id="19"/>
    <w:bookmarkEnd w:id="20"/>
    <w:bookmarkEnd w:id="21"/>
    <w:bookmarkEnd w:id="34"/>
    <w:bookmarkEnd w:id="35"/>
    <w:p w:rsidR="00A55981" w:rsidRDefault="00A55981" w:rsidP="009A3473">
      <w:pPr>
        <w:pStyle w:val="af3"/>
        <w:snapToGrid w:val="0"/>
        <w:spacing w:before="0" w:after="0" w:line="360" w:lineRule="auto"/>
        <w:jc w:val="both"/>
        <w:rPr>
          <w:rFonts w:ascii="Book Antiqua" w:eastAsia="Malgun Gothic" w:hAnsi="Book Antiqua" w:cs="Arial"/>
          <w:sz w:val="24"/>
          <w:szCs w:val="24"/>
          <w:lang w:eastAsia="ko-KR"/>
        </w:rPr>
      </w:pPr>
    </w:p>
    <w:p w:rsidR="00A3633A" w:rsidRPr="00991EB9" w:rsidRDefault="00562630" w:rsidP="009A3473">
      <w:pPr>
        <w:pStyle w:val="af3"/>
        <w:snapToGrid w:val="0"/>
        <w:spacing w:before="0" w:after="0" w:line="360" w:lineRule="auto"/>
        <w:jc w:val="both"/>
        <w:rPr>
          <w:rFonts w:ascii="Book Antiqua" w:eastAsia="Malgun Gothic" w:hAnsi="Book Antiqua" w:cs="Arial"/>
          <w:sz w:val="24"/>
          <w:szCs w:val="24"/>
          <w:lang w:eastAsia="ko-KR"/>
        </w:rPr>
      </w:pPr>
      <w:r w:rsidRPr="00991EB9">
        <w:rPr>
          <w:rFonts w:ascii="Book Antiqua" w:eastAsia="Malgun Gothic" w:hAnsi="Book Antiqua" w:cs="Arial"/>
          <w:sz w:val="24"/>
          <w:szCs w:val="24"/>
          <w:lang w:eastAsia="ko-KR"/>
        </w:rPr>
        <w:t>Clinical applicability of gastroscopy with narrow</w:t>
      </w:r>
      <w:r w:rsidR="003D41FA" w:rsidRPr="00991EB9">
        <w:rPr>
          <w:rFonts w:ascii="Book Antiqua" w:eastAsia="Malgun Gothic" w:hAnsi="Book Antiqua" w:cs="Arial"/>
          <w:sz w:val="24"/>
          <w:szCs w:val="24"/>
          <w:lang w:eastAsia="ko-KR"/>
        </w:rPr>
        <w:t>-</w:t>
      </w:r>
      <w:r w:rsidRPr="00991EB9">
        <w:rPr>
          <w:rFonts w:ascii="Book Antiqua" w:eastAsia="Malgun Gothic" w:hAnsi="Book Antiqua" w:cs="Arial"/>
          <w:sz w:val="24"/>
          <w:szCs w:val="24"/>
          <w:lang w:eastAsia="ko-KR"/>
        </w:rPr>
        <w:t xml:space="preserve">band imaging for the </w:t>
      </w:r>
      <w:r w:rsidR="00B32620" w:rsidRPr="00991EB9">
        <w:rPr>
          <w:rFonts w:ascii="Book Antiqua" w:eastAsia="Malgun Gothic" w:hAnsi="Book Antiqua" w:cs="Arial"/>
          <w:sz w:val="24"/>
          <w:szCs w:val="24"/>
          <w:lang w:eastAsia="ko-KR"/>
        </w:rPr>
        <w:t xml:space="preserve">diagnosis </w:t>
      </w:r>
      <w:r w:rsidRPr="00991EB9">
        <w:rPr>
          <w:rFonts w:ascii="Book Antiqua" w:eastAsia="Malgun Gothic" w:hAnsi="Book Antiqua" w:cs="Arial"/>
          <w:sz w:val="24"/>
          <w:szCs w:val="24"/>
          <w:lang w:eastAsia="ko-KR"/>
        </w:rPr>
        <w:t xml:space="preserve">of </w:t>
      </w:r>
      <w:r w:rsidR="00B32620" w:rsidRPr="00991EB9">
        <w:rPr>
          <w:rFonts w:ascii="Book Antiqua" w:eastAsia="Malgun Gothic" w:hAnsi="Book Antiqua" w:cs="Arial"/>
          <w:i/>
          <w:sz w:val="24"/>
          <w:szCs w:val="24"/>
          <w:lang w:eastAsia="ko-KR"/>
        </w:rPr>
        <w:t>Helicobacter pylori</w:t>
      </w:r>
      <w:r w:rsidR="00B32620" w:rsidRPr="00991EB9">
        <w:rPr>
          <w:rFonts w:ascii="Book Antiqua" w:eastAsia="Malgun Gothic" w:hAnsi="Book Antiqua" w:cs="Arial"/>
          <w:sz w:val="24"/>
          <w:szCs w:val="24"/>
          <w:lang w:eastAsia="ko-KR"/>
        </w:rPr>
        <w:t xml:space="preserve"> gastritis, </w:t>
      </w:r>
      <w:r w:rsidRPr="00991EB9">
        <w:rPr>
          <w:rFonts w:ascii="Book Antiqua" w:eastAsia="Malgun Gothic" w:hAnsi="Book Antiqua" w:cs="Arial"/>
          <w:sz w:val="24"/>
          <w:szCs w:val="24"/>
          <w:lang w:eastAsia="ko-KR"/>
        </w:rPr>
        <w:t>precancerous gastric lesion</w:t>
      </w:r>
      <w:r w:rsidR="00B32620" w:rsidRPr="00991EB9">
        <w:rPr>
          <w:rFonts w:ascii="Book Antiqua" w:eastAsia="Malgun Gothic" w:hAnsi="Book Antiqua" w:cs="Arial"/>
          <w:sz w:val="24"/>
          <w:szCs w:val="24"/>
          <w:lang w:eastAsia="ko-KR"/>
        </w:rPr>
        <w:t xml:space="preserve">, </w:t>
      </w:r>
      <w:r w:rsidR="009A3473">
        <w:rPr>
          <w:rFonts w:ascii="Book Antiqua" w:eastAsia="Malgun Gothic" w:hAnsi="Book Antiqua" w:cs="Arial"/>
          <w:sz w:val="24"/>
          <w:szCs w:val="24"/>
          <w:lang w:eastAsia="ko-KR"/>
        </w:rPr>
        <w:t>and neoplasia</w:t>
      </w:r>
    </w:p>
    <w:p w:rsidR="00415DE4" w:rsidRPr="00991EB9" w:rsidRDefault="00415DE4" w:rsidP="009A3473">
      <w:pPr>
        <w:pStyle w:val="af3"/>
        <w:snapToGrid w:val="0"/>
        <w:spacing w:before="0" w:after="0" w:line="360" w:lineRule="auto"/>
        <w:jc w:val="both"/>
        <w:rPr>
          <w:rFonts w:ascii="Book Antiqua" w:eastAsia="Malgun Gothic" w:hAnsi="Book Antiqua" w:cs="Arial"/>
          <w:sz w:val="24"/>
          <w:szCs w:val="24"/>
          <w:lang w:eastAsia="ko-KR"/>
        </w:rPr>
      </w:pPr>
    </w:p>
    <w:p w:rsidR="00A3633A" w:rsidRPr="00991EB9" w:rsidRDefault="00A55981" w:rsidP="009A3473">
      <w:pPr>
        <w:pStyle w:val="af4"/>
        <w:snapToGrid w:val="0"/>
        <w:spacing w:before="0" w:after="0" w:line="360" w:lineRule="auto"/>
        <w:jc w:val="both"/>
        <w:rPr>
          <w:rFonts w:ascii="Book Antiqua" w:eastAsia="Malgun Gothic" w:hAnsi="Book Antiqua" w:cs="Arial"/>
          <w:lang w:eastAsia="ko-KR"/>
        </w:rPr>
      </w:pPr>
      <w:r w:rsidRPr="00991EB9">
        <w:rPr>
          <w:rFonts w:ascii="Book Antiqua" w:eastAsia="HYSinMyeongJo-Medium" w:hAnsi="Book Antiqua"/>
        </w:rPr>
        <w:t>Cho JH</w:t>
      </w:r>
      <w:r w:rsidRPr="00991EB9">
        <w:rPr>
          <w:rFonts w:ascii="Book Antiqua" w:eastAsia="Malgun Gothic" w:hAnsi="Book Antiqua" w:cs="Arial"/>
          <w:lang w:eastAsia="ko-KR"/>
        </w:rPr>
        <w:t xml:space="preserve"> </w:t>
      </w:r>
      <w:r w:rsidRPr="00A55981">
        <w:rPr>
          <w:rFonts w:ascii="Book Antiqua" w:eastAsia="Malgun Gothic" w:hAnsi="Book Antiqua" w:cs="Arial"/>
          <w:i/>
          <w:lang w:eastAsia="ko-KR"/>
        </w:rPr>
        <w:t>et al</w:t>
      </w:r>
      <w:r>
        <w:rPr>
          <w:rFonts w:ascii="Book Antiqua" w:eastAsia="Malgun Gothic" w:hAnsi="Book Antiqua" w:cs="Arial"/>
          <w:lang w:eastAsia="ko-KR"/>
        </w:rPr>
        <w:t xml:space="preserve">. </w:t>
      </w:r>
      <w:r w:rsidR="00562630" w:rsidRPr="00991EB9">
        <w:rPr>
          <w:rFonts w:ascii="Book Antiqua" w:eastAsia="Malgun Gothic" w:hAnsi="Book Antiqua" w:cs="Arial"/>
          <w:lang w:eastAsia="ko-KR"/>
        </w:rPr>
        <w:t>Narrow-band imaging for gastric lesion</w:t>
      </w:r>
      <w:r w:rsidR="00812236" w:rsidRPr="00991EB9">
        <w:rPr>
          <w:rFonts w:ascii="Book Antiqua" w:eastAsia="Malgun Gothic" w:hAnsi="Book Antiqua" w:cs="Arial"/>
          <w:lang w:eastAsia="ko-KR"/>
        </w:rPr>
        <w:t>s</w:t>
      </w:r>
    </w:p>
    <w:p w:rsidR="00415DE4" w:rsidRPr="00991EB9" w:rsidRDefault="00415DE4" w:rsidP="009A3473">
      <w:pPr>
        <w:pStyle w:val="af4"/>
        <w:snapToGrid w:val="0"/>
        <w:spacing w:before="0" w:after="0" w:line="360" w:lineRule="auto"/>
        <w:jc w:val="both"/>
        <w:rPr>
          <w:rFonts w:ascii="Book Antiqua" w:eastAsia="Malgun Gothic" w:hAnsi="Book Antiqua" w:cs="Arial"/>
          <w:lang w:eastAsia="ko-KR"/>
        </w:rPr>
      </w:pPr>
    </w:p>
    <w:p w:rsidR="00ED3C11" w:rsidRPr="00991EB9" w:rsidRDefault="00747D7D" w:rsidP="009A3473">
      <w:pPr>
        <w:wordWrap/>
        <w:snapToGrid w:val="0"/>
        <w:spacing w:line="360" w:lineRule="auto"/>
        <w:rPr>
          <w:rFonts w:ascii="Book Antiqua" w:hAnsi="Book Antiqua" w:cs="Arial"/>
          <w:sz w:val="24"/>
          <w:szCs w:val="24"/>
        </w:rPr>
      </w:pPr>
      <w:r w:rsidRPr="00991EB9">
        <w:rPr>
          <w:rFonts w:ascii="Book Antiqua" w:hAnsi="Book Antiqua" w:cs="Arial"/>
          <w:sz w:val="24"/>
          <w:szCs w:val="24"/>
        </w:rPr>
        <w:t xml:space="preserve">Jun-Hyung Cho, Seong Ran Jeon, </w:t>
      </w:r>
      <w:r w:rsidR="00ED3C11" w:rsidRPr="00991EB9">
        <w:rPr>
          <w:rFonts w:ascii="Book Antiqua" w:hAnsi="Book Antiqua" w:cs="Arial"/>
          <w:sz w:val="24"/>
          <w:szCs w:val="24"/>
        </w:rPr>
        <w:t>So-Young Jin</w:t>
      </w:r>
    </w:p>
    <w:p w:rsidR="00415DE4" w:rsidRPr="00991EB9" w:rsidRDefault="00415DE4" w:rsidP="009A3473">
      <w:pPr>
        <w:wordWrap/>
        <w:snapToGrid w:val="0"/>
        <w:spacing w:line="360" w:lineRule="auto"/>
        <w:rPr>
          <w:rFonts w:ascii="Book Antiqua" w:hAnsi="Book Antiqua" w:cs="Arial"/>
          <w:sz w:val="24"/>
          <w:szCs w:val="24"/>
          <w:vertAlign w:val="superscript"/>
        </w:rPr>
      </w:pPr>
    </w:p>
    <w:p w:rsidR="00ED3C11" w:rsidRPr="00991EB9" w:rsidRDefault="00415DE4" w:rsidP="009A3473">
      <w:pPr>
        <w:wordWrap/>
        <w:snapToGrid w:val="0"/>
        <w:spacing w:line="360" w:lineRule="auto"/>
        <w:rPr>
          <w:rFonts w:ascii="Book Antiqua" w:hAnsi="Book Antiqua" w:cs="Arial"/>
          <w:sz w:val="24"/>
          <w:szCs w:val="24"/>
        </w:rPr>
      </w:pPr>
      <w:r w:rsidRPr="00991EB9">
        <w:rPr>
          <w:rFonts w:ascii="Book Antiqua" w:hAnsi="Book Antiqua" w:cs="Arial"/>
          <w:b/>
          <w:sz w:val="24"/>
          <w:szCs w:val="24"/>
        </w:rPr>
        <w:t>Jun-Hyung Cho, Seong Ran Jeon,</w:t>
      </w:r>
      <w:r w:rsidRPr="00991EB9">
        <w:rPr>
          <w:rFonts w:ascii="Book Antiqua" w:hAnsi="Book Antiqua" w:cs="Arial"/>
          <w:sz w:val="24"/>
          <w:szCs w:val="24"/>
        </w:rPr>
        <w:t xml:space="preserve"> </w:t>
      </w:r>
      <w:r w:rsidR="00ED3C11" w:rsidRPr="00991EB9">
        <w:rPr>
          <w:rFonts w:ascii="Book Antiqua" w:hAnsi="Book Antiqua" w:cs="Arial"/>
          <w:sz w:val="24"/>
          <w:szCs w:val="24"/>
        </w:rPr>
        <w:t>Digestive Disease Center, Soonchunhyang Un</w:t>
      </w:r>
      <w:r w:rsidRPr="00991EB9">
        <w:rPr>
          <w:rFonts w:ascii="Book Antiqua" w:hAnsi="Book Antiqua" w:cs="Arial"/>
          <w:sz w:val="24"/>
          <w:szCs w:val="24"/>
        </w:rPr>
        <w:t>iversity Hospital, Seoul</w:t>
      </w:r>
      <w:r w:rsidR="00286B31" w:rsidRPr="00991EB9">
        <w:rPr>
          <w:rFonts w:ascii="Book Antiqua" w:hAnsi="Book Antiqua" w:cs="Arial"/>
          <w:sz w:val="24"/>
          <w:szCs w:val="24"/>
        </w:rPr>
        <w:t xml:space="preserve"> 04401</w:t>
      </w:r>
      <w:r w:rsidRPr="00991EB9">
        <w:rPr>
          <w:rFonts w:ascii="Book Antiqua" w:hAnsi="Book Antiqua" w:cs="Arial"/>
          <w:sz w:val="24"/>
          <w:szCs w:val="24"/>
        </w:rPr>
        <w:t>, South Korea</w:t>
      </w:r>
    </w:p>
    <w:p w:rsidR="00415DE4" w:rsidRPr="00991EB9" w:rsidRDefault="00415DE4" w:rsidP="009A3473">
      <w:pPr>
        <w:wordWrap/>
        <w:snapToGrid w:val="0"/>
        <w:spacing w:line="360" w:lineRule="auto"/>
        <w:rPr>
          <w:rFonts w:ascii="Book Antiqua" w:hAnsi="Book Antiqua" w:cs="Arial"/>
          <w:sz w:val="24"/>
          <w:szCs w:val="24"/>
          <w:vertAlign w:val="superscript"/>
        </w:rPr>
      </w:pPr>
    </w:p>
    <w:p w:rsidR="00ED3C11" w:rsidRPr="00991EB9" w:rsidRDefault="00415DE4" w:rsidP="009A3473">
      <w:pPr>
        <w:wordWrap/>
        <w:snapToGrid w:val="0"/>
        <w:spacing w:line="360" w:lineRule="auto"/>
        <w:rPr>
          <w:rFonts w:ascii="Book Antiqua" w:hAnsi="Book Antiqua" w:cs="Arial"/>
          <w:sz w:val="24"/>
          <w:szCs w:val="24"/>
        </w:rPr>
      </w:pPr>
      <w:r w:rsidRPr="00991EB9">
        <w:rPr>
          <w:rFonts w:ascii="Book Antiqua" w:hAnsi="Book Antiqua" w:cs="Arial"/>
          <w:b/>
          <w:sz w:val="24"/>
          <w:szCs w:val="24"/>
        </w:rPr>
        <w:t>So-Young Jin,</w:t>
      </w:r>
      <w:r w:rsidRPr="00991EB9">
        <w:rPr>
          <w:rFonts w:ascii="Book Antiqua" w:hAnsi="Book Antiqua" w:cs="Arial"/>
          <w:sz w:val="24"/>
          <w:szCs w:val="24"/>
          <w:vertAlign w:val="superscript"/>
        </w:rPr>
        <w:t xml:space="preserve"> </w:t>
      </w:r>
      <w:r w:rsidR="00ED3C11" w:rsidRPr="00991EB9">
        <w:rPr>
          <w:rFonts w:ascii="Book Antiqua" w:hAnsi="Book Antiqua" w:cs="Arial"/>
          <w:sz w:val="24"/>
          <w:szCs w:val="24"/>
        </w:rPr>
        <w:t>Department of Pathology, Soonchunhyang University Hospital, Seoul</w:t>
      </w:r>
      <w:r w:rsidR="00EA38AC" w:rsidRPr="00991EB9">
        <w:rPr>
          <w:rFonts w:ascii="Book Antiqua" w:hAnsi="Book Antiqua" w:cs="Arial"/>
          <w:sz w:val="24"/>
          <w:szCs w:val="24"/>
        </w:rPr>
        <w:t xml:space="preserve"> 04401</w:t>
      </w:r>
      <w:r w:rsidR="00ED3C11" w:rsidRPr="00991EB9">
        <w:rPr>
          <w:rFonts w:ascii="Book Antiqua" w:hAnsi="Book Antiqua" w:cs="Arial"/>
          <w:sz w:val="24"/>
          <w:szCs w:val="24"/>
        </w:rPr>
        <w:t xml:space="preserve">, </w:t>
      </w:r>
      <w:r w:rsidRPr="00991EB9">
        <w:rPr>
          <w:rFonts w:ascii="Book Antiqua" w:hAnsi="Book Antiqua" w:cs="Arial"/>
          <w:sz w:val="24"/>
          <w:szCs w:val="24"/>
        </w:rPr>
        <w:t>South Korea</w:t>
      </w:r>
    </w:p>
    <w:p w:rsidR="00A3633A" w:rsidRPr="00991EB9" w:rsidRDefault="00A3633A" w:rsidP="009A3473">
      <w:pPr>
        <w:wordWrap/>
        <w:snapToGrid w:val="0"/>
        <w:spacing w:line="360" w:lineRule="auto"/>
        <w:rPr>
          <w:rFonts w:ascii="Book Antiqua" w:hAnsi="Book Antiqua" w:cs="Arial"/>
          <w:sz w:val="24"/>
          <w:szCs w:val="24"/>
        </w:rPr>
      </w:pPr>
    </w:p>
    <w:p w:rsidR="00415DE4" w:rsidRPr="00991EB9" w:rsidRDefault="00415DE4"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b/>
          <w:sz w:val="24"/>
          <w:szCs w:val="24"/>
        </w:rPr>
        <w:t xml:space="preserve">Author </w:t>
      </w:r>
      <w:r w:rsidR="008046FF" w:rsidRPr="00991EB9">
        <w:rPr>
          <w:rFonts w:ascii="Book Antiqua" w:eastAsia="HYSinMyeongJo-Medium" w:hAnsi="Book Antiqua" w:cs="Arial"/>
          <w:b/>
          <w:sz w:val="24"/>
          <w:szCs w:val="24"/>
        </w:rPr>
        <w:t>c</w:t>
      </w:r>
      <w:r w:rsidR="003C2233" w:rsidRPr="00991EB9">
        <w:rPr>
          <w:rFonts w:ascii="Book Antiqua" w:eastAsia="HYSinMyeongJo-Medium" w:hAnsi="Book Antiqua" w:cs="Arial"/>
          <w:b/>
          <w:sz w:val="24"/>
          <w:szCs w:val="24"/>
        </w:rPr>
        <w:t xml:space="preserve">ontributions: </w:t>
      </w:r>
      <w:r w:rsidRPr="00991EB9">
        <w:rPr>
          <w:rFonts w:ascii="Book Antiqua" w:eastAsia="HYSinMyeongJo-Medium" w:hAnsi="Book Antiqua"/>
          <w:sz w:val="24"/>
          <w:szCs w:val="24"/>
        </w:rPr>
        <w:t>Cho</w:t>
      </w:r>
      <w:r w:rsidR="008046FF" w:rsidRPr="00991EB9">
        <w:rPr>
          <w:rFonts w:ascii="Book Antiqua" w:eastAsia="HYSinMyeongJo-Medium" w:hAnsi="Book Antiqua"/>
          <w:sz w:val="24"/>
          <w:szCs w:val="24"/>
        </w:rPr>
        <w:t xml:space="preserve"> JH</w:t>
      </w:r>
      <w:r w:rsidRPr="00991EB9">
        <w:rPr>
          <w:rFonts w:ascii="Book Antiqua" w:eastAsia="HYSinMyeongJo-Medium" w:hAnsi="Book Antiqua"/>
          <w:sz w:val="24"/>
          <w:szCs w:val="24"/>
        </w:rPr>
        <w:t xml:space="preserve"> designed research</w:t>
      </w:r>
      <w:r w:rsidR="008C235D" w:rsidRPr="00991EB9">
        <w:rPr>
          <w:rFonts w:ascii="Book Antiqua" w:eastAsia="HYSinMyeongJo-Medium" w:hAnsi="Book Antiqua"/>
          <w:sz w:val="24"/>
          <w:szCs w:val="24"/>
        </w:rPr>
        <w:t xml:space="preserve"> and wrote the paper</w:t>
      </w:r>
      <w:r w:rsidRPr="00991EB9">
        <w:rPr>
          <w:rFonts w:ascii="Book Antiqua" w:eastAsia="HYSinMyeongJo-Medium" w:hAnsi="Book Antiqua"/>
          <w:sz w:val="24"/>
          <w:szCs w:val="24"/>
        </w:rPr>
        <w:t xml:space="preserve">; </w:t>
      </w:r>
      <w:r w:rsidR="008046FF" w:rsidRPr="00991EB9">
        <w:rPr>
          <w:rFonts w:ascii="Book Antiqua" w:eastAsia="HYSinMyeongJo-Medium" w:hAnsi="Book Antiqua"/>
          <w:sz w:val="24"/>
          <w:szCs w:val="24"/>
        </w:rPr>
        <w:t>Cho JH</w:t>
      </w:r>
      <w:r w:rsidRPr="00991EB9">
        <w:rPr>
          <w:rFonts w:ascii="Book Antiqua" w:eastAsia="HYSinMyeongJo-Medium" w:hAnsi="Book Antiqua"/>
          <w:sz w:val="24"/>
          <w:szCs w:val="24"/>
        </w:rPr>
        <w:t xml:space="preserve">, Jeon </w:t>
      </w:r>
      <w:r w:rsidR="008046FF" w:rsidRPr="00991EB9">
        <w:rPr>
          <w:rFonts w:ascii="Book Antiqua" w:eastAsia="HYSinMyeongJo-Medium" w:hAnsi="Book Antiqua"/>
          <w:sz w:val="24"/>
          <w:szCs w:val="24"/>
        </w:rPr>
        <w:t xml:space="preserve">SR </w:t>
      </w:r>
      <w:r w:rsidRPr="00991EB9">
        <w:rPr>
          <w:rFonts w:ascii="Book Antiqua" w:eastAsia="HYSinMyeongJo-Medium" w:hAnsi="Book Antiqua"/>
          <w:sz w:val="24"/>
          <w:szCs w:val="24"/>
        </w:rPr>
        <w:t xml:space="preserve">and </w:t>
      </w:r>
      <w:r w:rsidR="008046FF" w:rsidRPr="00991EB9">
        <w:rPr>
          <w:rFonts w:ascii="Book Antiqua" w:eastAsia="HYSinMyeongJo-Medium" w:hAnsi="Book Antiqua"/>
          <w:sz w:val="24"/>
          <w:szCs w:val="24"/>
        </w:rPr>
        <w:t>Jin S</w:t>
      </w:r>
      <w:r w:rsidRPr="00991EB9">
        <w:rPr>
          <w:rFonts w:ascii="Book Antiqua" w:eastAsia="HYSinMyeongJo-Medium" w:hAnsi="Book Antiqua"/>
          <w:sz w:val="24"/>
          <w:szCs w:val="24"/>
        </w:rPr>
        <w:t>Y</w:t>
      </w:r>
      <w:r w:rsidR="008046FF" w:rsidRPr="00991EB9">
        <w:rPr>
          <w:rFonts w:ascii="Book Antiqua" w:eastAsia="HYSinMyeongJo-Medium" w:hAnsi="Book Antiqua"/>
          <w:sz w:val="24"/>
          <w:szCs w:val="24"/>
        </w:rPr>
        <w:t xml:space="preserve"> </w:t>
      </w:r>
      <w:r w:rsidRPr="00991EB9">
        <w:rPr>
          <w:rFonts w:ascii="Book Antiqua" w:eastAsia="HYSinMyeongJo-Medium" w:hAnsi="Book Antiqua"/>
          <w:sz w:val="24"/>
          <w:szCs w:val="24"/>
        </w:rPr>
        <w:t>performed research;</w:t>
      </w:r>
      <w:r w:rsidR="0094748D" w:rsidRPr="00991EB9">
        <w:rPr>
          <w:rFonts w:ascii="Book Antiqua" w:eastAsia="HYSinMyeongJo-Medium" w:hAnsi="Book Antiqua"/>
          <w:sz w:val="24"/>
          <w:szCs w:val="24"/>
        </w:rPr>
        <w:t xml:space="preserve"> </w:t>
      </w:r>
      <w:r w:rsidR="00F009A3" w:rsidRPr="00991EB9">
        <w:rPr>
          <w:rFonts w:ascii="Book Antiqua" w:eastAsia="HYSinMyeongJo-Medium" w:hAnsi="Book Antiqua"/>
          <w:sz w:val="24"/>
          <w:szCs w:val="24"/>
        </w:rPr>
        <w:t>Cho JH and Jeon SR</w:t>
      </w:r>
      <w:r w:rsidRPr="00991EB9">
        <w:rPr>
          <w:rFonts w:ascii="Book Antiqua" w:eastAsia="HYSinMyeongJo-Medium" w:hAnsi="Book Antiqua"/>
          <w:sz w:val="24"/>
          <w:szCs w:val="24"/>
        </w:rPr>
        <w:t xml:space="preserve"> performed literature review; </w:t>
      </w:r>
      <w:r w:rsidR="008C235D" w:rsidRPr="00991EB9">
        <w:rPr>
          <w:rFonts w:ascii="Book Antiqua" w:eastAsia="HYSinMyeongJo-Medium" w:hAnsi="Book Antiqua"/>
          <w:sz w:val="24"/>
          <w:szCs w:val="24"/>
        </w:rPr>
        <w:t>Cho JH</w:t>
      </w:r>
      <w:r w:rsidRPr="00991EB9">
        <w:rPr>
          <w:rFonts w:ascii="Book Antiqua" w:eastAsia="HYSinMyeongJo-Medium" w:hAnsi="Book Antiqua"/>
          <w:sz w:val="24"/>
          <w:szCs w:val="24"/>
        </w:rPr>
        <w:t xml:space="preserve"> and </w:t>
      </w:r>
      <w:r w:rsidR="008C235D" w:rsidRPr="00991EB9">
        <w:rPr>
          <w:rFonts w:ascii="Book Antiqua" w:eastAsia="HYSinMyeongJo-Medium" w:hAnsi="Book Antiqua"/>
          <w:sz w:val="24"/>
          <w:szCs w:val="24"/>
        </w:rPr>
        <w:t xml:space="preserve">Jin SY </w:t>
      </w:r>
      <w:r w:rsidRPr="00991EB9">
        <w:rPr>
          <w:rFonts w:ascii="Book Antiqua" w:eastAsia="HYSinMyeongJo-Medium" w:hAnsi="Book Antiqua"/>
          <w:sz w:val="24"/>
          <w:szCs w:val="24"/>
        </w:rPr>
        <w:t>analyzed data;</w:t>
      </w:r>
      <w:r w:rsidR="00C10862" w:rsidRPr="00991EB9">
        <w:rPr>
          <w:rFonts w:ascii="Book Antiqua" w:eastAsia="HYSinMyeongJo-Medium" w:hAnsi="Book Antiqua"/>
          <w:sz w:val="24"/>
          <w:szCs w:val="24"/>
        </w:rPr>
        <w:t xml:space="preserve"> Cho JH, Jeon SR and Jin SY</w:t>
      </w:r>
      <w:r w:rsidRPr="00991EB9">
        <w:rPr>
          <w:rFonts w:ascii="Book Antiqua" w:eastAsia="HYSinMyeongJo-Medium" w:hAnsi="Book Antiqua"/>
          <w:sz w:val="24"/>
          <w:szCs w:val="24"/>
        </w:rPr>
        <w:t xml:space="preserve"> contributed critical revision and editing.</w:t>
      </w:r>
    </w:p>
    <w:p w:rsidR="00415DE4" w:rsidRPr="00991EB9" w:rsidRDefault="00415DE4" w:rsidP="009A3473">
      <w:pPr>
        <w:pStyle w:val="af5"/>
        <w:wordWrap/>
        <w:snapToGrid w:val="0"/>
        <w:spacing w:after="0" w:line="360" w:lineRule="auto"/>
        <w:ind w:firstLineChars="0" w:firstLine="0"/>
        <w:rPr>
          <w:rFonts w:ascii="Book Antiqua" w:hAnsi="Book Antiqua"/>
          <w:sz w:val="24"/>
          <w:szCs w:val="24"/>
        </w:rPr>
      </w:pPr>
    </w:p>
    <w:p w:rsidR="00415DE4" w:rsidRPr="00991EB9" w:rsidRDefault="00415DE4" w:rsidP="009A3473">
      <w:pPr>
        <w:wordWrap/>
        <w:snapToGrid w:val="0"/>
        <w:spacing w:line="360" w:lineRule="auto"/>
        <w:rPr>
          <w:rFonts w:ascii="Book Antiqua" w:eastAsia="HYSinMyeongJo-Medium" w:hAnsi="Book Antiqua"/>
          <w:sz w:val="24"/>
          <w:szCs w:val="24"/>
        </w:rPr>
      </w:pPr>
      <w:r w:rsidRPr="00991EB9">
        <w:rPr>
          <w:rFonts w:ascii="Book Antiqua" w:eastAsia="HYSinMyeongJo-Medium" w:hAnsi="Book Antiqua"/>
          <w:b/>
          <w:caps/>
          <w:sz w:val="24"/>
          <w:szCs w:val="24"/>
        </w:rPr>
        <w:t>s</w:t>
      </w:r>
      <w:r w:rsidRPr="00991EB9">
        <w:rPr>
          <w:rFonts w:ascii="Book Antiqua" w:eastAsia="HYSinMyeongJo-Medium" w:hAnsi="Book Antiqua"/>
          <w:b/>
          <w:sz w:val="24"/>
          <w:szCs w:val="24"/>
        </w:rPr>
        <w:t>upported by</w:t>
      </w:r>
      <w:r w:rsidRPr="00991EB9">
        <w:rPr>
          <w:rFonts w:ascii="Book Antiqua" w:eastAsia="HYSinMyeongJo-Medium" w:hAnsi="Book Antiqua"/>
          <w:sz w:val="24"/>
          <w:szCs w:val="24"/>
        </w:rPr>
        <w:t xml:space="preserve"> the Soonchunhyang University Research Fund</w:t>
      </w:r>
      <w:r w:rsidR="00E26F22" w:rsidRPr="00991EB9">
        <w:rPr>
          <w:rFonts w:ascii="Book Antiqua" w:eastAsia="HYSinMyeongJo-Medium" w:hAnsi="Book Antiqua"/>
          <w:sz w:val="24"/>
          <w:szCs w:val="24"/>
        </w:rPr>
        <w:t xml:space="preserve">, </w:t>
      </w:r>
      <w:r w:rsidRPr="00991EB9">
        <w:rPr>
          <w:rFonts w:ascii="Book Antiqua" w:eastAsia="HYSinMyeongJo-Medium" w:hAnsi="Book Antiqua"/>
          <w:sz w:val="24"/>
          <w:szCs w:val="24"/>
        </w:rPr>
        <w:t>No.</w:t>
      </w:r>
      <w:r w:rsidR="00E26F22" w:rsidRPr="00991EB9">
        <w:rPr>
          <w:rFonts w:ascii="Book Antiqua" w:eastAsia="HYSinMyeongJo-Medium" w:hAnsi="Book Antiqua"/>
          <w:sz w:val="24"/>
          <w:szCs w:val="24"/>
        </w:rPr>
        <w:t xml:space="preserve"> </w:t>
      </w:r>
      <w:r w:rsidRPr="00991EB9">
        <w:rPr>
          <w:rFonts w:ascii="Book Antiqua" w:eastAsia="HYSinMyeongJo-Medium" w:hAnsi="Book Antiqua"/>
          <w:sz w:val="24"/>
          <w:szCs w:val="24"/>
        </w:rPr>
        <w:t xml:space="preserve">20200004. </w:t>
      </w:r>
    </w:p>
    <w:p w:rsidR="00A3633A" w:rsidRPr="00991EB9" w:rsidRDefault="00A3633A" w:rsidP="009A3473">
      <w:pPr>
        <w:wordWrap/>
        <w:snapToGrid w:val="0"/>
        <w:spacing w:line="360" w:lineRule="auto"/>
        <w:rPr>
          <w:rFonts w:ascii="Book Antiqua" w:hAnsi="Book Antiqua" w:cs="Arial"/>
          <w:sz w:val="24"/>
          <w:szCs w:val="24"/>
        </w:rPr>
      </w:pPr>
    </w:p>
    <w:p w:rsidR="00A3633A" w:rsidRPr="00991EB9" w:rsidRDefault="00CE5D08" w:rsidP="009A3473">
      <w:pPr>
        <w:wordWrap/>
        <w:snapToGrid w:val="0"/>
        <w:spacing w:line="360" w:lineRule="auto"/>
        <w:rPr>
          <w:rFonts w:ascii="Book Antiqua" w:hAnsi="Book Antiqua" w:cs="Arial"/>
          <w:sz w:val="24"/>
          <w:szCs w:val="24"/>
        </w:rPr>
      </w:pPr>
      <w:r w:rsidRPr="00991EB9">
        <w:rPr>
          <w:rFonts w:ascii="Book Antiqua" w:hAnsi="Book Antiqua" w:cs="Arial"/>
          <w:b/>
          <w:sz w:val="24"/>
          <w:szCs w:val="24"/>
        </w:rPr>
        <w:t>Corresponding author:</w:t>
      </w:r>
      <w:r w:rsidR="00A3633A" w:rsidRPr="00991EB9">
        <w:rPr>
          <w:rFonts w:ascii="Book Antiqua" w:hAnsi="Book Antiqua" w:cs="Arial"/>
          <w:sz w:val="24"/>
          <w:szCs w:val="24"/>
        </w:rPr>
        <w:t xml:space="preserve"> </w:t>
      </w:r>
      <w:bookmarkStart w:id="36" w:name="OLE_LINK31"/>
      <w:bookmarkStart w:id="37" w:name="OLE_LINK32"/>
      <w:r w:rsidR="00286B31" w:rsidRPr="00991EB9">
        <w:rPr>
          <w:rFonts w:ascii="Book Antiqua" w:hAnsi="Book Antiqua" w:cs="Arial"/>
          <w:b/>
          <w:sz w:val="24"/>
          <w:szCs w:val="24"/>
        </w:rPr>
        <w:t xml:space="preserve">Jun-Hyung Cho, </w:t>
      </w:r>
      <w:r w:rsidRPr="00991EB9">
        <w:rPr>
          <w:rFonts w:ascii="Book Antiqua" w:hAnsi="Book Antiqua" w:cs="Arial"/>
          <w:b/>
          <w:sz w:val="24"/>
          <w:szCs w:val="24"/>
        </w:rPr>
        <w:t>MD, PhD, Associate Professor,</w:t>
      </w:r>
      <w:r w:rsidR="00286B31" w:rsidRPr="00991EB9">
        <w:rPr>
          <w:rFonts w:ascii="Book Antiqua" w:hAnsi="Book Antiqua" w:cs="Arial"/>
          <w:b/>
          <w:sz w:val="24"/>
          <w:szCs w:val="24"/>
        </w:rPr>
        <w:t xml:space="preserve"> </w:t>
      </w:r>
      <w:r w:rsidR="00A3633A" w:rsidRPr="00991EB9">
        <w:rPr>
          <w:rFonts w:ascii="Book Antiqua" w:hAnsi="Book Antiqua" w:cs="Arial"/>
          <w:sz w:val="24"/>
          <w:szCs w:val="24"/>
        </w:rPr>
        <w:t>Digestive Disease Center, Soonchunhyang University Hospital,</w:t>
      </w:r>
      <w:r w:rsidR="00977817" w:rsidRPr="00991EB9">
        <w:rPr>
          <w:rFonts w:ascii="Book Antiqua" w:hAnsi="Book Antiqua" w:cs="Arial"/>
          <w:sz w:val="24"/>
          <w:szCs w:val="24"/>
        </w:rPr>
        <w:t xml:space="preserve"> No. </w:t>
      </w:r>
      <w:r w:rsidR="00A3633A" w:rsidRPr="00991EB9">
        <w:rPr>
          <w:rFonts w:ascii="Book Antiqua" w:hAnsi="Book Antiqua" w:cs="Arial"/>
          <w:sz w:val="24"/>
          <w:szCs w:val="24"/>
        </w:rPr>
        <w:t>59, Daesagwan-ro, Yongsan-gu, Seoul</w:t>
      </w:r>
      <w:r w:rsidR="00286B31" w:rsidRPr="00991EB9">
        <w:rPr>
          <w:rFonts w:ascii="Book Antiqua" w:hAnsi="Book Antiqua" w:cs="Arial"/>
          <w:sz w:val="24"/>
          <w:szCs w:val="24"/>
        </w:rPr>
        <w:t xml:space="preserve"> </w:t>
      </w:r>
      <w:r w:rsidR="00A3633A" w:rsidRPr="00991EB9">
        <w:rPr>
          <w:rFonts w:ascii="Book Antiqua" w:hAnsi="Book Antiqua" w:cs="Arial"/>
          <w:sz w:val="24"/>
          <w:szCs w:val="24"/>
        </w:rPr>
        <w:t xml:space="preserve">04401, </w:t>
      </w:r>
      <w:r w:rsidR="00286B31" w:rsidRPr="00991EB9">
        <w:rPr>
          <w:rFonts w:ascii="Book Antiqua" w:hAnsi="Book Antiqua" w:cs="Arial"/>
          <w:sz w:val="24"/>
          <w:szCs w:val="24"/>
        </w:rPr>
        <w:t xml:space="preserve">South </w:t>
      </w:r>
      <w:r w:rsidR="00A3633A" w:rsidRPr="00991EB9">
        <w:rPr>
          <w:rFonts w:ascii="Book Antiqua" w:hAnsi="Book Antiqua" w:cs="Arial"/>
          <w:sz w:val="24"/>
          <w:szCs w:val="24"/>
        </w:rPr>
        <w:t>Korea.</w:t>
      </w:r>
      <w:r w:rsidR="00286B31" w:rsidRPr="00991EB9">
        <w:rPr>
          <w:rFonts w:ascii="Book Antiqua" w:eastAsia="宋体" w:hAnsi="Book Antiqua" w:cs="Arial" w:hint="eastAsia"/>
          <w:sz w:val="24"/>
          <w:szCs w:val="24"/>
          <w:lang w:eastAsia="zh-CN"/>
        </w:rPr>
        <w:t xml:space="preserve"> </w:t>
      </w:r>
      <w:r w:rsidR="00A3633A" w:rsidRPr="00991EB9">
        <w:rPr>
          <w:rFonts w:ascii="Book Antiqua" w:hAnsi="Book Antiqua" w:cs="Arial"/>
          <w:sz w:val="24"/>
          <w:szCs w:val="24"/>
        </w:rPr>
        <w:t>chojhmd@naver.com</w:t>
      </w:r>
    </w:p>
    <w:bookmarkEnd w:id="36"/>
    <w:bookmarkEnd w:id="37"/>
    <w:p w:rsidR="00A3633A" w:rsidRPr="00991EB9" w:rsidRDefault="00A3633A" w:rsidP="009A3473">
      <w:pPr>
        <w:pStyle w:val="a4"/>
        <w:spacing w:line="360" w:lineRule="auto"/>
        <w:rPr>
          <w:rFonts w:ascii="Book Antiqua" w:eastAsia="Gulim" w:hAnsi="Book Antiqua" w:cs="Arial"/>
          <w:strike/>
          <w:color w:val="auto"/>
          <w:sz w:val="24"/>
          <w:szCs w:val="24"/>
        </w:rPr>
      </w:pPr>
    </w:p>
    <w:p w:rsidR="0069088E" w:rsidRPr="0069088E" w:rsidRDefault="0069088E" w:rsidP="009A3473">
      <w:pPr>
        <w:widowControl/>
        <w:wordWrap/>
        <w:autoSpaceDE/>
        <w:autoSpaceDN/>
        <w:snapToGrid w:val="0"/>
        <w:spacing w:line="360" w:lineRule="auto"/>
        <w:rPr>
          <w:rFonts w:ascii="Book Antiqua" w:eastAsia="宋体" w:hAnsi="Book Antiqua"/>
          <w:b/>
          <w:kern w:val="0"/>
          <w:sz w:val="24"/>
          <w:szCs w:val="24"/>
          <w:lang w:eastAsia="zh-CN"/>
        </w:rPr>
      </w:pPr>
      <w:r w:rsidRPr="0069088E">
        <w:rPr>
          <w:rFonts w:ascii="Book Antiqua" w:eastAsia="宋体" w:hAnsi="Book Antiqua"/>
          <w:b/>
          <w:kern w:val="0"/>
          <w:sz w:val="24"/>
          <w:szCs w:val="24"/>
          <w:lang w:eastAsia="zh-CN"/>
        </w:rPr>
        <w:t xml:space="preserve">Received: </w:t>
      </w:r>
      <w:r w:rsidR="00393138" w:rsidRPr="00991EB9">
        <w:rPr>
          <w:rFonts w:ascii="Book Antiqua" w:eastAsia="宋体" w:hAnsi="Book Antiqua"/>
          <w:kern w:val="0"/>
          <w:sz w:val="24"/>
          <w:szCs w:val="24"/>
          <w:lang w:eastAsia="zh-CN"/>
        </w:rPr>
        <w:t>March</w:t>
      </w:r>
      <w:r w:rsidRPr="0069088E">
        <w:rPr>
          <w:rFonts w:ascii="Book Antiqua" w:eastAsia="宋体" w:hAnsi="Book Antiqua"/>
          <w:kern w:val="0"/>
          <w:sz w:val="24"/>
          <w:szCs w:val="24"/>
          <w:lang w:eastAsia="zh-CN"/>
        </w:rPr>
        <w:t xml:space="preserve"> 2</w:t>
      </w:r>
      <w:r w:rsidR="00393138" w:rsidRPr="00991EB9">
        <w:rPr>
          <w:rFonts w:ascii="Book Antiqua" w:eastAsia="宋体" w:hAnsi="Book Antiqua"/>
          <w:kern w:val="0"/>
          <w:sz w:val="24"/>
          <w:szCs w:val="24"/>
          <w:lang w:eastAsia="zh-CN"/>
        </w:rPr>
        <w:t>8</w:t>
      </w:r>
      <w:r w:rsidRPr="0069088E">
        <w:rPr>
          <w:rFonts w:ascii="Book Antiqua" w:eastAsia="宋体" w:hAnsi="Book Antiqua"/>
          <w:kern w:val="0"/>
          <w:sz w:val="24"/>
          <w:szCs w:val="24"/>
          <w:lang w:eastAsia="zh-CN"/>
        </w:rPr>
        <w:t>, 2020</w:t>
      </w:r>
    </w:p>
    <w:p w:rsidR="0069088E" w:rsidRPr="0069088E" w:rsidRDefault="0069088E" w:rsidP="009A3473">
      <w:pPr>
        <w:widowControl/>
        <w:wordWrap/>
        <w:autoSpaceDE/>
        <w:autoSpaceDN/>
        <w:snapToGrid w:val="0"/>
        <w:spacing w:line="360" w:lineRule="auto"/>
        <w:rPr>
          <w:rFonts w:ascii="Book Antiqua" w:eastAsia="宋体" w:hAnsi="Book Antiqua"/>
          <w:b/>
          <w:kern w:val="0"/>
          <w:sz w:val="24"/>
          <w:szCs w:val="24"/>
          <w:lang w:eastAsia="zh-CN"/>
        </w:rPr>
      </w:pPr>
      <w:r w:rsidRPr="0069088E">
        <w:rPr>
          <w:rFonts w:ascii="Book Antiqua" w:eastAsia="宋体" w:hAnsi="Book Antiqua"/>
          <w:b/>
          <w:kern w:val="0"/>
          <w:sz w:val="24"/>
          <w:szCs w:val="24"/>
          <w:lang w:eastAsia="zh-CN"/>
        </w:rPr>
        <w:t xml:space="preserve">Revised: </w:t>
      </w:r>
      <w:r w:rsidR="00393138" w:rsidRPr="00991EB9">
        <w:rPr>
          <w:rFonts w:ascii="Book Antiqua" w:eastAsia="宋体" w:hAnsi="Book Antiqua"/>
          <w:kern w:val="0"/>
          <w:sz w:val="24"/>
          <w:szCs w:val="24"/>
          <w:lang w:eastAsia="zh-CN"/>
        </w:rPr>
        <w:t>May 1</w:t>
      </w:r>
      <w:r w:rsidRPr="0069088E">
        <w:rPr>
          <w:rFonts w:ascii="Book Antiqua" w:eastAsia="宋体" w:hAnsi="Book Antiqua"/>
          <w:kern w:val="0"/>
          <w:sz w:val="24"/>
          <w:szCs w:val="24"/>
          <w:lang w:eastAsia="zh-CN"/>
        </w:rPr>
        <w:t>, 2020</w:t>
      </w:r>
    </w:p>
    <w:p w:rsidR="0069088E" w:rsidRPr="0069088E" w:rsidRDefault="0069088E" w:rsidP="009A3473">
      <w:pPr>
        <w:widowControl/>
        <w:wordWrap/>
        <w:autoSpaceDE/>
        <w:autoSpaceDN/>
        <w:snapToGrid w:val="0"/>
        <w:spacing w:line="360" w:lineRule="auto"/>
        <w:rPr>
          <w:rFonts w:ascii="Book Antiqua" w:eastAsia="宋体" w:hAnsi="Book Antiqua"/>
          <w:b/>
          <w:kern w:val="0"/>
          <w:sz w:val="24"/>
          <w:szCs w:val="24"/>
          <w:lang w:eastAsia="zh-CN"/>
        </w:rPr>
      </w:pPr>
      <w:r w:rsidRPr="0069088E">
        <w:rPr>
          <w:rFonts w:ascii="Book Antiqua" w:eastAsia="宋体" w:hAnsi="Book Antiqua"/>
          <w:b/>
          <w:kern w:val="0"/>
          <w:sz w:val="24"/>
          <w:szCs w:val="24"/>
          <w:lang w:eastAsia="zh-CN"/>
        </w:rPr>
        <w:lastRenderedPageBreak/>
        <w:t>Accepted:</w:t>
      </w:r>
      <w:r w:rsidR="00681F88" w:rsidRPr="00681F88">
        <w:t xml:space="preserve"> </w:t>
      </w:r>
      <w:r w:rsidR="00681F88" w:rsidRPr="00681F88">
        <w:rPr>
          <w:rFonts w:ascii="Book Antiqua" w:eastAsia="宋体" w:hAnsi="Book Antiqua"/>
          <w:bCs/>
          <w:kern w:val="0"/>
          <w:sz w:val="24"/>
          <w:szCs w:val="24"/>
          <w:lang w:eastAsia="zh-CN"/>
        </w:rPr>
        <w:t>July 14, 2020</w:t>
      </w:r>
    </w:p>
    <w:p w:rsidR="0069088E" w:rsidRPr="0069088E" w:rsidRDefault="0069088E" w:rsidP="009A3473">
      <w:pPr>
        <w:widowControl/>
        <w:wordWrap/>
        <w:autoSpaceDE/>
        <w:autoSpaceDN/>
        <w:snapToGrid w:val="0"/>
        <w:spacing w:line="360" w:lineRule="auto"/>
        <w:rPr>
          <w:rFonts w:ascii="Book Antiqua" w:eastAsia="宋体" w:hAnsi="Book Antiqua"/>
          <w:b/>
          <w:kern w:val="0"/>
          <w:sz w:val="24"/>
          <w:szCs w:val="24"/>
          <w:lang w:eastAsia="zh-CN"/>
        </w:rPr>
      </w:pPr>
      <w:r w:rsidRPr="0069088E">
        <w:rPr>
          <w:rFonts w:ascii="Book Antiqua" w:eastAsia="宋体" w:hAnsi="Book Antiqua"/>
          <w:b/>
          <w:kern w:val="0"/>
          <w:sz w:val="24"/>
          <w:szCs w:val="24"/>
          <w:lang w:eastAsia="zh-CN"/>
        </w:rPr>
        <w:t>Published online:</w:t>
      </w:r>
      <w:r w:rsidR="00541696" w:rsidRPr="00541696">
        <w:rPr>
          <w:rFonts w:eastAsia="等线" w:cs="Arial" w:hint="eastAsia"/>
          <w:sz w:val="24"/>
          <w:szCs w:val="24"/>
        </w:rPr>
        <w:t xml:space="preserve"> </w:t>
      </w:r>
      <w:r w:rsidR="00541696" w:rsidRPr="00541696">
        <w:rPr>
          <w:rFonts w:ascii="Book Antiqua" w:eastAsia="宋体" w:hAnsi="Book Antiqua" w:hint="eastAsia"/>
          <w:bCs/>
          <w:kern w:val="0"/>
          <w:sz w:val="24"/>
          <w:szCs w:val="24"/>
          <w:lang w:eastAsia="zh-CN"/>
        </w:rPr>
        <w:t>July 26, 2020</w:t>
      </w:r>
    </w:p>
    <w:p w:rsidR="009A3473" w:rsidRDefault="009A3473" w:rsidP="009A3473">
      <w:pPr>
        <w:pStyle w:val="af5"/>
        <w:wordWrap/>
        <w:snapToGrid w:val="0"/>
        <w:spacing w:after="0" w:line="360" w:lineRule="auto"/>
        <w:ind w:firstLineChars="0" w:firstLine="0"/>
        <w:rPr>
          <w:rFonts w:ascii="Book Antiqua" w:hAnsi="Book Antiqua" w:cs="Arial"/>
          <w:b/>
          <w:sz w:val="24"/>
          <w:szCs w:val="24"/>
        </w:rPr>
      </w:pPr>
    </w:p>
    <w:p w:rsidR="00B310B1" w:rsidRPr="00991EB9" w:rsidRDefault="00B310B1" w:rsidP="009A3473">
      <w:pPr>
        <w:pStyle w:val="af5"/>
        <w:wordWrap/>
        <w:snapToGrid w:val="0"/>
        <w:spacing w:after="0" w:line="360" w:lineRule="auto"/>
        <w:ind w:firstLineChars="0" w:firstLine="0"/>
        <w:rPr>
          <w:rFonts w:ascii="Book Antiqua" w:hAnsi="Book Antiqua" w:cs="Arial"/>
          <w:sz w:val="24"/>
          <w:szCs w:val="24"/>
        </w:rPr>
      </w:pPr>
      <w:r w:rsidRPr="00991EB9">
        <w:rPr>
          <w:rFonts w:ascii="Book Antiqua" w:hAnsi="Book Antiqua" w:cs="Arial"/>
          <w:b/>
          <w:sz w:val="24"/>
          <w:szCs w:val="24"/>
        </w:rPr>
        <w:t>A</w:t>
      </w:r>
      <w:r w:rsidR="000D7BE7" w:rsidRPr="00991EB9">
        <w:rPr>
          <w:rFonts w:ascii="Book Antiqua" w:hAnsi="Book Antiqua" w:cs="Arial"/>
          <w:b/>
          <w:sz w:val="24"/>
          <w:szCs w:val="24"/>
        </w:rPr>
        <w:t>bstract</w:t>
      </w:r>
    </w:p>
    <w:p w:rsidR="009D77F6" w:rsidRPr="00991EB9" w:rsidRDefault="009952A6" w:rsidP="009A3473">
      <w:pPr>
        <w:wordWrap/>
        <w:snapToGrid w:val="0"/>
        <w:spacing w:line="360" w:lineRule="auto"/>
        <w:rPr>
          <w:rFonts w:ascii="Book Antiqua" w:hAnsi="Book Antiqua"/>
          <w:sz w:val="24"/>
          <w:szCs w:val="24"/>
        </w:rPr>
      </w:pPr>
      <w:r w:rsidRPr="00991EB9">
        <w:rPr>
          <w:rFonts w:ascii="Book Antiqua" w:hAnsi="Book Antiqua"/>
          <w:sz w:val="24"/>
          <w:szCs w:val="24"/>
        </w:rPr>
        <w:t xml:space="preserve">Premalignant gastric lesions such as atrophic gastritis and intestinal metaplasia frequently occur in subjects with long-term </w:t>
      </w:r>
      <w:r w:rsidRPr="00991EB9">
        <w:rPr>
          <w:rFonts w:ascii="Book Antiqua" w:hAnsi="Book Antiqua"/>
          <w:i/>
          <w:iCs/>
          <w:sz w:val="24"/>
          <w:szCs w:val="24"/>
        </w:rPr>
        <w:t>Helicobacter pylori</w:t>
      </w:r>
      <w:r w:rsidRPr="00991EB9">
        <w:rPr>
          <w:rFonts w:ascii="Book Antiqua" w:hAnsi="Book Antiqua"/>
          <w:sz w:val="24"/>
          <w:szCs w:val="24"/>
        </w:rPr>
        <w:t xml:space="preserve"> </w:t>
      </w:r>
      <w:r w:rsidR="006D0D34" w:rsidRPr="00991EB9">
        <w:rPr>
          <w:rFonts w:ascii="Book Antiqua" w:hAnsi="Book Antiqua"/>
          <w:sz w:val="24"/>
          <w:szCs w:val="24"/>
        </w:rPr>
        <w:t>(</w:t>
      </w:r>
      <w:r w:rsidR="006D0D34" w:rsidRPr="00991EB9">
        <w:rPr>
          <w:rFonts w:ascii="Book Antiqua" w:hAnsi="Book Antiqua"/>
          <w:i/>
          <w:iCs/>
          <w:sz w:val="24"/>
          <w:szCs w:val="24"/>
        </w:rPr>
        <w:t>H</w:t>
      </w:r>
      <w:r w:rsidR="006D0D34" w:rsidRPr="00991EB9">
        <w:rPr>
          <w:rFonts w:ascii="Book Antiqua" w:hAnsi="Book Antiqua"/>
          <w:iCs/>
          <w:sz w:val="24"/>
          <w:szCs w:val="24"/>
        </w:rPr>
        <w:t>.</w:t>
      </w:r>
      <w:r w:rsidR="006D0D34" w:rsidRPr="00991EB9">
        <w:rPr>
          <w:rFonts w:ascii="Book Antiqua" w:hAnsi="Book Antiqua"/>
          <w:i/>
          <w:iCs/>
          <w:sz w:val="24"/>
          <w:szCs w:val="24"/>
        </w:rPr>
        <w:t xml:space="preserve"> pylori</w:t>
      </w:r>
      <w:r w:rsidR="006D0D34" w:rsidRPr="00991EB9">
        <w:rPr>
          <w:rFonts w:ascii="Book Antiqua" w:hAnsi="Book Antiqua"/>
          <w:sz w:val="24"/>
          <w:szCs w:val="24"/>
        </w:rPr>
        <w:t xml:space="preserve">) </w:t>
      </w:r>
      <w:r w:rsidRPr="00991EB9">
        <w:rPr>
          <w:rFonts w:ascii="Book Antiqua" w:hAnsi="Book Antiqua"/>
          <w:sz w:val="24"/>
          <w:szCs w:val="24"/>
        </w:rPr>
        <w:t xml:space="preserve">infection. The regular arrangement of collecting venules (RAC) is seen in the normal gastric corpus, whereas mucosal swelling and redness without RAC are observed in </w:t>
      </w:r>
      <w:r w:rsidRPr="00991EB9">
        <w:rPr>
          <w:rFonts w:ascii="Book Antiqua" w:hAnsi="Book Antiqua"/>
          <w:i/>
          <w:iCs/>
          <w:sz w:val="24"/>
          <w:szCs w:val="24"/>
        </w:rPr>
        <w:t>H</w:t>
      </w:r>
      <w:r w:rsidRPr="00991EB9">
        <w:rPr>
          <w:rFonts w:ascii="Book Antiqua" w:hAnsi="Book Antiqua"/>
          <w:iCs/>
          <w:sz w:val="24"/>
          <w:szCs w:val="24"/>
        </w:rPr>
        <w:t>.</w:t>
      </w:r>
      <w:r w:rsidRPr="00991EB9">
        <w:rPr>
          <w:rFonts w:ascii="Book Antiqua" w:hAnsi="Book Antiqua"/>
          <w:i/>
          <w:iCs/>
          <w:sz w:val="24"/>
          <w:szCs w:val="24"/>
        </w:rPr>
        <w:t xml:space="preserve"> pylori</w:t>
      </w:r>
      <w:r w:rsidRPr="00991EB9">
        <w:rPr>
          <w:rFonts w:ascii="Book Antiqua" w:hAnsi="Book Antiqua"/>
          <w:sz w:val="24"/>
          <w:szCs w:val="24"/>
        </w:rPr>
        <w:t xml:space="preserve">-infected mucosa. Despite successful </w:t>
      </w:r>
      <w:r w:rsidRPr="00991EB9">
        <w:rPr>
          <w:rFonts w:ascii="Book Antiqua" w:hAnsi="Book Antiqua"/>
          <w:i/>
          <w:iCs/>
          <w:sz w:val="24"/>
          <w:szCs w:val="24"/>
        </w:rPr>
        <w:t>H</w:t>
      </w:r>
      <w:r w:rsidRPr="00991EB9">
        <w:rPr>
          <w:rFonts w:ascii="Book Antiqua" w:hAnsi="Book Antiqua"/>
          <w:iCs/>
          <w:sz w:val="24"/>
          <w:szCs w:val="24"/>
        </w:rPr>
        <w:t>.</w:t>
      </w:r>
      <w:r w:rsidRPr="00991EB9">
        <w:rPr>
          <w:rFonts w:ascii="Book Antiqua" w:hAnsi="Book Antiqua"/>
          <w:i/>
          <w:iCs/>
          <w:sz w:val="24"/>
          <w:szCs w:val="24"/>
        </w:rPr>
        <w:t xml:space="preserve"> pylori</w:t>
      </w:r>
      <w:r w:rsidRPr="00991EB9">
        <w:rPr>
          <w:rFonts w:ascii="Book Antiqua" w:hAnsi="Book Antiqua"/>
          <w:sz w:val="24"/>
          <w:szCs w:val="24"/>
        </w:rPr>
        <w:t xml:space="preserve"> eradication, the presence of </w:t>
      </w:r>
      <w:r w:rsidR="003A3E21" w:rsidRPr="00991EB9">
        <w:rPr>
          <w:rFonts w:ascii="Book Antiqua" w:hAnsi="Book Antiqua"/>
          <w:sz w:val="24"/>
          <w:szCs w:val="24"/>
        </w:rPr>
        <w:t xml:space="preserve">atrophic gastritis and/or </w:t>
      </w:r>
      <w:r w:rsidRPr="00991EB9">
        <w:rPr>
          <w:rFonts w:ascii="Book Antiqua" w:hAnsi="Book Antiqua"/>
          <w:sz w:val="24"/>
          <w:szCs w:val="24"/>
        </w:rPr>
        <w:t xml:space="preserve">gastric intestinal metaplasia (GIM) is a risk factor for gastric cancer. </w:t>
      </w:r>
      <w:r w:rsidR="00BD0D04" w:rsidRPr="00991EB9">
        <w:rPr>
          <w:rFonts w:ascii="Book Antiqua" w:hAnsi="Book Antiqua"/>
          <w:sz w:val="24"/>
          <w:szCs w:val="24"/>
        </w:rPr>
        <w:t xml:space="preserve">With the development of </w:t>
      </w:r>
      <w:r w:rsidRPr="00991EB9">
        <w:rPr>
          <w:rFonts w:ascii="Book Antiqua" w:hAnsi="Book Antiqua"/>
          <w:sz w:val="24"/>
          <w:szCs w:val="24"/>
        </w:rPr>
        <w:t>advanced imaging</w:t>
      </w:r>
      <w:r w:rsidR="00BD0D04" w:rsidRPr="00991EB9">
        <w:rPr>
          <w:rFonts w:ascii="Book Antiqua" w:hAnsi="Book Antiqua"/>
          <w:sz w:val="24"/>
          <w:szCs w:val="24"/>
        </w:rPr>
        <w:t xml:space="preserve"> technologies, r</w:t>
      </w:r>
      <w:r w:rsidRPr="00991EB9">
        <w:rPr>
          <w:rFonts w:ascii="Book Antiqua" w:hAnsi="Book Antiqua"/>
          <w:sz w:val="24"/>
          <w:szCs w:val="24"/>
        </w:rPr>
        <w:t xml:space="preserve">ecent studies have reported the usefulness of narrow-band imaging (NBI) for endoscopic diagnosis </w:t>
      </w:r>
      <w:r w:rsidR="00FB5FF4" w:rsidRPr="00991EB9">
        <w:rPr>
          <w:rFonts w:ascii="Book Antiqua" w:hAnsi="Book Antiqua"/>
          <w:sz w:val="24"/>
          <w:szCs w:val="24"/>
        </w:rPr>
        <w:t>of</w:t>
      </w:r>
      <w:r w:rsidR="00B17F2F" w:rsidRPr="00991EB9">
        <w:rPr>
          <w:rFonts w:ascii="Book Antiqua" w:hAnsi="Book Antiqua"/>
          <w:sz w:val="24"/>
          <w:szCs w:val="24"/>
        </w:rPr>
        <w:t xml:space="preserve"> atrophic gastritis </w:t>
      </w:r>
      <w:r w:rsidR="00FB5FF4" w:rsidRPr="00991EB9">
        <w:rPr>
          <w:rFonts w:ascii="Book Antiqua" w:hAnsi="Book Antiqua"/>
          <w:sz w:val="24"/>
          <w:szCs w:val="24"/>
        </w:rPr>
        <w:t>and GIM.</w:t>
      </w:r>
      <w:r w:rsidRPr="00991EB9">
        <w:rPr>
          <w:rFonts w:ascii="Book Antiqua" w:hAnsi="Book Antiqua"/>
          <w:sz w:val="24"/>
          <w:szCs w:val="24"/>
        </w:rPr>
        <w:t xml:space="preserve"> </w:t>
      </w:r>
      <w:r w:rsidR="00163F81" w:rsidRPr="00991EB9">
        <w:rPr>
          <w:rFonts w:ascii="Book Antiqua" w:hAnsi="Book Antiqua"/>
          <w:sz w:val="24"/>
          <w:szCs w:val="24"/>
        </w:rPr>
        <w:t>Using NBI endoscopy with magnification (M-NBI), atrophic gastritis is presented as irregular coiled microvessels and loss of gastric pits. Ty</w:t>
      </w:r>
      <w:r w:rsidRPr="00991EB9">
        <w:rPr>
          <w:rFonts w:ascii="Book Antiqua" w:hAnsi="Book Antiqua"/>
          <w:sz w:val="24"/>
          <w:szCs w:val="24"/>
        </w:rPr>
        <w:t xml:space="preserve">pical </w:t>
      </w:r>
      <w:r w:rsidR="00163F81" w:rsidRPr="00991EB9">
        <w:rPr>
          <w:rFonts w:ascii="Book Antiqua" w:hAnsi="Book Antiqua"/>
          <w:sz w:val="24"/>
          <w:szCs w:val="24"/>
        </w:rPr>
        <w:t xml:space="preserve">M-NBI </w:t>
      </w:r>
      <w:r w:rsidRPr="00991EB9">
        <w:rPr>
          <w:rFonts w:ascii="Book Antiqua" w:hAnsi="Book Antiqua"/>
          <w:sz w:val="24"/>
          <w:szCs w:val="24"/>
        </w:rPr>
        <w:t>endoscopic f</w:t>
      </w:r>
      <w:r w:rsidR="00163F81" w:rsidRPr="00991EB9">
        <w:rPr>
          <w:rFonts w:ascii="Book Antiqua" w:hAnsi="Book Antiqua"/>
          <w:sz w:val="24"/>
          <w:szCs w:val="24"/>
        </w:rPr>
        <w:t xml:space="preserve">indings of GIM are </w:t>
      </w:r>
      <w:r w:rsidRPr="00991EB9">
        <w:rPr>
          <w:rFonts w:ascii="Book Antiqua" w:hAnsi="Book Antiqua"/>
          <w:sz w:val="24"/>
          <w:szCs w:val="24"/>
        </w:rPr>
        <w:t xml:space="preserve">a light blue crest and a white opaque substance. </w:t>
      </w:r>
      <w:r w:rsidR="00FB68C1" w:rsidRPr="00991EB9">
        <w:rPr>
          <w:rFonts w:ascii="Book Antiqua" w:hAnsi="Book Antiqua"/>
          <w:sz w:val="24"/>
          <w:szCs w:val="24"/>
        </w:rPr>
        <w:t>Based on the m</w:t>
      </w:r>
      <w:r w:rsidR="002D7077" w:rsidRPr="00991EB9">
        <w:rPr>
          <w:rFonts w:ascii="Book Antiqua" w:hAnsi="Book Antiqua"/>
          <w:sz w:val="24"/>
          <w:szCs w:val="24"/>
        </w:rPr>
        <w:t>i</w:t>
      </w:r>
      <w:r w:rsidR="002A04BF" w:rsidRPr="00991EB9">
        <w:rPr>
          <w:rFonts w:ascii="Book Antiqua" w:hAnsi="Book Antiqua"/>
          <w:sz w:val="24"/>
          <w:szCs w:val="24"/>
        </w:rPr>
        <w:t>crovascular patterns</w:t>
      </w:r>
      <w:r w:rsidR="00FB68C1" w:rsidRPr="00991EB9">
        <w:rPr>
          <w:rFonts w:ascii="Book Antiqua" w:hAnsi="Book Antiqua"/>
          <w:sz w:val="24"/>
          <w:szCs w:val="24"/>
        </w:rPr>
        <w:t>,</w:t>
      </w:r>
      <w:r w:rsidR="002A04BF" w:rsidRPr="00991EB9">
        <w:rPr>
          <w:rFonts w:ascii="Book Antiqua" w:hAnsi="Book Antiqua"/>
          <w:sz w:val="24"/>
          <w:szCs w:val="24"/>
        </w:rPr>
        <w:t xml:space="preserve"> </w:t>
      </w:r>
      <w:r w:rsidR="002D7077" w:rsidRPr="00991EB9">
        <w:rPr>
          <w:rFonts w:ascii="Book Antiqua" w:hAnsi="Book Antiqua"/>
          <w:sz w:val="24"/>
          <w:szCs w:val="24"/>
        </w:rPr>
        <w:t>fine network,</w:t>
      </w:r>
      <w:r w:rsidR="004A5518" w:rsidRPr="00991EB9">
        <w:rPr>
          <w:rFonts w:ascii="Book Antiqua" w:hAnsi="Book Antiqua"/>
          <w:sz w:val="24"/>
          <w:szCs w:val="24"/>
        </w:rPr>
        <w:t xml:space="preserve"> core vascular, and unclear patterns </w:t>
      </w:r>
      <w:r w:rsidR="00FB68C1" w:rsidRPr="00991EB9">
        <w:rPr>
          <w:rFonts w:ascii="Book Antiqua" w:hAnsi="Book Antiqua"/>
          <w:sz w:val="24"/>
          <w:szCs w:val="24"/>
        </w:rPr>
        <w:t>are</w:t>
      </w:r>
      <w:r w:rsidR="002A04BF" w:rsidRPr="00991EB9">
        <w:rPr>
          <w:rFonts w:ascii="Book Antiqua" w:hAnsi="Book Antiqua"/>
          <w:sz w:val="24"/>
          <w:szCs w:val="24"/>
        </w:rPr>
        <w:t xml:space="preserve"> useful for </w:t>
      </w:r>
      <w:r w:rsidR="002D7077" w:rsidRPr="00991EB9">
        <w:rPr>
          <w:rFonts w:ascii="Book Antiqua" w:hAnsi="Book Antiqua"/>
          <w:sz w:val="24"/>
          <w:szCs w:val="24"/>
        </w:rPr>
        <w:t>predicting gastric dysplasia in polypoid lesions</w:t>
      </w:r>
      <w:r w:rsidR="00FB68C1" w:rsidRPr="00991EB9">
        <w:rPr>
          <w:rFonts w:ascii="Book Antiqua" w:hAnsi="Book Antiqua"/>
          <w:sz w:val="24"/>
          <w:szCs w:val="24"/>
        </w:rPr>
        <w:t>.</w:t>
      </w:r>
      <w:r w:rsidR="002D7077" w:rsidRPr="00991EB9">
        <w:rPr>
          <w:rFonts w:ascii="Book Antiqua" w:hAnsi="Book Antiqua"/>
          <w:sz w:val="24"/>
          <w:szCs w:val="24"/>
        </w:rPr>
        <w:t xml:space="preserve"> </w:t>
      </w:r>
      <w:r w:rsidRPr="00991EB9">
        <w:rPr>
          <w:rFonts w:ascii="Book Antiqua" w:hAnsi="Book Antiqua"/>
          <w:sz w:val="24"/>
          <w:szCs w:val="24"/>
        </w:rPr>
        <w:t xml:space="preserve">For diagnosis of </w:t>
      </w:r>
      <w:r w:rsidR="002A04BF" w:rsidRPr="00991EB9">
        <w:rPr>
          <w:rFonts w:ascii="Book Antiqua" w:hAnsi="Book Antiqua"/>
          <w:sz w:val="24"/>
          <w:szCs w:val="24"/>
        </w:rPr>
        <w:t xml:space="preserve">early gastric </w:t>
      </w:r>
      <w:r w:rsidRPr="00991EB9">
        <w:rPr>
          <w:rFonts w:ascii="Book Antiqua" w:hAnsi="Book Antiqua"/>
          <w:sz w:val="24"/>
          <w:szCs w:val="24"/>
        </w:rPr>
        <w:t>cancer</w:t>
      </w:r>
      <w:r w:rsidR="002A04BF" w:rsidRPr="00991EB9">
        <w:rPr>
          <w:rFonts w:ascii="Book Antiqua" w:hAnsi="Book Antiqua"/>
          <w:sz w:val="24"/>
          <w:szCs w:val="24"/>
        </w:rPr>
        <w:t xml:space="preserve"> (EGC), </w:t>
      </w:r>
      <w:r w:rsidRPr="00991EB9">
        <w:rPr>
          <w:rFonts w:ascii="Book Antiqua" w:hAnsi="Book Antiqua"/>
          <w:sz w:val="24"/>
          <w:szCs w:val="24"/>
        </w:rPr>
        <w:t>a systematic classification us</w:t>
      </w:r>
      <w:r w:rsidR="00163F81" w:rsidRPr="00991EB9">
        <w:rPr>
          <w:rFonts w:ascii="Book Antiqua" w:hAnsi="Book Antiqua"/>
          <w:sz w:val="24"/>
          <w:szCs w:val="24"/>
        </w:rPr>
        <w:t>ing M-NBI</w:t>
      </w:r>
      <w:r w:rsidRPr="00991EB9">
        <w:rPr>
          <w:rFonts w:ascii="Book Antiqua" w:hAnsi="Book Antiqua"/>
          <w:sz w:val="24"/>
          <w:szCs w:val="24"/>
        </w:rPr>
        <w:t xml:space="preserve"> endoscopy has been proposed on the basis of the presence of a demarcation line and an irregular microvascular/microsurface pattern. Furthermore, </w:t>
      </w:r>
      <w:r w:rsidR="00163F81" w:rsidRPr="00991EB9">
        <w:rPr>
          <w:rFonts w:ascii="Book Antiqua" w:hAnsi="Book Antiqua"/>
          <w:sz w:val="24"/>
          <w:szCs w:val="24"/>
        </w:rPr>
        <w:t>M-</w:t>
      </w:r>
      <w:r w:rsidRPr="00991EB9">
        <w:rPr>
          <w:rFonts w:ascii="Book Antiqua" w:hAnsi="Book Antiqua"/>
          <w:sz w:val="24"/>
          <w:szCs w:val="24"/>
        </w:rPr>
        <w:t xml:space="preserve">NBI endoscopy has been found to be more accurate for determining the horizontal margin of </w:t>
      </w:r>
      <w:r w:rsidR="002A04BF" w:rsidRPr="00991EB9">
        <w:rPr>
          <w:rFonts w:ascii="Book Antiqua" w:hAnsi="Book Antiqua"/>
          <w:sz w:val="24"/>
          <w:szCs w:val="24"/>
        </w:rPr>
        <w:t>EGC</w:t>
      </w:r>
      <w:r w:rsidRPr="00991EB9">
        <w:rPr>
          <w:rFonts w:ascii="Book Antiqua" w:hAnsi="Book Antiqua"/>
          <w:sz w:val="24"/>
          <w:szCs w:val="24"/>
        </w:rPr>
        <w:t xml:space="preserve"> compared to conventional endoscopy. In this review, we present up-to-date results on the clinical usefulness of gastroscopy with NBI for the </w:t>
      </w:r>
      <w:r w:rsidR="003A3E21" w:rsidRPr="00991EB9">
        <w:rPr>
          <w:rFonts w:ascii="Book Antiqua" w:hAnsi="Book Antiqua"/>
          <w:sz w:val="24"/>
          <w:szCs w:val="24"/>
        </w:rPr>
        <w:t xml:space="preserve">diagnosis of </w:t>
      </w:r>
      <w:r w:rsidR="003A3E21" w:rsidRPr="00991EB9">
        <w:rPr>
          <w:rFonts w:ascii="Book Antiqua" w:hAnsi="Book Antiqua"/>
          <w:i/>
          <w:iCs/>
          <w:sz w:val="24"/>
          <w:szCs w:val="24"/>
        </w:rPr>
        <w:t>H</w:t>
      </w:r>
      <w:r w:rsidR="003A3E21" w:rsidRPr="00991EB9">
        <w:rPr>
          <w:rFonts w:ascii="Book Antiqua" w:hAnsi="Book Antiqua"/>
          <w:iCs/>
          <w:sz w:val="24"/>
          <w:szCs w:val="24"/>
        </w:rPr>
        <w:t>.</w:t>
      </w:r>
      <w:r w:rsidR="003A3E21" w:rsidRPr="00991EB9">
        <w:rPr>
          <w:rFonts w:ascii="Book Antiqua" w:hAnsi="Book Antiqua"/>
          <w:i/>
          <w:iCs/>
          <w:sz w:val="24"/>
          <w:szCs w:val="24"/>
        </w:rPr>
        <w:t xml:space="preserve"> pylori</w:t>
      </w:r>
      <w:r w:rsidR="003A3E21" w:rsidRPr="00991EB9">
        <w:rPr>
          <w:rFonts w:ascii="Book Antiqua" w:hAnsi="Book Antiqua"/>
          <w:sz w:val="24"/>
          <w:szCs w:val="24"/>
        </w:rPr>
        <w:t xml:space="preserve"> gastritis, </w:t>
      </w:r>
      <w:r w:rsidRPr="00991EB9">
        <w:rPr>
          <w:rFonts w:ascii="Book Antiqua" w:hAnsi="Book Antiqua"/>
          <w:sz w:val="24"/>
          <w:szCs w:val="24"/>
        </w:rPr>
        <w:t>precancerous gastric lesion</w:t>
      </w:r>
      <w:r w:rsidR="003A3E21" w:rsidRPr="00991EB9">
        <w:rPr>
          <w:rFonts w:ascii="Book Antiqua" w:hAnsi="Book Antiqua"/>
          <w:sz w:val="24"/>
          <w:szCs w:val="24"/>
        </w:rPr>
        <w:t>,</w:t>
      </w:r>
      <w:r w:rsidRPr="00991EB9">
        <w:rPr>
          <w:rFonts w:ascii="Book Antiqua" w:hAnsi="Book Antiqua"/>
          <w:sz w:val="24"/>
          <w:szCs w:val="24"/>
        </w:rPr>
        <w:t xml:space="preserve"> and neoplasia</w:t>
      </w:r>
      <w:r w:rsidR="00275F8E" w:rsidRPr="00991EB9">
        <w:rPr>
          <w:rFonts w:ascii="Book Antiqua" w:hAnsi="Book Antiqua"/>
          <w:sz w:val="24"/>
          <w:szCs w:val="24"/>
        </w:rPr>
        <w:t>.</w:t>
      </w:r>
      <w:r w:rsidR="009D77F6" w:rsidRPr="00991EB9">
        <w:rPr>
          <w:rFonts w:ascii="Book Antiqua" w:hAnsi="Book Antiqua"/>
          <w:sz w:val="24"/>
          <w:szCs w:val="24"/>
        </w:rPr>
        <w:t xml:space="preserve"> </w:t>
      </w:r>
    </w:p>
    <w:p w:rsidR="00065A1F" w:rsidRPr="00991EB9" w:rsidRDefault="00065A1F" w:rsidP="009A3473">
      <w:pPr>
        <w:pStyle w:val="BodyTextHead"/>
        <w:snapToGrid w:val="0"/>
        <w:spacing w:before="0" w:line="360" w:lineRule="auto"/>
        <w:jc w:val="both"/>
        <w:rPr>
          <w:rFonts w:ascii="Book Antiqua" w:eastAsia="Malgun Gothic" w:hAnsi="Book Antiqua"/>
          <w:b/>
          <w:lang w:eastAsia="ko-KR"/>
        </w:rPr>
      </w:pPr>
    </w:p>
    <w:p w:rsidR="00867509" w:rsidRPr="00991EB9" w:rsidRDefault="00867509" w:rsidP="009A3473">
      <w:pPr>
        <w:pStyle w:val="BodyTextHead"/>
        <w:snapToGrid w:val="0"/>
        <w:spacing w:before="0" w:line="360" w:lineRule="auto"/>
        <w:jc w:val="both"/>
        <w:rPr>
          <w:rFonts w:ascii="Book Antiqua" w:eastAsia="Gulim" w:hAnsi="Book Antiqua"/>
        </w:rPr>
      </w:pPr>
      <w:r w:rsidRPr="00991EB9">
        <w:rPr>
          <w:rFonts w:ascii="Book Antiqua" w:eastAsia="Malgun Gothic" w:hAnsi="Book Antiqua"/>
          <w:b/>
          <w:lang w:eastAsia="ko-KR"/>
        </w:rPr>
        <w:t>Key</w:t>
      </w:r>
      <w:r w:rsidR="001860F3" w:rsidRPr="00991EB9">
        <w:rPr>
          <w:rFonts w:ascii="Book Antiqua" w:eastAsia="Malgun Gothic" w:hAnsi="Book Antiqua"/>
          <w:b/>
          <w:lang w:eastAsia="ko-KR"/>
        </w:rPr>
        <w:t xml:space="preserve"> </w:t>
      </w:r>
      <w:r w:rsidRPr="00991EB9">
        <w:rPr>
          <w:rFonts w:ascii="Book Antiqua" w:eastAsia="Malgun Gothic" w:hAnsi="Book Antiqua"/>
          <w:b/>
          <w:lang w:eastAsia="ko-KR"/>
        </w:rPr>
        <w:t>words:</w:t>
      </w:r>
      <w:r w:rsidRPr="00991EB9">
        <w:rPr>
          <w:rFonts w:ascii="Book Antiqua" w:eastAsia="Malgun Gothic" w:hAnsi="Book Antiqua"/>
          <w:lang w:eastAsia="ko-KR"/>
        </w:rPr>
        <w:t xml:space="preserve"> </w:t>
      </w:r>
      <w:r w:rsidR="00D16F88" w:rsidRPr="00991EB9">
        <w:rPr>
          <w:rFonts w:ascii="Book Antiqua" w:eastAsia="Gulim" w:hAnsi="Book Antiqua"/>
          <w:lang w:eastAsia="ko-KR"/>
        </w:rPr>
        <w:t>Gastro</w:t>
      </w:r>
      <w:r w:rsidR="00247673" w:rsidRPr="00991EB9">
        <w:rPr>
          <w:rFonts w:ascii="Book Antiqua" w:eastAsia="Gulim" w:hAnsi="Book Antiqua"/>
          <w:lang w:eastAsia="ko-KR"/>
        </w:rPr>
        <w:t xml:space="preserve">scopy; </w:t>
      </w:r>
      <w:r w:rsidR="00D16F88" w:rsidRPr="00991EB9">
        <w:rPr>
          <w:rFonts w:ascii="Book Antiqua" w:eastAsia="Gulim" w:hAnsi="Book Antiqua"/>
          <w:lang w:eastAsia="ko-KR"/>
        </w:rPr>
        <w:t>Narrow-band imaging</w:t>
      </w:r>
      <w:r w:rsidR="00247673" w:rsidRPr="00991EB9">
        <w:rPr>
          <w:rFonts w:ascii="Book Antiqua" w:eastAsia="Gulim" w:hAnsi="Book Antiqua"/>
          <w:lang w:eastAsia="ko-KR"/>
        </w:rPr>
        <w:t xml:space="preserve">; </w:t>
      </w:r>
      <w:r w:rsidR="002D6AD2" w:rsidRPr="00991EB9">
        <w:rPr>
          <w:rFonts w:ascii="Book Antiqua" w:eastAsia="Gulim" w:hAnsi="Book Antiqua"/>
          <w:lang w:eastAsia="ko-KR"/>
        </w:rPr>
        <w:t>Magnification</w:t>
      </w:r>
      <w:r w:rsidR="00D16F88" w:rsidRPr="00991EB9">
        <w:rPr>
          <w:rFonts w:ascii="Book Antiqua" w:eastAsia="Gulim" w:hAnsi="Book Antiqua"/>
          <w:lang w:eastAsia="ko-KR"/>
        </w:rPr>
        <w:t xml:space="preserve">; </w:t>
      </w:r>
      <w:r w:rsidR="00163F81" w:rsidRPr="00991EB9">
        <w:rPr>
          <w:rFonts w:ascii="Book Antiqua" w:eastAsia="Gulim" w:hAnsi="Book Antiqua"/>
          <w:i/>
          <w:lang w:eastAsia="ko-KR"/>
        </w:rPr>
        <w:t>Helicobacter pylori</w:t>
      </w:r>
      <w:r w:rsidR="00163F81" w:rsidRPr="00991EB9">
        <w:rPr>
          <w:rFonts w:ascii="Book Antiqua" w:eastAsia="Gulim" w:hAnsi="Book Antiqua"/>
          <w:lang w:eastAsia="ko-KR"/>
        </w:rPr>
        <w:t xml:space="preserve">; Atrophic gastritis; </w:t>
      </w:r>
      <w:r w:rsidR="00D16F88" w:rsidRPr="00991EB9">
        <w:rPr>
          <w:rFonts w:ascii="Book Antiqua" w:eastAsia="Gulim" w:hAnsi="Book Antiqua"/>
          <w:lang w:eastAsia="ko-KR"/>
        </w:rPr>
        <w:t>Intestinal metaplasia</w:t>
      </w:r>
      <w:r w:rsidR="00247673" w:rsidRPr="00991EB9">
        <w:rPr>
          <w:rFonts w:ascii="Book Antiqua" w:eastAsia="Gulim" w:hAnsi="Book Antiqua"/>
          <w:lang w:eastAsia="ko-KR"/>
        </w:rPr>
        <w:t xml:space="preserve">; </w:t>
      </w:r>
      <w:r w:rsidR="00163F81" w:rsidRPr="00991EB9">
        <w:rPr>
          <w:rFonts w:ascii="Book Antiqua" w:eastAsia="Gulim" w:hAnsi="Book Antiqua"/>
          <w:lang w:eastAsia="ko-KR"/>
        </w:rPr>
        <w:t xml:space="preserve">Dysplasia; </w:t>
      </w:r>
      <w:r w:rsidR="002D6AD2" w:rsidRPr="00991EB9">
        <w:rPr>
          <w:rFonts w:ascii="Book Antiqua" w:eastAsia="Gulim" w:hAnsi="Book Antiqua"/>
          <w:lang w:eastAsia="ko-KR"/>
        </w:rPr>
        <w:t>Cancer</w:t>
      </w:r>
    </w:p>
    <w:p w:rsidR="009A3473" w:rsidRPr="00991EB9" w:rsidRDefault="009A3473" w:rsidP="009A3473">
      <w:pPr>
        <w:pStyle w:val="af4"/>
        <w:snapToGrid w:val="0"/>
        <w:spacing w:before="0" w:after="0" w:line="360" w:lineRule="auto"/>
        <w:jc w:val="both"/>
        <w:rPr>
          <w:rFonts w:ascii="Book Antiqua" w:eastAsia="Malgun Gothic" w:hAnsi="Book Antiqua" w:cs="Arial"/>
          <w:lang w:eastAsia="ko-KR"/>
        </w:rPr>
      </w:pPr>
    </w:p>
    <w:p w:rsidR="009A3473" w:rsidRPr="00DC1B83" w:rsidRDefault="009A3473" w:rsidP="009A3473">
      <w:pPr>
        <w:pStyle w:val="af3"/>
        <w:snapToGrid w:val="0"/>
        <w:spacing w:before="0" w:after="0" w:line="360" w:lineRule="auto"/>
        <w:jc w:val="both"/>
        <w:rPr>
          <w:rFonts w:ascii="Book Antiqua" w:eastAsiaTheme="minorEastAsia" w:hAnsi="Book Antiqua" w:cs="Arial" w:hint="eastAsia"/>
          <w:b w:val="0"/>
          <w:sz w:val="24"/>
          <w:szCs w:val="24"/>
          <w:lang w:eastAsia="zh-CN"/>
        </w:rPr>
      </w:pPr>
      <w:r w:rsidRPr="009A3473">
        <w:rPr>
          <w:rFonts w:ascii="Book Antiqua" w:hAnsi="Book Antiqua" w:cs="Arial"/>
          <w:b w:val="0"/>
          <w:sz w:val="24"/>
          <w:szCs w:val="24"/>
        </w:rPr>
        <w:t xml:space="preserve">Cho JH, Jeon SR, Jin SY. </w:t>
      </w:r>
      <w:r w:rsidRPr="009A3473">
        <w:rPr>
          <w:rFonts w:ascii="Book Antiqua" w:eastAsia="Malgun Gothic" w:hAnsi="Book Antiqua" w:cs="Arial"/>
          <w:b w:val="0"/>
          <w:sz w:val="24"/>
          <w:szCs w:val="24"/>
          <w:lang w:eastAsia="ko-KR"/>
        </w:rPr>
        <w:t xml:space="preserve">Clinical applicability of gastroscopy with narrow-band imaging for the diagnosis of </w:t>
      </w:r>
      <w:r w:rsidRPr="009A3473">
        <w:rPr>
          <w:rFonts w:ascii="Book Antiqua" w:eastAsia="Malgun Gothic" w:hAnsi="Book Antiqua" w:cs="Arial"/>
          <w:b w:val="0"/>
          <w:i/>
          <w:sz w:val="24"/>
          <w:szCs w:val="24"/>
          <w:lang w:eastAsia="ko-KR"/>
        </w:rPr>
        <w:t>Helicobacter pylori</w:t>
      </w:r>
      <w:r w:rsidRPr="009A3473">
        <w:rPr>
          <w:rFonts w:ascii="Book Antiqua" w:eastAsia="Malgun Gothic" w:hAnsi="Book Antiqua" w:cs="Arial"/>
          <w:b w:val="0"/>
          <w:sz w:val="24"/>
          <w:szCs w:val="24"/>
          <w:lang w:eastAsia="ko-KR"/>
        </w:rPr>
        <w:t xml:space="preserve"> gastritis, precancerous gastric lesion, and neoplasia</w:t>
      </w:r>
      <w:r>
        <w:rPr>
          <w:rFonts w:ascii="Book Antiqua" w:eastAsia="Malgun Gothic" w:hAnsi="Book Antiqua" w:cs="Arial"/>
          <w:b w:val="0"/>
          <w:sz w:val="24"/>
          <w:szCs w:val="24"/>
          <w:lang w:eastAsia="ko-KR"/>
        </w:rPr>
        <w:t>.</w:t>
      </w:r>
      <w:r w:rsidRPr="009A3473">
        <w:rPr>
          <w:rFonts w:ascii="Book Antiqua" w:eastAsia="Malgun Gothic" w:hAnsi="Book Antiqua" w:cs="Arial"/>
          <w:b w:val="0"/>
          <w:i/>
          <w:sz w:val="24"/>
          <w:szCs w:val="24"/>
          <w:lang w:eastAsia="ko-KR"/>
        </w:rPr>
        <w:t xml:space="preserve"> World J Clin Cases </w:t>
      </w:r>
      <w:r>
        <w:rPr>
          <w:rFonts w:ascii="Book Antiqua" w:eastAsia="Malgun Gothic" w:hAnsi="Book Antiqua" w:cs="Arial"/>
          <w:b w:val="0"/>
          <w:sz w:val="24"/>
          <w:szCs w:val="24"/>
          <w:lang w:eastAsia="ko-KR"/>
        </w:rPr>
        <w:t xml:space="preserve">2020; </w:t>
      </w:r>
      <w:r w:rsidR="00541696" w:rsidRPr="00541696">
        <w:rPr>
          <w:rFonts w:ascii="Book Antiqua" w:eastAsia="Malgun Gothic" w:hAnsi="Book Antiqua" w:cs="Arial" w:hint="eastAsia"/>
          <w:b w:val="0"/>
          <w:iCs/>
          <w:sz w:val="24"/>
          <w:szCs w:val="24"/>
          <w:lang w:eastAsia="ko-KR"/>
        </w:rPr>
        <w:t>8</w:t>
      </w:r>
      <w:r w:rsidR="00541696" w:rsidRPr="00541696">
        <w:rPr>
          <w:rFonts w:ascii="Book Antiqua" w:eastAsia="Malgun Gothic" w:hAnsi="Book Antiqua" w:cs="Arial"/>
          <w:b w:val="0"/>
          <w:iCs/>
          <w:sz w:val="24"/>
          <w:szCs w:val="24"/>
          <w:lang w:eastAsia="ko-KR"/>
        </w:rPr>
        <w:t>(</w:t>
      </w:r>
      <w:r w:rsidR="00541696" w:rsidRPr="00541696">
        <w:rPr>
          <w:rFonts w:ascii="Book Antiqua" w:eastAsia="Malgun Gothic" w:hAnsi="Book Antiqua" w:cs="Arial" w:hint="eastAsia"/>
          <w:b w:val="0"/>
          <w:iCs/>
          <w:sz w:val="24"/>
          <w:szCs w:val="24"/>
          <w:lang w:eastAsia="ko-KR"/>
        </w:rPr>
        <w:t>14</w:t>
      </w:r>
      <w:r w:rsidR="00541696" w:rsidRPr="00541696">
        <w:rPr>
          <w:rFonts w:ascii="Book Antiqua" w:eastAsia="Malgun Gothic" w:hAnsi="Book Antiqua" w:cs="Arial"/>
          <w:b w:val="0"/>
          <w:iCs/>
          <w:sz w:val="24"/>
          <w:szCs w:val="24"/>
          <w:lang w:eastAsia="ko-KR"/>
        </w:rPr>
        <w:t xml:space="preserve">): </w:t>
      </w:r>
      <w:r w:rsidR="00DC1B83" w:rsidRPr="00DC1B83">
        <w:rPr>
          <w:rFonts w:ascii="Book Antiqua" w:eastAsia="Malgun Gothic" w:hAnsi="Book Antiqua" w:cs="Arial"/>
          <w:b w:val="0"/>
          <w:iCs/>
          <w:sz w:val="24"/>
          <w:szCs w:val="24"/>
          <w:lang w:eastAsia="ko-KR"/>
        </w:rPr>
        <w:t>2902-2916</w:t>
      </w:r>
      <w:r w:rsidR="00541696" w:rsidRPr="00541696">
        <w:rPr>
          <w:rFonts w:ascii="Book Antiqua" w:eastAsia="Malgun Gothic" w:hAnsi="Book Antiqua" w:cs="Arial"/>
          <w:b w:val="0"/>
          <w:iCs/>
          <w:sz w:val="24"/>
          <w:szCs w:val="24"/>
          <w:lang w:eastAsia="ko-KR"/>
        </w:rPr>
        <w:t xml:space="preserve">  URL: https://www.wjgnet.com/2307-8960/full/v</w:t>
      </w:r>
      <w:r w:rsidR="00541696" w:rsidRPr="00541696">
        <w:rPr>
          <w:rFonts w:ascii="Book Antiqua" w:eastAsia="Malgun Gothic" w:hAnsi="Book Antiqua" w:cs="Arial" w:hint="eastAsia"/>
          <w:b w:val="0"/>
          <w:iCs/>
          <w:sz w:val="24"/>
          <w:szCs w:val="24"/>
          <w:lang w:eastAsia="ko-KR"/>
        </w:rPr>
        <w:t>8</w:t>
      </w:r>
      <w:r w:rsidR="00541696" w:rsidRPr="00541696">
        <w:rPr>
          <w:rFonts w:ascii="Book Antiqua" w:eastAsia="Malgun Gothic" w:hAnsi="Book Antiqua" w:cs="Arial"/>
          <w:b w:val="0"/>
          <w:iCs/>
          <w:sz w:val="24"/>
          <w:szCs w:val="24"/>
          <w:lang w:eastAsia="ko-KR"/>
        </w:rPr>
        <w:t>/i</w:t>
      </w:r>
      <w:r w:rsidR="00541696" w:rsidRPr="00541696">
        <w:rPr>
          <w:rFonts w:ascii="Book Antiqua" w:eastAsia="Malgun Gothic" w:hAnsi="Book Antiqua" w:cs="Arial" w:hint="eastAsia"/>
          <w:b w:val="0"/>
          <w:iCs/>
          <w:sz w:val="24"/>
          <w:szCs w:val="24"/>
          <w:lang w:eastAsia="ko-KR"/>
        </w:rPr>
        <w:t>14</w:t>
      </w:r>
      <w:r w:rsidR="00541696" w:rsidRPr="00541696">
        <w:rPr>
          <w:rFonts w:ascii="Book Antiqua" w:eastAsia="Malgun Gothic" w:hAnsi="Book Antiqua" w:cs="Arial"/>
          <w:b w:val="0"/>
          <w:iCs/>
          <w:sz w:val="24"/>
          <w:szCs w:val="24"/>
          <w:lang w:eastAsia="ko-KR"/>
        </w:rPr>
        <w:t>/</w:t>
      </w:r>
      <w:r w:rsidR="00DC1B83">
        <w:rPr>
          <w:rFonts w:ascii="Book Antiqua" w:eastAsiaTheme="minorEastAsia" w:hAnsi="Book Antiqua" w:cs="Arial" w:hint="eastAsia"/>
          <w:b w:val="0"/>
          <w:iCs/>
          <w:sz w:val="24"/>
          <w:szCs w:val="24"/>
          <w:lang w:eastAsia="zh-CN"/>
        </w:rPr>
        <w:t>2902</w:t>
      </w:r>
      <w:r w:rsidR="00541696" w:rsidRPr="00541696">
        <w:rPr>
          <w:rFonts w:ascii="Book Antiqua" w:eastAsia="Malgun Gothic" w:hAnsi="Book Antiqua" w:cs="Arial"/>
          <w:b w:val="0"/>
          <w:iCs/>
          <w:sz w:val="24"/>
          <w:szCs w:val="24"/>
          <w:lang w:eastAsia="ko-KR"/>
        </w:rPr>
        <w:t>.htm  DOI: https://dx.doi.org/10.12998/wj</w:t>
      </w:r>
      <w:r w:rsidR="00541696" w:rsidRPr="00541696">
        <w:rPr>
          <w:rFonts w:ascii="Book Antiqua" w:eastAsia="Malgun Gothic" w:hAnsi="Book Antiqua" w:cs="Arial" w:hint="eastAsia"/>
          <w:b w:val="0"/>
          <w:iCs/>
          <w:sz w:val="24"/>
          <w:szCs w:val="24"/>
          <w:lang w:eastAsia="ko-KR"/>
        </w:rPr>
        <w:t>cc</w:t>
      </w:r>
      <w:r w:rsidR="00541696" w:rsidRPr="00541696">
        <w:rPr>
          <w:rFonts w:ascii="Book Antiqua" w:eastAsia="Malgun Gothic" w:hAnsi="Book Antiqua" w:cs="Arial"/>
          <w:b w:val="0"/>
          <w:iCs/>
          <w:sz w:val="24"/>
          <w:szCs w:val="24"/>
          <w:lang w:eastAsia="ko-KR"/>
        </w:rPr>
        <w:t>.v</w:t>
      </w:r>
      <w:r w:rsidR="00541696" w:rsidRPr="00541696">
        <w:rPr>
          <w:rFonts w:ascii="Book Antiqua" w:eastAsia="Malgun Gothic" w:hAnsi="Book Antiqua" w:cs="Arial" w:hint="eastAsia"/>
          <w:b w:val="0"/>
          <w:iCs/>
          <w:sz w:val="24"/>
          <w:szCs w:val="24"/>
          <w:lang w:eastAsia="ko-KR"/>
        </w:rPr>
        <w:t>8</w:t>
      </w:r>
      <w:r w:rsidR="00541696" w:rsidRPr="00541696">
        <w:rPr>
          <w:rFonts w:ascii="Book Antiqua" w:eastAsia="Malgun Gothic" w:hAnsi="Book Antiqua" w:cs="Arial"/>
          <w:b w:val="0"/>
          <w:iCs/>
          <w:sz w:val="24"/>
          <w:szCs w:val="24"/>
          <w:lang w:eastAsia="ko-KR"/>
        </w:rPr>
        <w:t>.i</w:t>
      </w:r>
      <w:r w:rsidR="00541696" w:rsidRPr="00541696">
        <w:rPr>
          <w:rFonts w:ascii="Book Antiqua" w:eastAsia="Malgun Gothic" w:hAnsi="Book Antiqua" w:cs="Arial" w:hint="eastAsia"/>
          <w:b w:val="0"/>
          <w:iCs/>
          <w:sz w:val="24"/>
          <w:szCs w:val="24"/>
          <w:lang w:eastAsia="ko-KR"/>
        </w:rPr>
        <w:t>14</w:t>
      </w:r>
      <w:r w:rsidR="00541696" w:rsidRPr="00541696">
        <w:rPr>
          <w:rFonts w:ascii="Book Antiqua" w:eastAsia="Malgun Gothic" w:hAnsi="Book Antiqua" w:cs="Arial"/>
          <w:b w:val="0"/>
          <w:iCs/>
          <w:sz w:val="24"/>
          <w:szCs w:val="24"/>
          <w:lang w:eastAsia="ko-KR"/>
        </w:rPr>
        <w:t>.</w:t>
      </w:r>
      <w:r w:rsidR="00DC1B83">
        <w:rPr>
          <w:rFonts w:ascii="Book Antiqua" w:eastAsiaTheme="minorEastAsia" w:hAnsi="Book Antiqua" w:cs="Arial" w:hint="eastAsia"/>
          <w:b w:val="0"/>
          <w:iCs/>
          <w:sz w:val="24"/>
          <w:szCs w:val="24"/>
          <w:lang w:eastAsia="zh-CN"/>
        </w:rPr>
        <w:t>2902</w:t>
      </w:r>
      <w:bookmarkStart w:id="38" w:name="_GoBack"/>
      <w:bookmarkEnd w:id="38"/>
    </w:p>
    <w:p w:rsidR="00163F81" w:rsidRPr="00991EB9" w:rsidRDefault="00163F81" w:rsidP="009A3473">
      <w:pPr>
        <w:pStyle w:val="BodyTextHead"/>
        <w:snapToGrid w:val="0"/>
        <w:spacing w:before="0" w:line="360" w:lineRule="auto"/>
        <w:jc w:val="both"/>
        <w:rPr>
          <w:rFonts w:ascii="Book Antiqua" w:eastAsia="Gulim" w:hAnsi="Book Antiqua"/>
        </w:rPr>
      </w:pPr>
    </w:p>
    <w:p w:rsidR="006A4907" w:rsidRPr="00991EB9" w:rsidRDefault="00B66505" w:rsidP="009A3473">
      <w:pPr>
        <w:pStyle w:val="BodyTextHead"/>
        <w:snapToGrid w:val="0"/>
        <w:spacing w:before="0" w:line="360" w:lineRule="auto"/>
        <w:jc w:val="both"/>
        <w:rPr>
          <w:rFonts w:ascii="Book Antiqua" w:hAnsi="Book Antiqua"/>
        </w:rPr>
      </w:pPr>
      <w:r w:rsidRPr="00991EB9">
        <w:rPr>
          <w:rFonts w:ascii="Book Antiqua" w:hAnsi="Book Antiqua"/>
          <w:b/>
        </w:rPr>
        <w:t>Core tip:</w:t>
      </w:r>
      <w:r w:rsidRPr="00991EB9">
        <w:rPr>
          <w:rFonts w:ascii="Book Antiqua" w:hAnsi="Book Antiqua"/>
        </w:rPr>
        <w:t xml:space="preserve"> </w:t>
      </w:r>
      <w:r w:rsidR="009952A6" w:rsidRPr="00991EB9">
        <w:rPr>
          <w:rFonts w:ascii="Book Antiqua" w:hAnsi="Book Antiqua"/>
        </w:rPr>
        <w:t>Image-enhanced endoscopy techniques such as narrow-band imaging (NBI) improve the d</w:t>
      </w:r>
      <w:r w:rsidR="0058760F" w:rsidRPr="00991EB9">
        <w:rPr>
          <w:rFonts w:ascii="Book Antiqua" w:hAnsi="Book Antiqua"/>
        </w:rPr>
        <w:t>iagnosis</w:t>
      </w:r>
      <w:r w:rsidR="009952A6" w:rsidRPr="00991EB9">
        <w:rPr>
          <w:rFonts w:ascii="Book Antiqua" w:hAnsi="Book Antiqua"/>
        </w:rPr>
        <w:t xml:space="preserve"> of </w:t>
      </w:r>
      <w:r w:rsidR="0058760F" w:rsidRPr="00991EB9">
        <w:rPr>
          <w:rFonts w:ascii="Book Antiqua" w:hAnsi="Book Antiqua"/>
          <w:i/>
        </w:rPr>
        <w:t>Helicobacter pylori</w:t>
      </w:r>
      <w:r w:rsidR="0058760F" w:rsidRPr="00991EB9">
        <w:rPr>
          <w:rFonts w:ascii="Book Antiqua" w:hAnsi="Book Antiqua"/>
        </w:rPr>
        <w:t xml:space="preserve"> infection, </w:t>
      </w:r>
      <w:r w:rsidR="00163F81" w:rsidRPr="00991EB9">
        <w:rPr>
          <w:rFonts w:ascii="Book Antiqua" w:hAnsi="Book Antiqua"/>
        </w:rPr>
        <w:t>atrophic gastritis</w:t>
      </w:r>
      <w:r w:rsidR="0058760F" w:rsidRPr="00991EB9">
        <w:rPr>
          <w:rFonts w:ascii="Book Antiqua" w:hAnsi="Book Antiqua"/>
        </w:rPr>
        <w:t>,</w:t>
      </w:r>
      <w:r w:rsidR="00163F81" w:rsidRPr="00991EB9">
        <w:rPr>
          <w:rFonts w:ascii="Book Antiqua" w:hAnsi="Book Antiqua"/>
        </w:rPr>
        <w:t xml:space="preserve"> and </w:t>
      </w:r>
      <w:r w:rsidR="009952A6" w:rsidRPr="00991EB9">
        <w:rPr>
          <w:rFonts w:ascii="Book Antiqua" w:hAnsi="Book Antiqua"/>
        </w:rPr>
        <w:t>gastric intestinal metaplasia (GIM). When NBI is combined with magnifying endoscopy, typical endoscopic f</w:t>
      </w:r>
      <w:r w:rsidR="004A5518" w:rsidRPr="00991EB9">
        <w:rPr>
          <w:rFonts w:ascii="Book Antiqua" w:hAnsi="Book Antiqua"/>
        </w:rPr>
        <w:t>indings</w:t>
      </w:r>
      <w:r w:rsidR="0058760F" w:rsidRPr="00991EB9">
        <w:rPr>
          <w:rFonts w:ascii="Book Antiqua" w:hAnsi="Book Antiqua"/>
        </w:rPr>
        <w:t xml:space="preserve"> </w:t>
      </w:r>
      <w:r w:rsidR="009952A6" w:rsidRPr="00991EB9">
        <w:rPr>
          <w:rFonts w:ascii="Book Antiqua" w:hAnsi="Book Antiqua"/>
        </w:rPr>
        <w:t xml:space="preserve">can clearly be observed. Thus, the extent and severity of GIM can be endoscopically evaluated by close mucosal observation. </w:t>
      </w:r>
      <w:r w:rsidR="00C82E97" w:rsidRPr="00991EB9">
        <w:rPr>
          <w:rFonts w:ascii="Book Antiqua" w:hAnsi="Book Antiqua"/>
        </w:rPr>
        <w:t xml:space="preserve">Based on the microvascular patterns, fine network, core vascular, and unclear patterns are useful for predicting gastric dysplasia in polypoid lesions. </w:t>
      </w:r>
      <w:r w:rsidR="009952A6" w:rsidRPr="00991EB9">
        <w:rPr>
          <w:rFonts w:ascii="Book Antiqua" w:hAnsi="Book Antiqua"/>
        </w:rPr>
        <w:t>When the endoscopist</w:t>
      </w:r>
      <w:r w:rsidR="008E4FFC" w:rsidRPr="00991EB9">
        <w:rPr>
          <w:rFonts w:ascii="Book Antiqua" w:hAnsi="Book Antiqua"/>
        </w:rPr>
        <w:t>s find</w:t>
      </w:r>
      <w:r w:rsidR="009952A6" w:rsidRPr="00991EB9">
        <w:rPr>
          <w:rFonts w:ascii="Book Antiqua" w:hAnsi="Book Antiqua"/>
        </w:rPr>
        <w:t xml:space="preserve"> </w:t>
      </w:r>
      <w:r w:rsidR="008E4FFC" w:rsidRPr="00991EB9">
        <w:rPr>
          <w:rFonts w:ascii="Book Antiqua" w:hAnsi="Book Antiqua"/>
        </w:rPr>
        <w:t>a</w:t>
      </w:r>
      <w:r w:rsidR="009952A6" w:rsidRPr="00991EB9">
        <w:rPr>
          <w:rFonts w:ascii="Book Antiqua" w:hAnsi="Book Antiqua"/>
        </w:rPr>
        <w:t xml:space="preserve"> small flat or depressed lesion, magnifying NBI endoscopy is helpful for differentiating between cancer and gastritis. The presence of a demarcation line and an irregular microvascular/microsurface pattern are highly suspicious for </w:t>
      </w:r>
      <w:r w:rsidR="003F53D9" w:rsidRPr="00991EB9">
        <w:rPr>
          <w:rFonts w:ascii="Book Antiqua" w:hAnsi="Book Antiqua"/>
        </w:rPr>
        <w:t xml:space="preserve">high grade dysplasia and </w:t>
      </w:r>
      <w:r w:rsidR="009952A6" w:rsidRPr="00991EB9">
        <w:rPr>
          <w:rFonts w:ascii="Book Antiqua" w:hAnsi="Book Antiqua"/>
        </w:rPr>
        <w:t>cancer. For endoscopic treatment of early gastric cancer, the horizontal tumor margin can be asse</w:t>
      </w:r>
      <w:r w:rsidR="006C662D" w:rsidRPr="00991EB9">
        <w:rPr>
          <w:rFonts w:ascii="Book Antiqua" w:hAnsi="Book Antiqua"/>
        </w:rPr>
        <w:t>ssed by magnifying NBI endoscopy</w:t>
      </w:r>
      <w:r w:rsidRPr="00991EB9">
        <w:rPr>
          <w:rFonts w:ascii="Book Antiqua" w:hAnsi="Book Antiqua"/>
        </w:rPr>
        <w:t>.</w:t>
      </w:r>
      <w:r w:rsidR="007D74DE" w:rsidRPr="00991EB9">
        <w:rPr>
          <w:rFonts w:ascii="Book Antiqua" w:hAnsi="Book Antiqua"/>
        </w:rPr>
        <w:t xml:space="preserve"> </w:t>
      </w:r>
    </w:p>
    <w:p w:rsidR="006A4907" w:rsidRPr="00991EB9" w:rsidRDefault="006A4907" w:rsidP="009A3473">
      <w:pPr>
        <w:pStyle w:val="BodyTextHead"/>
        <w:snapToGrid w:val="0"/>
        <w:spacing w:before="0" w:line="360" w:lineRule="auto"/>
        <w:jc w:val="both"/>
        <w:rPr>
          <w:rFonts w:ascii="Book Antiqua" w:eastAsia="Gulim" w:hAnsi="Book Antiqua"/>
        </w:rPr>
      </w:pPr>
    </w:p>
    <w:p w:rsidR="009C764D" w:rsidRPr="00991EB9" w:rsidRDefault="00635C25" w:rsidP="009A3473">
      <w:pPr>
        <w:wordWrap/>
        <w:snapToGrid w:val="0"/>
        <w:spacing w:line="360" w:lineRule="auto"/>
        <w:rPr>
          <w:rFonts w:ascii="Book Antiqua" w:eastAsia="Batang" w:hAnsi="Book Antiqua" w:cs="Arial"/>
          <w:b/>
          <w:sz w:val="24"/>
          <w:szCs w:val="24"/>
          <w:u w:val="single"/>
        </w:rPr>
      </w:pPr>
      <w:r w:rsidRPr="00991EB9">
        <w:rPr>
          <w:rFonts w:ascii="Book Antiqua" w:eastAsia="Gulim" w:hAnsi="Book Antiqua"/>
          <w:kern w:val="0"/>
          <w:sz w:val="24"/>
          <w:szCs w:val="24"/>
          <w:lang w:eastAsia="en-US"/>
        </w:rPr>
        <w:br w:type="page"/>
      </w:r>
      <w:r w:rsidR="009C764D" w:rsidRPr="00991EB9">
        <w:rPr>
          <w:rFonts w:ascii="Book Antiqua" w:eastAsia="Batang" w:hAnsi="Book Antiqua" w:cs="Arial"/>
          <w:b/>
          <w:sz w:val="24"/>
          <w:szCs w:val="24"/>
          <w:u w:val="single"/>
        </w:rPr>
        <w:t>I</w:t>
      </w:r>
      <w:r w:rsidR="006A4907" w:rsidRPr="00991EB9">
        <w:rPr>
          <w:rFonts w:ascii="Book Antiqua" w:eastAsia="Batang" w:hAnsi="Book Antiqua" w:cs="Arial"/>
          <w:b/>
          <w:sz w:val="24"/>
          <w:szCs w:val="24"/>
          <w:u w:val="single"/>
        </w:rPr>
        <w:t>NTRODUCTION</w:t>
      </w:r>
    </w:p>
    <w:p w:rsidR="009C764D" w:rsidRPr="00991EB9" w:rsidRDefault="009952A6" w:rsidP="009A3473">
      <w:pPr>
        <w:pStyle w:val="af5"/>
        <w:wordWrap/>
        <w:snapToGrid w:val="0"/>
        <w:spacing w:after="0" w:line="360" w:lineRule="auto"/>
        <w:ind w:firstLineChars="0" w:firstLine="0"/>
        <w:rPr>
          <w:rFonts w:ascii="Book Antiqua" w:hAnsi="Book Antiqua"/>
          <w:sz w:val="24"/>
          <w:szCs w:val="24"/>
        </w:rPr>
      </w:pPr>
      <w:r w:rsidRPr="00991EB9">
        <w:rPr>
          <w:rFonts w:ascii="Book Antiqua" w:hAnsi="Book Antiqua"/>
          <w:sz w:val="24"/>
          <w:szCs w:val="24"/>
        </w:rPr>
        <w:t>Gastric cancer is the third most common cause of cancer-related mortality worldwide</w:t>
      </w:r>
      <w:r w:rsidR="004E5725" w:rsidRPr="00991EB9">
        <w:rPr>
          <w:rFonts w:ascii="Book Antiqua" w:hAnsi="Book Antiqua"/>
          <w:sz w:val="24"/>
          <w:szCs w:val="24"/>
          <w:vertAlign w:val="superscript"/>
        </w:rPr>
        <w:t>[1]</w:t>
      </w:r>
      <w:r w:rsidRPr="00991EB9">
        <w:rPr>
          <w:rFonts w:ascii="Book Antiqua" w:hAnsi="Book Antiqua"/>
          <w:sz w:val="24"/>
          <w:szCs w:val="24"/>
        </w:rPr>
        <w:t xml:space="preserve">. Long-term </w:t>
      </w:r>
      <w:r w:rsidR="00022FC4" w:rsidRPr="00991EB9">
        <w:rPr>
          <w:rFonts w:ascii="Book Antiqua" w:hAnsi="Book Antiqua"/>
          <w:i/>
          <w:iCs/>
          <w:sz w:val="24"/>
          <w:szCs w:val="24"/>
        </w:rPr>
        <w:t>Helicobacter pylori</w:t>
      </w:r>
      <w:r w:rsidR="00022FC4" w:rsidRPr="00991EB9">
        <w:rPr>
          <w:rFonts w:ascii="Book Antiqua" w:hAnsi="Book Antiqua"/>
          <w:sz w:val="24"/>
          <w:szCs w:val="24"/>
        </w:rPr>
        <w:t xml:space="preserve"> (</w:t>
      </w:r>
      <w:r w:rsidR="00022FC4" w:rsidRPr="00991EB9">
        <w:rPr>
          <w:rFonts w:ascii="Book Antiqua" w:hAnsi="Book Antiqua"/>
          <w:i/>
          <w:iCs/>
          <w:sz w:val="24"/>
          <w:szCs w:val="24"/>
        </w:rPr>
        <w:t>H</w:t>
      </w:r>
      <w:r w:rsidR="00022FC4" w:rsidRPr="00991EB9">
        <w:rPr>
          <w:rFonts w:ascii="Book Antiqua" w:hAnsi="Book Antiqua"/>
          <w:iCs/>
          <w:sz w:val="24"/>
          <w:szCs w:val="24"/>
        </w:rPr>
        <w:t>.</w:t>
      </w:r>
      <w:r w:rsidR="00022FC4" w:rsidRPr="00991EB9">
        <w:rPr>
          <w:rFonts w:ascii="Book Antiqua" w:hAnsi="Book Antiqua"/>
          <w:i/>
          <w:iCs/>
          <w:sz w:val="24"/>
          <w:szCs w:val="24"/>
        </w:rPr>
        <w:t xml:space="preserve"> pylori</w:t>
      </w:r>
      <w:r w:rsidR="00022FC4" w:rsidRPr="00991EB9">
        <w:rPr>
          <w:rFonts w:ascii="Book Antiqua" w:hAnsi="Book Antiqua"/>
          <w:sz w:val="24"/>
          <w:szCs w:val="24"/>
        </w:rPr>
        <w:t>)</w:t>
      </w:r>
      <w:r w:rsidR="0030162A" w:rsidRPr="00991EB9">
        <w:rPr>
          <w:rFonts w:ascii="Book Antiqua" w:hAnsi="Book Antiqua"/>
          <w:sz w:val="24"/>
          <w:szCs w:val="24"/>
        </w:rPr>
        <w:t xml:space="preserve"> </w:t>
      </w:r>
      <w:r w:rsidRPr="00991EB9">
        <w:rPr>
          <w:rFonts w:ascii="Book Antiqua" w:hAnsi="Book Antiqua"/>
          <w:sz w:val="24"/>
          <w:szCs w:val="24"/>
        </w:rPr>
        <w:t>infection causes premalignant gastric conditions, such as atrophic gastritis and intestinal metaplasia</w:t>
      </w:r>
      <w:r w:rsidR="004E5725" w:rsidRPr="00991EB9">
        <w:rPr>
          <w:rFonts w:ascii="Book Antiqua" w:hAnsi="Book Antiqua"/>
          <w:sz w:val="24"/>
          <w:szCs w:val="24"/>
          <w:vertAlign w:val="superscript"/>
        </w:rPr>
        <w:t>[2]</w:t>
      </w:r>
      <w:r w:rsidRPr="00991EB9">
        <w:rPr>
          <w:rFonts w:ascii="Book Antiqua" w:hAnsi="Book Antiqua"/>
          <w:sz w:val="24"/>
          <w:szCs w:val="24"/>
        </w:rPr>
        <w:t>. In particular, gastric intestinal metaplasia (GIM) is a risk factor for gastric cancer development</w:t>
      </w:r>
      <w:r w:rsidR="004E5725" w:rsidRPr="00991EB9">
        <w:rPr>
          <w:rFonts w:ascii="Book Antiqua" w:hAnsi="Book Antiqua"/>
          <w:sz w:val="24"/>
          <w:szCs w:val="24"/>
          <w:vertAlign w:val="superscript"/>
        </w:rPr>
        <w:t>[3]</w:t>
      </w:r>
      <w:r w:rsidRPr="00991EB9">
        <w:rPr>
          <w:rFonts w:ascii="Book Antiqua" w:hAnsi="Book Antiqua"/>
          <w:sz w:val="24"/>
          <w:szCs w:val="24"/>
        </w:rPr>
        <w:t xml:space="preserve">. Although GIM is reportedly improved after </w:t>
      </w:r>
      <w:r w:rsidRPr="00991EB9">
        <w:rPr>
          <w:rFonts w:ascii="Book Antiqua" w:hAnsi="Book Antiqua"/>
          <w:i/>
          <w:iCs/>
          <w:sz w:val="24"/>
          <w:szCs w:val="24"/>
        </w:rPr>
        <w:t>H</w:t>
      </w:r>
      <w:r w:rsidRPr="00991EB9">
        <w:rPr>
          <w:rFonts w:ascii="Book Antiqua" w:hAnsi="Book Antiqua"/>
          <w:iCs/>
          <w:sz w:val="24"/>
          <w:szCs w:val="24"/>
        </w:rPr>
        <w:t>.</w:t>
      </w:r>
      <w:r w:rsidRPr="00991EB9">
        <w:rPr>
          <w:rFonts w:ascii="Book Antiqua" w:hAnsi="Book Antiqua"/>
          <w:i/>
          <w:iCs/>
          <w:sz w:val="24"/>
          <w:szCs w:val="24"/>
        </w:rPr>
        <w:t xml:space="preserve"> pylori</w:t>
      </w:r>
      <w:r w:rsidRPr="00991EB9">
        <w:rPr>
          <w:rFonts w:ascii="Book Antiqua" w:hAnsi="Book Antiqua"/>
          <w:sz w:val="24"/>
          <w:szCs w:val="24"/>
        </w:rPr>
        <w:t xml:space="preserve"> eradication, complete elimination of the gastric cancer risk cannot be guaranteed</w:t>
      </w:r>
      <w:r w:rsidR="004E5725" w:rsidRPr="00991EB9">
        <w:rPr>
          <w:rFonts w:ascii="Book Antiqua" w:hAnsi="Book Antiqua"/>
          <w:sz w:val="24"/>
          <w:szCs w:val="24"/>
          <w:vertAlign w:val="superscript"/>
        </w:rPr>
        <w:t>[4]</w:t>
      </w:r>
      <w:r w:rsidRPr="00991EB9">
        <w:rPr>
          <w:rFonts w:ascii="Book Antiqua" w:hAnsi="Book Antiqua"/>
          <w:sz w:val="24"/>
          <w:szCs w:val="24"/>
        </w:rPr>
        <w:t>. Thus, surveillance endoscopy is recommended in subjects with precancerous lesions at the time of eradication</w:t>
      </w:r>
      <w:r w:rsidR="004E5725" w:rsidRPr="00991EB9">
        <w:rPr>
          <w:rFonts w:ascii="Book Antiqua" w:hAnsi="Book Antiqua"/>
          <w:sz w:val="24"/>
          <w:szCs w:val="24"/>
          <w:vertAlign w:val="superscript"/>
        </w:rPr>
        <w:t>[5]</w:t>
      </w:r>
      <w:r w:rsidRPr="00991EB9">
        <w:rPr>
          <w:rFonts w:ascii="Book Antiqua" w:hAnsi="Book Antiqua"/>
          <w:sz w:val="24"/>
          <w:szCs w:val="24"/>
        </w:rPr>
        <w:t xml:space="preserve">. The diagnostic accuracy for precancerous lesions and gastric </w:t>
      </w:r>
      <w:r w:rsidR="002D7077" w:rsidRPr="00991EB9">
        <w:rPr>
          <w:rFonts w:ascii="Book Antiqua" w:hAnsi="Book Antiqua"/>
          <w:sz w:val="24"/>
          <w:szCs w:val="24"/>
        </w:rPr>
        <w:t>neoplasia</w:t>
      </w:r>
      <w:r w:rsidRPr="00991EB9">
        <w:rPr>
          <w:rFonts w:ascii="Book Antiqua" w:hAnsi="Book Antiqua"/>
          <w:sz w:val="24"/>
          <w:szCs w:val="24"/>
        </w:rPr>
        <w:t xml:space="preserve"> of image-enhanced endoscopy has been increased by the advent of narrow-band imaging (NBI) endoscopy</w:t>
      </w:r>
      <w:r w:rsidR="004E5725" w:rsidRPr="00991EB9">
        <w:rPr>
          <w:rFonts w:ascii="Book Antiqua" w:hAnsi="Book Antiqua"/>
          <w:sz w:val="24"/>
          <w:szCs w:val="24"/>
          <w:vertAlign w:val="superscript"/>
        </w:rPr>
        <w:t>[6,7]</w:t>
      </w:r>
      <w:r w:rsidRPr="00991EB9">
        <w:rPr>
          <w:rFonts w:ascii="Book Antiqua" w:hAnsi="Book Antiqua"/>
          <w:sz w:val="24"/>
          <w:szCs w:val="24"/>
        </w:rPr>
        <w:t xml:space="preserve">. Before endoscopic submucosal dissection, NBI endoscopy can determine the margin of </w:t>
      </w:r>
      <w:r w:rsidR="00AD24A7" w:rsidRPr="00991EB9">
        <w:rPr>
          <w:rFonts w:ascii="Book Antiqua" w:hAnsi="Book Antiqua"/>
          <w:sz w:val="24"/>
          <w:szCs w:val="24"/>
        </w:rPr>
        <w:t xml:space="preserve">gastric dysplasia and </w:t>
      </w:r>
      <w:r w:rsidRPr="00991EB9">
        <w:rPr>
          <w:rFonts w:ascii="Book Antiqua" w:hAnsi="Book Antiqua"/>
          <w:sz w:val="24"/>
          <w:szCs w:val="24"/>
        </w:rPr>
        <w:t>cancer to promote complete removal</w:t>
      </w:r>
      <w:r w:rsidR="004E5725" w:rsidRPr="00991EB9">
        <w:rPr>
          <w:rFonts w:ascii="Book Antiqua" w:hAnsi="Book Antiqua"/>
          <w:sz w:val="24"/>
          <w:szCs w:val="24"/>
          <w:vertAlign w:val="superscript"/>
        </w:rPr>
        <w:t>[8]</w:t>
      </w:r>
      <w:r w:rsidRPr="00991EB9">
        <w:rPr>
          <w:rFonts w:ascii="Book Antiqua" w:hAnsi="Book Antiqua"/>
          <w:sz w:val="24"/>
          <w:szCs w:val="24"/>
        </w:rPr>
        <w:t xml:space="preserve">. Although pathologic diagnosis is the gold standard, accurate endoscopic prediction is important to minimize the number of biopsies and prevent post-biopsy bleeding. Herein, we present up-to-date results on the clinical usefulness of NBI endoscopy for the </w:t>
      </w:r>
      <w:r w:rsidR="001E289A" w:rsidRPr="00991EB9">
        <w:rPr>
          <w:rFonts w:ascii="Book Antiqua" w:hAnsi="Book Antiqua"/>
          <w:sz w:val="24"/>
          <w:szCs w:val="24"/>
        </w:rPr>
        <w:t xml:space="preserve">diagnosis of </w:t>
      </w:r>
      <w:r w:rsidR="001E289A" w:rsidRPr="00991EB9">
        <w:rPr>
          <w:rFonts w:ascii="Book Antiqua" w:hAnsi="Book Antiqua"/>
          <w:i/>
          <w:iCs/>
          <w:sz w:val="24"/>
          <w:szCs w:val="24"/>
        </w:rPr>
        <w:t>H. pylori</w:t>
      </w:r>
      <w:r w:rsidR="001E289A" w:rsidRPr="00991EB9">
        <w:rPr>
          <w:rFonts w:ascii="Book Antiqua" w:hAnsi="Book Antiqua"/>
          <w:sz w:val="24"/>
          <w:szCs w:val="24"/>
        </w:rPr>
        <w:t xml:space="preserve"> gastritis, </w:t>
      </w:r>
      <w:r w:rsidRPr="00991EB9">
        <w:rPr>
          <w:rFonts w:ascii="Book Antiqua" w:hAnsi="Book Antiqua"/>
          <w:sz w:val="24"/>
          <w:szCs w:val="24"/>
        </w:rPr>
        <w:t>precancerous gastric lesion</w:t>
      </w:r>
      <w:r w:rsidR="001E289A" w:rsidRPr="00991EB9">
        <w:rPr>
          <w:rFonts w:ascii="Book Antiqua" w:hAnsi="Book Antiqua"/>
          <w:sz w:val="24"/>
          <w:szCs w:val="24"/>
        </w:rPr>
        <w:t>,</w:t>
      </w:r>
      <w:r w:rsidRPr="00991EB9">
        <w:rPr>
          <w:rFonts w:ascii="Book Antiqua" w:hAnsi="Book Antiqua"/>
          <w:sz w:val="24"/>
          <w:szCs w:val="24"/>
        </w:rPr>
        <w:t xml:space="preserve"> and neoplasia</w:t>
      </w:r>
      <w:r w:rsidR="0006067A" w:rsidRPr="00991EB9">
        <w:rPr>
          <w:rFonts w:ascii="Book Antiqua" w:hAnsi="Book Antiqua"/>
          <w:sz w:val="24"/>
          <w:szCs w:val="24"/>
        </w:rPr>
        <w:t xml:space="preserve">. </w:t>
      </w:r>
      <w:r w:rsidR="005A20F7" w:rsidRPr="00991EB9">
        <w:rPr>
          <w:rFonts w:ascii="Book Antiqua" w:hAnsi="Book Antiqua"/>
          <w:sz w:val="24"/>
          <w:szCs w:val="24"/>
        </w:rPr>
        <w:t xml:space="preserve">This review consists of </w:t>
      </w:r>
      <w:r w:rsidR="007331E5" w:rsidRPr="00991EB9">
        <w:rPr>
          <w:rFonts w:ascii="Book Antiqua" w:hAnsi="Book Antiqua"/>
          <w:sz w:val="24"/>
          <w:szCs w:val="24"/>
        </w:rPr>
        <w:t xml:space="preserve">the following: (1) </w:t>
      </w:r>
      <w:r w:rsidR="005A20F7" w:rsidRPr="00991EB9">
        <w:rPr>
          <w:rFonts w:ascii="Book Antiqua" w:hAnsi="Book Antiqua"/>
          <w:i/>
          <w:iCs/>
          <w:sz w:val="24"/>
          <w:szCs w:val="24"/>
        </w:rPr>
        <w:t>H. pylori</w:t>
      </w:r>
      <w:r w:rsidR="005A20F7" w:rsidRPr="00991EB9">
        <w:rPr>
          <w:rFonts w:ascii="Book Antiqua" w:hAnsi="Book Antiqua"/>
          <w:sz w:val="24"/>
          <w:szCs w:val="24"/>
        </w:rPr>
        <w:t xml:space="preserve"> gastritis</w:t>
      </w:r>
      <w:r w:rsidR="00D3722D" w:rsidRPr="00991EB9">
        <w:rPr>
          <w:rFonts w:ascii="Book Antiqua" w:hAnsi="Book Antiqua"/>
          <w:sz w:val="24"/>
          <w:szCs w:val="24"/>
        </w:rPr>
        <w:t>;</w:t>
      </w:r>
      <w:r w:rsidR="00615845" w:rsidRPr="00991EB9">
        <w:rPr>
          <w:rFonts w:ascii="Book Antiqua" w:hAnsi="Book Antiqua"/>
          <w:sz w:val="24"/>
          <w:szCs w:val="24"/>
        </w:rPr>
        <w:t xml:space="preserve"> (2) </w:t>
      </w:r>
      <w:r w:rsidR="00293822" w:rsidRPr="00991EB9">
        <w:rPr>
          <w:rFonts w:ascii="Book Antiqua" w:hAnsi="Book Antiqua"/>
          <w:sz w:val="24"/>
          <w:szCs w:val="24"/>
        </w:rPr>
        <w:t xml:space="preserve">atrophic gastritis and </w:t>
      </w:r>
      <w:r w:rsidR="003E52F0" w:rsidRPr="00991EB9">
        <w:rPr>
          <w:rFonts w:ascii="Book Antiqua" w:hAnsi="Book Antiqua"/>
          <w:sz w:val="24"/>
          <w:szCs w:val="24"/>
        </w:rPr>
        <w:t>GIM</w:t>
      </w:r>
      <w:r w:rsidR="00D3722D" w:rsidRPr="00991EB9">
        <w:rPr>
          <w:rFonts w:ascii="Book Antiqua" w:hAnsi="Book Antiqua"/>
          <w:sz w:val="24"/>
          <w:szCs w:val="24"/>
        </w:rPr>
        <w:t>;</w:t>
      </w:r>
      <w:r w:rsidR="00615845" w:rsidRPr="00991EB9">
        <w:rPr>
          <w:rFonts w:ascii="Book Antiqua" w:hAnsi="Book Antiqua"/>
          <w:sz w:val="24"/>
          <w:szCs w:val="24"/>
        </w:rPr>
        <w:t xml:space="preserve"> (3) </w:t>
      </w:r>
      <w:r w:rsidR="00D0531A" w:rsidRPr="00991EB9">
        <w:rPr>
          <w:rFonts w:ascii="Book Antiqua" w:hAnsi="Book Antiqua"/>
          <w:sz w:val="24"/>
          <w:szCs w:val="24"/>
        </w:rPr>
        <w:t>gastric dysplasia</w:t>
      </w:r>
      <w:r w:rsidR="00D3722D" w:rsidRPr="00991EB9">
        <w:rPr>
          <w:rFonts w:ascii="Book Antiqua" w:hAnsi="Book Antiqua"/>
          <w:sz w:val="24"/>
          <w:szCs w:val="24"/>
        </w:rPr>
        <w:t>;</w:t>
      </w:r>
      <w:r w:rsidR="00615845" w:rsidRPr="00991EB9">
        <w:rPr>
          <w:rFonts w:ascii="Book Antiqua" w:hAnsi="Book Antiqua"/>
          <w:sz w:val="24"/>
          <w:szCs w:val="24"/>
        </w:rPr>
        <w:t xml:space="preserve"> and (4) </w:t>
      </w:r>
      <w:r w:rsidR="00AD24A7" w:rsidRPr="00991EB9">
        <w:rPr>
          <w:rFonts w:ascii="Book Antiqua" w:hAnsi="Book Antiqua"/>
          <w:sz w:val="24"/>
          <w:szCs w:val="24"/>
        </w:rPr>
        <w:t>early gastric cancer</w:t>
      </w:r>
      <w:r w:rsidR="00952025" w:rsidRPr="00991EB9">
        <w:rPr>
          <w:rFonts w:ascii="Book Antiqua" w:hAnsi="Book Antiqua"/>
          <w:sz w:val="24"/>
          <w:szCs w:val="24"/>
        </w:rPr>
        <w:t xml:space="preserve"> (EGC)</w:t>
      </w:r>
      <w:r w:rsidR="009C764D" w:rsidRPr="00991EB9">
        <w:rPr>
          <w:rFonts w:ascii="Book Antiqua" w:hAnsi="Book Antiqua"/>
          <w:sz w:val="24"/>
          <w:szCs w:val="24"/>
        </w:rPr>
        <w:t xml:space="preserve">. </w:t>
      </w:r>
    </w:p>
    <w:p w:rsidR="0012106C" w:rsidRPr="00991EB9" w:rsidRDefault="0012106C" w:rsidP="009A3473">
      <w:pPr>
        <w:wordWrap/>
        <w:snapToGrid w:val="0"/>
        <w:spacing w:line="360" w:lineRule="auto"/>
        <w:rPr>
          <w:rFonts w:ascii="Book Antiqua" w:eastAsia="Batang" w:hAnsi="Book Antiqua" w:cs="Arial"/>
          <w:b/>
          <w:sz w:val="24"/>
          <w:szCs w:val="24"/>
        </w:rPr>
      </w:pPr>
    </w:p>
    <w:p w:rsidR="00474C41" w:rsidRPr="00991EB9" w:rsidRDefault="00712ED8" w:rsidP="009A3473">
      <w:pPr>
        <w:pStyle w:val="af5"/>
        <w:wordWrap/>
        <w:snapToGrid w:val="0"/>
        <w:spacing w:after="0" w:line="360" w:lineRule="auto"/>
        <w:ind w:firstLineChars="0" w:firstLine="0"/>
        <w:rPr>
          <w:rFonts w:ascii="Book Antiqua" w:hAnsi="Book Antiqua" w:cs="Arial"/>
          <w:b/>
          <w:sz w:val="24"/>
          <w:szCs w:val="24"/>
          <w:u w:val="single"/>
        </w:rPr>
      </w:pPr>
      <w:r w:rsidRPr="00991EB9">
        <w:rPr>
          <w:rFonts w:ascii="Book Antiqua" w:hAnsi="Book Antiqua" w:cs="Arial"/>
          <w:b/>
          <w:sz w:val="24"/>
          <w:szCs w:val="24"/>
          <w:u w:val="single"/>
        </w:rPr>
        <w:t>PRINCIPLE OF NARROW-BAND IMAGING</w:t>
      </w:r>
      <w:r w:rsidR="008A74C5" w:rsidRPr="00991EB9">
        <w:rPr>
          <w:rFonts w:ascii="Book Antiqua" w:hAnsi="Book Antiqua" w:cs="Arial"/>
          <w:b/>
          <w:sz w:val="24"/>
          <w:szCs w:val="24"/>
          <w:u w:val="single"/>
        </w:rPr>
        <w:t xml:space="preserve"> </w:t>
      </w:r>
      <w:r w:rsidRPr="00991EB9">
        <w:rPr>
          <w:rFonts w:ascii="Book Antiqua" w:hAnsi="Book Antiqua" w:cs="Arial"/>
          <w:b/>
          <w:sz w:val="24"/>
          <w:szCs w:val="24"/>
          <w:u w:val="single"/>
        </w:rPr>
        <w:t>WITH MAGNIFICATION</w:t>
      </w:r>
    </w:p>
    <w:p w:rsidR="00F50898" w:rsidRPr="00991EB9" w:rsidRDefault="009952A6" w:rsidP="009A3473">
      <w:pPr>
        <w:wordWrap/>
        <w:snapToGrid w:val="0"/>
        <w:spacing w:line="360" w:lineRule="auto"/>
        <w:rPr>
          <w:rFonts w:ascii="Book Antiqua" w:eastAsia="Gulim" w:hAnsi="Book Antiqua"/>
          <w:sz w:val="24"/>
          <w:szCs w:val="24"/>
        </w:rPr>
      </w:pPr>
      <w:r w:rsidRPr="00991EB9">
        <w:rPr>
          <w:rFonts w:ascii="Book Antiqua" w:hAnsi="Book Antiqua"/>
          <w:sz w:val="24"/>
          <w:szCs w:val="24"/>
        </w:rPr>
        <w:t xml:space="preserve">In 2005, technological advances resulted in the advent of NBI. NBI is an innovative optical method that modifies the wavelengths and bandwidths of the light into narrow bands of 415 ± 30 </w:t>
      </w:r>
      <w:r w:rsidR="00372F4A" w:rsidRPr="00991EB9">
        <w:rPr>
          <w:rFonts w:ascii="Book Antiqua" w:hAnsi="Book Antiqua"/>
          <w:sz w:val="24"/>
          <w:szCs w:val="24"/>
        </w:rPr>
        <w:t xml:space="preserve">nm </w:t>
      </w:r>
      <w:r w:rsidRPr="00991EB9">
        <w:rPr>
          <w:rFonts w:ascii="Book Antiqua" w:hAnsi="Book Antiqua"/>
          <w:sz w:val="24"/>
          <w:szCs w:val="24"/>
        </w:rPr>
        <w:t>and 540 ± 30 nm</w:t>
      </w:r>
      <w:r w:rsidR="00DF2AD4" w:rsidRPr="00991EB9">
        <w:rPr>
          <w:rFonts w:ascii="Book Antiqua" w:hAnsi="Book Antiqua"/>
          <w:sz w:val="24"/>
          <w:szCs w:val="24"/>
          <w:vertAlign w:val="superscript"/>
        </w:rPr>
        <w:t>[9]</w:t>
      </w:r>
      <w:r w:rsidRPr="00991EB9">
        <w:rPr>
          <w:rFonts w:ascii="Book Antiqua" w:hAnsi="Book Antiqua"/>
          <w:sz w:val="24"/>
          <w:szCs w:val="24"/>
        </w:rPr>
        <w:t>. In this endoscopy system, which uses a red (R), green (G), and blue (B) sequential imaging system, the gastrointestinal mucosa is illuminated sequentially with R, G, and B light through a rotating RGB filter wheel</w:t>
      </w:r>
      <w:r w:rsidR="00522FC2" w:rsidRPr="00991EB9">
        <w:rPr>
          <w:rFonts w:ascii="Book Antiqua" w:hAnsi="Book Antiqua"/>
          <w:sz w:val="24"/>
          <w:szCs w:val="24"/>
          <w:vertAlign w:val="superscript"/>
        </w:rPr>
        <w:t>[10]</w:t>
      </w:r>
      <w:r w:rsidRPr="00991EB9">
        <w:rPr>
          <w:rFonts w:ascii="Book Antiqua" w:hAnsi="Book Antiqua"/>
          <w:sz w:val="24"/>
          <w:szCs w:val="24"/>
        </w:rPr>
        <w:t>. When the endoscopist presses the button on the handle, a narrow-band filter is inserted between the lamp and the RGB filter. Red light (long wavelength) diffuses widely and deeply, whereas blue light (short wavelength) diffuses within a smaller range and less deeply. Because short-wavelength light strongly reflects from the epithelial surface, it is suitable for visualizing its morphology. Therefore, NBI improves upon the detailed visualization possible by magnifying endoscopy (Figure 1)</w:t>
      </w:r>
      <w:r w:rsidR="00F50898" w:rsidRPr="00991EB9">
        <w:rPr>
          <w:rFonts w:ascii="Book Antiqua" w:eastAsia="Gulim" w:hAnsi="Book Antiqua"/>
          <w:sz w:val="24"/>
          <w:szCs w:val="24"/>
        </w:rPr>
        <w:t xml:space="preserve">. </w:t>
      </w:r>
    </w:p>
    <w:p w:rsidR="00474C41" w:rsidRPr="00991EB9" w:rsidRDefault="009952A6" w:rsidP="009A3473">
      <w:pPr>
        <w:wordWrap/>
        <w:snapToGrid w:val="0"/>
        <w:spacing w:line="360" w:lineRule="auto"/>
        <w:ind w:firstLineChars="100" w:firstLine="240"/>
        <w:rPr>
          <w:rFonts w:ascii="Book Antiqua" w:eastAsia="Gulim" w:hAnsi="Book Antiqua"/>
          <w:sz w:val="24"/>
          <w:szCs w:val="24"/>
        </w:rPr>
      </w:pPr>
      <w:r w:rsidRPr="00991EB9">
        <w:rPr>
          <w:rFonts w:ascii="Book Antiqua" w:hAnsi="Book Antiqua"/>
          <w:sz w:val="24"/>
          <w:szCs w:val="24"/>
        </w:rPr>
        <w:t>Magnifying endoscopy enables examination of the microanatomy of the gastric mucosa</w:t>
      </w:r>
      <w:r w:rsidR="00522FC2" w:rsidRPr="00991EB9">
        <w:rPr>
          <w:rFonts w:ascii="Book Antiqua" w:hAnsi="Book Antiqua"/>
          <w:sz w:val="24"/>
          <w:szCs w:val="24"/>
          <w:vertAlign w:val="superscript"/>
        </w:rPr>
        <w:t>[11]</w:t>
      </w:r>
      <w:r w:rsidRPr="00991EB9">
        <w:rPr>
          <w:rFonts w:ascii="Book Antiqua" w:hAnsi="Book Antiqua"/>
          <w:sz w:val="24"/>
          <w:szCs w:val="24"/>
        </w:rPr>
        <w:t>. When a soft black cap is fixed to the tip of the endoscope, it is possible to maintain a distance of approximately 2 mm, at which up to 100-fold magnification is feasible. This system produces sharp images of microvascular architecture and microsurface structure. In the upper gastrointestinal tract, the line of sight may be disrupted by respiration movement and great vessel pulsation. To climb the learning curve of magnifying endoscopy, a proper training system under an experienced supervisor is required</w:t>
      </w:r>
      <w:r w:rsidR="00682C5A" w:rsidRPr="00991EB9">
        <w:rPr>
          <w:rFonts w:ascii="Book Antiqua" w:hAnsi="Book Antiqua"/>
          <w:sz w:val="24"/>
          <w:szCs w:val="24"/>
        </w:rPr>
        <w:t xml:space="preserve">. </w:t>
      </w:r>
    </w:p>
    <w:p w:rsidR="00474C41" w:rsidRPr="00991EB9" w:rsidRDefault="00474C41" w:rsidP="009A3473">
      <w:pPr>
        <w:wordWrap/>
        <w:snapToGrid w:val="0"/>
        <w:spacing w:line="360" w:lineRule="auto"/>
        <w:rPr>
          <w:rFonts w:ascii="Book Antiqua" w:hAnsi="Book Antiqua" w:cs="Arial"/>
          <w:b/>
          <w:i/>
          <w:sz w:val="24"/>
          <w:szCs w:val="24"/>
        </w:rPr>
      </w:pPr>
    </w:p>
    <w:p w:rsidR="00B51B5A" w:rsidRPr="00991EB9" w:rsidRDefault="0030162A" w:rsidP="009A3473">
      <w:pPr>
        <w:pStyle w:val="af5"/>
        <w:wordWrap/>
        <w:snapToGrid w:val="0"/>
        <w:spacing w:after="0" w:line="360" w:lineRule="auto"/>
        <w:ind w:firstLineChars="0" w:firstLine="0"/>
        <w:rPr>
          <w:rFonts w:ascii="Book Antiqua" w:hAnsi="Book Antiqua" w:cs="Arial"/>
          <w:b/>
          <w:sz w:val="24"/>
          <w:szCs w:val="24"/>
          <w:u w:val="single"/>
        </w:rPr>
      </w:pPr>
      <w:r w:rsidRPr="00991EB9">
        <w:rPr>
          <w:rFonts w:ascii="Book Antiqua" w:hAnsi="Book Antiqua" w:cs="Arial"/>
          <w:b/>
          <w:i/>
          <w:caps/>
          <w:sz w:val="24"/>
          <w:szCs w:val="24"/>
          <w:u w:val="single"/>
        </w:rPr>
        <w:t>H. pylori</w:t>
      </w:r>
      <w:r w:rsidR="00702533" w:rsidRPr="00991EB9">
        <w:rPr>
          <w:rFonts w:ascii="Book Antiqua" w:hAnsi="Book Antiqua" w:cs="Arial"/>
          <w:b/>
          <w:caps/>
          <w:sz w:val="24"/>
          <w:szCs w:val="24"/>
          <w:u w:val="single"/>
        </w:rPr>
        <w:t xml:space="preserve"> </w:t>
      </w:r>
      <w:r w:rsidR="006D0D34" w:rsidRPr="00991EB9">
        <w:rPr>
          <w:rFonts w:ascii="Book Antiqua" w:hAnsi="Book Antiqua" w:cs="Arial"/>
          <w:b/>
          <w:sz w:val="24"/>
          <w:szCs w:val="24"/>
          <w:u w:val="single"/>
        </w:rPr>
        <w:t>GASTRITIS</w:t>
      </w:r>
    </w:p>
    <w:p w:rsidR="00E65C4C" w:rsidRPr="00991EB9" w:rsidRDefault="009952A6" w:rsidP="009A3473">
      <w:pPr>
        <w:pStyle w:val="af5"/>
        <w:wordWrap/>
        <w:snapToGrid w:val="0"/>
        <w:spacing w:after="0" w:line="360" w:lineRule="auto"/>
        <w:ind w:firstLineChars="0" w:firstLine="0"/>
        <w:rPr>
          <w:rFonts w:ascii="Book Antiqua" w:eastAsia="HYSinMyeongJo-Medium" w:hAnsi="Book Antiqua"/>
          <w:sz w:val="24"/>
          <w:szCs w:val="24"/>
        </w:rPr>
      </w:pPr>
      <w:r w:rsidRPr="00991EB9">
        <w:rPr>
          <w:rFonts w:ascii="Book Antiqua" w:hAnsi="Book Antiqua"/>
          <w:sz w:val="24"/>
          <w:szCs w:val="24"/>
        </w:rPr>
        <w:t xml:space="preserve">Initially, the main tests for </w:t>
      </w:r>
      <w:r w:rsidRPr="00991EB9">
        <w:rPr>
          <w:rFonts w:ascii="Book Antiqua" w:hAnsi="Book Antiqua"/>
          <w:i/>
          <w:iCs/>
          <w:sz w:val="24"/>
          <w:szCs w:val="24"/>
        </w:rPr>
        <w:t>H</w:t>
      </w:r>
      <w:r w:rsidRPr="00991EB9">
        <w:rPr>
          <w:rFonts w:ascii="Book Antiqua" w:hAnsi="Book Antiqua"/>
          <w:iCs/>
          <w:sz w:val="24"/>
          <w:szCs w:val="24"/>
        </w:rPr>
        <w:t>.</w:t>
      </w:r>
      <w:r w:rsidRPr="00991EB9">
        <w:rPr>
          <w:rFonts w:ascii="Book Antiqua" w:hAnsi="Book Antiqua"/>
          <w:i/>
          <w:iCs/>
          <w:sz w:val="24"/>
          <w:szCs w:val="24"/>
        </w:rPr>
        <w:t xml:space="preserve"> pylori</w:t>
      </w:r>
      <w:r w:rsidRPr="00991EB9">
        <w:rPr>
          <w:rFonts w:ascii="Book Antiqua" w:hAnsi="Book Antiqua"/>
          <w:sz w:val="24"/>
          <w:szCs w:val="24"/>
        </w:rPr>
        <w:t xml:space="preserve"> infection were the rapid urease test and pathologic examination, both of which require a biopsy specimen</w:t>
      </w:r>
      <w:r w:rsidR="00FF68EF" w:rsidRPr="00991EB9">
        <w:rPr>
          <w:rFonts w:ascii="Book Antiqua" w:hAnsi="Book Antiqua"/>
          <w:sz w:val="24"/>
          <w:szCs w:val="24"/>
          <w:vertAlign w:val="superscript"/>
        </w:rPr>
        <w:t>[12]</w:t>
      </w:r>
      <w:r w:rsidRPr="00991EB9">
        <w:rPr>
          <w:rFonts w:ascii="Book Antiqua" w:hAnsi="Book Antiqua"/>
          <w:sz w:val="24"/>
          <w:szCs w:val="24"/>
        </w:rPr>
        <w:t xml:space="preserve">. The development of endoscopy techniques enabled detection in real time, earlier than possible using these biopsy-based tests. </w:t>
      </w:r>
      <w:r w:rsidR="002A4616" w:rsidRPr="00991EB9">
        <w:rPr>
          <w:rFonts w:ascii="Book Antiqua" w:hAnsi="Book Antiqua"/>
          <w:sz w:val="24"/>
          <w:szCs w:val="24"/>
        </w:rPr>
        <w:t xml:space="preserve">In 2005, </w:t>
      </w:r>
      <w:r w:rsidRPr="00991EB9">
        <w:rPr>
          <w:rFonts w:ascii="Book Antiqua" w:hAnsi="Book Antiqua"/>
          <w:sz w:val="24"/>
          <w:szCs w:val="24"/>
        </w:rPr>
        <w:t xml:space="preserve">a regular arrangement of collecting venules (RAC) was </w:t>
      </w:r>
      <w:r w:rsidR="007A50FB" w:rsidRPr="00991EB9">
        <w:rPr>
          <w:rFonts w:ascii="Book Antiqua" w:hAnsi="Book Antiqua"/>
          <w:sz w:val="24"/>
          <w:szCs w:val="24"/>
        </w:rPr>
        <w:t xml:space="preserve">suggested </w:t>
      </w:r>
      <w:r w:rsidR="001259A4" w:rsidRPr="00991EB9">
        <w:rPr>
          <w:rFonts w:ascii="Book Antiqua" w:hAnsi="Book Antiqua"/>
          <w:sz w:val="24"/>
          <w:szCs w:val="24"/>
        </w:rPr>
        <w:t>as</w:t>
      </w:r>
      <w:r w:rsidRPr="00991EB9">
        <w:rPr>
          <w:rFonts w:ascii="Book Antiqua" w:hAnsi="Book Antiqua"/>
          <w:sz w:val="24"/>
          <w:szCs w:val="24"/>
        </w:rPr>
        <w:t xml:space="preserve"> </w:t>
      </w:r>
      <w:r w:rsidR="001259A4" w:rsidRPr="00991EB9">
        <w:rPr>
          <w:rFonts w:ascii="Book Antiqua" w:hAnsi="Book Antiqua"/>
          <w:sz w:val="24"/>
          <w:szCs w:val="24"/>
        </w:rPr>
        <w:t xml:space="preserve">the </w:t>
      </w:r>
      <w:r w:rsidRPr="00991EB9">
        <w:rPr>
          <w:rFonts w:ascii="Book Antiqua" w:hAnsi="Book Antiqua"/>
          <w:sz w:val="24"/>
          <w:szCs w:val="24"/>
        </w:rPr>
        <w:t xml:space="preserve">normal pattern in gastric mucosa without </w:t>
      </w:r>
      <w:r w:rsidRPr="00991EB9">
        <w:rPr>
          <w:rFonts w:ascii="Book Antiqua" w:hAnsi="Book Antiqua"/>
          <w:i/>
          <w:iCs/>
          <w:sz w:val="24"/>
          <w:szCs w:val="24"/>
        </w:rPr>
        <w:t>H</w:t>
      </w:r>
      <w:r w:rsidRPr="00991EB9">
        <w:rPr>
          <w:rFonts w:ascii="Book Antiqua" w:hAnsi="Book Antiqua"/>
          <w:iCs/>
          <w:sz w:val="24"/>
          <w:szCs w:val="24"/>
        </w:rPr>
        <w:t>.</w:t>
      </w:r>
      <w:r w:rsidRPr="00991EB9">
        <w:rPr>
          <w:rFonts w:ascii="Book Antiqua" w:hAnsi="Book Antiqua"/>
          <w:i/>
          <w:iCs/>
          <w:sz w:val="24"/>
          <w:szCs w:val="24"/>
        </w:rPr>
        <w:t xml:space="preserve"> pylori</w:t>
      </w:r>
      <w:r w:rsidRPr="00991EB9">
        <w:rPr>
          <w:rFonts w:ascii="Book Antiqua" w:hAnsi="Book Antiqua"/>
          <w:sz w:val="24"/>
          <w:szCs w:val="24"/>
        </w:rPr>
        <w:t xml:space="preserve"> infection</w:t>
      </w:r>
      <w:r w:rsidR="00FF68EF" w:rsidRPr="00991EB9">
        <w:rPr>
          <w:rFonts w:ascii="Book Antiqua" w:hAnsi="Book Antiqua"/>
          <w:sz w:val="24"/>
          <w:szCs w:val="24"/>
          <w:vertAlign w:val="superscript"/>
        </w:rPr>
        <w:t>[13]</w:t>
      </w:r>
      <w:r w:rsidRPr="00991EB9">
        <w:rPr>
          <w:rFonts w:ascii="Book Antiqua" w:hAnsi="Book Antiqua"/>
          <w:sz w:val="24"/>
          <w:szCs w:val="24"/>
        </w:rPr>
        <w:t xml:space="preserve">. When the gastric corpus was examined by magnifying endoscopy, </w:t>
      </w:r>
      <w:r w:rsidRPr="00991EB9">
        <w:rPr>
          <w:rFonts w:ascii="Book Antiqua" w:hAnsi="Book Antiqua"/>
          <w:i/>
          <w:iCs/>
          <w:sz w:val="24"/>
          <w:szCs w:val="24"/>
        </w:rPr>
        <w:t>H</w:t>
      </w:r>
      <w:r w:rsidRPr="00991EB9">
        <w:rPr>
          <w:rFonts w:ascii="Book Antiqua" w:hAnsi="Book Antiqua"/>
          <w:iCs/>
          <w:sz w:val="24"/>
          <w:szCs w:val="24"/>
        </w:rPr>
        <w:t>.</w:t>
      </w:r>
      <w:r w:rsidRPr="00991EB9">
        <w:rPr>
          <w:rFonts w:ascii="Book Antiqua" w:hAnsi="Book Antiqua"/>
          <w:i/>
          <w:iCs/>
          <w:sz w:val="24"/>
          <w:szCs w:val="24"/>
        </w:rPr>
        <w:t xml:space="preserve"> pylori</w:t>
      </w:r>
      <w:r w:rsidRPr="00991EB9">
        <w:rPr>
          <w:rFonts w:ascii="Book Antiqua" w:hAnsi="Book Antiqua"/>
          <w:sz w:val="24"/>
          <w:szCs w:val="24"/>
        </w:rPr>
        <w:t>-infected mucosa showed dilation of gastric pits and disappearance of RAC</w:t>
      </w:r>
      <w:r w:rsidR="00FF68EF" w:rsidRPr="00991EB9">
        <w:rPr>
          <w:rFonts w:ascii="Book Antiqua" w:hAnsi="Book Antiqua"/>
          <w:sz w:val="24"/>
          <w:szCs w:val="24"/>
          <w:vertAlign w:val="superscript"/>
        </w:rPr>
        <w:t>[14]</w:t>
      </w:r>
      <w:r w:rsidRPr="00991EB9">
        <w:rPr>
          <w:rFonts w:ascii="Book Antiqua" w:hAnsi="Book Antiqua"/>
          <w:sz w:val="24"/>
          <w:szCs w:val="24"/>
        </w:rPr>
        <w:t>. For predicting histological chronic gastritis, Tahara</w:t>
      </w:r>
      <w:r w:rsidRPr="00991EB9">
        <w:rPr>
          <w:rFonts w:ascii="Book Antiqua" w:hAnsi="Book Antiqua"/>
          <w:i/>
          <w:sz w:val="24"/>
          <w:szCs w:val="24"/>
        </w:rPr>
        <w:t xml:space="preserve"> et al</w:t>
      </w:r>
      <w:r w:rsidR="001E0775" w:rsidRPr="00991EB9">
        <w:rPr>
          <w:rFonts w:ascii="Book Antiqua" w:hAnsi="Book Antiqua"/>
          <w:sz w:val="24"/>
          <w:szCs w:val="24"/>
          <w:vertAlign w:val="superscript"/>
        </w:rPr>
        <w:t>[15]</w:t>
      </w:r>
      <w:r w:rsidRPr="00991EB9">
        <w:rPr>
          <w:rFonts w:ascii="Book Antiqua" w:hAnsi="Book Antiqua"/>
          <w:sz w:val="24"/>
          <w:szCs w:val="24"/>
        </w:rPr>
        <w:t xml:space="preserve"> observed the gastric corpus using magnifying NBI (M-NBI) endoscopy, which enabled visualization of the micromucosal pattern. The normal pattern was defined as a honeycomb-like subepithelial capillary network (SECN) and the presence of RAC</w:t>
      </w:r>
      <w:r w:rsidR="00E05417" w:rsidRPr="00991EB9">
        <w:rPr>
          <w:rFonts w:ascii="Book Antiqua" w:hAnsi="Book Antiqua"/>
          <w:sz w:val="24"/>
          <w:szCs w:val="24"/>
        </w:rPr>
        <w:t xml:space="preserve"> (Figure 1A).</w:t>
      </w:r>
      <w:r w:rsidRPr="00991EB9">
        <w:rPr>
          <w:rFonts w:ascii="Book Antiqua" w:hAnsi="Book Antiqua"/>
          <w:sz w:val="24"/>
          <w:szCs w:val="24"/>
        </w:rPr>
        <w:t xml:space="preserve"> The abnormal pattern of </w:t>
      </w:r>
      <w:r w:rsidRPr="00991EB9">
        <w:rPr>
          <w:rFonts w:ascii="Book Antiqua" w:hAnsi="Book Antiqua"/>
          <w:i/>
          <w:iCs/>
          <w:sz w:val="24"/>
          <w:szCs w:val="24"/>
        </w:rPr>
        <w:t>H</w:t>
      </w:r>
      <w:r w:rsidRPr="00991EB9">
        <w:rPr>
          <w:rFonts w:ascii="Book Antiqua" w:hAnsi="Book Antiqua"/>
          <w:iCs/>
          <w:sz w:val="24"/>
          <w:szCs w:val="24"/>
        </w:rPr>
        <w:t>.</w:t>
      </w:r>
      <w:r w:rsidRPr="00991EB9">
        <w:rPr>
          <w:rFonts w:ascii="Book Antiqua" w:hAnsi="Book Antiqua"/>
          <w:i/>
          <w:iCs/>
          <w:sz w:val="24"/>
          <w:szCs w:val="24"/>
        </w:rPr>
        <w:t xml:space="preserve"> pylori</w:t>
      </w:r>
      <w:r w:rsidRPr="00991EB9">
        <w:rPr>
          <w:rFonts w:ascii="Book Antiqua" w:hAnsi="Book Antiqua"/>
          <w:sz w:val="24"/>
          <w:szCs w:val="24"/>
        </w:rPr>
        <w:t>-induced gastritis is typically polygonal swollen mucosa with enlarged crypt openings</w:t>
      </w:r>
      <w:r w:rsidR="00E05417" w:rsidRPr="00991EB9">
        <w:rPr>
          <w:rFonts w:ascii="Book Antiqua" w:hAnsi="Book Antiqua"/>
          <w:sz w:val="24"/>
          <w:szCs w:val="24"/>
        </w:rPr>
        <w:t xml:space="preserve"> (Figure 1B).</w:t>
      </w:r>
      <w:r w:rsidRPr="00991EB9">
        <w:rPr>
          <w:rFonts w:ascii="Book Antiqua" w:hAnsi="Book Antiqua"/>
          <w:sz w:val="24"/>
          <w:szCs w:val="24"/>
        </w:rPr>
        <w:t xml:space="preserve"> The sensitivit</w:t>
      </w:r>
      <w:r w:rsidR="00B71AD4" w:rsidRPr="00991EB9">
        <w:rPr>
          <w:rFonts w:ascii="Book Antiqua" w:hAnsi="Book Antiqua"/>
          <w:sz w:val="24"/>
          <w:szCs w:val="24"/>
        </w:rPr>
        <w:t>ies</w:t>
      </w:r>
      <w:r w:rsidRPr="00991EB9">
        <w:rPr>
          <w:rFonts w:ascii="Book Antiqua" w:hAnsi="Book Antiqua"/>
          <w:sz w:val="24"/>
          <w:szCs w:val="24"/>
        </w:rPr>
        <w:t xml:space="preserve"> and specificit</w:t>
      </w:r>
      <w:r w:rsidR="00B71AD4" w:rsidRPr="00991EB9">
        <w:rPr>
          <w:rFonts w:ascii="Book Antiqua" w:hAnsi="Book Antiqua"/>
          <w:sz w:val="24"/>
          <w:szCs w:val="24"/>
        </w:rPr>
        <w:t>ies</w:t>
      </w:r>
      <w:r w:rsidRPr="00991EB9">
        <w:rPr>
          <w:rFonts w:ascii="Book Antiqua" w:hAnsi="Book Antiqua"/>
          <w:sz w:val="24"/>
          <w:szCs w:val="24"/>
        </w:rPr>
        <w:t xml:space="preserve"> of magnifying endoscopy for </w:t>
      </w:r>
      <w:r w:rsidRPr="00991EB9">
        <w:rPr>
          <w:rFonts w:ascii="Book Antiqua" w:hAnsi="Book Antiqua"/>
          <w:i/>
          <w:iCs/>
          <w:sz w:val="24"/>
          <w:szCs w:val="24"/>
        </w:rPr>
        <w:t>H</w:t>
      </w:r>
      <w:r w:rsidRPr="00991EB9">
        <w:rPr>
          <w:rFonts w:ascii="Book Antiqua" w:hAnsi="Book Antiqua"/>
          <w:iCs/>
          <w:sz w:val="24"/>
          <w:szCs w:val="24"/>
        </w:rPr>
        <w:t>.</w:t>
      </w:r>
      <w:r w:rsidRPr="00991EB9">
        <w:rPr>
          <w:rFonts w:ascii="Book Antiqua" w:hAnsi="Book Antiqua"/>
          <w:i/>
          <w:iCs/>
          <w:sz w:val="24"/>
          <w:szCs w:val="24"/>
        </w:rPr>
        <w:t xml:space="preserve"> pylori</w:t>
      </w:r>
      <w:r w:rsidRPr="00991EB9">
        <w:rPr>
          <w:rFonts w:ascii="Book Antiqua" w:hAnsi="Book Antiqua"/>
          <w:sz w:val="24"/>
          <w:szCs w:val="24"/>
        </w:rPr>
        <w:t xml:space="preserve"> infection are 93.8% to 100% and 82.2% to 96.2%, respectively</w:t>
      </w:r>
      <w:r w:rsidR="00F3674A" w:rsidRPr="00991EB9">
        <w:rPr>
          <w:rFonts w:ascii="Book Antiqua" w:hAnsi="Book Antiqua"/>
          <w:sz w:val="24"/>
          <w:szCs w:val="24"/>
          <w:vertAlign w:val="superscript"/>
        </w:rPr>
        <w:t>[13-15]</w:t>
      </w:r>
      <w:r w:rsidR="00414055" w:rsidRPr="00991EB9">
        <w:rPr>
          <w:rFonts w:ascii="Book Antiqua" w:eastAsia="HYSinMyeongJo-Medium" w:hAnsi="Book Antiqua"/>
          <w:sz w:val="24"/>
          <w:szCs w:val="24"/>
        </w:rPr>
        <w:t xml:space="preserve">. </w:t>
      </w:r>
    </w:p>
    <w:p w:rsidR="00460C06" w:rsidRPr="00991EB9" w:rsidRDefault="009952A6" w:rsidP="009A3473">
      <w:pPr>
        <w:wordWrap/>
        <w:snapToGrid w:val="0"/>
        <w:spacing w:line="360" w:lineRule="auto"/>
        <w:ind w:firstLineChars="100" w:firstLine="240"/>
        <w:rPr>
          <w:rFonts w:ascii="Book Antiqua" w:eastAsia="Gulim" w:hAnsi="Book Antiqua"/>
          <w:sz w:val="24"/>
          <w:szCs w:val="24"/>
        </w:rPr>
      </w:pPr>
      <w:r w:rsidRPr="00991EB9">
        <w:rPr>
          <w:rFonts w:ascii="Book Antiqua" w:hAnsi="Book Antiqua"/>
          <w:sz w:val="24"/>
          <w:szCs w:val="24"/>
        </w:rPr>
        <w:t xml:space="preserve">Recently, endoscopists have attempted to diagnose </w:t>
      </w:r>
      <w:r w:rsidRPr="00991EB9">
        <w:rPr>
          <w:rFonts w:ascii="Book Antiqua" w:hAnsi="Book Antiqua"/>
          <w:i/>
          <w:iCs/>
          <w:sz w:val="24"/>
          <w:szCs w:val="24"/>
        </w:rPr>
        <w:t>H</w:t>
      </w:r>
      <w:r w:rsidRPr="00991EB9">
        <w:rPr>
          <w:rFonts w:ascii="Book Antiqua" w:hAnsi="Book Antiqua"/>
          <w:iCs/>
          <w:sz w:val="24"/>
          <w:szCs w:val="24"/>
        </w:rPr>
        <w:t>.</w:t>
      </w:r>
      <w:r w:rsidRPr="00991EB9">
        <w:rPr>
          <w:rFonts w:ascii="Book Antiqua" w:hAnsi="Book Antiqua"/>
          <w:i/>
          <w:iCs/>
          <w:sz w:val="24"/>
          <w:szCs w:val="24"/>
        </w:rPr>
        <w:t xml:space="preserve"> pylori</w:t>
      </w:r>
      <w:r w:rsidRPr="00991EB9">
        <w:rPr>
          <w:rFonts w:ascii="Book Antiqua" w:hAnsi="Book Antiqua"/>
          <w:sz w:val="24"/>
          <w:szCs w:val="24"/>
        </w:rPr>
        <w:t xml:space="preserve"> infection by white-light imaging (WLI) or non-magnifying endoscopy with other image-enhanced techniques</w:t>
      </w:r>
      <w:r w:rsidR="00FF68EF" w:rsidRPr="00991EB9">
        <w:rPr>
          <w:rFonts w:ascii="Book Antiqua" w:hAnsi="Book Antiqua"/>
          <w:sz w:val="24"/>
          <w:szCs w:val="24"/>
          <w:vertAlign w:val="superscript"/>
        </w:rPr>
        <w:t>[16,17]</w:t>
      </w:r>
      <w:r w:rsidRPr="00991EB9">
        <w:rPr>
          <w:rFonts w:ascii="Book Antiqua" w:hAnsi="Book Antiqua"/>
          <w:sz w:val="24"/>
          <w:szCs w:val="24"/>
        </w:rPr>
        <w:t xml:space="preserve">. The typical endoscopic findings of </w:t>
      </w:r>
      <w:r w:rsidRPr="00991EB9">
        <w:rPr>
          <w:rFonts w:ascii="Book Antiqua" w:hAnsi="Book Antiqua"/>
          <w:i/>
          <w:iCs/>
          <w:sz w:val="24"/>
          <w:szCs w:val="24"/>
        </w:rPr>
        <w:t>H</w:t>
      </w:r>
      <w:r w:rsidRPr="00991EB9">
        <w:rPr>
          <w:rFonts w:ascii="Book Antiqua" w:hAnsi="Book Antiqua"/>
          <w:iCs/>
          <w:sz w:val="24"/>
          <w:szCs w:val="24"/>
        </w:rPr>
        <w:t>.</w:t>
      </w:r>
      <w:r w:rsidRPr="00991EB9">
        <w:rPr>
          <w:rFonts w:ascii="Book Antiqua" w:hAnsi="Book Antiqua"/>
          <w:i/>
          <w:iCs/>
          <w:sz w:val="24"/>
          <w:szCs w:val="24"/>
        </w:rPr>
        <w:t> pylori</w:t>
      </w:r>
      <w:r w:rsidRPr="00991EB9">
        <w:rPr>
          <w:rFonts w:ascii="Book Antiqua" w:hAnsi="Book Antiqua"/>
          <w:sz w:val="24"/>
          <w:szCs w:val="24"/>
        </w:rPr>
        <w:t>-induced gastritis are mucosal swelling and redness with disappearance of RAC at the gastric corpus</w:t>
      </w:r>
      <w:r w:rsidR="00FF68EF" w:rsidRPr="00991EB9">
        <w:rPr>
          <w:rFonts w:ascii="Book Antiqua" w:hAnsi="Book Antiqua"/>
          <w:sz w:val="24"/>
          <w:szCs w:val="24"/>
          <w:vertAlign w:val="superscript"/>
        </w:rPr>
        <w:t>[18]</w:t>
      </w:r>
      <w:r w:rsidRPr="00991EB9">
        <w:rPr>
          <w:rFonts w:ascii="Book Antiqua" w:hAnsi="Book Antiqua"/>
          <w:sz w:val="24"/>
          <w:szCs w:val="24"/>
        </w:rPr>
        <w:t xml:space="preserve">. Although M-NBI has good diagnostic accuracy, non-magnifying endoscopy is also useful for detecting </w:t>
      </w:r>
      <w:r w:rsidRPr="00991EB9">
        <w:rPr>
          <w:rFonts w:ascii="Book Antiqua" w:hAnsi="Book Antiqua"/>
          <w:i/>
          <w:iCs/>
          <w:sz w:val="24"/>
          <w:szCs w:val="24"/>
        </w:rPr>
        <w:t>H</w:t>
      </w:r>
      <w:r w:rsidRPr="00991EB9">
        <w:rPr>
          <w:rFonts w:ascii="Book Antiqua" w:hAnsi="Book Antiqua"/>
          <w:iCs/>
          <w:sz w:val="24"/>
          <w:szCs w:val="24"/>
        </w:rPr>
        <w:t>.</w:t>
      </w:r>
      <w:r w:rsidRPr="00991EB9">
        <w:rPr>
          <w:rFonts w:ascii="Book Antiqua" w:hAnsi="Book Antiqua"/>
          <w:i/>
          <w:iCs/>
          <w:sz w:val="24"/>
          <w:szCs w:val="24"/>
        </w:rPr>
        <w:t> pylori</w:t>
      </w:r>
      <w:r w:rsidRPr="00991EB9">
        <w:rPr>
          <w:rFonts w:ascii="Book Antiqua" w:hAnsi="Book Antiqua"/>
          <w:sz w:val="24"/>
          <w:szCs w:val="24"/>
        </w:rPr>
        <w:t xml:space="preserve"> gastritis by close observation of the greater curvature side of the corpus</w:t>
      </w:r>
      <w:r w:rsidR="00FF68EF" w:rsidRPr="00991EB9">
        <w:rPr>
          <w:rFonts w:ascii="Book Antiqua" w:hAnsi="Book Antiqua"/>
          <w:sz w:val="24"/>
          <w:szCs w:val="24"/>
          <w:vertAlign w:val="superscript"/>
        </w:rPr>
        <w:t>[19]</w:t>
      </w:r>
      <w:r w:rsidRPr="00991EB9">
        <w:rPr>
          <w:rFonts w:ascii="Book Antiqua" w:hAnsi="Book Antiqua"/>
          <w:sz w:val="24"/>
          <w:szCs w:val="24"/>
        </w:rPr>
        <w:t xml:space="preserve">. </w:t>
      </w:r>
      <w:r w:rsidR="00FF68EF" w:rsidRPr="00991EB9">
        <w:rPr>
          <w:rFonts w:ascii="Book Antiqua" w:hAnsi="Book Antiqua"/>
          <w:sz w:val="24"/>
          <w:szCs w:val="24"/>
        </w:rPr>
        <w:t>Furthermore, the rapid urease test from the corpus mucosa had a faster positive reaction, compared to the antrum</w:t>
      </w:r>
      <w:r w:rsidR="00FF68EF" w:rsidRPr="00991EB9">
        <w:rPr>
          <w:rFonts w:ascii="Book Antiqua" w:hAnsi="Book Antiqua"/>
          <w:sz w:val="24"/>
          <w:szCs w:val="24"/>
          <w:vertAlign w:val="superscript"/>
        </w:rPr>
        <w:t>[20]</w:t>
      </w:r>
      <w:r w:rsidR="00FF68EF" w:rsidRPr="00991EB9">
        <w:rPr>
          <w:rFonts w:ascii="Book Antiqua" w:hAnsi="Book Antiqua"/>
          <w:sz w:val="24"/>
          <w:szCs w:val="24"/>
        </w:rPr>
        <w:t xml:space="preserve">. </w:t>
      </w:r>
      <w:r w:rsidRPr="00991EB9">
        <w:rPr>
          <w:rFonts w:ascii="Book Antiqua" w:hAnsi="Book Antiqua"/>
          <w:sz w:val="24"/>
          <w:szCs w:val="24"/>
        </w:rPr>
        <w:t xml:space="preserve">However, an endoscopic classification based on WLI has not yet been established. Furthermore, a comparison study between M-NBI and WLI endoscopy for </w:t>
      </w:r>
      <w:r w:rsidRPr="00991EB9">
        <w:rPr>
          <w:rFonts w:ascii="Book Antiqua" w:hAnsi="Book Antiqua"/>
          <w:i/>
          <w:iCs/>
          <w:sz w:val="24"/>
          <w:szCs w:val="24"/>
        </w:rPr>
        <w:t>H</w:t>
      </w:r>
      <w:r w:rsidRPr="00991EB9">
        <w:rPr>
          <w:rFonts w:ascii="Book Antiqua" w:hAnsi="Book Antiqua"/>
          <w:iCs/>
          <w:sz w:val="24"/>
          <w:szCs w:val="24"/>
        </w:rPr>
        <w:t>.</w:t>
      </w:r>
      <w:r w:rsidRPr="00991EB9">
        <w:rPr>
          <w:rFonts w:ascii="Book Antiqua" w:hAnsi="Book Antiqua"/>
          <w:i/>
          <w:iCs/>
          <w:sz w:val="24"/>
          <w:szCs w:val="24"/>
        </w:rPr>
        <w:t xml:space="preserve"> pylori</w:t>
      </w:r>
      <w:r w:rsidRPr="00991EB9">
        <w:rPr>
          <w:rFonts w:ascii="Book Antiqua" w:hAnsi="Book Antiqua"/>
          <w:sz w:val="24"/>
          <w:szCs w:val="24"/>
        </w:rPr>
        <w:t xml:space="preserve"> diagnosis is needed</w:t>
      </w:r>
      <w:r w:rsidR="00852C72" w:rsidRPr="00991EB9">
        <w:rPr>
          <w:rFonts w:ascii="Book Antiqua" w:hAnsi="Book Antiqua"/>
          <w:sz w:val="24"/>
          <w:szCs w:val="24"/>
        </w:rPr>
        <w:t>.</w:t>
      </w:r>
      <w:r w:rsidR="009C764D" w:rsidRPr="00991EB9">
        <w:rPr>
          <w:rFonts w:ascii="Book Antiqua" w:hAnsi="Book Antiqua"/>
          <w:sz w:val="24"/>
          <w:szCs w:val="24"/>
        </w:rPr>
        <w:t xml:space="preserve"> </w:t>
      </w:r>
    </w:p>
    <w:p w:rsidR="00460C06" w:rsidRPr="00991EB9" w:rsidRDefault="00460C06" w:rsidP="009A3473">
      <w:pPr>
        <w:wordWrap/>
        <w:snapToGrid w:val="0"/>
        <w:spacing w:line="360" w:lineRule="auto"/>
        <w:rPr>
          <w:rFonts w:ascii="Book Antiqua" w:hAnsi="Book Antiqua" w:cs="Arial"/>
          <w:b/>
          <w:i/>
          <w:sz w:val="24"/>
          <w:szCs w:val="24"/>
        </w:rPr>
      </w:pPr>
    </w:p>
    <w:p w:rsidR="00460C06" w:rsidRPr="00991EB9" w:rsidRDefault="00460C06" w:rsidP="009A3473">
      <w:pPr>
        <w:pStyle w:val="af5"/>
        <w:wordWrap/>
        <w:snapToGrid w:val="0"/>
        <w:spacing w:after="0" w:line="360" w:lineRule="auto"/>
        <w:ind w:firstLineChars="0" w:firstLine="0"/>
        <w:rPr>
          <w:rFonts w:ascii="Book Antiqua" w:hAnsi="Book Antiqua" w:cs="Arial"/>
          <w:b/>
          <w:sz w:val="24"/>
          <w:szCs w:val="24"/>
          <w:u w:val="single"/>
        </w:rPr>
      </w:pPr>
      <w:r w:rsidRPr="00991EB9">
        <w:rPr>
          <w:rFonts w:ascii="Book Antiqua" w:hAnsi="Book Antiqua" w:cs="Arial"/>
          <w:b/>
          <w:sz w:val="24"/>
          <w:szCs w:val="24"/>
          <w:u w:val="single"/>
        </w:rPr>
        <w:t xml:space="preserve">ATROPHIC </w:t>
      </w:r>
      <w:r w:rsidR="0043025C" w:rsidRPr="00991EB9">
        <w:rPr>
          <w:rFonts w:ascii="Book Antiqua" w:hAnsi="Book Antiqua" w:cs="Arial"/>
          <w:b/>
          <w:sz w:val="24"/>
          <w:szCs w:val="24"/>
          <w:u w:val="single"/>
        </w:rPr>
        <w:t>GASTRITIS</w:t>
      </w:r>
    </w:p>
    <w:p w:rsidR="00DF6539" w:rsidRPr="00991EB9" w:rsidRDefault="00F3674A" w:rsidP="009A3473">
      <w:pPr>
        <w:pStyle w:val="af5"/>
        <w:wordWrap/>
        <w:snapToGrid w:val="0"/>
        <w:spacing w:after="0" w:line="360" w:lineRule="auto"/>
        <w:ind w:firstLineChars="0" w:firstLine="0"/>
        <w:rPr>
          <w:rFonts w:ascii="Book Antiqua" w:hAnsi="Book Antiqua"/>
          <w:sz w:val="24"/>
          <w:szCs w:val="24"/>
        </w:rPr>
      </w:pPr>
      <w:r w:rsidRPr="00991EB9">
        <w:rPr>
          <w:rFonts w:ascii="Book Antiqua" w:hAnsi="Book Antiqua"/>
          <w:sz w:val="24"/>
          <w:szCs w:val="24"/>
        </w:rPr>
        <w:t xml:space="preserve">In </w:t>
      </w:r>
      <w:r w:rsidR="009876B6" w:rsidRPr="00991EB9">
        <w:rPr>
          <w:rFonts w:ascii="Book Antiqua" w:hAnsi="Book Antiqua"/>
          <w:sz w:val="24"/>
          <w:szCs w:val="24"/>
        </w:rPr>
        <w:t xml:space="preserve">the </w:t>
      </w:r>
      <w:r w:rsidR="009876B6" w:rsidRPr="00991EB9">
        <w:rPr>
          <w:rFonts w:ascii="Book Antiqua" w:hAnsi="Book Antiqua"/>
          <w:i/>
          <w:iCs/>
          <w:sz w:val="24"/>
          <w:szCs w:val="24"/>
        </w:rPr>
        <w:t>H</w:t>
      </w:r>
      <w:r w:rsidR="009876B6" w:rsidRPr="00991EB9">
        <w:rPr>
          <w:rFonts w:ascii="Book Antiqua" w:hAnsi="Book Antiqua"/>
          <w:iCs/>
          <w:sz w:val="24"/>
          <w:szCs w:val="24"/>
        </w:rPr>
        <w:t>.</w:t>
      </w:r>
      <w:r w:rsidR="009876B6" w:rsidRPr="00991EB9">
        <w:rPr>
          <w:rFonts w:ascii="Book Antiqua" w:hAnsi="Book Antiqua"/>
          <w:i/>
          <w:iCs/>
          <w:sz w:val="24"/>
          <w:szCs w:val="24"/>
        </w:rPr>
        <w:t xml:space="preserve"> pylori</w:t>
      </w:r>
      <w:r w:rsidR="009876B6" w:rsidRPr="00991EB9">
        <w:rPr>
          <w:rFonts w:ascii="Book Antiqua" w:hAnsi="Book Antiqua"/>
          <w:sz w:val="24"/>
          <w:szCs w:val="24"/>
        </w:rPr>
        <w:t xml:space="preserve">-infected stomach, chronic active inflammation becomes persistent, leading to mucosal atrophy with destruction of gastric glands. </w:t>
      </w:r>
      <w:r w:rsidR="0049580E" w:rsidRPr="00991EB9">
        <w:rPr>
          <w:rFonts w:ascii="Book Antiqua" w:hAnsi="Book Antiqua"/>
          <w:sz w:val="24"/>
          <w:szCs w:val="24"/>
        </w:rPr>
        <w:t>In Japan, atrophic gastritis is often evaluated according to the endoscopic Kimura-Takemoto classification</w:t>
      </w:r>
      <w:r w:rsidR="009F60A1" w:rsidRPr="00991EB9">
        <w:rPr>
          <w:rFonts w:ascii="Book Antiqua" w:hAnsi="Book Antiqua"/>
          <w:sz w:val="24"/>
          <w:szCs w:val="24"/>
          <w:vertAlign w:val="superscript"/>
        </w:rPr>
        <w:t>[21]</w:t>
      </w:r>
      <w:r w:rsidR="0049580E" w:rsidRPr="00991EB9">
        <w:rPr>
          <w:rFonts w:ascii="Book Antiqua" w:hAnsi="Book Antiqua"/>
          <w:sz w:val="24"/>
          <w:szCs w:val="24"/>
        </w:rPr>
        <w:t>. This classification has showed the good agreement with the histological assessment of atrophic gastritis</w:t>
      </w:r>
      <w:r w:rsidR="009F60A1" w:rsidRPr="00991EB9">
        <w:rPr>
          <w:rFonts w:ascii="Book Antiqua" w:hAnsi="Book Antiqua"/>
          <w:sz w:val="24"/>
          <w:szCs w:val="24"/>
          <w:vertAlign w:val="superscript"/>
        </w:rPr>
        <w:t>[22,23]</w:t>
      </w:r>
      <w:r w:rsidR="0049580E" w:rsidRPr="00991EB9">
        <w:rPr>
          <w:rFonts w:ascii="Book Antiqua" w:hAnsi="Book Antiqua"/>
          <w:sz w:val="24"/>
          <w:szCs w:val="24"/>
        </w:rPr>
        <w:t xml:space="preserve">. </w:t>
      </w:r>
      <w:r w:rsidR="00C9030E" w:rsidRPr="00991EB9">
        <w:rPr>
          <w:rFonts w:ascii="Book Antiqua" w:hAnsi="Book Antiqua"/>
          <w:sz w:val="24"/>
          <w:szCs w:val="24"/>
        </w:rPr>
        <w:t xml:space="preserve">Because of high </w:t>
      </w:r>
      <w:r w:rsidR="0049580E" w:rsidRPr="00991EB9">
        <w:rPr>
          <w:rFonts w:ascii="Book Antiqua" w:hAnsi="Book Antiqua"/>
          <w:sz w:val="24"/>
          <w:szCs w:val="24"/>
        </w:rPr>
        <w:t xml:space="preserve">risk </w:t>
      </w:r>
      <w:r w:rsidR="00C9030E" w:rsidRPr="00991EB9">
        <w:rPr>
          <w:rFonts w:ascii="Book Antiqua" w:hAnsi="Book Antiqua"/>
          <w:sz w:val="24"/>
          <w:szCs w:val="24"/>
        </w:rPr>
        <w:t xml:space="preserve">for </w:t>
      </w:r>
      <w:r w:rsidR="0049580E" w:rsidRPr="00991EB9">
        <w:rPr>
          <w:rFonts w:ascii="Book Antiqua" w:hAnsi="Book Antiqua"/>
          <w:sz w:val="24"/>
          <w:szCs w:val="24"/>
        </w:rPr>
        <w:t>gastric cancer development, surveillance endoscopy is required in subjects with severe atroph</w:t>
      </w:r>
      <w:r w:rsidR="00C9030E" w:rsidRPr="00991EB9">
        <w:rPr>
          <w:rFonts w:ascii="Book Antiqua" w:hAnsi="Book Antiqua"/>
          <w:sz w:val="24"/>
          <w:szCs w:val="24"/>
        </w:rPr>
        <w:t>ic gastritis</w:t>
      </w:r>
      <w:r w:rsidR="009F60A1" w:rsidRPr="00991EB9">
        <w:rPr>
          <w:rFonts w:ascii="Book Antiqua" w:hAnsi="Book Antiqua"/>
          <w:sz w:val="24"/>
          <w:szCs w:val="24"/>
          <w:vertAlign w:val="superscript"/>
        </w:rPr>
        <w:t>[24]</w:t>
      </w:r>
      <w:r w:rsidR="00C9030E" w:rsidRPr="00991EB9">
        <w:rPr>
          <w:rFonts w:ascii="Book Antiqua" w:hAnsi="Book Antiqua"/>
          <w:sz w:val="24"/>
          <w:szCs w:val="24"/>
        </w:rPr>
        <w:t xml:space="preserve">. </w:t>
      </w:r>
      <w:r w:rsidR="009F60A1" w:rsidRPr="00991EB9">
        <w:rPr>
          <w:rFonts w:ascii="Book Antiqua" w:hAnsi="Book Antiqua"/>
          <w:sz w:val="24"/>
          <w:szCs w:val="24"/>
        </w:rPr>
        <w:t xml:space="preserve">Compared to conventional WLI endoscopy, M-NBI enables a reliable diagnosis for the degree of atrophic gastritis. </w:t>
      </w:r>
    </w:p>
    <w:p w:rsidR="00460C06" w:rsidRPr="00991EB9" w:rsidRDefault="001259A4" w:rsidP="009A3473">
      <w:pPr>
        <w:pStyle w:val="af5"/>
        <w:wordWrap/>
        <w:snapToGrid w:val="0"/>
        <w:spacing w:after="0" w:line="360" w:lineRule="auto"/>
        <w:ind w:firstLine="240"/>
        <w:rPr>
          <w:rFonts w:ascii="Book Antiqua" w:hAnsi="Book Antiqua"/>
          <w:sz w:val="24"/>
          <w:szCs w:val="24"/>
        </w:rPr>
      </w:pPr>
      <w:r w:rsidRPr="00991EB9">
        <w:rPr>
          <w:rFonts w:ascii="Book Antiqua" w:hAnsi="Book Antiqua"/>
          <w:sz w:val="24"/>
          <w:szCs w:val="24"/>
        </w:rPr>
        <w:t>Before the NBI system was introduced, Yagi</w:t>
      </w:r>
      <w:r w:rsidRPr="00991EB9">
        <w:rPr>
          <w:rFonts w:ascii="Book Antiqua" w:hAnsi="Book Antiqua"/>
          <w:i/>
          <w:sz w:val="24"/>
          <w:szCs w:val="24"/>
        </w:rPr>
        <w:t xml:space="preserve"> et al</w:t>
      </w:r>
      <w:r w:rsidR="00FC3DA7" w:rsidRPr="00991EB9">
        <w:rPr>
          <w:rFonts w:ascii="Book Antiqua" w:hAnsi="Book Antiqua"/>
          <w:sz w:val="24"/>
          <w:szCs w:val="24"/>
          <w:vertAlign w:val="superscript"/>
        </w:rPr>
        <w:t>[13]</w:t>
      </w:r>
      <w:r w:rsidR="00875723">
        <w:rPr>
          <w:rFonts w:ascii="Book Antiqua" w:hAnsi="Book Antiqua"/>
          <w:sz w:val="24"/>
          <w:szCs w:val="24"/>
          <w:vertAlign w:val="superscript"/>
        </w:rPr>
        <w:t xml:space="preserve"> </w:t>
      </w:r>
      <w:r w:rsidR="00E11DED" w:rsidRPr="00991EB9">
        <w:rPr>
          <w:rFonts w:ascii="Book Antiqua" w:hAnsi="Book Antiqua"/>
          <w:sz w:val="24"/>
          <w:szCs w:val="24"/>
        </w:rPr>
        <w:t xml:space="preserve">classified magnified endoscopic findings of the </w:t>
      </w:r>
      <w:r w:rsidR="00E11DED" w:rsidRPr="00991EB9">
        <w:rPr>
          <w:rFonts w:ascii="Book Antiqua" w:hAnsi="Book Antiqua"/>
          <w:i/>
          <w:iCs/>
          <w:sz w:val="24"/>
          <w:szCs w:val="24"/>
        </w:rPr>
        <w:t>H</w:t>
      </w:r>
      <w:r w:rsidR="00E11DED" w:rsidRPr="00991EB9">
        <w:rPr>
          <w:rFonts w:ascii="Book Antiqua" w:hAnsi="Book Antiqua"/>
          <w:iCs/>
          <w:sz w:val="24"/>
          <w:szCs w:val="24"/>
        </w:rPr>
        <w:t>.</w:t>
      </w:r>
      <w:r w:rsidR="00E11DED" w:rsidRPr="00991EB9">
        <w:rPr>
          <w:rFonts w:ascii="Book Antiqua" w:hAnsi="Book Antiqua"/>
          <w:i/>
          <w:iCs/>
          <w:sz w:val="24"/>
          <w:szCs w:val="24"/>
        </w:rPr>
        <w:t xml:space="preserve"> pylori</w:t>
      </w:r>
      <w:r w:rsidR="00E11DED" w:rsidRPr="00991EB9">
        <w:rPr>
          <w:rFonts w:ascii="Book Antiqua" w:hAnsi="Book Antiqua"/>
          <w:sz w:val="24"/>
          <w:szCs w:val="24"/>
        </w:rPr>
        <w:t xml:space="preserve">-infected corpus mucosa into three types (Z-1 to Z-3). Of these, type Z-3 mucosal pattern corresponded to histological features of marked atrophy of the gastric glands. </w:t>
      </w:r>
      <w:r w:rsidR="00DF6539" w:rsidRPr="00991EB9">
        <w:rPr>
          <w:rFonts w:ascii="Book Antiqua" w:hAnsi="Book Antiqua"/>
          <w:sz w:val="24"/>
          <w:szCs w:val="24"/>
        </w:rPr>
        <w:t xml:space="preserve">Recent </w:t>
      </w:r>
      <w:r w:rsidR="00D65FEA" w:rsidRPr="00991EB9">
        <w:rPr>
          <w:rFonts w:ascii="Book Antiqua" w:hAnsi="Book Antiqua"/>
          <w:sz w:val="24"/>
          <w:szCs w:val="24"/>
        </w:rPr>
        <w:t>studies have reported the typical endoscopic findings using M-NBI in diagnosing atrophic gastritis</w:t>
      </w:r>
      <w:r w:rsidR="002749A2" w:rsidRPr="00991EB9">
        <w:rPr>
          <w:rFonts w:ascii="Book Antiqua" w:hAnsi="Book Antiqua"/>
          <w:sz w:val="24"/>
          <w:szCs w:val="24"/>
          <w:vertAlign w:val="superscript"/>
        </w:rPr>
        <w:t>[</w:t>
      </w:r>
      <w:r w:rsidR="005F3912" w:rsidRPr="00991EB9">
        <w:rPr>
          <w:rFonts w:ascii="Book Antiqua" w:hAnsi="Book Antiqua"/>
          <w:sz w:val="24"/>
          <w:szCs w:val="24"/>
          <w:vertAlign w:val="superscript"/>
        </w:rPr>
        <w:t>25,26</w:t>
      </w:r>
      <w:r w:rsidR="002749A2" w:rsidRPr="00991EB9">
        <w:rPr>
          <w:rFonts w:ascii="Book Antiqua" w:hAnsi="Book Antiqua"/>
          <w:sz w:val="24"/>
          <w:szCs w:val="24"/>
          <w:vertAlign w:val="superscript"/>
        </w:rPr>
        <w:t>]</w:t>
      </w:r>
      <w:r w:rsidR="00D65FEA" w:rsidRPr="00991EB9">
        <w:rPr>
          <w:rFonts w:ascii="Book Antiqua" w:hAnsi="Book Antiqua"/>
          <w:sz w:val="24"/>
          <w:szCs w:val="24"/>
        </w:rPr>
        <w:t xml:space="preserve">. </w:t>
      </w:r>
      <w:r w:rsidR="00E03DDF" w:rsidRPr="00991EB9">
        <w:rPr>
          <w:rFonts w:ascii="Book Antiqua" w:eastAsia="HYSinMyeongJo-Medium" w:hAnsi="Book Antiqua"/>
          <w:sz w:val="24"/>
          <w:szCs w:val="24"/>
        </w:rPr>
        <w:t>Ridged surface structures encasing dilated coiled subepithelial capillaries indicates the presence of atrophic gastritis</w:t>
      </w:r>
      <w:r w:rsidR="00E03DDF" w:rsidRPr="00991EB9">
        <w:rPr>
          <w:rFonts w:ascii="Book Antiqua" w:hAnsi="Book Antiqua"/>
          <w:sz w:val="24"/>
          <w:szCs w:val="24"/>
        </w:rPr>
        <w:t xml:space="preserve"> (Figure 2C). </w:t>
      </w:r>
      <w:r w:rsidR="00A077F2" w:rsidRPr="00991EB9">
        <w:rPr>
          <w:rFonts w:ascii="Book Antiqua" w:hAnsi="Book Antiqua"/>
          <w:sz w:val="24"/>
          <w:szCs w:val="24"/>
        </w:rPr>
        <w:t>With progression to severe mucosal atrophy, i</w:t>
      </w:r>
      <w:r w:rsidR="00553153" w:rsidRPr="00991EB9">
        <w:rPr>
          <w:rFonts w:ascii="Book Antiqua" w:hAnsi="Book Antiqua"/>
          <w:sz w:val="24"/>
          <w:szCs w:val="24"/>
        </w:rPr>
        <w:t xml:space="preserve">rregular coiled microvessels and loss of gastric pits are </w:t>
      </w:r>
      <w:r w:rsidR="00A077F2" w:rsidRPr="00991EB9">
        <w:rPr>
          <w:rFonts w:ascii="Book Antiqua" w:hAnsi="Book Antiqua"/>
          <w:sz w:val="24"/>
          <w:szCs w:val="24"/>
        </w:rPr>
        <w:t xml:space="preserve">observed by </w:t>
      </w:r>
      <w:r w:rsidR="00553153" w:rsidRPr="00991EB9">
        <w:rPr>
          <w:rFonts w:ascii="Book Antiqua" w:hAnsi="Book Antiqua"/>
          <w:sz w:val="24"/>
          <w:szCs w:val="24"/>
        </w:rPr>
        <w:t>M-NBI endoscopy (Figure 2</w:t>
      </w:r>
      <w:r w:rsidR="00A077F2" w:rsidRPr="00991EB9">
        <w:rPr>
          <w:rFonts w:ascii="Book Antiqua" w:hAnsi="Book Antiqua"/>
          <w:sz w:val="24"/>
          <w:szCs w:val="24"/>
        </w:rPr>
        <w:t>D</w:t>
      </w:r>
      <w:r w:rsidR="00553153" w:rsidRPr="00991EB9">
        <w:rPr>
          <w:rFonts w:ascii="Book Antiqua" w:hAnsi="Book Antiqua"/>
          <w:sz w:val="24"/>
          <w:szCs w:val="24"/>
        </w:rPr>
        <w:t xml:space="preserve">). </w:t>
      </w:r>
      <w:r w:rsidR="00B71AD4" w:rsidRPr="00991EB9">
        <w:rPr>
          <w:rFonts w:ascii="Book Antiqua" w:hAnsi="Book Antiqua"/>
          <w:sz w:val="24"/>
          <w:szCs w:val="24"/>
        </w:rPr>
        <w:t>The sensitivities and specificities of M-NBI endoscopy for atrophic gastritis are 50.0% to 90.0% and 96.0% to 96.3%, respectively</w:t>
      </w:r>
      <w:r w:rsidR="00B71AD4" w:rsidRPr="00991EB9">
        <w:rPr>
          <w:rFonts w:ascii="Book Antiqua" w:hAnsi="Book Antiqua"/>
          <w:sz w:val="24"/>
          <w:szCs w:val="24"/>
          <w:vertAlign w:val="superscript"/>
        </w:rPr>
        <w:t>[</w:t>
      </w:r>
      <w:r w:rsidR="002749A2" w:rsidRPr="00991EB9">
        <w:rPr>
          <w:rFonts w:ascii="Book Antiqua" w:hAnsi="Book Antiqua"/>
          <w:sz w:val="24"/>
          <w:szCs w:val="24"/>
          <w:vertAlign w:val="superscript"/>
        </w:rPr>
        <w:t>14</w:t>
      </w:r>
      <w:r w:rsidR="00B71AD4" w:rsidRPr="00991EB9">
        <w:rPr>
          <w:rFonts w:ascii="Book Antiqua" w:hAnsi="Book Antiqua"/>
          <w:sz w:val="24"/>
          <w:szCs w:val="24"/>
          <w:vertAlign w:val="superscript"/>
        </w:rPr>
        <w:t>,15]</w:t>
      </w:r>
      <w:r w:rsidR="00460C06" w:rsidRPr="00991EB9">
        <w:rPr>
          <w:rFonts w:ascii="Book Antiqua" w:hAnsi="Book Antiqua"/>
          <w:sz w:val="24"/>
          <w:szCs w:val="24"/>
        </w:rPr>
        <w:t xml:space="preserve">. </w:t>
      </w:r>
    </w:p>
    <w:p w:rsidR="009C764D" w:rsidRPr="00991EB9" w:rsidRDefault="009C764D" w:rsidP="009A3473">
      <w:pPr>
        <w:pStyle w:val="af5"/>
        <w:wordWrap/>
        <w:snapToGrid w:val="0"/>
        <w:spacing w:after="0" w:line="360" w:lineRule="auto"/>
        <w:ind w:firstLineChars="0" w:firstLine="0"/>
        <w:rPr>
          <w:rFonts w:ascii="Book Antiqua" w:hAnsi="Book Antiqua"/>
          <w:sz w:val="24"/>
          <w:szCs w:val="24"/>
        </w:rPr>
      </w:pPr>
    </w:p>
    <w:p w:rsidR="00B51B5A" w:rsidRPr="00991EB9" w:rsidRDefault="001D276C" w:rsidP="009A3473">
      <w:pPr>
        <w:pStyle w:val="af5"/>
        <w:wordWrap/>
        <w:snapToGrid w:val="0"/>
        <w:spacing w:after="0" w:line="360" w:lineRule="auto"/>
        <w:ind w:firstLineChars="0" w:firstLine="0"/>
        <w:rPr>
          <w:rFonts w:ascii="Book Antiqua" w:hAnsi="Book Antiqua" w:cs="Arial"/>
          <w:b/>
          <w:sz w:val="24"/>
          <w:szCs w:val="24"/>
          <w:u w:val="single"/>
        </w:rPr>
      </w:pPr>
      <w:r w:rsidRPr="00991EB9">
        <w:rPr>
          <w:rFonts w:ascii="Book Antiqua" w:hAnsi="Book Antiqua" w:cs="Arial"/>
          <w:b/>
          <w:sz w:val="24"/>
          <w:szCs w:val="24"/>
          <w:u w:val="single"/>
        </w:rPr>
        <w:t>GA</w:t>
      </w:r>
      <w:r w:rsidR="00702533" w:rsidRPr="00991EB9">
        <w:rPr>
          <w:rFonts w:ascii="Book Antiqua" w:hAnsi="Book Antiqua" w:cs="Arial"/>
          <w:b/>
          <w:sz w:val="24"/>
          <w:szCs w:val="24"/>
          <w:u w:val="single"/>
        </w:rPr>
        <w:t xml:space="preserve">STRIC </w:t>
      </w:r>
      <w:r w:rsidRPr="00991EB9">
        <w:rPr>
          <w:rFonts w:ascii="Book Antiqua" w:hAnsi="Book Antiqua" w:cs="Arial"/>
          <w:b/>
          <w:sz w:val="24"/>
          <w:szCs w:val="24"/>
          <w:u w:val="single"/>
        </w:rPr>
        <w:t>INTESTINAL METAPLASIA</w:t>
      </w:r>
    </w:p>
    <w:p w:rsidR="00811C8F" w:rsidRPr="00991EB9" w:rsidRDefault="009952A6" w:rsidP="009A3473">
      <w:pPr>
        <w:pStyle w:val="af5"/>
        <w:wordWrap/>
        <w:snapToGrid w:val="0"/>
        <w:spacing w:after="0" w:line="360" w:lineRule="auto"/>
        <w:ind w:firstLineChars="0" w:firstLine="0"/>
        <w:rPr>
          <w:rFonts w:ascii="Book Antiqua" w:hAnsi="Book Antiqua"/>
          <w:sz w:val="24"/>
          <w:szCs w:val="24"/>
        </w:rPr>
      </w:pPr>
      <w:r w:rsidRPr="00991EB9">
        <w:rPr>
          <w:rFonts w:ascii="Book Antiqua" w:hAnsi="Book Antiqua"/>
          <w:sz w:val="24"/>
          <w:szCs w:val="24"/>
        </w:rPr>
        <w:t>All subjects with intestinal metaplasia are at risk for gastric cancer development. Whether the gastric cancer risk is low or high depends on the extent and severity of intestinal metaplasia</w:t>
      </w:r>
      <w:r w:rsidR="00360231" w:rsidRPr="00991EB9">
        <w:rPr>
          <w:rFonts w:ascii="Book Antiqua" w:hAnsi="Book Antiqua"/>
          <w:sz w:val="24"/>
          <w:szCs w:val="24"/>
          <w:vertAlign w:val="superscript"/>
        </w:rPr>
        <w:t>[2</w:t>
      </w:r>
      <w:r w:rsidR="005F3912" w:rsidRPr="00991EB9">
        <w:rPr>
          <w:rFonts w:ascii="Book Antiqua" w:hAnsi="Book Antiqua"/>
          <w:sz w:val="24"/>
          <w:szCs w:val="24"/>
          <w:vertAlign w:val="superscript"/>
        </w:rPr>
        <w:t>7</w:t>
      </w:r>
      <w:r w:rsidR="00360231" w:rsidRPr="00991EB9">
        <w:rPr>
          <w:rFonts w:ascii="Book Antiqua" w:hAnsi="Book Antiqua"/>
          <w:sz w:val="24"/>
          <w:szCs w:val="24"/>
          <w:vertAlign w:val="superscript"/>
        </w:rPr>
        <w:t>]</w:t>
      </w:r>
      <w:r w:rsidRPr="00991EB9">
        <w:rPr>
          <w:rFonts w:ascii="Book Antiqua" w:hAnsi="Book Antiqua"/>
          <w:sz w:val="24"/>
          <w:szCs w:val="24"/>
        </w:rPr>
        <w:t>. Since the advent of endoscopy, pathologic examination by forceps biopsy has been the gold standard for diagnosis of GIM. In the updated Sydney System, multiple mucosal biopsies from the gastric corpus and antrum are required to obtain the specimens</w:t>
      </w:r>
      <w:r w:rsidR="00360231" w:rsidRPr="00991EB9">
        <w:rPr>
          <w:rFonts w:ascii="Book Antiqua" w:hAnsi="Book Antiqua"/>
          <w:sz w:val="24"/>
          <w:szCs w:val="24"/>
          <w:vertAlign w:val="superscript"/>
        </w:rPr>
        <w:t>[2</w:t>
      </w:r>
      <w:r w:rsidR="005F3912" w:rsidRPr="00991EB9">
        <w:rPr>
          <w:rFonts w:ascii="Book Antiqua" w:hAnsi="Book Antiqua"/>
          <w:sz w:val="24"/>
          <w:szCs w:val="24"/>
          <w:vertAlign w:val="superscript"/>
        </w:rPr>
        <w:t>8</w:t>
      </w:r>
      <w:r w:rsidR="00360231" w:rsidRPr="00991EB9">
        <w:rPr>
          <w:rFonts w:ascii="Book Antiqua" w:hAnsi="Book Antiqua"/>
          <w:sz w:val="24"/>
          <w:szCs w:val="24"/>
          <w:vertAlign w:val="superscript"/>
        </w:rPr>
        <w:t>]</w:t>
      </w:r>
      <w:r w:rsidRPr="00991EB9">
        <w:rPr>
          <w:rFonts w:ascii="Book Antiqua" w:hAnsi="Book Antiqua"/>
          <w:sz w:val="24"/>
          <w:szCs w:val="24"/>
        </w:rPr>
        <w:t>. The diagnostic criteria of the operative link for gastritis assessment (OLGA) and operative link for gastric intestinal metaplasia assessment (OLGIM) enable more reliable risk stratification of gastric cancer and identification of patients at high risk who need endoscopic surveillance</w:t>
      </w:r>
      <w:r w:rsidR="00360231" w:rsidRPr="00991EB9">
        <w:rPr>
          <w:rFonts w:ascii="Book Antiqua" w:hAnsi="Book Antiqua"/>
          <w:sz w:val="24"/>
          <w:szCs w:val="24"/>
          <w:vertAlign w:val="superscript"/>
        </w:rPr>
        <w:t>[2</w:t>
      </w:r>
      <w:r w:rsidR="005F3912" w:rsidRPr="00991EB9">
        <w:rPr>
          <w:rFonts w:ascii="Book Antiqua" w:hAnsi="Book Antiqua"/>
          <w:sz w:val="24"/>
          <w:szCs w:val="24"/>
          <w:vertAlign w:val="superscript"/>
        </w:rPr>
        <w:t>9,30</w:t>
      </w:r>
      <w:r w:rsidR="00360231" w:rsidRPr="00991EB9">
        <w:rPr>
          <w:rFonts w:ascii="Book Antiqua" w:hAnsi="Book Antiqua"/>
          <w:sz w:val="24"/>
          <w:szCs w:val="24"/>
          <w:vertAlign w:val="superscript"/>
        </w:rPr>
        <w:t>]</w:t>
      </w:r>
      <w:r w:rsidRPr="00991EB9">
        <w:rPr>
          <w:rFonts w:ascii="Book Antiqua" w:hAnsi="Book Antiqua"/>
          <w:sz w:val="24"/>
          <w:szCs w:val="24"/>
        </w:rPr>
        <w:t>. However, OLGA and OLGIM staging are based on pathologic analyses of gastric biopsies from five sites. In clinical practice, elderly patients taking antiplatelets or anticoagulants are at risk for post-biopsy bleeding. Furthermore, biopsy-based methods can considerably increase the m</w:t>
      </w:r>
      <w:r w:rsidR="00360231" w:rsidRPr="00991EB9">
        <w:rPr>
          <w:rFonts w:ascii="Book Antiqua" w:hAnsi="Book Antiqua"/>
          <w:sz w:val="24"/>
          <w:szCs w:val="24"/>
        </w:rPr>
        <w:t>edical costs and procedure time</w:t>
      </w:r>
      <w:r w:rsidR="00F435A4" w:rsidRPr="00991EB9">
        <w:rPr>
          <w:rFonts w:ascii="Book Antiqua" w:hAnsi="Book Antiqua"/>
          <w:sz w:val="24"/>
          <w:szCs w:val="24"/>
        </w:rPr>
        <w:t xml:space="preserve">. </w:t>
      </w:r>
    </w:p>
    <w:p w:rsidR="00844BC3" w:rsidRPr="00991EB9" w:rsidRDefault="009952A6" w:rsidP="009A3473">
      <w:pPr>
        <w:wordWrap/>
        <w:snapToGrid w:val="0"/>
        <w:spacing w:line="360" w:lineRule="auto"/>
        <w:ind w:firstLineChars="100" w:firstLine="240"/>
        <w:rPr>
          <w:rFonts w:ascii="Book Antiqua" w:hAnsi="Book Antiqua"/>
          <w:sz w:val="24"/>
          <w:szCs w:val="24"/>
        </w:rPr>
      </w:pPr>
      <w:r w:rsidRPr="00991EB9">
        <w:rPr>
          <w:rFonts w:ascii="Book Antiqua" w:hAnsi="Book Antiqua"/>
          <w:sz w:val="24"/>
          <w:szCs w:val="24"/>
        </w:rPr>
        <w:t>Based on WLI, the presence of light gray granular patches is the only endoscopic finding of GIM</w:t>
      </w:r>
      <w:r w:rsidR="005F3912" w:rsidRPr="00991EB9">
        <w:rPr>
          <w:rFonts w:ascii="Book Antiqua" w:hAnsi="Book Antiqua"/>
          <w:sz w:val="24"/>
          <w:szCs w:val="24"/>
          <w:vertAlign w:val="superscript"/>
        </w:rPr>
        <w:t>[31</w:t>
      </w:r>
      <w:r w:rsidR="00075D9A" w:rsidRPr="00991EB9">
        <w:rPr>
          <w:rFonts w:ascii="Book Antiqua" w:hAnsi="Book Antiqua"/>
          <w:sz w:val="24"/>
          <w:szCs w:val="24"/>
          <w:vertAlign w:val="superscript"/>
        </w:rPr>
        <w:t>]</w:t>
      </w:r>
      <w:r w:rsidRPr="00991EB9">
        <w:rPr>
          <w:rFonts w:ascii="Book Antiqua" w:hAnsi="Book Antiqua"/>
          <w:sz w:val="24"/>
          <w:szCs w:val="24"/>
        </w:rPr>
        <w:t xml:space="preserve">. However, endoscopic diagnosis using only WLI is limited by its low sensitivity. Several investigators have proposed NBI endoscopic criteria for diagnosis of GIM (Table 1). </w:t>
      </w:r>
      <w:r w:rsidR="00B36ACC" w:rsidRPr="00991EB9">
        <w:rPr>
          <w:rFonts w:ascii="Book Antiqua" w:hAnsi="Book Antiqua"/>
          <w:sz w:val="24"/>
          <w:szCs w:val="24"/>
        </w:rPr>
        <w:t xml:space="preserve">In 2006, </w:t>
      </w:r>
      <w:r w:rsidRPr="00991EB9">
        <w:rPr>
          <w:rFonts w:ascii="Book Antiqua" w:hAnsi="Book Antiqua"/>
          <w:sz w:val="24"/>
          <w:szCs w:val="24"/>
        </w:rPr>
        <w:t>Uedo</w:t>
      </w:r>
      <w:r w:rsidR="00B36ACC" w:rsidRPr="00991EB9">
        <w:rPr>
          <w:rFonts w:ascii="Book Antiqua" w:hAnsi="Book Antiqua"/>
          <w:i/>
          <w:sz w:val="24"/>
          <w:szCs w:val="24"/>
        </w:rPr>
        <w:t xml:space="preserve"> </w:t>
      </w:r>
      <w:r w:rsidRPr="00991EB9">
        <w:rPr>
          <w:rFonts w:ascii="Book Antiqua" w:hAnsi="Book Antiqua"/>
          <w:i/>
          <w:sz w:val="24"/>
          <w:szCs w:val="24"/>
        </w:rPr>
        <w:t>et al</w:t>
      </w:r>
      <w:r w:rsidR="001E0775" w:rsidRPr="00991EB9">
        <w:rPr>
          <w:rFonts w:ascii="Book Antiqua" w:hAnsi="Book Antiqua"/>
          <w:sz w:val="24"/>
          <w:szCs w:val="24"/>
          <w:vertAlign w:val="superscript"/>
        </w:rPr>
        <w:t>[32]</w:t>
      </w:r>
      <w:r w:rsidRPr="00991EB9">
        <w:rPr>
          <w:rFonts w:ascii="Book Antiqua" w:hAnsi="Book Antiqua"/>
          <w:sz w:val="24"/>
          <w:szCs w:val="24"/>
        </w:rPr>
        <w:t xml:space="preserve"> suggested a light blue crest (LBC) as a new diagnostic criterion for GIM. In M-NBI endoscopy, LBC was observed as a fine, blue line on the crests of the epithelial surface</w:t>
      </w:r>
      <w:r w:rsidR="00494C69" w:rsidRPr="00991EB9">
        <w:rPr>
          <w:rFonts w:ascii="Book Antiqua" w:hAnsi="Book Antiqua"/>
          <w:sz w:val="24"/>
          <w:szCs w:val="24"/>
        </w:rPr>
        <w:t xml:space="preserve"> (Figure 3). </w:t>
      </w:r>
      <w:r w:rsidRPr="00991EB9">
        <w:rPr>
          <w:rFonts w:ascii="Book Antiqua" w:hAnsi="Book Antiqua"/>
          <w:sz w:val="24"/>
          <w:szCs w:val="24"/>
        </w:rPr>
        <w:t>The presence of LBC was correlated with histological GIM (sensitivity 89% and specificity 93%). Savarino</w:t>
      </w:r>
      <w:r w:rsidRPr="00991EB9">
        <w:rPr>
          <w:rFonts w:ascii="Book Antiqua" w:hAnsi="Book Antiqua"/>
          <w:i/>
          <w:sz w:val="24"/>
          <w:szCs w:val="24"/>
        </w:rPr>
        <w:t xml:space="preserve"> et al</w:t>
      </w:r>
      <w:r w:rsidR="001E0775" w:rsidRPr="00991EB9">
        <w:rPr>
          <w:rFonts w:ascii="Book Antiqua" w:hAnsi="Book Antiqua"/>
          <w:sz w:val="24"/>
          <w:szCs w:val="24"/>
          <w:vertAlign w:val="superscript"/>
        </w:rPr>
        <w:t>[33]</w:t>
      </w:r>
      <w:r w:rsidRPr="00991EB9">
        <w:rPr>
          <w:rFonts w:ascii="Book Antiqua" w:hAnsi="Book Antiqua"/>
          <w:sz w:val="24"/>
          <w:szCs w:val="24"/>
        </w:rPr>
        <w:t xml:space="preserve"> reported that LBC was a good indicator of GIM (sensitivity 80%, specificity 96%, and accuracy 93%). For diagnosing GIM, An</w:t>
      </w:r>
      <w:r w:rsidRPr="00991EB9">
        <w:rPr>
          <w:rFonts w:ascii="Book Antiqua" w:hAnsi="Book Antiqua"/>
          <w:i/>
          <w:sz w:val="24"/>
          <w:szCs w:val="24"/>
        </w:rPr>
        <w:t xml:space="preserve"> et al</w:t>
      </w:r>
      <w:r w:rsidR="001E0775" w:rsidRPr="00991EB9">
        <w:rPr>
          <w:rFonts w:ascii="Book Antiqua" w:hAnsi="Book Antiqua"/>
          <w:sz w:val="24"/>
          <w:szCs w:val="24"/>
          <w:vertAlign w:val="superscript"/>
        </w:rPr>
        <w:t>[34]</w:t>
      </w:r>
      <w:r w:rsidRPr="00991EB9">
        <w:rPr>
          <w:rFonts w:ascii="Book Antiqua" w:hAnsi="Book Antiqua"/>
          <w:sz w:val="24"/>
          <w:szCs w:val="24"/>
        </w:rPr>
        <w:t xml:space="preserve"> suggested the marginal turbid band (MTB), which was defined as an enclosed, white turbid band on the epithelial surface. The presence of both MTB and LBC is more frequent in moderate to severe GIM. The presence of MTB without LBC is considered indicative of early-stage GIM. LBC may be present in subjects who progress to severe GIM. In Japan, Kanemitsu</w:t>
      </w:r>
      <w:r w:rsidRPr="00991EB9">
        <w:rPr>
          <w:rFonts w:ascii="Book Antiqua" w:hAnsi="Book Antiqua"/>
          <w:i/>
          <w:sz w:val="24"/>
          <w:szCs w:val="24"/>
        </w:rPr>
        <w:t xml:space="preserve"> et al</w:t>
      </w:r>
      <w:r w:rsidR="001E0775" w:rsidRPr="00991EB9">
        <w:rPr>
          <w:rFonts w:ascii="Book Antiqua" w:hAnsi="Book Antiqua"/>
          <w:sz w:val="24"/>
          <w:szCs w:val="24"/>
          <w:vertAlign w:val="superscript"/>
        </w:rPr>
        <w:t>[35]</w:t>
      </w:r>
      <w:r w:rsidRPr="00991EB9">
        <w:rPr>
          <w:rFonts w:ascii="Book Antiqua" w:hAnsi="Book Antiqua"/>
          <w:sz w:val="24"/>
          <w:szCs w:val="24"/>
        </w:rPr>
        <w:t xml:space="preserve"> reported that a white opaque substance (WOS) was a marker for M-NBI diagnosis of GIM. The sensitivity of LBC for histological GIM was 62.5%. When the presence of WOS was added to the criteria, the sensitivity increased to 87.5%. The specificity and accuracy of WOS and/or LBC were 93.8% and 90.0%, respectively. Sak</w:t>
      </w:r>
      <w:r w:rsidR="00E0610A" w:rsidRPr="00991EB9">
        <w:rPr>
          <w:rFonts w:ascii="Book Antiqua" w:hAnsi="Book Antiqua"/>
          <w:sz w:val="24"/>
          <w:szCs w:val="24"/>
        </w:rPr>
        <w:t>a</w:t>
      </w:r>
      <w:r w:rsidRPr="00991EB9">
        <w:rPr>
          <w:rFonts w:ascii="Book Antiqua" w:hAnsi="Book Antiqua"/>
          <w:i/>
          <w:sz w:val="24"/>
          <w:szCs w:val="24"/>
        </w:rPr>
        <w:t xml:space="preserve"> et al</w:t>
      </w:r>
      <w:r w:rsidR="001E0775" w:rsidRPr="00991EB9">
        <w:rPr>
          <w:rFonts w:ascii="Book Antiqua" w:hAnsi="Book Antiqua"/>
          <w:sz w:val="24"/>
          <w:szCs w:val="24"/>
          <w:vertAlign w:val="superscript"/>
        </w:rPr>
        <w:t>[36]</w:t>
      </w:r>
      <w:r w:rsidRPr="00991EB9">
        <w:rPr>
          <w:rFonts w:ascii="Book Antiqua" w:hAnsi="Book Antiqua"/>
          <w:sz w:val="24"/>
          <w:szCs w:val="24"/>
        </w:rPr>
        <w:t xml:space="preserve"> performed M-NBI endoscopic staging of gastritis using the diagnostic criteria of a tubular/granular mucosal pattern plus LBC or WOS. The accuracy for assessing OLGA and OLGIM was 69.1% for the antrum and 72.7% for the corpus. The degree of gastritis was classified as low or high risk by summing the scores of the corpus and antrum. The concordance of M-NBI endoscopy with histologic severity for differentiating the low- and high-risk groups was 89.1%</w:t>
      </w:r>
      <w:r w:rsidR="00AA5A56" w:rsidRPr="00991EB9">
        <w:rPr>
          <w:rFonts w:ascii="Book Antiqua" w:hAnsi="Book Antiqua"/>
          <w:sz w:val="24"/>
          <w:szCs w:val="24"/>
        </w:rPr>
        <w:t xml:space="preserve">. </w:t>
      </w:r>
    </w:p>
    <w:p w:rsidR="000C46B3" w:rsidRPr="00991EB9" w:rsidRDefault="00BA6F08" w:rsidP="009A3473">
      <w:pPr>
        <w:wordWrap/>
        <w:snapToGrid w:val="0"/>
        <w:spacing w:line="360" w:lineRule="auto"/>
        <w:ind w:firstLineChars="100" w:firstLine="240"/>
        <w:rPr>
          <w:rFonts w:ascii="Book Antiqua" w:eastAsia="Gulim" w:hAnsi="Book Antiqua"/>
          <w:sz w:val="24"/>
          <w:szCs w:val="24"/>
        </w:rPr>
      </w:pPr>
      <w:r w:rsidRPr="00991EB9">
        <w:rPr>
          <w:rFonts w:ascii="Book Antiqua" w:hAnsi="Book Antiqua"/>
          <w:sz w:val="24"/>
          <w:szCs w:val="24"/>
        </w:rPr>
        <w:t xml:space="preserve">In </w:t>
      </w:r>
      <w:r w:rsidR="008A2E4F" w:rsidRPr="00991EB9">
        <w:rPr>
          <w:rFonts w:ascii="Book Antiqua" w:hAnsi="Book Antiqua"/>
          <w:sz w:val="24"/>
          <w:szCs w:val="24"/>
        </w:rPr>
        <w:t xml:space="preserve">2012, </w:t>
      </w:r>
      <w:r w:rsidR="009952A6" w:rsidRPr="00991EB9">
        <w:rPr>
          <w:rFonts w:ascii="Book Antiqua" w:hAnsi="Book Antiqua"/>
          <w:sz w:val="24"/>
          <w:szCs w:val="24"/>
        </w:rPr>
        <w:t>Pimentel-Nunes</w:t>
      </w:r>
      <w:r w:rsidR="009952A6" w:rsidRPr="00991EB9">
        <w:rPr>
          <w:rFonts w:ascii="Book Antiqua" w:hAnsi="Book Antiqua"/>
          <w:i/>
          <w:sz w:val="24"/>
          <w:szCs w:val="24"/>
        </w:rPr>
        <w:t xml:space="preserve"> et al</w:t>
      </w:r>
      <w:r w:rsidR="001E0775" w:rsidRPr="00991EB9">
        <w:rPr>
          <w:rFonts w:ascii="Book Antiqua" w:hAnsi="Book Antiqua"/>
          <w:sz w:val="24"/>
          <w:szCs w:val="24"/>
          <w:vertAlign w:val="superscript"/>
        </w:rPr>
        <w:t>[37]</w:t>
      </w:r>
      <w:r w:rsidR="009952A6" w:rsidRPr="00991EB9">
        <w:rPr>
          <w:rFonts w:ascii="Book Antiqua" w:hAnsi="Book Antiqua"/>
          <w:sz w:val="24"/>
          <w:szCs w:val="24"/>
        </w:rPr>
        <w:t xml:space="preserve"> performed a validation study for endoscopic classification of premalignant gastric lesions and dysplasia. Using NBI endoscopy without magnification, they defined a regular tubulovillous or ridge glandular pattern as intestinal metaplasia. This mucosal pattern showed 90% sensitivity, 81% specificity, and 84% accuracy for diagnosing GIM. </w:t>
      </w:r>
      <w:r w:rsidR="001A517E" w:rsidRPr="00991EB9">
        <w:rPr>
          <w:rFonts w:ascii="Book Antiqua" w:hAnsi="Book Antiqua"/>
          <w:sz w:val="24"/>
          <w:szCs w:val="24"/>
        </w:rPr>
        <w:t>They used a web-based video system to address the learning curve of this classification by endoscopists</w:t>
      </w:r>
      <w:r w:rsidR="007D5870" w:rsidRPr="00991EB9">
        <w:rPr>
          <w:rFonts w:ascii="Book Antiqua" w:hAnsi="Book Antiqua"/>
          <w:sz w:val="24"/>
          <w:szCs w:val="24"/>
          <w:vertAlign w:val="superscript"/>
        </w:rPr>
        <w:t>[38]</w:t>
      </w:r>
      <w:r w:rsidR="007D5870" w:rsidRPr="00991EB9">
        <w:rPr>
          <w:rFonts w:ascii="Book Antiqua" w:hAnsi="Book Antiqua"/>
          <w:sz w:val="24"/>
          <w:szCs w:val="24"/>
        </w:rPr>
        <w:t xml:space="preserve">. The sensitivity and specificity for GIM reached 73% and 81% by the trainees, respectively. </w:t>
      </w:r>
      <w:r w:rsidR="001A517E" w:rsidRPr="00991EB9">
        <w:rPr>
          <w:rFonts w:ascii="Book Antiqua" w:hAnsi="Book Antiqua"/>
          <w:sz w:val="24"/>
          <w:szCs w:val="24"/>
        </w:rPr>
        <w:t xml:space="preserve">An NBI classification seemed to be easily learned for the identification of precancerous gastric lesions. </w:t>
      </w:r>
      <w:r w:rsidR="009952A6" w:rsidRPr="00991EB9">
        <w:rPr>
          <w:rFonts w:ascii="Book Antiqua" w:hAnsi="Book Antiqua"/>
          <w:sz w:val="24"/>
          <w:szCs w:val="24"/>
        </w:rPr>
        <w:t>A multicenter prospective study evaluated endoscopic grading of GIM using the same NBI classification</w:t>
      </w:r>
      <w:r w:rsidR="00634037" w:rsidRPr="00991EB9">
        <w:rPr>
          <w:rFonts w:ascii="Book Antiqua" w:hAnsi="Book Antiqua"/>
          <w:sz w:val="24"/>
          <w:szCs w:val="24"/>
          <w:vertAlign w:val="superscript"/>
        </w:rPr>
        <w:t>[3</w:t>
      </w:r>
      <w:r w:rsidR="003B1C74" w:rsidRPr="00991EB9">
        <w:rPr>
          <w:rFonts w:ascii="Book Antiqua" w:hAnsi="Book Antiqua"/>
          <w:sz w:val="24"/>
          <w:szCs w:val="24"/>
          <w:vertAlign w:val="superscript"/>
        </w:rPr>
        <w:t>9</w:t>
      </w:r>
      <w:r w:rsidR="00634037" w:rsidRPr="00991EB9">
        <w:rPr>
          <w:rFonts w:ascii="Book Antiqua" w:hAnsi="Book Antiqua"/>
          <w:sz w:val="24"/>
          <w:szCs w:val="24"/>
          <w:vertAlign w:val="superscript"/>
        </w:rPr>
        <w:t>]</w:t>
      </w:r>
      <w:r w:rsidR="009952A6" w:rsidRPr="00991EB9">
        <w:rPr>
          <w:rFonts w:ascii="Book Antiqua" w:hAnsi="Book Antiqua"/>
          <w:sz w:val="24"/>
          <w:szCs w:val="24"/>
        </w:rPr>
        <w:t>. Five different areas (each of the lesser and greater curvature of the corpus and antrum, and the gastric angle) were closely observed by NBI endoscopy. The endoscopic grades of GIM were evaluated on a three-point scale</w:t>
      </w:r>
      <w:r w:rsidR="00FC3DA7">
        <w:rPr>
          <w:rFonts w:ascii="Book Antiqua" w:hAnsi="Book Antiqua"/>
          <w:sz w:val="24"/>
          <w:szCs w:val="24"/>
        </w:rPr>
        <w:t xml:space="preserve"> </w:t>
      </w:r>
      <w:r w:rsidR="00624425">
        <w:rPr>
          <w:rFonts w:ascii="Book Antiqua" w:hAnsi="Book Antiqua"/>
          <w:sz w:val="24"/>
          <w:szCs w:val="24"/>
        </w:rPr>
        <w:t>[</w:t>
      </w:r>
      <w:r w:rsidR="009952A6" w:rsidRPr="00991EB9">
        <w:rPr>
          <w:rFonts w:ascii="Book Antiqua" w:hAnsi="Book Antiqua"/>
          <w:sz w:val="24"/>
          <w:szCs w:val="24"/>
        </w:rPr>
        <w:t xml:space="preserve">no = 0, focal </w:t>
      </w:r>
      <w:r w:rsidR="00624425">
        <w:rPr>
          <w:rFonts w:ascii="Book Antiqua" w:hAnsi="Book Antiqua"/>
          <w:sz w:val="24"/>
          <w:szCs w:val="24"/>
        </w:rPr>
        <w:t>(</w:t>
      </w:r>
      <w:r w:rsidR="009952A6" w:rsidRPr="00991EB9">
        <w:rPr>
          <w:rFonts w:ascii="Book Antiqua" w:hAnsi="Book Antiqua"/>
          <w:sz w:val="24"/>
          <w:szCs w:val="24"/>
        </w:rPr>
        <w:t>≤</w:t>
      </w:r>
      <w:r w:rsidR="00624425">
        <w:rPr>
          <w:rFonts w:ascii="Book Antiqua" w:hAnsi="Book Antiqua"/>
          <w:sz w:val="24"/>
          <w:szCs w:val="24"/>
        </w:rPr>
        <w:t xml:space="preserve"> </w:t>
      </w:r>
      <w:r w:rsidR="009952A6" w:rsidRPr="00991EB9">
        <w:rPr>
          <w:rFonts w:ascii="Book Antiqua" w:hAnsi="Book Antiqua"/>
          <w:sz w:val="24"/>
          <w:szCs w:val="24"/>
        </w:rPr>
        <w:t>30%</w:t>
      </w:r>
      <w:r w:rsidR="00624425">
        <w:rPr>
          <w:rFonts w:ascii="Book Antiqua" w:hAnsi="Book Antiqua"/>
          <w:sz w:val="24"/>
          <w:szCs w:val="24"/>
        </w:rPr>
        <w:t>)</w:t>
      </w:r>
      <w:r w:rsidR="009952A6" w:rsidRPr="00991EB9">
        <w:rPr>
          <w:rFonts w:ascii="Book Antiqua" w:hAnsi="Book Antiqua"/>
          <w:sz w:val="24"/>
          <w:szCs w:val="24"/>
        </w:rPr>
        <w:t xml:space="preserve"> = 1, and extensive </w:t>
      </w:r>
      <w:r w:rsidR="00624425">
        <w:rPr>
          <w:rFonts w:ascii="Book Antiqua" w:hAnsi="Book Antiqua"/>
          <w:sz w:val="24"/>
          <w:szCs w:val="24"/>
        </w:rPr>
        <w:t>(</w:t>
      </w:r>
      <w:r w:rsidR="009952A6" w:rsidRPr="00991EB9">
        <w:rPr>
          <w:rFonts w:ascii="Book Antiqua" w:hAnsi="Book Antiqua"/>
          <w:sz w:val="24"/>
          <w:szCs w:val="24"/>
        </w:rPr>
        <w:t>&gt;</w:t>
      </w:r>
      <w:r w:rsidR="00624425">
        <w:rPr>
          <w:rFonts w:ascii="Book Antiqua" w:hAnsi="Book Antiqua"/>
          <w:sz w:val="24"/>
          <w:szCs w:val="24"/>
        </w:rPr>
        <w:t xml:space="preserve"> </w:t>
      </w:r>
      <w:r w:rsidR="009952A6" w:rsidRPr="00991EB9">
        <w:rPr>
          <w:rFonts w:ascii="Book Antiqua" w:hAnsi="Book Antiqua"/>
          <w:sz w:val="24"/>
          <w:szCs w:val="24"/>
        </w:rPr>
        <w:t>30%</w:t>
      </w:r>
      <w:r w:rsidR="00624425">
        <w:rPr>
          <w:rFonts w:ascii="Book Antiqua" w:hAnsi="Book Antiqua"/>
          <w:sz w:val="24"/>
          <w:szCs w:val="24"/>
        </w:rPr>
        <w:t>)</w:t>
      </w:r>
      <w:r w:rsidR="009952A6" w:rsidRPr="00991EB9">
        <w:rPr>
          <w:rFonts w:ascii="Book Antiqua" w:hAnsi="Book Antiqua"/>
          <w:sz w:val="24"/>
          <w:szCs w:val="24"/>
        </w:rPr>
        <w:t> = 2</w:t>
      </w:r>
      <w:r w:rsidR="00624425">
        <w:rPr>
          <w:rFonts w:ascii="Book Antiqua" w:hAnsi="Book Antiqua"/>
          <w:sz w:val="24"/>
          <w:szCs w:val="24"/>
        </w:rPr>
        <w:t>]</w:t>
      </w:r>
      <w:r w:rsidR="009952A6" w:rsidRPr="00991EB9">
        <w:rPr>
          <w:rFonts w:ascii="Book Antiqua" w:hAnsi="Book Antiqua"/>
          <w:sz w:val="24"/>
          <w:szCs w:val="24"/>
        </w:rPr>
        <w:t xml:space="preserve"> according to the extent of metaplastic mucosa. Compared to WLI, NBI had a higher diagnostic accuracy for GIM (83% </w:t>
      </w:r>
      <w:r w:rsidR="009952A6" w:rsidRPr="008D511D">
        <w:rPr>
          <w:rFonts w:ascii="Book Antiqua" w:hAnsi="Book Antiqua"/>
          <w:i/>
          <w:iCs/>
          <w:sz w:val="24"/>
          <w:szCs w:val="24"/>
        </w:rPr>
        <w:t>vs</w:t>
      </w:r>
      <w:r w:rsidR="009952A6" w:rsidRPr="008D511D">
        <w:rPr>
          <w:rFonts w:ascii="Book Antiqua" w:hAnsi="Book Antiqua"/>
          <w:sz w:val="24"/>
          <w:szCs w:val="24"/>
        </w:rPr>
        <w:t xml:space="preserve"> </w:t>
      </w:r>
      <w:r w:rsidR="009952A6" w:rsidRPr="00991EB9">
        <w:rPr>
          <w:rFonts w:ascii="Book Antiqua" w:hAnsi="Book Antiqua"/>
          <w:sz w:val="24"/>
          <w:szCs w:val="24"/>
        </w:rPr>
        <w:t>94%). NBI increased the sensitivity for GIM from 53% to 87%. The endoscopic grading was concordant with an extensive degree of histological GIM (OLGIM III/IV). If the cutoff value was &gt;</w:t>
      </w:r>
      <w:r w:rsidR="008D511D" w:rsidRPr="00C45DF6">
        <w:rPr>
          <w:rFonts w:ascii="Book Antiqua" w:eastAsia="宋体" w:hAnsi="Book Antiqua" w:hint="eastAsia"/>
          <w:sz w:val="24"/>
          <w:szCs w:val="24"/>
          <w:lang w:eastAsia="zh-CN"/>
        </w:rPr>
        <w:t xml:space="preserve"> </w:t>
      </w:r>
      <w:r w:rsidR="009952A6" w:rsidRPr="00991EB9">
        <w:rPr>
          <w:rFonts w:ascii="Book Antiqua" w:hAnsi="Book Antiqua"/>
          <w:sz w:val="24"/>
          <w:szCs w:val="24"/>
        </w:rPr>
        <w:t>4 (total score = 5–10), the sensitivity and specificity for OLGIM III/IV were 94.2% and 95.2%, respectively. The area under the receiver operating characteristic curve was 0.98. Esposito</w:t>
      </w:r>
      <w:r w:rsidR="009952A6" w:rsidRPr="00991EB9">
        <w:rPr>
          <w:rFonts w:ascii="Book Antiqua" w:hAnsi="Book Antiqua"/>
          <w:i/>
          <w:sz w:val="24"/>
          <w:szCs w:val="24"/>
        </w:rPr>
        <w:t xml:space="preserve"> et al</w:t>
      </w:r>
      <w:r w:rsidR="001E0775" w:rsidRPr="00991EB9">
        <w:rPr>
          <w:rFonts w:ascii="Book Antiqua" w:hAnsi="Book Antiqua"/>
          <w:sz w:val="24"/>
          <w:szCs w:val="24"/>
          <w:vertAlign w:val="superscript"/>
        </w:rPr>
        <w:t>[40]</w:t>
      </w:r>
      <w:r w:rsidR="009952A6" w:rsidRPr="00991EB9">
        <w:rPr>
          <w:rFonts w:ascii="Book Antiqua" w:hAnsi="Book Antiqua"/>
          <w:sz w:val="24"/>
          <w:szCs w:val="24"/>
        </w:rPr>
        <w:t xml:space="preserve"> suggested that NBI endoscopy for diagnosing GIM is useful for evaluating the risk for OLGIM without performing mucosal biopsy. By contrast, another study reported that the diagnostic yield for GIM using NBI endoscopy was 53% to 65%</w:t>
      </w:r>
      <w:r w:rsidR="003B1C74" w:rsidRPr="00991EB9">
        <w:rPr>
          <w:rFonts w:ascii="Book Antiqua" w:hAnsi="Book Antiqua"/>
          <w:sz w:val="24"/>
          <w:szCs w:val="24"/>
          <w:vertAlign w:val="superscript"/>
        </w:rPr>
        <w:t>[41</w:t>
      </w:r>
      <w:r w:rsidR="00634037" w:rsidRPr="00991EB9">
        <w:rPr>
          <w:rFonts w:ascii="Book Antiqua" w:hAnsi="Book Antiqua"/>
          <w:sz w:val="24"/>
          <w:szCs w:val="24"/>
          <w:vertAlign w:val="superscript"/>
        </w:rPr>
        <w:t>]</w:t>
      </w:r>
      <w:r w:rsidR="009952A6" w:rsidRPr="00991EB9">
        <w:rPr>
          <w:rFonts w:ascii="Book Antiqua" w:hAnsi="Book Antiqua"/>
          <w:sz w:val="24"/>
          <w:szCs w:val="24"/>
        </w:rPr>
        <w:t>. NBI-targeted biopsy is still recommended for detection of GIM. A further large</w:t>
      </w:r>
      <w:r w:rsidR="009952A6" w:rsidRPr="00991EB9">
        <w:rPr>
          <w:rFonts w:ascii="Book Antiqua" w:hAnsi="Book Antiqua"/>
          <w:sz w:val="24"/>
          <w:szCs w:val="24"/>
        </w:rPr>
        <w:noBreakHyphen/>
        <w:t>scale study is required to standardize the diagnosis of GIM using NBI endoscopy</w:t>
      </w:r>
      <w:r w:rsidR="003343FA" w:rsidRPr="00991EB9">
        <w:rPr>
          <w:rFonts w:ascii="Book Antiqua" w:hAnsi="Book Antiqua"/>
          <w:sz w:val="24"/>
          <w:szCs w:val="24"/>
        </w:rPr>
        <w:t xml:space="preserve">. </w:t>
      </w:r>
    </w:p>
    <w:p w:rsidR="000C46B3" w:rsidRPr="00991EB9" w:rsidRDefault="000C46B3" w:rsidP="009A3473">
      <w:pPr>
        <w:wordWrap/>
        <w:snapToGrid w:val="0"/>
        <w:spacing w:line="360" w:lineRule="auto"/>
        <w:rPr>
          <w:rFonts w:ascii="Book Antiqua" w:hAnsi="Book Antiqua" w:cs="Arial"/>
          <w:b/>
          <w:i/>
          <w:sz w:val="24"/>
          <w:szCs w:val="24"/>
        </w:rPr>
      </w:pPr>
    </w:p>
    <w:p w:rsidR="000C46B3" w:rsidRPr="00991EB9" w:rsidRDefault="00923D3E" w:rsidP="009A3473">
      <w:pPr>
        <w:pStyle w:val="af5"/>
        <w:wordWrap/>
        <w:snapToGrid w:val="0"/>
        <w:spacing w:after="0" w:line="360" w:lineRule="auto"/>
        <w:ind w:firstLineChars="0" w:firstLine="0"/>
        <w:rPr>
          <w:rFonts w:ascii="Book Antiqua" w:hAnsi="Book Antiqua" w:cs="Arial"/>
          <w:b/>
          <w:sz w:val="24"/>
          <w:szCs w:val="24"/>
          <w:u w:val="single"/>
        </w:rPr>
      </w:pPr>
      <w:r w:rsidRPr="00991EB9">
        <w:rPr>
          <w:rFonts w:ascii="Book Antiqua" w:hAnsi="Book Antiqua" w:cs="Arial"/>
          <w:b/>
          <w:sz w:val="24"/>
          <w:szCs w:val="24"/>
          <w:u w:val="single"/>
        </w:rPr>
        <w:t>GASTRIC DYSPLASIA</w:t>
      </w:r>
    </w:p>
    <w:p w:rsidR="00DD10C4" w:rsidRPr="00991EB9" w:rsidRDefault="00B427E6" w:rsidP="009A3473">
      <w:pPr>
        <w:pStyle w:val="af5"/>
        <w:wordWrap/>
        <w:snapToGrid w:val="0"/>
        <w:spacing w:after="0" w:line="360" w:lineRule="auto"/>
        <w:ind w:firstLineChars="0" w:firstLine="0"/>
        <w:rPr>
          <w:rFonts w:ascii="Book Antiqua" w:hAnsi="Book Antiqua"/>
          <w:sz w:val="24"/>
          <w:szCs w:val="24"/>
        </w:rPr>
      </w:pPr>
      <w:r w:rsidRPr="00991EB9">
        <w:rPr>
          <w:rFonts w:ascii="Book Antiqua" w:hAnsi="Book Antiqua"/>
          <w:sz w:val="24"/>
          <w:szCs w:val="24"/>
        </w:rPr>
        <w:t>Gastric dysplasia is the precursor lesion of gastric adenocarcinoma, particularly of the intestinal type</w:t>
      </w:r>
      <w:r w:rsidR="003B1C74" w:rsidRPr="00991EB9">
        <w:rPr>
          <w:rFonts w:ascii="Book Antiqua" w:hAnsi="Book Antiqua"/>
          <w:sz w:val="24"/>
          <w:szCs w:val="24"/>
          <w:vertAlign w:val="superscript"/>
        </w:rPr>
        <w:t>[42</w:t>
      </w:r>
      <w:r w:rsidR="004F1070" w:rsidRPr="00991EB9">
        <w:rPr>
          <w:rFonts w:ascii="Book Antiqua" w:hAnsi="Book Antiqua"/>
          <w:sz w:val="24"/>
          <w:szCs w:val="24"/>
          <w:vertAlign w:val="superscript"/>
        </w:rPr>
        <w:t>]</w:t>
      </w:r>
      <w:r w:rsidRPr="00991EB9">
        <w:rPr>
          <w:rFonts w:ascii="Book Antiqua" w:hAnsi="Book Antiqua"/>
          <w:sz w:val="24"/>
          <w:szCs w:val="24"/>
        </w:rPr>
        <w:t xml:space="preserve">. </w:t>
      </w:r>
      <w:r w:rsidR="00467AA3" w:rsidRPr="00991EB9">
        <w:rPr>
          <w:rFonts w:ascii="Book Antiqua" w:hAnsi="Book Antiqua"/>
          <w:sz w:val="24"/>
          <w:szCs w:val="24"/>
        </w:rPr>
        <w:t xml:space="preserve">The World Health Organization (WHO) defines dysplasia in the gastrointestinal tract as the presence of histologically unequivocal neoplastic epithelium without evidence </w:t>
      </w:r>
      <w:r w:rsidR="00A70313" w:rsidRPr="00991EB9">
        <w:rPr>
          <w:rFonts w:ascii="Book Antiqua" w:hAnsi="Book Antiqua"/>
          <w:sz w:val="24"/>
          <w:szCs w:val="24"/>
        </w:rPr>
        <w:t>of tissue invasion</w:t>
      </w:r>
      <w:r w:rsidR="003B1C74" w:rsidRPr="00991EB9">
        <w:rPr>
          <w:rFonts w:ascii="Book Antiqua" w:hAnsi="Book Antiqua"/>
          <w:sz w:val="24"/>
          <w:szCs w:val="24"/>
          <w:vertAlign w:val="superscript"/>
        </w:rPr>
        <w:t>[43</w:t>
      </w:r>
      <w:r w:rsidR="004F1070" w:rsidRPr="00991EB9">
        <w:rPr>
          <w:rFonts w:ascii="Book Antiqua" w:hAnsi="Book Antiqua"/>
          <w:sz w:val="24"/>
          <w:szCs w:val="24"/>
          <w:vertAlign w:val="superscript"/>
        </w:rPr>
        <w:t>]</w:t>
      </w:r>
      <w:r w:rsidR="00A70313" w:rsidRPr="00991EB9">
        <w:rPr>
          <w:rFonts w:ascii="Book Antiqua" w:hAnsi="Book Antiqua"/>
          <w:sz w:val="24"/>
          <w:szCs w:val="24"/>
        </w:rPr>
        <w:t>. According to the revised Vienne classification, low and high grade dysplasia (category 3 and 4.1) is c</w:t>
      </w:r>
      <w:r w:rsidR="009342AB" w:rsidRPr="00991EB9">
        <w:rPr>
          <w:rFonts w:ascii="Book Antiqua" w:hAnsi="Book Antiqua"/>
          <w:sz w:val="24"/>
          <w:szCs w:val="24"/>
        </w:rPr>
        <w:t>lassified</w:t>
      </w:r>
      <w:r w:rsidR="00A70313" w:rsidRPr="00991EB9">
        <w:rPr>
          <w:rFonts w:ascii="Book Antiqua" w:hAnsi="Book Antiqua"/>
          <w:sz w:val="24"/>
          <w:szCs w:val="24"/>
        </w:rPr>
        <w:t xml:space="preserve"> as </w:t>
      </w:r>
      <w:r w:rsidR="006F0398" w:rsidRPr="00991EB9">
        <w:rPr>
          <w:rFonts w:ascii="Book Antiqua" w:hAnsi="Book Antiqua"/>
          <w:sz w:val="24"/>
          <w:szCs w:val="24"/>
        </w:rPr>
        <w:t xml:space="preserve">non-invasive gastric </w:t>
      </w:r>
      <w:r w:rsidR="00A70313" w:rsidRPr="00991EB9">
        <w:rPr>
          <w:rFonts w:ascii="Book Antiqua" w:hAnsi="Book Antiqua"/>
          <w:sz w:val="24"/>
          <w:szCs w:val="24"/>
        </w:rPr>
        <w:t>neoplasia</w:t>
      </w:r>
      <w:r w:rsidR="003B1C74" w:rsidRPr="00991EB9">
        <w:rPr>
          <w:rFonts w:ascii="Book Antiqua" w:hAnsi="Book Antiqua"/>
          <w:sz w:val="24"/>
          <w:szCs w:val="24"/>
          <w:vertAlign w:val="superscript"/>
        </w:rPr>
        <w:t>[44</w:t>
      </w:r>
      <w:r w:rsidR="004F1070" w:rsidRPr="00991EB9">
        <w:rPr>
          <w:rFonts w:ascii="Book Antiqua" w:hAnsi="Book Antiqua"/>
          <w:sz w:val="24"/>
          <w:szCs w:val="24"/>
          <w:vertAlign w:val="superscript"/>
        </w:rPr>
        <w:t>]</w:t>
      </w:r>
      <w:r w:rsidR="00A70313" w:rsidRPr="00991EB9">
        <w:rPr>
          <w:rFonts w:ascii="Book Antiqua" w:hAnsi="Book Antiqua"/>
          <w:sz w:val="24"/>
          <w:szCs w:val="24"/>
        </w:rPr>
        <w:t xml:space="preserve">. </w:t>
      </w:r>
      <w:r w:rsidR="006F0398" w:rsidRPr="00991EB9">
        <w:rPr>
          <w:rFonts w:ascii="Book Antiqua" w:hAnsi="Book Antiqua"/>
          <w:sz w:val="24"/>
          <w:szCs w:val="24"/>
        </w:rPr>
        <w:t>Endoscopic resection is recommended for the management of gastric dysplasia due to the possibility of malignant transformation</w:t>
      </w:r>
      <w:r w:rsidR="003B1C74" w:rsidRPr="00991EB9">
        <w:rPr>
          <w:rFonts w:ascii="Book Antiqua" w:hAnsi="Book Antiqua"/>
          <w:sz w:val="24"/>
          <w:szCs w:val="24"/>
          <w:vertAlign w:val="superscript"/>
        </w:rPr>
        <w:t>[45</w:t>
      </w:r>
      <w:r w:rsidR="004F1070" w:rsidRPr="00991EB9">
        <w:rPr>
          <w:rFonts w:ascii="Book Antiqua" w:hAnsi="Book Antiqua"/>
          <w:sz w:val="24"/>
          <w:szCs w:val="24"/>
          <w:vertAlign w:val="superscript"/>
        </w:rPr>
        <w:t>]</w:t>
      </w:r>
      <w:r w:rsidR="006F0398" w:rsidRPr="00991EB9">
        <w:rPr>
          <w:rFonts w:ascii="Book Antiqua" w:hAnsi="Book Antiqua"/>
          <w:sz w:val="24"/>
          <w:szCs w:val="24"/>
        </w:rPr>
        <w:t xml:space="preserve">. </w:t>
      </w:r>
      <w:r w:rsidR="009342AB" w:rsidRPr="00991EB9">
        <w:rPr>
          <w:rFonts w:ascii="Book Antiqua" w:hAnsi="Book Antiqua"/>
          <w:sz w:val="24"/>
          <w:szCs w:val="24"/>
        </w:rPr>
        <w:t>Indefinite pathology for neoplasia on forceps biopsy specimens (category 2 of the revised Vienne classification) is often observed in clinical practice</w:t>
      </w:r>
      <w:r w:rsidR="00775E5D" w:rsidRPr="00991EB9">
        <w:rPr>
          <w:rFonts w:ascii="Book Antiqua" w:hAnsi="Book Antiqua"/>
          <w:sz w:val="24"/>
          <w:szCs w:val="24"/>
        </w:rPr>
        <w:t>.</w:t>
      </w:r>
      <w:r w:rsidR="009342AB" w:rsidRPr="00991EB9">
        <w:rPr>
          <w:rFonts w:ascii="Book Antiqua" w:hAnsi="Book Antiqua"/>
          <w:sz w:val="24"/>
          <w:szCs w:val="24"/>
        </w:rPr>
        <w:t xml:space="preserve"> </w:t>
      </w:r>
      <w:r w:rsidR="00DD7964" w:rsidRPr="00991EB9">
        <w:rPr>
          <w:rFonts w:ascii="Book Antiqua" w:hAnsi="Book Antiqua"/>
          <w:sz w:val="24"/>
          <w:szCs w:val="24"/>
        </w:rPr>
        <w:t>Although endoscopic biopsy is essential</w:t>
      </w:r>
      <w:r w:rsidR="00DD2443" w:rsidRPr="00991EB9">
        <w:rPr>
          <w:rFonts w:ascii="Book Antiqua" w:hAnsi="Book Antiqua"/>
          <w:sz w:val="24"/>
          <w:szCs w:val="24"/>
        </w:rPr>
        <w:t xml:space="preserve"> before planning an</w:t>
      </w:r>
      <w:r w:rsidR="00DD7964" w:rsidRPr="00991EB9">
        <w:rPr>
          <w:rFonts w:ascii="Book Antiqua" w:hAnsi="Book Antiqua"/>
          <w:sz w:val="24"/>
          <w:szCs w:val="24"/>
        </w:rPr>
        <w:t xml:space="preserve"> endoscopic resection, there are reportedly histological discrepancies between forceps biopsy and </w:t>
      </w:r>
      <w:r w:rsidR="00ED269F" w:rsidRPr="00991EB9">
        <w:rPr>
          <w:rFonts w:ascii="Book Antiqua" w:hAnsi="Book Antiqua"/>
          <w:sz w:val="24"/>
          <w:szCs w:val="24"/>
        </w:rPr>
        <w:t>post-resection specimen</w:t>
      </w:r>
      <w:r w:rsidR="003B1C74" w:rsidRPr="00991EB9">
        <w:rPr>
          <w:rFonts w:ascii="Book Antiqua" w:hAnsi="Book Antiqua"/>
          <w:sz w:val="24"/>
          <w:szCs w:val="24"/>
          <w:vertAlign w:val="superscript"/>
        </w:rPr>
        <w:t>[46</w:t>
      </w:r>
      <w:r w:rsidR="004F1070" w:rsidRPr="00991EB9">
        <w:rPr>
          <w:rFonts w:ascii="Book Antiqua" w:hAnsi="Book Antiqua"/>
          <w:sz w:val="24"/>
          <w:szCs w:val="24"/>
          <w:vertAlign w:val="superscript"/>
        </w:rPr>
        <w:t>]</w:t>
      </w:r>
      <w:r w:rsidR="00DD7964" w:rsidRPr="00991EB9">
        <w:rPr>
          <w:rFonts w:ascii="Book Antiqua" w:hAnsi="Book Antiqua"/>
          <w:sz w:val="24"/>
          <w:szCs w:val="24"/>
        </w:rPr>
        <w:t xml:space="preserve">. </w:t>
      </w:r>
      <w:r w:rsidR="009B00C4" w:rsidRPr="00991EB9">
        <w:rPr>
          <w:rFonts w:ascii="Book Antiqua" w:hAnsi="Book Antiqua"/>
          <w:sz w:val="24"/>
          <w:szCs w:val="24"/>
        </w:rPr>
        <w:t xml:space="preserve">In a study by Lee </w:t>
      </w:r>
      <w:r w:rsidR="009B00C4" w:rsidRPr="00991EB9">
        <w:rPr>
          <w:rFonts w:ascii="Book Antiqua" w:hAnsi="Book Antiqua"/>
          <w:i/>
          <w:sz w:val="24"/>
          <w:szCs w:val="24"/>
        </w:rPr>
        <w:t>et al</w:t>
      </w:r>
      <w:r w:rsidR="001E0775" w:rsidRPr="00991EB9">
        <w:rPr>
          <w:rFonts w:ascii="Book Antiqua" w:hAnsi="Book Antiqua"/>
          <w:sz w:val="24"/>
          <w:szCs w:val="24"/>
          <w:vertAlign w:val="superscript"/>
        </w:rPr>
        <w:t>[47]</w:t>
      </w:r>
      <w:r w:rsidR="009B00C4" w:rsidRPr="00991EB9">
        <w:rPr>
          <w:rFonts w:ascii="Book Antiqua" w:hAnsi="Book Antiqua"/>
          <w:sz w:val="24"/>
          <w:szCs w:val="24"/>
        </w:rPr>
        <w:t xml:space="preserve">, up to 64.5% of </w:t>
      </w:r>
      <w:r w:rsidR="001D2753" w:rsidRPr="00991EB9">
        <w:rPr>
          <w:rFonts w:ascii="Book Antiqua" w:hAnsi="Book Antiqua"/>
          <w:sz w:val="24"/>
          <w:szCs w:val="24"/>
        </w:rPr>
        <w:t xml:space="preserve">gastric lesions with </w:t>
      </w:r>
      <w:r w:rsidR="009342AB" w:rsidRPr="00991EB9">
        <w:rPr>
          <w:rFonts w:ascii="Book Antiqua" w:hAnsi="Book Antiqua"/>
          <w:sz w:val="24"/>
          <w:szCs w:val="24"/>
        </w:rPr>
        <w:t xml:space="preserve">indefinite pathology </w:t>
      </w:r>
      <w:r w:rsidR="009B00C4" w:rsidRPr="00991EB9">
        <w:rPr>
          <w:rFonts w:ascii="Book Antiqua" w:hAnsi="Book Antiqua"/>
          <w:sz w:val="24"/>
          <w:szCs w:val="24"/>
        </w:rPr>
        <w:t xml:space="preserve">were upgraded to dysplasia and cancer after endoscopic </w:t>
      </w:r>
      <w:r w:rsidR="00137D50" w:rsidRPr="00991EB9">
        <w:rPr>
          <w:rFonts w:ascii="Book Antiqua" w:hAnsi="Book Antiqua"/>
          <w:sz w:val="24"/>
          <w:szCs w:val="24"/>
        </w:rPr>
        <w:t>submucosal dissection</w:t>
      </w:r>
      <w:r w:rsidR="002340FF" w:rsidRPr="00991EB9">
        <w:rPr>
          <w:rFonts w:ascii="Book Antiqua" w:hAnsi="Book Antiqua"/>
          <w:sz w:val="24"/>
          <w:szCs w:val="24"/>
        </w:rPr>
        <w:t xml:space="preserve"> (ESD)</w:t>
      </w:r>
      <w:r w:rsidR="009B00C4" w:rsidRPr="00991EB9">
        <w:rPr>
          <w:rFonts w:ascii="Book Antiqua" w:hAnsi="Book Antiqua"/>
          <w:sz w:val="24"/>
          <w:szCs w:val="24"/>
        </w:rPr>
        <w:t xml:space="preserve">. </w:t>
      </w:r>
      <w:r w:rsidR="00DD7964" w:rsidRPr="00991EB9">
        <w:rPr>
          <w:rFonts w:ascii="Book Antiqua" w:hAnsi="Book Antiqua"/>
          <w:sz w:val="24"/>
          <w:szCs w:val="24"/>
        </w:rPr>
        <w:t>Endoscopic biopsy may not be representative of the entire lesion due to its superficiality and sampling errors</w:t>
      </w:r>
      <w:r w:rsidR="003B1C74" w:rsidRPr="00991EB9">
        <w:rPr>
          <w:rFonts w:ascii="Book Antiqua" w:hAnsi="Book Antiqua"/>
          <w:sz w:val="24"/>
          <w:szCs w:val="24"/>
          <w:vertAlign w:val="superscript"/>
        </w:rPr>
        <w:t>[48</w:t>
      </w:r>
      <w:r w:rsidR="004F1070" w:rsidRPr="00991EB9">
        <w:rPr>
          <w:rFonts w:ascii="Book Antiqua" w:hAnsi="Book Antiqua"/>
          <w:sz w:val="24"/>
          <w:szCs w:val="24"/>
          <w:vertAlign w:val="superscript"/>
        </w:rPr>
        <w:t>]</w:t>
      </w:r>
      <w:r w:rsidR="00DD7964" w:rsidRPr="00991EB9">
        <w:rPr>
          <w:rFonts w:ascii="Book Antiqua" w:hAnsi="Book Antiqua"/>
          <w:sz w:val="24"/>
          <w:szCs w:val="24"/>
        </w:rPr>
        <w:t>.</w:t>
      </w:r>
      <w:r w:rsidR="009B00C4" w:rsidRPr="00991EB9">
        <w:rPr>
          <w:rFonts w:ascii="Book Antiqua" w:hAnsi="Book Antiqua"/>
          <w:sz w:val="24"/>
          <w:szCs w:val="24"/>
        </w:rPr>
        <w:t xml:space="preserve"> </w:t>
      </w:r>
      <w:r w:rsidR="006A1F22" w:rsidRPr="00991EB9">
        <w:rPr>
          <w:rFonts w:ascii="Book Antiqua" w:hAnsi="Book Antiqua"/>
          <w:sz w:val="24"/>
          <w:szCs w:val="24"/>
        </w:rPr>
        <w:t>R</w:t>
      </w:r>
      <w:r w:rsidR="00F13F79" w:rsidRPr="00991EB9">
        <w:rPr>
          <w:rFonts w:ascii="Book Antiqua" w:hAnsi="Book Antiqua"/>
          <w:sz w:val="24"/>
          <w:szCs w:val="24"/>
        </w:rPr>
        <w:t xml:space="preserve">epeated biopsy can </w:t>
      </w:r>
      <w:r w:rsidR="006A1F22" w:rsidRPr="00991EB9">
        <w:rPr>
          <w:rFonts w:ascii="Book Antiqua" w:hAnsi="Book Antiqua"/>
          <w:sz w:val="24"/>
          <w:szCs w:val="24"/>
        </w:rPr>
        <w:t xml:space="preserve">make the subsequent endoscopic treatment to be difficult due to submucosal fibrosis. </w:t>
      </w:r>
      <w:r w:rsidR="00D97236" w:rsidRPr="00991EB9">
        <w:rPr>
          <w:rFonts w:ascii="Book Antiqua" w:hAnsi="Book Antiqua"/>
          <w:sz w:val="24"/>
          <w:szCs w:val="24"/>
        </w:rPr>
        <w:t xml:space="preserve">Therefore, </w:t>
      </w:r>
      <w:r w:rsidR="00DD10C4" w:rsidRPr="00991EB9">
        <w:rPr>
          <w:rFonts w:ascii="Book Antiqua" w:hAnsi="Book Antiqua"/>
          <w:sz w:val="24"/>
          <w:szCs w:val="24"/>
        </w:rPr>
        <w:t xml:space="preserve">advanced endoscopic imaging such as M-NBI is required for </w:t>
      </w:r>
      <w:r w:rsidR="001D2753" w:rsidRPr="00991EB9">
        <w:rPr>
          <w:rFonts w:ascii="Book Antiqua" w:hAnsi="Book Antiqua"/>
          <w:sz w:val="24"/>
          <w:szCs w:val="24"/>
        </w:rPr>
        <w:t xml:space="preserve">the management of </w:t>
      </w:r>
      <w:r w:rsidR="00DD10C4" w:rsidRPr="00991EB9">
        <w:rPr>
          <w:rFonts w:ascii="Book Antiqua" w:hAnsi="Book Antiqua"/>
          <w:sz w:val="24"/>
          <w:szCs w:val="24"/>
        </w:rPr>
        <w:t xml:space="preserve">gastric dysplasia. </w:t>
      </w:r>
    </w:p>
    <w:p w:rsidR="000C46B3" w:rsidRPr="00991EB9" w:rsidRDefault="00293D05" w:rsidP="009A3473">
      <w:pPr>
        <w:pStyle w:val="af5"/>
        <w:wordWrap/>
        <w:snapToGrid w:val="0"/>
        <w:spacing w:after="0" w:line="360" w:lineRule="auto"/>
        <w:ind w:firstLine="240"/>
        <w:rPr>
          <w:rFonts w:ascii="Book Antiqua" w:hAnsi="Book Antiqua"/>
          <w:sz w:val="24"/>
          <w:szCs w:val="24"/>
        </w:rPr>
      </w:pPr>
      <w:r w:rsidRPr="00991EB9">
        <w:rPr>
          <w:rFonts w:ascii="Book Antiqua" w:hAnsi="Book Antiqua"/>
          <w:sz w:val="24"/>
          <w:szCs w:val="24"/>
        </w:rPr>
        <w:t xml:space="preserve">Using M-NBI endoscopy, </w:t>
      </w:r>
      <w:r w:rsidR="008F2311" w:rsidRPr="00991EB9">
        <w:rPr>
          <w:rFonts w:ascii="Book Antiqua" w:hAnsi="Book Antiqua"/>
          <w:sz w:val="24"/>
          <w:szCs w:val="24"/>
        </w:rPr>
        <w:t xml:space="preserve">Omori </w:t>
      </w:r>
      <w:r w:rsidR="008F2311" w:rsidRPr="00991EB9">
        <w:rPr>
          <w:rFonts w:ascii="Book Antiqua" w:hAnsi="Book Antiqua"/>
          <w:i/>
          <w:sz w:val="24"/>
          <w:szCs w:val="24"/>
        </w:rPr>
        <w:t>et al</w:t>
      </w:r>
      <w:r w:rsidR="001E0775" w:rsidRPr="00991EB9">
        <w:rPr>
          <w:rFonts w:ascii="Book Antiqua" w:hAnsi="Book Antiqua"/>
          <w:sz w:val="24"/>
          <w:szCs w:val="24"/>
          <w:vertAlign w:val="superscript"/>
        </w:rPr>
        <w:t>[49]</w:t>
      </w:r>
      <w:r w:rsidR="008F2311" w:rsidRPr="00991EB9">
        <w:rPr>
          <w:rFonts w:ascii="Book Antiqua" w:hAnsi="Book Antiqua"/>
          <w:i/>
          <w:sz w:val="24"/>
          <w:szCs w:val="24"/>
        </w:rPr>
        <w:t xml:space="preserve"> </w:t>
      </w:r>
      <w:r w:rsidR="008F2311" w:rsidRPr="00991EB9">
        <w:rPr>
          <w:rFonts w:ascii="Book Antiqua" w:hAnsi="Book Antiqua"/>
          <w:sz w:val="24"/>
          <w:szCs w:val="24"/>
        </w:rPr>
        <w:t xml:space="preserve">suggested the characteristics of fine mucosal structures and microvascular pattern for diagnosing the gastric polypoid lesions. Most reliable microvascular patterns were honeycomb </w:t>
      </w:r>
      <w:r w:rsidRPr="00991EB9">
        <w:rPr>
          <w:rFonts w:ascii="Book Antiqua" w:hAnsi="Book Antiqua"/>
          <w:sz w:val="24"/>
          <w:szCs w:val="24"/>
        </w:rPr>
        <w:t xml:space="preserve">for fundic </w:t>
      </w:r>
      <w:r w:rsidR="008F2311" w:rsidRPr="00991EB9">
        <w:rPr>
          <w:rFonts w:ascii="Book Antiqua" w:hAnsi="Book Antiqua"/>
          <w:sz w:val="24"/>
          <w:szCs w:val="24"/>
        </w:rPr>
        <w:t xml:space="preserve">gland polyp (sensitivity 94.7%, specificity 97.4%) and dense vascular patterns for hyperplastic polyp (sensitivity 93.6%, specificity 91.6%). For predicting gastric neoplasia, fine network, core vascular, and unclear patterns showed the high specificity of 97%, 100%, and 100%, respectively (Figure 4). </w:t>
      </w:r>
      <w:r w:rsidR="005D2F83" w:rsidRPr="00991EB9">
        <w:rPr>
          <w:rFonts w:ascii="Book Antiqua" w:hAnsi="Book Antiqua"/>
          <w:sz w:val="24"/>
          <w:szCs w:val="24"/>
        </w:rPr>
        <w:t xml:space="preserve">Hwang </w:t>
      </w:r>
      <w:r w:rsidR="005D2F83" w:rsidRPr="00991EB9">
        <w:rPr>
          <w:rFonts w:ascii="Book Antiqua" w:hAnsi="Book Antiqua"/>
          <w:i/>
          <w:sz w:val="24"/>
          <w:szCs w:val="24"/>
        </w:rPr>
        <w:t>et al</w:t>
      </w:r>
      <w:r w:rsidR="001E0775" w:rsidRPr="00991EB9">
        <w:rPr>
          <w:rFonts w:ascii="Book Antiqua" w:hAnsi="Book Antiqua"/>
          <w:sz w:val="24"/>
          <w:szCs w:val="24"/>
          <w:vertAlign w:val="superscript"/>
        </w:rPr>
        <w:t>[50]</w:t>
      </w:r>
      <w:r w:rsidR="005D2F83" w:rsidRPr="00991EB9">
        <w:rPr>
          <w:rFonts w:ascii="Book Antiqua" w:hAnsi="Book Antiqua"/>
          <w:sz w:val="24"/>
          <w:szCs w:val="24"/>
        </w:rPr>
        <w:t xml:space="preserve"> reporte</w:t>
      </w:r>
      <w:r w:rsidRPr="00991EB9">
        <w:rPr>
          <w:rFonts w:ascii="Book Antiqua" w:hAnsi="Book Antiqua"/>
          <w:sz w:val="24"/>
          <w:szCs w:val="24"/>
        </w:rPr>
        <w:t>d the association between the M</w:t>
      </w:r>
      <w:r w:rsidR="005D2F83" w:rsidRPr="00991EB9">
        <w:rPr>
          <w:rFonts w:ascii="Book Antiqua" w:hAnsi="Book Antiqua"/>
          <w:sz w:val="24"/>
          <w:szCs w:val="24"/>
        </w:rPr>
        <w:t>-NBI findings and upgrade</w:t>
      </w:r>
      <w:r w:rsidR="006F6F5D" w:rsidRPr="00991EB9">
        <w:rPr>
          <w:rFonts w:ascii="Book Antiqua" w:hAnsi="Book Antiqua"/>
          <w:sz w:val="24"/>
          <w:szCs w:val="24"/>
        </w:rPr>
        <w:t>d histology</w:t>
      </w:r>
      <w:r w:rsidR="005D2F83" w:rsidRPr="00991EB9">
        <w:rPr>
          <w:rFonts w:ascii="Book Antiqua" w:hAnsi="Book Antiqua"/>
          <w:sz w:val="24"/>
          <w:szCs w:val="24"/>
        </w:rPr>
        <w:t xml:space="preserve"> in biopsy-proven low grade dysplasia. </w:t>
      </w:r>
      <w:r w:rsidR="008F2311" w:rsidRPr="00991EB9">
        <w:rPr>
          <w:rFonts w:ascii="Book Antiqua" w:hAnsi="Book Antiqua"/>
          <w:sz w:val="24"/>
          <w:szCs w:val="24"/>
        </w:rPr>
        <w:t xml:space="preserve">Positive M-NBI findings were defined as the irregularity of microvascular and/or microsurface patterns within the lesion (Figure 5). </w:t>
      </w:r>
      <w:r w:rsidR="006F6F5D" w:rsidRPr="00991EB9">
        <w:rPr>
          <w:rFonts w:ascii="Book Antiqua" w:hAnsi="Book Antiqua"/>
          <w:sz w:val="24"/>
          <w:szCs w:val="24"/>
        </w:rPr>
        <w:t>In cases with positive M-NBI findings</w:t>
      </w:r>
      <w:r w:rsidR="0032662F" w:rsidRPr="00991EB9">
        <w:rPr>
          <w:rFonts w:ascii="Book Antiqua" w:hAnsi="Book Antiqua"/>
          <w:sz w:val="24"/>
          <w:szCs w:val="24"/>
        </w:rPr>
        <w:t xml:space="preserve">, </w:t>
      </w:r>
      <w:r w:rsidR="006F6F5D" w:rsidRPr="00991EB9">
        <w:rPr>
          <w:rFonts w:ascii="Book Antiqua" w:hAnsi="Book Antiqua"/>
          <w:sz w:val="24"/>
          <w:szCs w:val="24"/>
        </w:rPr>
        <w:t>76.6</w:t>
      </w:r>
      <w:r w:rsidR="0032662F" w:rsidRPr="00991EB9">
        <w:rPr>
          <w:rFonts w:ascii="Book Antiqua" w:hAnsi="Book Antiqua"/>
          <w:sz w:val="24"/>
          <w:szCs w:val="24"/>
        </w:rPr>
        <w:t>% (</w:t>
      </w:r>
      <w:r w:rsidR="005D2F83" w:rsidRPr="00991EB9">
        <w:rPr>
          <w:rFonts w:ascii="Book Antiqua" w:eastAsia="HYSinMyeongJo-Medium" w:hAnsi="Book Antiqua"/>
          <w:i/>
          <w:sz w:val="24"/>
          <w:szCs w:val="24"/>
        </w:rPr>
        <w:t>n</w:t>
      </w:r>
      <w:r w:rsidR="005D2F83" w:rsidRPr="00991EB9">
        <w:rPr>
          <w:rFonts w:ascii="Book Antiqua" w:eastAsia="HYSinMyeongJo-Medium" w:hAnsi="Book Antiqua"/>
          <w:sz w:val="24"/>
          <w:szCs w:val="24"/>
        </w:rPr>
        <w:t> = 59/</w:t>
      </w:r>
      <w:r w:rsidR="006F6F5D" w:rsidRPr="00991EB9">
        <w:rPr>
          <w:rFonts w:ascii="Book Antiqua" w:eastAsia="HYSinMyeongJo-Medium" w:hAnsi="Book Antiqua"/>
          <w:sz w:val="24"/>
          <w:szCs w:val="24"/>
        </w:rPr>
        <w:t>77</w:t>
      </w:r>
      <w:r w:rsidR="005D2F83" w:rsidRPr="00991EB9">
        <w:rPr>
          <w:rFonts w:ascii="Book Antiqua" w:eastAsia="HYSinMyeongJo-Medium" w:hAnsi="Book Antiqua"/>
          <w:sz w:val="24"/>
          <w:szCs w:val="24"/>
        </w:rPr>
        <w:t>)</w:t>
      </w:r>
      <w:r w:rsidR="0032662F" w:rsidRPr="00991EB9">
        <w:rPr>
          <w:rFonts w:ascii="Book Antiqua" w:hAnsi="Book Antiqua"/>
          <w:sz w:val="24"/>
          <w:szCs w:val="24"/>
        </w:rPr>
        <w:t xml:space="preserve"> </w:t>
      </w:r>
      <w:r w:rsidR="006F6F5D" w:rsidRPr="00991EB9">
        <w:rPr>
          <w:rFonts w:ascii="Book Antiqua" w:hAnsi="Book Antiqua"/>
          <w:sz w:val="24"/>
          <w:szCs w:val="24"/>
        </w:rPr>
        <w:t xml:space="preserve">was diagnosed as </w:t>
      </w:r>
      <w:r w:rsidR="007242BB" w:rsidRPr="00991EB9">
        <w:rPr>
          <w:rFonts w:ascii="Book Antiqua" w:hAnsi="Book Antiqua"/>
          <w:sz w:val="24"/>
          <w:szCs w:val="24"/>
        </w:rPr>
        <w:t xml:space="preserve">high grade </w:t>
      </w:r>
      <w:r w:rsidR="006F6F5D" w:rsidRPr="00991EB9">
        <w:rPr>
          <w:rFonts w:ascii="Book Antiqua" w:hAnsi="Book Antiqua"/>
          <w:sz w:val="24"/>
          <w:szCs w:val="24"/>
        </w:rPr>
        <w:t>dysplasia and cancer in post</w:t>
      </w:r>
      <w:r w:rsidR="006C17B7" w:rsidRPr="00991EB9">
        <w:rPr>
          <w:rFonts w:ascii="Book Antiqua" w:hAnsi="Book Antiqua"/>
          <w:sz w:val="24"/>
          <w:szCs w:val="24"/>
        </w:rPr>
        <w:t>-</w:t>
      </w:r>
      <w:r w:rsidR="007242BB" w:rsidRPr="00991EB9">
        <w:rPr>
          <w:rFonts w:ascii="Book Antiqua" w:hAnsi="Book Antiqua"/>
          <w:sz w:val="24"/>
          <w:szCs w:val="24"/>
        </w:rPr>
        <w:t>resection pathology.</w:t>
      </w:r>
      <w:r w:rsidR="004A5518" w:rsidRPr="00991EB9">
        <w:rPr>
          <w:rFonts w:ascii="Book Antiqua" w:hAnsi="Book Antiqua"/>
          <w:sz w:val="24"/>
          <w:szCs w:val="24"/>
        </w:rPr>
        <w:t xml:space="preserve"> If either an irregular microvascular or microsurface pattern is present, the gastric lesion can be diagnosed as high g</w:t>
      </w:r>
      <w:r w:rsidR="005F3912" w:rsidRPr="00991EB9">
        <w:rPr>
          <w:rFonts w:ascii="Book Antiqua" w:hAnsi="Book Antiqua"/>
          <w:sz w:val="24"/>
          <w:szCs w:val="24"/>
        </w:rPr>
        <w:t xml:space="preserve">rade dysplasia or </w:t>
      </w:r>
      <w:r w:rsidR="004A5518" w:rsidRPr="00991EB9">
        <w:rPr>
          <w:rFonts w:ascii="Book Antiqua" w:hAnsi="Book Antiqua"/>
          <w:sz w:val="24"/>
          <w:szCs w:val="24"/>
        </w:rPr>
        <w:t>EGC</w:t>
      </w:r>
      <w:r w:rsidR="003B1C74" w:rsidRPr="00991EB9">
        <w:rPr>
          <w:rFonts w:ascii="Book Antiqua" w:hAnsi="Book Antiqua"/>
          <w:sz w:val="24"/>
          <w:szCs w:val="24"/>
          <w:vertAlign w:val="superscript"/>
        </w:rPr>
        <w:t>[51</w:t>
      </w:r>
      <w:r w:rsidR="004F1070" w:rsidRPr="00991EB9">
        <w:rPr>
          <w:rFonts w:ascii="Book Antiqua" w:hAnsi="Book Antiqua"/>
          <w:sz w:val="24"/>
          <w:szCs w:val="24"/>
          <w:vertAlign w:val="superscript"/>
        </w:rPr>
        <w:t>]</w:t>
      </w:r>
      <w:r w:rsidR="004A5518" w:rsidRPr="00991EB9">
        <w:rPr>
          <w:rFonts w:ascii="Book Antiqua" w:hAnsi="Book Antiqua"/>
          <w:sz w:val="24"/>
          <w:szCs w:val="24"/>
        </w:rPr>
        <w:t xml:space="preserve">. </w:t>
      </w:r>
      <w:r w:rsidR="00206433" w:rsidRPr="00991EB9">
        <w:rPr>
          <w:rFonts w:ascii="Book Antiqua" w:eastAsia="BatangChe" w:hAnsi="Book Antiqua"/>
          <w:sz w:val="24"/>
          <w:szCs w:val="24"/>
        </w:rPr>
        <w:t>In addition, M-NBI endoscopy is useful for d</w:t>
      </w:r>
      <w:r w:rsidR="002340FF" w:rsidRPr="00991EB9">
        <w:rPr>
          <w:rFonts w:ascii="Book Antiqua" w:eastAsia="BatangChe" w:hAnsi="Book Antiqua"/>
          <w:sz w:val="24"/>
          <w:szCs w:val="24"/>
        </w:rPr>
        <w:t xml:space="preserve">etermining the horizontal margin of </w:t>
      </w:r>
      <w:r w:rsidR="00206433" w:rsidRPr="00991EB9">
        <w:rPr>
          <w:rFonts w:ascii="Book Antiqua" w:eastAsia="BatangChe" w:hAnsi="Book Antiqua"/>
          <w:sz w:val="24"/>
          <w:szCs w:val="24"/>
        </w:rPr>
        <w:t xml:space="preserve">gastric dysplasia </w:t>
      </w:r>
      <w:r w:rsidR="002340FF" w:rsidRPr="00991EB9">
        <w:rPr>
          <w:rFonts w:ascii="Book Antiqua" w:eastAsia="BatangChe" w:hAnsi="Book Antiqua"/>
          <w:sz w:val="24"/>
          <w:szCs w:val="24"/>
        </w:rPr>
        <w:t xml:space="preserve">before ESD </w:t>
      </w:r>
      <w:r w:rsidR="00CB216C" w:rsidRPr="00991EB9">
        <w:rPr>
          <w:rFonts w:ascii="Book Antiqua" w:hAnsi="Book Antiqua"/>
          <w:sz w:val="24"/>
          <w:szCs w:val="24"/>
        </w:rPr>
        <w:t>(Figure 6</w:t>
      </w:r>
      <w:r w:rsidR="00206433" w:rsidRPr="00991EB9">
        <w:rPr>
          <w:rFonts w:ascii="Book Antiqua" w:hAnsi="Book Antiqua"/>
          <w:sz w:val="24"/>
          <w:szCs w:val="24"/>
        </w:rPr>
        <w:t>)</w:t>
      </w:r>
      <w:r w:rsidR="000C46B3" w:rsidRPr="00991EB9">
        <w:rPr>
          <w:rFonts w:ascii="Book Antiqua" w:hAnsi="Book Antiqua"/>
          <w:sz w:val="24"/>
          <w:szCs w:val="24"/>
        </w:rPr>
        <w:t xml:space="preserve">. </w:t>
      </w:r>
    </w:p>
    <w:p w:rsidR="000C46B3" w:rsidRPr="00991EB9" w:rsidRDefault="000C46B3" w:rsidP="009A3473">
      <w:pPr>
        <w:pStyle w:val="af5"/>
        <w:wordWrap/>
        <w:snapToGrid w:val="0"/>
        <w:spacing w:after="0" w:line="360" w:lineRule="auto"/>
        <w:ind w:firstLineChars="0" w:firstLine="0"/>
        <w:rPr>
          <w:rFonts w:ascii="Book Antiqua" w:hAnsi="Book Antiqua"/>
          <w:sz w:val="24"/>
          <w:szCs w:val="24"/>
        </w:rPr>
      </w:pPr>
    </w:p>
    <w:p w:rsidR="003343FA" w:rsidRPr="00991EB9" w:rsidRDefault="000C46B3" w:rsidP="009A3473">
      <w:pPr>
        <w:pStyle w:val="af5"/>
        <w:wordWrap/>
        <w:snapToGrid w:val="0"/>
        <w:spacing w:after="0" w:line="360" w:lineRule="auto"/>
        <w:ind w:firstLineChars="0" w:firstLine="0"/>
        <w:rPr>
          <w:rFonts w:ascii="Book Antiqua" w:hAnsi="Book Antiqua" w:cs="Arial"/>
          <w:b/>
          <w:sz w:val="24"/>
          <w:szCs w:val="24"/>
          <w:u w:val="single"/>
        </w:rPr>
      </w:pPr>
      <w:r w:rsidRPr="00991EB9">
        <w:rPr>
          <w:rFonts w:ascii="Book Antiqua" w:hAnsi="Book Antiqua" w:cs="Arial"/>
          <w:b/>
          <w:sz w:val="24"/>
          <w:szCs w:val="24"/>
          <w:u w:val="single"/>
        </w:rPr>
        <w:t>EARLY GASTRIC CANCER</w:t>
      </w:r>
    </w:p>
    <w:p w:rsidR="003343FA" w:rsidRPr="00991EB9" w:rsidRDefault="000C46B3" w:rsidP="009A3473">
      <w:pPr>
        <w:wordWrap/>
        <w:snapToGrid w:val="0"/>
        <w:spacing w:line="360" w:lineRule="auto"/>
        <w:rPr>
          <w:rFonts w:ascii="Book Antiqua" w:hAnsi="Book Antiqua" w:cs="Arial"/>
          <w:b/>
          <w:i/>
          <w:sz w:val="24"/>
          <w:szCs w:val="24"/>
        </w:rPr>
      </w:pPr>
      <w:r w:rsidRPr="00991EB9">
        <w:rPr>
          <w:rFonts w:ascii="Book Antiqua" w:hAnsi="Book Antiqua" w:cs="Arial"/>
          <w:b/>
          <w:i/>
          <w:sz w:val="24"/>
          <w:szCs w:val="24"/>
        </w:rPr>
        <w:t xml:space="preserve">Differential diagnosis between focal gastritis and small depressed cancer </w:t>
      </w:r>
    </w:p>
    <w:p w:rsidR="000401AC" w:rsidRPr="00991EB9" w:rsidRDefault="009952A6" w:rsidP="009A3473">
      <w:pPr>
        <w:pStyle w:val="BodyTextHead"/>
        <w:snapToGrid w:val="0"/>
        <w:spacing w:before="0" w:line="360" w:lineRule="auto"/>
        <w:jc w:val="both"/>
        <w:rPr>
          <w:rFonts w:ascii="Book Antiqua" w:hAnsi="Book Antiqua"/>
        </w:rPr>
      </w:pPr>
      <w:r w:rsidRPr="00991EB9">
        <w:rPr>
          <w:rFonts w:ascii="Book Antiqua" w:hAnsi="Book Antiqua"/>
        </w:rPr>
        <w:t xml:space="preserve">During endoscopy, </w:t>
      </w:r>
      <w:r w:rsidR="004A5518" w:rsidRPr="00991EB9">
        <w:rPr>
          <w:rFonts w:ascii="Book Antiqua" w:hAnsi="Book Antiqua"/>
        </w:rPr>
        <w:t>EGCs</w:t>
      </w:r>
      <w:r w:rsidRPr="00991EB9">
        <w:rPr>
          <w:rFonts w:ascii="Book Antiqua" w:hAnsi="Book Antiqua"/>
        </w:rPr>
        <w:t xml:space="preserve"> are recognized based on a color or morphological change. </w:t>
      </w:r>
      <w:r w:rsidR="00495C37" w:rsidRPr="00991EB9">
        <w:rPr>
          <w:rFonts w:ascii="Book Antiqua" w:hAnsi="Book Antiqua"/>
        </w:rPr>
        <w:t>Particularly in small (≤</w:t>
      </w:r>
      <w:r w:rsidR="005F3912" w:rsidRPr="00991EB9">
        <w:rPr>
          <w:rFonts w:ascii="Book Antiqua" w:hAnsi="Book Antiqua"/>
        </w:rPr>
        <w:t xml:space="preserve"> </w:t>
      </w:r>
      <w:r w:rsidR="00495C37" w:rsidRPr="00991EB9">
        <w:rPr>
          <w:rFonts w:ascii="Book Antiqua" w:hAnsi="Book Antiqua"/>
        </w:rPr>
        <w:t>10 mm) gastric cancer, pathologic</w:t>
      </w:r>
      <w:r w:rsidR="00A03E20" w:rsidRPr="00991EB9">
        <w:rPr>
          <w:rFonts w:ascii="Book Antiqua" w:hAnsi="Book Antiqua"/>
        </w:rPr>
        <w:t xml:space="preserve"> examination </w:t>
      </w:r>
      <w:r w:rsidR="00495C37" w:rsidRPr="00991EB9">
        <w:rPr>
          <w:rFonts w:ascii="Book Antiqua" w:hAnsi="Book Antiqua"/>
        </w:rPr>
        <w:t xml:space="preserve">may be </w:t>
      </w:r>
      <w:r w:rsidR="00A03E20" w:rsidRPr="00991EB9">
        <w:rPr>
          <w:rFonts w:ascii="Book Antiqua" w:hAnsi="Book Antiqua"/>
        </w:rPr>
        <w:t xml:space="preserve">misdiagnosed </w:t>
      </w:r>
      <w:r w:rsidR="00495C37" w:rsidRPr="00991EB9">
        <w:rPr>
          <w:rFonts w:ascii="Book Antiqua" w:hAnsi="Book Antiqua"/>
        </w:rPr>
        <w:t>due to targeted biopsy failure.</w:t>
      </w:r>
      <w:r w:rsidR="00186826" w:rsidRPr="00991EB9">
        <w:rPr>
          <w:rFonts w:ascii="Book Antiqua" w:hAnsi="Book Antiqua"/>
        </w:rPr>
        <w:t xml:space="preserve"> If the opportunity for treatment by endoscopic resection is missed, </w:t>
      </w:r>
      <w:r w:rsidRPr="00991EB9">
        <w:rPr>
          <w:rFonts w:ascii="Book Antiqua" w:hAnsi="Book Antiqua"/>
        </w:rPr>
        <w:t>false negativity based on the patholog</w:t>
      </w:r>
      <w:r w:rsidR="00A03E20" w:rsidRPr="00991EB9">
        <w:rPr>
          <w:rFonts w:ascii="Book Antiqua" w:hAnsi="Book Antiqua"/>
        </w:rPr>
        <w:t>ic result</w:t>
      </w:r>
      <w:r w:rsidR="00186826" w:rsidRPr="00991EB9">
        <w:rPr>
          <w:rFonts w:ascii="Book Antiqua" w:hAnsi="Book Antiqua"/>
        </w:rPr>
        <w:t xml:space="preserve"> </w:t>
      </w:r>
      <w:r w:rsidRPr="00991EB9">
        <w:rPr>
          <w:rFonts w:ascii="Book Antiqua" w:hAnsi="Book Antiqua"/>
        </w:rPr>
        <w:t>alone is of great concern. Because conventional WLI endoscopy cannot be used to examine the gastric micromucosal pattern in detail, its utility for real-time endoscopic diagnosis is limited. To overcome this, the diagnostic efficacy of magnifying endoscopy has been investigated (Table 2)</w:t>
      </w:r>
      <w:r w:rsidR="00750FC1" w:rsidRPr="00991EB9">
        <w:rPr>
          <w:rFonts w:ascii="Book Antiqua" w:hAnsi="Book Antiqua"/>
        </w:rPr>
        <w:t>.</w:t>
      </w:r>
      <w:r w:rsidR="004A5B68" w:rsidRPr="00991EB9">
        <w:rPr>
          <w:rFonts w:ascii="Book Antiqua" w:hAnsi="Book Antiqua"/>
        </w:rPr>
        <w:t xml:space="preserve"> </w:t>
      </w:r>
    </w:p>
    <w:p w:rsidR="00DC3D7D" w:rsidRPr="00991EB9" w:rsidRDefault="00C64B8D" w:rsidP="009A3473">
      <w:pPr>
        <w:pStyle w:val="BodyTextHead"/>
        <w:widowControl w:val="0"/>
        <w:snapToGrid w:val="0"/>
        <w:spacing w:before="0" w:line="360" w:lineRule="auto"/>
        <w:ind w:firstLineChars="100" w:firstLine="240"/>
        <w:jc w:val="both"/>
        <w:rPr>
          <w:rFonts w:ascii="Book Antiqua" w:hAnsi="Book Antiqua"/>
        </w:rPr>
      </w:pPr>
      <w:r w:rsidRPr="00991EB9">
        <w:rPr>
          <w:rFonts w:ascii="Book Antiqua" w:hAnsi="Book Antiqua"/>
        </w:rPr>
        <w:t xml:space="preserve">In </w:t>
      </w:r>
      <w:r w:rsidR="009B68CA" w:rsidRPr="00991EB9">
        <w:rPr>
          <w:rFonts w:ascii="Book Antiqua" w:hAnsi="Book Antiqua"/>
        </w:rPr>
        <w:t>2007</w:t>
      </w:r>
      <w:r w:rsidRPr="00991EB9">
        <w:rPr>
          <w:rFonts w:ascii="Book Antiqua" w:hAnsi="Book Antiqua"/>
        </w:rPr>
        <w:t xml:space="preserve">, </w:t>
      </w:r>
      <w:r w:rsidR="009952A6" w:rsidRPr="00991EB9">
        <w:rPr>
          <w:rFonts w:ascii="Book Antiqua" w:hAnsi="Book Antiqua"/>
        </w:rPr>
        <w:t>Yao</w:t>
      </w:r>
      <w:r w:rsidR="009952A6" w:rsidRPr="00991EB9">
        <w:rPr>
          <w:rFonts w:ascii="Book Antiqua" w:hAnsi="Book Antiqua"/>
          <w:i/>
        </w:rPr>
        <w:t xml:space="preserve"> et al</w:t>
      </w:r>
      <w:r w:rsidR="007A4891" w:rsidRPr="00991EB9">
        <w:rPr>
          <w:rFonts w:ascii="Book Antiqua" w:hAnsi="Book Antiqua"/>
          <w:vertAlign w:val="superscript"/>
        </w:rPr>
        <w:t>[</w:t>
      </w:r>
      <w:r w:rsidR="001E0775" w:rsidRPr="00991EB9">
        <w:rPr>
          <w:rFonts w:ascii="Book Antiqua" w:hAnsi="Book Antiqua"/>
          <w:vertAlign w:val="superscript"/>
        </w:rPr>
        <w:t>52]</w:t>
      </w:r>
      <w:r w:rsidR="009952A6" w:rsidRPr="00991EB9">
        <w:rPr>
          <w:rFonts w:ascii="Book Antiqua" w:hAnsi="Book Antiqua"/>
        </w:rPr>
        <w:t xml:space="preserve"> reported that cancerous lesions can be diagnosed by close observation using magnifying endoscopy. They defined the characteristics of EGC as a demarcation line (DL) between the lesion and the background mucosa, and an irregular microvascular pattern within the lesion. When these criteria were used, the sensitivity, specificity, and accuracy for distinguishing cancerous from benign lesions were 92.9%, 99.3%, and 98.7%, respectively. Ezoe</w:t>
      </w:r>
      <w:r w:rsidR="009952A6" w:rsidRPr="00991EB9">
        <w:rPr>
          <w:rFonts w:ascii="Book Antiqua" w:hAnsi="Book Antiqua"/>
          <w:i/>
        </w:rPr>
        <w:t xml:space="preserve"> et al</w:t>
      </w:r>
      <w:r w:rsidR="001E0775" w:rsidRPr="00991EB9">
        <w:rPr>
          <w:rFonts w:ascii="Book Antiqua" w:hAnsi="Book Antiqua"/>
          <w:vertAlign w:val="superscript"/>
        </w:rPr>
        <w:t>[53]</w:t>
      </w:r>
      <w:r w:rsidR="009952A6" w:rsidRPr="00991EB9">
        <w:rPr>
          <w:rFonts w:ascii="Book Antiqua" w:hAnsi="Book Antiqua"/>
        </w:rPr>
        <w:t xml:space="preserve"> performed a prospective comparative study of magnifying NBI and magnifying WLI for diagnosing cancer in small depressed lesions. The NBI mode enabled the gastric micromucosal patterns around the lesion to be more clearly visualized, increasing the diagnostic performance (sensitivity of 70.0% </w:t>
      </w:r>
      <w:r w:rsidR="008D511D" w:rsidRPr="008D511D">
        <w:rPr>
          <w:rFonts w:ascii="Book Antiqua" w:eastAsia="HYSinMyeongJo-Medium" w:hAnsi="Book Antiqua"/>
          <w:i/>
        </w:rPr>
        <w:t>vs</w:t>
      </w:r>
      <w:r w:rsidR="009952A6" w:rsidRPr="00991EB9">
        <w:rPr>
          <w:rFonts w:ascii="Book Antiqua" w:eastAsia="HYSinMyeongJo-Medium" w:hAnsi="Book Antiqua"/>
          <w:i/>
        </w:rPr>
        <w:t xml:space="preserve"> </w:t>
      </w:r>
      <w:r w:rsidR="009952A6" w:rsidRPr="00991EB9">
        <w:rPr>
          <w:rFonts w:ascii="Book Antiqua" w:eastAsia="HYSinMyeongJo-Medium" w:hAnsi="Book Antiqua"/>
        </w:rPr>
        <w:t>33.3</w:t>
      </w:r>
      <w:r w:rsidR="009952A6" w:rsidRPr="00991EB9">
        <w:rPr>
          <w:rFonts w:ascii="Book Antiqua" w:hAnsi="Book Antiqua"/>
        </w:rPr>
        <w:t xml:space="preserve">%, specificity of 88.8% </w:t>
      </w:r>
      <w:r w:rsidR="008D511D" w:rsidRPr="008D511D">
        <w:rPr>
          <w:rFonts w:ascii="Book Antiqua" w:eastAsia="HYSinMyeongJo-Medium" w:hAnsi="Book Antiqua"/>
          <w:i/>
        </w:rPr>
        <w:t>vs</w:t>
      </w:r>
      <w:r w:rsidR="009952A6" w:rsidRPr="00991EB9">
        <w:rPr>
          <w:rFonts w:ascii="Book Antiqua" w:eastAsia="HYSinMyeongJo-Medium" w:hAnsi="Book Antiqua"/>
          <w:i/>
        </w:rPr>
        <w:t xml:space="preserve"> </w:t>
      </w:r>
      <w:r w:rsidR="009952A6" w:rsidRPr="00991EB9">
        <w:rPr>
          <w:rFonts w:ascii="Book Antiqua" w:eastAsia="HYSinMyeongJo-Medium" w:hAnsi="Book Antiqua"/>
        </w:rPr>
        <w:t>66.6%</w:t>
      </w:r>
      <w:r w:rsidR="009952A6" w:rsidRPr="00991EB9">
        <w:rPr>
          <w:rFonts w:ascii="Book Antiqua" w:hAnsi="Book Antiqua"/>
        </w:rPr>
        <w:t xml:space="preserve">, and accuracy of 78.9% </w:t>
      </w:r>
      <w:r w:rsidR="008D511D" w:rsidRPr="008D511D">
        <w:rPr>
          <w:rFonts w:ascii="Book Antiqua" w:eastAsia="HYSinMyeongJo-Medium" w:hAnsi="Book Antiqua"/>
          <w:i/>
        </w:rPr>
        <w:t>vs</w:t>
      </w:r>
      <w:r w:rsidR="009952A6" w:rsidRPr="00991EB9">
        <w:rPr>
          <w:rFonts w:ascii="Book Antiqua" w:eastAsia="HYSinMyeongJo-Medium" w:hAnsi="Book Antiqua"/>
          <w:i/>
        </w:rPr>
        <w:t xml:space="preserve"> </w:t>
      </w:r>
      <w:r w:rsidR="009952A6" w:rsidRPr="00991EB9">
        <w:rPr>
          <w:rFonts w:ascii="Book Antiqua" w:eastAsia="HYSinMyeongJo-Medium" w:hAnsi="Book Antiqua"/>
        </w:rPr>
        <w:t>43.8%</w:t>
      </w:r>
      <w:r w:rsidR="009952A6" w:rsidRPr="00991EB9">
        <w:rPr>
          <w:rFonts w:ascii="Book Antiqua" w:hAnsi="Book Antiqua"/>
        </w:rPr>
        <w:t>). Yamada</w:t>
      </w:r>
      <w:r w:rsidR="009952A6" w:rsidRPr="00991EB9">
        <w:rPr>
          <w:rFonts w:ascii="Book Antiqua" w:hAnsi="Book Antiqua"/>
          <w:i/>
        </w:rPr>
        <w:t xml:space="preserve"> et al</w:t>
      </w:r>
      <w:r w:rsidR="001E0775" w:rsidRPr="00991EB9">
        <w:rPr>
          <w:rFonts w:ascii="Book Antiqua" w:hAnsi="Book Antiqua"/>
          <w:vertAlign w:val="superscript"/>
        </w:rPr>
        <w:t>[54]</w:t>
      </w:r>
      <w:r w:rsidR="009952A6" w:rsidRPr="00991EB9">
        <w:rPr>
          <w:rFonts w:ascii="Book Antiqua" w:hAnsi="Book Antiqua"/>
        </w:rPr>
        <w:t xml:space="preserve"> compared WLI alone and M-NBI after WLI for the diagnosis of small, depressed EGC. When WLI endoscopy alone was performed according to criteria including irregular margin and spiny depressed area, the sensitivity was 40%, specificity was 68%, and accuracy was 65%. Remarkably, M-NBI after WLI showed improved sensitivity of 95%, specificity of 97%, and accuracy of 97%</w:t>
      </w:r>
      <w:r w:rsidR="005963BE" w:rsidRPr="00991EB9">
        <w:rPr>
          <w:rFonts w:ascii="Book Antiqua" w:hAnsi="Book Antiqua"/>
        </w:rPr>
        <w:t xml:space="preserve">. </w:t>
      </w:r>
    </w:p>
    <w:p w:rsidR="00BF5D79" w:rsidRPr="00991EB9" w:rsidRDefault="009952A6" w:rsidP="009A3473">
      <w:pPr>
        <w:pStyle w:val="BodyTextHead"/>
        <w:widowControl w:val="0"/>
        <w:snapToGrid w:val="0"/>
        <w:spacing w:before="0" w:line="360" w:lineRule="auto"/>
        <w:ind w:firstLineChars="100" w:firstLine="240"/>
        <w:jc w:val="both"/>
        <w:rPr>
          <w:rFonts w:ascii="Book Antiqua" w:hAnsi="Book Antiqua"/>
        </w:rPr>
      </w:pPr>
      <w:r w:rsidRPr="00991EB9">
        <w:rPr>
          <w:rFonts w:ascii="Book Antiqua" w:hAnsi="Book Antiqua"/>
        </w:rPr>
        <w:t>Systematic classification using M-NBI endoscopy based on microvascular and microsurface pattern (the VS classification) has been proposed</w:t>
      </w:r>
      <w:r w:rsidR="003B1C74" w:rsidRPr="00991EB9">
        <w:rPr>
          <w:rFonts w:ascii="Book Antiqua" w:hAnsi="Book Antiqua"/>
          <w:vertAlign w:val="superscript"/>
        </w:rPr>
        <w:t>[55</w:t>
      </w:r>
      <w:r w:rsidR="0029040B" w:rsidRPr="00991EB9">
        <w:rPr>
          <w:rFonts w:ascii="Book Antiqua" w:hAnsi="Book Antiqua"/>
          <w:vertAlign w:val="superscript"/>
        </w:rPr>
        <w:t>]</w:t>
      </w:r>
      <w:r w:rsidRPr="00991EB9">
        <w:rPr>
          <w:rFonts w:ascii="Book Antiqua" w:hAnsi="Book Antiqua"/>
        </w:rPr>
        <w:t>. When a suspicious mucosal lesion with color or morphological change is detected, the first step is to identify the presence of DL, which separates the lesion from the background mucosa. A lesion without DL is unlikely to be cancer. If a DL is seen, the diagnosis of gastric cancer can be determined by the presence of an irregular microvascular and/or microsurface pattern within the DL</w:t>
      </w:r>
      <w:r w:rsidR="00A75721" w:rsidRPr="00991EB9">
        <w:rPr>
          <w:rFonts w:ascii="Book Antiqua" w:hAnsi="Book Antiqua"/>
        </w:rPr>
        <w:t xml:space="preserve"> </w:t>
      </w:r>
      <w:r w:rsidR="00CB216C" w:rsidRPr="00991EB9">
        <w:rPr>
          <w:rFonts w:ascii="Book Antiqua" w:hAnsi="Book Antiqua"/>
        </w:rPr>
        <w:t>(Figure 7</w:t>
      </w:r>
      <w:r w:rsidR="00A75721" w:rsidRPr="00991EB9">
        <w:rPr>
          <w:rFonts w:ascii="Book Antiqua" w:hAnsi="Book Antiqua"/>
        </w:rPr>
        <w:t>)</w:t>
      </w:r>
      <w:r w:rsidRPr="00991EB9">
        <w:rPr>
          <w:rFonts w:ascii="Book Antiqua" w:hAnsi="Book Antiqua"/>
        </w:rPr>
        <w:t>. In a prospective multicenter study, the sensitivity, specificity, and accuracy of M-NBI for diagnosis of EGC were 85.7%, 99.4%, and 98.1%, respectively</w:t>
      </w:r>
      <w:r w:rsidR="003B1C74" w:rsidRPr="00991EB9">
        <w:rPr>
          <w:rFonts w:ascii="Book Antiqua" w:hAnsi="Book Antiqua"/>
          <w:vertAlign w:val="superscript"/>
        </w:rPr>
        <w:t>[56</w:t>
      </w:r>
      <w:r w:rsidR="0029040B" w:rsidRPr="00991EB9">
        <w:rPr>
          <w:rFonts w:ascii="Book Antiqua" w:hAnsi="Book Antiqua"/>
          <w:vertAlign w:val="superscript"/>
        </w:rPr>
        <w:t>]</w:t>
      </w:r>
      <w:r w:rsidRPr="00991EB9">
        <w:rPr>
          <w:rFonts w:ascii="Book Antiqua" w:hAnsi="Book Antiqua"/>
        </w:rPr>
        <w:t>. However, there were false-negative cases of signet ring cell carcinoma despite the diagnosis being performed by well-trained endoscopists. Pale-colored lesions suspicious of undifferentiated-type carcinoma are indications not for M-NBI endoscopy but rather for pathologic study by targeted biopsy. Fugiwara</w:t>
      </w:r>
      <w:r w:rsidRPr="00991EB9">
        <w:rPr>
          <w:rFonts w:ascii="Book Antiqua" w:hAnsi="Book Antiqua"/>
          <w:i/>
        </w:rPr>
        <w:t xml:space="preserve"> et al</w:t>
      </w:r>
      <w:r w:rsidR="001E0775" w:rsidRPr="00991EB9">
        <w:rPr>
          <w:rFonts w:ascii="Book Antiqua" w:hAnsi="Book Antiqua"/>
          <w:vertAlign w:val="superscript"/>
        </w:rPr>
        <w:t>[57]</w:t>
      </w:r>
      <w:r w:rsidRPr="00991EB9">
        <w:rPr>
          <w:rFonts w:ascii="Book Antiqua" w:hAnsi="Book Antiqua"/>
        </w:rPr>
        <w:t xml:space="preserve"> evaluated M-NBI diagnosis of minute gastric cancer (≤</w:t>
      </w:r>
      <w:r w:rsidR="005F3912" w:rsidRPr="00991EB9">
        <w:rPr>
          <w:rFonts w:ascii="Book Antiqua" w:hAnsi="Book Antiqua"/>
        </w:rPr>
        <w:t xml:space="preserve"> </w:t>
      </w:r>
      <w:r w:rsidRPr="00991EB9">
        <w:rPr>
          <w:rFonts w:ascii="Book Antiqua" w:hAnsi="Book Antiqua"/>
        </w:rPr>
        <w:t xml:space="preserve">5 mm) compared to chromoendoscopy using indigo carmine. The sensitivity and diagnostic accuracy were significantly higher for M-NBI endoscopy than chromoendoscopy (78.0% </w:t>
      </w:r>
      <w:r w:rsidR="008D511D" w:rsidRPr="008D511D">
        <w:rPr>
          <w:rFonts w:ascii="Book Antiqua" w:eastAsia="HYSinMyeongJo-Medium" w:hAnsi="Book Antiqua"/>
          <w:i/>
        </w:rPr>
        <w:t>vs</w:t>
      </w:r>
      <w:r w:rsidRPr="00991EB9">
        <w:rPr>
          <w:rFonts w:ascii="Book Antiqua" w:eastAsia="HYSinMyeongJo-Medium" w:hAnsi="Book Antiqua"/>
          <w:i/>
        </w:rPr>
        <w:t xml:space="preserve"> </w:t>
      </w:r>
      <w:r w:rsidRPr="00991EB9">
        <w:rPr>
          <w:rFonts w:ascii="Book Antiqua" w:eastAsia="HYSinMyeongJo-Medium" w:hAnsi="Book Antiqua"/>
        </w:rPr>
        <w:t>43.7</w:t>
      </w:r>
      <w:r w:rsidRPr="00991EB9">
        <w:rPr>
          <w:rFonts w:ascii="Book Antiqua" w:hAnsi="Book Antiqua"/>
        </w:rPr>
        <w:t xml:space="preserve">% and 88.3% </w:t>
      </w:r>
      <w:r w:rsidR="008D511D" w:rsidRPr="008D511D">
        <w:rPr>
          <w:rFonts w:ascii="Book Antiqua" w:eastAsia="HYSinMyeongJo-Medium" w:hAnsi="Book Antiqua"/>
          <w:i/>
        </w:rPr>
        <w:t>vs</w:t>
      </w:r>
      <w:r w:rsidRPr="00991EB9">
        <w:rPr>
          <w:rFonts w:ascii="Book Antiqua" w:eastAsia="HYSinMyeongJo-Medium" w:hAnsi="Book Antiqua"/>
          <w:i/>
        </w:rPr>
        <w:t xml:space="preserve"> </w:t>
      </w:r>
      <w:r w:rsidRPr="00991EB9">
        <w:rPr>
          <w:rFonts w:ascii="Book Antiqua" w:eastAsia="HYSinMyeongJo-Medium" w:hAnsi="Book Antiqua"/>
        </w:rPr>
        <w:t>69.9%</w:t>
      </w:r>
      <w:r w:rsidRPr="00991EB9">
        <w:rPr>
          <w:rFonts w:ascii="Book Antiqua" w:hAnsi="Book Antiqua"/>
        </w:rPr>
        <w:t>, respectively)</w:t>
      </w:r>
      <w:r w:rsidR="005151AB" w:rsidRPr="00991EB9">
        <w:rPr>
          <w:rFonts w:ascii="Book Antiqua" w:hAnsi="Book Antiqua"/>
        </w:rPr>
        <w:t xml:space="preserve">. </w:t>
      </w:r>
    </w:p>
    <w:p w:rsidR="003343FA" w:rsidRPr="00991EB9" w:rsidRDefault="009952A6" w:rsidP="009A3473">
      <w:pPr>
        <w:pStyle w:val="BodyTextHead"/>
        <w:widowControl w:val="0"/>
        <w:snapToGrid w:val="0"/>
        <w:spacing w:before="0" w:line="360" w:lineRule="auto"/>
        <w:ind w:firstLineChars="100" w:firstLine="240"/>
        <w:jc w:val="both"/>
        <w:rPr>
          <w:rFonts w:ascii="Book Antiqua" w:eastAsia="BatangChe" w:hAnsi="Book Antiqua"/>
          <w:lang w:eastAsia="ko-KR"/>
        </w:rPr>
      </w:pPr>
      <w:r w:rsidRPr="00991EB9">
        <w:rPr>
          <w:rFonts w:ascii="Book Antiqua" w:hAnsi="Book Antiqua"/>
        </w:rPr>
        <w:t>Kato</w:t>
      </w:r>
      <w:r w:rsidRPr="00991EB9">
        <w:rPr>
          <w:rFonts w:ascii="Book Antiqua" w:hAnsi="Book Antiqua"/>
          <w:i/>
        </w:rPr>
        <w:t xml:space="preserve"> et al</w:t>
      </w:r>
      <w:r w:rsidR="001E0775" w:rsidRPr="00991EB9">
        <w:rPr>
          <w:rFonts w:ascii="Book Antiqua" w:hAnsi="Book Antiqua"/>
          <w:vertAlign w:val="superscript"/>
        </w:rPr>
        <w:t>[58]</w:t>
      </w:r>
      <w:r w:rsidRPr="00991EB9">
        <w:rPr>
          <w:rFonts w:ascii="Book Antiqua" w:hAnsi="Book Antiqua"/>
        </w:rPr>
        <w:t xml:space="preserve"> suggested a diagnostic triad for gastric cancer by M-NBI endoscopy: </w:t>
      </w:r>
      <w:r w:rsidR="00351C9F" w:rsidRPr="00AB19BC">
        <w:rPr>
          <w:rFonts w:ascii="Book Antiqua" w:eastAsia="宋体" w:hAnsi="Book Antiqua" w:hint="eastAsia"/>
          <w:lang w:eastAsia="zh-CN"/>
        </w:rPr>
        <w:t>D</w:t>
      </w:r>
      <w:r w:rsidRPr="00991EB9">
        <w:rPr>
          <w:rFonts w:ascii="Book Antiqua" w:hAnsi="Book Antiqua"/>
        </w:rPr>
        <w:t xml:space="preserve">isappearance of fine mucosal structure, microvascular dilation, and heterogeneous shape. The sensitivity and specificity were significantly higher than those of conventional WLI endoscopy (92.9% </w:t>
      </w:r>
      <w:r w:rsidR="008D511D" w:rsidRPr="008D511D">
        <w:rPr>
          <w:rFonts w:ascii="Book Antiqua" w:eastAsia="HYSinMyeongJo-Medium" w:hAnsi="Book Antiqua"/>
          <w:i/>
        </w:rPr>
        <w:t>vs</w:t>
      </w:r>
      <w:r w:rsidRPr="00991EB9">
        <w:rPr>
          <w:rFonts w:ascii="Book Antiqua" w:eastAsia="HYSinMyeongJo-Medium" w:hAnsi="Book Antiqua"/>
          <w:i/>
        </w:rPr>
        <w:t xml:space="preserve"> </w:t>
      </w:r>
      <w:r w:rsidRPr="00991EB9">
        <w:rPr>
          <w:rFonts w:ascii="Book Antiqua" w:eastAsia="HYSinMyeongJo-Medium" w:hAnsi="Book Antiqua"/>
        </w:rPr>
        <w:t>42.9</w:t>
      </w:r>
      <w:r w:rsidRPr="00991EB9">
        <w:rPr>
          <w:rFonts w:ascii="Book Antiqua" w:hAnsi="Book Antiqua"/>
        </w:rPr>
        <w:t xml:space="preserve">% and 94.7% </w:t>
      </w:r>
      <w:r w:rsidR="008D511D" w:rsidRPr="008D511D">
        <w:rPr>
          <w:rFonts w:ascii="Book Antiqua" w:eastAsia="HYSinMyeongJo-Medium" w:hAnsi="Book Antiqua"/>
          <w:i/>
        </w:rPr>
        <w:t>vs</w:t>
      </w:r>
      <w:r w:rsidRPr="00991EB9">
        <w:rPr>
          <w:rFonts w:ascii="Book Antiqua" w:eastAsia="HYSinMyeongJo-Medium" w:hAnsi="Book Antiqua"/>
          <w:i/>
        </w:rPr>
        <w:t xml:space="preserve"> </w:t>
      </w:r>
      <w:r w:rsidRPr="00991EB9">
        <w:rPr>
          <w:rFonts w:ascii="Book Antiqua" w:eastAsia="HYSinMyeongJo-Medium" w:hAnsi="Book Antiqua"/>
        </w:rPr>
        <w:t>61.0%</w:t>
      </w:r>
      <w:r w:rsidRPr="00991EB9">
        <w:rPr>
          <w:rFonts w:ascii="Book Antiqua" w:hAnsi="Book Antiqua"/>
        </w:rPr>
        <w:t>, respectively). Kanesaka</w:t>
      </w:r>
      <w:r w:rsidRPr="00991EB9">
        <w:rPr>
          <w:rFonts w:ascii="Book Antiqua" w:hAnsi="Book Antiqua"/>
          <w:i/>
        </w:rPr>
        <w:t xml:space="preserve"> et al</w:t>
      </w:r>
      <w:r w:rsidR="001E0775" w:rsidRPr="00991EB9">
        <w:rPr>
          <w:rFonts w:ascii="Book Antiqua" w:hAnsi="Book Antiqua"/>
          <w:vertAlign w:val="superscript"/>
        </w:rPr>
        <w:t>[59]</w:t>
      </w:r>
      <w:r w:rsidRPr="00991EB9">
        <w:rPr>
          <w:rFonts w:ascii="Book Antiqua" w:hAnsi="Book Antiqua"/>
        </w:rPr>
        <w:t xml:space="preserve"> categorized the microvascular patterns of small depressed lesions as microvascular dilation, microvascular tortuosity, difference in caliber, and variation in shape. Among these microvascular findings by M-NBI endoscopy, variation in shape was the most significant feature, with a diagnostic accuracy of 92%</w:t>
      </w:r>
      <w:r w:rsidR="00DC34C1" w:rsidRPr="00991EB9">
        <w:rPr>
          <w:rFonts w:ascii="Book Antiqua" w:eastAsia="BatangChe" w:hAnsi="Book Antiqua"/>
          <w:lang w:eastAsia="ko-KR"/>
        </w:rPr>
        <w:t xml:space="preserve">. </w:t>
      </w:r>
    </w:p>
    <w:p w:rsidR="00C4425C" w:rsidRPr="00991EB9" w:rsidRDefault="00C4425C" w:rsidP="009A3473">
      <w:pPr>
        <w:pStyle w:val="af5"/>
        <w:wordWrap/>
        <w:snapToGrid w:val="0"/>
        <w:spacing w:after="0" w:line="360" w:lineRule="auto"/>
        <w:ind w:firstLineChars="0" w:firstLine="0"/>
        <w:rPr>
          <w:rFonts w:ascii="Book Antiqua" w:hAnsi="Book Antiqua" w:cs="Arial"/>
          <w:b/>
          <w:sz w:val="24"/>
          <w:szCs w:val="24"/>
        </w:rPr>
      </w:pPr>
    </w:p>
    <w:p w:rsidR="00C4425C" w:rsidRPr="00991EB9" w:rsidRDefault="001D276C" w:rsidP="009A3473">
      <w:pPr>
        <w:pStyle w:val="af5"/>
        <w:wordWrap/>
        <w:snapToGrid w:val="0"/>
        <w:spacing w:after="0" w:line="360" w:lineRule="auto"/>
        <w:ind w:firstLineChars="0" w:firstLine="0"/>
        <w:rPr>
          <w:rFonts w:ascii="Book Antiqua" w:hAnsi="Book Antiqua" w:cs="Arial"/>
          <w:b/>
          <w:i/>
          <w:sz w:val="24"/>
          <w:szCs w:val="24"/>
        </w:rPr>
      </w:pPr>
      <w:r w:rsidRPr="00991EB9">
        <w:rPr>
          <w:rFonts w:ascii="Book Antiqua" w:hAnsi="Book Antiqua" w:cs="Arial"/>
          <w:b/>
          <w:i/>
          <w:sz w:val="24"/>
          <w:szCs w:val="24"/>
        </w:rPr>
        <w:t>D</w:t>
      </w:r>
      <w:r w:rsidR="000C46B3" w:rsidRPr="00991EB9">
        <w:rPr>
          <w:rFonts w:ascii="Book Antiqua" w:hAnsi="Book Antiqua" w:cs="Arial"/>
          <w:b/>
          <w:i/>
          <w:sz w:val="24"/>
          <w:szCs w:val="24"/>
        </w:rPr>
        <w:t>etermination of the horizontal extent of early gastric cancer before endoscopic submucosal d</w:t>
      </w:r>
      <w:r w:rsidR="00923D3E" w:rsidRPr="00991EB9">
        <w:rPr>
          <w:rFonts w:ascii="Book Antiqua" w:hAnsi="Book Antiqua" w:cs="Arial"/>
          <w:b/>
          <w:i/>
          <w:sz w:val="24"/>
          <w:szCs w:val="24"/>
        </w:rPr>
        <w:t>issection</w:t>
      </w:r>
    </w:p>
    <w:p w:rsidR="00C4425C" w:rsidRPr="00991EB9" w:rsidRDefault="00137D50" w:rsidP="009A3473">
      <w:pPr>
        <w:pStyle w:val="BodyTextHead"/>
        <w:snapToGrid w:val="0"/>
        <w:spacing w:before="0" w:line="360" w:lineRule="auto"/>
        <w:jc w:val="both"/>
        <w:rPr>
          <w:rFonts w:ascii="Book Antiqua" w:hAnsi="Book Antiqua" w:cs="Arial"/>
          <w:b/>
        </w:rPr>
      </w:pPr>
      <w:r w:rsidRPr="00991EB9">
        <w:rPr>
          <w:rFonts w:ascii="Book Antiqua" w:hAnsi="Book Antiqua"/>
        </w:rPr>
        <w:t>E</w:t>
      </w:r>
      <w:r w:rsidR="009952A6" w:rsidRPr="00991EB9">
        <w:rPr>
          <w:rFonts w:ascii="Book Antiqua" w:hAnsi="Book Antiqua"/>
        </w:rPr>
        <w:t>SD is curative in selected patients with EGC</w:t>
      </w:r>
      <w:r w:rsidR="003B1C74" w:rsidRPr="00991EB9">
        <w:rPr>
          <w:rFonts w:ascii="Book Antiqua" w:hAnsi="Book Antiqua"/>
          <w:vertAlign w:val="superscript"/>
        </w:rPr>
        <w:t>[60</w:t>
      </w:r>
      <w:r w:rsidR="00275A36" w:rsidRPr="00991EB9">
        <w:rPr>
          <w:rFonts w:ascii="Book Antiqua" w:hAnsi="Book Antiqua"/>
          <w:vertAlign w:val="superscript"/>
        </w:rPr>
        <w:t>]</w:t>
      </w:r>
      <w:r w:rsidR="009952A6" w:rsidRPr="00991EB9">
        <w:rPr>
          <w:rFonts w:ascii="Book Antiqua" w:hAnsi="Book Antiqua"/>
        </w:rPr>
        <w:t>. For a successful outcome of ESD, the tumor margin should be clearly examined. In M-NBI endoscopy, EGC margin delineation can be achieved by close-up observation of DL</w:t>
      </w:r>
      <w:r w:rsidR="00FA1D79" w:rsidRPr="00991EB9">
        <w:rPr>
          <w:rFonts w:ascii="Book Antiqua" w:hAnsi="Book Antiqua"/>
        </w:rPr>
        <w:t xml:space="preserve"> (Table 3)</w:t>
      </w:r>
      <w:r w:rsidR="009952A6" w:rsidRPr="00991EB9">
        <w:rPr>
          <w:rFonts w:ascii="Book Antiqua" w:hAnsi="Book Antiqua"/>
        </w:rPr>
        <w:t>. In 2010, Kiyotoki</w:t>
      </w:r>
      <w:r w:rsidR="009952A6" w:rsidRPr="00991EB9">
        <w:rPr>
          <w:rFonts w:ascii="Book Antiqua" w:hAnsi="Book Antiqua"/>
          <w:i/>
        </w:rPr>
        <w:t xml:space="preserve"> et al</w:t>
      </w:r>
      <w:r w:rsidR="00553BA2" w:rsidRPr="00991EB9">
        <w:rPr>
          <w:rFonts w:ascii="Book Antiqua" w:hAnsi="Book Antiqua"/>
          <w:vertAlign w:val="superscript"/>
        </w:rPr>
        <w:t>[61]</w:t>
      </w:r>
      <w:r w:rsidR="009952A6" w:rsidRPr="00991EB9">
        <w:rPr>
          <w:rFonts w:ascii="Book Antiqua" w:hAnsi="Book Antiqua"/>
        </w:rPr>
        <w:t xml:space="preserve"> evaluated the usefulness of M-NBI endoscopy for determining the gastric tumor margin compared to conventional chromoendoscopy using indigo carmine. Before ESD, marking dots were made at the tumor margin</w:t>
      </w:r>
      <w:r w:rsidR="00FD21A2" w:rsidRPr="00991EB9">
        <w:rPr>
          <w:rFonts w:ascii="Book Antiqua" w:hAnsi="Book Antiqua"/>
        </w:rPr>
        <w:t xml:space="preserve"> using </w:t>
      </w:r>
      <w:r w:rsidR="009952A6" w:rsidRPr="00991EB9">
        <w:rPr>
          <w:rFonts w:ascii="Book Antiqua" w:hAnsi="Book Antiqua"/>
        </w:rPr>
        <w:t xml:space="preserve">M-NBI or chromoendoscopy. If the distance was less than 1 mm between the endoscopic marking dot and pathologically confirmed margin, the diagnosis was defined to be accurate. The diagnostic accuracy was significantly higher for M-NBI endoscopy than chromoendoscopy (97.4% </w:t>
      </w:r>
      <w:r w:rsidR="009952A6" w:rsidRPr="00553BA2">
        <w:rPr>
          <w:rFonts w:ascii="Book Antiqua" w:eastAsia="HYSinMyeongJo-Medium" w:hAnsi="Book Antiqua"/>
          <w:i/>
        </w:rPr>
        <w:t>vs</w:t>
      </w:r>
      <w:r w:rsidR="00553BA2">
        <w:rPr>
          <w:rFonts w:ascii="Book Antiqua" w:eastAsia="HYSinMyeongJo-Medium" w:hAnsi="Book Antiqua"/>
        </w:rPr>
        <w:t xml:space="preserve"> </w:t>
      </w:r>
      <w:r w:rsidR="009952A6" w:rsidRPr="00991EB9">
        <w:rPr>
          <w:rFonts w:ascii="Book Antiqua" w:eastAsia="HYSinMyeongJo-Medium" w:hAnsi="Book Antiqua"/>
        </w:rPr>
        <w:t xml:space="preserve">77.8%, </w:t>
      </w:r>
      <w:r w:rsidR="009952A6" w:rsidRPr="00991EB9">
        <w:rPr>
          <w:rFonts w:ascii="Book Antiqua" w:eastAsia="HYSinMyeongJo-Medium" w:hAnsi="Book Antiqua"/>
          <w:i/>
        </w:rPr>
        <w:t>P = </w:t>
      </w:r>
      <w:r w:rsidR="009952A6" w:rsidRPr="00991EB9">
        <w:rPr>
          <w:rFonts w:ascii="Book Antiqua" w:eastAsia="HYSinMyeongJo-Medium" w:hAnsi="Book Antiqua"/>
        </w:rPr>
        <w:t>0.009).</w:t>
      </w:r>
      <w:r w:rsidR="009952A6" w:rsidRPr="00991EB9">
        <w:rPr>
          <w:rFonts w:ascii="Book Antiqua" w:hAnsi="Book Antiqua"/>
        </w:rPr>
        <w:t xml:space="preserve"> In another comparison study, there was a significant difference in delineating the margin of EGC between M-NBI endoscopy and chromoendoscopy (89.4% </w:t>
      </w:r>
      <w:r w:rsidR="00390D1D" w:rsidRPr="00553BA2">
        <w:rPr>
          <w:rFonts w:ascii="Book Antiqua" w:eastAsia="HYSinMyeongJo-Medium" w:hAnsi="Book Antiqua"/>
          <w:i/>
        </w:rPr>
        <w:t>vs</w:t>
      </w:r>
      <w:r w:rsidR="00390D1D" w:rsidRPr="00991EB9">
        <w:rPr>
          <w:rFonts w:ascii="Book Antiqua" w:eastAsia="HYSinMyeongJo-Medium" w:hAnsi="Book Antiqua"/>
        </w:rPr>
        <w:t xml:space="preserve"> </w:t>
      </w:r>
      <w:r w:rsidR="009952A6" w:rsidRPr="00991EB9">
        <w:rPr>
          <w:rFonts w:ascii="Book Antiqua" w:eastAsia="HYSinMyeongJo-Medium" w:hAnsi="Book Antiqua"/>
        </w:rPr>
        <w:t xml:space="preserve">75.9%, </w:t>
      </w:r>
      <w:r w:rsidR="009952A6" w:rsidRPr="00991EB9">
        <w:rPr>
          <w:rFonts w:ascii="Book Antiqua" w:eastAsia="HYSinMyeongJo-Medium" w:hAnsi="Book Antiqua"/>
          <w:i/>
        </w:rPr>
        <w:t>P = </w:t>
      </w:r>
      <w:r w:rsidR="009952A6" w:rsidRPr="00991EB9">
        <w:rPr>
          <w:rFonts w:ascii="Book Antiqua" w:eastAsia="HYSinMyeongJo-Medium" w:hAnsi="Book Antiqua"/>
        </w:rPr>
        <w:t>0.007)</w:t>
      </w:r>
      <w:r w:rsidR="003B1C74" w:rsidRPr="00991EB9">
        <w:rPr>
          <w:rFonts w:ascii="Book Antiqua" w:hAnsi="Book Antiqua"/>
          <w:vertAlign w:val="superscript"/>
        </w:rPr>
        <w:t>[62</w:t>
      </w:r>
      <w:r w:rsidR="00275A36" w:rsidRPr="00991EB9">
        <w:rPr>
          <w:rFonts w:ascii="Book Antiqua" w:hAnsi="Book Antiqua"/>
          <w:vertAlign w:val="superscript"/>
        </w:rPr>
        <w:t>]</w:t>
      </w:r>
      <w:r w:rsidR="009952A6" w:rsidRPr="00991EB9">
        <w:rPr>
          <w:rFonts w:ascii="Book Antiqua" w:eastAsia="HYSinMyeongJo-Medium" w:hAnsi="Book Antiqua"/>
        </w:rPr>
        <w:t>. Similarly, several studies have demonstrated that M-NBI endoscopy improves the determination of horizontal extent before ESD in patients with an unclear margin of EGC</w:t>
      </w:r>
      <w:r w:rsidR="003B1C74" w:rsidRPr="00991EB9">
        <w:rPr>
          <w:rFonts w:ascii="Book Antiqua" w:hAnsi="Book Antiqua"/>
          <w:vertAlign w:val="superscript"/>
        </w:rPr>
        <w:t>[63,64</w:t>
      </w:r>
      <w:r w:rsidR="00275A36" w:rsidRPr="00991EB9">
        <w:rPr>
          <w:rFonts w:ascii="Book Antiqua" w:hAnsi="Book Antiqua"/>
          <w:vertAlign w:val="superscript"/>
        </w:rPr>
        <w:t>]</w:t>
      </w:r>
      <w:r w:rsidR="009952A6" w:rsidRPr="00991EB9">
        <w:rPr>
          <w:rFonts w:ascii="Book Antiqua" w:eastAsia="HYSinMyeongJo-Medium" w:hAnsi="Book Antiqua"/>
        </w:rPr>
        <w:t>. Horii</w:t>
      </w:r>
      <w:r w:rsidR="009952A6" w:rsidRPr="00991EB9">
        <w:rPr>
          <w:rFonts w:ascii="Book Antiqua" w:eastAsia="HYSinMyeongJo-Medium" w:hAnsi="Book Antiqua"/>
          <w:i/>
        </w:rPr>
        <w:t xml:space="preserve"> et al</w:t>
      </w:r>
      <w:r w:rsidR="00307F50" w:rsidRPr="00991EB9">
        <w:rPr>
          <w:rFonts w:ascii="Book Antiqua" w:hAnsi="Book Antiqua"/>
          <w:vertAlign w:val="superscript"/>
        </w:rPr>
        <w:t>[65]</w:t>
      </w:r>
      <w:r w:rsidR="009952A6" w:rsidRPr="00991EB9">
        <w:rPr>
          <w:rFonts w:ascii="Book Antiqua" w:eastAsia="HYSinMyeongJo-Medium" w:hAnsi="Book Antiqua"/>
        </w:rPr>
        <w:t xml:space="preserve"> showed that diagnostic accuracy using M-NBI was 96.7% when the successful demarcation of EGC was evaluated on the basis of the biopsy-negative rate outside the tumor. Complete resection of EGC with a tumor-negative horizontal margin was achieved in 97.9% (</w:t>
      </w:r>
      <w:r w:rsidR="009952A6" w:rsidRPr="00991EB9">
        <w:rPr>
          <w:rFonts w:ascii="Book Antiqua" w:eastAsia="HYSinMyeongJo-Medium" w:hAnsi="Book Antiqua"/>
          <w:i/>
        </w:rPr>
        <w:t>n</w:t>
      </w:r>
      <w:r w:rsidR="009952A6" w:rsidRPr="00991EB9">
        <w:rPr>
          <w:rFonts w:ascii="Book Antiqua" w:eastAsia="HYSinMyeongJo-Medium" w:hAnsi="Book Antiqua"/>
        </w:rPr>
        <w:t> = 323/330). However, Nagahama</w:t>
      </w:r>
      <w:r w:rsidR="009952A6" w:rsidRPr="00991EB9">
        <w:rPr>
          <w:rFonts w:ascii="Book Antiqua" w:eastAsia="HYSinMyeongJo-Medium" w:hAnsi="Book Antiqua"/>
          <w:i/>
        </w:rPr>
        <w:t xml:space="preserve"> et al</w:t>
      </w:r>
      <w:r w:rsidR="001E0775" w:rsidRPr="00991EB9">
        <w:rPr>
          <w:rFonts w:ascii="Book Antiqua" w:hAnsi="Book Antiqua"/>
          <w:vertAlign w:val="superscript"/>
        </w:rPr>
        <w:t>[66]</w:t>
      </w:r>
      <w:r w:rsidR="009952A6" w:rsidRPr="00991EB9">
        <w:rPr>
          <w:rFonts w:ascii="Book Antiqua" w:eastAsia="HYSinMyeongJo-Medium" w:hAnsi="Book Antiqua"/>
        </w:rPr>
        <w:t xml:space="preserve"> reported that the diagnostic accuracy for EGC margin delineation of M-NBI endoscopy was not superior to that of chromoendoscopy using indigo carmine</w:t>
      </w:r>
      <w:r w:rsidR="009952A6" w:rsidRPr="00991EB9">
        <w:rPr>
          <w:rFonts w:ascii="Book Antiqua" w:hAnsi="Book Antiqua"/>
        </w:rPr>
        <w:t xml:space="preserve">. Indeed, </w:t>
      </w:r>
      <w:r w:rsidR="009952A6" w:rsidRPr="00991EB9">
        <w:rPr>
          <w:rFonts w:ascii="Book Antiqua" w:eastAsia="HYSinMyeongJo-Medium" w:hAnsi="Book Antiqua"/>
        </w:rPr>
        <w:t xml:space="preserve">M-NBI endoscopy </w:t>
      </w:r>
      <w:r w:rsidR="009952A6" w:rsidRPr="00991EB9">
        <w:rPr>
          <w:rFonts w:ascii="Book Antiqua" w:hAnsi="Book Antiqua"/>
        </w:rPr>
        <w:t>does not need a dye solution and so is less time consuming</w:t>
      </w:r>
      <w:r w:rsidR="00D5343F" w:rsidRPr="00991EB9">
        <w:rPr>
          <w:rFonts w:ascii="Book Antiqua" w:hAnsi="Book Antiqua"/>
        </w:rPr>
        <w:t xml:space="preserve">. </w:t>
      </w:r>
    </w:p>
    <w:p w:rsidR="00D342C5" w:rsidRPr="00991EB9" w:rsidRDefault="00D342C5" w:rsidP="009A3473">
      <w:pPr>
        <w:pStyle w:val="af5"/>
        <w:wordWrap/>
        <w:snapToGrid w:val="0"/>
        <w:spacing w:after="0" w:line="360" w:lineRule="auto"/>
        <w:ind w:firstLineChars="0" w:firstLine="0"/>
        <w:rPr>
          <w:rFonts w:ascii="Book Antiqua" w:hAnsi="Book Antiqua"/>
          <w:sz w:val="24"/>
          <w:szCs w:val="24"/>
        </w:rPr>
      </w:pPr>
    </w:p>
    <w:p w:rsidR="00F94D62" w:rsidRPr="00991EB9" w:rsidRDefault="00F57225" w:rsidP="009A3473">
      <w:pPr>
        <w:pStyle w:val="af5"/>
        <w:wordWrap/>
        <w:snapToGrid w:val="0"/>
        <w:spacing w:after="0" w:line="360" w:lineRule="auto"/>
        <w:ind w:firstLineChars="0" w:firstLine="0"/>
        <w:rPr>
          <w:rFonts w:ascii="Book Antiqua" w:hAnsi="Book Antiqua"/>
          <w:sz w:val="24"/>
          <w:szCs w:val="24"/>
          <w:u w:val="single"/>
        </w:rPr>
      </w:pPr>
      <w:r w:rsidRPr="00991EB9">
        <w:rPr>
          <w:rFonts w:ascii="Book Antiqua" w:hAnsi="Book Antiqua" w:cs="Arial"/>
          <w:b/>
          <w:sz w:val="24"/>
          <w:szCs w:val="24"/>
          <w:u w:val="single"/>
        </w:rPr>
        <w:t>C</w:t>
      </w:r>
      <w:r w:rsidR="009D7DA4" w:rsidRPr="00991EB9">
        <w:rPr>
          <w:rFonts w:ascii="Book Antiqua" w:hAnsi="Book Antiqua" w:cs="Arial"/>
          <w:b/>
          <w:sz w:val="24"/>
          <w:szCs w:val="24"/>
          <w:u w:val="single"/>
        </w:rPr>
        <w:t>ONCLUSION</w:t>
      </w:r>
    </w:p>
    <w:p w:rsidR="00244454" w:rsidRPr="00991EB9" w:rsidRDefault="009952A6" w:rsidP="009A3473">
      <w:pPr>
        <w:pStyle w:val="af5"/>
        <w:wordWrap/>
        <w:snapToGrid w:val="0"/>
        <w:spacing w:after="0" w:line="360" w:lineRule="auto"/>
        <w:ind w:firstLineChars="0" w:firstLine="0"/>
        <w:rPr>
          <w:rFonts w:ascii="Book Antiqua" w:hAnsi="Book Antiqua"/>
          <w:strike/>
          <w:sz w:val="24"/>
          <w:szCs w:val="24"/>
        </w:rPr>
      </w:pPr>
      <w:r w:rsidRPr="00991EB9">
        <w:rPr>
          <w:rFonts w:ascii="Book Antiqua" w:hAnsi="Book Antiqua"/>
          <w:sz w:val="24"/>
          <w:szCs w:val="24"/>
        </w:rPr>
        <w:t xml:space="preserve">In an era of high imaging quality in medical devices, magnifying endoscopy and NBI have enabled </w:t>
      </w:r>
      <w:r w:rsidRPr="00991EB9">
        <w:rPr>
          <w:rFonts w:ascii="Book Antiqua" w:hAnsi="Book Antiqua"/>
          <w:i/>
          <w:iCs/>
          <w:sz w:val="24"/>
          <w:szCs w:val="24"/>
        </w:rPr>
        <w:t>H</w:t>
      </w:r>
      <w:r w:rsidRPr="00991EB9">
        <w:rPr>
          <w:rFonts w:ascii="Book Antiqua" w:hAnsi="Book Antiqua"/>
          <w:iCs/>
          <w:sz w:val="24"/>
          <w:szCs w:val="24"/>
        </w:rPr>
        <w:t>.</w:t>
      </w:r>
      <w:r w:rsidRPr="00991EB9">
        <w:rPr>
          <w:rFonts w:ascii="Book Antiqua" w:hAnsi="Book Antiqua"/>
          <w:i/>
          <w:iCs/>
          <w:sz w:val="24"/>
          <w:szCs w:val="24"/>
        </w:rPr>
        <w:t> pylori</w:t>
      </w:r>
      <w:r w:rsidRPr="00991EB9">
        <w:rPr>
          <w:rFonts w:ascii="Book Antiqua" w:hAnsi="Book Antiqua"/>
          <w:sz w:val="24"/>
          <w:szCs w:val="24"/>
        </w:rPr>
        <w:t xml:space="preserve"> diagnosis, endoscopic grading of GIM, and detailed characterization of small gastric cancer. Previously, the pathological report was the absolute authority for diagnosis of gastrointestinal tract diseases. Henceforth</w:t>
      </w:r>
      <w:r w:rsidR="00EE7F5F" w:rsidRPr="00991EB9">
        <w:rPr>
          <w:rFonts w:ascii="Book Antiqua" w:hAnsi="Book Antiqua"/>
          <w:sz w:val="24"/>
          <w:szCs w:val="24"/>
        </w:rPr>
        <w:t xml:space="preserve">, image-enhanced endoscopy can make a big step to optical biopsy, which is a real-time diagnosis during gastrointestinal endoscopy. </w:t>
      </w:r>
      <w:r w:rsidRPr="00991EB9">
        <w:rPr>
          <w:rFonts w:ascii="Book Antiqua" w:hAnsi="Book Antiqua"/>
          <w:sz w:val="24"/>
          <w:szCs w:val="24"/>
        </w:rPr>
        <w:t xml:space="preserve">Furthermore, confocal </w:t>
      </w:r>
      <w:r w:rsidR="005529C2" w:rsidRPr="00991EB9">
        <w:rPr>
          <w:rFonts w:ascii="Book Antiqua" w:hAnsi="Book Antiqua"/>
          <w:sz w:val="24"/>
          <w:szCs w:val="24"/>
        </w:rPr>
        <w:t xml:space="preserve">laser </w:t>
      </w:r>
      <w:r w:rsidRPr="00991EB9">
        <w:rPr>
          <w:rFonts w:ascii="Book Antiqua" w:hAnsi="Book Antiqua"/>
          <w:sz w:val="24"/>
          <w:szCs w:val="24"/>
        </w:rPr>
        <w:t>endomicroscopy and endocytoscopy may become available in the future</w:t>
      </w:r>
      <w:r w:rsidR="003B1C74" w:rsidRPr="00991EB9">
        <w:rPr>
          <w:rFonts w:ascii="Book Antiqua" w:hAnsi="Book Antiqua"/>
          <w:sz w:val="24"/>
          <w:szCs w:val="24"/>
          <w:vertAlign w:val="superscript"/>
        </w:rPr>
        <w:t>[67</w:t>
      </w:r>
      <w:r w:rsidR="00DD594A" w:rsidRPr="00991EB9">
        <w:rPr>
          <w:rFonts w:ascii="Book Antiqua" w:hAnsi="Book Antiqua"/>
          <w:sz w:val="24"/>
          <w:szCs w:val="24"/>
          <w:vertAlign w:val="superscript"/>
        </w:rPr>
        <w:t>]</w:t>
      </w:r>
      <w:r w:rsidRPr="00991EB9">
        <w:rPr>
          <w:rFonts w:ascii="Book Antiqua" w:hAnsi="Book Antiqua"/>
          <w:sz w:val="24"/>
          <w:szCs w:val="24"/>
        </w:rPr>
        <w:t>. If endoscopists are well-trained in advanced endoscopic imaging</w:t>
      </w:r>
      <w:r w:rsidR="008F1756" w:rsidRPr="00991EB9">
        <w:rPr>
          <w:rFonts w:ascii="Book Antiqua" w:hAnsi="Book Antiqua"/>
          <w:sz w:val="24"/>
          <w:szCs w:val="24"/>
        </w:rPr>
        <w:t>, they</w:t>
      </w:r>
      <w:r w:rsidR="002F3EFC" w:rsidRPr="00991EB9">
        <w:rPr>
          <w:rFonts w:ascii="Book Antiqua" w:hAnsi="Book Antiqua"/>
          <w:sz w:val="24"/>
          <w:szCs w:val="24"/>
        </w:rPr>
        <w:t xml:space="preserve"> may </w:t>
      </w:r>
      <w:r w:rsidR="000F30C1" w:rsidRPr="00991EB9">
        <w:rPr>
          <w:rFonts w:ascii="Book Antiqua" w:hAnsi="Book Antiqua"/>
          <w:sz w:val="24"/>
          <w:szCs w:val="24"/>
        </w:rPr>
        <w:t xml:space="preserve">evolve </w:t>
      </w:r>
      <w:r w:rsidR="00734665" w:rsidRPr="00991EB9">
        <w:rPr>
          <w:rFonts w:ascii="Book Antiqua" w:hAnsi="Book Antiqua"/>
          <w:sz w:val="24"/>
          <w:szCs w:val="24"/>
        </w:rPr>
        <w:t>into endo-</w:t>
      </w:r>
      <w:r w:rsidR="000F30C1" w:rsidRPr="00991EB9">
        <w:rPr>
          <w:rFonts w:ascii="Book Antiqua" w:hAnsi="Book Antiqua"/>
          <w:sz w:val="24"/>
          <w:szCs w:val="24"/>
        </w:rPr>
        <w:t>pathologist</w:t>
      </w:r>
      <w:r w:rsidR="002E33BD" w:rsidRPr="00991EB9">
        <w:rPr>
          <w:rFonts w:ascii="Book Antiqua" w:hAnsi="Book Antiqua"/>
          <w:sz w:val="24"/>
          <w:szCs w:val="24"/>
        </w:rPr>
        <w:t>s</w:t>
      </w:r>
      <w:r w:rsidR="003B1C74" w:rsidRPr="00991EB9">
        <w:rPr>
          <w:rFonts w:ascii="Book Antiqua" w:hAnsi="Book Antiqua"/>
          <w:sz w:val="24"/>
          <w:szCs w:val="24"/>
          <w:vertAlign w:val="superscript"/>
        </w:rPr>
        <w:t>[68</w:t>
      </w:r>
      <w:r w:rsidR="0078550E" w:rsidRPr="00991EB9">
        <w:rPr>
          <w:rFonts w:ascii="Book Antiqua" w:hAnsi="Book Antiqua"/>
          <w:sz w:val="24"/>
          <w:szCs w:val="24"/>
          <w:vertAlign w:val="superscript"/>
        </w:rPr>
        <w:t>]</w:t>
      </w:r>
      <w:r w:rsidR="002F3EFC" w:rsidRPr="00991EB9">
        <w:rPr>
          <w:rFonts w:ascii="Book Antiqua" w:hAnsi="Book Antiqua"/>
          <w:sz w:val="24"/>
          <w:szCs w:val="24"/>
        </w:rPr>
        <w:t xml:space="preserve">. </w:t>
      </w:r>
    </w:p>
    <w:p w:rsidR="007562C9" w:rsidRPr="00991EB9" w:rsidRDefault="007562C9" w:rsidP="009A3473">
      <w:pPr>
        <w:wordWrap/>
        <w:snapToGrid w:val="0"/>
        <w:spacing w:line="360" w:lineRule="auto"/>
        <w:rPr>
          <w:rFonts w:ascii="Book Antiqua" w:eastAsia="HYSinMyeongJo-Medium" w:hAnsi="Book Antiqua"/>
          <w:sz w:val="24"/>
          <w:szCs w:val="24"/>
        </w:rPr>
      </w:pPr>
    </w:p>
    <w:p w:rsidR="0018541A" w:rsidRPr="00991EB9" w:rsidRDefault="0018541A" w:rsidP="009A3473">
      <w:pPr>
        <w:wordWrap/>
        <w:snapToGrid w:val="0"/>
        <w:spacing w:line="360" w:lineRule="auto"/>
        <w:rPr>
          <w:rFonts w:ascii="Book Antiqua" w:hAnsi="Book Antiqua"/>
          <w:sz w:val="24"/>
          <w:szCs w:val="24"/>
        </w:rPr>
      </w:pPr>
      <w:r w:rsidRPr="00991EB9">
        <w:rPr>
          <w:rFonts w:ascii="Book Antiqua" w:hAnsi="Book Antiqua" w:cs="Arial"/>
          <w:b/>
          <w:sz w:val="24"/>
          <w:szCs w:val="24"/>
        </w:rPr>
        <w:t>R</w:t>
      </w:r>
      <w:r w:rsidR="007E2ED9" w:rsidRPr="00991EB9">
        <w:rPr>
          <w:rFonts w:ascii="Book Antiqua" w:hAnsi="Book Antiqua" w:cs="Arial"/>
          <w:b/>
          <w:sz w:val="24"/>
          <w:szCs w:val="24"/>
        </w:rPr>
        <w:t>EFERENCES</w:t>
      </w:r>
      <w:r w:rsidRPr="00991EB9">
        <w:rPr>
          <w:rFonts w:ascii="Book Antiqua" w:hAnsi="Book Antiqua" w:cs="Arial"/>
          <w:b/>
          <w:sz w:val="24"/>
          <w:szCs w:val="24"/>
        </w:rPr>
        <w:t xml:space="preserve"> </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1 </w:t>
      </w:r>
      <w:r w:rsidRPr="00991EB9">
        <w:rPr>
          <w:rFonts w:ascii="Book Antiqua" w:eastAsia="宋体" w:hAnsi="Book Antiqua"/>
          <w:b/>
          <w:sz w:val="24"/>
          <w:szCs w:val="24"/>
          <w:lang w:eastAsia="zh-CN"/>
        </w:rPr>
        <w:t>Bray F</w:t>
      </w:r>
      <w:r w:rsidRPr="00991EB9">
        <w:rPr>
          <w:rFonts w:ascii="Book Antiqua" w:eastAsia="宋体" w:hAnsi="Book Antiqua"/>
          <w:sz w:val="24"/>
          <w:szCs w:val="24"/>
          <w:lang w:eastAsia="zh-CN"/>
        </w:rPr>
        <w:t xml:space="preserve">, Ferlay J, Soerjomataram I, Siegel RL, Torre LA, Jemal A. Global cancer statistics 2018: GLOBOCAN estimates of incidence and mortality worldwide for 36 cancers in 185 countries. </w:t>
      </w:r>
      <w:r w:rsidRPr="00991EB9">
        <w:rPr>
          <w:rFonts w:ascii="Book Antiqua" w:eastAsia="宋体" w:hAnsi="Book Antiqua"/>
          <w:i/>
          <w:sz w:val="24"/>
          <w:szCs w:val="24"/>
          <w:lang w:eastAsia="zh-CN"/>
        </w:rPr>
        <w:t>CA Cancer J Clin</w:t>
      </w:r>
      <w:r w:rsidRPr="00991EB9">
        <w:rPr>
          <w:rFonts w:ascii="Book Antiqua" w:eastAsia="宋体" w:hAnsi="Book Antiqua"/>
          <w:sz w:val="24"/>
          <w:szCs w:val="24"/>
          <w:lang w:eastAsia="zh-CN"/>
        </w:rPr>
        <w:t xml:space="preserve"> 2018; </w:t>
      </w:r>
      <w:r w:rsidRPr="00991EB9">
        <w:rPr>
          <w:rFonts w:ascii="Book Antiqua" w:eastAsia="宋体" w:hAnsi="Book Antiqua"/>
          <w:b/>
          <w:sz w:val="24"/>
          <w:szCs w:val="24"/>
          <w:lang w:eastAsia="zh-CN"/>
        </w:rPr>
        <w:t>68</w:t>
      </w:r>
      <w:r w:rsidRPr="00991EB9">
        <w:rPr>
          <w:rFonts w:ascii="Book Antiqua" w:eastAsia="宋体" w:hAnsi="Book Antiqua"/>
          <w:sz w:val="24"/>
          <w:szCs w:val="24"/>
          <w:lang w:eastAsia="zh-CN"/>
        </w:rPr>
        <w:t>: 394-424 [PMID: 30207593 DOI: 10.3322/caac.21492]</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2 </w:t>
      </w:r>
      <w:r w:rsidRPr="00991EB9">
        <w:rPr>
          <w:rFonts w:ascii="Book Antiqua" w:eastAsia="宋体" w:hAnsi="Book Antiqua"/>
          <w:b/>
          <w:sz w:val="24"/>
          <w:szCs w:val="24"/>
          <w:lang w:eastAsia="zh-CN"/>
        </w:rPr>
        <w:t>Kuipers EJ</w:t>
      </w:r>
      <w:r w:rsidRPr="00991EB9">
        <w:rPr>
          <w:rFonts w:ascii="Book Antiqua" w:eastAsia="宋体" w:hAnsi="Book Antiqua"/>
          <w:sz w:val="24"/>
          <w:szCs w:val="24"/>
          <w:lang w:eastAsia="zh-CN"/>
        </w:rPr>
        <w:t xml:space="preserve">, Uyterlinde AM, Peña AS, Roosendaal R, Pals G, Nelis GF, Festen HP, Meuwissen SG. Long-term sequelae of Helicobacter pylori gastritis. </w:t>
      </w:r>
      <w:r w:rsidRPr="00991EB9">
        <w:rPr>
          <w:rFonts w:ascii="Book Antiqua" w:eastAsia="宋体" w:hAnsi="Book Antiqua"/>
          <w:i/>
          <w:sz w:val="24"/>
          <w:szCs w:val="24"/>
          <w:lang w:eastAsia="zh-CN"/>
        </w:rPr>
        <w:t>Lancet</w:t>
      </w:r>
      <w:r w:rsidRPr="00991EB9">
        <w:rPr>
          <w:rFonts w:ascii="Book Antiqua" w:eastAsia="宋体" w:hAnsi="Book Antiqua"/>
          <w:sz w:val="24"/>
          <w:szCs w:val="24"/>
          <w:lang w:eastAsia="zh-CN"/>
        </w:rPr>
        <w:t xml:space="preserve"> 1995; </w:t>
      </w:r>
      <w:r w:rsidRPr="00991EB9">
        <w:rPr>
          <w:rFonts w:ascii="Book Antiqua" w:eastAsia="宋体" w:hAnsi="Book Antiqua"/>
          <w:b/>
          <w:sz w:val="24"/>
          <w:szCs w:val="24"/>
          <w:lang w:eastAsia="zh-CN"/>
        </w:rPr>
        <w:t>345</w:t>
      </w:r>
      <w:r w:rsidRPr="00991EB9">
        <w:rPr>
          <w:rFonts w:ascii="Book Antiqua" w:eastAsia="宋体" w:hAnsi="Book Antiqua"/>
          <w:sz w:val="24"/>
          <w:szCs w:val="24"/>
          <w:lang w:eastAsia="zh-CN"/>
        </w:rPr>
        <w:t>: 1525-1528 [PMID: 7791437 DOI: 10.1016/s0140-6736(95)91084-0]</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3 </w:t>
      </w:r>
      <w:r w:rsidRPr="00991EB9">
        <w:rPr>
          <w:rFonts w:ascii="Book Antiqua" w:eastAsia="宋体" w:hAnsi="Book Antiqua"/>
          <w:b/>
          <w:sz w:val="24"/>
          <w:szCs w:val="24"/>
          <w:lang w:eastAsia="zh-CN"/>
        </w:rPr>
        <w:t>Li D</w:t>
      </w:r>
      <w:r w:rsidRPr="00991EB9">
        <w:rPr>
          <w:rFonts w:ascii="Book Antiqua" w:eastAsia="宋体" w:hAnsi="Book Antiqua"/>
          <w:sz w:val="24"/>
          <w:szCs w:val="24"/>
          <w:lang w:eastAsia="zh-CN"/>
        </w:rPr>
        <w:t xml:space="preserve">, Bautista MC, Jiang SF, Daryani P, Brackett M, Armstrong MA, Hung YY, Postlethwaite D, Ladabaum U. Risks and Predictors of Gastric Adenocarcinoma in Patients with Gastric Intestinal Metaplasia and Dysplasia: A Population-Based Study. </w:t>
      </w:r>
      <w:r w:rsidRPr="00991EB9">
        <w:rPr>
          <w:rFonts w:ascii="Book Antiqua" w:eastAsia="宋体" w:hAnsi="Book Antiqua"/>
          <w:i/>
          <w:sz w:val="24"/>
          <w:szCs w:val="24"/>
          <w:lang w:eastAsia="zh-CN"/>
        </w:rPr>
        <w:t>Am J Gastroenterol</w:t>
      </w:r>
      <w:r w:rsidRPr="00991EB9">
        <w:rPr>
          <w:rFonts w:ascii="Book Antiqua" w:eastAsia="宋体" w:hAnsi="Book Antiqua"/>
          <w:sz w:val="24"/>
          <w:szCs w:val="24"/>
          <w:lang w:eastAsia="zh-CN"/>
        </w:rPr>
        <w:t xml:space="preserve"> 2016; </w:t>
      </w:r>
      <w:r w:rsidRPr="00991EB9">
        <w:rPr>
          <w:rFonts w:ascii="Book Antiqua" w:eastAsia="宋体" w:hAnsi="Book Antiqua"/>
          <w:b/>
          <w:sz w:val="24"/>
          <w:szCs w:val="24"/>
          <w:lang w:eastAsia="zh-CN"/>
        </w:rPr>
        <w:t>111</w:t>
      </w:r>
      <w:r w:rsidRPr="00991EB9">
        <w:rPr>
          <w:rFonts w:ascii="Book Antiqua" w:eastAsia="宋体" w:hAnsi="Book Antiqua"/>
          <w:sz w:val="24"/>
          <w:szCs w:val="24"/>
          <w:lang w:eastAsia="zh-CN"/>
        </w:rPr>
        <w:t>: 1104-1113 [PMID: 27185078 DOI: 10.1038/ajg.2016.188]</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4 </w:t>
      </w:r>
      <w:r w:rsidRPr="00991EB9">
        <w:rPr>
          <w:rFonts w:ascii="Book Antiqua" w:eastAsia="宋体" w:hAnsi="Book Antiqua"/>
          <w:b/>
          <w:sz w:val="24"/>
          <w:szCs w:val="24"/>
          <w:lang w:eastAsia="zh-CN"/>
        </w:rPr>
        <w:t>Hwang YJ</w:t>
      </w:r>
      <w:r w:rsidRPr="00991EB9">
        <w:rPr>
          <w:rFonts w:ascii="Book Antiqua" w:eastAsia="宋体" w:hAnsi="Book Antiqua"/>
          <w:sz w:val="24"/>
          <w:szCs w:val="24"/>
          <w:lang w:eastAsia="zh-CN"/>
        </w:rPr>
        <w:t xml:space="preserve">, Kim N, Lee HS, Lee JB, Choi YJ, Yoon H, Shin CM, Park YS, Lee DH. Reversibility of atrophic gastritis and intestinal metaplasia after Helicobacter pylori eradication - a prospective study for up to 10 years. </w:t>
      </w:r>
      <w:r w:rsidRPr="00991EB9">
        <w:rPr>
          <w:rFonts w:ascii="Book Antiqua" w:eastAsia="宋体" w:hAnsi="Book Antiqua"/>
          <w:i/>
          <w:sz w:val="24"/>
          <w:szCs w:val="24"/>
          <w:lang w:eastAsia="zh-CN"/>
        </w:rPr>
        <w:t>Aliment Pharmacol Ther</w:t>
      </w:r>
      <w:r w:rsidRPr="00991EB9">
        <w:rPr>
          <w:rFonts w:ascii="Book Antiqua" w:eastAsia="宋体" w:hAnsi="Book Antiqua"/>
          <w:sz w:val="24"/>
          <w:szCs w:val="24"/>
          <w:lang w:eastAsia="zh-CN"/>
        </w:rPr>
        <w:t xml:space="preserve"> 2018; </w:t>
      </w:r>
      <w:r w:rsidRPr="00991EB9">
        <w:rPr>
          <w:rFonts w:ascii="Book Antiqua" w:eastAsia="宋体" w:hAnsi="Book Antiqua"/>
          <w:b/>
          <w:sz w:val="24"/>
          <w:szCs w:val="24"/>
          <w:lang w:eastAsia="zh-CN"/>
        </w:rPr>
        <w:t>47</w:t>
      </w:r>
      <w:r w:rsidRPr="00991EB9">
        <w:rPr>
          <w:rFonts w:ascii="Book Antiqua" w:eastAsia="宋体" w:hAnsi="Book Antiqua"/>
          <w:sz w:val="24"/>
          <w:szCs w:val="24"/>
          <w:lang w:eastAsia="zh-CN"/>
        </w:rPr>
        <w:t>: 380-390 [PMID: 29193217 DOI: 10.1111/apt.14424]</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5 </w:t>
      </w:r>
      <w:r w:rsidRPr="00991EB9">
        <w:rPr>
          <w:rFonts w:ascii="Book Antiqua" w:eastAsia="宋体" w:hAnsi="Book Antiqua"/>
          <w:b/>
          <w:sz w:val="24"/>
          <w:szCs w:val="24"/>
          <w:lang w:eastAsia="zh-CN"/>
        </w:rPr>
        <w:t>Wong BC</w:t>
      </w:r>
      <w:r w:rsidRPr="00991EB9">
        <w:rPr>
          <w:rFonts w:ascii="Book Antiqua" w:eastAsia="宋体" w:hAnsi="Book Antiqua"/>
          <w:sz w:val="24"/>
          <w:szCs w:val="24"/>
          <w:lang w:eastAsia="zh-CN"/>
        </w:rPr>
        <w:t xml:space="preserve">, Lam SK, Wong WM, Chen JS, Zheng TT, Feng RE, Lai KC, Hu WH, Yuen ST, Leung SY, Fong DY, Ho J, Ching CK, Chen JS; China Gastric Cancer Study Group. Helicobacter pylori eradication to prevent gastric cancer in a high-risk region of China: a randomized controlled trial. </w:t>
      </w:r>
      <w:r w:rsidRPr="00991EB9">
        <w:rPr>
          <w:rFonts w:ascii="Book Antiqua" w:eastAsia="宋体" w:hAnsi="Book Antiqua"/>
          <w:i/>
          <w:sz w:val="24"/>
          <w:szCs w:val="24"/>
          <w:lang w:eastAsia="zh-CN"/>
        </w:rPr>
        <w:t>JAMA</w:t>
      </w:r>
      <w:r w:rsidRPr="00991EB9">
        <w:rPr>
          <w:rFonts w:ascii="Book Antiqua" w:eastAsia="宋体" w:hAnsi="Book Antiqua"/>
          <w:sz w:val="24"/>
          <w:szCs w:val="24"/>
          <w:lang w:eastAsia="zh-CN"/>
        </w:rPr>
        <w:t xml:space="preserve"> 2004; </w:t>
      </w:r>
      <w:r w:rsidRPr="00991EB9">
        <w:rPr>
          <w:rFonts w:ascii="Book Antiqua" w:eastAsia="宋体" w:hAnsi="Book Antiqua"/>
          <w:b/>
          <w:sz w:val="24"/>
          <w:szCs w:val="24"/>
          <w:lang w:eastAsia="zh-CN"/>
        </w:rPr>
        <w:t>291</w:t>
      </w:r>
      <w:r w:rsidRPr="00991EB9">
        <w:rPr>
          <w:rFonts w:ascii="Book Antiqua" w:eastAsia="宋体" w:hAnsi="Book Antiqua"/>
          <w:sz w:val="24"/>
          <w:szCs w:val="24"/>
          <w:lang w:eastAsia="zh-CN"/>
        </w:rPr>
        <w:t>: 187-194 [PMID: 14722144 DOI: 10.1001/jama.291.2.187]</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6 </w:t>
      </w:r>
      <w:r w:rsidRPr="00991EB9">
        <w:rPr>
          <w:rFonts w:ascii="Book Antiqua" w:eastAsia="宋体" w:hAnsi="Book Antiqua"/>
          <w:b/>
          <w:sz w:val="24"/>
          <w:szCs w:val="24"/>
          <w:lang w:eastAsia="zh-CN"/>
        </w:rPr>
        <w:t>Song J</w:t>
      </w:r>
      <w:r w:rsidRPr="00991EB9">
        <w:rPr>
          <w:rFonts w:ascii="Book Antiqua" w:eastAsia="宋体" w:hAnsi="Book Antiqua"/>
          <w:sz w:val="24"/>
          <w:szCs w:val="24"/>
          <w:lang w:eastAsia="zh-CN"/>
        </w:rPr>
        <w:t xml:space="preserve">, Zhang J, Wang J, Guo X, Wang J, Liu Y, Dong W. Meta-analysis: narrow band imaging for diagnosis of gastric intestinal metaplasia. </w:t>
      </w:r>
      <w:r w:rsidRPr="00991EB9">
        <w:rPr>
          <w:rFonts w:ascii="Book Antiqua" w:eastAsia="宋体" w:hAnsi="Book Antiqua"/>
          <w:i/>
          <w:sz w:val="24"/>
          <w:szCs w:val="24"/>
          <w:lang w:eastAsia="zh-CN"/>
        </w:rPr>
        <w:t>PLoS One</w:t>
      </w:r>
      <w:r w:rsidRPr="00991EB9">
        <w:rPr>
          <w:rFonts w:ascii="Book Antiqua" w:eastAsia="宋体" w:hAnsi="Book Antiqua"/>
          <w:sz w:val="24"/>
          <w:szCs w:val="24"/>
          <w:lang w:eastAsia="zh-CN"/>
        </w:rPr>
        <w:t xml:space="preserve"> 2014; </w:t>
      </w:r>
      <w:r w:rsidRPr="00991EB9">
        <w:rPr>
          <w:rFonts w:ascii="Book Antiqua" w:eastAsia="宋体" w:hAnsi="Book Antiqua"/>
          <w:b/>
          <w:sz w:val="24"/>
          <w:szCs w:val="24"/>
          <w:lang w:eastAsia="zh-CN"/>
        </w:rPr>
        <w:t>9</w:t>
      </w:r>
      <w:r w:rsidRPr="00991EB9">
        <w:rPr>
          <w:rFonts w:ascii="Book Antiqua" w:eastAsia="宋体" w:hAnsi="Book Antiqua"/>
          <w:sz w:val="24"/>
          <w:szCs w:val="24"/>
          <w:lang w:eastAsia="zh-CN"/>
        </w:rPr>
        <w:t>: e94869 [PMID: 24743566 DOI: 10.1371/journal.pone.0094869]</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7 </w:t>
      </w:r>
      <w:r w:rsidRPr="00991EB9">
        <w:rPr>
          <w:rFonts w:ascii="Book Antiqua" w:eastAsia="宋体" w:hAnsi="Book Antiqua"/>
          <w:b/>
          <w:sz w:val="24"/>
          <w:szCs w:val="24"/>
          <w:lang w:eastAsia="zh-CN"/>
        </w:rPr>
        <w:t>Hu YY</w:t>
      </w:r>
      <w:r w:rsidRPr="00991EB9">
        <w:rPr>
          <w:rFonts w:ascii="Book Antiqua" w:eastAsia="宋体" w:hAnsi="Book Antiqua"/>
          <w:sz w:val="24"/>
          <w:szCs w:val="24"/>
          <w:lang w:eastAsia="zh-CN"/>
        </w:rPr>
        <w:t xml:space="preserve">, Lian QW, Lin ZH, Zhong J, Xue M, Wang LJ. Diagnostic performance of magnifying narrow-band imaging for early gastric cancer: A meta-analysis. </w:t>
      </w:r>
      <w:r w:rsidRPr="00991EB9">
        <w:rPr>
          <w:rFonts w:ascii="Book Antiqua" w:eastAsia="宋体" w:hAnsi="Book Antiqua"/>
          <w:i/>
          <w:sz w:val="24"/>
          <w:szCs w:val="24"/>
          <w:lang w:eastAsia="zh-CN"/>
        </w:rPr>
        <w:t>World J Gastroenterol</w:t>
      </w:r>
      <w:r w:rsidRPr="00991EB9">
        <w:rPr>
          <w:rFonts w:ascii="Book Antiqua" w:eastAsia="宋体" w:hAnsi="Book Antiqua"/>
          <w:sz w:val="24"/>
          <w:szCs w:val="24"/>
          <w:lang w:eastAsia="zh-CN"/>
        </w:rPr>
        <w:t xml:space="preserve"> 2015; </w:t>
      </w:r>
      <w:r w:rsidRPr="00991EB9">
        <w:rPr>
          <w:rFonts w:ascii="Book Antiqua" w:eastAsia="宋体" w:hAnsi="Book Antiqua"/>
          <w:b/>
          <w:sz w:val="24"/>
          <w:szCs w:val="24"/>
          <w:lang w:eastAsia="zh-CN"/>
        </w:rPr>
        <w:t>21</w:t>
      </w:r>
      <w:r w:rsidRPr="00991EB9">
        <w:rPr>
          <w:rFonts w:ascii="Book Antiqua" w:eastAsia="宋体" w:hAnsi="Book Antiqua"/>
          <w:sz w:val="24"/>
          <w:szCs w:val="24"/>
          <w:lang w:eastAsia="zh-CN"/>
        </w:rPr>
        <w:t>: 7884-7894 [PMID: 26167089 DOI: 10.3748/wjg.v21.i25.7884]</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8 </w:t>
      </w:r>
      <w:r w:rsidRPr="00991EB9">
        <w:rPr>
          <w:rFonts w:ascii="Book Antiqua" w:eastAsia="宋体" w:hAnsi="Book Antiqua"/>
          <w:b/>
          <w:sz w:val="24"/>
          <w:szCs w:val="24"/>
          <w:lang w:eastAsia="zh-CN"/>
        </w:rPr>
        <w:t>Yao K</w:t>
      </w:r>
      <w:r w:rsidRPr="00991EB9">
        <w:rPr>
          <w:rFonts w:ascii="Book Antiqua" w:eastAsia="宋体" w:hAnsi="Book Antiqua"/>
          <w:sz w:val="24"/>
          <w:szCs w:val="24"/>
          <w:lang w:eastAsia="zh-CN"/>
        </w:rPr>
        <w:t xml:space="preserve">, Nagahama T, Matsui T, Iwashita A. Detection and characterization of early gastric cancer for curative endoscopic submucosal dissection. </w:t>
      </w:r>
      <w:r w:rsidRPr="00991EB9">
        <w:rPr>
          <w:rFonts w:ascii="Book Antiqua" w:eastAsia="宋体" w:hAnsi="Book Antiqua"/>
          <w:i/>
          <w:sz w:val="24"/>
          <w:szCs w:val="24"/>
          <w:lang w:eastAsia="zh-CN"/>
        </w:rPr>
        <w:t>Dig Endosc</w:t>
      </w:r>
      <w:r w:rsidRPr="00991EB9">
        <w:rPr>
          <w:rFonts w:ascii="Book Antiqua" w:eastAsia="宋体" w:hAnsi="Book Antiqua"/>
          <w:sz w:val="24"/>
          <w:szCs w:val="24"/>
          <w:lang w:eastAsia="zh-CN"/>
        </w:rPr>
        <w:t xml:space="preserve"> 2013; </w:t>
      </w:r>
      <w:r w:rsidRPr="00991EB9">
        <w:rPr>
          <w:rFonts w:ascii="Book Antiqua" w:eastAsia="宋体" w:hAnsi="Book Antiqua"/>
          <w:b/>
          <w:sz w:val="24"/>
          <w:szCs w:val="24"/>
          <w:lang w:eastAsia="zh-CN"/>
        </w:rPr>
        <w:t>25 Suppl 1</w:t>
      </w:r>
      <w:r w:rsidRPr="00991EB9">
        <w:rPr>
          <w:rFonts w:ascii="Book Antiqua" w:eastAsia="宋体" w:hAnsi="Book Antiqua"/>
          <w:sz w:val="24"/>
          <w:szCs w:val="24"/>
          <w:lang w:eastAsia="zh-CN"/>
        </w:rPr>
        <w:t>: 44-54 [PMID: 23362939 DOI: 10.1111/den.12004]</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9 </w:t>
      </w:r>
      <w:r w:rsidRPr="00991EB9">
        <w:rPr>
          <w:rFonts w:ascii="Book Antiqua" w:eastAsia="宋体" w:hAnsi="Book Antiqua"/>
          <w:b/>
          <w:sz w:val="24"/>
          <w:szCs w:val="24"/>
          <w:lang w:eastAsia="zh-CN"/>
        </w:rPr>
        <w:t>Gono K</w:t>
      </w:r>
      <w:r w:rsidRPr="00991EB9">
        <w:rPr>
          <w:rFonts w:ascii="Book Antiqua" w:eastAsia="宋体" w:hAnsi="Book Antiqua"/>
          <w:sz w:val="24"/>
          <w:szCs w:val="24"/>
          <w:lang w:eastAsia="zh-CN"/>
        </w:rPr>
        <w:t xml:space="preserve">. Narrow Band Imaging: Technology Basis and Research and Development History. </w:t>
      </w:r>
      <w:r w:rsidRPr="00991EB9">
        <w:rPr>
          <w:rFonts w:ascii="Book Antiqua" w:eastAsia="宋体" w:hAnsi="Book Antiqua"/>
          <w:i/>
          <w:sz w:val="24"/>
          <w:szCs w:val="24"/>
          <w:lang w:eastAsia="zh-CN"/>
        </w:rPr>
        <w:t>Clin Endosc</w:t>
      </w:r>
      <w:r w:rsidRPr="00991EB9">
        <w:rPr>
          <w:rFonts w:ascii="Book Antiqua" w:eastAsia="宋体" w:hAnsi="Book Antiqua"/>
          <w:sz w:val="24"/>
          <w:szCs w:val="24"/>
          <w:lang w:eastAsia="zh-CN"/>
        </w:rPr>
        <w:t xml:space="preserve"> 2015; </w:t>
      </w:r>
      <w:r w:rsidRPr="00991EB9">
        <w:rPr>
          <w:rFonts w:ascii="Book Antiqua" w:eastAsia="宋体" w:hAnsi="Book Antiqua"/>
          <w:b/>
          <w:sz w:val="24"/>
          <w:szCs w:val="24"/>
          <w:lang w:eastAsia="zh-CN"/>
        </w:rPr>
        <w:t>48</w:t>
      </w:r>
      <w:r w:rsidRPr="00991EB9">
        <w:rPr>
          <w:rFonts w:ascii="Book Antiqua" w:eastAsia="宋体" w:hAnsi="Book Antiqua"/>
          <w:sz w:val="24"/>
          <w:szCs w:val="24"/>
          <w:lang w:eastAsia="zh-CN"/>
        </w:rPr>
        <w:t>: 476-480 [PMID: 26668792 DOI: 10.5946/ce.2015.48.6.476]</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10 </w:t>
      </w:r>
      <w:r w:rsidRPr="00991EB9">
        <w:rPr>
          <w:rFonts w:ascii="Book Antiqua" w:eastAsia="宋体" w:hAnsi="Book Antiqua"/>
          <w:b/>
          <w:sz w:val="24"/>
          <w:szCs w:val="24"/>
          <w:lang w:eastAsia="zh-CN"/>
        </w:rPr>
        <w:t>Yao K</w:t>
      </w:r>
      <w:r w:rsidRPr="00991EB9">
        <w:rPr>
          <w:rFonts w:ascii="Book Antiqua" w:eastAsia="宋体" w:hAnsi="Book Antiqua"/>
          <w:sz w:val="24"/>
          <w:szCs w:val="24"/>
          <w:lang w:eastAsia="zh-CN"/>
        </w:rPr>
        <w:t xml:space="preserve">, Takaki Y, Matsui T, Iwashita A, Anagnostopoulos GK, Kaye P, Ragunath K. Clinical application of magnification endoscopy and narrow-band imaging in the upper gastrointestinal tract: new imaging techniques for detecting and characterizing gastrointestinal neoplasia. </w:t>
      </w:r>
      <w:r w:rsidRPr="00991EB9">
        <w:rPr>
          <w:rFonts w:ascii="Book Antiqua" w:eastAsia="宋体" w:hAnsi="Book Antiqua"/>
          <w:i/>
          <w:sz w:val="24"/>
          <w:szCs w:val="24"/>
          <w:lang w:eastAsia="zh-CN"/>
        </w:rPr>
        <w:t>Gastrointest Endosc Clin N Am</w:t>
      </w:r>
      <w:r w:rsidRPr="00991EB9">
        <w:rPr>
          <w:rFonts w:ascii="Book Antiqua" w:eastAsia="宋体" w:hAnsi="Book Antiqua"/>
          <w:sz w:val="24"/>
          <w:szCs w:val="24"/>
          <w:lang w:eastAsia="zh-CN"/>
        </w:rPr>
        <w:t xml:space="preserve"> 2008; </w:t>
      </w:r>
      <w:r w:rsidRPr="00991EB9">
        <w:rPr>
          <w:rFonts w:ascii="Book Antiqua" w:eastAsia="宋体" w:hAnsi="Book Antiqua"/>
          <w:b/>
          <w:sz w:val="24"/>
          <w:szCs w:val="24"/>
          <w:lang w:eastAsia="zh-CN"/>
        </w:rPr>
        <w:t>18</w:t>
      </w:r>
      <w:r w:rsidRPr="00991EB9">
        <w:rPr>
          <w:rFonts w:ascii="Book Antiqua" w:eastAsia="宋体" w:hAnsi="Book Antiqua"/>
          <w:sz w:val="24"/>
          <w:szCs w:val="24"/>
          <w:lang w:eastAsia="zh-CN"/>
        </w:rPr>
        <w:t>: 415-433, vii-viii [PMID: 18674694 DOI: 10.1016/j.giec.2008.05.011]</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11 </w:t>
      </w:r>
      <w:r w:rsidRPr="00991EB9">
        <w:rPr>
          <w:rFonts w:ascii="Book Antiqua" w:eastAsia="宋体" w:hAnsi="Book Antiqua"/>
          <w:b/>
          <w:sz w:val="24"/>
          <w:szCs w:val="24"/>
          <w:lang w:eastAsia="zh-CN"/>
        </w:rPr>
        <w:t>Yao K</w:t>
      </w:r>
      <w:r w:rsidRPr="00991EB9">
        <w:rPr>
          <w:rFonts w:ascii="Book Antiqua" w:eastAsia="宋体" w:hAnsi="Book Antiqua"/>
          <w:sz w:val="24"/>
          <w:szCs w:val="24"/>
          <w:lang w:eastAsia="zh-CN"/>
        </w:rPr>
        <w:t xml:space="preserve">. Clinical Application of Magnifying Endoscopy with Narrow-Band Imaging in the Stomach. </w:t>
      </w:r>
      <w:r w:rsidRPr="00991EB9">
        <w:rPr>
          <w:rFonts w:ascii="Book Antiqua" w:eastAsia="宋体" w:hAnsi="Book Antiqua"/>
          <w:i/>
          <w:sz w:val="24"/>
          <w:szCs w:val="24"/>
          <w:lang w:eastAsia="zh-CN"/>
        </w:rPr>
        <w:t>Clin Endosc</w:t>
      </w:r>
      <w:r w:rsidRPr="00991EB9">
        <w:rPr>
          <w:rFonts w:ascii="Book Antiqua" w:eastAsia="宋体" w:hAnsi="Book Antiqua"/>
          <w:sz w:val="24"/>
          <w:szCs w:val="24"/>
          <w:lang w:eastAsia="zh-CN"/>
        </w:rPr>
        <w:t xml:space="preserve"> 2015; </w:t>
      </w:r>
      <w:r w:rsidRPr="00991EB9">
        <w:rPr>
          <w:rFonts w:ascii="Book Antiqua" w:eastAsia="宋体" w:hAnsi="Book Antiqua"/>
          <w:b/>
          <w:sz w:val="24"/>
          <w:szCs w:val="24"/>
          <w:lang w:eastAsia="zh-CN"/>
        </w:rPr>
        <w:t>48</w:t>
      </w:r>
      <w:r w:rsidRPr="00991EB9">
        <w:rPr>
          <w:rFonts w:ascii="Book Antiqua" w:eastAsia="宋体" w:hAnsi="Book Antiqua"/>
          <w:sz w:val="24"/>
          <w:szCs w:val="24"/>
          <w:lang w:eastAsia="zh-CN"/>
        </w:rPr>
        <w:t>: 481-490 [PMID: 26668793 DOI: 10.5946/ce.2015.48.6.481]</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12 </w:t>
      </w:r>
      <w:r w:rsidRPr="00991EB9">
        <w:rPr>
          <w:rFonts w:ascii="Book Antiqua" w:eastAsia="宋体" w:hAnsi="Book Antiqua"/>
          <w:b/>
          <w:sz w:val="24"/>
          <w:szCs w:val="24"/>
          <w:lang w:eastAsia="zh-CN"/>
        </w:rPr>
        <w:t>Cohen H</w:t>
      </w:r>
      <w:r w:rsidRPr="00991EB9">
        <w:rPr>
          <w:rFonts w:ascii="Book Antiqua" w:eastAsia="宋体" w:hAnsi="Book Antiqua"/>
          <w:sz w:val="24"/>
          <w:szCs w:val="24"/>
          <w:lang w:eastAsia="zh-CN"/>
        </w:rPr>
        <w:t xml:space="preserve">, Laine L. Endoscopic methods for the diagnosis of Helicobacter pylori. </w:t>
      </w:r>
      <w:r w:rsidRPr="00991EB9">
        <w:rPr>
          <w:rFonts w:ascii="Book Antiqua" w:eastAsia="宋体" w:hAnsi="Book Antiqua"/>
          <w:i/>
          <w:sz w:val="24"/>
          <w:szCs w:val="24"/>
          <w:lang w:eastAsia="zh-CN"/>
        </w:rPr>
        <w:t>Aliment Pharmacol Ther</w:t>
      </w:r>
      <w:r w:rsidRPr="00991EB9">
        <w:rPr>
          <w:rFonts w:ascii="Book Antiqua" w:eastAsia="宋体" w:hAnsi="Book Antiqua"/>
          <w:sz w:val="24"/>
          <w:szCs w:val="24"/>
          <w:lang w:eastAsia="zh-CN"/>
        </w:rPr>
        <w:t xml:space="preserve"> 1997; </w:t>
      </w:r>
      <w:r w:rsidRPr="00991EB9">
        <w:rPr>
          <w:rFonts w:ascii="Book Antiqua" w:eastAsia="宋体" w:hAnsi="Book Antiqua"/>
          <w:b/>
          <w:sz w:val="24"/>
          <w:szCs w:val="24"/>
          <w:lang w:eastAsia="zh-CN"/>
        </w:rPr>
        <w:t>11 Suppl 1</w:t>
      </w:r>
      <w:r w:rsidRPr="00991EB9">
        <w:rPr>
          <w:rFonts w:ascii="Book Antiqua" w:eastAsia="宋体" w:hAnsi="Book Antiqua"/>
          <w:sz w:val="24"/>
          <w:szCs w:val="24"/>
          <w:lang w:eastAsia="zh-CN"/>
        </w:rPr>
        <w:t>: 3-9 [PMID: 9146785 DOI: 10.1046/j.1365-2036.11.s1.2.x]</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13 </w:t>
      </w:r>
      <w:r w:rsidRPr="00991EB9">
        <w:rPr>
          <w:rFonts w:ascii="Book Antiqua" w:eastAsia="宋体" w:hAnsi="Book Antiqua"/>
          <w:b/>
          <w:sz w:val="24"/>
          <w:szCs w:val="24"/>
          <w:lang w:eastAsia="zh-CN"/>
        </w:rPr>
        <w:t>Yagi K</w:t>
      </w:r>
      <w:r w:rsidRPr="00991EB9">
        <w:rPr>
          <w:rFonts w:ascii="Book Antiqua" w:eastAsia="宋体" w:hAnsi="Book Antiqua"/>
          <w:sz w:val="24"/>
          <w:szCs w:val="24"/>
          <w:lang w:eastAsia="zh-CN"/>
        </w:rPr>
        <w:t xml:space="preserve">, Honda H, Yang JM, Nakagawa S. Magnifying endoscopy in gastritis of the corpus. </w:t>
      </w:r>
      <w:r w:rsidRPr="00991EB9">
        <w:rPr>
          <w:rFonts w:ascii="Book Antiqua" w:eastAsia="宋体" w:hAnsi="Book Antiqua"/>
          <w:i/>
          <w:sz w:val="24"/>
          <w:szCs w:val="24"/>
          <w:lang w:eastAsia="zh-CN"/>
        </w:rPr>
        <w:t>Endoscopy</w:t>
      </w:r>
      <w:r w:rsidRPr="00991EB9">
        <w:rPr>
          <w:rFonts w:ascii="Book Antiqua" w:eastAsia="宋体" w:hAnsi="Book Antiqua"/>
          <w:sz w:val="24"/>
          <w:szCs w:val="24"/>
          <w:lang w:eastAsia="zh-CN"/>
        </w:rPr>
        <w:t xml:space="preserve"> 2005; </w:t>
      </w:r>
      <w:r w:rsidRPr="00991EB9">
        <w:rPr>
          <w:rFonts w:ascii="Book Antiqua" w:eastAsia="宋体" w:hAnsi="Book Antiqua"/>
          <w:b/>
          <w:sz w:val="24"/>
          <w:szCs w:val="24"/>
          <w:lang w:eastAsia="zh-CN"/>
        </w:rPr>
        <w:t>37</w:t>
      </w:r>
      <w:r w:rsidRPr="00991EB9">
        <w:rPr>
          <w:rFonts w:ascii="Book Antiqua" w:eastAsia="宋体" w:hAnsi="Book Antiqua"/>
          <w:sz w:val="24"/>
          <w:szCs w:val="24"/>
          <w:lang w:eastAsia="zh-CN"/>
        </w:rPr>
        <w:t>: 660-666 [PMID: 16010611 DOI: 10.1055/s-2005-861423]</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14 </w:t>
      </w:r>
      <w:r w:rsidRPr="00991EB9">
        <w:rPr>
          <w:rFonts w:ascii="Book Antiqua" w:eastAsia="宋体" w:hAnsi="Book Antiqua"/>
          <w:b/>
          <w:sz w:val="24"/>
          <w:szCs w:val="24"/>
          <w:lang w:eastAsia="zh-CN"/>
        </w:rPr>
        <w:t>Anagnostopoulos GK</w:t>
      </w:r>
      <w:r w:rsidRPr="00991EB9">
        <w:rPr>
          <w:rFonts w:ascii="Book Antiqua" w:eastAsia="宋体" w:hAnsi="Book Antiqua"/>
          <w:sz w:val="24"/>
          <w:szCs w:val="24"/>
          <w:lang w:eastAsia="zh-CN"/>
        </w:rPr>
        <w:t xml:space="preserve">, Yao K, Kaye P, Fogden E, Fortun P, Shonde A, Foley S, Sunil S, Atherton JJ, Hawkey C, Ragunath K. High-resolution magnification endoscopy can reliably identify normal gastric mucosa, Helicobacter pylori-associated gastritis, and gastric atrophy. </w:t>
      </w:r>
      <w:r w:rsidRPr="00991EB9">
        <w:rPr>
          <w:rFonts w:ascii="Book Antiqua" w:eastAsia="宋体" w:hAnsi="Book Antiqua"/>
          <w:i/>
          <w:sz w:val="24"/>
          <w:szCs w:val="24"/>
          <w:lang w:eastAsia="zh-CN"/>
        </w:rPr>
        <w:t>Endoscopy</w:t>
      </w:r>
      <w:r w:rsidRPr="00991EB9">
        <w:rPr>
          <w:rFonts w:ascii="Book Antiqua" w:eastAsia="宋体" w:hAnsi="Book Antiqua"/>
          <w:sz w:val="24"/>
          <w:szCs w:val="24"/>
          <w:lang w:eastAsia="zh-CN"/>
        </w:rPr>
        <w:t xml:space="preserve"> 2007; </w:t>
      </w:r>
      <w:r w:rsidRPr="00991EB9">
        <w:rPr>
          <w:rFonts w:ascii="Book Antiqua" w:eastAsia="宋体" w:hAnsi="Book Antiqua"/>
          <w:b/>
          <w:sz w:val="24"/>
          <w:szCs w:val="24"/>
          <w:lang w:eastAsia="zh-CN"/>
        </w:rPr>
        <w:t>39</w:t>
      </w:r>
      <w:r w:rsidRPr="00991EB9">
        <w:rPr>
          <w:rFonts w:ascii="Book Antiqua" w:eastAsia="宋体" w:hAnsi="Book Antiqua"/>
          <w:sz w:val="24"/>
          <w:szCs w:val="24"/>
          <w:lang w:eastAsia="zh-CN"/>
        </w:rPr>
        <w:t>: 202-207 [PMID: 17273960 DOI: 10.1055/s-2006-945056]</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15 </w:t>
      </w:r>
      <w:r w:rsidRPr="00991EB9">
        <w:rPr>
          <w:rFonts w:ascii="Book Antiqua" w:eastAsia="宋体" w:hAnsi="Book Antiqua"/>
          <w:b/>
          <w:sz w:val="24"/>
          <w:szCs w:val="24"/>
          <w:lang w:eastAsia="zh-CN"/>
        </w:rPr>
        <w:t>Tahara T</w:t>
      </w:r>
      <w:r w:rsidRPr="00991EB9">
        <w:rPr>
          <w:rFonts w:ascii="Book Antiqua" w:eastAsia="宋体" w:hAnsi="Book Antiqua"/>
          <w:sz w:val="24"/>
          <w:szCs w:val="24"/>
          <w:lang w:eastAsia="zh-CN"/>
        </w:rPr>
        <w:t xml:space="preserve">, Shibata T, Nakamura M, Yoshioka D, Okubo M, Arisawa T, Hirata I. Gastric mucosal pattern by using magnifying narrow-band imaging endoscopy clearly distinguishes histological and serological severity of chronic gastritis. </w:t>
      </w:r>
      <w:r w:rsidRPr="00991EB9">
        <w:rPr>
          <w:rFonts w:ascii="Book Antiqua" w:eastAsia="宋体" w:hAnsi="Book Antiqua"/>
          <w:i/>
          <w:sz w:val="24"/>
          <w:szCs w:val="24"/>
          <w:lang w:eastAsia="zh-CN"/>
        </w:rPr>
        <w:t>Gastrointest Endosc</w:t>
      </w:r>
      <w:r w:rsidRPr="00991EB9">
        <w:rPr>
          <w:rFonts w:ascii="Book Antiqua" w:eastAsia="宋体" w:hAnsi="Book Antiqua"/>
          <w:sz w:val="24"/>
          <w:szCs w:val="24"/>
          <w:lang w:eastAsia="zh-CN"/>
        </w:rPr>
        <w:t xml:space="preserve"> 2009; </w:t>
      </w:r>
      <w:r w:rsidRPr="00991EB9">
        <w:rPr>
          <w:rFonts w:ascii="Book Antiqua" w:eastAsia="宋体" w:hAnsi="Book Antiqua"/>
          <w:b/>
          <w:sz w:val="24"/>
          <w:szCs w:val="24"/>
          <w:lang w:eastAsia="zh-CN"/>
        </w:rPr>
        <w:t>70</w:t>
      </w:r>
      <w:r w:rsidRPr="00991EB9">
        <w:rPr>
          <w:rFonts w:ascii="Book Antiqua" w:eastAsia="宋体" w:hAnsi="Book Antiqua"/>
          <w:sz w:val="24"/>
          <w:szCs w:val="24"/>
          <w:lang w:eastAsia="zh-CN"/>
        </w:rPr>
        <w:t>: 246-253 [PMID: 19386303 DOI: 10.1016/j.gie.2008.11.046]</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16 </w:t>
      </w:r>
      <w:r w:rsidRPr="00991EB9">
        <w:rPr>
          <w:rFonts w:ascii="Book Antiqua" w:eastAsia="宋体" w:hAnsi="Book Antiqua"/>
          <w:b/>
          <w:sz w:val="24"/>
          <w:szCs w:val="24"/>
          <w:lang w:eastAsia="zh-CN"/>
        </w:rPr>
        <w:t>Glover B</w:t>
      </w:r>
      <w:r w:rsidRPr="00991EB9">
        <w:rPr>
          <w:rFonts w:ascii="Book Antiqua" w:eastAsia="宋体" w:hAnsi="Book Antiqua"/>
          <w:sz w:val="24"/>
          <w:szCs w:val="24"/>
          <w:lang w:eastAsia="zh-CN"/>
        </w:rPr>
        <w:t xml:space="preserve">, Teare J, Patel N. A systematic review of the role of non-magnified endoscopy for the assessment of </w:t>
      </w:r>
      <w:r w:rsidRPr="00991EB9">
        <w:rPr>
          <w:rFonts w:ascii="Book Antiqua" w:eastAsia="宋体" w:hAnsi="Book Antiqua"/>
          <w:i/>
          <w:sz w:val="24"/>
          <w:szCs w:val="24"/>
          <w:lang w:eastAsia="zh-CN"/>
        </w:rPr>
        <w:t>H. pylori</w:t>
      </w:r>
      <w:r w:rsidRPr="00991EB9">
        <w:rPr>
          <w:rFonts w:ascii="Book Antiqua" w:eastAsia="宋体" w:hAnsi="Book Antiqua"/>
          <w:sz w:val="24"/>
          <w:szCs w:val="24"/>
          <w:lang w:eastAsia="zh-CN"/>
        </w:rPr>
        <w:t xml:space="preserve"> infection. </w:t>
      </w:r>
      <w:r w:rsidRPr="00991EB9">
        <w:rPr>
          <w:rFonts w:ascii="Book Antiqua" w:eastAsia="宋体" w:hAnsi="Book Antiqua"/>
          <w:i/>
          <w:sz w:val="24"/>
          <w:szCs w:val="24"/>
          <w:lang w:eastAsia="zh-CN"/>
        </w:rPr>
        <w:t>Endosc Int Open</w:t>
      </w:r>
      <w:r w:rsidRPr="00991EB9">
        <w:rPr>
          <w:rFonts w:ascii="Book Antiqua" w:eastAsia="宋体" w:hAnsi="Book Antiqua"/>
          <w:sz w:val="24"/>
          <w:szCs w:val="24"/>
          <w:lang w:eastAsia="zh-CN"/>
        </w:rPr>
        <w:t xml:space="preserve"> 2020; </w:t>
      </w:r>
      <w:r w:rsidRPr="00991EB9">
        <w:rPr>
          <w:rFonts w:ascii="Book Antiqua" w:eastAsia="宋体" w:hAnsi="Book Antiqua"/>
          <w:b/>
          <w:sz w:val="24"/>
          <w:szCs w:val="24"/>
          <w:lang w:eastAsia="zh-CN"/>
        </w:rPr>
        <w:t>8</w:t>
      </w:r>
      <w:r w:rsidRPr="00991EB9">
        <w:rPr>
          <w:rFonts w:ascii="Book Antiqua" w:eastAsia="宋体" w:hAnsi="Book Antiqua"/>
          <w:sz w:val="24"/>
          <w:szCs w:val="24"/>
          <w:lang w:eastAsia="zh-CN"/>
        </w:rPr>
        <w:t>: E105-E114 [PMID: 32010741 DOI: 10.1055/a-0999-5252]</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17 </w:t>
      </w:r>
      <w:r w:rsidRPr="00991EB9">
        <w:rPr>
          <w:rFonts w:ascii="Book Antiqua" w:eastAsia="宋体" w:hAnsi="Book Antiqua"/>
          <w:b/>
          <w:sz w:val="24"/>
          <w:szCs w:val="24"/>
          <w:lang w:eastAsia="zh-CN"/>
        </w:rPr>
        <w:t>Cho JH</w:t>
      </w:r>
      <w:r w:rsidRPr="00991EB9">
        <w:rPr>
          <w:rFonts w:ascii="Book Antiqua" w:eastAsia="宋体" w:hAnsi="Book Antiqua"/>
          <w:sz w:val="24"/>
          <w:szCs w:val="24"/>
          <w:lang w:eastAsia="zh-CN"/>
        </w:rPr>
        <w:t xml:space="preserve">. Advanced Imaging Technology Other than Narrow Band Imaging. </w:t>
      </w:r>
      <w:r w:rsidRPr="00991EB9">
        <w:rPr>
          <w:rFonts w:ascii="Book Antiqua" w:eastAsia="宋体" w:hAnsi="Book Antiqua"/>
          <w:i/>
          <w:sz w:val="24"/>
          <w:szCs w:val="24"/>
          <w:lang w:eastAsia="zh-CN"/>
        </w:rPr>
        <w:t>Clin Endosc</w:t>
      </w:r>
      <w:r w:rsidRPr="00991EB9">
        <w:rPr>
          <w:rFonts w:ascii="Book Antiqua" w:eastAsia="宋体" w:hAnsi="Book Antiqua"/>
          <w:sz w:val="24"/>
          <w:szCs w:val="24"/>
          <w:lang w:eastAsia="zh-CN"/>
        </w:rPr>
        <w:t xml:space="preserve"> 2015; </w:t>
      </w:r>
      <w:r w:rsidRPr="00991EB9">
        <w:rPr>
          <w:rFonts w:ascii="Book Antiqua" w:eastAsia="宋体" w:hAnsi="Book Antiqua"/>
          <w:b/>
          <w:sz w:val="24"/>
          <w:szCs w:val="24"/>
          <w:lang w:eastAsia="zh-CN"/>
        </w:rPr>
        <w:t>48</w:t>
      </w:r>
      <w:r w:rsidRPr="00991EB9">
        <w:rPr>
          <w:rFonts w:ascii="Book Antiqua" w:eastAsia="宋体" w:hAnsi="Book Antiqua"/>
          <w:sz w:val="24"/>
          <w:szCs w:val="24"/>
          <w:lang w:eastAsia="zh-CN"/>
        </w:rPr>
        <w:t>: 503-510 [PMID: 26668796 DOI: 10.5946/ce.2015.48.6.503]</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18 </w:t>
      </w:r>
      <w:r w:rsidRPr="00991EB9">
        <w:rPr>
          <w:rFonts w:ascii="Book Antiqua" w:eastAsia="宋体" w:hAnsi="Book Antiqua"/>
          <w:b/>
          <w:sz w:val="24"/>
          <w:szCs w:val="24"/>
          <w:lang w:eastAsia="zh-CN"/>
        </w:rPr>
        <w:t>Kato T</w:t>
      </w:r>
      <w:r w:rsidRPr="00991EB9">
        <w:rPr>
          <w:rFonts w:ascii="Book Antiqua" w:eastAsia="宋体" w:hAnsi="Book Antiqua"/>
          <w:sz w:val="24"/>
          <w:szCs w:val="24"/>
          <w:lang w:eastAsia="zh-CN"/>
        </w:rPr>
        <w:t xml:space="preserve">, Yagi N, Kamada T, Shimbo T, Watanabe H, Ida K; Study Group for Establishing Endoscopic Diagnosis of Chronic Gastritis. Diagnosis of Helicobacter pylori infection in gastric mucosa by endoscopic features: a multicenter prospective study. </w:t>
      </w:r>
      <w:r w:rsidRPr="00991EB9">
        <w:rPr>
          <w:rFonts w:ascii="Book Antiqua" w:eastAsia="宋体" w:hAnsi="Book Antiqua"/>
          <w:i/>
          <w:sz w:val="24"/>
          <w:szCs w:val="24"/>
          <w:lang w:eastAsia="zh-CN"/>
        </w:rPr>
        <w:t>Dig Endosc</w:t>
      </w:r>
      <w:r w:rsidRPr="00991EB9">
        <w:rPr>
          <w:rFonts w:ascii="Book Antiqua" w:eastAsia="宋体" w:hAnsi="Book Antiqua"/>
          <w:sz w:val="24"/>
          <w:szCs w:val="24"/>
          <w:lang w:eastAsia="zh-CN"/>
        </w:rPr>
        <w:t xml:space="preserve"> 2013; </w:t>
      </w:r>
      <w:r w:rsidRPr="00991EB9">
        <w:rPr>
          <w:rFonts w:ascii="Book Antiqua" w:eastAsia="宋体" w:hAnsi="Book Antiqua"/>
          <w:b/>
          <w:sz w:val="24"/>
          <w:szCs w:val="24"/>
          <w:lang w:eastAsia="zh-CN"/>
        </w:rPr>
        <w:t>25</w:t>
      </w:r>
      <w:r w:rsidRPr="00991EB9">
        <w:rPr>
          <w:rFonts w:ascii="Book Antiqua" w:eastAsia="宋体" w:hAnsi="Book Antiqua"/>
          <w:sz w:val="24"/>
          <w:szCs w:val="24"/>
          <w:lang w:eastAsia="zh-CN"/>
        </w:rPr>
        <w:t>: 508-518 [PMID: 23369058 DOI: 10.1111/den.12031]</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19 </w:t>
      </w:r>
      <w:r w:rsidRPr="00991EB9">
        <w:rPr>
          <w:rFonts w:ascii="Book Antiqua" w:eastAsia="宋体" w:hAnsi="Book Antiqua"/>
          <w:b/>
          <w:sz w:val="24"/>
          <w:szCs w:val="24"/>
          <w:lang w:eastAsia="zh-CN"/>
        </w:rPr>
        <w:t>Cho JH</w:t>
      </w:r>
      <w:r w:rsidRPr="00991EB9">
        <w:rPr>
          <w:rFonts w:ascii="Book Antiqua" w:eastAsia="宋体" w:hAnsi="Book Antiqua"/>
          <w:sz w:val="24"/>
          <w:szCs w:val="24"/>
          <w:lang w:eastAsia="zh-CN"/>
        </w:rPr>
        <w:t xml:space="preserve">, Chang YW, Jang JY, Shim JJ, Lee CK, Dong SH, Kim HJ, Kim BH, Lee TH, Cho JY. Close observation of gastric mucosal pattern by standard endoscopy can predict Helicobacter pylori infection status. </w:t>
      </w:r>
      <w:r w:rsidRPr="00991EB9">
        <w:rPr>
          <w:rFonts w:ascii="Book Antiqua" w:eastAsia="宋体" w:hAnsi="Book Antiqua"/>
          <w:i/>
          <w:sz w:val="24"/>
          <w:szCs w:val="24"/>
          <w:lang w:eastAsia="zh-CN"/>
        </w:rPr>
        <w:t>J Gastroenterol Hepatol</w:t>
      </w:r>
      <w:r w:rsidRPr="00991EB9">
        <w:rPr>
          <w:rFonts w:ascii="Book Antiqua" w:eastAsia="宋体" w:hAnsi="Book Antiqua"/>
          <w:sz w:val="24"/>
          <w:szCs w:val="24"/>
          <w:lang w:eastAsia="zh-CN"/>
        </w:rPr>
        <w:t xml:space="preserve"> 2013; </w:t>
      </w:r>
      <w:r w:rsidRPr="00991EB9">
        <w:rPr>
          <w:rFonts w:ascii="Book Antiqua" w:eastAsia="宋体" w:hAnsi="Book Antiqua"/>
          <w:b/>
          <w:sz w:val="24"/>
          <w:szCs w:val="24"/>
          <w:lang w:eastAsia="zh-CN"/>
        </w:rPr>
        <w:t>28</w:t>
      </w:r>
      <w:r w:rsidRPr="00991EB9">
        <w:rPr>
          <w:rFonts w:ascii="Book Antiqua" w:eastAsia="宋体" w:hAnsi="Book Antiqua"/>
          <w:sz w:val="24"/>
          <w:szCs w:val="24"/>
          <w:lang w:eastAsia="zh-CN"/>
        </w:rPr>
        <w:t>: 279-284 [PMID: 23189930 DOI: 10.1111/jgh.12046]</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20 </w:t>
      </w:r>
      <w:r w:rsidRPr="00991EB9">
        <w:rPr>
          <w:rFonts w:ascii="Book Antiqua" w:eastAsia="宋体" w:hAnsi="Book Antiqua"/>
          <w:b/>
          <w:sz w:val="24"/>
          <w:szCs w:val="24"/>
          <w:lang w:eastAsia="zh-CN"/>
        </w:rPr>
        <w:t>Cho JH</w:t>
      </w:r>
      <w:r w:rsidRPr="00991EB9">
        <w:rPr>
          <w:rFonts w:ascii="Book Antiqua" w:eastAsia="宋体" w:hAnsi="Book Antiqua"/>
          <w:sz w:val="24"/>
          <w:szCs w:val="24"/>
          <w:lang w:eastAsia="zh-CN"/>
        </w:rPr>
        <w:t xml:space="preserve">, Jeon SR, Kim HG, Jin SY, Park S. Factors for improving the diagnostic efficiency of the rapid urease test from the gastric corpus. </w:t>
      </w:r>
      <w:r w:rsidRPr="00991EB9">
        <w:rPr>
          <w:rFonts w:ascii="Book Antiqua" w:eastAsia="宋体" w:hAnsi="Book Antiqua"/>
          <w:i/>
          <w:sz w:val="24"/>
          <w:szCs w:val="24"/>
          <w:lang w:eastAsia="zh-CN"/>
        </w:rPr>
        <w:t>Scand J Gastroenterol</w:t>
      </w:r>
      <w:r w:rsidRPr="00991EB9">
        <w:rPr>
          <w:rFonts w:ascii="Book Antiqua" w:eastAsia="宋体" w:hAnsi="Book Antiqua"/>
          <w:sz w:val="24"/>
          <w:szCs w:val="24"/>
          <w:lang w:eastAsia="zh-CN"/>
        </w:rPr>
        <w:t xml:space="preserve"> 2017; </w:t>
      </w:r>
      <w:r w:rsidRPr="00991EB9">
        <w:rPr>
          <w:rFonts w:ascii="Book Antiqua" w:eastAsia="宋体" w:hAnsi="Book Antiqua"/>
          <w:b/>
          <w:sz w:val="24"/>
          <w:szCs w:val="24"/>
          <w:lang w:eastAsia="zh-CN"/>
        </w:rPr>
        <w:t>52</w:t>
      </w:r>
      <w:r w:rsidRPr="00991EB9">
        <w:rPr>
          <w:rFonts w:ascii="Book Antiqua" w:eastAsia="宋体" w:hAnsi="Book Antiqua"/>
          <w:sz w:val="24"/>
          <w:szCs w:val="24"/>
          <w:lang w:eastAsia="zh-CN"/>
        </w:rPr>
        <w:t>: 1320-1325 [PMID: 28927301 DOI: 10.1080/00365521.2017.1378712]</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21 </w:t>
      </w:r>
      <w:r w:rsidRPr="00991EB9">
        <w:rPr>
          <w:rFonts w:ascii="Book Antiqua" w:eastAsia="宋体" w:hAnsi="Book Antiqua"/>
          <w:b/>
          <w:sz w:val="24"/>
          <w:szCs w:val="24"/>
          <w:lang w:eastAsia="zh-CN"/>
        </w:rPr>
        <w:t>Kimura K</w:t>
      </w:r>
      <w:r w:rsidRPr="00991EB9">
        <w:rPr>
          <w:rFonts w:ascii="Book Antiqua" w:eastAsia="宋体" w:hAnsi="Book Antiqua"/>
          <w:sz w:val="24"/>
          <w:szCs w:val="24"/>
          <w:lang w:eastAsia="zh-CN"/>
        </w:rPr>
        <w:t xml:space="preserve">, Satoh K, Ido K, Taniguchi Y, Takimoto T, Takemoto T. Gastritis in the Japanese stomach. </w:t>
      </w:r>
      <w:r w:rsidRPr="00991EB9">
        <w:rPr>
          <w:rFonts w:ascii="Book Antiqua" w:eastAsia="宋体" w:hAnsi="Book Antiqua"/>
          <w:i/>
          <w:sz w:val="24"/>
          <w:szCs w:val="24"/>
          <w:lang w:eastAsia="zh-CN"/>
        </w:rPr>
        <w:t>Scand J Gastroenterol Suppl</w:t>
      </w:r>
      <w:r w:rsidRPr="00991EB9">
        <w:rPr>
          <w:rFonts w:ascii="Book Antiqua" w:eastAsia="宋体" w:hAnsi="Book Antiqua"/>
          <w:sz w:val="24"/>
          <w:szCs w:val="24"/>
          <w:lang w:eastAsia="zh-CN"/>
        </w:rPr>
        <w:t xml:space="preserve"> 1996; </w:t>
      </w:r>
      <w:r w:rsidRPr="00991EB9">
        <w:rPr>
          <w:rFonts w:ascii="Book Antiqua" w:eastAsia="宋体" w:hAnsi="Book Antiqua"/>
          <w:b/>
          <w:sz w:val="24"/>
          <w:szCs w:val="24"/>
          <w:lang w:eastAsia="zh-CN"/>
        </w:rPr>
        <w:t>214</w:t>
      </w:r>
      <w:r w:rsidRPr="00991EB9">
        <w:rPr>
          <w:rFonts w:ascii="Book Antiqua" w:eastAsia="宋体" w:hAnsi="Book Antiqua"/>
          <w:sz w:val="24"/>
          <w:szCs w:val="24"/>
          <w:lang w:eastAsia="zh-CN"/>
        </w:rPr>
        <w:t>: 17-20; discussion 21-3 [PMID: 8722400 DOI: 10.3109/00365529609094509]</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22 </w:t>
      </w:r>
      <w:r w:rsidRPr="00991EB9">
        <w:rPr>
          <w:rFonts w:ascii="Book Antiqua" w:eastAsia="宋体" w:hAnsi="Book Antiqua"/>
          <w:b/>
          <w:sz w:val="24"/>
          <w:szCs w:val="24"/>
          <w:lang w:eastAsia="zh-CN"/>
        </w:rPr>
        <w:t>Liu Y</w:t>
      </w:r>
      <w:r w:rsidRPr="00991EB9">
        <w:rPr>
          <w:rFonts w:ascii="Book Antiqua" w:eastAsia="宋体" w:hAnsi="Book Antiqua"/>
          <w:sz w:val="24"/>
          <w:szCs w:val="24"/>
          <w:lang w:eastAsia="zh-CN"/>
        </w:rPr>
        <w:t xml:space="preserve">, Uemura N, Xiao SD, Tytgat GN, Kate FJ. Agreement between endoscopic and histological gastric atrophy scores. </w:t>
      </w:r>
      <w:r w:rsidRPr="00991EB9">
        <w:rPr>
          <w:rFonts w:ascii="Book Antiqua" w:eastAsia="宋体" w:hAnsi="Book Antiqua"/>
          <w:i/>
          <w:sz w:val="24"/>
          <w:szCs w:val="24"/>
          <w:lang w:eastAsia="zh-CN"/>
        </w:rPr>
        <w:t>J Gastroenterol</w:t>
      </w:r>
      <w:r w:rsidRPr="00991EB9">
        <w:rPr>
          <w:rFonts w:ascii="Book Antiqua" w:eastAsia="宋体" w:hAnsi="Book Antiqua"/>
          <w:sz w:val="24"/>
          <w:szCs w:val="24"/>
          <w:lang w:eastAsia="zh-CN"/>
        </w:rPr>
        <w:t xml:space="preserve"> 2005; </w:t>
      </w:r>
      <w:r w:rsidRPr="00991EB9">
        <w:rPr>
          <w:rFonts w:ascii="Book Antiqua" w:eastAsia="宋体" w:hAnsi="Book Antiqua"/>
          <w:b/>
          <w:sz w:val="24"/>
          <w:szCs w:val="24"/>
          <w:lang w:eastAsia="zh-CN"/>
        </w:rPr>
        <w:t>40</w:t>
      </w:r>
      <w:r w:rsidRPr="00991EB9">
        <w:rPr>
          <w:rFonts w:ascii="Book Antiqua" w:eastAsia="宋体" w:hAnsi="Book Antiqua"/>
          <w:sz w:val="24"/>
          <w:szCs w:val="24"/>
          <w:lang w:eastAsia="zh-CN"/>
        </w:rPr>
        <w:t>: 123-127 [PMID: 15770394 DOI: 10.1007/s00535-004-1511-x]</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23 </w:t>
      </w:r>
      <w:r w:rsidRPr="00991EB9">
        <w:rPr>
          <w:rFonts w:ascii="Book Antiqua" w:eastAsia="宋体" w:hAnsi="Book Antiqua"/>
          <w:b/>
          <w:sz w:val="24"/>
          <w:szCs w:val="24"/>
          <w:lang w:eastAsia="zh-CN"/>
        </w:rPr>
        <w:t>Quach DT</w:t>
      </w:r>
      <w:r w:rsidRPr="00991EB9">
        <w:rPr>
          <w:rFonts w:ascii="Book Antiqua" w:eastAsia="宋体" w:hAnsi="Book Antiqua"/>
          <w:sz w:val="24"/>
          <w:szCs w:val="24"/>
          <w:lang w:eastAsia="zh-CN"/>
        </w:rPr>
        <w:t xml:space="preserve">, Le HM, Nguyen OT, Nguyen TS, Uemura N. The severity of endoscopic gastric atrophy could help to predict Operative Link on Gastritis Assessment gastritis stage. </w:t>
      </w:r>
      <w:r w:rsidRPr="00991EB9">
        <w:rPr>
          <w:rFonts w:ascii="Book Antiqua" w:eastAsia="宋体" w:hAnsi="Book Antiqua"/>
          <w:i/>
          <w:sz w:val="24"/>
          <w:szCs w:val="24"/>
          <w:lang w:eastAsia="zh-CN"/>
        </w:rPr>
        <w:t>J Gastroenterol Hepatol</w:t>
      </w:r>
      <w:r w:rsidRPr="00991EB9">
        <w:rPr>
          <w:rFonts w:ascii="Book Antiqua" w:eastAsia="宋体" w:hAnsi="Book Antiqua"/>
          <w:sz w:val="24"/>
          <w:szCs w:val="24"/>
          <w:lang w:eastAsia="zh-CN"/>
        </w:rPr>
        <w:t xml:space="preserve"> 2011; </w:t>
      </w:r>
      <w:r w:rsidRPr="00991EB9">
        <w:rPr>
          <w:rFonts w:ascii="Book Antiqua" w:eastAsia="宋体" w:hAnsi="Book Antiqua"/>
          <w:b/>
          <w:sz w:val="24"/>
          <w:szCs w:val="24"/>
          <w:lang w:eastAsia="zh-CN"/>
        </w:rPr>
        <w:t>26</w:t>
      </w:r>
      <w:r w:rsidRPr="00991EB9">
        <w:rPr>
          <w:rFonts w:ascii="Book Antiqua" w:eastAsia="宋体" w:hAnsi="Book Antiqua"/>
          <w:sz w:val="24"/>
          <w:szCs w:val="24"/>
          <w:lang w:eastAsia="zh-CN"/>
        </w:rPr>
        <w:t>: 281-285 [PMID: 21261717 DOI: 10.1111/j.1440-1746.2010.06474.x]</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24 </w:t>
      </w:r>
      <w:r w:rsidRPr="00991EB9">
        <w:rPr>
          <w:rFonts w:ascii="Book Antiqua" w:eastAsia="宋体" w:hAnsi="Book Antiqua"/>
          <w:b/>
          <w:sz w:val="24"/>
          <w:szCs w:val="24"/>
          <w:lang w:eastAsia="zh-CN"/>
        </w:rPr>
        <w:t>Kaji K</w:t>
      </w:r>
      <w:r w:rsidRPr="00991EB9">
        <w:rPr>
          <w:rFonts w:ascii="Book Antiqua" w:eastAsia="宋体" w:hAnsi="Book Antiqua"/>
          <w:sz w:val="24"/>
          <w:szCs w:val="24"/>
          <w:lang w:eastAsia="zh-CN"/>
        </w:rPr>
        <w:t xml:space="preserve">, Hashiba A, Uotani C, Yamaguchi Y, Ueno T, Ohno K, Takabatake I, Wakabayashi T, Doyama H, Ninomiya I, Kiriyama M, Ohyama S, Yoneshima M, Koyama N, Takeda Y, Yasuda K. Grading of Atrophic Gastritis is Useful for Risk Stratification in Endoscopic Screening for Gastric Cancer. </w:t>
      </w:r>
      <w:r w:rsidRPr="00991EB9">
        <w:rPr>
          <w:rFonts w:ascii="Book Antiqua" w:eastAsia="宋体" w:hAnsi="Book Antiqua"/>
          <w:i/>
          <w:sz w:val="24"/>
          <w:szCs w:val="24"/>
          <w:lang w:eastAsia="zh-CN"/>
        </w:rPr>
        <w:t>Am J Gastroenterol</w:t>
      </w:r>
      <w:r w:rsidRPr="00991EB9">
        <w:rPr>
          <w:rFonts w:ascii="Book Antiqua" w:eastAsia="宋体" w:hAnsi="Book Antiqua"/>
          <w:sz w:val="24"/>
          <w:szCs w:val="24"/>
          <w:lang w:eastAsia="zh-CN"/>
        </w:rPr>
        <w:t xml:space="preserve"> 2019; </w:t>
      </w:r>
      <w:r w:rsidRPr="00991EB9">
        <w:rPr>
          <w:rFonts w:ascii="Book Antiqua" w:eastAsia="宋体" w:hAnsi="Book Antiqua"/>
          <w:b/>
          <w:sz w:val="24"/>
          <w:szCs w:val="24"/>
          <w:lang w:eastAsia="zh-CN"/>
        </w:rPr>
        <w:t>114</w:t>
      </w:r>
      <w:r w:rsidRPr="00991EB9">
        <w:rPr>
          <w:rFonts w:ascii="Book Antiqua" w:eastAsia="宋体" w:hAnsi="Book Antiqua"/>
          <w:sz w:val="24"/>
          <w:szCs w:val="24"/>
          <w:lang w:eastAsia="zh-CN"/>
        </w:rPr>
        <w:t>: 71-79 [PMID: 30315306 DOI: 10.1038/s41395-018-0259-5]</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25 </w:t>
      </w:r>
      <w:r w:rsidRPr="00991EB9">
        <w:rPr>
          <w:rFonts w:ascii="Book Antiqua" w:eastAsia="宋体" w:hAnsi="Book Antiqua"/>
          <w:b/>
          <w:sz w:val="24"/>
          <w:szCs w:val="24"/>
          <w:lang w:eastAsia="zh-CN"/>
        </w:rPr>
        <w:t>Kawamura M</w:t>
      </w:r>
      <w:r w:rsidRPr="00991EB9">
        <w:rPr>
          <w:rFonts w:ascii="Book Antiqua" w:eastAsia="宋体" w:hAnsi="Book Antiqua"/>
          <w:sz w:val="24"/>
          <w:szCs w:val="24"/>
          <w:lang w:eastAsia="zh-CN"/>
        </w:rPr>
        <w:t xml:space="preserve">, Abe S, Oikawa K, Terai S, Saito M, Shibuya D, Kato K, Shimada T, Uedo N, Masuda T. Topographic differences in gastric micromucosal patterns observed by magnifying endoscopy with narrow band imaging. </w:t>
      </w:r>
      <w:r w:rsidRPr="00991EB9">
        <w:rPr>
          <w:rFonts w:ascii="Book Antiqua" w:eastAsia="宋体" w:hAnsi="Book Antiqua"/>
          <w:i/>
          <w:sz w:val="24"/>
          <w:szCs w:val="24"/>
          <w:lang w:eastAsia="zh-CN"/>
        </w:rPr>
        <w:t>J Gastroenterol Hepatol</w:t>
      </w:r>
      <w:r w:rsidRPr="00991EB9">
        <w:rPr>
          <w:rFonts w:ascii="Book Antiqua" w:eastAsia="宋体" w:hAnsi="Book Antiqua"/>
          <w:sz w:val="24"/>
          <w:szCs w:val="24"/>
          <w:lang w:eastAsia="zh-CN"/>
        </w:rPr>
        <w:t xml:space="preserve"> 2011; </w:t>
      </w:r>
      <w:r w:rsidRPr="00991EB9">
        <w:rPr>
          <w:rFonts w:ascii="Book Antiqua" w:eastAsia="宋体" w:hAnsi="Book Antiqua"/>
          <w:b/>
          <w:sz w:val="24"/>
          <w:szCs w:val="24"/>
          <w:lang w:eastAsia="zh-CN"/>
        </w:rPr>
        <w:t>26</w:t>
      </w:r>
      <w:r w:rsidRPr="00991EB9">
        <w:rPr>
          <w:rFonts w:ascii="Book Antiqua" w:eastAsia="宋体" w:hAnsi="Book Antiqua"/>
          <w:sz w:val="24"/>
          <w:szCs w:val="24"/>
          <w:lang w:eastAsia="zh-CN"/>
        </w:rPr>
        <w:t>: 477-483 [PMID: 21155881 DOI: 10.1111/j.1440-1746.2010.06527.x]</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26 </w:t>
      </w:r>
      <w:r w:rsidRPr="00991EB9">
        <w:rPr>
          <w:rFonts w:ascii="Book Antiqua" w:eastAsia="宋体" w:hAnsi="Book Antiqua"/>
          <w:b/>
          <w:sz w:val="24"/>
          <w:szCs w:val="24"/>
          <w:lang w:eastAsia="zh-CN"/>
        </w:rPr>
        <w:t>Kanzaki H</w:t>
      </w:r>
      <w:r w:rsidRPr="00991EB9">
        <w:rPr>
          <w:rFonts w:ascii="Book Antiqua" w:eastAsia="宋体" w:hAnsi="Book Antiqua"/>
          <w:sz w:val="24"/>
          <w:szCs w:val="24"/>
          <w:lang w:eastAsia="zh-CN"/>
        </w:rPr>
        <w:t xml:space="preserve">, Uedo N, Ishihara R, Nagai K, Matsui F, Ohta T, Hanafusa M, Hanaoka N, Takeuchi Y, Higashino K, Iishi H, Tomita Y, Tatsuta M, Yamamoto K. Comprehensive investigation of areae gastricae pattern in gastric corpus using magnifying narrow band imaging endoscopy in patients with chronic atrophic fundic gastritis. </w:t>
      </w:r>
      <w:r w:rsidRPr="00991EB9">
        <w:rPr>
          <w:rFonts w:ascii="Book Antiqua" w:eastAsia="宋体" w:hAnsi="Book Antiqua"/>
          <w:i/>
          <w:sz w:val="24"/>
          <w:szCs w:val="24"/>
          <w:lang w:eastAsia="zh-CN"/>
        </w:rPr>
        <w:t>Helicobacter</w:t>
      </w:r>
      <w:r w:rsidRPr="00991EB9">
        <w:rPr>
          <w:rFonts w:ascii="Book Antiqua" w:eastAsia="宋体" w:hAnsi="Book Antiqua"/>
          <w:sz w:val="24"/>
          <w:szCs w:val="24"/>
          <w:lang w:eastAsia="zh-CN"/>
        </w:rPr>
        <w:t xml:space="preserve"> 2012; </w:t>
      </w:r>
      <w:r w:rsidRPr="00991EB9">
        <w:rPr>
          <w:rFonts w:ascii="Book Antiqua" w:eastAsia="宋体" w:hAnsi="Book Antiqua"/>
          <w:b/>
          <w:sz w:val="24"/>
          <w:szCs w:val="24"/>
          <w:lang w:eastAsia="zh-CN"/>
        </w:rPr>
        <w:t>17</w:t>
      </w:r>
      <w:r w:rsidRPr="00991EB9">
        <w:rPr>
          <w:rFonts w:ascii="Book Antiqua" w:eastAsia="宋体" w:hAnsi="Book Antiqua"/>
          <w:sz w:val="24"/>
          <w:szCs w:val="24"/>
          <w:lang w:eastAsia="zh-CN"/>
        </w:rPr>
        <w:t>: 224-231 [PMID: 22515361 DOI: 10.1111/j.1523-5378.2012.00938.x]</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27 </w:t>
      </w:r>
      <w:r w:rsidRPr="00991EB9">
        <w:rPr>
          <w:rFonts w:ascii="Book Antiqua" w:eastAsia="宋体" w:hAnsi="Book Antiqua"/>
          <w:b/>
          <w:sz w:val="24"/>
          <w:szCs w:val="24"/>
          <w:lang w:eastAsia="zh-CN"/>
        </w:rPr>
        <w:t>Shichijo S</w:t>
      </w:r>
      <w:r w:rsidRPr="00991EB9">
        <w:rPr>
          <w:rFonts w:ascii="Book Antiqua" w:eastAsia="宋体" w:hAnsi="Book Antiqua"/>
          <w:sz w:val="24"/>
          <w:szCs w:val="24"/>
          <w:lang w:eastAsia="zh-CN"/>
        </w:rPr>
        <w:t xml:space="preserve">, Endo Y, Aoyama K, Takeuchi Y, Ozawa T, Takiyama H, Matsuo K, Fujishiro M, Ishihara S, Ishihara R, Tada T. Application of convolutional neural networks for evaluating Helicobacter pylori infection status on the basis of endoscopic images. </w:t>
      </w:r>
      <w:r w:rsidRPr="00991EB9">
        <w:rPr>
          <w:rFonts w:ascii="Book Antiqua" w:eastAsia="宋体" w:hAnsi="Book Antiqua"/>
          <w:i/>
          <w:sz w:val="24"/>
          <w:szCs w:val="24"/>
          <w:lang w:eastAsia="zh-CN"/>
        </w:rPr>
        <w:t>Scand J Gastroenterol</w:t>
      </w:r>
      <w:r w:rsidRPr="00991EB9">
        <w:rPr>
          <w:rFonts w:ascii="Book Antiqua" w:eastAsia="宋体" w:hAnsi="Book Antiqua"/>
          <w:sz w:val="24"/>
          <w:szCs w:val="24"/>
          <w:lang w:eastAsia="zh-CN"/>
        </w:rPr>
        <w:t xml:space="preserve"> 2019; </w:t>
      </w:r>
      <w:r w:rsidRPr="00991EB9">
        <w:rPr>
          <w:rFonts w:ascii="Book Antiqua" w:eastAsia="宋体" w:hAnsi="Book Antiqua"/>
          <w:b/>
          <w:sz w:val="24"/>
          <w:szCs w:val="24"/>
          <w:lang w:eastAsia="zh-CN"/>
        </w:rPr>
        <w:t>54</w:t>
      </w:r>
      <w:r w:rsidRPr="00991EB9">
        <w:rPr>
          <w:rFonts w:ascii="Book Antiqua" w:eastAsia="宋体" w:hAnsi="Book Antiqua"/>
          <w:sz w:val="24"/>
          <w:szCs w:val="24"/>
          <w:lang w:eastAsia="zh-CN"/>
        </w:rPr>
        <w:t>: 158-163 [PMID: 30879352 DOI: 10.1080/00365521.2019.1577486]</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28 </w:t>
      </w:r>
      <w:r w:rsidRPr="00991EB9">
        <w:rPr>
          <w:rFonts w:ascii="Book Antiqua" w:eastAsia="宋体" w:hAnsi="Book Antiqua"/>
          <w:b/>
          <w:sz w:val="24"/>
          <w:szCs w:val="24"/>
          <w:lang w:eastAsia="zh-CN"/>
        </w:rPr>
        <w:t>Dixon MF</w:t>
      </w:r>
      <w:r w:rsidRPr="00991EB9">
        <w:rPr>
          <w:rFonts w:ascii="Book Antiqua" w:eastAsia="宋体" w:hAnsi="Book Antiqua"/>
          <w:sz w:val="24"/>
          <w:szCs w:val="24"/>
          <w:lang w:eastAsia="zh-CN"/>
        </w:rPr>
        <w:t xml:space="preserve">, Genta RM, Yardley JH, Correa P. Classification and grading of gastritis. The updated Sydney System. International Workshop on the Histopathology of Gastritis, Houston 1994. </w:t>
      </w:r>
      <w:r w:rsidRPr="00991EB9">
        <w:rPr>
          <w:rFonts w:ascii="Book Antiqua" w:eastAsia="宋体" w:hAnsi="Book Antiqua"/>
          <w:i/>
          <w:sz w:val="24"/>
          <w:szCs w:val="24"/>
          <w:lang w:eastAsia="zh-CN"/>
        </w:rPr>
        <w:t>Am J Surg Pathol</w:t>
      </w:r>
      <w:r w:rsidRPr="00991EB9">
        <w:rPr>
          <w:rFonts w:ascii="Book Antiqua" w:eastAsia="宋体" w:hAnsi="Book Antiqua"/>
          <w:sz w:val="24"/>
          <w:szCs w:val="24"/>
          <w:lang w:eastAsia="zh-CN"/>
        </w:rPr>
        <w:t xml:space="preserve"> 1996; </w:t>
      </w:r>
      <w:r w:rsidRPr="00991EB9">
        <w:rPr>
          <w:rFonts w:ascii="Book Antiqua" w:eastAsia="宋体" w:hAnsi="Book Antiqua"/>
          <w:b/>
          <w:sz w:val="24"/>
          <w:szCs w:val="24"/>
          <w:lang w:eastAsia="zh-CN"/>
        </w:rPr>
        <w:t>20</w:t>
      </w:r>
      <w:r w:rsidRPr="00991EB9">
        <w:rPr>
          <w:rFonts w:ascii="Book Antiqua" w:eastAsia="宋体" w:hAnsi="Book Antiqua"/>
          <w:sz w:val="24"/>
          <w:szCs w:val="24"/>
          <w:lang w:eastAsia="zh-CN"/>
        </w:rPr>
        <w:t>: 1161-1181 [PMID: 8827022 DOI: 10.1097/00000478-199610000-00001]</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29 </w:t>
      </w:r>
      <w:r w:rsidRPr="00991EB9">
        <w:rPr>
          <w:rFonts w:ascii="Book Antiqua" w:eastAsia="宋体" w:hAnsi="Book Antiqua"/>
          <w:b/>
          <w:sz w:val="24"/>
          <w:szCs w:val="24"/>
          <w:lang w:eastAsia="zh-CN"/>
        </w:rPr>
        <w:t>Rugge M</w:t>
      </w:r>
      <w:r w:rsidRPr="00991EB9">
        <w:rPr>
          <w:rFonts w:ascii="Book Antiqua" w:eastAsia="宋体" w:hAnsi="Book Antiqua"/>
          <w:sz w:val="24"/>
          <w:szCs w:val="24"/>
          <w:lang w:eastAsia="zh-CN"/>
        </w:rPr>
        <w:t xml:space="preserve">, Correa P, Di Mario F, El-Omar E, Fiocca R, Geboes K, Genta RM, Graham DY, Hattori T, Malfertheiner P, Nakajima S, Sipponen P, Sung J, Weinstein W, Vieth M. OLGA staging for gastritis: a tutorial. </w:t>
      </w:r>
      <w:r w:rsidRPr="00991EB9">
        <w:rPr>
          <w:rFonts w:ascii="Book Antiqua" w:eastAsia="宋体" w:hAnsi="Book Antiqua"/>
          <w:i/>
          <w:sz w:val="24"/>
          <w:szCs w:val="24"/>
          <w:lang w:eastAsia="zh-CN"/>
        </w:rPr>
        <w:t>Dig Liver Dis</w:t>
      </w:r>
      <w:r w:rsidRPr="00991EB9">
        <w:rPr>
          <w:rFonts w:ascii="Book Antiqua" w:eastAsia="宋体" w:hAnsi="Book Antiqua"/>
          <w:sz w:val="24"/>
          <w:szCs w:val="24"/>
          <w:lang w:eastAsia="zh-CN"/>
        </w:rPr>
        <w:t xml:space="preserve"> 2008; </w:t>
      </w:r>
      <w:r w:rsidRPr="00991EB9">
        <w:rPr>
          <w:rFonts w:ascii="Book Antiqua" w:eastAsia="宋体" w:hAnsi="Book Antiqua"/>
          <w:b/>
          <w:sz w:val="24"/>
          <w:szCs w:val="24"/>
          <w:lang w:eastAsia="zh-CN"/>
        </w:rPr>
        <w:t>40</w:t>
      </w:r>
      <w:r w:rsidRPr="00991EB9">
        <w:rPr>
          <w:rFonts w:ascii="Book Antiqua" w:eastAsia="宋体" w:hAnsi="Book Antiqua"/>
          <w:sz w:val="24"/>
          <w:szCs w:val="24"/>
          <w:lang w:eastAsia="zh-CN"/>
        </w:rPr>
        <w:t>: 650-658 [PMID: 18424244 DOI: 10.1016/j.dld.2008.02.030]</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30 </w:t>
      </w:r>
      <w:r w:rsidRPr="00991EB9">
        <w:rPr>
          <w:rFonts w:ascii="Book Antiqua" w:eastAsia="宋体" w:hAnsi="Book Antiqua"/>
          <w:b/>
          <w:sz w:val="24"/>
          <w:szCs w:val="24"/>
          <w:lang w:eastAsia="zh-CN"/>
        </w:rPr>
        <w:t>Capelle LG</w:t>
      </w:r>
      <w:r w:rsidRPr="00991EB9">
        <w:rPr>
          <w:rFonts w:ascii="Book Antiqua" w:eastAsia="宋体" w:hAnsi="Book Antiqua"/>
          <w:sz w:val="24"/>
          <w:szCs w:val="24"/>
          <w:lang w:eastAsia="zh-CN"/>
        </w:rPr>
        <w:t xml:space="preserve">, de Vries AC, Haringsma J, Ter Borg F, de Vries RA, Bruno MJ, van Dekken H, Meijer J, van Grieken NC, Kuipers EJ. The staging of gastritis with the OLGA system by using intestinal metaplasia as an accurate alternative for atrophic gastritis. </w:t>
      </w:r>
      <w:r w:rsidRPr="00991EB9">
        <w:rPr>
          <w:rFonts w:ascii="Book Antiqua" w:eastAsia="宋体" w:hAnsi="Book Antiqua"/>
          <w:i/>
          <w:sz w:val="24"/>
          <w:szCs w:val="24"/>
          <w:lang w:eastAsia="zh-CN"/>
        </w:rPr>
        <w:t>Gastrointest Endosc</w:t>
      </w:r>
      <w:r w:rsidRPr="00991EB9">
        <w:rPr>
          <w:rFonts w:ascii="Book Antiqua" w:eastAsia="宋体" w:hAnsi="Book Antiqua"/>
          <w:sz w:val="24"/>
          <w:szCs w:val="24"/>
          <w:lang w:eastAsia="zh-CN"/>
        </w:rPr>
        <w:t xml:space="preserve"> 2010; </w:t>
      </w:r>
      <w:r w:rsidRPr="00991EB9">
        <w:rPr>
          <w:rFonts w:ascii="Book Antiqua" w:eastAsia="宋体" w:hAnsi="Book Antiqua"/>
          <w:b/>
          <w:sz w:val="24"/>
          <w:szCs w:val="24"/>
          <w:lang w:eastAsia="zh-CN"/>
        </w:rPr>
        <w:t>71</w:t>
      </w:r>
      <w:r w:rsidRPr="00991EB9">
        <w:rPr>
          <w:rFonts w:ascii="Book Antiqua" w:eastAsia="宋体" w:hAnsi="Book Antiqua"/>
          <w:sz w:val="24"/>
          <w:szCs w:val="24"/>
          <w:lang w:eastAsia="zh-CN"/>
        </w:rPr>
        <w:t>: 1150-1158 [PMID: 20381801 DOI: 10.1016/j.gie.2009.12.029]</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31 </w:t>
      </w:r>
      <w:r w:rsidRPr="00991EB9">
        <w:rPr>
          <w:rFonts w:ascii="Book Antiqua" w:eastAsia="宋体" w:hAnsi="Book Antiqua"/>
          <w:b/>
          <w:sz w:val="24"/>
          <w:szCs w:val="24"/>
          <w:lang w:eastAsia="zh-CN"/>
        </w:rPr>
        <w:t>Sauerbruch T</w:t>
      </w:r>
      <w:r w:rsidRPr="00991EB9">
        <w:rPr>
          <w:rFonts w:ascii="Book Antiqua" w:eastAsia="宋体" w:hAnsi="Book Antiqua"/>
          <w:sz w:val="24"/>
          <w:szCs w:val="24"/>
          <w:lang w:eastAsia="zh-CN"/>
        </w:rPr>
        <w:t xml:space="preserve">, Schreiber MA, Schüssler P, Permanetter W. Endoscopy in the diagnosis of gastritis. Diagnostic value of endoscopic criteria in relation to histological diagnosis. </w:t>
      </w:r>
      <w:r w:rsidRPr="00991EB9">
        <w:rPr>
          <w:rFonts w:ascii="Book Antiqua" w:eastAsia="宋体" w:hAnsi="Book Antiqua"/>
          <w:i/>
          <w:sz w:val="24"/>
          <w:szCs w:val="24"/>
          <w:lang w:eastAsia="zh-CN"/>
        </w:rPr>
        <w:t>Endoscopy</w:t>
      </w:r>
      <w:r w:rsidRPr="00991EB9">
        <w:rPr>
          <w:rFonts w:ascii="Book Antiqua" w:eastAsia="宋体" w:hAnsi="Book Antiqua"/>
          <w:sz w:val="24"/>
          <w:szCs w:val="24"/>
          <w:lang w:eastAsia="zh-CN"/>
        </w:rPr>
        <w:t xml:space="preserve"> 1984; </w:t>
      </w:r>
      <w:r w:rsidRPr="00991EB9">
        <w:rPr>
          <w:rFonts w:ascii="Book Antiqua" w:eastAsia="宋体" w:hAnsi="Book Antiqua"/>
          <w:b/>
          <w:sz w:val="24"/>
          <w:szCs w:val="24"/>
          <w:lang w:eastAsia="zh-CN"/>
        </w:rPr>
        <w:t>16</w:t>
      </w:r>
      <w:r w:rsidRPr="00991EB9">
        <w:rPr>
          <w:rFonts w:ascii="Book Antiqua" w:eastAsia="宋体" w:hAnsi="Book Antiqua"/>
          <w:sz w:val="24"/>
          <w:szCs w:val="24"/>
          <w:lang w:eastAsia="zh-CN"/>
        </w:rPr>
        <w:t>: 101-104 [PMID: 6734532 DOI: 10.1055/s-2007-1018546]</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32 </w:t>
      </w:r>
      <w:r w:rsidRPr="00991EB9">
        <w:rPr>
          <w:rFonts w:ascii="Book Antiqua" w:eastAsia="宋体" w:hAnsi="Book Antiqua"/>
          <w:b/>
          <w:sz w:val="24"/>
          <w:szCs w:val="24"/>
          <w:lang w:eastAsia="zh-CN"/>
        </w:rPr>
        <w:t>Uedo N</w:t>
      </w:r>
      <w:r w:rsidRPr="00991EB9">
        <w:rPr>
          <w:rFonts w:ascii="Book Antiqua" w:eastAsia="宋体" w:hAnsi="Book Antiqua"/>
          <w:sz w:val="24"/>
          <w:szCs w:val="24"/>
          <w:lang w:eastAsia="zh-CN"/>
        </w:rPr>
        <w:t xml:space="preserve">, Ishihara R, Iishi H, Yamamoto S, Yamamoto S, Yamada T, Imanaka K, Takeuchi Y, Higashino K, Ishiguro S, Tatsuta M. A new method of diagnosing gastric intestinal metaplasia: narrow-band imaging with magnifying endoscopy. </w:t>
      </w:r>
      <w:r w:rsidRPr="00991EB9">
        <w:rPr>
          <w:rFonts w:ascii="Book Antiqua" w:eastAsia="宋体" w:hAnsi="Book Antiqua"/>
          <w:i/>
          <w:sz w:val="24"/>
          <w:szCs w:val="24"/>
          <w:lang w:eastAsia="zh-CN"/>
        </w:rPr>
        <w:t>Endoscopy</w:t>
      </w:r>
      <w:r w:rsidRPr="00991EB9">
        <w:rPr>
          <w:rFonts w:ascii="Book Antiqua" w:eastAsia="宋体" w:hAnsi="Book Antiqua"/>
          <w:sz w:val="24"/>
          <w:szCs w:val="24"/>
          <w:lang w:eastAsia="zh-CN"/>
        </w:rPr>
        <w:t xml:space="preserve"> 2006; </w:t>
      </w:r>
      <w:r w:rsidRPr="00991EB9">
        <w:rPr>
          <w:rFonts w:ascii="Book Antiqua" w:eastAsia="宋体" w:hAnsi="Book Antiqua"/>
          <w:b/>
          <w:sz w:val="24"/>
          <w:szCs w:val="24"/>
          <w:lang w:eastAsia="zh-CN"/>
        </w:rPr>
        <w:t>38</w:t>
      </w:r>
      <w:r w:rsidRPr="00991EB9">
        <w:rPr>
          <w:rFonts w:ascii="Book Antiqua" w:eastAsia="宋体" w:hAnsi="Book Antiqua"/>
          <w:sz w:val="24"/>
          <w:szCs w:val="24"/>
          <w:lang w:eastAsia="zh-CN"/>
        </w:rPr>
        <w:t>: 819-824 [PMID: 17001572 DOI: 10.1055/s-2006-944632]</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33 </w:t>
      </w:r>
      <w:r w:rsidRPr="00991EB9">
        <w:rPr>
          <w:rFonts w:ascii="Book Antiqua" w:eastAsia="宋体" w:hAnsi="Book Antiqua"/>
          <w:b/>
          <w:sz w:val="24"/>
          <w:szCs w:val="24"/>
          <w:lang w:eastAsia="zh-CN"/>
        </w:rPr>
        <w:t>Savarino E</w:t>
      </w:r>
      <w:r w:rsidRPr="00991EB9">
        <w:rPr>
          <w:rFonts w:ascii="Book Antiqua" w:eastAsia="宋体" w:hAnsi="Book Antiqua"/>
          <w:sz w:val="24"/>
          <w:szCs w:val="24"/>
          <w:lang w:eastAsia="zh-CN"/>
        </w:rPr>
        <w:t xml:space="preserve">, Corbo M, Dulbecco P, Gemignani L, Giambruno E, Mastracci L, Grillo F, Savarino V. Narrow-band imaging with magnifying endoscopy is accurate for detecting gastric intestinal metaplasia. </w:t>
      </w:r>
      <w:r w:rsidRPr="00991EB9">
        <w:rPr>
          <w:rFonts w:ascii="Book Antiqua" w:eastAsia="宋体" w:hAnsi="Book Antiqua"/>
          <w:i/>
          <w:sz w:val="24"/>
          <w:szCs w:val="24"/>
          <w:lang w:eastAsia="zh-CN"/>
        </w:rPr>
        <w:t>World J Gastroenterol</w:t>
      </w:r>
      <w:r w:rsidRPr="00991EB9">
        <w:rPr>
          <w:rFonts w:ascii="Book Antiqua" w:eastAsia="宋体" w:hAnsi="Book Antiqua"/>
          <w:sz w:val="24"/>
          <w:szCs w:val="24"/>
          <w:lang w:eastAsia="zh-CN"/>
        </w:rPr>
        <w:t xml:space="preserve"> 2013; </w:t>
      </w:r>
      <w:r w:rsidRPr="00991EB9">
        <w:rPr>
          <w:rFonts w:ascii="Book Antiqua" w:eastAsia="宋体" w:hAnsi="Book Antiqua"/>
          <w:b/>
          <w:sz w:val="24"/>
          <w:szCs w:val="24"/>
          <w:lang w:eastAsia="zh-CN"/>
        </w:rPr>
        <w:t>19</w:t>
      </w:r>
      <w:r w:rsidRPr="00991EB9">
        <w:rPr>
          <w:rFonts w:ascii="Book Antiqua" w:eastAsia="宋体" w:hAnsi="Book Antiqua"/>
          <w:sz w:val="24"/>
          <w:szCs w:val="24"/>
          <w:lang w:eastAsia="zh-CN"/>
        </w:rPr>
        <w:t>: 2668-2675 [PMID: 23674874 DOI: 10.3748/wjg.v19.i17.2668]</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34 </w:t>
      </w:r>
      <w:r w:rsidRPr="00991EB9">
        <w:rPr>
          <w:rFonts w:ascii="Book Antiqua" w:eastAsia="宋体" w:hAnsi="Book Antiqua"/>
          <w:b/>
          <w:sz w:val="24"/>
          <w:szCs w:val="24"/>
          <w:lang w:eastAsia="zh-CN"/>
        </w:rPr>
        <w:t>An JK</w:t>
      </w:r>
      <w:r w:rsidRPr="00991EB9">
        <w:rPr>
          <w:rFonts w:ascii="Book Antiqua" w:eastAsia="宋体" w:hAnsi="Book Antiqua"/>
          <w:sz w:val="24"/>
          <w:szCs w:val="24"/>
          <w:lang w:eastAsia="zh-CN"/>
        </w:rPr>
        <w:t xml:space="preserve">, Song GA, Kim GH, Park DY, Shin NR, Lee BE, Woo HY, Ryu DY, Kim DU, Heo J. Marginal turbid band and light blue crest, signs observed in magnifying narrow-band imaging endoscopy, are indicative of gastric intestinal metaplasia. </w:t>
      </w:r>
      <w:r w:rsidRPr="00991EB9">
        <w:rPr>
          <w:rFonts w:ascii="Book Antiqua" w:eastAsia="宋体" w:hAnsi="Book Antiqua"/>
          <w:i/>
          <w:sz w:val="24"/>
          <w:szCs w:val="24"/>
          <w:lang w:eastAsia="zh-CN"/>
        </w:rPr>
        <w:t>BMC Gastroenterol</w:t>
      </w:r>
      <w:r w:rsidRPr="00991EB9">
        <w:rPr>
          <w:rFonts w:ascii="Book Antiqua" w:eastAsia="宋体" w:hAnsi="Book Antiqua"/>
          <w:sz w:val="24"/>
          <w:szCs w:val="24"/>
          <w:lang w:eastAsia="zh-CN"/>
        </w:rPr>
        <w:t xml:space="preserve"> 2012; </w:t>
      </w:r>
      <w:r w:rsidRPr="00991EB9">
        <w:rPr>
          <w:rFonts w:ascii="Book Antiqua" w:eastAsia="宋体" w:hAnsi="Book Antiqua"/>
          <w:b/>
          <w:sz w:val="24"/>
          <w:szCs w:val="24"/>
          <w:lang w:eastAsia="zh-CN"/>
        </w:rPr>
        <w:t>12</w:t>
      </w:r>
      <w:r w:rsidRPr="00991EB9">
        <w:rPr>
          <w:rFonts w:ascii="Book Antiqua" w:eastAsia="宋体" w:hAnsi="Book Antiqua"/>
          <w:sz w:val="24"/>
          <w:szCs w:val="24"/>
          <w:lang w:eastAsia="zh-CN"/>
        </w:rPr>
        <w:t>: 169 [PMID: 23185997 DOI: 10.1186/1471-230X-12-169]</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35 </w:t>
      </w:r>
      <w:r w:rsidRPr="00991EB9">
        <w:rPr>
          <w:rFonts w:ascii="Book Antiqua" w:eastAsia="宋体" w:hAnsi="Book Antiqua"/>
          <w:b/>
          <w:sz w:val="24"/>
          <w:szCs w:val="24"/>
          <w:lang w:eastAsia="zh-CN"/>
        </w:rPr>
        <w:t>Kanemitsu T</w:t>
      </w:r>
      <w:r w:rsidRPr="00991EB9">
        <w:rPr>
          <w:rFonts w:ascii="Book Antiqua" w:eastAsia="宋体" w:hAnsi="Book Antiqua"/>
          <w:sz w:val="24"/>
          <w:szCs w:val="24"/>
          <w:lang w:eastAsia="zh-CN"/>
        </w:rPr>
        <w:t xml:space="preserve">, Yao K, Nagahama T, Imamura K, Fujiwara S, Ueki T, Chuman K, Tanabe H, Atsuko O, Iwashita A, Shimokawa T, Uchita K, Kanesaka T. Extending magnifying NBI diagnosis of intestinal metaplasia in the stomach: the white opaque substance marker. </w:t>
      </w:r>
      <w:r w:rsidRPr="00991EB9">
        <w:rPr>
          <w:rFonts w:ascii="Book Antiqua" w:eastAsia="宋体" w:hAnsi="Book Antiqua"/>
          <w:i/>
          <w:sz w:val="24"/>
          <w:szCs w:val="24"/>
          <w:lang w:eastAsia="zh-CN"/>
        </w:rPr>
        <w:t>Endoscopy</w:t>
      </w:r>
      <w:r w:rsidRPr="00991EB9">
        <w:rPr>
          <w:rFonts w:ascii="Book Antiqua" w:eastAsia="宋体" w:hAnsi="Book Antiqua"/>
          <w:sz w:val="24"/>
          <w:szCs w:val="24"/>
          <w:lang w:eastAsia="zh-CN"/>
        </w:rPr>
        <w:t xml:space="preserve"> 2017; </w:t>
      </w:r>
      <w:r w:rsidRPr="00991EB9">
        <w:rPr>
          <w:rFonts w:ascii="Book Antiqua" w:eastAsia="宋体" w:hAnsi="Book Antiqua"/>
          <w:b/>
          <w:sz w:val="24"/>
          <w:szCs w:val="24"/>
          <w:lang w:eastAsia="zh-CN"/>
        </w:rPr>
        <w:t>49</w:t>
      </w:r>
      <w:r w:rsidRPr="00991EB9">
        <w:rPr>
          <w:rFonts w:ascii="Book Antiqua" w:eastAsia="宋体" w:hAnsi="Book Antiqua"/>
          <w:sz w:val="24"/>
          <w:szCs w:val="24"/>
          <w:lang w:eastAsia="zh-CN"/>
        </w:rPr>
        <w:t>: 529-535 [PMID: 28395383 DOI: 10.1055/s-0043-103409]</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36 </w:t>
      </w:r>
      <w:r w:rsidRPr="00991EB9">
        <w:rPr>
          <w:rFonts w:ascii="Book Antiqua" w:eastAsia="宋体" w:hAnsi="Book Antiqua"/>
          <w:b/>
          <w:sz w:val="24"/>
          <w:szCs w:val="24"/>
          <w:lang w:eastAsia="zh-CN"/>
        </w:rPr>
        <w:t>Saka A</w:t>
      </w:r>
      <w:r w:rsidRPr="00991EB9">
        <w:rPr>
          <w:rFonts w:ascii="Book Antiqua" w:eastAsia="宋体" w:hAnsi="Book Antiqua"/>
          <w:sz w:val="24"/>
          <w:szCs w:val="24"/>
          <w:lang w:eastAsia="zh-CN"/>
        </w:rPr>
        <w:t xml:space="preserve">, Yagi K, Nimura S. OLGA- and OLGIM-based staging of gastritis using narrow-band imaging magnifying endoscopy. </w:t>
      </w:r>
      <w:r w:rsidRPr="00991EB9">
        <w:rPr>
          <w:rFonts w:ascii="Book Antiqua" w:eastAsia="宋体" w:hAnsi="Book Antiqua"/>
          <w:i/>
          <w:sz w:val="24"/>
          <w:szCs w:val="24"/>
          <w:lang w:eastAsia="zh-CN"/>
        </w:rPr>
        <w:t>Dig Endosc</w:t>
      </w:r>
      <w:r w:rsidRPr="00991EB9">
        <w:rPr>
          <w:rFonts w:ascii="Book Antiqua" w:eastAsia="宋体" w:hAnsi="Book Antiqua"/>
          <w:sz w:val="24"/>
          <w:szCs w:val="24"/>
          <w:lang w:eastAsia="zh-CN"/>
        </w:rPr>
        <w:t xml:space="preserve"> 2015; </w:t>
      </w:r>
      <w:r w:rsidRPr="00991EB9">
        <w:rPr>
          <w:rFonts w:ascii="Book Antiqua" w:eastAsia="宋体" w:hAnsi="Book Antiqua"/>
          <w:b/>
          <w:sz w:val="24"/>
          <w:szCs w:val="24"/>
          <w:lang w:eastAsia="zh-CN"/>
        </w:rPr>
        <w:t>27</w:t>
      </w:r>
      <w:r w:rsidRPr="00991EB9">
        <w:rPr>
          <w:rFonts w:ascii="Book Antiqua" w:eastAsia="宋体" w:hAnsi="Book Antiqua"/>
          <w:sz w:val="24"/>
          <w:szCs w:val="24"/>
          <w:lang w:eastAsia="zh-CN"/>
        </w:rPr>
        <w:t>: 734-741 [PMID: 25923666 DOI: 10.1111/den.12483]</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37 </w:t>
      </w:r>
      <w:r w:rsidRPr="00991EB9">
        <w:rPr>
          <w:rFonts w:ascii="Book Antiqua" w:eastAsia="宋体" w:hAnsi="Book Antiqua"/>
          <w:b/>
          <w:sz w:val="24"/>
          <w:szCs w:val="24"/>
          <w:lang w:eastAsia="zh-CN"/>
        </w:rPr>
        <w:t>Pimentel-Nunes P</w:t>
      </w:r>
      <w:r w:rsidRPr="00991EB9">
        <w:rPr>
          <w:rFonts w:ascii="Book Antiqua" w:eastAsia="宋体" w:hAnsi="Book Antiqua"/>
          <w:sz w:val="24"/>
          <w:szCs w:val="24"/>
          <w:lang w:eastAsia="zh-CN"/>
        </w:rPr>
        <w:t xml:space="preserve">, Dinis-Ribeiro M, Soares JB, Marcos-Pinto R, Santos C, Rolanda C, Bastos RP, Areia M, Afonso L, Bergman J, Sharma P, Gotoda T, Henrique R, Moreira-Dias L. A multicenter validation of an endoscopic classification with narrow band imaging for gastric precancerous and cancerous lesions. </w:t>
      </w:r>
      <w:r w:rsidRPr="00991EB9">
        <w:rPr>
          <w:rFonts w:ascii="Book Antiqua" w:eastAsia="宋体" w:hAnsi="Book Antiqua"/>
          <w:i/>
          <w:sz w:val="24"/>
          <w:szCs w:val="24"/>
          <w:lang w:eastAsia="zh-CN"/>
        </w:rPr>
        <w:t>Endoscopy</w:t>
      </w:r>
      <w:r w:rsidRPr="00991EB9">
        <w:rPr>
          <w:rFonts w:ascii="Book Antiqua" w:eastAsia="宋体" w:hAnsi="Book Antiqua"/>
          <w:sz w:val="24"/>
          <w:szCs w:val="24"/>
          <w:lang w:eastAsia="zh-CN"/>
        </w:rPr>
        <w:t xml:space="preserve"> 2012; </w:t>
      </w:r>
      <w:r w:rsidRPr="00991EB9">
        <w:rPr>
          <w:rFonts w:ascii="Book Antiqua" w:eastAsia="宋体" w:hAnsi="Book Antiqua"/>
          <w:b/>
          <w:sz w:val="24"/>
          <w:szCs w:val="24"/>
          <w:lang w:eastAsia="zh-CN"/>
        </w:rPr>
        <w:t>44</w:t>
      </w:r>
      <w:r w:rsidRPr="00991EB9">
        <w:rPr>
          <w:rFonts w:ascii="Book Antiqua" w:eastAsia="宋体" w:hAnsi="Book Antiqua"/>
          <w:sz w:val="24"/>
          <w:szCs w:val="24"/>
          <w:lang w:eastAsia="zh-CN"/>
        </w:rPr>
        <w:t>: 236-246 [PMID: 22294194 DOI: 10.1055/s-0031-1291537]</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38 </w:t>
      </w:r>
      <w:r w:rsidRPr="00991EB9">
        <w:rPr>
          <w:rFonts w:ascii="Book Antiqua" w:eastAsia="宋体" w:hAnsi="Book Antiqua"/>
          <w:b/>
          <w:sz w:val="24"/>
          <w:szCs w:val="24"/>
          <w:lang w:eastAsia="zh-CN"/>
        </w:rPr>
        <w:t>Dias-Silva D</w:t>
      </w:r>
      <w:r w:rsidRPr="00991EB9">
        <w:rPr>
          <w:rFonts w:ascii="Book Antiqua" w:eastAsia="宋体" w:hAnsi="Book Antiqua"/>
          <w:sz w:val="24"/>
          <w:szCs w:val="24"/>
          <w:lang w:eastAsia="zh-CN"/>
        </w:rPr>
        <w:t xml:space="preserve">, Pimentel-Nunes P, Magalhães J, Magalhães R, Veloso N, Ferreira C, Figueiredo P, Moutinho P, Dinis-Ribeiro M. The learning curve for narrow-band imaging in the diagnosis of precancerous gastric lesions by using Web-based video. </w:t>
      </w:r>
      <w:r w:rsidRPr="00991EB9">
        <w:rPr>
          <w:rFonts w:ascii="Book Antiqua" w:eastAsia="宋体" w:hAnsi="Book Antiqua"/>
          <w:i/>
          <w:sz w:val="24"/>
          <w:szCs w:val="24"/>
          <w:lang w:eastAsia="zh-CN"/>
        </w:rPr>
        <w:t>Gastrointest Endosc</w:t>
      </w:r>
      <w:r w:rsidRPr="00991EB9">
        <w:rPr>
          <w:rFonts w:ascii="Book Antiqua" w:eastAsia="宋体" w:hAnsi="Book Antiqua"/>
          <w:sz w:val="24"/>
          <w:szCs w:val="24"/>
          <w:lang w:eastAsia="zh-CN"/>
        </w:rPr>
        <w:t xml:space="preserve"> 2014; </w:t>
      </w:r>
      <w:r w:rsidRPr="00991EB9">
        <w:rPr>
          <w:rFonts w:ascii="Book Antiqua" w:eastAsia="宋体" w:hAnsi="Book Antiqua"/>
          <w:b/>
          <w:sz w:val="24"/>
          <w:szCs w:val="24"/>
          <w:lang w:eastAsia="zh-CN"/>
        </w:rPr>
        <w:t>79</w:t>
      </w:r>
      <w:r w:rsidRPr="00991EB9">
        <w:rPr>
          <w:rFonts w:ascii="Book Antiqua" w:eastAsia="宋体" w:hAnsi="Book Antiqua"/>
          <w:sz w:val="24"/>
          <w:szCs w:val="24"/>
          <w:lang w:eastAsia="zh-CN"/>
        </w:rPr>
        <w:t>: 910-20; quiz 983-e1, 983.e4 [PMID: 24287281 DOI: 10.1016/j.gie.2013.10.020]</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39 </w:t>
      </w:r>
      <w:r w:rsidRPr="00991EB9">
        <w:rPr>
          <w:rFonts w:ascii="Book Antiqua" w:eastAsia="宋体" w:hAnsi="Book Antiqua"/>
          <w:b/>
          <w:sz w:val="24"/>
          <w:szCs w:val="24"/>
          <w:lang w:eastAsia="zh-CN"/>
        </w:rPr>
        <w:t>Pimentel-Nunes P</w:t>
      </w:r>
      <w:r w:rsidRPr="00991EB9">
        <w:rPr>
          <w:rFonts w:ascii="Book Antiqua" w:eastAsia="宋体" w:hAnsi="Book Antiqua"/>
          <w:sz w:val="24"/>
          <w:szCs w:val="24"/>
          <w:lang w:eastAsia="zh-CN"/>
        </w:rPr>
        <w:t xml:space="preserve">, Libânio D, Lage J, Abrantes D, Coimbra M, Esposito G, Hormozdi D, Pepper M, Drasovean S, White JR, Dobru D, Buxbaum J, Ragunath K, Annibale B, Dinis-Ribeiro M. A multicenter prospective study of the real-time use of narrow-band imaging in the diagnosis of premalignant gastric conditions and lesions. </w:t>
      </w:r>
      <w:r w:rsidRPr="00991EB9">
        <w:rPr>
          <w:rFonts w:ascii="Book Antiqua" w:eastAsia="宋体" w:hAnsi="Book Antiqua"/>
          <w:i/>
          <w:sz w:val="24"/>
          <w:szCs w:val="24"/>
          <w:lang w:eastAsia="zh-CN"/>
        </w:rPr>
        <w:t>Endoscopy</w:t>
      </w:r>
      <w:r w:rsidRPr="00991EB9">
        <w:rPr>
          <w:rFonts w:ascii="Book Antiqua" w:eastAsia="宋体" w:hAnsi="Book Antiqua"/>
          <w:sz w:val="24"/>
          <w:szCs w:val="24"/>
          <w:lang w:eastAsia="zh-CN"/>
        </w:rPr>
        <w:t xml:space="preserve"> 2016; </w:t>
      </w:r>
      <w:r w:rsidRPr="00991EB9">
        <w:rPr>
          <w:rFonts w:ascii="Book Antiqua" w:eastAsia="宋体" w:hAnsi="Book Antiqua"/>
          <w:b/>
          <w:sz w:val="24"/>
          <w:szCs w:val="24"/>
          <w:lang w:eastAsia="zh-CN"/>
        </w:rPr>
        <w:t>48</w:t>
      </w:r>
      <w:r w:rsidRPr="00991EB9">
        <w:rPr>
          <w:rFonts w:ascii="Book Antiqua" w:eastAsia="宋体" w:hAnsi="Book Antiqua"/>
          <w:sz w:val="24"/>
          <w:szCs w:val="24"/>
          <w:lang w:eastAsia="zh-CN"/>
        </w:rPr>
        <w:t>: 723-730 [PMID: 27280384 DOI: 10.1055/s-0042-108435]</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40 </w:t>
      </w:r>
      <w:r w:rsidRPr="00991EB9">
        <w:rPr>
          <w:rFonts w:ascii="Book Antiqua" w:eastAsia="宋体" w:hAnsi="Book Antiqua"/>
          <w:b/>
          <w:sz w:val="24"/>
          <w:szCs w:val="24"/>
          <w:lang w:eastAsia="zh-CN"/>
        </w:rPr>
        <w:t>Esposito G</w:t>
      </w:r>
      <w:r w:rsidRPr="00991EB9">
        <w:rPr>
          <w:rFonts w:ascii="Book Antiqua" w:eastAsia="宋体" w:hAnsi="Book Antiqua"/>
          <w:sz w:val="24"/>
          <w:szCs w:val="24"/>
          <w:lang w:eastAsia="zh-CN"/>
        </w:rPr>
        <w:t xml:space="preserve">, Pimentel-Nunes P, Angeletti S, Castro R, Libânio D, Galli G, Lahner E, Di Giulio E, Annibale B, Dinis-Ribeiro M. Endoscopic grading of gastric intestinal metaplasia (EGGIM): a multicenter validation study. </w:t>
      </w:r>
      <w:r w:rsidRPr="00991EB9">
        <w:rPr>
          <w:rFonts w:ascii="Book Antiqua" w:eastAsia="宋体" w:hAnsi="Book Antiqua"/>
          <w:i/>
          <w:sz w:val="24"/>
          <w:szCs w:val="24"/>
          <w:lang w:eastAsia="zh-CN"/>
        </w:rPr>
        <w:t>Endoscopy</w:t>
      </w:r>
      <w:r w:rsidRPr="00991EB9">
        <w:rPr>
          <w:rFonts w:ascii="Book Antiqua" w:eastAsia="宋体" w:hAnsi="Book Antiqua"/>
          <w:sz w:val="24"/>
          <w:szCs w:val="24"/>
          <w:lang w:eastAsia="zh-CN"/>
        </w:rPr>
        <w:t xml:space="preserve"> 2019; </w:t>
      </w:r>
      <w:r w:rsidRPr="00991EB9">
        <w:rPr>
          <w:rFonts w:ascii="Book Antiqua" w:eastAsia="宋体" w:hAnsi="Book Antiqua"/>
          <w:b/>
          <w:sz w:val="24"/>
          <w:szCs w:val="24"/>
          <w:lang w:eastAsia="zh-CN"/>
        </w:rPr>
        <w:t>51</w:t>
      </w:r>
      <w:r w:rsidRPr="00991EB9">
        <w:rPr>
          <w:rFonts w:ascii="Book Antiqua" w:eastAsia="宋体" w:hAnsi="Book Antiqua"/>
          <w:sz w:val="24"/>
          <w:szCs w:val="24"/>
          <w:lang w:eastAsia="zh-CN"/>
        </w:rPr>
        <w:t>: 515-521 [PMID: 30577062 DOI: 10.1055/a-0808-3186]</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41 </w:t>
      </w:r>
      <w:r w:rsidRPr="00991EB9">
        <w:rPr>
          <w:rFonts w:ascii="Book Antiqua" w:eastAsia="宋体" w:hAnsi="Book Antiqua"/>
          <w:b/>
          <w:sz w:val="24"/>
          <w:szCs w:val="24"/>
          <w:lang w:eastAsia="zh-CN"/>
        </w:rPr>
        <w:t>Buxbaum JL</w:t>
      </w:r>
      <w:r w:rsidRPr="00991EB9">
        <w:rPr>
          <w:rFonts w:ascii="Book Antiqua" w:eastAsia="宋体" w:hAnsi="Book Antiqua"/>
          <w:sz w:val="24"/>
          <w:szCs w:val="24"/>
          <w:lang w:eastAsia="zh-CN"/>
        </w:rPr>
        <w:t xml:space="preserve">, Hormozdi D, Dinis-Ribeiro M, Lane C, Dias-Silva D, Sahakian A, Jayaram P, Pimentel-Nunes P, Shue D, Pepper M, Cho D, Laine L. Narrow-band imaging versus white light versus mapping biopsy for gastric intestinal metaplasia: a prospective blinded trial. </w:t>
      </w:r>
      <w:r w:rsidRPr="00991EB9">
        <w:rPr>
          <w:rFonts w:ascii="Book Antiqua" w:eastAsia="宋体" w:hAnsi="Book Antiqua"/>
          <w:i/>
          <w:sz w:val="24"/>
          <w:szCs w:val="24"/>
          <w:lang w:eastAsia="zh-CN"/>
        </w:rPr>
        <w:t>Gastrointest Endosc</w:t>
      </w:r>
      <w:r w:rsidRPr="00991EB9">
        <w:rPr>
          <w:rFonts w:ascii="Book Antiqua" w:eastAsia="宋体" w:hAnsi="Book Antiqua"/>
          <w:sz w:val="24"/>
          <w:szCs w:val="24"/>
          <w:lang w:eastAsia="zh-CN"/>
        </w:rPr>
        <w:t xml:space="preserve"> 2017; </w:t>
      </w:r>
      <w:r w:rsidRPr="00991EB9">
        <w:rPr>
          <w:rFonts w:ascii="Book Antiqua" w:eastAsia="宋体" w:hAnsi="Book Antiqua"/>
          <w:b/>
          <w:sz w:val="24"/>
          <w:szCs w:val="24"/>
          <w:lang w:eastAsia="zh-CN"/>
        </w:rPr>
        <w:t>86</w:t>
      </w:r>
      <w:r w:rsidRPr="00991EB9">
        <w:rPr>
          <w:rFonts w:ascii="Book Antiqua" w:eastAsia="宋体" w:hAnsi="Book Antiqua"/>
          <w:sz w:val="24"/>
          <w:szCs w:val="24"/>
          <w:lang w:eastAsia="zh-CN"/>
        </w:rPr>
        <w:t>: 857-865 [PMID: 28366441 DOI: 10.1016/j.gie.2017.03.1528]</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42 </w:t>
      </w:r>
      <w:r w:rsidRPr="00991EB9">
        <w:rPr>
          <w:rFonts w:ascii="Book Antiqua" w:eastAsia="宋体" w:hAnsi="Book Antiqua"/>
          <w:b/>
          <w:sz w:val="24"/>
          <w:szCs w:val="24"/>
          <w:lang w:eastAsia="zh-CN"/>
        </w:rPr>
        <w:t>Misdraji J</w:t>
      </w:r>
      <w:r w:rsidRPr="00991EB9">
        <w:rPr>
          <w:rFonts w:ascii="Book Antiqua" w:eastAsia="宋体" w:hAnsi="Book Antiqua"/>
          <w:sz w:val="24"/>
          <w:szCs w:val="24"/>
          <w:lang w:eastAsia="zh-CN"/>
        </w:rPr>
        <w:t xml:space="preserve">, Lauwers GY. Gastric epithelial dysplasia. </w:t>
      </w:r>
      <w:r w:rsidRPr="00991EB9">
        <w:rPr>
          <w:rFonts w:ascii="Book Antiqua" w:eastAsia="宋体" w:hAnsi="Book Antiqua"/>
          <w:i/>
          <w:sz w:val="24"/>
          <w:szCs w:val="24"/>
          <w:lang w:eastAsia="zh-CN"/>
        </w:rPr>
        <w:t>Semin Diagn Pathol</w:t>
      </w:r>
      <w:r w:rsidRPr="00991EB9">
        <w:rPr>
          <w:rFonts w:ascii="Book Antiqua" w:eastAsia="宋体" w:hAnsi="Book Antiqua"/>
          <w:sz w:val="24"/>
          <w:szCs w:val="24"/>
          <w:lang w:eastAsia="zh-CN"/>
        </w:rPr>
        <w:t xml:space="preserve"> 2002; </w:t>
      </w:r>
      <w:r w:rsidRPr="00991EB9">
        <w:rPr>
          <w:rFonts w:ascii="Book Antiqua" w:eastAsia="宋体" w:hAnsi="Book Antiqua"/>
          <w:b/>
          <w:sz w:val="24"/>
          <w:szCs w:val="24"/>
          <w:lang w:eastAsia="zh-CN"/>
        </w:rPr>
        <w:t>19</w:t>
      </w:r>
      <w:r w:rsidRPr="00991EB9">
        <w:rPr>
          <w:rFonts w:ascii="Book Antiqua" w:eastAsia="宋体" w:hAnsi="Book Antiqua"/>
          <w:sz w:val="24"/>
          <w:szCs w:val="24"/>
          <w:lang w:eastAsia="zh-CN"/>
        </w:rPr>
        <w:t>: 20-30 [PMID: 11936263 DOI: 10.1053/sdia.2002.31546]</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43 </w:t>
      </w:r>
      <w:r w:rsidRPr="00991EB9">
        <w:rPr>
          <w:rFonts w:ascii="Book Antiqua" w:eastAsia="宋体" w:hAnsi="Book Antiqua"/>
          <w:b/>
          <w:sz w:val="24"/>
          <w:szCs w:val="24"/>
          <w:lang w:eastAsia="zh-CN"/>
        </w:rPr>
        <w:t>Morson BC</w:t>
      </w:r>
      <w:r w:rsidRPr="00991EB9">
        <w:rPr>
          <w:rFonts w:ascii="Book Antiqua" w:eastAsia="宋体" w:hAnsi="Book Antiqua"/>
          <w:sz w:val="24"/>
          <w:szCs w:val="24"/>
          <w:lang w:eastAsia="zh-CN"/>
        </w:rPr>
        <w:t xml:space="preserve">, Sobin LH, Grundmann E, Johansen A, Nagayo T, Serck-Hanssen A. Precancerous conditions and epithelial dysplasia in the stomach. </w:t>
      </w:r>
      <w:r w:rsidRPr="00991EB9">
        <w:rPr>
          <w:rFonts w:ascii="Book Antiqua" w:eastAsia="宋体" w:hAnsi="Book Antiqua"/>
          <w:i/>
          <w:sz w:val="24"/>
          <w:szCs w:val="24"/>
          <w:lang w:eastAsia="zh-CN"/>
        </w:rPr>
        <w:t>J Clin Pathol</w:t>
      </w:r>
      <w:r w:rsidRPr="00991EB9">
        <w:rPr>
          <w:rFonts w:ascii="Book Antiqua" w:eastAsia="宋体" w:hAnsi="Book Antiqua"/>
          <w:sz w:val="24"/>
          <w:szCs w:val="24"/>
          <w:lang w:eastAsia="zh-CN"/>
        </w:rPr>
        <w:t xml:space="preserve"> 1980; </w:t>
      </w:r>
      <w:r w:rsidRPr="00991EB9">
        <w:rPr>
          <w:rFonts w:ascii="Book Antiqua" w:eastAsia="宋体" w:hAnsi="Book Antiqua"/>
          <w:b/>
          <w:sz w:val="24"/>
          <w:szCs w:val="24"/>
          <w:lang w:eastAsia="zh-CN"/>
        </w:rPr>
        <w:t>33</w:t>
      </w:r>
      <w:r w:rsidRPr="00991EB9">
        <w:rPr>
          <w:rFonts w:ascii="Book Antiqua" w:eastAsia="宋体" w:hAnsi="Book Antiqua"/>
          <w:sz w:val="24"/>
          <w:szCs w:val="24"/>
          <w:lang w:eastAsia="zh-CN"/>
        </w:rPr>
        <w:t>: 711-721 [PMID: 7430384 DOI: 10.1136/jcp.33.8.711]</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44 </w:t>
      </w:r>
      <w:r w:rsidRPr="00991EB9">
        <w:rPr>
          <w:rFonts w:ascii="Book Antiqua" w:eastAsia="宋体" w:hAnsi="Book Antiqua"/>
          <w:b/>
          <w:sz w:val="24"/>
          <w:szCs w:val="24"/>
          <w:lang w:eastAsia="zh-CN"/>
        </w:rPr>
        <w:t>Dixon MF</w:t>
      </w:r>
      <w:r w:rsidRPr="00991EB9">
        <w:rPr>
          <w:rFonts w:ascii="Book Antiqua" w:eastAsia="宋体" w:hAnsi="Book Antiqua"/>
          <w:sz w:val="24"/>
          <w:szCs w:val="24"/>
          <w:lang w:eastAsia="zh-CN"/>
        </w:rPr>
        <w:t xml:space="preserve">. Gastrointestinal epithelial neoplasia: Vienna revisited. </w:t>
      </w:r>
      <w:r w:rsidRPr="00991EB9">
        <w:rPr>
          <w:rFonts w:ascii="Book Antiqua" w:eastAsia="宋体" w:hAnsi="Book Antiqua"/>
          <w:i/>
          <w:sz w:val="24"/>
          <w:szCs w:val="24"/>
          <w:lang w:eastAsia="zh-CN"/>
        </w:rPr>
        <w:t>Gut</w:t>
      </w:r>
      <w:r w:rsidRPr="00991EB9">
        <w:rPr>
          <w:rFonts w:ascii="Book Antiqua" w:eastAsia="宋体" w:hAnsi="Book Antiqua"/>
          <w:sz w:val="24"/>
          <w:szCs w:val="24"/>
          <w:lang w:eastAsia="zh-CN"/>
        </w:rPr>
        <w:t xml:space="preserve"> 2002; </w:t>
      </w:r>
      <w:r w:rsidRPr="00991EB9">
        <w:rPr>
          <w:rFonts w:ascii="Book Antiqua" w:eastAsia="宋体" w:hAnsi="Book Antiqua"/>
          <w:b/>
          <w:sz w:val="24"/>
          <w:szCs w:val="24"/>
          <w:lang w:eastAsia="zh-CN"/>
        </w:rPr>
        <w:t>51</w:t>
      </w:r>
      <w:r w:rsidRPr="00991EB9">
        <w:rPr>
          <w:rFonts w:ascii="Book Antiqua" w:eastAsia="宋体" w:hAnsi="Book Antiqua"/>
          <w:sz w:val="24"/>
          <w:szCs w:val="24"/>
          <w:lang w:eastAsia="zh-CN"/>
        </w:rPr>
        <w:t>: 130-131 [PMID: 12077106 DOI: 10.1136/gut.51.1.130]</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45 </w:t>
      </w:r>
      <w:r w:rsidRPr="00991EB9">
        <w:rPr>
          <w:rFonts w:ascii="Book Antiqua" w:eastAsia="宋体" w:hAnsi="Book Antiqua"/>
          <w:b/>
          <w:sz w:val="24"/>
          <w:szCs w:val="24"/>
          <w:lang w:eastAsia="zh-CN"/>
        </w:rPr>
        <w:t>Goddard AF</w:t>
      </w:r>
      <w:r w:rsidRPr="00991EB9">
        <w:rPr>
          <w:rFonts w:ascii="Book Antiqua" w:eastAsia="宋体" w:hAnsi="Book Antiqua"/>
          <w:sz w:val="24"/>
          <w:szCs w:val="24"/>
          <w:lang w:eastAsia="zh-CN"/>
        </w:rPr>
        <w:t xml:space="preserve">, Badreldin R, Pritchard DM, Walker MM, Warren B; British Society of Gastroenterology. The management of gastric polyps. </w:t>
      </w:r>
      <w:r w:rsidRPr="00991EB9">
        <w:rPr>
          <w:rFonts w:ascii="Book Antiqua" w:eastAsia="宋体" w:hAnsi="Book Antiqua"/>
          <w:i/>
          <w:sz w:val="24"/>
          <w:szCs w:val="24"/>
          <w:lang w:eastAsia="zh-CN"/>
        </w:rPr>
        <w:t>Gut</w:t>
      </w:r>
      <w:r w:rsidRPr="00991EB9">
        <w:rPr>
          <w:rFonts w:ascii="Book Antiqua" w:eastAsia="宋体" w:hAnsi="Book Antiqua"/>
          <w:sz w:val="24"/>
          <w:szCs w:val="24"/>
          <w:lang w:eastAsia="zh-CN"/>
        </w:rPr>
        <w:t xml:space="preserve"> 2010; </w:t>
      </w:r>
      <w:r w:rsidRPr="00991EB9">
        <w:rPr>
          <w:rFonts w:ascii="Book Antiqua" w:eastAsia="宋体" w:hAnsi="Book Antiqua"/>
          <w:b/>
          <w:sz w:val="24"/>
          <w:szCs w:val="24"/>
          <w:lang w:eastAsia="zh-CN"/>
        </w:rPr>
        <w:t>59</w:t>
      </w:r>
      <w:r w:rsidRPr="00991EB9">
        <w:rPr>
          <w:rFonts w:ascii="Book Antiqua" w:eastAsia="宋体" w:hAnsi="Book Antiqua"/>
          <w:sz w:val="24"/>
          <w:szCs w:val="24"/>
          <w:lang w:eastAsia="zh-CN"/>
        </w:rPr>
        <w:t>: 1270-1276 [PMID: 20675692 DOI: 10.1136/gut.2009.182089]</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46 </w:t>
      </w:r>
      <w:r w:rsidRPr="00991EB9">
        <w:rPr>
          <w:rFonts w:ascii="Book Antiqua" w:eastAsia="宋体" w:hAnsi="Book Antiqua"/>
          <w:b/>
          <w:sz w:val="24"/>
          <w:szCs w:val="24"/>
          <w:lang w:eastAsia="zh-CN"/>
        </w:rPr>
        <w:t>Cho SJ</w:t>
      </w:r>
      <w:r w:rsidRPr="00991EB9">
        <w:rPr>
          <w:rFonts w:ascii="Book Antiqua" w:eastAsia="宋体" w:hAnsi="Book Antiqua"/>
          <w:sz w:val="24"/>
          <w:szCs w:val="24"/>
          <w:lang w:eastAsia="zh-CN"/>
        </w:rPr>
        <w:t xml:space="preserve">, Choi IJ, Kim CG, Lee JY, Kook MC, Park S, Ryu KW, Lee JH, Kim YW. Risk of high-grade dysplasia or carcinoma in gastric biopsy-proven low-grade dysplasia: an analysis using the Vienna classification. </w:t>
      </w:r>
      <w:r w:rsidRPr="00991EB9">
        <w:rPr>
          <w:rFonts w:ascii="Book Antiqua" w:eastAsia="宋体" w:hAnsi="Book Antiqua"/>
          <w:i/>
          <w:sz w:val="24"/>
          <w:szCs w:val="24"/>
          <w:lang w:eastAsia="zh-CN"/>
        </w:rPr>
        <w:t>Endoscopy</w:t>
      </w:r>
      <w:r w:rsidRPr="00991EB9">
        <w:rPr>
          <w:rFonts w:ascii="Book Antiqua" w:eastAsia="宋体" w:hAnsi="Book Antiqua"/>
          <w:sz w:val="24"/>
          <w:szCs w:val="24"/>
          <w:lang w:eastAsia="zh-CN"/>
        </w:rPr>
        <w:t xml:space="preserve"> 2011; </w:t>
      </w:r>
      <w:r w:rsidRPr="00991EB9">
        <w:rPr>
          <w:rFonts w:ascii="Book Antiqua" w:eastAsia="宋体" w:hAnsi="Book Antiqua"/>
          <w:b/>
          <w:sz w:val="24"/>
          <w:szCs w:val="24"/>
          <w:lang w:eastAsia="zh-CN"/>
        </w:rPr>
        <w:t>43</w:t>
      </w:r>
      <w:r w:rsidRPr="00991EB9">
        <w:rPr>
          <w:rFonts w:ascii="Book Antiqua" w:eastAsia="宋体" w:hAnsi="Book Antiqua"/>
          <w:sz w:val="24"/>
          <w:szCs w:val="24"/>
          <w:lang w:eastAsia="zh-CN"/>
        </w:rPr>
        <w:t>: 465-471 [PMID: 21425043 DOI: 10.1055/s-0030-1256236]</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47 </w:t>
      </w:r>
      <w:r w:rsidRPr="00991EB9">
        <w:rPr>
          <w:rFonts w:ascii="Book Antiqua" w:eastAsia="宋体" w:hAnsi="Book Antiqua"/>
          <w:b/>
          <w:sz w:val="24"/>
          <w:szCs w:val="24"/>
          <w:lang w:eastAsia="zh-CN"/>
        </w:rPr>
        <w:t>Lee H</w:t>
      </w:r>
      <w:r w:rsidRPr="00991EB9">
        <w:rPr>
          <w:rFonts w:ascii="Book Antiqua" w:eastAsia="宋体" w:hAnsi="Book Antiqua"/>
          <w:sz w:val="24"/>
          <w:szCs w:val="24"/>
          <w:lang w:eastAsia="zh-CN"/>
        </w:rPr>
        <w:t xml:space="preserve">, Kim H, Shin SK, Park JC, Lee SK, Lee YC, Kim H, Noh SH. The diagnostic role of endoscopic submucosal dissection for gastric lesions with indefinite pathology. </w:t>
      </w:r>
      <w:r w:rsidRPr="00991EB9">
        <w:rPr>
          <w:rFonts w:ascii="Book Antiqua" w:eastAsia="宋体" w:hAnsi="Book Antiqua"/>
          <w:i/>
          <w:sz w:val="24"/>
          <w:szCs w:val="24"/>
          <w:lang w:eastAsia="zh-CN"/>
        </w:rPr>
        <w:t>Scand J Gastroenterol</w:t>
      </w:r>
      <w:r w:rsidRPr="00991EB9">
        <w:rPr>
          <w:rFonts w:ascii="Book Antiqua" w:eastAsia="宋体" w:hAnsi="Book Antiqua"/>
          <w:sz w:val="24"/>
          <w:szCs w:val="24"/>
          <w:lang w:eastAsia="zh-CN"/>
        </w:rPr>
        <w:t xml:space="preserve"> 2012; </w:t>
      </w:r>
      <w:r w:rsidRPr="00991EB9">
        <w:rPr>
          <w:rFonts w:ascii="Book Antiqua" w:eastAsia="宋体" w:hAnsi="Book Antiqua"/>
          <w:b/>
          <w:sz w:val="24"/>
          <w:szCs w:val="24"/>
          <w:lang w:eastAsia="zh-CN"/>
        </w:rPr>
        <w:t>47</w:t>
      </w:r>
      <w:r w:rsidRPr="00991EB9">
        <w:rPr>
          <w:rFonts w:ascii="Book Antiqua" w:eastAsia="宋体" w:hAnsi="Book Antiqua"/>
          <w:sz w:val="24"/>
          <w:szCs w:val="24"/>
          <w:lang w:eastAsia="zh-CN"/>
        </w:rPr>
        <w:t>: 1101-1107 [PMID: 22793876 DOI: 10.3109/00365521.2012.704939]</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48 </w:t>
      </w:r>
      <w:r w:rsidRPr="00991EB9">
        <w:rPr>
          <w:rFonts w:ascii="Book Antiqua" w:eastAsia="宋体" w:hAnsi="Book Antiqua"/>
          <w:b/>
          <w:sz w:val="24"/>
          <w:szCs w:val="24"/>
          <w:lang w:eastAsia="zh-CN"/>
        </w:rPr>
        <w:t>Kim CG</w:t>
      </w:r>
      <w:r w:rsidRPr="00991EB9">
        <w:rPr>
          <w:rFonts w:ascii="Book Antiqua" w:eastAsia="宋体" w:hAnsi="Book Antiqua"/>
          <w:sz w:val="24"/>
          <w:szCs w:val="24"/>
          <w:lang w:eastAsia="zh-CN"/>
        </w:rPr>
        <w:t xml:space="preserve">. Tissue acquisition in gastric epithelial tumor prior to endoscopic resection. </w:t>
      </w:r>
      <w:r w:rsidRPr="00991EB9">
        <w:rPr>
          <w:rFonts w:ascii="Book Antiqua" w:eastAsia="宋体" w:hAnsi="Book Antiqua"/>
          <w:i/>
          <w:sz w:val="24"/>
          <w:szCs w:val="24"/>
          <w:lang w:eastAsia="zh-CN"/>
        </w:rPr>
        <w:t>Clin Endosc</w:t>
      </w:r>
      <w:r w:rsidRPr="00991EB9">
        <w:rPr>
          <w:rFonts w:ascii="Book Antiqua" w:eastAsia="宋体" w:hAnsi="Book Antiqua"/>
          <w:sz w:val="24"/>
          <w:szCs w:val="24"/>
          <w:lang w:eastAsia="zh-CN"/>
        </w:rPr>
        <w:t xml:space="preserve"> 2013; </w:t>
      </w:r>
      <w:r w:rsidRPr="00991EB9">
        <w:rPr>
          <w:rFonts w:ascii="Book Antiqua" w:eastAsia="宋体" w:hAnsi="Book Antiqua"/>
          <w:b/>
          <w:sz w:val="24"/>
          <w:szCs w:val="24"/>
          <w:lang w:eastAsia="zh-CN"/>
        </w:rPr>
        <w:t>46</w:t>
      </w:r>
      <w:r w:rsidRPr="00991EB9">
        <w:rPr>
          <w:rFonts w:ascii="Book Antiqua" w:eastAsia="宋体" w:hAnsi="Book Antiqua"/>
          <w:sz w:val="24"/>
          <w:szCs w:val="24"/>
          <w:lang w:eastAsia="zh-CN"/>
        </w:rPr>
        <w:t>: 436-440 [PMID: 24143298 DOI: 10.5946/ce.2013.46.5.436]</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49 </w:t>
      </w:r>
      <w:r w:rsidRPr="00991EB9">
        <w:rPr>
          <w:rFonts w:ascii="Book Antiqua" w:eastAsia="宋体" w:hAnsi="Book Antiqua"/>
          <w:b/>
          <w:sz w:val="24"/>
          <w:szCs w:val="24"/>
          <w:lang w:eastAsia="zh-CN"/>
        </w:rPr>
        <w:t>Omori T</w:t>
      </w:r>
      <w:r w:rsidRPr="00991EB9">
        <w:rPr>
          <w:rFonts w:ascii="Book Antiqua" w:eastAsia="宋体" w:hAnsi="Book Antiqua"/>
          <w:sz w:val="24"/>
          <w:szCs w:val="24"/>
          <w:lang w:eastAsia="zh-CN"/>
        </w:rPr>
        <w:t xml:space="preserve">, Kamiya Y, Tahara T, Shibata T, Nakamura M, Yonemura J, Okubo M, Yoshioka D, Ishizuka T, Maruyama N, Kamano T, Fujita H, Nakagawa Y, Nagasaka M, Iwata M, Arisawa T, Hirata I. Correlation between magnifying narrow band imaging and histopathology in gastric protruding/or polypoid lesions: a pilot feasibility trial. </w:t>
      </w:r>
      <w:r w:rsidRPr="00991EB9">
        <w:rPr>
          <w:rFonts w:ascii="Book Antiqua" w:eastAsia="宋体" w:hAnsi="Book Antiqua"/>
          <w:i/>
          <w:sz w:val="24"/>
          <w:szCs w:val="24"/>
          <w:lang w:eastAsia="zh-CN"/>
        </w:rPr>
        <w:t>BMC Gastroenterol</w:t>
      </w:r>
      <w:r w:rsidRPr="00991EB9">
        <w:rPr>
          <w:rFonts w:ascii="Book Antiqua" w:eastAsia="宋体" w:hAnsi="Book Antiqua"/>
          <w:sz w:val="24"/>
          <w:szCs w:val="24"/>
          <w:lang w:eastAsia="zh-CN"/>
        </w:rPr>
        <w:t xml:space="preserve"> 2012; </w:t>
      </w:r>
      <w:r w:rsidRPr="00991EB9">
        <w:rPr>
          <w:rFonts w:ascii="Book Antiqua" w:eastAsia="宋体" w:hAnsi="Book Antiqua"/>
          <w:b/>
          <w:sz w:val="24"/>
          <w:szCs w:val="24"/>
          <w:lang w:eastAsia="zh-CN"/>
        </w:rPr>
        <w:t>12</w:t>
      </w:r>
      <w:r w:rsidRPr="00991EB9">
        <w:rPr>
          <w:rFonts w:ascii="Book Antiqua" w:eastAsia="宋体" w:hAnsi="Book Antiqua"/>
          <w:sz w:val="24"/>
          <w:szCs w:val="24"/>
          <w:lang w:eastAsia="zh-CN"/>
        </w:rPr>
        <w:t>: 17 [PMID: 22356674 DOI: 10.1186/1471-230X-12-17]</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50 </w:t>
      </w:r>
      <w:r w:rsidRPr="00991EB9">
        <w:rPr>
          <w:rFonts w:ascii="Book Antiqua" w:eastAsia="宋体" w:hAnsi="Book Antiqua"/>
          <w:b/>
          <w:sz w:val="24"/>
          <w:szCs w:val="24"/>
          <w:lang w:eastAsia="zh-CN"/>
        </w:rPr>
        <w:t>Hwang JW</w:t>
      </w:r>
      <w:r w:rsidRPr="00991EB9">
        <w:rPr>
          <w:rFonts w:ascii="Book Antiqua" w:eastAsia="宋体" w:hAnsi="Book Antiqua"/>
          <w:sz w:val="24"/>
          <w:szCs w:val="24"/>
          <w:lang w:eastAsia="zh-CN"/>
        </w:rPr>
        <w:t xml:space="preserve">, Bae YS, Kang MS, Kim JH, Jee SR, Lee SH, An MS, Kim KH, Bae KB, Kim B, Seol SY. Predicting pre- and post-resectional histologic discrepancies in gastric low-grade dysplasia: A comparison of white-light and magnifying endoscopy. </w:t>
      </w:r>
      <w:r w:rsidRPr="00991EB9">
        <w:rPr>
          <w:rFonts w:ascii="Book Antiqua" w:eastAsia="宋体" w:hAnsi="Book Antiqua"/>
          <w:i/>
          <w:sz w:val="24"/>
          <w:szCs w:val="24"/>
          <w:lang w:eastAsia="zh-CN"/>
        </w:rPr>
        <w:t>J Gastroenterol Hepatol</w:t>
      </w:r>
      <w:r w:rsidRPr="00991EB9">
        <w:rPr>
          <w:rFonts w:ascii="Book Antiqua" w:eastAsia="宋体" w:hAnsi="Book Antiqua"/>
          <w:sz w:val="24"/>
          <w:szCs w:val="24"/>
          <w:lang w:eastAsia="zh-CN"/>
        </w:rPr>
        <w:t xml:space="preserve"> 2016; </w:t>
      </w:r>
      <w:r w:rsidRPr="00991EB9">
        <w:rPr>
          <w:rFonts w:ascii="Book Antiqua" w:eastAsia="宋体" w:hAnsi="Book Antiqua"/>
          <w:b/>
          <w:sz w:val="24"/>
          <w:szCs w:val="24"/>
          <w:lang w:eastAsia="zh-CN"/>
        </w:rPr>
        <w:t>31</w:t>
      </w:r>
      <w:r w:rsidRPr="00991EB9">
        <w:rPr>
          <w:rFonts w:ascii="Book Antiqua" w:eastAsia="宋体" w:hAnsi="Book Antiqua"/>
          <w:sz w:val="24"/>
          <w:szCs w:val="24"/>
          <w:lang w:eastAsia="zh-CN"/>
        </w:rPr>
        <w:t>: 394-402 [PMID: 26474082 DOI: 10.1111/jgh.13195]</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51 </w:t>
      </w:r>
      <w:r w:rsidRPr="00991EB9">
        <w:rPr>
          <w:rFonts w:ascii="Book Antiqua" w:eastAsia="宋体" w:hAnsi="Book Antiqua"/>
          <w:b/>
          <w:sz w:val="24"/>
          <w:szCs w:val="24"/>
          <w:lang w:eastAsia="zh-CN"/>
        </w:rPr>
        <w:t>Yao K</w:t>
      </w:r>
      <w:r w:rsidRPr="00991EB9">
        <w:rPr>
          <w:rFonts w:ascii="Book Antiqua" w:eastAsia="宋体" w:hAnsi="Book Antiqua"/>
          <w:sz w:val="24"/>
          <w:szCs w:val="24"/>
          <w:lang w:eastAsia="zh-CN"/>
        </w:rPr>
        <w:t xml:space="preserve">. How is the VS (vessel plus surface) classification system applicable to magnifying narrow-band imaging examinations of gastric neoplasias initially diagnosed as low-grade adenomas? </w:t>
      </w:r>
      <w:r w:rsidRPr="00991EB9">
        <w:rPr>
          <w:rFonts w:ascii="Book Antiqua" w:eastAsia="宋体" w:hAnsi="Book Antiqua"/>
          <w:i/>
          <w:sz w:val="24"/>
          <w:szCs w:val="24"/>
          <w:lang w:eastAsia="zh-CN"/>
        </w:rPr>
        <w:t>Gastric Cancer</w:t>
      </w:r>
      <w:r w:rsidRPr="00991EB9">
        <w:rPr>
          <w:rFonts w:ascii="Book Antiqua" w:eastAsia="宋体" w:hAnsi="Book Antiqua"/>
          <w:sz w:val="24"/>
          <w:szCs w:val="24"/>
          <w:lang w:eastAsia="zh-CN"/>
        </w:rPr>
        <w:t xml:space="preserve"> 2012; </w:t>
      </w:r>
      <w:r w:rsidRPr="00991EB9">
        <w:rPr>
          <w:rFonts w:ascii="Book Antiqua" w:eastAsia="宋体" w:hAnsi="Book Antiqua"/>
          <w:b/>
          <w:sz w:val="24"/>
          <w:szCs w:val="24"/>
          <w:lang w:eastAsia="zh-CN"/>
        </w:rPr>
        <w:t>15</w:t>
      </w:r>
      <w:r w:rsidRPr="00991EB9">
        <w:rPr>
          <w:rFonts w:ascii="Book Antiqua" w:eastAsia="宋体" w:hAnsi="Book Antiqua"/>
          <w:sz w:val="24"/>
          <w:szCs w:val="24"/>
          <w:lang w:eastAsia="zh-CN"/>
        </w:rPr>
        <w:t>: 118-120 [PMID: 22407063 DOI: 10.1007/s10120-011-0132-3]</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52 </w:t>
      </w:r>
      <w:r w:rsidRPr="00991EB9">
        <w:rPr>
          <w:rFonts w:ascii="Book Antiqua" w:eastAsia="宋体" w:hAnsi="Book Antiqua"/>
          <w:b/>
          <w:sz w:val="24"/>
          <w:szCs w:val="24"/>
          <w:lang w:eastAsia="zh-CN"/>
        </w:rPr>
        <w:t>Yao K</w:t>
      </w:r>
      <w:r w:rsidRPr="00991EB9">
        <w:rPr>
          <w:rFonts w:ascii="Book Antiqua" w:eastAsia="宋体" w:hAnsi="Book Antiqua"/>
          <w:sz w:val="24"/>
          <w:szCs w:val="24"/>
          <w:lang w:eastAsia="zh-CN"/>
        </w:rPr>
        <w:t xml:space="preserve">, Iwashita A, Tanabe H, Nagahama T, Matsui T, Ueki T, Sou S, Kikuchi Y, Yorioka M. Novel zoom endoscopy technique for diagnosis of small flat gastric cancer: a prospective, blind study. </w:t>
      </w:r>
      <w:r w:rsidRPr="00991EB9">
        <w:rPr>
          <w:rFonts w:ascii="Book Antiqua" w:eastAsia="宋体" w:hAnsi="Book Antiqua"/>
          <w:i/>
          <w:sz w:val="24"/>
          <w:szCs w:val="24"/>
          <w:lang w:eastAsia="zh-CN"/>
        </w:rPr>
        <w:t>Clin Gastroenterol Hepatol</w:t>
      </w:r>
      <w:r w:rsidRPr="00991EB9">
        <w:rPr>
          <w:rFonts w:ascii="Book Antiqua" w:eastAsia="宋体" w:hAnsi="Book Antiqua"/>
          <w:sz w:val="24"/>
          <w:szCs w:val="24"/>
          <w:lang w:eastAsia="zh-CN"/>
        </w:rPr>
        <w:t xml:space="preserve"> 2007; </w:t>
      </w:r>
      <w:r w:rsidRPr="00991EB9">
        <w:rPr>
          <w:rFonts w:ascii="Book Antiqua" w:eastAsia="宋体" w:hAnsi="Book Antiqua"/>
          <w:b/>
          <w:sz w:val="24"/>
          <w:szCs w:val="24"/>
          <w:lang w:eastAsia="zh-CN"/>
        </w:rPr>
        <w:t>5</w:t>
      </w:r>
      <w:r w:rsidRPr="00991EB9">
        <w:rPr>
          <w:rFonts w:ascii="Book Antiqua" w:eastAsia="宋体" w:hAnsi="Book Antiqua"/>
          <w:sz w:val="24"/>
          <w:szCs w:val="24"/>
          <w:lang w:eastAsia="zh-CN"/>
        </w:rPr>
        <w:t>: 869-878 [PMID: 17544872 DOI: 10.1016/j.cgh.2007.02.034]</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53 </w:t>
      </w:r>
      <w:r w:rsidRPr="00991EB9">
        <w:rPr>
          <w:rFonts w:ascii="Book Antiqua" w:eastAsia="宋体" w:hAnsi="Book Antiqua"/>
          <w:b/>
          <w:sz w:val="24"/>
          <w:szCs w:val="24"/>
          <w:lang w:eastAsia="zh-CN"/>
        </w:rPr>
        <w:t>Ezoe Y</w:t>
      </w:r>
      <w:r w:rsidRPr="00991EB9">
        <w:rPr>
          <w:rFonts w:ascii="Book Antiqua" w:eastAsia="宋体" w:hAnsi="Book Antiqua"/>
          <w:sz w:val="24"/>
          <w:szCs w:val="24"/>
          <w:lang w:eastAsia="zh-CN"/>
        </w:rPr>
        <w:t xml:space="preserve">, Muto M, Uedo N, Doyama H, Yao K, Oda I, Kaneko K, Kawahara Y, Yokoi C, Sugiura Y, Ishikawa H, Takeuchi Y, Kaneko Y, Saito Y. Magnifying narrowband imaging is more accurate than conventional white-light imaging in diagnosis of gastric mucosal cancer. </w:t>
      </w:r>
      <w:r w:rsidRPr="00991EB9">
        <w:rPr>
          <w:rFonts w:ascii="Book Antiqua" w:eastAsia="宋体" w:hAnsi="Book Antiqua"/>
          <w:i/>
          <w:sz w:val="24"/>
          <w:szCs w:val="24"/>
          <w:lang w:eastAsia="zh-CN"/>
        </w:rPr>
        <w:t>Gastroenterology</w:t>
      </w:r>
      <w:r w:rsidRPr="00991EB9">
        <w:rPr>
          <w:rFonts w:ascii="Book Antiqua" w:eastAsia="宋体" w:hAnsi="Book Antiqua"/>
          <w:sz w:val="24"/>
          <w:szCs w:val="24"/>
          <w:lang w:eastAsia="zh-CN"/>
        </w:rPr>
        <w:t xml:space="preserve"> 2011; </w:t>
      </w:r>
      <w:r w:rsidRPr="00991EB9">
        <w:rPr>
          <w:rFonts w:ascii="Book Antiqua" w:eastAsia="宋体" w:hAnsi="Book Antiqua"/>
          <w:b/>
          <w:sz w:val="24"/>
          <w:szCs w:val="24"/>
          <w:lang w:eastAsia="zh-CN"/>
        </w:rPr>
        <w:t>141</w:t>
      </w:r>
      <w:r w:rsidRPr="00991EB9">
        <w:rPr>
          <w:rFonts w:ascii="Book Antiqua" w:eastAsia="宋体" w:hAnsi="Book Antiqua"/>
          <w:sz w:val="24"/>
          <w:szCs w:val="24"/>
          <w:lang w:eastAsia="zh-CN"/>
        </w:rPr>
        <w:t>: 2017-2025.e3 [PMID: 21856268 DOI: 10.1053/j.gastro.2011.08.007]</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54 </w:t>
      </w:r>
      <w:r w:rsidRPr="00991EB9">
        <w:rPr>
          <w:rFonts w:ascii="Book Antiqua" w:eastAsia="宋体" w:hAnsi="Book Antiqua"/>
          <w:b/>
          <w:sz w:val="24"/>
          <w:szCs w:val="24"/>
          <w:lang w:eastAsia="zh-CN"/>
        </w:rPr>
        <w:t>Yamada S</w:t>
      </w:r>
      <w:r w:rsidRPr="00991EB9">
        <w:rPr>
          <w:rFonts w:ascii="Book Antiqua" w:eastAsia="宋体" w:hAnsi="Book Antiqua"/>
          <w:sz w:val="24"/>
          <w:szCs w:val="24"/>
          <w:lang w:eastAsia="zh-CN"/>
        </w:rPr>
        <w:t xml:space="preserve">, Doyama H, Yao K, Uedo N, Ezoe Y, Oda I, Kaneko K, Kawahara Y, Yokoi C, Sugiura Y, Ishikawa H, Takeuchi Y, Saito Y, Muto M. An efficient diagnostic strategy for small, depressed early gastric cancer with magnifying narrow-band imaging: a post-hoc analysis of a prospective randomized controlled trial. </w:t>
      </w:r>
      <w:r w:rsidRPr="00991EB9">
        <w:rPr>
          <w:rFonts w:ascii="Book Antiqua" w:eastAsia="宋体" w:hAnsi="Book Antiqua"/>
          <w:i/>
          <w:sz w:val="24"/>
          <w:szCs w:val="24"/>
          <w:lang w:eastAsia="zh-CN"/>
        </w:rPr>
        <w:t>Gastrointest Endosc</w:t>
      </w:r>
      <w:r w:rsidRPr="00991EB9">
        <w:rPr>
          <w:rFonts w:ascii="Book Antiqua" w:eastAsia="宋体" w:hAnsi="Book Antiqua"/>
          <w:sz w:val="24"/>
          <w:szCs w:val="24"/>
          <w:lang w:eastAsia="zh-CN"/>
        </w:rPr>
        <w:t xml:space="preserve"> 2014; </w:t>
      </w:r>
      <w:r w:rsidRPr="00991EB9">
        <w:rPr>
          <w:rFonts w:ascii="Book Antiqua" w:eastAsia="宋体" w:hAnsi="Book Antiqua"/>
          <w:b/>
          <w:sz w:val="24"/>
          <w:szCs w:val="24"/>
          <w:lang w:eastAsia="zh-CN"/>
        </w:rPr>
        <w:t>79</w:t>
      </w:r>
      <w:r w:rsidRPr="00991EB9">
        <w:rPr>
          <w:rFonts w:ascii="Book Antiqua" w:eastAsia="宋体" w:hAnsi="Book Antiqua"/>
          <w:sz w:val="24"/>
          <w:szCs w:val="24"/>
          <w:lang w:eastAsia="zh-CN"/>
        </w:rPr>
        <w:t>: 55-63 [PMID: 23932092 DOI: 10.1016/j.gie.2013.07.008]</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55 </w:t>
      </w:r>
      <w:r w:rsidRPr="00991EB9">
        <w:rPr>
          <w:rFonts w:ascii="Book Antiqua" w:eastAsia="宋体" w:hAnsi="Book Antiqua"/>
          <w:b/>
          <w:sz w:val="24"/>
          <w:szCs w:val="24"/>
          <w:lang w:eastAsia="zh-CN"/>
        </w:rPr>
        <w:t>Yao K</w:t>
      </w:r>
      <w:r w:rsidRPr="00991EB9">
        <w:rPr>
          <w:rFonts w:ascii="Book Antiqua" w:eastAsia="宋体" w:hAnsi="Book Antiqua"/>
          <w:sz w:val="24"/>
          <w:szCs w:val="24"/>
          <w:lang w:eastAsia="zh-CN"/>
        </w:rPr>
        <w:t xml:space="preserve">, Anagnostopoulos GK, Ragunath K. Magnifying endoscopy for diagnosing and delineating early gastric cancer. </w:t>
      </w:r>
      <w:r w:rsidRPr="00991EB9">
        <w:rPr>
          <w:rFonts w:ascii="Book Antiqua" w:eastAsia="宋体" w:hAnsi="Book Antiqua"/>
          <w:i/>
          <w:sz w:val="24"/>
          <w:szCs w:val="24"/>
          <w:lang w:eastAsia="zh-CN"/>
        </w:rPr>
        <w:t>Endoscopy</w:t>
      </w:r>
      <w:r w:rsidRPr="00991EB9">
        <w:rPr>
          <w:rFonts w:ascii="Book Antiqua" w:eastAsia="宋体" w:hAnsi="Book Antiqua"/>
          <w:sz w:val="24"/>
          <w:szCs w:val="24"/>
          <w:lang w:eastAsia="zh-CN"/>
        </w:rPr>
        <w:t xml:space="preserve"> 2009; </w:t>
      </w:r>
      <w:r w:rsidRPr="00991EB9">
        <w:rPr>
          <w:rFonts w:ascii="Book Antiqua" w:eastAsia="宋体" w:hAnsi="Book Antiqua"/>
          <w:b/>
          <w:sz w:val="24"/>
          <w:szCs w:val="24"/>
          <w:lang w:eastAsia="zh-CN"/>
        </w:rPr>
        <w:t>41</w:t>
      </w:r>
      <w:r w:rsidRPr="00991EB9">
        <w:rPr>
          <w:rFonts w:ascii="Book Antiqua" w:eastAsia="宋体" w:hAnsi="Book Antiqua"/>
          <w:sz w:val="24"/>
          <w:szCs w:val="24"/>
          <w:lang w:eastAsia="zh-CN"/>
        </w:rPr>
        <w:t>: 462-467 [PMID: 19418401 DOI: 10.1055/s-0029-1214594]</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56 </w:t>
      </w:r>
      <w:r w:rsidRPr="00991EB9">
        <w:rPr>
          <w:rFonts w:ascii="Book Antiqua" w:eastAsia="宋体" w:hAnsi="Book Antiqua"/>
          <w:b/>
          <w:sz w:val="24"/>
          <w:szCs w:val="24"/>
          <w:lang w:eastAsia="zh-CN"/>
        </w:rPr>
        <w:t>Yao K</w:t>
      </w:r>
      <w:r w:rsidRPr="00991EB9">
        <w:rPr>
          <w:rFonts w:ascii="Book Antiqua" w:eastAsia="宋体" w:hAnsi="Book Antiqua"/>
          <w:sz w:val="24"/>
          <w:szCs w:val="24"/>
          <w:lang w:eastAsia="zh-CN"/>
        </w:rPr>
        <w:t xml:space="preserve">, Doyama H, Gotoda T, Ishikawa H, Nagahama T, Yokoi C, Oda I, Machida H, Uchita K, Tabuchi M. Diagnostic performance and limitations of magnifying narrow-band imaging in screening endoscopy of early gastric cancer: a prospective multicenter feasibility study. </w:t>
      </w:r>
      <w:r w:rsidRPr="00991EB9">
        <w:rPr>
          <w:rFonts w:ascii="Book Antiqua" w:eastAsia="宋体" w:hAnsi="Book Antiqua"/>
          <w:i/>
          <w:sz w:val="24"/>
          <w:szCs w:val="24"/>
          <w:lang w:eastAsia="zh-CN"/>
        </w:rPr>
        <w:t>Gastric Cancer</w:t>
      </w:r>
      <w:r w:rsidRPr="00991EB9">
        <w:rPr>
          <w:rFonts w:ascii="Book Antiqua" w:eastAsia="宋体" w:hAnsi="Book Antiqua"/>
          <w:sz w:val="24"/>
          <w:szCs w:val="24"/>
          <w:lang w:eastAsia="zh-CN"/>
        </w:rPr>
        <w:t xml:space="preserve"> 2014; </w:t>
      </w:r>
      <w:r w:rsidRPr="00991EB9">
        <w:rPr>
          <w:rFonts w:ascii="Book Antiqua" w:eastAsia="宋体" w:hAnsi="Book Antiqua"/>
          <w:b/>
          <w:sz w:val="24"/>
          <w:szCs w:val="24"/>
          <w:lang w:eastAsia="zh-CN"/>
        </w:rPr>
        <w:t>17</w:t>
      </w:r>
      <w:r w:rsidRPr="00991EB9">
        <w:rPr>
          <w:rFonts w:ascii="Book Antiqua" w:eastAsia="宋体" w:hAnsi="Book Antiqua"/>
          <w:sz w:val="24"/>
          <w:szCs w:val="24"/>
          <w:lang w:eastAsia="zh-CN"/>
        </w:rPr>
        <w:t>: 669-679 [PMID: 24407989 DOI: 10.1007/s10120-013-0332-0]</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57 </w:t>
      </w:r>
      <w:r w:rsidRPr="00991EB9">
        <w:rPr>
          <w:rFonts w:ascii="Book Antiqua" w:eastAsia="宋体" w:hAnsi="Book Antiqua"/>
          <w:b/>
          <w:sz w:val="24"/>
          <w:szCs w:val="24"/>
          <w:lang w:eastAsia="zh-CN"/>
        </w:rPr>
        <w:t>Fujiwara S</w:t>
      </w:r>
      <w:r w:rsidRPr="00991EB9">
        <w:rPr>
          <w:rFonts w:ascii="Book Antiqua" w:eastAsia="宋体" w:hAnsi="Book Antiqua"/>
          <w:sz w:val="24"/>
          <w:szCs w:val="24"/>
          <w:lang w:eastAsia="zh-CN"/>
        </w:rPr>
        <w:t xml:space="preserve">, Yao K, Nagahama T, Uchita K, Kanemitsu T, Tsurumi K, Takatsu N, Hisabe T, Tanabe H, Iwashita A, Matsui T. Can we accurately diagnose minute gastric cancers (≤5 mm)? Chromoendoscopy (CE) vs magnifying endoscopy with narrow band imaging (M-NBI). </w:t>
      </w:r>
      <w:r w:rsidRPr="00991EB9">
        <w:rPr>
          <w:rFonts w:ascii="Book Antiqua" w:eastAsia="宋体" w:hAnsi="Book Antiqua"/>
          <w:i/>
          <w:sz w:val="24"/>
          <w:szCs w:val="24"/>
          <w:lang w:eastAsia="zh-CN"/>
        </w:rPr>
        <w:t>Gastric Cancer</w:t>
      </w:r>
      <w:r w:rsidRPr="00991EB9">
        <w:rPr>
          <w:rFonts w:ascii="Book Antiqua" w:eastAsia="宋体" w:hAnsi="Book Antiqua"/>
          <w:sz w:val="24"/>
          <w:szCs w:val="24"/>
          <w:lang w:eastAsia="zh-CN"/>
        </w:rPr>
        <w:t xml:space="preserve"> 2015; </w:t>
      </w:r>
      <w:r w:rsidRPr="00991EB9">
        <w:rPr>
          <w:rFonts w:ascii="Book Antiqua" w:eastAsia="宋体" w:hAnsi="Book Antiqua"/>
          <w:b/>
          <w:sz w:val="24"/>
          <w:szCs w:val="24"/>
          <w:lang w:eastAsia="zh-CN"/>
        </w:rPr>
        <w:t>18</w:t>
      </w:r>
      <w:r w:rsidRPr="00991EB9">
        <w:rPr>
          <w:rFonts w:ascii="Book Antiqua" w:eastAsia="宋体" w:hAnsi="Book Antiqua"/>
          <w:sz w:val="24"/>
          <w:szCs w:val="24"/>
          <w:lang w:eastAsia="zh-CN"/>
        </w:rPr>
        <w:t>: 590-596 [PMID: 25005559 DOI: 10.1007/s10120-014-0399-2]</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58 </w:t>
      </w:r>
      <w:r w:rsidRPr="00991EB9">
        <w:rPr>
          <w:rFonts w:ascii="Book Antiqua" w:eastAsia="宋体" w:hAnsi="Book Antiqua"/>
          <w:b/>
          <w:sz w:val="24"/>
          <w:szCs w:val="24"/>
          <w:lang w:eastAsia="zh-CN"/>
        </w:rPr>
        <w:t>Kato M</w:t>
      </w:r>
      <w:r w:rsidRPr="00991EB9">
        <w:rPr>
          <w:rFonts w:ascii="Book Antiqua" w:eastAsia="宋体" w:hAnsi="Book Antiqua"/>
          <w:sz w:val="24"/>
          <w:szCs w:val="24"/>
          <w:lang w:eastAsia="zh-CN"/>
        </w:rPr>
        <w:t xml:space="preserve">, Kaise M, Yonezawa J, Toyoizumi H, Yoshimura N, Yoshida Y, Kawamura M, Tajiri H. Magnifying endoscopy with narrow-band imaging achieves superior accuracy in the differential diagnosis of superficial gastric lesions identified with white-light endoscopy: a prospective study. </w:t>
      </w:r>
      <w:r w:rsidRPr="00991EB9">
        <w:rPr>
          <w:rFonts w:ascii="Book Antiqua" w:eastAsia="宋体" w:hAnsi="Book Antiqua"/>
          <w:i/>
          <w:sz w:val="24"/>
          <w:szCs w:val="24"/>
          <w:lang w:eastAsia="zh-CN"/>
        </w:rPr>
        <w:t>Gastrointest Endosc</w:t>
      </w:r>
      <w:r w:rsidRPr="00991EB9">
        <w:rPr>
          <w:rFonts w:ascii="Book Antiqua" w:eastAsia="宋体" w:hAnsi="Book Antiqua"/>
          <w:sz w:val="24"/>
          <w:szCs w:val="24"/>
          <w:lang w:eastAsia="zh-CN"/>
        </w:rPr>
        <w:t xml:space="preserve"> 2010; </w:t>
      </w:r>
      <w:r w:rsidRPr="00991EB9">
        <w:rPr>
          <w:rFonts w:ascii="Book Antiqua" w:eastAsia="宋体" w:hAnsi="Book Antiqua"/>
          <w:b/>
          <w:sz w:val="24"/>
          <w:szCs w:val="24"/>
          <w:lang w:eastAsia="zh-CN"/>
        </w:rPr>
        <w:t>72</w:t>
      </w:r>
      <w:r w:rsidRPr="00991EB9">
        <w:rPr>
          <w:rFonts w:ascii="Book Antiqua" w:eastAsia="宋体" w:hAnsi="Book Antiqua"/>
          <w:sz w:val="24"/>
          <w:szCs w:val="24"/>
          <w:lang w:eastAsia="zh-CN"/>
        </w:rPr>
        <w:t>: 523-529 [PMID: 20598685 DOI: 10.1016/j.gie.2010.04.041]</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59 </w:t>
      </w:r>
      <w:r w:rsidRPr="00991EB9">
        <w:rPr>
          <w:rFonts w:ascii="Book Antiqua" w:eastAsia="宋体" w:hAnsi="Book Antiqua"/>
          <w:b/>
          <w:sz w:val="24"/>
          <w:szCs w:val="24"/>
          <w:lang w:eastAsia="zh-CN"/>
        </w:rPr>
        <w:t>Kanesaka T</w:t>
      </w:r>
      <w:r w:rsidRPr="00991EB9">
        <w:rPr>
          <w:rFonts w:ascii="Book Antiqua" w:eastAsia="宋体" w:hAnsi="Book Antiqua"/>
          <w:sz w:val="24"/>
          <w:szCs w:val="24"/>
          <w:lang w:eastAsia="zh-CN"/>
        </w:rPr>
        <w:t xml:space="preserve">, Uedo N, Yao K, Ezoe Y, Doyama H, Oda I, Kaneko K, Kawahara Y, Yokoi C, Sugiura Y, Ishikawa H, Kato M, Takeuchi Y, Muto M, Saito Y. A significant feature of microvessels in magnifying narrow-band imaging for diagnosis of early gastric cancer. </w:t>
      </w:r>
      <w:r w:rsidRPr="00991EB9">
        <w:rPr>
          <w:rFonts w:ascii="Book Antiqua" w:eastAsia="宋体" w:hAnsi="Book Antiqua"/>
          <w:i/>
          <w:sz w:val="24"/>
          <w:szCs w:val="24"/>
          <w:lang w:eastAsia="zh-CN"/>
        </w:rPr>
        <w:t>Endosc Int Open</w:t>
      </w:r>
      <w:r w:rsidRPr="00991EB9">
        <w:rPr>
          <w:rFonts w:ascii="Book Antiqua" w:eastAsia="宋体" w:hAnsi="Book Antiqua"/>
          <w:sz w:val="24"/>
          <w:szCs w:val="24"/>
          <w:lang w:eastAsia="zh-CN"/>
        </w:rPr>
        <w:t xml:space="preserve"> 2015; </w:t>
      </w:r>
      <w:r w:rsidRPr="00991EB9">
        <w:rPr>
          <w:rFonts w:ascii="Book Antiqua" w:eastAsia="宋体" w:hAnsi="Book Antiqua"/>
          <w:b/>
          <w:sz w:val="24"/>
          <w:szCs w:val="24"/>
          <w:lang w:eastAsia="zh-CN"/>
        </w:rPr>
        <w:t>3</w:t>
      </w:r>
      <w:r w:rsidRPr="00991EB9">
        <w:rPr>
          <w:rFonts w:ascii="Book Antiqua" w:eastAsia="宋体" w:hAnsi="Book Antiqua"/>
          <w:sz w:val="24"/>
          <w:szCs w:val="24"/>
          <w:lang w:eastAsia="zh-CN"/>
        </w:rPr>
        <w:t>: E590-E596 [PMID: 26716118 DOI: 10.1055/s-0034-1392608]</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60 </w:t>
      </w:r>
      <w:r w:rsidRPr="00991EB9">
        <w:rPr>
          <w:rFonts w:ascii="Book Antiqua" w:eastAsia="宋体" w:hAnsi="Book Antiqua"/>
          <w:b/>
          <w:sz w:val="24"/>
          <w:szCs w:val="24"/>
          <w:lang w:eastAsia="zh-CN"/>
        </w:rPr>
        <w:t>Cho JH</w:t>
      </w:r>
      <w:r w:rsidRPr="00991EB9">
        <w:rPr>
          <w:rFonts w:ascii="Book Antiqua" w:eastAsia="宋体" w:hAnsi="Book Antiqua"/>
          <w:sz w:val="24"/>
          <w:szCs w:val="24"/>
          <w:lang w:eastAsia="zh-CN"/>
        </w:rPr>
        <w:t xml:space="preserve">, Cha SW, Kim HG, Lee TH, Cho JY, Ko WJ, Jin SY, Park S. Long-term outcomes of endoscopic submucosal dissection for early gastric cancer: a comparison study to surgery using propensity score-matched analysis. </w:t>
      </w:r>
      <w:r w:rsidRPr="00991EB9">
        <w:rPr>
          <w:rFonts w:ascii="Book Antiqua" w:eastAsia="宋体" w:hAnsi="Book Antiqua"/>
          <w:i/>
          <w:sz w:val="24"/>
          <w:szCs w:val="24"/>
          <w:lang w:eastAsia="zh-CN"/>
        </w:rPr>
        <w:t>Surg Endosc</w:t>
      </w:r>
      <w:r w:rsidRPr="00991EB9">
        <w:rPr>
          <w:rFonts w:ascii="Book Antiqua" w:eastAsia="宋体" w:hAnsi="Book Antiqua"/>
          <w:sz w:val="24"/>
          <w:szCs w:val="24"/>
          <w:lang w:eastAsia="zh-CN"/>
        </w:rPr>
        <w:t xml:space="preserve"> 2016; </w:t>
      </w:r>
      <w:r w:rsidRPr="00991EB9">
        <w:rPr>
          <w:rFonts w:ascii="Book Antiqua" w:eastAsia="宋体" w:hAnsi="Book Antiqua"/>
          <w:b/>
          <w:sz w:val="24"/>
          <w:szCs w:val="24"/>
          <w:lang w:eastAsia="zh-CN"/>
        </w:rPr>
        <w:t>30</w:t>
      </w:r>
      <w:r w:rsidRPr="00991EB9">
        <w:rPr>
          <w:rFonts w:ascii="Book Antiqua" w:eastAsia="宋体" w:hAnsi="Book Antiqua"/>
          <w:sz w:val="24"/>
          <w:szCs w:val="24"/>
          <w:lang w:eastAsia="zh-CN"/>
        </w:rPr>
        <w:t>: 3762-3773 [PMID: 26659226 DOI: 10.1007/s00464-015-4672-1]</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61 </w:t>
      </w:r>
      <w:r w:rsidRPr="00991EB9">
        <w:rPr>
          <w:rFonts w:ascii="Book Antiqua" w:eastAsia="宋体" w:hAnsi="Book Antiqua"/>
          <w:b/>
          <w:sz w:val="24"/>
          <w:szCs w:val="24"/>
          <w:lang w:eastAsia="zh-CN"/>
        </w:rPr>
        <w:t>Kiyotoki S</w:t>
      </w:r>
      <w:r w:rsidRPr="00991EB9">
        <w:rPr>
          <w:rFonts w:ascii="Book Antiqua" w:eastAsia="宋体" w:hAnsi="Book Antiqua"/>
          <w:sz w:val="24"/>
          <w:szCs w:val="24"/>
          <w:lang w:eastAsia="zh-CN"/>
        </w:rPr>
        <w:t xml:space="preserve">, Nishikawa J, Satake M, Fukagawa Y, Shirai Y, Hamabe K, Saito M, Okamoto T, Sakaida I. Usefulness of magnifying endoscopy with narrow-band imaging for determining gastric tumor margin. </w:t>
      </w:r>
      <w:r w:rsidRPr="00991EB9">
        <w:rPr>
          <w:rFonts w:ascii="Book Antiqua" w:eastAsia="宋体" w:hAnsi="Book Antiqua"/>
          <w:i/>
          <w:sz w:val="24"/>
          <w:szCs w:val="24"/>
          <w:lang w:eastAsia="zh-CN"/>
        </w:rPr>
        <w:t>J Gastroenterol Hepatol</w:t>
      </w:r>
      <w:r w:rsidRPr="00991EB9">
        <w:rPr>
          <w:rFonts w:ascii="Book Antiqua" w:eastAsia="宋体" w:hAnsi="Book Antiqua"/>
          <w:sz w:val="24"/>
          <w:szCs w:val="24"/>
          <w:lang w:eastAsia="zh-CN"/>
        </w:rPr>
        <w:t xml:space="preserve"> 2010; </w:t>
      </w:r>
      <w:r w:rsidRPr="00991EB9">
        <w:rPr>
          <w:rFonts w:ascii="Book Antiqua" w:eastAsia="宋体" w:hAnsi="Book Antiqua"/>
          <w:b/>
          <w:sz w:val="24"/>
          <w:szCs w:val="24"/>
          <w:lang w:eastAsia="zh-CN"/>
        </w:rPr>
        <w:t>25</w:t>
      </w:r>
      <w:r w:rsidRPr="00991EB9">
        <w:rPr>
          <w:rFonts w:ascii="Book Antiqua" w:eastAsia="宋体" w:hAnsi="Book Antiqua"/>
          <w:sz w:val="24"/>
          <w:szCs w:val="24"/>
          <w:lang w:eastAsia="zh-CN"/>
        </w:rPr>
        <w:t>: 1636-1641 [PMID: 20880172 DOI: 10.1111/j.1440-1746.2010.06379.x]</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62 </w:t>
      </w:r>
      <w:r w:rsidRPr="00991EB9">
        <w:rPr>
          <w:rFonts w:ascii="Book Antiqua" w:eastAsia="宋体" w:hAnsi="Book Antiqua"/>
          <w:b/>
          <w:sz w:val="24"/>
          <w:szCs w:val="24"/>
          <w:lang w:eastAsia="zh-CN"/>
        </w:rPr>
        <w:t>Asada-Hirayama I</w:t>
      </w:r>
      <w:r w:rsidRPr="00991EB9">
        <w:rPr>
          <w:rFonts w:ascii="Book Antiqua" w:eastAsia="宋体" w:hAnsi="Book Antiqua"/>
          <w:sz w:val="24"/>
          <w:szCs w:val="24"/>
          <w:lang w:eastAsia="zh-CN"/>
        </w:rPr>
        <w:t xml:space="preserve">, Kodashima S, Sakaguchi Y, Ono S, Niimi K, Mochizuki S, Tsuji Y, Minatsuki C, Shichijo S, Matsuzaka K, Ushiku T, Fukayama M, Yamamichi N, Fujishiro M, Koike K. Magnifying endoscopy with narrow-band imaging is more accurate for determination of horizontal extent of early gastric cancers than chromoendoscopy. </w:t>
      </w:r>
      <w:r w:rsidRPr="00991EB9">
        <w:rPr>
          <w:rFonts w:ascii="Book Antiqua" w:eastAsia="宋体" w:hAnsi="Book Antiqua"/>
          <w:i/>
          <w:sz w:val="24"/>
          <w:szCs w:val="24"/>
          <w:lang w:eastAsia="zh-CN"/>
        </w:rPr>
        <w:t>Endosc Int Open</w:t>
      </w:r>
      <w:r w:rsidRPr="00991EB9">
        <w:rPr>
          <w:rFonts w:ascii="Book Antiqua" w:eastAsia="宋体" w:hAnsi="Book Antiqua"/>
          <w:sz w:val="24"/>
          <w:szCs w:val="24"/>
          <w:lang w:eastAsia="zh-CN"/>
        </w:rPr>
        <w:t xml:space="preserve"> 2016; </w:t>
      </w:r>
      <w:r w:rsidRPr="00991EB9">
        <w:rPr>
          <w:rFonts w:ascii="Book Antiqua" w:eastAsia="宋体" w:hAnsi="Book Antiqua"/>
          <w:b/>
          <w:sz w:val="24"/>
          <w:szCs w:val="24"/>
          <w:lang w:eastAsia="zh-CN"/>
        </w:rPr>
        <w:t>4</w:t>
      </w:r>
      <w:r w:rsidRPr="00991EB9">
        <w:rPr>
          <w:rFonts w:ascii="Book Antiqua" w:eastAsia="宋体" w:hAnsi="Book Antiqua"/>
          <w:sz w:val="24"/>
          <w:szCs w:val="24"/>
          <w:lang w:eastAsia="zh-CN"/>
        </w:rPr>
        <w:t>: E690-E698 [PMID: 27556080 DOI: 10.1055/s-0042-107068]</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63 </w:t>
      </w:r>
      <w:r w:rsidRPr="00991EB9">
        <w:rPr>
          <w:rFonts w:ascii="Book Antiqua" w:eastAsia="宋体" w:hAnsi="Book Antiqua"/>
          <w:b/>
          <w:sz w:val="24"/>
          <w:szCs w:val="24"/>
          <w:lang w:eastAsia="zh-CN"/>
        </w:rPr>
        <w:t>Nagahama T</w:t>
      </w:r>
      <w:r w:rsidRPr="00991EB9">
        <w:rPr>
          <w:rFonts w:ascii="Book Antiqua" w:eastAsia="宋体" w:hAnsi="Book Antiqua"/>
          <w:sz w:val="24"/>
          <w:szCs w:val="24"/>
          <w:lang w:eastAsia="zh-CN"/>
        </w:rPr>
        <w:t xml:space="preserve">, Yao K, Maki S, Yasaka M, Takaki Y, Matsui T, Tanabe H, Iwashita A, Ota A. Usefulness of magnifying endoscopy with narrow-band imaging for determining the horizontal extent of early gastric cancer when there is an unclear margin by chromoendoscopy (with video). </w:t>
      </w:r>
      <w:r w:rsidRPr="00991EB9">
        <w:rPr>
          <w:rFonts w:ascii="Book Antiqua" w:eastAsia="宋体" w:hAnsi="Book Antiqua"/>
          <w:i/>
          <w:sz w:val="24"/>
          <w:szCs w:val="24"/>
          <w:lang w:eastAsia="zh-CN"/>
        </w:rPr>
        <w:t>Gastrointest Endosc</w:t>
      </w:r>
      <w:r w:rsidRPr="00991EB9">
        <w:rPr>
          <w:rFonts w:ascii="Book Antiqua" w:eastAsia="宋体" w:hAnsi="Book Antiqua"/>
          <w:sz w:val="24"/>
          <w:szCs w:val="24"/>
          <w:lang w:eastAsia="zh-CN"/>
        </w:rPr>
        <w:t xml:space="preserve"> 2011; </w:t>
      </w:r>
      <w:r w:rsidRPr="00991EB9">
        <w:rPr>
          <w:rFonts w:ascii="Book Antiqua" w:eastAsia="宋体" w:hAnsi="Book Antiqua"/>
          <w:b/>
          <w:sz w:val="24"/>
          <w:szCs w:val="24"/>
          <w:lang w:eastAsia="zh-CN"/>
        </w:rPr>
        <w:t>74</w:t>
      </w:r>
      <w:r w:rsidRPr="00991EB9">
        <w:rPr>
          <w:rFonts w:ascii="Book Antiqua" w:eastAsia="宋体" w:hAnsi="Book Antiqua"/>
          <w:sz w:val="24"/>
          <w:szCs w:val="24"/>
          <w:lang w:eastAsia="zh-CN"/>
        </w:rPr>
        <w:t>: 1259-1267 [PMID: 22136775 DOI: 10.1016/j.gie.2011.09.005]</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64 </w:t>
      </w:r>
      <w:r w:rsidRPr="00991EB9">
        <w:rPr>
          <w:rFonts w:ascii="Book Antiqua" w:eastAsia="宋体" w:hAnsi="Book Antiqua"/>
          <w:b/>
          <w:sz w:val="24"/>
          <w:szCs w:val="24"/>
          <w:lang w:eastAsia="zh-CN"/>
        </w:rPr>
        <w:t>Uchita K</w:t>
      </w:r>
      <w:r w:rsidRPr="00991EB9">
        <w:rPr>
          <w:rFonts w:ascii="Book Antiqua" w:eastAsia="宋体" w:hAnsi="Book Antiqua"/>
          <w:sz w:val="24"/>
          <w:szCs w:val="24"/>
          <w:lang w:eastAsia="zh-CN"/>
        </w:rPr>
        <w:t xml:space="preserve">, Yao K, Uedo N, Shimokawa T, Iwasaki T, Kojima K, Kawada A, Nakayama M, Okazaki M, Iwamura S. Highest power magnification with narrow-band imaging is useful for improving diagnostic performance for endoscopic delineation of early gastric cancers. </w:t>
      </w:r>
      <w:r w:rsidRPr="00991EB9">
        <w:rPr>
          <w:rFonts w:ascii="Book Antiqua" w:eastAsia="宋体" w:hAnsi="Book Antiqua"/>
          <w:i/>
          <w:sz w:val="24"/>
          <w:szCs w:val="24"/>
          <w:lang w:eastAsia="zh-CN"/>
        </w:rPr>
        <w:t>BMC Gastroenterol</w:t>
      </w:r>
      <w:r w:rsidRPr="00991EB9">
        <w:rPr>
          <w:rFonts w:ascii="Book Antiqua" w:eastAsia="宋体" w:hAnsi="Book Antiqua"/>
          <w:sz w:val="24"/>
          <w:szCs w:val="24"/>
          <w:lang w:eastAsia="zh-CN"/>
        </w:rPr>
        <w:t xml:space="preserve"> 2015; </w:t>
      </w:r>
      <w:r w:rsidRPr="00991EB9">
        <w:rPr>
          <w:rFonts w:ascii="Book Antiqua" w:eastAsia="宋体" w:hAnsi="Book Antiqua"/>
          <w:b/>
          <w:sz w:val="24"/>
          <w:szCs w:val="24"/>
          <w:lang w:eastAsia="zh-CN"/>
        </w:rPr>
        <w:t>15</w:t>
      </w:r>
      <w:r w:rsidRPr="00991EB9">
        <w:rPr>
          <w:rFonts w:ascii="Book Antiqua" w:eastAsia="宋体" w:hAnsi="Book Antiqua"/>
          <w:sz w:val="24"/>
          <w:szCs w:val="24"/>
          <w:lang w:eastAsia="zh-CN"/>
        </w:rPr>
        <w:t>: 155 [PMID: 26526857 DOI: 10.1186/s12876-015-0385-0]</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65 </w:t>
      </w:r>
      <w:r w:rsidRPr="00991EB9">
        <w:rPr>
          <w:rFonts w:ascii="Book Antiqua" w:eastAsia="宋体" w:hAnsi="Book Antiqua"/>
          <w:b/>
          <w:sz w:val="24"/>
          <w:szCs w:val="24"/>
          <w:lang w:eastAsia="zh-CN"/>
        </w:rPr>
        <w:t>Horii Y</w:t>
      </w:r>
      <w:r w:rsidRPr="00991EB9">
        <w:rPr>
          <w:rFonts w:ascii="Book Antiqua" w:eastAsia="宋体" w:hAnsi="Book Antiqua"/>
          <w:sz w:val="24"/>
          <w:szCs w:val="24"/>
          <w:lang w:eastAsia="zh-CN"/>
        </w:rPr>
        <w:t xml:space="preserve">, Dohi O, Naito Y, Takayama S, Ogita K, Terasaki K, Nakano T, Majima A, Yoshida N, Kamada K, Uchiyama K, Ishikawa T, Takagi T, Handa O, Konishi H, Yagi N, Yanagisawa A, Itoh Y. Efficacy of Magnifying Narrow Band Imaging for Delineating Horizontal Margins of Early Gastric Cancer. </w:t>
      </w:r>
      <w:r w:rsidRPr="00991EB9">
        <w:rPr>
          <w:rFonts w:ascii="Book Antiqua" w:eastAsia="宋体" w:hAnsi="Book Antiqua"/>
          <w:i/>
          <w:sz w:val="24"/>
          <w:szCs w:val="24"/>
          <w:lang w:eastAsia="zh-CN"/>
        </w:rPr>
        <w:t>Digestion</w:t>
      </w:r>
      <w:r w:rsidRPr="00991EB9">
        <w:rPr>
          <w:rFonts w:ascii="Book Antiqua" w:eastAsia="宋体" w:hAnsi="Book Antiqua"/>
          <w:sz w:val="24"/>
          <w:szCs w:val="24"/>
          <w:lang w:eastAsia="zh-CN"/>
        </w:rPr>
        <w:t xml:space="preserve"> 2019; </w:t>
      </w:r>
      <w:r w:rsidRPr="00991EB9">
        <w:rPr>
          <w:rFonts w:ascii="Book Antiqua" w:eastAsia="宋体" w:hAnsi="Book Antiqua"/>
          <w:b/>
          <w:sz w:val="24"/>
          <w:szCs w:val="24"/>
          <w:lang w:eastAsia="zh-CN"/>
        </w:rPr>
        <w:t>100</w:t>
      </w:r>
      <w:r w:rsidRPr="00991EB9">
        <w:rPr>
          <w:rFonts w:ascii="Book Antiqua" w:eastAsia="宋体" w:hAnsi="Book Antiqua"/>
          <w:sz w:val="24"/>
          <w:szCs w:val="24"/>
          <w:lang w:eastAsia="zh-CN"/>
        </w:rPr>
        <w:t>: 93-99 [PMID: 30423568 DOI: 10.1159/000494053]</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66 </w:t>
      </w:r>
      <w:r w:rsidRPr="00991EB9">
        <w:rPr>
          <w:rFonts w:ascii="Book Antiqua" w:eastAsia="宋体" w:hAnsi="Book Antiqua"/>
          <w:b/>
          <w:sz w:val="24"/>
          <w:szCs w:val="24"/>
          <w:lang w:eastAsia="zh-CN"/>
        </w:rPr>
        <w:t>Nagahama T</w:t>
      </w:r>
      <w:r w:rsidRPr="00991EB9">
        <w:rPr>
          <w:rFonts w:ascii="Book Antiqua" w:eastAsia="宋体" w:hAnsi="Book Antiqua"/>
          <w:sz w:val="24"/>
          <w:szCs w:val="24"/>
          <w:lang w:eastAsia="zh-CN"/>
        </w:rPr>
        <w:t xml:space="preserve">, Yao K, Uedo N, Doyama H, Ueo T, Uchita K, Ishikawa H, Kanesaka T, Takeda Y, Wada K, Imamura K, Arima H, Shimokawa T. Delineation of the extent of early gastric cancer by magnifying narrow-band imaging and chromoendoscopy: a multicenter randomized controlled trial. </w:t>
      </w:r>
      <w:r w:rsidRPr="00991EB9">
        <w:rPr>
          <w:rFonts w:ascii="Book Antiqua" w:eastAsia="宋体" w:hAnsi="Book Antiqua"/>
          <w:i/>
          <w:sz w:val="24"/>
          <w:szCs w:val="24"/>
          <w:lang w:eastAsia="zh-CN"/>
        </w:rPr>
        <w:t>Endoscopy</w:t>
      </w:r>
      <w:r w:rsidRPr="00991EB9">
        <w:rPr>
          <w:rFonts w:ascii="Book Antiqua" w:eastAsia="宋体" w:hAnsi="Book Antiqua"/>
          <w:sz w:val="24"/>
          <w:szCs w:val="24"/>
          <w:lang w:eastAsia="zh-CN"/>
        </w:rPr>
        <w:t xml:space="preserve"> 2018; </w:t>
      </w:r>
      <w:r w:rsidRPr="00991EB9">
        <w:rPr>
          <w:rFonts w:ascii="Book Antiqua" w:eastAsia="宋体" w:hAnsi="Book Antiqua"/>
          <w:b/>
          <w:sz w:val="24"/>
          <w:szCs w:val="24"/>
          <w:lang w:eastAsia="zh-CN"/>
        </w:rPr>
        <w:t>50</w:t>
      </w:r>
      <w:r w:rsidRPr="00991EB9">
        <w:rPr>
          <w:rFonts w:ascii="Book Antiqua" w:eastAsia="宋体" w:hAnsi="Book Antiqua"/>
          <w:sz w:val="24"/>
          <w:szCs w:val="24"/>
          <w:lang w:eastAsia="zh-CN"/>
        </w:rPr>
        <w:t>: 566-576 [PMID: 29439278 DOI: 10.1055/s-0044-100790]</w:t>
      </w:r>
    </w:p>
    <w:p w:rsidR="00923D3E" w:rsidRPr="00991EB9"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 xml:space="preserve">67 </w:t>
      </w:r>
      <w:r w:rsidRPr="00991EB9">
        <w:rPr>
          <w:rFonts w:ascii="Book Antiqua" w:eastAsia="宋体" w:hAnsi="Book Antiqua"/>
          <w:b/>
          <w:sz w:val="24"/>
          <w:szCs w:val="24"/>
          <w:lang w:eastAsia="zh-CN"/>
        </w:rPr>
        <w:t>Goetz M</w:t>
      </w:r>
      <w:r w:rsidRPr="00991EB9">
        <w:rPr>
          <w:rFonts w:ascii="Book Antiqua" w:eastAsia="宋体" w:hAnsi="Book Antiqua"/>
          <w:sz w:val="24"/>
          <w:szCs w:val="24"/>
          <w:lang w:eastAsia="zh-CN"/>
        </w:rPr>
        <w:t xml:space="preserve">, Malek NP, Kiesslich R. Microscopic imaging in endoscopy: endomicroscopy and endocytoscopy. </w:t>
      </w:r>
      <w:r w:rsidRPr="00991EB9">
        <w:rPr>
          <w:rFonts w:ascii="Book Antiqua" w:eastAsia="宋体" w:hAnsi="Book Antiqua"/>
          <w:i/>
          <w:sz w:val="24"/>
          <w:szCs w:val="24"/>
          <w:lang w:eastAsia="zh-CN"/>
        </w:rPr>
        <w:t>Nat Rev Gastroenterol Hepatol</w:t>
      </w:r>
      <w:r w:rsidRPr="00991EB9">
        <w:rPr>
          <w:rFonts w:ascii="Book Antiqua" w:eastAsia="宋体" w:hAnsi="Book Antiqua"/>
          <w:sz w:val="24"/>
          <w:szCs w:val="24"/>
          <w:lang w:eastAsia="zh-CN"/>
        </w:rPr>
        <w:t xml:space="preserve"> 2014; </w:t>
      </w:r>
      <w:r w:rsidRPr="00991EB9">
        <w:rPr>
          <w:rFonts w:ascii="Book Antiqua" w:eastAsia="宋体" w:hAnsi="Book Antiqua"/>
          <w:b/>
          <w:sz w:val="24"/>
          <w:szCs w:val="24"/>
          <w:lang w:eastAsia="zh-CN"/>
        </w:rPr>
        <w:t>11</w:t>
      </w:r>
      <w:r w:rsidRPr="00991EB9">
        <w:rPr>
          <w:rFonts w:ascii="Book Antiqua" w:eastAsia="宋体" w:hAnsi="Book Antiqua"/>
          <w:sz w:val="24"/>
          <w:szCs w:val="24"/>
          <w:lang w:eastAsia="zh-CN"/>
        </w:rPr>
        <w:t>: 11-18 [PMID: 23897286 DOI: 10.1038/nrgastro.2013.134]</w:t>
      </w:r>
    </w:p>
    <w:p w:rsidR="00A55981" w:rsidRDefault="00923D3E" w:rsidP="009A3473">
      <w:pPr>
        <w:wordWrap/>
        <w:autoSpaceDE/>
        <w:autoSpaceDN/>
        <w:snapToGrid w:val="0"/>
        <w:spacing w:line="360" w:lineRule="auto"/>
        <w:rPr>
          <w:rFonts w:ascii="Book Antiqua" w:eastAsia="宋体" w:hAnsi="Book Antiqua"/>
          <w:sz w:val="24"/>
          <w:szCs w:val="24"/>
          <w:lang w:eastAsia="zh-CN"/>
        </w:rPr>
      </w:pPr>
      <w:r w:rsidRPr="00991EB9">
        <w:rPr>
          <w:rFonts w:ascii="Book Antiqua" w:eastAsia="宋体" w:hAnsi="Book Antiqua"/>
          <w:sz w:val="24"/>
          <w:szCs w:val="24"/>
          <w:lang w:eastAsia="zh-CN"/>
        </w:rPr>
        <w:t>68</w:t>
      </w:r>
      <w:r w:rsidR="00D65845" w:rsidRPr="00D65845">
        <w:t xml:space="preserve"> </w:t>
      </w:r>
      <w:r w:rsidR="00D65845" w:rsidRPr="00D65845">
        <w:rPr>
          <w:rFonts w:ascii="Book Antiqua" w:eastAsia="宋体" w:hAnsi="Book Antiqua"/>
          <w:b/>
          <w:sz w:val="24"/>
          <w:szCs w:val="24"/>
          <w:lang w:eastAsia="zh-CN"/>
        </w:rPr>
        <w:t>Wallace M</w:t>
      </w:r>
      <w:r w:rsidR="00D65845" w:rsidRPr="00D65845">
        <w:rPr>
          <w:rFonts w:ascii="Book Antiqua" w:eastAsia="宋体" w:hAnsi="Book Antiqua"/>
          <w:sz w:val="24"/>
          <w:szCs w:val="24"/>
          <w:lang w:eastAsia="zh-CN"/>
        </w:rPr>
        <w:t>.</w:t>
      </w:r>
      <w:r w:rsidR="00D65845">
        <w:rPr>
          <w:rFonts w:ascii="Book Antiqua" w:eastAsia="宋体" w:hAnsi="Book Antiqua"/>
          <w:sz w:val="24"/>
          <w:szCs w:val="24"/>
          <w:lang w:eastAsia="zh-CN"/>
        </w:rPr>
        <w:t xml:space="preserve"> </w:t>
      </w:r>
      <w:r w:rsidRPr="00991EB9">
        <w:rPr>
          <w:rFonts w:ascii="Book Antiqua" w:eastAsia="宋体" w:hAnsi="Book Antiqua"/>
          <w:sz w:val="24"/>
          <w:szCs w:val="24"/>
          <w:lang w:eastAsia="zh-CN"/>
        </w:rPr>
        <w:t xml:space="preserve">Leeuwenhoek meets Kussmaul: the evolution of endoscopist to endo-pathologist. </w:t>
      </w:r>
      <w:r w:rsidRPr="00991EB9">
        <w:rPr>
          <w:rFonts w:ascii="Book Antiqua" w:eastAsia="宋体" w:hAnsi="Book Antiqua"/>
          <w:i/>
          <w:sz w:val="24"/>
          <w:szCs w:val="24"/>
          <w:lang w:eastAsia="zh-CN"/>
        </w:rPr>
        <w:t>Gastroenterology</w:t>
      </w:r>
      <w:r w:rsidRPr="00991EB9">
        <w:rPr>
          <w:rFonts w:ascii="Book Antiqua" w:eastAsia="宋体" w:hAnsi="Book Antiqua"/>
          <w:sz w:val="24"/>
          <w:szCs w:val="24"/>
          <w:lang w:eastAsia="zh-CN"/>
        </w:rPr>
        <w:t xml:space="preserve"> 2006; </w:t>
      </w:r>
      <w:r w:rsidRPr="00991EB9">
        <w:rPr>
          <w:rFonts w:ascii="Book Antiqua" w:eastAsia="宋体" w:hAnsi="Book Antiqua"/>
          <w:b/>
          <w:sz w:val="24"/>
          <w:szCs w:val="24"/>
          <w:lang w:eastAsia="zh-CN"/>
        </w:rPr>
        <w:t>131</w:t>
      </w:r>
      <w:r w:rsidRPr="00991EB9">
        <w:rPr>
          <w:rFonts w:ascii="Book Antiqua" w:eastAsia="宋体" w:hAnsi="Book Antiqua"/>
          <w:sz w:val="24"/>
          <w:szCs w:val="24"/>
          <w:lang w:eastAsia="zh-CN"/>
        </w:rPr>
        <w:t>: 347-349 [PMID: 16890588 DOI: 10.1053/j.gastro.2006.06.051]</w:t>
      </w:r>
    </w:p>
    <w:p w:rsidR="00A55981" w:rsidRPr="00A55981" w:rsidRDefault="00A55981" w:rsidP="009A3473">
      <w:pPr>
        <w:wordWrap/>
        <w:snapToGrid w:val="0"/>
        <w:spacing w:line="360" w:lineRule="auto"/>
        <w:rPr>
          <w:rFonts w:ascii="Book Antiqua" w:eastAsia="宋体" w:hAnsi="Book Antiqua"/>
          <w:b/>
          <w:kern w:val="0"/>
          <w:sz w:val="24"/>
          <w:szCs w:val="24"/>
          <w:lang w:eastAsia="zh-CN"/>
        </w:rPr>
      </w:pPr>
      <w:r>
        <w:rPr>
          <w:rFonts w:ascii="Book Antiqua" w:eastAsia="宋体" w:hAnsi="Book Antiqua"/>
          <w:sz w:val="24"/>
          <w:szCs w:val="24"/>
          <w:lang w:eastAsia="zh-CN"/>
        </w:rPr>
        <w:br w:type="page"/>
      </w:r>
      <w:r w:rsidRPr="00A55981">
        <w:rPr>
          <w:rFonts w:ascii="Book Antiqua" w:eastAsia="宋体" w:hAnsi="Book Antiqua"/>
          <w:b/>
          <w:kern w:val="0"/>
          <w:sz w:val="24"/>
          <w:szCs w:val="24"/>
          <w:lang w:eastAsia="zh-CN"/>
        </w:rPr>
        <w:t>Footnotes</w:t>
      </w:r>
    </w:p>
    <w:p w:rsidR="00683F28" w:rsidRPr="00DB1698" w:rsidRDefault="00683F28" w:rsidP="00683F28">
      <w:pPr>
        <w:snapToGrid w:val="0"/>
        <w:spacing w:line="360" w:lineRule="auto"/>
        <w:rPr>
          <w:rFonts w:ascii="Book Antiqua" w:eastAsia="Times New Roman" w:hAnsi="Book Antiqua"/>
          <w:sz w:val="24"/>
          <w:szCs w:val="24"/>
          <w:lang w:val="en-GB"/>
        </w:rPr>
      </w:pPr>
      <w:r w:rsidRPr="00DB1698">
        <w:rPr>
          <w:rFonts w:ascii="Book Antiqua" w:eastAsia="Times New Roman" w:hAnsi="Book Antiqua"/>
          <w:b/>
          <w:bCs/>
          <w:sz w:val="24"/>
          <w:szCs w:val="24"/>
          <w:lang w:val="en-GB"/>
        </w:rPr>
        <w:t>Conflict-of-interest statement</w:t>
      </w:r>
      <w:r w:rsidRPr="00DB1698">
        <w:rPr>
          <w:rFonts w:ascii="Book Antiqua" w:eastAsia="Times New Roman" w:hAnsi="Book Antiqua"/>
          <w:sz w:val="24"/>
          <w:szCs w:val="24"/>
          <w:lang w:val="en-GB"/>
        </w:rPr>
        <w:t>: The authors declare that they have no conflict of interest</w:t>
      </w:r>
      <w:r w:rsidR="00D036B1">
        <w:rPr>
          <w:rFonts w:ascii="Book Antiqua" w:eastAsia="Times New Roman" w:hAnsi="Book Antiqua"/>
          <w:sz w:val="24"/>
          <w:szCs w:val="24"/>
          <w:lang w:val="en-GB"/>
        </w:rPr>
        <w:t>s</w:t>
      </w:r>
      <w:r w:rsidRPr="00DB1698">
        <w:rPr>
          <w:rFonts w:ascii="Book Antiqua" w:eastAsia="Times New Roman" w:hAnsi="Book Antiqua"/>
          <w:sz w:val="24"/>
          <w:szCs w:val="24"/>
          <w:lang w:val="en-GB"/>
        </w:rPr>
        <w:t>.</w:t>
      </w:r>
    </w:p>
    <w:p w:rsidR="00A55981" w:rsidRPr="00A55981" w:rsidRDefault="00A55981" w:rsidP="009A3473">
      <w:pPr>
        <w:widowControl/>
        <w:wordWrap/>
        <w:autoSpaceDE/>
        <w:autoSpaceDN/>
        <w:snapToGrid w:val="0"/>
        <w:spacing w:line="360" w:lineRule="auto"/>
        <w:rPr>
          <w:rFonts w:ascii="Book Antiqua" w:eastAsia="宋体" w:hAnsi="Book Antiqua"/>
          <w:kern w:val="0"/>
          <w:sz w:val="24"/>
          <w:szCs w:val="24"/>
          <w:lang w:val="en-GB" w:eastAsia="zh-CN"/>
        </w:rPr>
      </w:pPr>
    </w:p>
    <w:p w:rsidR="00A55981" w:rsidRPr="00A55981" w:rsidRDefault="00A55981" w:rsidP="009A3473">
      <w:pPr>
        <w:wordWrap/>
        <w:autoSpaceDE/>
        <w:autoSpaceDN/>
        <w:adjustRightInd w:val="0"/>
        <w:snapToGrid w:val="0"/>
        <w:spacing w:line="360" w:lineRule="auto"/>
        <w:rPr>
          <w:rFonts w:ascii="Book Antiqua" w:eastAsia="宋体" w:hAnsi="Book Antiqua"/>
          <w:sz w:val="24"/>
          <w:szCs w:val="24"/>
          <w:lang w:eastAsia="zh-CN"/>
        </w:rPr>
      </w:pPr>
      <w:r w:rsidRPr="00A55981">
        <w:rPr>
          <w:rFonts w:ascii="Book Antiqua" w:eastAsia="宋体" w:hAnsi="Book Antiqua"/>
          <w:b/>
          <w:color w:val="000000"/>
          <w:sz w:val="24"/>
          <w:szCs w:val="24"/>
          <w:lang w:eastAsia="zh-CN"/>
        </w:rPr>
        <w:t>Open-Access:</w:t>
      </w:r>
      <w:r w:rsidRPr="00A55981">
        <w:rPr>
          <w:rFonts w:ascii="Book Antiqua" w:eastAsia="宋体" w:hAnsi="Book Antiqua"/>
          <w:color w:val="000000"/>
          <w:sz w:val="24"/>
          <w:szCs w:val="24"/>
          <w:lang w:eastAsia="zh-CN"/>
        </w:rPr>
        <w:t xml:space="preserve"> This article is an open-access </w:t>
      </w:r>
      <w:r w:rsidRPr="00A55981">
        <w:rPr>
          <w:rFonts w:ascii="Book Antiqua" w:eastAsia="宋体" w:hAnsi="Book Antiqua"/>
          <w:sz w:val="24"/>
          <w:szCs w:val="24"/>
          <w:lang w:eastAsia="zh-CN"/>
        </w:rPr>
        <w:t xml:space="preserve">article that was selected </w:t>
      </w:r>
      <w:r w:rsidRPr="00A55981">
        <w:rPr>
          <w:rFonts w:ascii="Book Antiqua" w:eastAsia="宋体" w:hAnsi="Book Antiqua"/>
          <w:color w:val="000000"/>
          <w:sz w:val="24"/>
          <w:szCs w:val="24"/>
          <w:lang w:eastAsia="zh-CN"/>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55981" w:rsidRPr="00A55981" w:rsidRDefault="00A55981" w:rsidP="009A3473">
      <w:pPr>
        <w:widowControl/>
        <w:wordWrap/>
        <w:autoSpaceDE/>
        <w:autoSpaceDN/>
        <w:adjustRightInd w:val="0"/>
        <w:snapToGrid w:val="0"/>
        <w:spacing w:line="360" w:lineRule="auto"/>
        <w:rPr>
          <w:rFonts w:ascii="Book Antiqua" w:eastAsia="宋体" w:hAnsi="Book Antiqua"/>
          <w:kern w:val="0"/>
          <w:sz w:val="24"/>
          <w:szCs w:val="24"/>
          <w:lang w:eastAsia="zh-CN"/>
        </w:rPr>
      </w:pPr>
    </w:p>
    <w:p w:rsidR="00A55981" w:rsidRPr="00A55981" w:rsidRDefault="00A55981" w:rsidP="009A3473">
      <w:pPr>
        <w:widowControl/>
        <w:wordWrap/>
        <w:autoSpaceDE/>
        <w:autoSpaceDN/>
        <w:adjustRightInd w:val="0"/>
        <w:snapToGrid w:val="0"/>
        <w:spacing w:line="360" w:lineRule="auto"/>
        <w:rPr>
          <w:rFonts w:ascii="Book Antiqua" w:eastAsia="宋体" w:hAnsi="Book Antiqua"/>
          <w:bCs/>
          <w:color w:val="000000"/>
          <w:kern w:val="0"/>
          <w:sz w:val="24"/>
          <w:szCs w:val="24"/>
          <w:lang w:val="fr-FR" w:eastAsia="pl-PL"/>
        </w:rPr>
      </w:pPr>
      <w:r w:rsidRPr="00A55981">
        <w:rPr>
          <w:rFonts w:ascii="Book Antiqua" w:eastAsia="宋体" w:hAnsi="Book Antiqua"/>
          <w:b/>
          <w:bCs/>
          <w:color w:val="000000"/>
          <w:kern w:val="0"/>
          <w:sz w:val="24"/>
          <w:szCs w:val="24"/>
          <w:lang w:val="fr-FR" w:eastAsia="pl-PL"/>
        </w:rPr>
        <w:t>Manuscript source:</w:t>
      </w:r>
      <w:r w:rsidRPr="00A55981">
        <w:rPr>
          <w:rFonts w:ascii="Book Antiqua" w:eastAsia="宋体" w:hAnsi="Book Antiqua"/>
          <w:b/>
          <w:bCs/>
          <w:color w:val="000000"/>
          <w:kern w:val="0"/>
          <w:sz w:val="24"/>
          <w:szCs w:val="24"/>
          <w:lang w:val="fr-FR" w:eastAsia="zh-CN"/>
        </w:rPr>
        <w:t xml:space="preserve"> </w:t>
      </w:r>
      <w:r w:rsidR="00776A1A" w:rsidRPr="00776A1A">
        <w:rPr>
          <w:rFonts w:ascii="Book Antiqua" w:eastAsia="宋体" w:hAnsi="Book Antiqua"/>
          <w:bCs/>
          <w:color w:val="000000"/>
          <w:kern w:val="0"/>
          <w:sz w:val="24"/>
          <w:szCs w:val="24"/>
          <w:lang w:val="fr-FR" w:eastAsia="pl-PL"/>
        </w:rPr>
        <w:t>Invited</w:t>
      </w:r>
      <w:r w:rsidRPr="00A55981">
        <w:rPr>
          <w:rFonts w:ascii="Book Antiqua" w:eastAsia="宋体" w:hAnsi="Book Antiqua"/>
          <w:bCs/>
          <w:color w:val="000000"/>
          <w:kern w:val="0"/>
          <w:sz w:val="24"/>
          <w:szCs w:val="24"/>
          <w:lang w:val="fr-FR" w:eastAsia="pl-PL"/>
        </w:rPr>
        <w:t> manuscript</w:t>
      </w:r>
    </w:p>
    <w:p w:rsidR="00A55981" w:rsidRDefault="00A55981" w:rsidP="009A3473">
      <w:pPr>
        <w:widowControl/>
        <w:wordWrap/>
        <w:autoSpaceDE/>
        <w:autoSpaceDN/>
        <w:adjustRightInd w:val="0"/>
        <w:snapToGrid w:val="0"/>
        <w:spacing w:line="360" w:lineRule="auto"/>
        <w:rPr>
          <w:rFonts w:ascii="Book Antiqua" w:eastAsia="宋体" w:hAnsi="Book Antiqua"/>
          <w:b/>
          <w:bCs/>
          <w:color w:val="000000"/>
          <w:kern w:val="0"/>
          <w:sz w:val="24"/>
          <w:szCs w:val="24"/>
          <w:lang w:val="fr-FR" w:eastAsia="zh-CN"/>
        </w:rPr>
      </w:pPr>
    </w:p>
    <w:p w:rsidR="007E2511" w:rsidRDefault="007E2511" w:rsidP="009A3473">
      <w:pPr>
        <w:widowControl/>
        <w:wordWrap/>
        <w:autoSpaceDE/>
        <w:autoSpaceDN/>
        <w:adjustRightInd w:val="0"/>
        <w:snapToGrid w:val="0"/>
        <w:spacing w:line="360" w:lineRule="auto"/>
        <w:rPr>
          <w:rFonts w:ascii="Book Antiqua" w:eastAsia="宋体" w:hAnsi="Book Antiqua"/>
          <w:b/>
          <w:bCs/>
          <w:color w:val="000000"/>
          <w:kern w:val="0"/>
          <w:sz w:val="24"/>
          <w:szCs w:val="24"/>
          <w:lang w:val="fr-FR" w:eastAsia="zh-CN"/>
        </w:rPr>
      </w:pPr>
      <w:r w:rsidRPr="007E2511">
        <w:rPr>
          <w:rFonts w:ascii="Book Antiqua" w:eastAsia="宋体" w:hAnsi="Book Antiqua"/>
          <w:b/>
          <w:bCs/>
          <w:color w:val="000000"/>
          <w:kern w:val="0"/>
          <w:sz w:val="24"/>
          <w:szCs w:val="24"/>
          <w:lang w:val="fr-FR" w:eastAsia="zh-CN"/>
        </w:rPr>
        <w:t>Corresponding Author's Membership(s) in Professional Societies:</w:t>
      </w:r>
      <w:r>
        <w:rPr>
          <w:rFonts w:ascii="Book Antiqua" w:eastAsia="宋体" w:hAnsi="Book Antiqua"/>
          <w:b/>
          <w:bCs/>
          <w:color w:val="000000"/>
          <w:kern w:val="0"/>
          <w:sz w:val="24"/>
          <w:szCs w:val="24"/>
          <w:lang w:val="fr-FR" w:eastAsia="zh-CN"/>
        </w:rPr>
        <w:t xml:space="preserve"> </w:t>
      </w:r>
      <w:r w:rsidRPr="007E2511">
        <w:rPr>
          <w:rFonts w:ascii="Book Antiqua" w:eastAsia="宋体" w:hAnsi="Book Antiqua"/>
          <w:bCs/>
          <w:color w:val="000000"/>
          <w:kern w:val="0"/>
          <w:sz w:val="24"/>
          <w:szCs w:val="24"/>
          <w:lang w:val="fr-FR" w:eastAsia="zh-CN"/>
        </w:rPr>
        <w:t>The Korean Society of Gastroenterology</w:t>
      </w:r>
      <w:r w:rsidR="00683F28">
        <w:rPr>
          <w:rFonts w:ascii="Book Antiqua" w:eastAsia="宋体" w:hAnsi="Book Antiqua"/>
          <w:bCs/>
          <w:color w:val="000000"/>
          <w:kern w:val="0"/>
          <w:sz w:val="24"/>
          <w:szCs w:val="24"/>
          <w:lang w:val="fr-FR" w:eastAsia="zh-CN"/>
        </w:rPr>
        <w:t>.</w:t>
      </w:r>
    </w:p>
    <w:p w:rsidR="007E2511" w:rsidRPr="00A55981" w:rsidRDefault="007E2511" w:rsidP="009A3473">
      <w:pPr>
        <w:widowControl/>
        <w:wordWrap/>
        <w:autoSpaceDE/>
        <w:autoSpaceDN/>
        <w:adjustRightInd w:val="0"/>
        <w:snapToGrid w:val="0"/>
        <w:spacing w:line="360" w:lineRule="auto"/>
        <w:rPr>
          <w:rFonts w:ascii="Book Antiqua" w:eastAsia="宋体" w:hAnsi="Book Antiqua"/>
          <w:b/>
          <w:bCs/>
          <w:color w:val="000000"/>
          <w:kern w:val="0"/>
          <w:sz w:val="24"/>
          <w:szCs w:val="24"/>
          <w:lang w:val="fr-FR" w:eastAsia="zh-CN"/>
        </w:rPr>
      </w:pPr>
    </w:p>
    <w:p w:rsidR="00A55981" w:rsidRPr="00A55981" w:rsidRDefault="00A55981" w:rsidP="009A3473">
      <w:pPr>
        <w:widowControl/>
        <w:wordWrap/>
        <w:autoSpaceDE/>
        <w:autoSpaceDN/>
        <w:adjustRightInd w:val="0"/>
        <w:snapToGrid w:val="0"/>
        <w:spacing w:line="360" w:lineRule="auto"/>
        <w:rPr>
          <w:rFonts w:ascii="Book Antiqua" w:eastAsia="宋体" w:hAnsi="Book Antiqua"/>
          <w:b/>
          <w:kern w:val="0"/>
          <w:sz w:val="24"/>
          <w:szCs w:val="24"/>
          <w:lang w:eastAsia="zh-CN"/>
        </w:rPr>
      </w:pPr>
      <w:r w:rsidRPr="00A55981">
        <w:rPr>
          <w:rFonts w:ascii="Book Antiqua" w:eastAsia="宋体" w:hAnsi="Book Antiqua"/>
          <w:b/>
          <w:kern w:val="0"/>
          <w:sz w:val="24"/>
          <w:szCs w:val="24"/>
          <w:lang w:eastAsia="en-US"/>
        </w:rPr>
        <w:t>Peer-review started:</w:t>
      </w:r>
      <w:r w:rsidRPr="00A55981">
        <w:rPr>
          <w:rFonts w:ascii="Book Antiqua" w:eastAsia="宋体" w:hAnsi="Book Antiqua"/>
          <w:b/>
          <w:kern w:val="0"/>
          <w:sz w:val="24"/>
          <w:szCs w:val="24"/>
          <w:lang w:eastAsia="zh-CN"/>
        </w:rPr>
        <w:t xml:space="preserve"> </w:t>
      </w:r>
      <w:r w:rsidR="00776A1A">
        <w:rPr>
          <w:rFonts w:ascii="Book Antiqua" w:eastAsia="宋体" w:hAnsi="Book Antiqua"/>
          <w:kern w:val="0"/>
          <w:sz w:val="24"/>
          <w:szCs w:val="24"/>
          <w:lang w:eastAsia="zh-CN"/>
        </w:rPr>
        <w:t>March</w:t>
      </w:r>
      <w:r w:rsidRPr="00A55981">
        <w:rPr>
          <w:rFonts w:ascii="Book Antiqua" w:eastAsia="宋体" w:hAnsi="Book Antiqua"/>
          <w:kern w:val="0"/>
          <w:sz w:val="24"/>
          <w:szCs w:val="24"/>
          <w:lang w:eastAsia="zh-CN"/>
        </w:rPr>
        <w:t xml:space="preserve"> 2</w:t>
      </w:r>
      <w:r w:rsidR="00776A1A">
        <w:rPr>
          <w:rFonts w:ascii="Book Antiqua" w:eastAsia="宋体" w:hAnsi="Book Antiqua"/>
          <w:kern w:val="0"/>
          <w:sz w:val="24"/>
          <w:szCs w:val="24"/>
          <w:lang w:eastAsia="zh-CN"/>
        </w:rPr>
        <w:t>8</w:t>
      </w:r>
      <w:r w:rsidRPr="00A55981">
        <w:rPr>
          <w:rFonts w:ascii="Book Antiqua" w:eastAsia="宋体" w:hAnsi="Book Antiqua"/>
          <w:kern w:val="0"/>
          <w:sz w:val="24"/>
          <w:szCs w:val="24"/>
          <w:lang w:eastAsia="zh-CN"/>
        </w:rPr>
        <w:t>, 2020</w:t>
      </w:r>
    </w:p>
    <w:p w:rsidR="00A55981" w:rsidRPr="00A55981" w:rsidRDefault="00A55981" w:rsidP="009A3473">
      <w:pPr>
        <w:widowControl/>
        <w:wordWrap/>
        <w:autoSpaceDE/>
        <w:autoSpaceDN/>
        <w:adjustRightInd w:val="0"/>
        <w:snapToGrid w:val="0"/>
        <w:spacing w:line="360" w:lineRule="auto"/>
        <w:rPr>
          <w:rFonts w:ascii="Book Antiqua" w:eastAsia="宋体" w:hAnsi="Book Antiqua"/>
          <w:b/>
          <w:kern w:val="0"/>
          <w:sz w:val="24"/>
          <w:szCs w:val="24"/>
          <w:lang w:eastAsia="zh-CN"/>
        </w:rPr>
      </w:pPr>
      <w:r w:rsidRPr="00A55981">
        <w:rPr>
          <w:rFonts w:ascii="Book Antiqua" w:eastAsia="宋体" w:hAnsi="Book Antiqua"/>
          <w:b/>
          <w:kern w:val="0"/>
          <w:sz w:val="24"/>
          <w:szCs w:val="24"/>
          <w:lang w:eastAsia="en-US"/>
        </w:rPr>
        <w:t>First decision:</w:t>
      </w:r>
      <w:r w:rsidRPr="00A55981">
        <w:rPr>
          <w:rFonts w:ascii="Book Antiqua" w:eastAsia="宋体" w:hAnsi="Book Antiqua"/>
          <w:b/>
          <w:kern w:val="0"/>
          <w:sz w:val="24"/>
          <w:szCs w:val="24"/>
          <w:lang w:eastAsia="zh-CN"/>
        </w:rPr>
        <w:t xml:space="preserve"> </w:t>
      </w:r>
      <w:r w:rsidRPr="00A55981">
        <w:rPr>
          <w:rFonts w:ascii="Book Antiqua" w:eastAsia="宋体" w:hAnsi="Book Antiqua"/>
          <w:kern w:val="0"/>
          <w:sz w:val="24"/>
          <w:szCs w:val="24"/>
          <w:lang w:eastAsia="zh-CN"/>
        </w:rPr>
        <w:t>April 2</w:t>
      </w:r>
      <w:r w:rsidR="00776A1A">
        <w:rPr>
          <w:rFonts w:ascii="Book Antiqua" w:eastAsia="宋体" w:hAnsi="Book Antiqua"/>
          <w:kern w:val="0"/>
          <w:sz w:val="24"/>
          <w:szCs w:val="24"/>
          <w:lang w:eastAsia="zh-CN"/>
        </w:rPr>
        <w:t>4</w:t>
      </w:r>
      <w:r w:rsidRPr="00A55981">
        <w:rPr>
          <w:rFonts w:ascii="Book Antiqua" w:eastAsia="宋体" w:hAnsi="Book Antiqua"/>
          <w:kern w:val="0"/>
          <w:sz w:val="24"/>
          <w:szCs w:val="24"/>
          <w:lang w:eastAsia="zh-CN"/>
        </w:rPr>
        <w:t>, 2020</w:t>
      </w:r>
    </w:p>
    <w:p w:rsidR="00A55981" w:rsidRPr="00A55981" w:rsidRDefault="00A55981" w:rsidP="009A3473">
      <w:pPr>
        <w:widowControl/>
        <w:wordWrap/>
        <w:autoSpaceDE/>
        <w:autoSpaceDN/>
        <w:adjustRightInd w:val="0"/>
        <w:snapToGrid w:val="0"/>
        <w:spacing w:line="360" w:lineRule="auto"/>
        <w:jc w:val="left"/>
        <w:rPr>
          <w:rFonts w:ascii="Book Antiqua" w:eastAsia="宋体" w:hAnsi="Book Antiqua"/>
          <w:b/>
          <w:kern w:val="0"/>
          <w:sz w:val="24"/>
          <w:szCs w:val="24"/>
          <w:lang w:eastAsia="zh-CN"/>
        </w:rPr>
      </w:pPr>
      <w:r w:rsidRPr="00A55981">
        <w:rPr>
          <w:rFonts w:ascii="Book Antiqua" w:eastAsia="宋体" w:hAnsi="Book Antiqua"/>
          <w:b/>
          <w:kern w:val="0"/>
          <w:sz w:val="24"/>
          <w:szCs w:val="24"/>
          <w:lang w:eastAsia="en-US"/>
        </w:rPr>
        <w:t>Article in press:</w:t>
      </w:r>
      <w:r w:rsidR="00D977C0" w:rsidRPr="00D977C0">
        <w:rPr>
          <w:rFonts w:ascii="Book Antiqua" w:eastAsia="宋体" w:hAnsi="Book Antiqua"/>
          <w:bCs/>
          <w:kern w:val="0"/>
          <w:sz w:val="24"/>
          <w:szCs w:val="24"/>
          <w:lang w:eastAsia="zh-CN"/>
        </w:rPr>
        <w:t xml:space="preserve"> </w:t>
      </w:r>
      <w:r w:rsidR="00D977C0" w:rsidRPr="00681F88">
        <w:rPr>
          <w:rFonts w:ascii="Book Antiqua" w:eastAsia="宋体" w:hAnsi="Book Antiqua"/>
          <w:bCs/>
          <w:kern w:val="0"/>
          <w:sz w:val="24"/>
          <w:szCs w:val="24"/>
          <w:lang w:eastAsia="zh-CN"/>
        </w:rPr>
        <w:t>July 14, 2020</w:t>
      </w:r>
    </w:p>
    <w:p w:rsidR="00A55981" w:rsidRPr="00A55981" w:rsidRDefault="00A55981" w:rsidP="009A3473">
      <w:pPr>
        <w:widowControl/>
        <w:wordWrap/>
        <w:autoSpaceDE/>
        <w:autoSpaceDN/>
        <w:adjustRightInd w:val="0"/>
        <w:snapToGrid w:val="0"/>
        <w:spacing w:line="360" w:lineRule="auto"/>
        <w:jc w:val="left"/>
        <w:rPr>
          <w:rFonts w:ascii="Book Antiqua" w:eastAsia="宋体" w:hAnsi="Book Antiqua"/>
          <w:b/>
          <w:kern w:val="0"/>
          <w:sz w:val="24"/>
          <w:szCs w:val="24"/>
          <w:lang w:eastAsia="zh-CN"/>
        </w:rPr>
      </w:pPr>
    </w:p>
    <w:p w:rsidR="00A55981" w:rsidRPr="00A55981" w:rsidRDefault="00A55981" w:rsidP="009A3473">
      <w:pPr>
        <w:wordWrap/>
        <w:autoSpaceDE/>
        <w:autoSpaceDN/>
        <w:adjustRightInd w:val="0"/>
        <w:snapToGrid w:val="0"/>
        <w:spacing w:line="360" w:lineRule="auto"/>
        <w:rPr>
          <w:rFonts w:ascii="Book Antiqua" w:eastAsia="微软雅黑" w:hAnsi="Book Antiqua"/>
          <w:kern w:val="0"/>
          <w:sz w:val="24"/>
          <w:szCs w:val="24"/>
          <w:lang w:val="fr-FR" w:eastAsia="zh-CN"/>
        </w:rPr>
      </w:pPr>
      <w:r w:rsidRPr="00A55981">
        <w:rPr>
          <w:rFonts w:ascii="Book Antiqua" w:eastAsia="宋体" w:hAnsi="Book Antiqua"/>
          <w:b/>
          <w:kern w:val="0"/>
          <w:sz w:val="24"/>
          <w:szCs w:val="24"/>
          <w:lang w:val="fr-FR" w:eastAsia="zh-CN"/>
        </w:rPr>
        <w:t xml:space="preserve">Specialty type: </w:t>
      </w:r>
      <w:r w:rsidR="008841CA" w:rsidRPr="00E700C2">
        <w:rPr>
          <w:rFonts w:ascii="Book Antiqua" w:eastAsia="微软雅黑" w:hAnsi="Book Antiqua" w:cs="宋体"/>
          <w:kern w:val="0"/>
          <w:sz w:val="24"/>
          <w:szCs w:val="24"/>
        </w:rPr>
        <w:t>Medicine, research and experimental</w:t>
      </w:r>
    </w:p>
    <w:p w:rsidR="00A55981" w:rsidRPr="00A55981" w:rsidRDefault="00A55981" w:rsidP="009A3473">
      <w:pPr>
        <w:wordWrap/>
        <w:autoSpaceDE/>
        <w:autoSpaceDN/>
        <w:adjustRightInd w:val="0"/>
        <w:snapToGrid w:val="0"/>
        <w:spacing w:line="360" w:lineRule="auto"/>
        <w:rPr>
          <w:rFonts w:ascii="Book Antiqua" w:eastAsia="宋体" w:hAnsi="Book Antiqua"/>
          <w:b/>
          <w:kern w:val="0"/>
          <w:sz w:val="24"/>
          <w:szCs w:val="24"/>
          <w:lang w:val="fr-FR" w:eastAsia="zh-CN"/>
        </w:rPr>
      </w:pPr>
      <w:r w:rsidRPr="00A55981">
        <w:rPr>
          <w:rFonts w:ascii="Book Antiqua" w:eastAsia="宋体" w:hAnsi="Book Antiqua"/>
          <w:b/>
          <w:kern w:val="0"/>
          <w:sz w:val="24"/>
          <w:szCs w:val="24"/>
          <w:lang w:val="fr-FR" w:eastAsia="zh-CN"/>
        </w:rPr>
        <w:t xml:space="preserve">Country/Territory of origin: </w:t>
      </w:r>
      <w:r w:rsidR="00D57197" w:rsidRPr="00D57197">
        <w:rPr>
          <w:rFonts w:ascii="Book Antiqua" w:eastAsia="宋体" w:hAnsi="Book Antiqua"/>
          <w:kern w:val="0"/>
          <w:sz w:val="24"/>
          <w:szCs w:val="24"/>
          <w:lang w:eastAsia="zh-CN"/>
        </w:rPr>
        <w:t>South Korea</w:t>
      </w:r>
    </w:p>
    <w:p w:rsidR="00A55981" w:rsidRPr="00A55981" w:rsidRDefault="00A55981" w:rsidP="009A3473">
      <w:pPr>
        <w:wordWrap/>
        <w:autoSpaceDE/>
        <w:autoSpaceDN/>
        <w:adjustRightInd w:val="0"/>
        <w:snapToGrid w:val="0"/>
        <w:spacing w:line="360" w:lineRule="auto"/>
        <w:rPr>
          <w:rFonts w:ascii="Book Antiqua" w:eastAsia="宋体" w:hAnsi="Book Antiqua"/>
          <w:b/>
          <w:kern w:val="0"/>
          <w:sz w:val="24"/>
          <w:szCs w:val="24"/>
          <w:lang w:val="fr-FR" w:eastAsia="zh-CN"/>
        </w:rPr>
      </w:pPr>
      <w:r w:rsidRPr="00A55981">
        <w:rPr>
          <w:rFonts w:ascii="Book Antiqua" w:eastAsia="宋体" w:hAnsi="Book Antiqua"/>
          <w:b/>
          <w:kern w:val="0"/>
          <w:sz w:val="24"/>
          <w:szCs w:val="24"/>
          <w:lang w:val="fr-FR" w:eastAsia="zh-CN"/>
        </w:rPr>
        <w:t>Peer-review report’s scientific quality classification</w:t>
      </w:r>
    </w:p>
    <w:p w:rsidR="00A55981" w:rsidRPr="00A55981" w:rsidRDefault="00A55981" w:rsidP="009A3473">
      <w:pPr>
        <w:wordWrap/>
        <w:autoSpaceDE/>
        <w:autoSpaceDN/>
        <w:adjustRightInd w:val="0"/>
        <w:snapToGrid w:val="0"/>
        <w:spacing w:line="360" w:lineRule="auto"/>
        <w:rPr>
          <w:rFonts w:ascii="Book Antiqua" w:eastAsia="宋体" w:hAnsi="Book Antiqua"/>
          <w:kern w:val="0"/>
          <w:sz w:val="24"/>
          <w:szCs w:val="24"/>
          <w:lang w:val="fr-FR" w:eastAsia="zh-CN"/>
        </w:rPr>
      </w:pPr>
      <w:r w:rsidRPr="00A55981">
        <w:rPr>
          <w:rFonts w:ascii="Book Antiqua" w:eastAsia="宋体" w:hAnsi="Book Antiqua"/>
          <w:kern w:val="0"/>
          <w:sz w:val="24"/>
          <w:szCs w:val="24"/>
          <w:lang w:val="fr-FR" w:eastAsia="zh-CN"/>
        </w:rPr>
        <w:t>Grade A (Excellent): 0</w:t>
      </w:r>
    </w:p>
    <w:p w:rsidR="00A55981" w:rsidRPr="00A55981" w:rsidRDefault="00A55981" w:rsidP="009A3473">
      <w:pPr>
        <w:wordWrap/>
        <w:autoSpaceDE/>
        <w:autoSpaceDN/>
        <w:adjustRightInd w:val="0"/>
        <w:snapToGrid w:val="0"/>
        <w:spacing w:line="360" w:lineRule="auto"/>
        <w:rPr>
          <w:rFonts w:ascii="Book Antiqua" w:eastAsia="宋体" w:hAnsi="Book Antiqua"/>
          <w:kern w:val="0"/>
          <w:sz w:val="24"/>
          <w:szCs w:val="24"/>
          <w:lang w:val="fr-FR" w:eastAsia="zh-CN"/>
        </w:rPr>
      </w:pPr>
      <w:r w:rsidRPr="00A55981">
        <w:rPr>
          <w:rFonts w:ascii="Book Antiqua" w:eastAsia="宋体" w:hAnsi="Book Antiqua"/>
          <w:kern w:val="0"/>
          <w:sz w:val="24"/>
          <w:szCs w:val="24"/>
          <w:lang w:val="fr-FR" w:eastAsia="zh-CN"/>
        </w:rPr>
        <w:t xml:space="preserve">Grade B (Very good): </w:t>
      </w:r>
      <w:r w:rsidR="00B92FFB">
        <w:rPr>
          <w:rFonts w:ascii="Book Antiqua" w:eastAsia="宋体" w:hAnsi="Book Antiqua"/>
          <w:kern w:val="0"/>
          <w:sz w:val="24"/>
          <w:szCs w:val="24"/>
          <w:lang w:val="fr-FR" w:eastAsia="zh-CN"/>
        </w:rPr>
        <w:t>0</w:t>
      </w:r>
    </w:p>
    <w:p w:rsidR="00A55981" w:rsidRPr="00A55981" w:rsidRDefault="00A55981" w:rsidP="009A3473">
      <w:pPr>
        <w:wordWrap/>
        <w:autoSpaceDE/>
        <w:autoSpaceDN/>
        <w:adjustRightInd w:val="0"/>
        <w:snapToGrid w:val="0"/>
        <w:spacing w:line="360" w:lineRule="auto"/>
        <w:rPr>
          <w:rFonts w:ascii="Book Antiqua" w:eastAsia="宋体" w:hAnsi="Book Antiqua"/>
          <w:kern w:val="0"/>
          <w:sz w:val="24"/>
          <w:szCs w:val="24"/>
          <w:lang w:val="fr-FR" w:eastAsia="zh-CN"/>
        </w:rPr>
      </w:pPr>
      <w:r w:rsidRPr="00A55981">
        <w:rPr>
          <w:rFonts w:ascii="Book Antiqua" w:eastAsia="宋体" w:hAnsi="Book Antiqua"/>
          <w:kern w:val="0"/>
          <w:sz w:val="24"/>
          <w:szCs w:val="24"/>
          <w:lang w:val="fr-FR" w:eastAsia="zh-CN"/>
        </w:rPr>
        <w:t xml:space="preserve">Grade C (Good): </w:t>
      </w:r>
      <w:r w:rsidR="00B92FFB">
        <w:rPr>
          <w:rFonts w:ascii="Book Antiqua" w:eastAsia="宋体" w:hAnsi="Book Antiqua"/>
          <w:kern w:val="0"/>
          <w:sz w:val="24"/>
          <w:szCs w:val="24"/>
          <w:lang w:val="fr-FR" w:eastAsia="zh-CN"/>
        </w:rPr>
        <w:t>C</w:t>
      </w:r>
    </w:p>
    <w:p w:rsidR="00A55981" w:rsidRPr="00A55981" w:rsidRDefault="00A55981" w:rsidP="009A3473">
      <w:pPr>
        <w:wordWrap/>
        <w:autoSpaceDE/>
        <w:autoSpaceDN/>
        <w:adjustRightInd w:val="0"/>
        <w:snapToGrid w:val="0"/>
        <w:spacing w:line="360" w:lineRule="auto"/>
        <w:rPr>
          <w:rFonts w:ascii="Book Antiqua" w:eastAsia="宋体" w:hAnsi="Book Antiqua"/>
          <w:kern w:val="0"/>
          <w:sz w:val="24"/>
          <w:szCs w:val="24"/>
          <w:lang w:val="fr-FR" w:eastAsia="zh-CN"/>
        </w:rPr>
      </w:pPr>
      <w:r w:rsidRPr="00A55981">
        <w:rPr>
          <w:rFonts w:ascii="Book Antiqua" w:eastAsia="宋体" w:hAnsi="Book Antiqua"/>
          <w:kern w:val="0"/>
          <w:sz w:val="24"/>
          <w:szCs w:val="24"/>
          <w:lang w:val="fr-FR" w:eastAsia="zh-CN"/>
        </w:rPr>
        <w:t>Grade D (Fair): 0</w:t>
      </w:r>
    </w:p>
    <w:p w:rsidR="00A55981" w:rsidRPr="00A55981" w:rsidRDefault="00A55981" w:rsidP="009A3473">
      <w:pPr>
        <w:wordWrap/>
        <w:autoSpaceDE/>
        <w:autoSpaceDN/>
        <w:adjustRightInd w:val="0"/>
        <w:snapToGrid w:val="0"/>
        <w:spacing w:line="360" w:lineRule="auto"/>
        <w:rPr>
          <w:rFonts w:ascii="Book Antiqua" w:eastAsia="等线" w:hAnsi="Book Antiqua"/>
          <w:sz w:val="24"/>
          <w:szCs w:val="24"/>
          <w:lang w:val="hu-HU" w:eastAsia="zh-CN"/>
        </w:rPr>
      </w:pPr>
      <w:r w:rsidRPr="00A55981">
        <w:rPr>
          <w:rFonts w:ascii="Book Antiqua" w:eastAsia="宋体" w:hAnsi="Book Antiqua"/>
          <w:kern w:val="0"/>
          <w:sz w:val="24"/>
          <w:szCs w:val="24"/>
          <w:lang w:val="fr-FR" w:eastAsia="zh-CN"/>
        </w:rPr>
        <w:t>Grade E (Poor): 0</w:t>
      </w:r>
    </w:p>
    <w:p w:rsidR="00A55981" w:rsidRPr="00A55981" w:rsidRDefault="00A55981" w:rsidP="009A3473">
      <w:pPr>
        <w:widowControl/>
        <w:wordWrap/>
        <w:autoSpaceDE/>
        <w:autoSpaceDN/>
        <w:adjustRightInd w:val="0"/>
        <w:snapToGrid w:val="0"/>
        <w:spacing w:line="360" w:lineRule="auto"/>
        <w:ind w:right="361"/>
        <w:jc w:val="left"/>
        <w:rPr>
          <w:rFonts w:ascii="Book Antiqua" w:eastAsia="宋体" w:hAnsi="Book Antiqua"/>
          <w:kern w:val="0"/>
          <w:sz w:val="24"/>
          <w:szCs w:val="24"/>
          <w:lang w:eastAsia="zh-CN"/>
        </w:rPr>
      </w:pPr>
    </w:p>
    <w:p w:rsidR="00923D3E" w:rsidRPr="00705AD6" w:rsidRDefault="00A55981" w:rsidP="00705AD6">
      <w:pPr>
        <w:widowControl/>
        <w:wordWrap/>
        <w:autoSpaceDE/>
        <w:autoSpaceDN/>
        <w:adjustRightInd w:val="0"/>
        <w:snapToGrid w:val="0"/>
        <w:spacing w:line="360" w:lineRule="auto"/>
        <w:ind w:right="361"/>
        <w:jc w:val="left"/>
        <w:rPr>
          <w:rFonts w:ascii="Book Antiqua" w:eastAsia="宋体" w:hAnsi="Book Antiqua"/>
          <w:b/>
          <w:bCs/>
          <w:kern w:val="0"/>
          <w:sz w:val="24"/>
          <w:szCs w:val="24"/>
          <w:lang w:eastAsia="zh-CN"/>
        </w:rPr>
      </w:pPr>
      <w:r w:rsidRPr="00A55981">
        <w:rPr>
          <w:rFonts w:ascii="Book Antiqua" w:eastAsia="宋体" w:hAnsi="Book Antiqua"/>
          <w:b/>
          <w:kern w:val="0"/>
          <w:sz w:val="24"/>
          <w:szCs w:val="24"/>
          <w:lang w:eastAsia="en-US"/>
        </w:rPr>
        <w:t>P-Reviewer</w:t>
      </w:r>
      <w:r w:rsidRPr="00A55981">
        <w:rPr>
          <w:rFonts w:ascii="Book Antiqua" w:eastAsia="宋体" w:hAnsi="Book Antiqua"/>
          <w:b/>
          <w:kern w:val="0"/>
          <w:sz w:val="24"/>
          <w:szCs w:val="24"/>
          <w:lang w:eastAsia="zh-CN"/>
        </w:rPr>
        <w:t>:</w:t>
      </w:r>
      <w:r w:rsidR="00B92FFB">
        <w:rPr>
          <w:rFonts w:ascii="Book Antiqua" w:eastAsia="宋体" w:hAnsi="Book Antiqua"/>
          <w:bCs/>
          <w:kern w:val="0"/>
          <w:sz w:val="24"/>
          <w:szCs w:val="24"/>
          <w:lang w:eastAsia="en-US"/>
        </w:rPr>
        <w:t xml:space="preserve"> </w:t>
      </w:r>
      <w:r w:rsidR="00B92FFB" w:rsidRPr="00B92FFB">
        <w:rPr>
          <w:rFonts w:ascii="Book Antiqua" w:eastAsia="宋体" w:hAnsi="Book Antiqua"/>
          <w:bCs/>
          <w:kern w:val="0"/>
          <w:sz w:val="24"/>
          <w:szCs w:val="24"/>
          <w:lang w:eastAsia="en-US"/>
        </w:rPr>
        <w:t xml:space="preserve">Yeoh </w:t>
      </w:r>
      <w:r w:rsidR="00B92FFB">
        <w:rPr>
          <w:rFonts w:ascii="Book Antiqua" w:eastAsia="宋体" w:hAnsi="Book Antiqua"/>
          <w:bCs/>
          <w:kern w:val="0"/>
          <w:sz w:val="24"/>
          <w:szCs w:val="24"/>
          <w:lang w:eastAsia="en-US"/>
        </w:rPr>
        <w:t xml:space="preserve">SW </w:t>
      </w:r>
      <w:r w:rsidRPr="00A55981">
        <w:rPr>
          <w:rFonts w:ascii="Book Antiqua" w:eastAsia="宋体" w:hAnsi="Book Antiqua"/>
          <w:b/>
          <w:bCs/>
          <w:kern w:val="0"/>
          <w:sz w:val="24"/>
          <w:szCs w:val="24"/>
          <w:lang w:eastAsia="en-US"/>
        </w:rPr>
        <w:t>S-Editor</w:t>
      </w:r>
      <w:r w:rsidRPr="00A55981">
        <w:rPr>
          <w:rFonts w:ascii="Book Antiqua" w:eastAsia="宋体" w:hAnsi="Book Antiqua"/>
          <w:b/>
          <w:bCs/>
          <w:kern w:val="0"/>
          <w:sz w:val="24"/>
          <w:szCs w:val="24"/>
          <w:lang w:eastAsia="zh-CN"/>
        </w:rPr>
        <w:t>:</w:t>
      </w:r>
      <w:r w:rsidRPr="00A55981">
        <w:rPr>
          <w:rFonts w:ascii="Book Antiqua" w:eastAsia="宋体" w:hAnsi="Book Antiqua"/>
          <w:bCs/>
          <w:kern w:val="0"/>
          <w:sz w:val="24"/>
          <w:szCs w:val="24"/>
          <w:lang w:eastAsia="en-US"/>
        </w:rPr>
        <w:t xml:space="preserve"> </w:t>
      </w:r>
      <w:r w:rsidRPr="00A55981">
        <w:rPr>
          <w:rFonts w:ascii="Book Antiqua" w:eastAsia="宋体" w:hAnsi="Book Antiqua"/>
          <w:bCs/>
          <w:kern w:val="0"/>
          <w:sz w:val="24"/>
          <w:szCs w:val="24"/>
          <w:lang w:eastAsia="zh-CN"/>
        </w:rPr>
        <w:t>Gong ZM</w:t>
      </w:r>
      <w:r w:rsidRPr="00A55981">
        <w:rPr>
          <w:rFonts w:ascii="Book Antiqua" w:eastAsia="宋体" w:hAnsi="Book Antiqua"/>
          <w:b/>
          <w:bCs/>
          <w:kern w:val="0"/>
          <w:sz w:val="24"/>
          <w:szCs w:val="24"/>
          <w:lang w:eastAsia="en-US"/>
        </w:rPr>
        <w:t xml:space="preserve"> L-Editor</w:t>
      </w:r>
      <w:r w:rsidRPr="00A55981">
        <w:rPr>
          <w:rFonts w:ascii="Book Antiqua" w:eastAsia="宋体" w:hAnsi="Book Antiqua"/>
          <w:b/>
          <w:bCs/>
          <w:kern w:val="0"/>
          <w:sz w:val="24"/>
          <w:szCs w:val="24"/>
          <w:lang w:eastAsia="zh-CN"/>
        </w:rPr>
        <w:t>:</w:t>
      </w:r>
      <w:r w:rsidRPr="00A55981">
        <w:rPr>
          <w:rFonts w:ascii="Book Antiqua" w:eastAsia="宋体" w:hAnsi="Book Antiqua"/>
          <w:b/>
          <w:bCs/>
          <w:kern w:val="0"/>
          <w:sz w:val="24"/>
          <w:szCs w:val="24"/>
          <w:lang w:eastAsia="en-US"/>
        </w:rPr>
        <w:t xml:space="preserve"> </w:t>
      </w:r>
      <w:r w:rsidR="00D977C0" w:rsidRPr="00D977C0">
        <w:rPr>
          <w:rFonts w:ascii="Book Antiqua" w:eastAsia="宋体" w:hAnsi="Book Antiqua" w:hint="eastAsia"/>
          <w:bCs/>
          <w:kern w:val="0"/>
          <w:sz w:val="24"/>
          <w:szCs w:val="24"/>
          <w:lang w:eastAsia="zh-CN"/>
        </w:rPr>
        <w:t>A</w:t>
      </w:r>
      <w:r w:rsidR="00D977C0">
        <w:rPr>
          <w:rFonts w:ascii="Book Antiqua" w:eastAsia="宋体" w:hAnsi="Book Antiqua" w:hint="eastAsia"/>
          <w:b/>
          <w:bCs/>
          <w:kern w:val="0"/>
          <w:sz w:val="24"/>
          <w:szCs w:val="24"/>
          <w:lang w:eastAsia="zh-CN"/>
        </w:rPr>
        <w:t xml:space="preserve"> </w:t>
      </w:r>
      <w:r w:rsidRPr="00A55981">
        <w:rPr>
          <w:rFonts w:ascii="Book Antiqua" w:eastAsia="宋体" w:hAnsi="Book Antiqua"/>
          <w:b/>
          <w:bCs/>
          <w:kern w:val="0"/>
          <w:sz w:val="24"/>
          <w:szCs w:val="24"/>
          <w:lang w:eastAsia="en-US"/>
        </w:rPr>
        <w:t>E-Editor</w:t>
      </w:r>
      <w:r w:rsidRPr="00A55981">
        <w:rPr>
          <w:rFonts w:ascii="Book Antiqua" w:eastAsia="宋体" w:hAnsi="Book Antiqua"/>
          <w:b/>
          <w:bCs/>
          <w:kern w:val="0"/>
          <w:sz w:val="24"/>
          <w:szCs w:val="24"/>
          <w:lang w:eastAsia="zh-CN"/>
        </w:rPr>
        <w:t>:</w:t>
      </w:r>
      <w:r w:rsidR="00D977C0">
        <w:rPr>
          <w:rFonts w:ascii="Book Antiqua" w:eastAsia="宋体" w:hAnsi="Book Antiqua" w:hint="eastAsia"/>
          <w:b/>
          <w:bCs/>
          <w:kern w:val="0"/>
          <w:sz w:val="24"/>
          <w:szCs w:val="24"/>
          <w:lang w:eastAsia="zh-CN"/>
        </w:rPr>
        <w:t xml:space="preserve"> </w:t>
      </w:r>
      <w:r w:rsidR="00D977C0" w:rsidRPr="00D977C0">
        <w:rPr>
          <w:rFonts w:ascii="Book Antiqua" w:eastAsia="宋体" w:hAnsi="Book Antiqua" w:hint="eastAsia"/>
          <w:bCs/>
          <w:kern w:val="0"/>
          <w:sz w:val="24"/>
          <w:szCs w:val="24"/>
          <w:lang w:eastAsia="zh-CN"/>
        </w:rPr>
        <w:t>Wang LL</w:t>
      </w:r>
    </w:p>
    <w:p w:rsidR="00BC77D4" w:rsidRPr="00991EB9" w:rsidRDefault="00985C50" w:rsidP="009A3473">
      <w:pPr>
        <w:pStyle w:val="af5"/>
        <w:wordWrap/>
        <w:snapToGrid w:val="0"/>
        <w:spacing w:after="0" w:line="360" w:lineRule="auto"/>
        <w:ind w:firstLineChars="0" w:firstLine="0"/>
        <w:rPr>
          <w:rFonts w:ascii="Book Antiqua" w:hAnsi="Book Antiqua" w:cs="Arial"/>
          <w:b/>
          <w:sz w:val="24"/>
          <w:szCs w:val="24"/>
        </w:rPr>
      </w:pPr>
      <w:r w:rsidRPr="00991EB9">
        <w:rPr>
          <w:rFonts w:ascii="Book Antiqua" w:hAnsi="Book Antiqua" w:cs="Arial"/>
          <w:b/>
          <w:sz w:val="24"/>
          <w:szCs w:val="24"/>
        </w:rPr>
        <w:t>F</w:t>
      </w:r>
      <w:r w:rsidR="00536DF9" w:rsidRPr="00991EB9">
        <w:rPr>
          <w:rFonts w:ascii="Book Antiqua" w:hAnsi="Book Antiqua" w:cs="Arial"/>
          <w:b/>
          <w:sz w:val="24"/>
          <w:szCs w:val="24"/>
        </w:rPr>
        <w:t xml:space="preserve">igure </w:t>
      </w:r>
      <w:r w:rsidR="00536DF9" w:rsidRPr="00991EB9">
        <w:rPr>
          <w:rFonts w:ascii="Book Antiqua" w:hAnsi="Book Antiqua" w:cs="Arial"/>
          <w:b/>
          <w:caps/>
          <w:sz w:val="24"/>
          <w:szCs w:val="24"/>
        </w:rPr>
        <w:t>l</w:t>
      </w:r>
      <w:r w:rsidR="00536DF9" w:rsidRPr="00991EB9">
        <w:rPr>
          <w:rFonts w:ascii="Book Antiqua" w:hAnsi="Book Antiqua" w:cs="Arial"/>
          <w:b/>
          <w:sz w:val="24"/>
          <w:szCs w:val="24"/>
        </w:rPr>
        <w:t>egends</w:t>
      </w:r>
    </w:p>
    <w:p w:rsidR="00923D3E" w:rsidRPr="00991EB9" w:rsidRDefault="006B7659" w:rsidP="009A3473">
      <w:pPr>
        <w:pStyle w:val="af5"/>
        <w:wordWrap/>
        <w:snapToGrid w:val="0"/>
        <w:spacing w:after="0" w:line="360" w:lineRule="auto"/>
        <w:ind w:firstLineChars="0" w:firstLine="0"/>
        <w:rPr>
          <w:rStyle w:val="ti2"/>
          <w:rFonts w:ascii="Book Antiqua" w:hAnsi="Book Antiqua" w:cs="Arial"/>
          <w:b/>
          <w:sz w:val="24"/>
          <w:szCs w:val="24"/>
        </w:rPr>
      </w:pPr>
      <w:r>
        <w:rPr>
          <w:noProof/>
          <w:lang w:eastAsia="zh-CN"/>
        </w:rPr>
        <w:drawing>
          <wp:inline distT="0" distB="0" distL="0" distR="0">
            <wp:extent cx="5274310" cy="33940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394075"/>
                    </a:xfrm>
                    <a:prstGeom prst="rect">
                      <a:avLst/>
                    </a:prstGeom>
                    <a:noFill/>
                    <a:ln>
                      <a:noFill/>
                    </a:ln>
                  </pic:spPr>
                </pic:pic>
              </a:graphicData>
            </a:graphic>
          </wp:inline>
        </w:drawing>
      </w:r>
    </w:p>
    <w:p w:rsidR="004F3C99" w:rsidRPr="00991EB9" w:rsidRDefault="00255E2E" w:rsidP="009A3473">
      <w:pPr>
        <w:pStyle w:val="af5"/>
        <w:wordWrap/>
        <w:snapToGrid w:val="0"/>
        <w:spacing w:after="0" w:line="360" w:lineRule="auto"/>
        <w:ind w:firstLineChars="0" w:firstLine="0"/>
        <w:rPr>
          <w:rFonts w:ascii="Book Antiqua" w:hAnsi="Book Antiqua"/>
          <w:sz w:val="24"/>
          <w:szCs w:val="24"/>
        </w:rPr>
      </w:pPr>
      <w:r w:rsidRPr="00991EB9">
        <w:rPr>
          <w:rFonts w:ascii="Book Antiqua" w:hAnsi="Book Antiqua" w:cs="Arial"/>
          <w:b/>
          <w:sz w:val="24"/>
          <w:szCs w:val="24"/>
        </w:rPr>
        <w:t>F</w:t>
      </w:r>
      <w:r w:rsidR="00536DF9" w:rsidRPr="00991EB9">
        <w:rPr>
          <w:rFonts w:ascii="Book Antiqua" w:hAnsi="Book Antiqua" w:cs="Arial"/>
          <w:b/>
          <w:sz w:val="24"/>
          <w:szCs w:val="24"/>
        </w:rPr>
        <w:t>igure</w:t>
      </w:r>
      <w:r w:rsidR="0010589A" w:rsidRPr="00991EB9">
        <w:rPr>
          <w:rFonts w:ascii="Book Antiqua" w:hAnsi="Book Antiqua" w:cs="Arial"/>
          <w:b/>
          <w:sz w:val="24"/>
          <w:szCs w:val="24"/>
        </w:rPr>
        <w:t xml:space="preserve"> </w:t>
      </w:r>
      <w:r w:rsidR="00595E7E" w:rsidRPr="00991EB9">
        <w:rPr>
          <w:rFonts w:ascii="Book Antiqua" w:hAnsi="Book Antiqua" w:cs="Arial"/>
          <w:b/>
          <w:sz w:val="24"/>
          <w:szCs w:val="24"/>
        </w:rPr>
        <w:t>1</w:t>
      </w:r>
      <w:r w:rsidR="00923D3E" w:rsidRPr="00991EB9">
        <w:rPr>
          <w:rFonts w:ascii="Book Antiqua" w:hAnsi="Book Antiqua" w:cs="Arial"/>
          <w:b/>
          <w:sz w:val="24"/>
          <w:szCs w:val="24"/>
        </w:rPr>
        <w:t xml:space="preserve"> </w:t>
      </w:r>
      <w:r w:rsidR="00BB0F20" w:rsidRPr="00991EB9">
        <w:rPr>
          <w:rFonts w:ascii="Book Antiqua" w:hAnsi="Book Antiqua"/>
          <w:b/>
          <w:sz w:val="24"/>
          <w:szCs w:val="24"/>
        </w:rPr>
        <w:t>Narrow-band imaging</w:t>
      </w:r>
      <w:r w:rsidR="00626D11" w:rsidRPr="00991EB9">
        <w:rPr>
          <w:rFonts w:ascii="Book Antiqua" w:hAnsi="Book Antiqua"/>
          <w:b/>
          <w:sz w:val="24"/>
          <w:szCs w:val="24"/>
        </w:rPr>
        <w:t xml:space="preserve"> </w:t>
      </w:r>
      <w:r w:rsidR="00BB0F20" w:rsidRPr="00991EB9">
        <w:rPr>
          <w:rFonts w:ascii="Book Antiqua" w:hAnsi="Book Antiqua"/>
          <w:b/>
          <w:sz w:val="24"/>
          <w:szCs w:val="24"/>
        </w:rPr>
        <w:t>system</w:t>
      </w:r>
      <w:r w:rsidR="004F3C99" w:rsidRPr="00991EB9">
        <w:rPr>
          <w:rFonts w:ascii="Book Antiqua" w:hAnsi="Book Antiqua"/>
          <w:b/>
          <w:sz w:val="24"/>
          <w:szCs w:val="24"/>
        </w:rPr>
        <w:t>.</w:t>
      </w:r>
      <w:r w:rsidR="0015607D" w:rsidRPr="00991EB9">
        <w:rPr>
          <w:rFonts w:ascii="Book Antiqua" w:hAnsi="Book Antiqua"/>
          <w:sz w:val="24"/>
          <w:szCs w:val="24"/>
        </w:rPr>
        <w:t xml:space="preserve"> </w:t>
      </w:r>
      <w:r w:rsidR="00BB0F20" w:rsidRPr="00991EB9">
        <w:rPr>
          <w:rFonts w:ascii="Book Antiqua" w:hAnsi="Book Antiqua"/>
          <w:sz w:val="24"/>
          <w:szCs w:val="24"/>
        </w:rPr>
        <w:t xml:space="preserve">When the button is pressed by </w:t>
      </w:r>
      <w:r w:rsidR="00C372E1" w:rsidRPr="00991EB9">
        <w:rPr>
          <w:rFonts w:ascii="Book Antiqua" w:hAnsi="Book Antiqua"/>
          <w:sz w:val="24"/>
          <w:szCs w:val="24"/>
        </w:rPr>
        <w:t xml:space="preserve">the endoscopist, the </w:t>
      </w:r>
      <w:r w:rsidR="00BB0F20" w:rsidRPr="00991EB9">
        <w:rPr>
          <w:rFonts w:ascii="Book Antiqua" w:hAnsi="Book Antiqua"/>
          <w:sz w:val="24"/>
          <w:szCs w:val="24"/>
        </w:rPr>
        <w:t>endoscopy monitor change</w:t>
      </w:r>
      <w:r w:rsidR="00C372E1" w:rsidRPr="00991EB9">
        <w:rPr>
          <w:rFonts w:ascii="Book Antiqua" w:hAnsi="Book Antiqua"/>
          <w:sz w:val="24"/>
          <w:szCs w:val="24"/>
        </w:rPr>
        <w:t>s from white-</w:t>
      </w:r>
      <w:r w:rsidR="00BB0F20" w:rsidRPr="00991EB9">
        <w:rPr>
          <w:rFonts w:ascii="Book Antiqua" w:hAnsi="Book Antiqua"/>
          <w:sz w:val="24"/>
          <w:szCs w:val="24"/>
        </w:rPr>
        <w:t xml:space="preserve">light imaging to </w:t>
      </w:r>
      <w:r w:rsidR="00626D11" w:rsidRPr="00991EB9">
        <w:rPr>
          <w:rFonts w:ascii="Book Antiqua" w:hAnsi="Book Antiqua"/>
          <w:sz w:val="24"/>
          <w:szCs w:val="24"/>
        </w:rPr>
        <w:t>narrow-band imaging (NBI)</w:t>
      </w:r>
      <w:r w:rsidR="00BB0F20" w:rsidRPr="00991EB9">
        <w:rPr>
          <w:rFonts w:ascii="Book Antiqua" w:hAnsi="Book Antiqua"/>
          <w:sz w:val="24"/>
          <w:szCs w:val="24"/>
        </w:rPr>
        <w:t xml:space="preserve"> mode. </w:t>
      </w:r>
      <w:r w:rsidR="004D73D6" w:rsidRPr="00991EB9">
        <w:rPr>
          <w:rFonts w:ascii="Book Antiqua" w:hAnsi="Book Antiqua"/>
          <w:sz w:val="24"/>
          <w:szCs w:val="24"/>
        </w:rPr>
        <w:t>Compared to the magnification mode without NBI (upper-right panel)</w:t>
      </w:r>
      <w:r w:rsidR="00BB0F20" w:rsidRPr="00991EB9">
        <w:rPr>
          <w:rFonts w:ascii="Book Antiqua" w:hAnsi="Book Antiqua"/>
          <w:sz w:val="24"/>
          <w:szCs w:val="24"/>
        </w:rPr>
        <w:t xml:space="preserve">, </w:t>
      </w:r>
      <w:r w:rsidR="004A6797" w:rsidRPr="00991EB9">
        <w:rPr>
          <w:rFonts w:ascii="Book Antiqua" w:hAnsi="Book Antiqua"/>
          <w:sz w:val="24"/>
          <w:szCs w:val="24"/>
        </w:rPr>
        <w:t xml:space="preserve">NBI </w:t>
      </w:r>
      <w:r w:rsidR="00C372E1" w:rsidRPr="00991EB9">
        <w:rPr>
          <w:rFonts w:ascii="Book Antiqua" w:hAnsi="Book Antiqua"/>
          <w:sz w:val="24"/>
          <w:szCs w:val="24"/>
        </w:rPr>
        <w:t>enables</w:t>
      </w:r>
      <w:r w:rsidR="004A6797" w:rsidRPr="00991EB9">
        <w:rPr>
          <w:rFonts w:ascii="Book Antiqua" w:hAnsi="Book Antiqua"/>
          <w:sz w:val="24"/>
          <w:szCs w:val="24"/>
        </w:rPr>
        <w:t xml:space="preserve"> </w:t>
      </w:r>
      <w:r w:rsidR="00D33182" w:rsidRPr="00991EB9">
        <w:rPr>
          <w:rFonts w:ascii="Book Antiqua" w:hAnsi="Book Antiqua"/>
          <w:sz w:val="24"/>
          <w:szCs w:val="24"/>
        </w:rPr>
        <w:t xml:space="preserve">examination of </w:t>
      </w:r>
      <w:r w:rsidR="00C372E1" w:rsidRPr="00991EB9">
        <w:rPr>
          <w:rFonts w:ascii="Book Antiqua" w:hAnsi="Book Antiqua"/>
          <w:sz w:val="24"/>
          <w:szCs w:val="24"/>
        </w:rPr>
        <w:t xml:space="preserve">the </w:t>
      </w:r>
      <w:r w:rsidR="00BB0F20" w:rsidRPr="00991EB9">
        <w:rPr>
          <w:rFonts w:ascii="Book Antiqua" w:hAnsi="Book Antiqua"/>
          <w:sz w:val="24"/>
          <w:szCs w:val="24"/>
        </w:rPr>
        <w:t xml:space="preserve">mucosal surface </w:t>
      </w:r>
      <w:r w:rsidR="00BE1590" w:rsidRPr="00991EB9">
        <w:rPr>
          <w:rFonts w:ascii="Book Antiqua" w:hAnsi="Book Antiqua"/>
          <w:sz w:val="24"/>
          <w:szCs w:val="24"/>
        </w:rPr>
        <w:t>and microvessel</w:t>
      </w:r>
      <w:r w:rsidR="00E95013" w:rsidRPr="00991EB9">
        <w:rPr>
          <w:rFonts w:ascii="Book Antiqua" w:hAnsi="Book Antiqua"/>
          <w:sz w:val="24"/>
          <w:szCs w:val="24"/>
        </w:rPr>
        <w:t>s</w:t>
      </w:r>
      <w:r w:rsidR="00BE1590" w:rsidRPr="00991EB9">
        <w:rPr>
          <w:rFonts w:ascii="Book Antiqua" w:hAnsi="Book Antiqua"/>
          <w:sz w:val="24"/>
          <w:szCs w:val="24"/>
        </w:rPr>
        <w:t xml:space="preserve"> </w:t>
      </w:r>
      <w:r w:rsidR="002C4CFA" w:rsidRPr="00991EB9">
        <w:rPr>
          <w:rFonts w:ascii="Book Antiqua" w:hAnsi="Book Antiqua"/>
          <w:sz w:val="24"/>
          <w:szCs w:val="24"/>
        </w:rPr>
        <w:t xml:space="preserve">around </w:t>
      </w:r>
      <w:r w:rsidR="00D33182" w:rsidRPr="00991EB9">
        <w:rPr>
          <w:rFonts w:ascii="Book Antiqua" w:hAnsi="Book Antiqua"/>
          <w:sz w:val="24"/>
          <w:szCs w:val="24"/>
        </w:rPr>
        <w:t>the erosion</w:t>
      </w:r>
      <w:r w:rsidR="004D73D6" w:rsidRPr="00991EB9">
        <w:rPr>
          <w:rFonts w:ascii="Book Antiqua" w:hAnsi="Book Antiqua"/>
          <w:sz w:val="24"/>
          <w:szCs w:val="24"/>
        </w:rPr>
        <w:t xml:space="preserve"> (lower-right panel)</w:t>
      </w:r>
      <w:r w:rsidR="00BB0F20" w:rsidRPr="00991EB9">
        <w:rPr>
          <w:rFonts w:ascii="Book Antiqua" w:hAnsi="Book Antiqua"/>
          <w:sz w:val="24"/>
          <w:szCs w:val="24"/>
        </w:rPr>
        <w:t xml:space="preserve">. </w:t>
      </w:r>
    </w:p>
    <w:p w:rsidR="0030170E" w:rsidRPr="00991EB9" w:rsidRDefault="00923D3E" w:rsidP="009A3473">
      <w:pPr>
        <w:wordWrap/>
        <w:snapToGrid w:val="0"/>
        <w:spacing w:line="360" w:lineRule="auto"/>
        <w:rPr>
          <w:rFonts w:ascii="Book Antiqua" w:hAnsi="Book Antiqua"/>
          <w:sz w:val="24"/>
          <w:szCs w:val="24"/>
        </w:rPr>
      </w:pPr>
      <w:r w:rsidRPr="00991EB9">
        <w:rPr>
          <w:rFonts w:ascii="Book Antiqua" w:hAnsi="Book Antiqua"/>
          <w:sz w:val="24"/>
          <w:szCs w:val="24"/>
        </w:rPr>
        <w:br w:type="page"/>
      </w:r>
      <w:r w:rsidR="006B7659">
        <w:rPr>
          <w:noProof/>
          <w:lang w:eastAsia="zh-CN"/>
        </w:rPr>
        <w:drawing>
          <wp:inline distT="0" distB="0" distL="0" distR="0">
            <wp:extent cx="5274310" cy="4667250"/>
            <wp:effectExtent l="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667250"/>
                    </a:xfrm>
                    <a:prstGeom prst="rect">
                      <a:avLst/>
                    </a:prstGeom>
                    <a:noFill/>
                    <a:ln>
                      <a:noFill/>
                    </a:ln>
                  </pic:spPr>
                </pic:pic>
              </a:graphicData>
            </a:graphic>
          </wp:inline>
        </w:drawing>
      </w:r>
    </w:p>
    <w:p w:rsidR="00BF7882" w:rsidRPr="00991EB9" w:rsidRDefault="00BF7882" w:rsidP="009A3473">
      <w:pPr>
        <w:wordWrap/>
        <w:snapToGrid w:val="0"/>
        <w:spacing w:line="360" w:lineRule="auto"/>
        <w:rPr>
          <w:rFonts w:ascii="Book Antiqua" w:hAnsi="Book Antiqua"/>
          <w:sz w:val="24"/>
          <w:szCs w:val="24"/>
        </w:rPr>
      </w:pPr>
      <w:r w:rsidRPr="00991EB9">
        <w:rPr>
          <w:rFonts w:ascii="Book Antiqua" w:hAnsi="Book Antiqua" w:cs="Arial"/>
          <w:b/>
          <w:sz w:val="24"/>
          <w:szCs w:val="24"/>
        </w:rPr>
        <w:t>F</w:t>
      </w:r>
      <w:r w:rsidR="00536DF9" w:rsidRPr="00991EB9">
        <w:rPr>
          <w:rFonts w:ascii="Book Antiqua" w:hAnsi="Book Antiqua" w:cs="Arial"/>
          <w:b/>
          <w:sz w:val="24"/>
          <w:szCs w:val="24"/>
        </w:rPr>
        <w:t>igure</w:t>
      </w:r>
      <w:r w:rsidR="0010589A" w:rsidRPr="00991EB9">
        <w:rPr>
          <w:rFonts w:ascii="Book Antiqua" w:hAnsi="Book Antiqua" w:cs="Arial"/>
          <w:b/>
          <w:sz w:val="24"/>
          <w:szCs w:val="24"/>
        </w:rPr>
        <w:t xml:space="preserve"> </w:t>
      </w:r>
      <w:r w:rsidR="00595E7E" w:rsidRPr="00991EB9">
        <w:rPr>
          <w:rFonts w:ascii="Book Antiqua" w:hAnsi="Book Antiqua" w:cs="Arial"/>
          <w:b/>
          <w:sz w:val="24"/>
          <w:szCs w:val="24"/>
        </w:rPr>
        <w:t>2</w:t>
      </w:r>
      <w:r w:rsidR="00923D3E" w:rsidRPr="00991EB9">
        <w:rPr>
          <w:rFonts w:ascii="Book Antiqua" w:hAnsi="Book Antiqua" w:cs="Arial"/>
          <w:b/>
          <w:sz w:val="24"/>
          <w:szCs w:val="24"/>
        </w:rPr>
        <w:t xml:space="preserve"> </w:t>
      </w:r>
      <w:r w:rsidR="00E62106" w:rsidRPr="00991EB9">
        <w:rPr>
          <w:rFonts w:ascii="Book Antiqua" w:eastAsia="HYSinMyeongJo-Medium" w:hAnsi="Book Antiqua"/>
          <w:b/>
          <w:sz w:val="24"/>
          <w:szCs w:val="24"/>
        </w:rPr>
        <w:t xml:space="preserve">Magnifying </w:t>
      </w:r>
      <w:r w:rsidR="0030170E" w:rsidRPr="00991EB9">
        <w:rPr>
          <w:rFonts w:ascii="Book Antiqua" w:eastAsia="HYSinMyeongJo-Medium" w:hAnsi="Book Antiqua"/>
          <w:b/>
          <w:sz w:val="24"/>
          <w:szCs w:val="24"/>
        </w:rPr>
        <w:t>narrow-band imaging</w:t>
      </w:r>
      <w:r w:rsidR="00E62106" w:rsidRPr="00991EB9">
        <w:rPr>
          <w:rFonts w:ascii="Book Antiqua" w:eastAsia="HYSinMyeongJo-Medium" w:hAnsi="Book Antiqua"/>
          <w:b/>
          <w:sz w:val="24"/>
          <w:szCs w:val="24"/>
        </w:rPr>
        <w:t xml:space="preserve"> endoscopy images of </w:t>
      </w:r>
      <w:r w:rsidR="00CF5093" w:rsidRPr="00991EB9">
        <w:rPr>
          <w:rFonts w:ascii="Book Antiqua" w:eastAsia="HYSinMyeongJo-Medium" w:hAnsi="Book Antiqua"/>
          <w:b/>
          <w:i/>
          <w:sz w:val="24"/>
          <w:szCs w:val="24"/>
        </w:rPr>
        <w:t>Helicobacter pylori</w:t>
      </w:r>
      <w:r w:rsidR="00CF5093" w:rsidRPr="00991EB9">
        <w:rPr>
          <w:rFonts w:ascii="Book Antiqua" w:eastAsia="HYSinMyeongJo-Medium" w:hAnsi="Book Antiqua"/>
          <w:b/>
          <w:sz w:val="24"/>
          <w:szCs w:val="24"/>
        </w:rPr>
        <w:t>-</w:t>
      </w:r>
      <w:r w:rsidR="0023532D" w:rsidRPr="00991EB9">
        <w:rPr>
          <w:rFonts w:ascii="Book Antiqua" w:eastAsia="HYSinMyeongJo-Medium" w:hAnsi="Book Antiqua"/>
          <w:b/>
          <w:sz w:val="24"/>
          <w:szCs w:val="24"/>
        </w:rPr>
        <w:t>positive corpus mucosa and atrophic gastritis</w:t>
      </w:r>
      <w:r w:rsidR="007061DD" w:rsidRPr="00991EB9">
        <w:rPr>
          <w:rFonts w:ascii="Book Antiqua" w:eastAsia="HYSinMyeongJo-Medium" w:hAnsi="Book Antiqua"/>
          <w:b/>
          <w:sz w:val="24"/>
          <w:szCs w:val="24"/>
        </w:rPr>
        <w:t>.</w:t>
      </w:r>
      <w:r w:rsidR="007061DD" w:rsidRPr="00991EB9">
        <w:rPr>
          <w:rFonts w:ascii="Book Antiqua" w:eastAsia="HYSinMyeongJo-Medium" w:hAnsi="Book Antiqua"/>
          <w:sz w:val="24"/>
          <w:szCs w:val="24"/>
        </w:rPr>
        <w:t xml:space="preserve"> </w:t>
      </w:r>
      <w:r w:rsidR="007A3E3D" w:rsidRPr="00991EB9">
        <w:rPr>
          <w:rFonts w:ascii="Book Antiqua" w:eastAsia="HYSinMyeongJo-Medium" w:hAnsi="Book Antiqua"/>
          <w:sz w:val="24"/>
          <w:szCs w:val="24"/>
        </w:rPr>
        <w:t>A</w:t>
      </w:r>
      <w:r w:rsidR="00E62106" w:rsidRPr="00991EB9">
        <w:rPr>
          <w:rFonts w:ascii="Book Antiqua" w:eastAsia="HYSinMyeongJo-Medium" w:hAnsi="Book Antiqua"/>
          <w:sz w:val="24"/>
          <w:szCs w:val="24"/>
        </w:rPr>
        <w:t>:</w:t>
      </w:r>
      <w:r w:rsidR="007A3E3D" w:rsidRPr="00991EB9">
        <w:rPr>
          <w:rFonts w:ascii="Book Antiqua" w:eastAsia="HYSinMyeongJo-Medium" w:hAnsi="Book Antiqua"/>
          <w:sz w:val="24"/>
          <w:szCs w:val="24"/>
        </w:rPr>
        <w:t xml:space="preserve"> </w:t>
      </w:r>
      <w:r w:rsidR="0001268F" w:rsidRPr="00991EB9">
        <w:rPr>
          <w:rFonts w:ascii="Book Antiqua" w:eastAsia="HYSinMyeongJo-Medium" w:hAnsi="Book Antiqua"/>
          <w:sz w:val="24"/>
          <w:szCs w:val="24"/>
        </w:rPr>
        <w:t xml:space="preserve">Normal mucosal pattern showing </w:t>
      </w:r>
      <w:r w:rsidR="00342703" w:rsidRPr="00991EB9">
        <w:rPr>
          <w:rFonts w:ascii="Book Antiqua" w:eastAsia="HYSinMyeongJo-Medium" w:hAnsi="Book Antiqua"/>
          <w:sz w:val="24"/>
          <w:szCs w:val="24"/>
        </w:rPr>
        <w:t xml:space="preserve">a </w:t>
      </w:r>
      <w:r w:rsidR="0001268F" w:rsidRPr="00991EB9">
        <w:rPr>
          <w:rFonts w:ascii="Book Antiqua" w:eastAsia="HYSinMyeongJo-Medium" w:hAnsi="Book Antiqua"/>
          <w:sz w:val="24"/>
          <w:szCs w:val="24"/>
        </w:rPr>
        <w:t>honeycomb-like subepithelial capillary network and regular arrangement of collecting venules</w:t>
      </w:r>
      <w:r w:rsidR="004B0932" w:rsidRPr="00991EB9">
        <w:rPr>
          <w:rFonts w:ascii="Book Antiqua" w:eastAsia="HYSinMyeongJo-Medium" w:hAnsi="Book Antiqua"/>
          <w:sz w:val="24"/>
          <w:szCs w:val="24"/>
        </w:rPr>
        <w:t xml:space="preserve">; B: </w:t>
      </w:r>
      <w:r w:rsidR="00617F5E" w:rsidRPr="00617F5E">
        <w:rPr>
          <w:rFonts w:ascii="Book Antiqua" w:eastAsia="HYSinMyeongJo-Medium" w:hAnsi="Book Antiqua"/>
          <w:i/>
          <w:sz w:val="24"/>
          <w:szCs w:val="24"/>
        </w:rPr>
        <w:t>Helicobacter pylori</w:t>
      </w:r>
      <w:r w:rsidR="00DC6905" w:rsidRPr="00991EB9">
        <w:rPr>
          <w:rFonts w:ascii="Book Antiqua" w:eastAsia="HYSinMyeongJo-Medium" w:hAnsi="Book Antiqua"/>
          <w:sz w:val="24"/>
          <w:szCs w:val="24"/>
        </w:rPr>
        <w:t xml:space="preserve">-infected </w:t>
      </w:r>
      <w:r w:rsidR="00746AC9" w:rsidRPr="00991EB9">
        <w:rPr>
          <w:rFonts w:ascii="Book Antiqua" w:eastAsia="HYSinMyeongJo-Medium" w:hAnsi="Book Antiqua"/>
          <w:sz w:val="24"/>
          <w:szCs w:val="24"/>
        </w:rPr>
        <w:t>status</w:t>
      </w:r>
      <w:r w:rsidR="00DC6905" w:rsidRPr="00991EB9">
        <w:rPr>
          <w:rFonts w:ascii="Book Antiqua" w:eastAsia="HYSinMyeongJo-Medium" w:hAnsi="Book Antiqua"/>
          <w:sz w:val="24"/>
          <w:szCs w:val="24"/>
        </w:rPr>
        <w:t xml:space="preserve"> </w:t>
      </w:r>
      <w:r w:rsidR="00746AC9" w:rsidRPr="00991EB9">
        <w:rPr>
          <w:rFonts w:ascii="Book Antiqua" w:eastAsia="HYSinMyeongJo-Medium" w:hAnsi="Book Antiqua"/>
          <w:sz w:val="24"/>
          <w:szCs w:val="24"/>
        </w:rPr>
        <w:t xml:space="preserve">presenting as polygonal swollen mucosa with </w:t>
      </w:r>
      <w:r w:rsidR="00DC6905" w:rsidRPr="00991EB9">
        <w:rPr>
          <w:rFonts w:ascii="Book Antiqua" w:eastAsia="HYSinMyeongJo-Medium" w:hAnsi="Book Antiqua"/>
          <w:sz w:val="24"/>
          <w:szCs w:val="24"/>
        </w:rPr>
        <w:t xml:space="preserve">dilated round </w:t>
      </w:r>
      <w:r w:rsidR="00746AC9" w:rsidRPr="00991EB9">
        <w:rPr>
          <w:rFonts w:ascii="Book Antiqua" w:eastAsia="HYSinMyeongJo-Medium" w:hAnsi="Book Antiqua"/>
          <w:sz w:val="24"/>
          <w:szCs w:val="24"/>
        </w:rPr>
        <w:t>crypt opening</w:t>
      </w:r>
      <w:r w:rsidR="006774F5" w:rsidRPr="00991EB9">
        <w:rPr>
          <w:rFonts w:ascii="Book Antiqua" w:eastAsia="HYSinMyeongJo-Medium" w:hAnsi="Book Antiqua"/>
          <w:sz w:val="24"/>
          <w:szCs w:val="24"/>
        </w:rPr>
        <w:t xml:space="preserve">; </w:t>
      </w:r>
      <w:r w:rsidR="006A1220" w:rsidRPr="00991EB9">
        <w:rPr>
          <w:rFonts w:ascii="Book Antiqua" w:eastAsia="HYSinMyeongJo-Medium" w:hAnsi="Book Antiqua"/>
          <w:sz w:val="24"/>
          <w:szCs w:val="24"/>
        </w:rPr>
        <w:t>C: Ridged surface structures encasing dilated coiled subepithelial capillaries indicate the presence of atrophic gastritis; D</w:t>
      </w:r>
      <w:r w:rsidR="006774F5" w:rsidRPr="00991EB9">
        <w:rPr>
          <w:rFonts w:ascii="Book Antiqua" w:eastAsia="HYSinMyeongJo-Medium" w:hAnsi="Book Antiqua"/>
          <w:sz w:val="24"/>
          <w:szCs w:val="24"/>
        </w:rPr>
        <w:t>:</w:t>
      </w:r>
      <w:r w:rsidR="006B2DCA" w:rsidRPr="00991EB9">
        <w:rPr>
          <w:rFonts w:ascii="Book Antiqua" w:eastAsia="HYSinMyeongJo-Medium" w:hAnsi="Book Antiqua"/>
          <w:sz w:val="24"/>
          <w:szCs w:val="24"/>
        </w:rPr>
        <w:t xml:space="preserve"> </w:t>
      </w:r>
      <w:r w:rsidR="006A1220" w:rsidRPr="00991EB9">
        <w:rPr>
          <w:rFonts w:ascii="Book Antiqua" w:eastAsia="HYSinMyeongJo-Medium" w:hAnsi="Book Antiqua"/>
          <w:sz w:val="24"/>
          <w:szCs w:val="24"/>
        </w:rPr>
        <w:t xml:space="preserve">Severe mucosal </w:t>
      </w:r>
      <w:r w:rsidR="00626DB7" w:rsidRPr="00991EB9">
        <w:rPr>
          <w:rFonts w:ascii="Book Antiqua" w:eastAsia="HYSinMyeongJo-Medium" w:hAnsi="Book Antiqua"/>
          <w:sz w:val="24"/>
          <w:szCs w:val="24"/>
        </w:rPr>
        <w:t>a</w:t>
      </w:r>
      <w:r w:rsidR="006774F5" w:rsidRPr="00991EB9">
        <w:rPr>
          <w:rFonts w:ascii="Book Antiqua" w:eastAsia="HYSinMyeongJo-Medium" w:hAnsi="Book Antiqua"/>
          <w:sz w:val="24"/>
          <w:szCs w:val="24"/>
        </w:rPr>
        <w:t>troph</w:t>
      </w:r>
      <w:r w:rsidR="00626DB7" w:rsidRPr="00991EB9">
        <w:rPr>
          <w:rFonts w:ascii="Book Antiqua" w:eastAsia="HYSinMyeongJo-Medium" w:hAnsi="Book Antiqua"/>
          <w:sz w:val="24"/>
          <w:szCs w:val="24"/>
        </w:rPr>
        <w:t>y</w:t>
      </w:r>
      <w:r w:rsidR="006774F5" w:rsidRPr="00991EB9">
        <w:rPr>
          <w:rFonts w:ascii="Book Antiqua" w:eastAsia="HYSinMyeongJo-Medium" w:hAnsi="Book Antiqua"/>
          <w:sz w:val="24"/>
          <w:szCs w:val="24"/>
        </w:rPr>
        <w:t xml:space="preserve"> </w:t>
      </w:r>
      <w:r w:rsidR="006A1220" w:rsidRPr="00991EB9">
        <w:rPr>
          <w:rFonts w:ascii="Book Antiqua" w:eastAsia="HYSinMyeongJo-Medium" w:hAnsi="Book Antiqua"/>
          <w:sz w:val="24"/>
          <w:szCs w:val="24"/>
        </w:rPr>
        <w:t xml:space="preserve">characterized by </w:t>
      </w:r>
      <w:r w:rsidR="00626DB7" w:rsidRPr="00991EB9">
        <w:rPr>
          <w:rFonts w:ascii="Book Antiqua" w:eastAsia="HYSinMyeongJo-Medium" w:hAnsi="Book Antiqua"/>
          <w:sz w:val="24"/>
          <w:szCs w:val="24"/>
        </w:rPr>
        <w:t>irregular coiled microvessels</w:t>
      </w:r>
      <w:r w:rsidR="009E0288" w:rsidRPr="00991EB9">
        <w:rPr>
          <w:rFonts w:ascii="Book Antiqua" w:eastAsia="HYSinMyeongJo-Medium" w:hAnsi="Book Antiqua"/>
          <w:sz w:val="24"/>
          <w:szCs w:val="24"/>
        </w:rPr>
        <w:t xml:space="preserve">, </w:t>
      </w:r>
      <w:r w:rsidR="006774F5" w:rsidRPr="00991EB9">
        <w:rPr>
          <w:rFonts w:ascii="Book Antiqua" w:eastAsia="HYSinMyeongJo-Medium" w:hAnsi="Book Antiqua"/>
          <w:sz w:val="24"/>
          <w:szCs w:val="24"/>
        </w:rPr>
        <w:t>loss of gastric pits</w:t>
      </w:r>
      <w:r w:rsidR="009E0288" w:rsidRPr="00991EB9">
        <w:rPr>
          <w:rFonts w:ascii="Book Antiqua" w:eastAsia="HYSinMyeongJo-Medium" w:hAnsi="Book Antiqua"/>
          <w:sz w:val="24"/>
          <w:szCs w:val="24"/>
        </w:rPr>
        <w:t xml:space="preserve">, and </w:t>
      </w:r>
      <w:r w:rsidR="00B740FB" w:rsidRPr="00991EB9">
        <w:rPr>
          <w:rFonts w:ascii="Book Antiqua" w:eastAsia="HYSinMyeongJo-Medium" w:hAnsi="Book Antiqua"/>
          <w:sz w:val="24"/>
          <w:szCs w:val="24"/>
        </w:rPr>
        <w:t>greenish submucosal vessels</w:t>
      </w:r>
      <w:r w:rsidR="006774F5" w:rsidRPr="00991EB9">
        <w:rPr>
          <w:rFonts w:ascii="Book Antiqua" w:eastAsia="HYSinMyeongJo-Medium" w:hAnsi="Book Antiqua"/>
          <w:sz w:val="24"/>
          <w:szCs w:val="24"/>
        </w:rPr>
        <w:t xml:space="preserve">. </w:t>
      </w:r>
    </w:p>
    <w:p w:rsidR="00D72F8F" w:rsidRPr="00991EB9" w:rsidRDefault="00923D3E" w:rsidP="009A3473">
      <w:pPr>
        <w:pStyle w:val="af5"/>
        <w:wordWrap/>
        <w:snapToGrid w:val="0"/>
        <w:spacing w:after="0" w:line="360" w:lineRule="auto"/>
        <w:ind w:firstLineChars="0" w:firstLine="0"/>
        <w:rPr>
          <w:noProof/>
          <w:lang w:eastAsia="zh-CN"/>
        </w:rPr>
      </w:pPr>
      <w:r w:rsidRPr="00991EB9">
        <w:rPr>
          <w:rFonts w:ascii="Book Antiqua" w:hAnsi="Book Antiqua"/>
          <w:sz w:val="24"/>
          <w:szCs w:val="24"/>
        </w:rPr>
        <w:br w:type="page"/>
      </w:r>
      <w:r w:rsidR="006B7659">
        <w:rPr>
          <w:noProof/>
          <w:lang w:eastAsia="zh-CN"/>
        </w:rPr>
        <w:drawing>
          <wp:inline distT="0" distB="0" distL="0" distR="0">
            <wp:extent cx="5274310" cy="4688840"/>
            <wp:effectExtent l="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688840"/>
                    </a:xfrm>
                    <a:prstGeom prst="rect">
                      <a:avLst/>
                    </a:prstGeom>
                    <a:noFill/>
                    <a:ln>
                      <a:noFill/>
                    </a:ln>
                  </pic:spPr>
                </pic:pic>
              </a:graphicData>
            </a:graphic>
          </wp:inline>
        </w:drawing>
      </w:r>
    </w:p>
    <w:p w:rsidR="00BF7882" w:rsidRPr="00991EB9" w:rsidRDefault="00BF7882" w:rsidP="009A3473">
      <w:pPr>
        <w:pStyle w:val="af5"/>
        <w:wordWrap/>
        <w:snapToGrid w:val="0"/>
        <w:spacing w:after="0" w:line="360" w:lineRule="auto"/>
        <w:ind w:firstLineChars="0" w:firstLine="0"/>
        <w:rPr>
          <w:rFonts w:ascii="Book Antiqua" w:eastAsia="HYSinMyeongJo-Medium" w:hAnsi="Book Antiqua"/>
          <w:sz w:val="24"/>
          <w:szCs w:val="24"/>
        </w:rPr>
      </w:pPr>
      <w:r w:rsidRPr="00991EB9">
        <w:rPr>
          <w:rFonts w:ascii="Book Antiqua" w:hAnsi="Book Antiqua" w:cs="Arial"/>
          <w:b/>
          <w:sz w:val="24"/>
          <w:szCs w:val="24"/>
        </w:rPr>
        <w:t>F</w:t>
      </w:r>
      <w:r w:rsidR="00536DF9" w:rsidRPr="00991EB9">
        <w:rPr>
          <w:rFonts w:ascii="Book Antiqua" w:hAnsi="Book Antiqua" w:cs="Arial"/>
          <w:b/>
          <w:sz w:val="24"/>
          <w:szCs w:val="24"/>
        </w:rPr>
        <w:t>igure</w:t>
      </w:r>
      <w:r w:rsidR="008076F5" w:rsidRPr="00991EB9">
        <w:rPr>
          <w:rFonts w:ascii="Book Antiqua" w:hAnsi="Book Antiqua" w:cs="Arial"/>
          <w:b/>
          <w:sz w:val="24"/>
          <w:szCs w:val="24"/>
        </w:rPr>
        <w:t xml:space="preserve"> </w:t>
      </w:r>
      <w:r w:rsidR="00595E7E" w:rsidRPr="00991EB9">
        <w:rPr>
          <w:rFonts w:ascii="Book Antiqua" w:hAnsi="Book Antiqua" w:cs="Arial"/>
          <w:b/>
          <w:sz w:val="24"/>
          <w:szCs w:val="24"/>
        </w:rPr>
        <w:t>3</w:t>
      </w:r>
      <w:r w:rsidR="00923D3E" w:rsidRPr="00991EB9">
        <w:rPr>
          <w:rFonts w:ascii="Book Antiqua" w:hAnsi="Book Antiqua" w:cs="Arial"/>
          <w:b/>
          <w:sz w:val="24"/>
          <w:szCs w:val="24"/>
        </w:rPr>
        <w:t xml:space="preserve"> </w:t>
      </w:r>
      <w:r w:rsidR="005D1527" w:rsidRPr="00991EB9">
        <w:rPr>
          <w:rFonts w:ascii="Book Antiqua" w:eastAsia="HYSinMyeongJo-Medium" w:hAnsi="Book Antiqua"/>
          <w:b/>
          <w:sz w:val="24"/>
          <w:szCs w:val="24"/>
        </w:rPr>
        <w:t>narrow-band imaging</w:t>
      </w:r>
      <w:r w:rsidR="00481F92" w:rsidRPr="00991EB9">
        <w:rPr>
          <w:rFonts w:ascii="Book Antiqua" w:eastAsia="HYSinMyeongJo-Medium" w:hAnsi="Book Antiqua"/>
          <w:b/>
          <w:sz w:val="24"/>
          <w:szCs w:val="24"/>
        </w:rPr>
        <w:t xml:space="preserve"> endoscopy images</w:t>
      </w:r>
      <w:r w:rsidR="00481F92" w:rsidRPr="00991EB9">
        <w:rPr>
          <w:rFonts w:ascii="Book Antiqua" w:hAnsi="Book Antiqua"/>
          <w:b/>
          <w:sz w:val="24"/>
          <w:szCs w:val="24"/>
        </w:rPr>
        <w:t xml:space="preserve"> of intestinal metaplastic mucosa</w:t>
      </w:r>
      <w:r w:rsidR="000E100A" w:rsidRPr="00991EB9">
        <w:rPr>
          <w:rFonts w:ascii="Book Antiqua" w:eastAsia="HYSinMyeongJo-Medium" w:hAnsi="Book Antiqua"/>
          <w:b/>
          <w:sz w:val="24"/>
          <w:szCs w:val="24"/>
        </w:rPr>
        <w:t>.</w:t>
      </w:r>
      <w:r w:rsidR="000E100A" w:rsidRPr="00991EB9">
        <w:rPr>
          <w:rFonts w:ascii="Book Antiqua" w:eastAsia="HYSinMyeongJo-Medium" w:hAnsi="Book Antiqua"/>
          <w:sz w:val="24"/>
          <w:szCs w:val="24"/>
        </w:rPr>
        <w:t xml:space="preserve"> </w:t>
      </w:r>
      <w:r w:rsidR="00310DD8" w:rsidRPr="00991EB9">
        <w:rPr>
          <w:rFonts w:ascii="Book Antiqua" w:eastAsia="HYSinMyeongJo-Medium" w:hAnsi="Book Antiqua"/>
          <w:sz w:val="24"/>
          <w:szCs w:val="24"/>
        </w:rPr>
        <w:t xml:space="preserve">A: </w:t>
      </w:r>
      <w:r w:rsidR="0001268F" w:rsidRPr="00991EB9">
        <w:rPr>
          <w:rFonts w:ascii="Book Antiqua" w:eastAsia="HYSinMyeongJo-Medium" w:hAnsi="Book Antiqua"/>
          <w:sz w:val="24"/>
          <w:szCs w:val="24"/>
        </w:rPr>
        <w:t>Gastric mucosa cove</w:t>
      </w:r>
      <w:r w:rsidR="00342703" w:rsidRPr="00991EB9">
        <w:rPr>
          <w:rFonts w:ascii="Book Antiqua" w:eastAsia="HYSinMyeongJo-Medium" w:hAnsi="Book Antiqua"/>
          <w:sz w:val="24"/>
          <w:szCs w:val="24"/>
        </w:rPr>
        <w:t>red with multiple whitish green-</w:t>
      </w:r>
      <w:r w:rsidR="0001268F" w:rsidRPr="00991EB9">
        <w:rPr>
          <w:rFonts w:ascii="Book Antiqua" w:eastAsia="HYSinMyeongJo-Medium" w:hAnsi="Book Antiqua"/>
          <w:sz w:val="24"/>
          <w:szCs w:val="24"/>
        </w:rPr>
        <w:t>colored patches</w:t>
      </w:r>
      <w:r w:rsidR="00310DD8" w:rsidRPr="00991EB9">
        <w:rPr>
          <w:rFonts w:ascii="Book Antiqua" w:eastAsia="HYSinMyeongJo-Medium" w:hAnsi="Book Antiqua"/>
          <w:sz w:val="24"/>
          <w:szCs w:val="24"/>
        </w:rPr>
        <w:t xml:space="preserve">; B: </w:t>
      </w:r>
      <w:r w:rsidR="00446EFE" w:rsidRPr="00991EB9">
        <w:rPr>
          <w:rFonts w:ascii="Book Antiqua" w:eastAsia="HYSinMyeongJo-Medium" w:hAnsi="Book Antiqua"/>
          <w:sz w:val="24"/>
          <w:szCs w:val="24"/>
        </w:rPr>
        <w:t xml:space="preserve">Thick borders enclosing </w:t>
      </w:r>
      <w:r w:rsidR="00342703" w:rsidRPr="00991EB9">
        <w:rPr>
          <w:rFonts w:ascii="Book Antiqua" w:eastAsia="HYSinMyeongJo-Medium" w:hAnsi="Book Antiqua"/>
          <w:sz w:val="24"/>
          <w:szCs w:val="24"/>
        </w:rPr>
        <w:t xml:space="preserve">a </w:t>
      </w:r>
      <w:r w:rsidR="00446EFE" w:rsidRPr="00991EB9">
        <w:rPr>
          <w:rFonts w:ascii="Book Antiqua" w:eastAsia="HYSinMyeongJo-Medium" w:hAnsi="Book Antiqua"/>
          <w:sz w:val="24"/>
          <w:szCs w:val="24"/>
        </w:rPr>
        <w:t>t</w:t>
      </w:r>
      <w:r w:rsidR="00F31712" w:rsidRPr="00991EB9">
        <w:rPr>
          <w:rFonts w:ascii="Book Antiqua" w:eastAsia="HYSinMyeongJo-Medium" w:hAnsi="Book Antiqua"/>
          <w:sz w:val="24"/>
          <w:szCs w:val="24"/>
        </w:rPr>
        <w:t>ubulovillous mucosa</w:t>
      </w:r>
      <w:r w:rsidR="00446EFE" w:rsidRPr="00991EB9">
        <w:rPr>
          <w:rFonts w:ascii="Book Antiqua" w:eastAsia="HYSinMyeongJo-Medium" w:hAnsi="Book Antiqua"/>
          <w:sz w:val="24"/>
          <w:szCs w:val="24"/>
        </w:rPr>
        <w:t xml:space="preserve">l </w:t>
      </w:r>
      <w:r w:rsidR="00F31712" w:rsidRPr="00991EB9">
        <w:rPr>
          <w:rFonts w:ascii="Book Antiqua" w:eastAsia="HYSinMyeongJo-Medium" w:hAnsi="Book Antiqua"/>
          <w:sz w:val="24"/>
          <w:szCs w:val="24"/>
        </w:rPr>
        <w:t xml:space="preserve">pattern, </w:t>
      </w:r>
      <w:r w:rsidR="00342703" w:rsidRPr="00991EB9">
        <w:rPr>
          <w:rFonts w:ascii="Book Antiqua" w:eastAsia="HYSinMyeongJo-Medium" w:hAnsi="Book Antiqua"/>
          <w:sz w:val="24"/>
          <w:szCs w:val="24"/>
        </w:rPr>
        <w:t xml:space="preserve">the </w:t>
      </w:r>
      <w:r w:rsidR="00731E01" w:rsidRPr="00991EB9">
        <w:rPr>
          <w:rFonts w:ascii="Book Antiqua" w:eastAsia="HYSinMyeongJo-Medium" w:hAnsi="Book Antiqua"/>
          <w:sz w:val="24"/>
          <w:szCs w:val="24"/>
        </w:rPr>
        <w:t xml:space="preserve">so-called </w:t>
      </w:r>
      <w:r w:rsidR="00F31712" w:rsidRPr="00991EB9">
        <w:rPr>
          <w:rFonts w:ascii="Book Antiqua" w:eastAsia="HYSinMyeongJo-Medium" w:hAnsi="Book Antiqua"/>
          <w:sz w:val="24"/>
          <w:szCs w:val="24"/>
        </w:rPr>
        <w:t>m</w:t>
      </w:r>
      <w:r w:rsidR="000B193E" w:rsidRPr="00991EB9">
        <w:rPr>
          <w:rFonts w:ascii="Book Antiqua" w:eastAsia="HYSinMyeongJo-Medium" w:hAnsi="Book Antiqua"/>
          <w:sz w:val="24"/>
          <w:szCs w:val="24"/>
        </w:rPr>
        <w:t>arginal turbid band</w:t>
      </w:r>
      <w:r w:rsidR="00F31712" w:rsidRPr="00991EB9">
        <w:rPr>
          <w:rFonts w:ascii="Book Antiqua" w:eastAsia="HYSinMyeongJo-Medium" w:hAnsi="Book Antiqua"/>
          <w:sz w:val="24"/>
          <w:szCs w:val="24"/>
        </w:rPr>
        <w:t xml:space="preserve"> (MTB)</w:t>
      </w:r>
      <w:r w:rsidR="00310DD8" w:rsidRPr="00991EB9">
        <w:rPr>
          <w:rFonts w:ascii="Book Antiqua" w:eastAsia="HYSinMyeongJo-Medium" w:hAnsi="Book Antiqua"/>
          <w:sz w:val="24"/>
          <w:szCs w:val="24"/>
        </w:rPr>
        <w:t xml:space="preserve">; C: </w:t>
      </w:r>
      <w:r w:rsidR="00F31712" w:rsidRPr="00991EB9">
        <w:rPr>
          <w:rFonts w:ascii="Book Antiqua" w:eastAsia="HYSinMyeongJo-Medium" w:hAnsi="Book Antiqua"/>
          <w:sz w:val="24"/>
          <w:szCs w:val="24"/>
        </w:rPr>
        <w:t xml:space="preserve">Thin fluorescent lines along </w:t>
      </w:r>
      <w:r w:rsidR="00342703" w:rsidRPr="00991EB9">
        <w:rPr>
          <w:rFonts w:ascii="Book Antiqua" w:eastAsia="HYSinMyeongJo-Medium" w:hAnsi="Book Antiqua"/>
          <w:sz w:val="24"/>
          <w:szCs w:val="24"/>
        </w:rPr>
        <w:t xml:space="preserve">the </w:t>
      </w:r>
      <w:r w:rsidR="00F31712" w:rsidRPr="00991EB9">
        <w:rPr>
          <w:rFonts w:ascii="Book Antiqua" w:eastAsia="HYSinMyeongJo-Medium" w:hAnsi="Book Antiqua"/>
          <w:sz w:val="24"/>
          <w:szCs w:val="24"/>
        </w:rPr>
        <w:t xml:space="preserve">MTB, </w:t>
      </w:r>
      <w:r w:rsidR="00342703" w:rsidRPr="00991EB9">
        <w:rPr>
          <w:rFonts w:ascii="Book Antiqua" w:eastAsia="HYSinMyeongJo-Medium" w:hAnsi="Book Antiqua"/>
          <w:sz w:val="24"/>
          <w:szCs w:val="24"/>
        </w:rPr>
        <w:t xml:space="preserve">the </w:t>
      </w:r>
      <w:r w:rsidR="00731E01" w:rsidRPr="00991EB9">
        <w:rPr>
          <w:rFonts w:ascii="Book Antiqua" w:eastAsia="HYSinMyeongJo-Medium" w:hAnsi="Book Antiqua"/>
          <w:sz w:val="24"/>
          <w:szCs w:val="24"/>
        </w:rPr>
        <w:t xml:space="preserve">so-called </w:t>
      </w:r>
      <w:r w:rsidR="00F31712" w:rsidRPr="00991EB9">
        <w:rPr>
          <w:rFonts w:ascii="Book Antiqua" w:eastAsia="HYSinMyeongJo-Medium" w:hAnsi="Book Antiqua"/>
          <w:sz w:val="24"/>
          <w:szCs w:val="24"/>
        </w:rPr>
        <w:t>l</w:t>
      </w:r>
      <w:r w:rsidR="004A572A" w:rsidRPr="00991EB9">
        <w:rPr>
          <w:rFonts w:ascii="Book Antiqua" w:eastAsia="HYSinMyeongJo-Medium" w:hAnsi="Book Antiqua"/>
          <w:sz w:val="24"/>
          <w:szCs w:val="24"/>
        </w:rPr>
        <w:t>ight blue crest</w:t>
      </w:r>
      <w:r w:rsidR="00310DD8" w:rsidRPr="00991EB9">
        <w:rPr>
          <w:rFonts w:ascii="Book Antiqua" w:hAnsi="Book Antiqua"/>
          <w:sz w:val="24"/>
          <w:szCs w:val="24"/>
        </w:rPr>
        <w:t xml:space="preserve">; D: </w:t>
      </w:r>
      <w:r w:rsidR="001C69EE" w:rsidRPr="00991EB9">
        <w:rPr>
          <w:rFonts w:ascii="Book Antiqua" w:hAnsi="Book Antiqua"/>
          <w:sz w:val="24"/>
          <w:szCs w:val="24"/>
        </w:rPr>
        <w:t>White opaque substance obscur</w:t>
      </w:r>
      <w:r w:rsidR="00342703" w:rsidRPr="00991EB9">
        <w:rPr>
          <w:rFonts w:ascii="Book Antiqua" w:hAnsi="Book Antiqua"/>
          <w:sz w:val="24"/>
          <w:szCs w:val="24"/>
        </w:rPr>
        <w:t>ing</w:t>
      </w:r>
      <w:r w:rsidR="001C69EE" w:rsidRPr="00991EB9">
        <w:rPr>
          <w:rFonts w:ascii="Book Antiqua" w:hAnsi="Book Antiqua"/>
          <w:sz w:val="24"/>
          <w:szCs w:val="24"/>
        </w:rPr>
        <w:t xml:space="preserve"> the mucosa surface. </w:t>
      </w:r>
    </w:p>
    <w:p w:rsidR="00C037B7" w:rsidRPr="00991EB9" w:rsidRDefault="00923D3E" w:rsidP="009A3473">
      <w:pPr>
        <w:pStyle w:val="af5"/>
        <w:wordWrap/>
        <w:snapToGrid w:val="0"/>
        <w:spacing w:after="0" w:line="360" w:lineRule="auto"/>
        <w:ind w:firstLineChars="0" w:firstLine="0"/>
        <w:rPr>
          <w:rFonts w:ascii="Book Antiqua" w:eastAsia="HYSinMyeongJo-Medium" w:hAnsi="Book Antiqua"/>
          <w:sz w:val="24"/>
          <w:szCs w:val="24"/>
        </w:rPr>
      </w:pPr>
      <w:r w:rsidRPr="00991EB9">
        <w:rPr>
          <w:rFonts w:ascii="Book Antiqua" w:eastAsia="HYSinMyeongJo-Medium" w:hAnsi="Book Antiqua"/>
          <w:sz w:val="24"/>
          <w:szCs w:val="24"/>
        </w:rPr>
        <w:br w:type="page"/>
      </w:r>
      <w:r w:rsidR="006B7659">
        <w:rPr>
          <w:noProof/>
          <w:lang w:eastAsia="zh-CN"/>
        </w:rPr>
        <w:drawing>
          <wp:inline distT="0" distB="0" distL="0" distR="0">
            <wp:extent cx="5274310" cy="4711065"/>
            <wp:effectExtent l="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711065"/>
                    </a:xfrm>
                    <a:prstGeom prst="rect">
                      <a:avLst/>
                    </a:prstGeom>
                    <a:noFill/>
                    <a:ln>
                      <a:noFill/>
                    </a:ln>
                  </pic:spPr>
                </pic:pic>
              </a:graphicData>
            </a:graphic>
          </wp:inline>
        </w:drawing>
      </w:r>
    </w:p>
    <w:p w:rsidR="00A43D03" w:rsidRPr="00991EB9" w:rsidRDefault="00A43D03" w:rsidP="009A3473">
      <w:pPr>
        <w:pStyle w:val="af5"/>
        <w:wordWrap/>
        <w:snapToGrid w:val="0"/>
        <w:spacing w:after="0" w:line="360" w:lineRule="auto"/>
        <w:ind w:firstLineChars="0" w:firstLine="0"/>
        <w:rPr>
          <w:rFonts w:ascii="Book Antiqua" w:hAnsi="Book Antiqua"/>
          <w:sz w:val="24"/>
          <w:szCs w:val="24"/>
        </w:rPr>
      </w:pPr>
      <w:r w:rsidRPr="00991EB9">
        <w:rPr>
          <w:rFonts w:ascii="Book Antiqua" w:hAnsi="Book Antiqua" w:cs="Arial"/>
          <w:b/>
          <w:sz w:val="24"/>
          <w:szCs w:val="24"/>
        </w:rPr>
        <w:t>Figure 4</w:t>
      </w:r>
      <w:r w:rsidR="00923D3E" w:rsidRPr="00991EB9">
        <w:rPr>
          <w:rFonts w:ascii="Book Antiqua" w:hAnsi="Book Antiqua" w:cs="Arial"/>
          <w:b/>
          <w:sz w:val="24"/>
          <w:szCs w:val="24"/>
        </w:rPr>
        <w:t xml:space="preserve"> </w:t>
      </w:r>
      <w:r w:rsidRPr="00991EB9">
        <w:rPr>
          <w:rFonts w:ascii="Book Antiqua" w:hAnsi="Book Antiqua"/>
          <w:b/>
          <w:sz w:val="24"/>
          <w:szCs w:val="24"/>
        </w:rPr>
        <w:t xml:space="preserve">Magnifying </w:t>
      </w:r>
      <w:r w:rsidR="00991EB9" w:rsidRPr="00991EB9">
        <w:rPr>
          <w:rFonts w:ascii="Book Antiqua" w:hAnsi="Book Antiqua"/>
          <w:b/>
          <w:sz w:val="24"/>
          <w:szCs w:val="24"/>
        </w:rPr>
        <w:t>narrow-band imaging</w:t>
      </w:r>
      <w:r w:rsidRPr="00991EB9">
        <w:rPr>
          <w:rFonts w:ascii="Book Antiqua" w:hAnsi="Book Antiqua"/>
          <w:b/>
          <w:sz w:val="24"/>
          <w:szCs w:val="24"/>
        </w:rPr>
        <w:t xml:space="preserve"> </w:t>
      </w:r>
      <w:r w:rsidR="001260D8" w:rsidRPr="00991EB9">
        <w:rPr>
          <w:rFonts w:ascii="Book Antiqua" w:hAnsi="Book Antiqua"/>
          <w:b/>
          <w:sz w:val="24"/>
          <w:szCs w:val="24"/>
        </w:rPr>
        <w:t xml:space="preserve">findings of microvascular patterns </w:t>
      </w:r>
      <w:r w:rsidR="00284EB0" w:rsidRPr="00991EB9">
        <w:rPr>
          <w:rFonts w:ascii="Book Antiqua" w:hAnsi="Book Antiqua"/>
          <w:b/>
          <w:sz w:val="24"/>
          <w:szCs w:val="24"/>
        </w:rPr>
        <w:t>for diagnosing the gastric polypoid lesions</w:t>
      </w:r>
      <w:r w:rsidRPr="00991EB9">
        <w:rPr>
          <w:rFonts w:ascii="Book Antiqua" w:hAnsi="Book Antiqua"/>
          <w:b/>
          <w:sz w:val="24"/>
          <w:szCs w:val="24"/>
        </w:rPr>
        <w:t>.</w:t>
      </w:r>
      <w:r w:rsidRPr="00991EB9">
        <w:rPr>
          <w:rFonts w:ascii="Book Antiqua" w:hAnsi="Book Antiqua"/>
          <w:sz w:val="24"/>
          <w:szCs w:val="24"/>
        </w:rPr>
        <w:t xml:space="preserve"> A: </w:t>
      </w:r>
      <w:r w:rsidR="001260D8" w:rsidRPr="00991EB9">
        <w:rPr>
          <w:rFonts w:ascii="Book Antiqua" w:hAnsi="Book Antiqua"/>
          <w:sz w:val="24"/>
          <w:szCs w:val="24"/>
        </w:rPr>
        <w:t>Honeycomb-like pattern (fundic gland polyp)</w:t>
      </w:r>
      <w:r w:rsidRPr="00991EB9">
        <w:rPr>
          <w:rFonts w:ascii="Book Antiqua" w:hAnsi="Book Antiqua"/>
          <w:sz w:val="24"/>
          <w:szCs w:val="24"/>
        </w:rPr>
        <w:t xml:space="preserve">; B: </w:t>
      </w:r>
      <w:r w:rsidR="001260D8" w:rsidRPr="00991EB9">
        <w:rPr>
          <w:rFonts w:ascii="Book Antiqua" w:hAnsi="Book Antiqua"/>
          <w:sz w:val="24"/>
          <w:szCs w:val="24"/>
        </w:rPr>
        <w:t>Dense vascular pattern (hyperplastic polyp)</w:t>
      </w:r>
      <w:r w:rsidRPr="00991EB9">
        <w:rPr>
          <w:rFonts w:ascii="Book Antiqua" w:hAnsi="Book Antiqua"/>
          <w:sz w:val="24"/>
          <w:szCs w:val="24"/>
        </w:rPr>
        <w:t xml:space="preserve">; C: </w:t>
      </w:r>
      <w:r w:rsidR="001260D8" w:rsidRPr="00991EB9">
        <w:rPr>
          <w:rFonts w:ascii="Book Antiqua" w:hAnsi="Book Antiqua"/>
          <w:sz w:val="24"/>
          <w:szCs w:val="24"/>
        </w:rPr>
        <w:t>Fine network within a light brown area (low grade dysplasia)</w:t>
      </w:r>
      <w:r w:rsidRPr="00991EB9">
        <w:rPr>
          <w:rFonts w:ascii="Book Antiqua" w:hAnsi="Book Antiqua"/>
          <w:sz w:val="24"/>
          <w:szCs w:val="24"/>
        </w:rPr>
        <w:t xml:space="preserve">; D: </w:t>
      </w:r>
      <w:r w:rsidR="00857445" w:rsidRPr="00991EB9">
        <w:rPr>
          <w:rFonts w:ascii="Book Antiqua" w:hAnsi="Book Antiqua"/>
          <w:sz w:val="24"/>
          <w:szCs w:val="24"/>
        </w:rPr>
        <w:t>Core vascular pattern (low grade dysplasia)</w:t>
      </w:r>
      <w:r w:rsidRPr="00991EB9">
        <w:rPr>
          <w:rFonts w:ascii="Book Antiqua" w:hAnsi="Book Antiqua"/>
          <w:sz w:val="24"/>
          <w:szCs w:val="24"/>
        </w:rPr>
        <w:t xml:space="preserve">. </w:t>
      </w:r>
    </w:p>
    <w:p w:rsidR="00A43D03" w:rsidRPr="00991EB9" w:rsidRDefault="00923D3E" w:rsidP="009A3473">
      <w:pPr>
        <w:pStyle w:val="af5"/>
        <w:wordWrap/>
        <w:snapToGrid w:val="0"/>
        <w:spacing w:after="0" w:line="360" w:lineRule="auto"/>
        <w:ind w:firstLineChars="0" w:firstLine="0"/>
        <w:rPr>
          <w:rFonts w:ascii="Book Antiqua" w:eastAsia="HYSinMyeongJo-Medium" w:hAnsi="Book Antiqua"/>
          <w:sz w:val="24"/>
          <w:szCs w:val="24"/>
        </w:rPr>
      </w:pPr>
      <w:r w:rsidRPr="00991EB9">
        <w:rPr>
          <w:rFonts w:ascii="Book Antiqua" w:eastAsia="HYSinMyeongJo-Medium" w:hAnsi="Book Antiqua"/>
          <w:sz w:val="24"/>
          <w:szCs w:val="24"/>
        </w:rPr>
        <w:br w:type="page"/>
      </w:r>
      <w:r w:rsidR="006B7659">
        <w:rPr>
          <w:noProof/>
          <w:lang w:eastAsia="zh-CN"/>
        </w:rPr>
        <w:drawing>
          <wp:inline distT="0" distB="0" distL="0" distR="0">
            <wp:extent cx="5281295" cy="465264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1295" cy="4652645"/>
                    </a:xfrm>
                    <a:prstGeom prst="rect">
                      <a:avLst/>
                    </a:prstGeom>
                    <a:noFill/>
                    <a:ln>
                      <a:noFill/>
                    </a:ln>
                  </pic:spPr>
                </pic:pic>
              </a:graphicData>
            </a:graphic>
          </wp:inline>
        </w:drawing>
      </w:r>
    </w:p>
    <w:p w:rsidR="00A43D03" w:rsidRPr="00991EB9" w:rsidRDefault="00A43D03" w:rsidP="009A3473">
      <w:pPr>
        <w:pStyle w:val="af5"/>
        <w:wordWrap/>
        <w:snapToGrid w:val="0"/>
        <w:spacing w:after="0" w:line="360" w:lineRule="auto"/>
        <w:ind w:firstLineChars="0" w:firstLine="0"/>
        <w:rPr>
          <w:rFonts w:ascii="Book Antiqua" w:hAnsi="Book Antiqua"/>
          <w:sz w:val="24"/>
          <w:szCs w:val="24"/>
        </w:rPr>
      </w:pPr>
      <w:r w:rsidRPr="00991EB9">
        <w:rPr>
          <w:rFonts w:ascii="Book Antiqua" w:hAnsi="Book Antiqua" w:cs="Arial"/>
          <w:b/>
          <w:sz w:val="24"/>
          <w:szCs w:val="24"/>
        </w:rPr>
        <w:t>Figure 5</w:t>
      </w:r>
      <w:r w:rsidR="00923D3E" w:rsidRPr="00991EB9">
        <w:rPr>
          <w:rFonts w:ascii="Book Antiqua" w:hAnsi="Book Antiqua" w:cs="Arial"/>
          <w:b/>
          <w:sz w:val="24"/>
          <w:szCs w:val="24"/>
        </w:rPr>
        <w:t xml:space="preserve"> </w:t>
      </w:r>
      <w:r w:rsidRPr="00991EB9">
        <w:rPr>
          <w:rFonts w:ascii="Book Antiqua" w:hAnsi="Book Antiqua"/>
          <w:b/>
          <w:sz w:val="24"/>
          <w:szCs w:val="24"/>
        </w:rPr>
        <w:t xml:space="preserve">White-light endoscopy and magnifying </w:t>
      </w:r>
      <w:r w:rsidR="003C094F" w:rsidRPr="00991EB9">
        <w:rPr>
          <w:rFonts w:ascii="Book Antiqua" w:hAnsi="Book Antiqua"/>
          <w:b/>
          <w:sz w:val="24"/>
          <w:szCs w:val="24"/>
        </w:rPr>
        <w:t xml:space="preserve">narrow-band imaging </w:t>
      </w:r>
      <w:r w:rsidRPr="00991EB9">
        <w:rPr>
          <w:rFonts w:ascii="Book Antiqua" w:hAnsi="Book Antiqua"/>
          <w:b/>
          <w:sz w:val="24"/>
          <w:szCs w:val="24"/>
        </w:rPr>
        <w:t xml:space="preserve">images of </w:t>
      </w:r>
      <w:r w:rsidR="001E2AD2" w:rsidRPr="00991EB9">
        <w:rPr>
          <w:rFonts w:ascii="Book Antiqua" w:hAnsi="Book Antiqua"/>
          <w:b/>
          <w:sz w:val="24"/>
          <w:szCs w:val="24"/>
        </w:rPr>
        <w:t xml:space="preserve">high grade </w:t>
      </w:r>
      <w:r w:rsidRPr="00991EB9">
        <w:rPr>
          <w:rFonts w:ascii="Book Antiqua" w:hAnsi="Book Antiqua"/>
          <w:b/>
          <w:sz w:val="24"/>
          <w:szCs w:val="24"/>
        </w:rPr>
        <w:t>dysplasia.</w:t>
      </w:r>
      <w:r w:rsidRPr="00991EB9">
        <w:rPr>
          <w:rFonts w:ascii="Book Antiqua" w:hAnsi="Book Antiqua"/>
          <w:sz w:val="24"/>
          <w:szCs w:val="24"/>
        </w:rPr>
        <w:t xml:space="preserve"> A: An elevated lesion (40 </w:t>
      </w:r>
      <w:r w:rsidR="002D2FEF" w:rsidRPr="00991EB9">
        <w:rPr>
          <w:rFonts w:ascii="Book Antiqua" w:hAnsi="Book Antiqua"/>
          <w:sz w:val="24"/>
          <w:szCs w:val="24"/>
        </w:rPr>
        <w:t xml:space="preserve">mm </w:t>
      </w:r>
      <w:r w:rsidRPr="00991EB9">
        <w:rPr>
          <w:rFonts w:ascii="Book Antiqua" w:hAnsi="Book Antiqua"/>
          <w:sz w:val="24"/>
          <w:szCs w:val="24"/>
        </w:rPr>
        <w:t>× 30 mm) at the gastric antrum; B: Brownish area showing an irregular mucosal surface and a microvascular pattern (left side), indicating a high</w:t>
      </w:r>
      <w:r w:rsidR="001E2AD2" w:rsidRPr="00991EB9">
        <w:rPr>
          <w:rFonts w:ascii="Book Antiqua" w:hAnsi="Book Antiqua"/>
          <w:sz w:val="24"/>
          <w:szCs w:val="24"/>
        </w:rPr>
        <w:t xml:space="preserve"> </w:t>
      </w:r>
      <w:r w:rsidRPr="00991EB9">
        <w:rPr>
          <w:rFonts w:ascii="Book Antiqua" w:hAnsi="Book Antiqua"/>
          <w:sz w:val="24"/>
          <w:szCs w:val="24"/>
        </w:rPr>
        <w:t xml:space="preserve">grade dysplasia. The demarcation line is evident between the dysplasia and background mucosa with intestinal metaplasia (also see white box in A); C: A slightly elevated lesion (35 </w:t>
      </w:r>
      <w:r w:rsidR="002D2FEF" w:rsidRPr="00991EB9">
        <w:rPr>
          <w:rFonts w:ascii="Book Antiqua" w:hAnsi="Book Antiqua"/>
          <w:sz w:val="24"/>
          <w:szCs w:val="24"/>
        </w:rPr>
        <w:t xml:space="preserve">mm </w:t>
      </w:r>
      <w:r w:rsidRPr="00991EB9">
        <w:rPr>
          <w:rFonts w:ascii="Book Antiqua" w:hAnsi="Book Antiqua"/>
          <w:sz w:val="24"/>
          <w:szCs w:val="24"/>
        </w:rPr>
        <w:t xml:space="preserve">× 20 mm) at the lesser curvature of the gastric corpus; D: The microvessels within irregular, nodular lesion show tortuosity and variation in shape. This magnifying </w:t>
      </w:r>
      <w:r w:rsidR="003C094F" w:rsidRPr="00991EB9">
        <w:rPr>
          <w:rFonts w:ascii="Book Antiqua" w:hAnsi="Book Antiqua"/>
          <w:sz w:val="24"/>
          <w:szCs w:val="24"/>
        </w:rPr>
        <w:t>narrow-band imaging</w:t>
      </w:r>
      <w:r w:rsidRPr="00991EB9">
        <w:rPr>
          <w:rFonts w:ascii="Book Antiqua" w:hAnsi="Book Antiqua"/>
          <w:sz w:val="24"/>
          <w:szCs w:val="24"/>
        </w:rPr>
        <w:t xml:space="preserve"> endoscopic finding indicates high</w:t>
      </w:r>
      <w:r w:rsidR="001E2AD2" w:rsidRPr="00991EB9">
        <w:rPr>
          <w:rFonts w:ascii="Book Antiqua" w:hAnsi="Book Antiqua"/>
          <w:sz w:val="24"/>
          <w:szCs w:val="24"/>
        </w:rPr>
        <w:t xml:space="preserve"> </w:t>
      </w:r>
      <w:r w:rsidRPr="00991EB9">
        <w:rPr>
          <w:rFonts w:ascii="Book Antiqua" w:hAnsi="Book Antiqua"/>
          <w:sz w:val="24"/>
          <w:szCs w:val="24"/>
        </w:rPr>
        <w:t xml:space="preserve">grade dysplasia (also see white box in C). </w:t>
      </w:r>
    </w:p>
    <w:p w:rsidR="00A43D03" w:rsidRPr="00991EB9" w:rsidRDefault="00923D3E" w:rsidP="009A3473">
      <w:pPr>
        <w:pStyle w:val="af5"/>
        <w:wordWrap/>
        <w:snapToGrid w:val="0"/>
        <w:spacing w:after="0" w:line="360" w:lineRule="auto"/>
        <w:ind w:firstLineChars="0" w:firstLine="0"/>
        <w:rPr>
          <w:rFonts w:ascii="Book Antiqua" w:eastAsia="HYSinMyeongJo-Medium" w:hAnsi="Book Antiqua"/>
          <w:sz w:val="24"/>
          <w:szCs w:val="24"/>
        </w:rPr>
      </w:pPr>
      <w:r w:rsidRPr="00991EB9">
        <w:rPr>
          <w:rFonts w:ascii="Book Antiqua" w:eastAsia="HYSinMyeongJo-Medium" w:hAnsi="Book Antiqua"/>
          <w:sz w:val="24"/>
          <w:szCs w:val="24"/>
        </w:rPr>
        <w:br w:type="page"/>
      </w:r>
      <w:r w:rsidR="006B7659">
        <w:rPr>
          <w:noProof/>
          <w:lang w:eastAsia="zh-CN"/>
        </w:rPr>
        <w:drawing>
          <wp:inline distT="0" distB="0" distL="0" distR="0">
            <wp:extent cx="5281295" cy="410400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1295" cy="4104005"/>
                    </a:xfrm>
                    <a:prstGeom prst="rect">
                      <a:avLst/>
                    </a:prstGeom>
                    <a:noFill/>
                    <a:ln>
                      <a:noFill/>
                    </a:ln>
                  </pic:spPr>
                </pic:pic>
              </a:graphicData>
            </a:graphic>
          </wp:inline>
        </w:drawing>
      </w:r>
    </w:p>
    <w:p w:rsidR="00A43D03" w:rsidRPr="00991EB9" w:rsidRDefault="00A43D03" w:rsidP="009A3473">
      <w:pPr>
        <w:pStyle w:val="af5"/>
        <w:wordWrap/>
        <w:snapToGrid w:val="0"/>
        <w:spacing w:after="0" w:line="360" w:lineRule="auto"/>
        <w:ind w:firstLineChars="0" w:firstLine="0"/>
        <w:rPr>
          <w:rFonts w:ascii="Book Antiqua" w:hAnsi="Book Antiqua"/>
          <w:sz w:val="24"/>
          <w:szCs w:val="24"/>
        </w:rPr>
      </w:pPr>
      <w:r w:rsidRPr="00991EB9">
        <w:rPr>
          <w:rFonts w:ascii="Book Antiqua" w:hAnsi="Book Antiqua" w:cs="Arial"/>
          <w:b/>
          <w:sz w:val="24"/>
          <w:szCs w:val="24"/>
        </w:rPr>
        <w:t>Figure 6</w:t>
      </w:r>
      <w:r w:rsidR="00923D3E" w:rsidRPr="00991EB9">
        <w:rPr>
          <w:rFonts w:ascii="Book Antiqua" w:hAnsi="Book Antiqua" w:cs="Arial"/>
          <w:b/>
          <w:sz w:val="24"/>
          <w:szCs w:val="24"/>
        </w:rPr>
        <w:t xml:space="preserve"> </w:t>
      </w:r>
      <w:r w:rsidR="00C05F46" w:rsidRPr="00991EB9">
        <w:rPr>
          <w:rFonts w:ascii="Book Antiqua" w:hAnsi="Book Antiqua"/>
          <w:b/>
          <w:sz w:val="24"/>
          <w:szCs w:val="24"/>
        </w:rPr>
        <w:t>Narrow-band imaging</w:t>
      </w:r>
      <w:r w:rsidRPr="00991EB9">
        <w:rPr>
          <w:rFonts w:ascii="Book Antiqua" w:hAnsi="Book Antiqua"/>
          <w:b/>
          <w:sz w:val="24"/>
          <w:szCs w:val="24"/>
        </w:rPr>
        <w:t xml:space="preserve"> endoscopy for determining the horizontal margin of gastric dysplasia before endoscopic submucosal dissection.</w:t>
      </w:r>
      <w:r w:rsidRPr="00991EB9">
        <w:rPr>
          <w:rFonts w:ascii="Book Antiqua" w:hAnsi="Book Antiqua"/>
          <w:sz w:val="24"/>
          <w:szCs w:val="24"/>
        </w:rPr>
        <w:t xml:space="preserve"> A: Conventional chromoendoscopy using indigo carmine is useful for determining the horizontal margin of gastric neoplasia. However, this procedure requires a dye solution and is time-consuming; B: When the endoscopist presses the button, </w:t>
      </w:r>
      <w:r w:rsidR="00AE31AC" w:rsidRPr="00991EB9">
        <w:rPr>
          <w:rFonts w:ascii="Book Antiqua" w:hAnsi="Book Antiqua"/>
          <w:sz w:val="24"/>
          <w:szCs w:val="24"/>
        </w:rPr>
        <w:t>narrow-band imaging (</w:t>
      </w:r>
      <w:r w:rsidRPr="00991EB9">
        <w:rPr>
          <w:rFonts w:ascii="Book Antiqua" w:hAnsi="Book Antiqua"/>
          <w:sz w:val="24"/>
          <w:szCs w:val="24"/>
        </w:rPr>
        <w:t>NBI</w:t>
      </w:r>
      <w:r w:rsidR="00AE31AC" w:rsidRPr="00991EB9">
        <w:rPr>
          <w:rFonts w:ascii="Book Antiqua" w:hAnsi="Book Antiqua"/>
          <w:sz w:val="24"/>
          <w:szCs w:val="24"/>
        </w:rPr>
        <w:t>)</w:t>
      </w:r>
      <w:r w:rsidRPr="00991EB9">
        <w:rPr>
          <w:rFonts w:ascii="Book Antiqua" w:hAnsi="Book Antiqua"/>
          <w:sz w:val="24"/>
          <w:szCs w:val="24"/>
        </w:rPr>
        <w:t xml:space="preserve"> endoscopy can be easily performed as a virtual chromoendoscopy. The tumor margin is evident between the large brownish lesion and greenish background mucosa (dotted white line); C: An </w:t>
      </w:r>
      <w:r w:rsidRPr="00991EB9">
        <w:rPr>
          <w:rFonts w:ascii="Book Antiqua" w:hAnsi="Book Antiqua"/>
          <w:i/>
          <w:sz w:val="24"/>
          <w:szCs w:val="24"/>
        </w:rPr>
        <w:t>en bloc</w:t>
      </w:r>
      <w:r w:rsidRPr="00991EB9">
        <w:rPr>
          <w:rFonts w:ascii="Book Antiqua" w:hAnsi="Book Antiqua"/>
          <w:sz w:val="24"/>
          <w:szCs w:val="24"/>
        </w:rPr>
        <w:t xml:space="preserve">-resected specimen by endoscopic submucosal dissection. The orange-colored area indicates a tubulovillous adenoma of 46 </w:t>
      </w:r>
      <w:r w:rsidR="009D6854" w:rsidRPr="00991EB9">
        <w:rPr>
          <w:rFonts w:ascii="Book Antiqua" w:hAnsi="Book Antiqua"/>
          <w:sz w:val="24"/>
          <w:szCs w:val="24"/>
        </w:rPr>
        <w:t xml:space="preserve">mm </w:t>
      </w:r>
      <w:r w:rsidRPr="00991EB9">
        <w:rPr>
          <w:rFonts w:ascii="Book Antiqua" w:hAnsi="Book Antiqua"/>
          <w:sz w:val="24"/>
          <w:szCs w:val="24"/>
        </w:rPr>
        <w:t xml:space="preserve">× 36 mm size, corresponding to the tumor extent determined by NBI endoscopy. </w:t>
      </w:r>
    </w:p>
    <w:p w:rsidR="00A43D03" w:rsidRPr="00991EB9" w:rsidRDefault="00923D3E" w:rsidP="009A3473">
      <w:pPr>
        <w:pStyle w:val="af5"/>
        <w:wordWrap/>
        <w:snapToGrid w:val="0"/>
        <w:spacing w:after="0" w:line="360" w:lineRule="auto"/>
        <w:ind w:firstLineChars="0" w:firstLine="0"/>
        <w:rPr>
          <w:rFonts w:ascii="Book Antiqua" w:eastAsia="HYSinMyeongJo-Medium" w:hAnsi="Book Antiqua"/>
          <w:sz w:val="24"/>
          <w:szCs w:val="24"/>
        </w:rPr>
      </w:pPr>
      <w:r w:rsidRPr="00991EB9">
        <w:rPr>
          <w:rFonts w:ascii="Book Antiqua" w:eastAsia="HYSinMyeongJo-Medium" w:hAnsi="Book Antiqua"/>
          <w:sz w:val="24"/>
          <w:szCs w:val="24"/>
        </w:rPr>
        <w:br w:type="page"/>
      </w:r>
      <w:r w:rsidR="006B7659">
        <w:rPr>
          <w:noProof/>
          <w:lang w:eastAsia="zh-CN"/>
        </w:rPr>
        <w:drawing>
          <wp:inline distT="0" distB="0" distL="0" distR="0">
            <wp:extent cx="5274310" cy="4659630"/>
            <wp:effectExtent l="0" t="0" r="254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659630"/>
                    </a:xfrm>
                    <a:prstGeom prst="rect">
                      <a:avLst/>
                    </a:prstGeom>
                    <a:noFill/>
                    <a:ln>
                      <a:noFill/>
                    </a:ln>
                  </pic:spPr>
                </pic:pic>
              </a:graphicData>
            </a:graphic>
          </wp:inline>
        </w:drawing>
      </w:r>
    </w:p>
    <w:p w:rsidR="00DC55A3" w:rsidRPr="00991EB9" w:rsidRDefault="00677B34" w:rsidP="009A3473">
      <w:pPr>
        <w:pStyle w:val="af5"/>
        <w:wordWrap/>
        <w:snapToGrid w:val="0"/>
        <w:spacing w:after="0" w:line="360" w:lineRule="auto"/>
        <w:ind w:firstLineChars="0" w:firstLine="0"/>
        <w:rPr>
          <w:rFonts w:ascii="Book Antiqua" w:hAnsi="Book Antiqua"/>
          <w:sz w:val="24"/>
          <w:szCs w:val="24"/>
        </w:rPr>
      </w:pPr>
      <w:r w:rsidRPr="00991EB9">
        <w:rPr>
          <w:rFonts w:ascii="Book Antiqua" w:hAnsi="Book Antiqua" w:cs="Arial"/>
          <w:b/>
          <w:sz w:val="24"/>
          <w:szCs w:val="24"/>
        </w:rPr>
        <w:t xml:space="preserve">Figure </w:t>
      </w:r>
      <w:r w:rsidR="00A43D03" w:rsidRPr="00991EB9">
        <w:rPr>
          <w:rFonts w:ascii="Book Antiqua" w:hAnsi="Book Antiqua" w:cs="Arial"/>
          <w:b/>
          <w:sz w:val="24"/>
          <w:szCs w:val="24"/>
        </w:rPr>
        <w:t>7</w:t>
      </w:r>
      <w:r w:rsidR="00923D3E" w:rsidRPr="00991EB9">
        <w:rPr>
          <w:rFonts w:ascii="Book Antiqua" w:hAnsi="Book Antiqua" w:cs="Arial"/>
          <w:b/>
          <w:sz w:val="24"/>
          <w:szCs w:val="24"/>
        </w:rPr>
        <w:t xml:space="preserve"> </w:t>
      </w:r>
      <w:r w:rsidRPr="00991EB9">
        <w:rPr>
          <w:rFonts w:ascii="Book Antiqua" w:hAnsi="Book Antiqua"/>
          <w:b/>
          <w:sz w:val="24"/>
          <w:szCs w:val="24"/>
        </w:rPr>
        <w:t xml:space="preserve">Magnifying </w:t>
      </w:r>
      <w:r w:rsidR="0041425B" w:rsidRPr="00991EB9">
        <w:rPr>
          <w:rFonts w:ascii="Book Antiqua" w:hAnsi="Book Antiqua"/>
          <w:b/>
          <w:sz w:val="24"/>
          <w:szCs w:val="24"/>
        </w:rPr>
        <w:t>narrow-band imaging</w:t>
      </w:r>
      <w:r w:rsidRPr="00991EB9">
        <w:rPr>
          <w:rFonts w:ascii="Book Antiqua" w:hAnsi="Book Antiqua"/>
          <w:b/>
          <w:sz w:val="24"/>
          <w:szCs w:val="24"/>
        </w:rPr>
        <w:t xml:space="preserve"> endoscopic findings of early gastric cancers.</w:t>
      </w:r>
      <w:r w:rsidRPr="00991EB9">
        <w:rPr>
          <w:rFonts w:ascii="Book Antiqua" w:hAnsi="Book Antiqua"/>
          <w:sz w:val="24"/>
          <w:szCs w:val="24"/>
        </w:rPr>
        <w:t xml:space="preserve"> A: Conventional white-light endoscopy shows a slightly elevated and depressed lesion at the gastric corpus; B: Magnifying </w:t>
      </w:r>
      <w:r w:rsidR="00682592" w:rsidRPr="00991EB9">
        <w:rPr>
          <w:rFonts w:ascii="Book Antiqua" w:eastAsia="HYSinMyeongJo-Medium" w:hAnsi="Book Antiqua" w:cs="Arial"/>
          <w:sz w:val="24"/>
          <w:szCs w:val="24"/>
        </w:rPr>
        <w:t>narrow-band imaging</w:t>
      </w:r>
      <w:r w:rsidR="00682592" w:rsidRPr="00991EB9">
        <w:rPr>
          <w:rFonts w:ascii="Book Antiqua" w:hAnsi="Book Antiqua"/>
          <w:sz w:val="24"/>
          <w:szCs w:val="24"/>
        </w:rPr>
        <w:t xml:space="preserve"> (</w:t>
      </w:r>
      <w:r w:rsidRPr="00991EB9">
        <w:rPr>
          <w:rFonts w:ascii="Book Antiqua" w:hAnsi="Book Antiqua"/>
          <w:sz w:val="24"/>
          <w:szCs w:val="24"/>
        </w:rPr>
        <w:t>NBI</w:t>
      </w:r>
      <w:r w:rsidR="00682592" w:rsidRPr="00991EB9">
        <w:rPr>
          <w:rFonts w:ascii="Book Antiqua" w:hAnsi="Book Antiqua"/>
          <w:sz w:val="24"/>
          <w:szCs w:val="24"/>
        </w:rPr>
        <w:t>)</w:t>
      </w:r>
      <w:r w:rsidRPr="00991EB9">
        <w:rPr>
          <w:rFonts w:ascii="Book Antiqua" w:hAnsi="Book Antiqua"/>
          <w:sz w:val="24"/>
          <w:szCs w:val="24"/>
        </w:rPr>
        <w:t xml:space="preserve"> endoscopy demonstrates an irregular microvascular and microsurface pattern with a demarcation line (yellow arrows); C: Conventional white-light endoscopy shows a reddish depressed lesion at the gastric antrum; D: By magnifying NBI endoscopy, an irregular microsurface pattern is identified within the demarcation line (yellow arrows)</w:t>
      </w:r>
      <w:r w:rsidR="00D90648" w:rsidRPr="00991EB9">
        <w:rPr>
          <w:rFonts w:ascii="Book Antiqua" w:hAnsi="Book Antiqua"/>
          <w:sz w:val="24"/>
          <w:szCs w:val="24"/>
        </w:rPr>
        <w:t xml:space="preserve">. </w:t>
      </w:r>
    </w:p>
    <w:p w:rsidR="00EC347E" w:rsidRPr="00991EB9" w:rsidRDefault="00923D3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br w:type="page"/>
      </w:r>
      <w:r w:rsidR="00EC347E" w:rsidRPr="00991EB9">
        <w:rPr>
          <w:rFonts w:ascii="Book Antiqua" w:eastAsia="HYSinMyeongJo-Medium" w:hAnsi="Book Antiqua" w:cs="Arial"/>
          <w:b/>
          <w:sz w:val="24"/>
          <w:szCs w:val="24"/>
        </w:rPr>
        <w:t>Table 1</w:t>
      </w:r>
      <w:r w:rsidRPr="00991EB9">
        <w:rPr>
          <w:rFonts w:ascii="Book Antiqua" w:eastAsia="HYSinMyeongJo-Medium" w:hAnsi="Book Antiqua" w:cs="Arial"/>
          <w:b/>
          <w:sz w:val="24"/>
          <w:szCs w:val="24"/>
        </w:rPr>
        <w:t xml:space="preserve"> </w:t>
      </w:r>
      <w:r w:rsidR="00EC347E" w:rsidRPr="00991EB9">
        <w:rPr>
          <w:rFonts w:ascii="Book Antiqua" w:eastAsia="HYSinMyeongJo-Medium" w:hAnsi="Book Antiqua" w:cs="Arial"/>
          <w:b/>
          <w:sz w:val="24"/>
          <w:szCs w:val="24"/>
        </w:rPr>
        <w:t>Endoscopic criteria using narrow-band imaging for diagnosis o</w:t>
      </w:r>
      <w:r w:rsidR="00631E64" w:rsidRPr="00991EB9">
        <w:rPr>
          <w:rFonts w:ascii="Book Antiqua" w:eastAsia="HYSinMyeongJo-Medium" w:hAnsi="Book Antiqua" w:cs="Arial"/>
          <w:b/>
          <w:sz w:val="24"/>
          <w:szCs w:val="24"/>
        </w:rPr>
        <w:t>f gastric intestinal metaplasia</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567"/>
        <w:gridCol w:w="992"/>
        <w:gridCol w:w="3260"/>
        <w:gridCol w:w="1122"/>
        <w:gridCol w:w="1123"/>
        <w:gridCol w:w="1123"/>
      </w:tblGrid>
      <w:tr w:rsidR="00991EB9" w:rsidRPr="00991EB9" w:rsidTr="00ED5A92">
        <w:trPr>
          <w:trHeight w:val="372"/>
        </w:trPr>
        <w:tc>
          <w:tcPr>
            <w:tcW w:w="1668" w:type="dxa"/>
            <w:vMerge w:val="restart"/>
            <w:tcBorders>
              <w:top w:val="single" w:sz="12" w:space="0" w:color="auto"/>
              <w:left w:val="nil"/>
              <w:right w:val="nil"/>
            </w:tcBorders>
            <w:shd w:val="clear" w:color="auto" w:fill="auto"/>
          </w:tcPr>
          <w:p w:rsidR="00EC347E" w:rsidRPr="00991EB9" w:rsidRDefault="004A41E9"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Ref.</w:t>
            </w:r>
          </w:p>
        </w:tc>
        <w:tc>
          <w:tcPr>
            <w:tcW w:w="567" w:type="dxa"/>
            <w:vMerge w:val="restart"/>
            <w:tcBorders>
              <w:top w:val="single" w:sz="12" w:space="0" w:color="auto"/>
              <w:left w:val="nil"/>
              <w:right w:val="nil"/>
            </w:tcBorders>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Year</w:t>
            </w:r>
          </w:p>
        </w:tc>
        <w:tc>
          <w:tcPr>
            <w:tcW w:w="992" w:type="dxa"/>
            <w:vMerge w:val="restart"/>
            <w:tcBorders>
              <w:top w:val="single" w:sz="12" w:space="0" w:color="auto"/>
              <w:left w:val="nil"/>
              <w:right w:val="nil"/>
            </w:tcBorders>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Endoscopy mode</w:t>
            </w:r>
          </w:p>
        </w:tc>
        <w:tc>
          <w:tcPr>
            <w:tcW w:w="3260" w:type="dxa"/>
            <w:vMerge w:val="restart"/>
            <w:tcBorders>
              <w:top w:val="single" w:sz="12" w:space="0" w:color="auto"/>
              <w:left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 xml:space="preserve">Diagnostic criteria </w:t>
            </w:r>
          </w:p>
        </w:tc>
        <w:tc>
          <w:tcPr>
            <w:tcW w:w="3368" w:type="dxa"/>
            <w:gridSpan w:val="3"/>
            <w:tcBorders>
              <w:top w:val="single" w:sz="12" w:space="0" w:color="auto"/>
              <w:left w:val="nil"/>
              <w:right w:val="nil"/>
            </w:tcBorders>
          </w:tcPr>
          <w:p w:rsidR="00EC347E" w:rsidRPr="00991EB9" w:rsidRDefault="00EC347E" w:rsidP="00351C9F">
            <w:pPr>
              <w:wordWrap/>
              <w:snapToGrid w:val="0"/>
              <w:spacing w:line="360" w:lineRule="auto"/>
              <w:ind w:firstLineChars="350" w:firstLine="840"/>
              <w:rPr>
                <w:rFonts w:ascii="Book Antiqua" w:eastAsia="HYSinMyeongJo-Medium" w:hAnsi="Book Antiqua" w:cs="Arial"/>
                <w:b/>
                <w:sz w:val="24"/>
                <w:szCs w:val="24"/>
              </w:rPr>
            </w:pPr>
            <w:r w:rsidRPr="00991EB9">
              <w:rPr>
                <w:rFonts w:ascii="Book Antiqua" w:eastAsia="HYSinMyeongJo-Medium" w:hAnsi="Book Antiqua" w:cs="Arial"/>
                <w:b/>
                <w:sz w:val="24"/>
                <w:szCs w:val="24"/>
              </w:rPr>
              <w:t xml:space="preserve">Concordance with histopathology </w:t>
            </w:r>
          </w:p>
        </w:tc>
      </w:tr>
      <w:tr w:rsidR="00EC347E" w:rsidRPr="00991EB9" w:rsidTr="00ED5A92">
        <w:trPr>
          <w:trHeight w:val="372"/>
        </w:trPr>
        <w:tc>
          <w:tcPr>
            <w:tcW w:w="1668" w:type="dxa"/>
            <w:vMerge/>
            <w:tcBorders>
              <w:left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b/>
                <w:sz w:val="24"/>
                <w:szCs w:val="24"/>
              </w:rPr>
            </w:pPr>
          </w:p>
        </w:tc>
        <w:tc>
          <w:tcPr>
            <w:tcW w:w="567" w:type="dxa"/>
            <w:vMerge/>
            <w:tcBorders>
              <w:left w:val="nil"/>
              <w:right w:val="nil"/>
            </w:tcBorders>
          </w:tcPr>
          <w:p w:rsidR="00EC347E" w:rsidRPr="00991EB9" w:rsidRDefault="00EC347E" w:rsidP="009A3473">
            <w:pPr>
              <w:wordWrap/>
              <w:snapToGrid w:val="0"/>
              <w:spacing w:line="360" w:lineRule="auto"/>
              <w:rPr>
                <w:rFonts w:ascii="Book Antiqua" w:eastAsia="HYSinMyeongJo-Medium" w:hAnsi="Book Antiqua" w:cs="Arial"/>
                <w:b/>
                <w:sz w:val="24"/>
                <w:szCs w:val="24"/>
              </w:rPr>
            </w:pPr>
          </w:p>
        </w:tc>
        <w:tc>
          <w:tcPr>
            <w:tcW w:w="992" w:type="dxa"/>
            <w:vMerge/>
            <w:tcBorders>
              <w:left w:val="nil"/>
              <w:right w:val="nil"/>
            </w:tcBorders>
          </w:tcPr>
          <w:p w:rsidR="00EC347E" w:rsidRPr="00991EB9" w:rsidRDefault="00EC347E" w:rsidP="009A3473">
            <w:pPr>
              <w:wordWrap/>
              <w:snapToGrid w:val="0"/>
              <w:spacing w:line="360" w:lineRule="auto"/>
              <w:rPr>
                <w:rFonts w:ascii="Book Antiqua" w:eastAsia="HYSinMyeongJo-Medium" w:hAnsi="Book Antiqua" w:cs="Arial"/>
                <w:b/>
                <w:sz w:val="24"/>
                <w:szCs w:val="24"/>
              </w:rPr>
            </w:pPr>
          </w:p>
        </w:tc>
        <w:tc>
          <w:tcPr>
            <w:tcW w:w="3260" w:type="dxa"/>
            <w:vMerge/>
            <w:tcBorders>
              <w:left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b/>
                <w:sz w:val="24"/>
                <w:szCs w:val="24"/>
              </w:rPr>
            </w:pPr>
          </w:p>
        </w:tc>
        <w:tc>
          <w:tcPr>
            <w:tcW w:w="1122" w:type="dxa"/>
            <w:tcBorders>
              <w:left w:val="nil"/>
              <w:right w:val="nil"/>
            </w:tcBorders>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Sensitivity</w:t>
            </w:r>
          </w:p>
        </w:tc>
        <w:tc>
          <w:tcPr>
            <w:tcW w:w="1123" w:type="dxa"/>
            <w:tcBorders>
              <w:left w:val="nil"/>
              <w:right w:val="nil"/>
            </w:tcBorders>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Specificity</w:t>
            </w:r>
          </w:p>
        </w:tc>
        <w:tc>
          <w:tcPr>
            <w:tcW w:w="1123" w:type="dxa"/>
            <w:tcBorders>
              <w:top w:val="single" w:sz="2" w:space="0" w:color="auto"/>
              <w:left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Accuracy</w:t>
            </w:r>
          </w:p>
        </w:tc>
      </w:tr>
      <w:tr w:rsidR="00EC347E" w:rsidRPr="00991EB9" w:rsidTr="00ED5A92">
        <w:trPr>
          <w:trHeight w:val="495"/>
        </w:trPr>
        <w:tc>
          <w:tcPr>
            <w:tcW w:w="1668"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Pimentel-Nunes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[37]</w:t>
            </w:r>
          </w:p>
        </w:tc>
        <w:tc>
          <w:tcPr>
            <w:tcW w:w="567"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2012</w:t>
            </w:r>
          </w:p>
        </w:tc>
        <w:tc>
          <w:tcPr>
            <w:tcW w:w="992"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NBI</w:t>
            </w:r>
          </w:p>
        </w:tc>
        <w:tc>
          <w:tcPr>
            <w:tcW w:w="3260" w:type="dxa"/>
            <w:tcBorders>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Regular tubulovillous/ridge glandular pattern</w:t>
            </w:r>
          </w:p>
        </w:tc>
        <w:tc>
          <w:tcPr>
            <w:tcW w:w="1122" w:type="dxa"/>
            <w:tcBorders>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90%</w:t>
            </w:r>
          </w:p>
        </w:tc>
        <w:tc>
          <w:tcPr>
            <w:tcW w:w="1123" w:type="dxa"/>
            <w:tcBorders>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81%</w:t>
            </w:r>
          </w:p>
        </w:tc>
        <w:tc>
          <w:tcPr>
            <w:tcW w:w="1123" w:type="dxa"/>
            <w:tcBorders>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84% </w:t>
            </w:r>
          </w:p>
        </w:tc>
      </w:tr>
      <w:tr w:rsidR="00EC347E" w:rsidRPr="00991EB9" w:rsidTr="00ED5A92">
        <w:trPr>
          <w:trHeight w:val="495"/>
        </w:trPr>
        <w:tc>
          <w:tcPr>
            <w:tcW w:w="1668"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Saka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[36]</w:t>
            </w:r>
          </w:p>
        </w:tc>
        <w:tc>
          <w:tcPr>
            <w:tcW w:w="567"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2015</w:t>
            </w:r>
          </w:p>
        </w:tc>
        <w:tc>
          <w:tcPr>
            <w:tcW w:w="992"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M-NBI</w:t>
            </w:r>
          </w:p>
        </w:tc>
        <w:tc>
          <w:tcPr>
            <w:tcW w:w="3260"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Tubular/granular mucosa with LBC or WOS</w:t>
            </w:r>
          </w:p>
        </w:tc>
        <w:tc>
          <w:tcPr>
            <w:tcW w:w="1122"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N/A</w:t>
            </w:r>
          </w:p>
        </w:tc>
        <w:tc>
          <w:tcPr>
            <w:tcW w:w="1123"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N/A</w:t>
            </w:r>
          </w:p>
        </w:tc>
        <w:tc>
          <w:tcPr>
            <w:tcW w:w="1123"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69.1-72.7%</w:t>
            </w:r>
            <w:r w:rsidR="00DA331F" w:rsidRPr="00991EB9">
              <w:rPr>
                <w:rFonts w:ascii="Book Antiqua" w:eastAsia="HYSinMyeongJo-Medium" w:hAnsi="Book Antiqua" w:cs="Arial"/>
                <w:sz w:val="24"/>
                <w:szCs w:val="24"/>
                <w:vertAlign w:val="superscript"/>
              </w:rPr>
              <w:t>1</w:t>
            </w:r>
          </w:p>
        </w:tc>
      </w:tr>
      <w:tr w:rsidR="00EC347E" w:rsidRPr="00991EB9" w:rsidTr="00ED5A92">
        <w:trPr>
          <w:trHeight w:val="495"/>
        </w:trPr>
        <w:tc>
          <w:tcPr>
            <w:tcW w:w="1668"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sz w:val="24"/>
                <w:szCs w:val="24"/>
              </w:rPr>
              <w:t xml:space="preserve">Pimentel-Nunes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[39]</w:t>
            </w:r>
          </w:p>
        </w:tc>
        <w:tc>
          <w:tcPr>
            <w:tcW w:w="567"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2016</w:t>
            </w:r>
          </w:p>
        </w:tc>
        <w:tc>
          <w:tcPr>
            <w:tcW w:w="992"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NBI</w:t>
            </w:r>
          </w:p>
        </w:tc>
        <w:tc>
          <w:tcPr>
            <w:tcW w:w="3260"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Regular tubulovillous/ridge glandular pattern</w:t>
            </w:r>
          </w:p>
        </w:tc>
        <w:tc>
          <w:tcPr>
            <w:tcW w:w="1122"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87% </w:t>
            </w:r>
          </w:p>
        </w:tc>
        <w:tc>
          <w:tcPr>
            <w:tcW w:w="1123"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97% </w:t>
            </w:r>
          </w:p>
        </w:tc>
        <w:tc>
          <w:tcPr>
            <w:tcW w:w="1123"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94% </w:t>
            </w:r>
          </w:p>
        </w:tc>
      </w:tr>
      <w:tr w:rsidR="00EC347E" w:rsidRPr="00991EB9" w:rsidTr="00ED5A92">
        <w:trPr>
          <w:trHeight w:val="495"/>
        </w:trPr>
        <w:tc>
          <w:tcPr>
            <w:tcW w:w="1668"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Buxbaum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[41]</w:t>
            </w:r>
          </w:p>
        </w:tc>
        <w:tc>
          <w:tcPr>
            <w:tcW w:w="567"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2017</w:t>
            </w:r>
          </w:p>
        </w:tc>
        <w:tc>
          <w:tcPr>
            <w:tcW w:w="992"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NBI</w:t>
            </w:r>
          </w:p>
        </w:tc>
        <w:tc>
          <w:tcPr>
            <w:tcW w:w="3260"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Tubulovillous/ridge pattern and/or LBC</w:t>
            </w:r>
          </w:p>
        </w:tc>
        <w:tc>
          <w:tcPr>
            <w:tcW w:w="1122"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N/A</w:t>
            </w:r>
          </w:p>
        </w:tc>
        <w:tc>
          <w:tcPr>
            <w:tcW w:w="1123"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N/A</w:t>
            </w:r>
          </w:p>
        </w:tc>
        <w:tc>
          <w:tcPr>
            <w:tcW w:w="1123"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53-65%</w:t>
            </w:r>
            <w:r w:rsidR="00DA331F" w:rsidRPr="00991EB9">
              <w:rPr>
                <w:rFonts w:ascii="Book Antiqua" w:eastAsia="HYSinMyeongJo-Medium" w:hAnsi="Book Antiqua" w:cs="Arial"/>
                <w:sz w:val="24"/>
                <w:szCs w:val="24"/>
                <w:vertAlign w:val="superscript"/>
              </w:rPr>
              <w:t>2</w:t>
            </w:r>
          </w:p>
        </w:tc>
      </w:tr>
      <w:tr w:rsidR="00EC347E" w:rsidRPr="00991EB9" w:rsidTr="00ED5A92">
        <w:trPr>
          <w:trHeight w:val="495"/>
        </w:trPr>
        <w:tc>
          <w:tcPr>
            <w:tcW w:w="1668"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Esposito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[40]</w:t>
            </w:r>
          </w:p>
        </w:tc>
        <w:tc>
          <w:tcPr>
            <w:tcW w:w="567"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2019</w:t>
            </w:r>
          </w:p>
        </w:tc>
        <w:tc>
          <w:tcPr>
            <w:tcW w:w="992"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NBI</w:t>
            </w:r>
          </w:p>
        </w:tc>
        <w:tc>
          <w:tcPr>
            <w:tcW w:w="3260"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Regular tubulovillous/ridge glandular pattern</w:t>
            </w:r>
          </w:p>
        </w:tc>
        <w:tc>
          <w:tcPr>
            <w:tcW w:w="1122"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89.4%</w:t>
            </w:r>
          </w:p>
        </w:tc>
        <w:tc>
          <w:tcPr>
            <w:tcW w:w="1123"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94.6%</w:t>
            </w:r>
          </w:p>
        </w:tc>
        <w:tc>
          <w:tcPr>
            <w:tcW w:w="1123"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N/A </w:t>
            </w:r>
          </w:p>
        </w:tc>
      </w:tr>
      <w:tr w:rsidR="00EC347E" w:rsidRPr="00991EB9" w:rsidTr="00ED5A92">
        <w:trPr>
          <w:trHeight w:val="495"/>
        </w:trPr>
        <w:tc>
          <w:tcPr>
            <w:tcW w:w="1668"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An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[34]</w:t>
            </w:r>
          </w:p>
        </w:tc>
        <w:tc>
          <w:tcPr>
            <w:tcW w:w="567"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2012</w:t>
            </w:r>
          </w:p>
        </w:tc>
        <w:tc>
          <w:tcPr>
            <w:tcW w:w="992"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M-NBI</w:t>
            </w:r>
          </w:p>
        </w:tc>
        <w:tc>
          <w:tcPr>
            <w:tcW w:w="3260"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MTB and/or LBC</w:t>
            </w:r>
          </w:p>
        </w:tc>
        <w:tc>
          <w:tcPr>
            <w:tcW w:w="1122"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72.1-100%</w:t>
            </w:r>
            <w:r w:rsidR="00DA331F" w:rsidRPr="00991EB9">
              <w:rPr>
                <w:rFonts w:ascii="Book Antiqua" w:eastAsia="HYSinMyeongJo-Medium" w:hAnsi="Book Antiqua" w:cs="Arial"/>
                <w:sz w:val="24"/>
                <w:szCs w:val="24"/>
                <w:vertAlign w:val="superscript"/>
              </w:rPr>
              <w:t>3</w:t>
            </w:r>
          </w:p>
        </w:tc>
        <w:tc>
          <w:tcPr>
            <w:tcW w:w="1123"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66.0-96.0%</w:t>
            </w:r>
            <w:r w:rsidR="00DA331F" w:rsidRPr="00991EB9">
              <w:rPr>
                <w:rFonts w:ascii="Book Antiqua" w:eastAsia="HYSinMyeongJo-Medium" w:hAnsi="Book Antiqua" w:cs="Arial"/>
                <w:sz w:val="24"/>
                <w:szCs w:val="24"/>
                <w:vertAlign w:val="superscript"/>
              </w:rPr>
              <w:t>3</w:t>
            </w:r>
          </w:p>
        </w:tc>
        <w:tc>
          <w:tcPr>
            <w:tcW w:w="1123"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81.7-84.9%</w:t>
            </w:r>
            <w:r w:rsidR="00DA331F" w:rsidRPr="00991EB9">
              <w:rPr>
                <w:rFonts w:ascii="Book Antiqua" w:eastAsia="HYSinMyeongJo-Medium" w:hAnsi="Book Antiqua" w:cs="Arial"/>
                <w:sz w:val="24"/>
                <w:szCs w:val="24"/>
                <w:vertAlign w:val="superscript"/>
              </w:rPr>
              <w:t>3</w:t>
            </w:r>
          </w:p>
        </w:tc>
      </w:tr>
      <w:tr w:rsidR="00EC347E" w:rsidRPr="00991EB9" w:rsidTr="00ED5A92">
        <w:trPr>
          <w:trHeight w:val="495"/>
        </w:trPr>
        <w:tc>
          <w:tcPr>
            <w:tcW w:w="1668"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Savarino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[33]</w:t>
            </w:r>
          </w:p>
        </w:tc>
        <w:tc>
          <w:tcPr>
            <w:tcW w:w="567"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2013</w:t>
            </w:r>
          </w:p>
        </w:tc>
        <w:tc>
          <w:tcPr>
            <w:tcW w:w="992"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M-NBI</w:t>
            </w:r>
          </w:p>
        </w:tc>
        <w:tc>
          <w:tcPr>
            <w:tcW w:w="3260"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LBC</w:t>
            </w:r>
          </w:p>
        </w:tc>
        <w:tc>
          <w:tcPr>
            <w:tcW w:w="1122"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80% </w:t>
            </w:r>
          </w:p>
        </w:tc>
        <w:tc>
          <w:tcPr>
            <w:tcW w:w="1123" w:type="dxa"/>
            <w:tcBorders>
              <w:top w:val="nil"/>
              <w:left w:val="nil"/>
              <w:bottom w:val="nil"/>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96% </w:t>
            </w:r>
          </w:p>
        </w:tc>
        <w:tc>
          <w:tcPr>
            <w:tcW w:w="1123" w:type="dxa"/>
            <w:tcBorders>
              <w:top w:val="nil"/>
              <w:left w:val="nil"/>
              <w:bottom w:val="nil"/>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93% </w:t>
            </w:r>
          </w:p>
        </w:tc>
      </w:tr>
      <w:tr w:rsidR="00EC347E" w:rsidRPr="00991EB9" w:rsidTr="00ED5A92">
        <w:trPr>
          <w:trHeight w:val="495"/>
        </w:trPr>
        <w:tc>
          <w:tcPr>
            <w:tcW w:w="1668" w:type="dxa"/>
            <w:tcBorders>
              <w:top w:val="nil"/>
              <w:left w:val="nil"/>
              <w:bottom w:val="single" w:sz="12" w:space="0" w:color="auto"/>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sz w:val="24"/>
                <w:szCs w:val="24"/>
              </w:rPr>
              <w:t xml:space="preserve">Kanemitsu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[35]</w:t>
            </w:r>
          </w:p>
        </w:tc>
        <w:tc>
          <w:tcPr>
            <w:tcW w:w="567" w:type="dxa"/>
            <w:tcBorders>
              <w:top w:val="nil"/>
              <w:left w:val="nil"/>
              <w:bottom w:val="single" w:sz="12" w:space="0" w:color="auto"/>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2017</w:t>
            </w:r>
          </w:p>
        </w:tc>
        <w:tc>
          <w:tcPr>
            <w:tcW w:w="992" w:type="dxa"/>
            <w:tcBorders>
              <w:top w:val="nil"/>
              <w:left w:val="nil"/>
              <w:bottom w:val="single" w:sz="12" w:space="0" w:color="auto"/>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M-NBI</w:t>
            </w:r>
          </w:p>
        </w:tc>
        <w:tc>
          <w:tcPr>
            <w:tcW w:w="3260" w:type="dxa"/>
            <w:tcBorders>
              <w:top w:val="nil"/>
              <w:left w:val="nil"/>
              <w:bottom w:val="single" w:sz="12" w:space="0" w:color="auto"/>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WOS and/or LBC</w:t>
            </w:r>
          </w:p>
        </w:tc>
        <w:tc>
          <w:tcPr>
            <w:tcW w:w="1122" w:type="dxa"/>
            <w:tcBorders>
              <w:top w:val="nil"/>
              <w:left w:val="nil"/>
              <w:bottom w:val="single" w:sz="12" w:space="0" w:color="auto"/>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87.5%</w:t>
            </w:r>
          </w:p>
        </w:tc>
        <w:tc>
          <w:tcPr>
            <w:tcW w:w="1123" w:type="dxa"/>
            <w:tcBorders>
              <w:top w:val="nil"/>
              <w:left w:val="nil"/>
              <w:bottom w:val="single" w:sz="12" w:space="0" w:color="auto"/>
              <w:right w:val="nil"/>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93.8%</w:t>
            </w:r>
          </w:p>
        </w:tc>
        <w:tc>
          <w:tcPr>
            <w:tcW w:w="1123" w:type="dxa"/>
            <w:tcBorders>
              <w:top w:val="nil"/>
              <w:left w:val="nil"/>
              <w:bottom w:val="single" w:sz="12" w:space="0" w:color="auto"/>
              <w:right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90.0%</w:t>
            </w:r>
          </w:p>
        </w:tc>
      </w:tr>
    </w:tbl>
    <w:p w:rsidR="000A0FBE" w:rsidRPr="00991EB9" w:rsidRDefault="000A0FBE" w:rsidP="009A3473">
      <w:pPr>
        <w:wordWrap/>
        <w:adjustRightInd w:val="0"/>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vertAlign w:val="superscript"/>
        </w:rPr>
        <w:t>1</w:t>
      </w:r>
      <w:r w:rsidR="00EC347E" w:rsidRPr="00991EB9">
        <w:rPr>
          <w:rFonts w:ascii="Book Antiqua" w:eastAsia="HYSinMyeongJo-Medium" w:hAnsi="Book Antiqua" w:cs="Arial"/>
          <w:sz w:val="24"/>
          <w:szCs w:val="24"/>
        </w:rPr>
        <w:t>Concordance rate between the M-NBI and histopathology was 69.1% for the an</w:t>
      </w:r>
      <w:r w:rsidRPr="00991EB9">
        <w:rPr>
          <w:rFonts w:ascii="Book Antiqua" w:eastAsia="HYSinMyeongJo-Medium" w:hAnsi="Book Antiqua" w:cs="Arial"/>
          <w:sz w:val="24"/>
          <w:szCs w:val="24"/>
        </w:rPr>
        <w:t xml:space="preserve">trum and 72.7% for the corpus. </w:t>
      </w:r>
      <w:r w:rsidRPr="00991EB9">
        <w:rPr>
          <w:rFonts w:ascii="Book Antiqua" w:eastAsia="HYSinMyeongJo-Medium" w:hAnsi="Book Antiqua" w:cs="Arial"/>
          <w:sz w:val="24"/>
          <w:szCs w:val="24"/>
          <w:vertAlign w:val="superscript"/>
        </w:rPr>
        <w:t>2</w:t>
      </w:r>
      <w:r w:rsidR="00EC347E" w:rsidRPr="00991EB9">
        <w:rPr>
          <w:rFonts w:ascii="Book Antiqua" w:eastAsia="HYSinMyeongJo-Medium" w:hAnsi="Book Antiqua" w:cs="Arial"/>
          <w:sz w:val="24"/>
          <w:szCs w:val="24"/>
        </w:rPr>
        <w:t>Diagnostic yield per-patient and per-site was 6</w:t>
      </w:r>
      <w:r w:rsidRPr="00991EB9">
        <w:rPr>
          <w:rFonts w:ascii="Book Antiqua" w:eastAsia="HYSinMyeongJo-Medium" w:hAnsi="Book Antiqua" w:cs="Arial"/>
          <w:sz w:val="24"/>
          <w:szCs w:val="24"/>
        </w:rPr>
        <w:t xml:space="preserve">5% and 53%, respectively. </w:t>
      </w:r>
      <w:r w:rsidRPr="00991EB9">
        <w:rPr>
          <w:rFonts w:ascii="Book Antiqua" w:eastAsia="HYSinMyeongJo-Medium" w:hAnsi="Book Antiqua" w:cs="Arial"/>
          <w:sz w:val="24"/>
          <w:szCs w:val="24"/>
          <w:vertAlign w:val="superscript"/>
        </w:rPr>
        <w:t>3</w:t>
      </w:r>
      <w:r w:rsidR="00EC347E" w:rsidRPr="00991EB9">
        <w:rPr>
          <w:rFonts w:ascii="Book Antiqua" w:eastAsia="HYSinMyeongJo-Medium" w:hAnsi="Book Antiqua" w:cs="Arial"/>
          <w:sz w:val="24"/>
          <w:szCs w:val="24"/>
        </w:rPr>
        <w:t xml:space="preserve">MTB and LBC had sensitivities, specificities, and accuracy of 100/72.1%, 66.0/96.0%, and 81.7/84.9%, respectively. </w:t>
      </w:r>
      <w:r w:rsidRPr="00991EB9">
        <w:rPr>
          <w:rFonts w:ascii="Book Antiqua" w:eastAsia="HYSinMyeongJo-Medium" w:hAnsi="Book Antiqua" w:cs="Arial"/>
          <w:sz w:val="24"/>
          <w:szCs w:val="24"/>
        </w:rPr>
        <w:t xml:space="preserve">NBI: Narrow-band imaging; M-NBI: </w:t>
      </w:r>
      <w:r w:rsidRPr="00991EB9">
        <w:rPr>
          <w:rFonts w:ascii="Book Antiqua" w:eastAsia="HYSinMyeongJo-Medium" w:hAnsi="Book Antiqua" w:cs="Arial"/>
          <w:caps/>
          <w:sz w:val="24"/>
          <w:szCs w:val="24"/>
        </w:rPr>
        <w:t>m</w:t>
      </w:r>
      <w:r w:rsidRPr="00991EB9">
        <w:rPr>
          <w:rFonts w:ascii="Book Antiqua" w:eastAsia="HYSinMyeongJo-Medium" w:hAnsi="Book Antiqua" w:cs="Arial"/>
          <w:sz w:val="24"/>
          <w:szCs w:val="24"/>
        </w:rPr>
        <w:t xml:space="preserve">agnifying narrow-band imaging; LBC: </w:t>
      </w:r>
      <w:r w:rsidRPr="00991EB9">
        <w:rPr>
          <w:rFonts w:ascii="Book Antiqua" w:eastAsia="HYSinMyeongJo-Medium" w:hAnsi="Book Antiqua" w:cs="Arial"/>
          <w:caps/>
          <w:sz w:val="24"/>
          <w:szCs w:val="24"/>
        </w:rPr>
        <w:t>l</w:t>
      </w:r>
      <w:r w:rsidRPr="00991EB9">
        <w:rPr>
          <w:rFonts w:ascii="Book Antiqua" w:eastAsia="HYSinMyeongJo-Medium" w:hAnsi="Book Antiqua" w:cs="Arial"/>
          <w:sz w:val="24"/>
          <w:szCs w:val="24"/>
        </w:rPr>
        <w:t xml:space="preserve">ight blue crest; WOS: </w:t>
      </w:r>
      <w:r w:rsidRPr="00991EB9">
        <w:rPr>
          <w:rFonts w:ascii="Book Antiqua" w:eastAsia="HYSinMyeongJo-Medium" w:hAnsi="Book Antiqua" w:cs="Arial"/>
          <w:caps/>
          <w:sz w:val="24"/>
          <w:szCs w:val="24"/>
        </w:rPr>
        <w:t>w</w:t>
      </w:r>
      <w:r w:rsidRPr="00991EB9">
        <w:rPr>
          <w:rFonts w:ascii="Book Antiqua" w:eastAsia="HYSinMyeongJo-Medium" w:hAnsi="Book Antiqua" w:cs="Arial"/>
          <w:sz w:val="24"/>
          <w:szCs w:val="24"/>
        </w:rPr>
        <w:t xml:space="preserve">hite opaque substance; MTB: </w:t>
      </w:r>
      <w:r w:rsidRPr="00991EB9">
        <w:rPr>
          <w:rFonts w:ascii="Book Antiqua" w:eastAsia="HYSinMyeongJo-Medium" w:hAnsi="Book Antiqua" w:cs="Arial"/>
          <w:caps/>
          <w:sz w:val="24"/>
          <w:szCs w:val="24"/>
        </w:rPr>
        <w:t>m</w:t>
      </w:r>
      <w:r w:rsidRPr="00991EB9">
        <w:rPr>
          <w:rFonts w:ascii="Book Antiqua" w:eastAsia="HYSinMyeongJo-Medium" w:hAnsi="Book Antiqua" w:cs="Arial"/>
          <w:sz w:val="24"/>
          <w:szCs w:val="24"/>
        </w:rPr>
        <w:t xml:space="preserve">arginal turbid band; N/A: </w:t>
      </w:r>
      <w:r w:rsidRPr="00991EB9">
        <w:rPr>
          <w:rFonts w:ascii="Book Antiqua" w:eastAsia="HYSinMyeongJo-Medium" w:hAnsi="Book Antiqua" w:cs="Arial"/>
          <w:caps/>
          <w:sz w:val="24"/>
          <w:szCs w:val="24"/>
        </w:rPr>
        <w:t>n</w:t>
      </w:r>
      <w:r w:rsidRPr="00991EB9">
        <w:rPr>
          <w:rFonts w:ascii="Book Antiqua" w:eastAsia="HYSinMyeongJo-Medium" w:hAnsi="Book Antiqua" w:cs="Arial"/>
          <w:sz w:val="24"/>
          <w:szCs w:val="24"/>
        </w:rPr>
        <w:t xml:space="preserve">ot applicable. </w:t>
      </w:r>
    </w:p>
    <w:p w:rsidR="00EC347E" w:rsidRPr="00991EB9" w:rsidRDefault="0021494C" w:rsidP="009A3473">
      <w:pPr>
        <w:wordWrap/>
        <w:adjustRightInd w:val="0"/>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sz w:val="24"/>
          <w:szCs w:val="24"/>
        </w:rPr>
        <w:br w:type="page"/>
      </w:r>
      <w:r w:rsidR="00EC347E" w:rsidRPr="00991EB9">
        <w:rPr>
          <w:rFonts w:ascii="Book Antiqua" w:eastAsia="HYSinMyeongJo-Medium" w:hAnsi="Book Antiqua" w:cs="Arial"/>
          <w:b/>
          <w:sz w:val="24"/>
          <w:szCs w:val="24"/>
        </w:rPr>
        <w:t>Table 2</w:t>
      </w:r>
      <w:r w:rsidRPr="00991EB9">
        <w:rPr>
          <w:rFonts w:ascii="Book Antiqua" w:eastAsia="HYSinMyeongJo-Medium" w:hAnsi="Book Antiqua" w:cs="Arial"/>
          <w:b/>
          <w:sz w:val="24"/>
          <w:szCs w:val="24"/>
        </w:rPr>
        <w:t xml:space="preserve"> </w:t>
      </w:r>
      <w:r w:rsidR="00EC347E" w:rsidRPr="00991EB9">
        <w:rPr>
          <w:rFonts w:ascii="Book Antiqua" w:eastAsia="HYSinMyeongJo-Medium" w:hAnsi="Book Antiqua" w:cs="Arial"/>
          <w:b/>
          <w:sz w:val="24"/>
          <w:szCs w:val="24"/>
        </w:rPr>
        <w:t xml:space="preserve">Diagnostic performance of narrow-band imaging with magnification for early gastric cancer </w:t>
      </w:r>
    </w:p>
    <w:tbl>
      <w:tblPr>
        <w:tblW w:w="10207" w:type="dxa"/>
        <w:tblInd w:w="-318" w:type="dxa"/>
        <w:tblBorders>
          <w:top w:val="single" w:sz="12" w:space="0" w:color="auto"/>
          <w:bottom w:val="single" w:sz="12" w:space="0" w:color="auto"/>
        </w:tblBorders>
        <w:tblLayout w:type="fixed"/>
        <w:tblLook w:val="04A0" w:firstRow="1" w:lastRow="0" w:firstColumn="1" w:lastColumn="0" w:noHBand="0" w:noVBand="1"/>
      </w:tblPr>
      <w:tblGrid>
        <w:gridCol w:w="1560"/>
        <w:gridCol w:w="709"/>
        <w:gridCol w:w="3686"/>
        <w:gridCol w:w="1417"/>
        <w:gridCol w:w="1418"/>
        <w:gridCol w:w="1417"/>
      </w:tblGrid>
      <w:tr w:rsidR="00991EB9" w:rsidRPr="00991EB9" w:rsidTr="00C24FA6">
        <w:trPr>
          <w:trHeight w:val="372"/>
        </w:trPr>
        <w:tc>
          <w:tcPr>
            <w:tcW w:w="1560" w:type="dxa"/>
            <w:vMerge w:val="restart"/>
            <w:tcBorders>
              <w:top w:val="single" w:sz="12" w:space="0" w:color="auto"/>
              <w:bottom w:val="nil"/>
            </w:tcBorders>
            <w:shd w:val="clear" w:color="auto" w:fill="auto"/>
          </w:tcPr>
          <w:p w:rsidR="00EC347E" w:rsidRPr="00991EB9" w:rsidRDefault="007D1A9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Ref.</w:t>
            </w:r>
          </w:p>
        </w:tc>
        <w:tc>
          <w:tcPr>
            <w:tcW w:w="709" w:type="dxa"/>
            <w:vMerge w:val="restart"/>
            <w:tcBorders>
              <w:top w:val="single" w:sz="12" w:space="0" w:color="auto"/>
              <w:bottom w:val="nil"/>
            </w:tcBorders>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Year</w:t>
            </w:r>
          </w:p>
        </w:tc>
        <w:tc>
          <w:tcPr>
            <w:tcW w:w="3686" w:type="dxa"/>
            <w:vMerge w:val="restart"/>
            <w:tcBorders>
              <w:top w:val="single" w:sz="12" w:space="0" w:color="auto"/>
              <w:bottom w:val="nil"/>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Endoscopic criteria of NBI with magnification</w:t>
            </w:r>
          </w:p>
        </w:tc>
        <w:tc>
          <w:tcPr>
            <w:tcW w:w="4252" w:type="dxa"/>
            <w:gridSpan w:val="3"/>
            <w:tcBorders>
              <w:top w:val="single" w:sz="12" w:space="0" w:color="auto"/>
              <w:bottom w:val="nil"/>
            </w:tcBorders>
          </w:tcPr>
          <w:p w:rsidR="00EC347E" w:rsidRPr="00991EB9" w:rsidRDefault="00EC347E" w:rsidP="00351C9F">
            <w:pPr>
              <w:wordWrap/>
              <w:snapToGrid w:val="0"/>
              <w:spacing w:line="360" w:lineRule="auto"/>
              <w:ind w:firstLineChars="150" w:firstLine="360"/>
              <w:rPr>
                <w:rFonts w:ascii="Book Antiqua" w:eastAsia="HYSinMyeongJo-Medium" w:hAnsi="Book Antiqua" w:cs="Arial"/>
                <w:b/>
                <w:sz w:val="24"/>
                <w:szCs w:val="24"/>
              </w:rPr>
            </w:pPr>
            <w:r w:rsidRPr="00991EB9">
              <w:rPr>
                <w:rFonts w:ascii="Book Antiqua" w:eastAsia="HYSinMyeongJo-Medium" w:hAnsi="Book Antiqua" w:cs="Arial"/>
                <w:b/>
                <w:sz w:val="24"/>
                <w:szCs w:val="24"/>
              </w:rPr>
              <w:t>NBI with magnification (</w:t>
            </w:r>
            <w:r w:rsidRPr="00991EB9">
              <w:rPr>
                <w:rFonts w:ascii="Book Antiqua" w:eastAsia="HYSinMyeongJo-Medium" w:hAnsi="Book Antiqua" w:cs="Arial"/>
                <w:b/>
                <w:i/>
                <w:sz w:val="24"/>
                <w:szCs w:val="24"/>
              </w:rPr>
              <w:t>vs</w:t>
            </w:r>
            <w:r w:rsidR="00D1310C" w:rsidRPr="00991EB9">
              <w:rPr>
                <w:rFonts w:ascii="Book Antiqua" w:eastAsia="HYSinMyeongJo-Medium" w:hAnsi="Book Antiqua" w:cs="Arial"/>
                <w:b/>
                <w:sz w:val="24"/>
                <w:szCs w:val="24"/>
              </w:rPr>
              <w:t xml:space="preserve"> w</w:t>
            </w:r>
            <w:r w:rsidRPr="00991EB9">
              <w:rPr>
                <w:rFonts w:ascii="Book Antiqua" w:eastAsia="HYSinMyeongJo-Medium" w:hAnsi="Book Antiqua" w:cs="Arial"/>
                <w:b/>
                <w:sz w:val="24"/>
                <w:szCs w:val="24"/>
              </w:rPr>
              <w:t>hite light imaging)</w:t>
            </w:r>
          </w:p>
        </w:tc>
      </w:tr>
      <w:tr w:rsidR="00991EB9" w:rsidRPr="00991EB9" w:rsidTr="00C24FA6">
        <w:trPr>
          <w:trHeight w:val="372"/>
        </w:trPr>
        <w:tc>
          <w:tcPr>
            <w:tcW w:w="1560" w:type="dxa"/>
            <w:vMerge/>
            <w:tcBorders>
              <w:top w:val="nil"/>
              <w:bottom w:val="single" w:sz="12" w:space="0" w:color="auto"/>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p>
        </w:tc>
        <w:tc>
          <w:tcPr>
            <w:tcW w:w="709" w:type="dxa"/>
            <w:vMerge/>
            <w:tcBorders>
              <w:top w:val="nil"/>
              <w:bottom w:val="single" w:sz="12" w:space="0" w:color="auto"/>
            </w:tcBorders>
          </w:tcPr>
          <w:p w:rsidR="00EC347E" w:rsidRPr="00991EB9" w:rsidRDefault="00EC347E" w:rsidP="009A3473">
            <w:pPr>
              <w:wordWrap/>
              <w:snapToGrid w:val="0"/>
              <w:spacing w:line="360" w:lineRule="auto"/>
              <w:rPr>
                <w:rFonts w:ascii="Book Antiqua" w:eastAsia="HYSinMyeongJo-Medium" w:hAnsi="Book Antiqua" w:cs="Arial"/>
                <w:sz w:val="24"/>
                <w:szCs w:val="24"/>
              </w:rPr>
            </w:pPr>
          </w:p>
        </w:tc>
        <w:tc>
          <w:tcPr>
            <w:tcW w:w="3686" w:type="dxa"/>
            <w:vMerge/>
            <w:tcBorders>
              <w:top w:val="nil"/>
              <w:bottom w:val="single" w:sz="12" w:space="0" w:color="auto"/>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p>
        </w:tc>
        <w:tc>
          <w:tcPr>
            <w:tcW w:w="1417" w:type="dxa"/>
            <w:tcBorders>
              <w:top w:val="nil"/>
              <w:bottom w:val="single" w:sz="12" w:space="0" w:color="auto"/>
            </w:tcBorders>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Sensitivity</w:t>
            </w:r>
          </w:p>
        </w:tc>
        <w:tc>
          <w:tcPr>
            <w:tcW w:w="1418" w:type="dxa"/>
            <w:tcBorders>
              <w:top w:val="nil"/>
              <w:bottom w:val="single" w:sz="12" w:space="0" w:color="auto"/>
            </w:tcBorders>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Specificity</w:t>
            </w:r>
          </w:p>
        </w:tc>
        <w:tc>
          <w:tcPr>
            <w:tcW w:w="1417" w:type="dxa"/>
            <w:tcBorders>
              <w:top w:val="nil"/>
              <w:bottom w:val="single" w:sz="12" w:space="0" w:color="auto"/>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Accuracy</w:t>
            </w:r>
          </w:p>
        </w:tc>
      </w:tr>
      <w:tr w:rsidR="00991EB9" w:rsidRPr="00991EB9" w:rsidTr="00C24FA6">
        <w:trPr>
          <w:trHeight w:val="495"/>
        </w:trPr>
        <w:tc>
          <w:tcPr>
            <w:tcW w:w="1560" w:type="dxa"/>
            <w:tcBorders>
              <w:top w:val="single" w:sz="12" w:space="0" w:color="auto"/>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Yao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[52]</w:t>
            </w:r>
          </w:p>
        </w:tc>
        <w:tc>
          <w:tcPr>
            <w:tcW w:w="709" w:type="dxa"/>
            <w:tcBorders>
              <w:top w:val="single" w:sz="12" w:space="0" w:color="auto"/>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2007</w:t>
            </w:r>
          </w:p>
        </w:tc>
        <w:tc>
          <w:tcPr>
            <w:tcW w:w="3686" w:type="dxa"/>
            <w:tcBorders>
              <w:top w:val="single" w:sz="12" w:space="0" w:color="auto"/>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Irregular microvascular pattern</w:t>
            </w:r>
          </w:p>
        </w:tc>
        <w:tc>
          <w:tcPr>
            <w:tcW w:w="1417" w:type="dxa"/>
            <w:tcBorders>
              <w:top w:val="single" w:sz="12" w:space="0" w:color="auto"/>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92.9%</w:t>
            </w:r>
          </w:p>
        </w:tc>
        <w:tc>
          <w:tcPr>
            <w:tcW w:w="1418" w:type="dxa"/>
            <w:tcBorders>
              <w:top w:val="single" w:sz="12" w:space="0" w:color="auto"/>
            </w:tcBorders>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99.3%</w:t>
            </w:r>
          </w:p>
        </w:tc>
        <w:tc>
          <w:tcPr>
            <w:tcW w:w="1417" w:type="dxa"/>
            <w:tcBorders>
              <w:top w:val="single" w:sz="12" w:space="0" w:color="auto"/>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98.7% </w:t>
            </w:r>
          </w:p>
        </w:tc>
      </w:tr>
      <w:tr w:rsidR="00991EB9" w:rsidRPr="00991EB9" w:rsidTr="00C24FA6">
        <w:trPr>
          <w:trHeight w:val="375"/>
        </w:trPr>
        <w:tc>
          <w:tcPr>
            <w:tcW w:w="1560" w:type="dxa"/>
            <w:vMerge w:val="restart"/>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Ezoe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[53]</w:t>
            </w:r>
          </w:p>
        </w:tc>
        <w:tc>
          <w:tcPr>
            <w:tcW w:w="709" w:type="dxa"/>
            <w:vMerge w:val="restart"/>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2010</w:t>
            </w:r>
          </w:p>
        </w:tc>
        <w:tc>
          <w:tcPr>
            <w:tcW w:w="3686"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Demarcation line</w:t>
            </w:r>
          </w:p>
        </w:tc>
        <w:tc>
          <w:tcPr>
            <w:tcW w:w="1417" w:type="dxa"/>
            <w:vMerge w:val="restart"/>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70.0% (33.3%</w:t>
            </w:r>
            <w:r w:rsidRPr="00991EB9">
              <w:rPr>
                <w:rFonts w:ascii="Book Antiqua" w:eastAsia="HYSinMyeongJo-Medium" w:hAnsi="Book Antiqua" w:cs="Arial"/>
                <w:sz w:val="24"/>
                <w:szCs w:val="24"/>
                <w:vertAlign w:val="superscript"/>
              </w:rPr>
              <w:t>1</w:t>
            </w:r>
            <w:r w:rsidRPr="00991EB9">
              <w:rPr>
                <w:rFonts w:ascii="Book Antiqua" w:eastAsia="HYSinMyeongJo-Medium" w:hAnsi="Book Antiqua" w:cs="Arial"/>
                <w:sz w:val="24"/>
                <w:szCs w:val="24"/>
              </w:rPr>
              <w:t>)</w:t>
            </w:r>
          </w:p>
        </w:tc>
        <w:tc>
          <w:tcPr>
            <w:tcW w:w="1418" w:type="dxa"/>
            <w:vMerge w:val="restart"/>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88.8% (66.6%</w:t>
            </w:r>
            <w:r w:rsidRPr="00991EB9">
              <w:rPr>
                <w:rFonts w:ascii="Book Antiqua" w:eastAsia="HYSinMyeongJo-Medium" w:hAnsi="Book Antiqua" w:cs="Arial"/>
                <w:sz w:val="24"/>
                <w:szCs w:val="24"/>
                <w:vertAlign w:val="superscript"/>
              </w:rPr>
              <w:t>1</w:t>
            </w:r>
            <w:r w:rsidRPr="00991EB9">
              <w:rPr>
                <w:rFonts w:ascii="Book Antiqua" w:eastAsia="HYSinMyeongJo-Medium" w:hAnsi="Book Antiqua" w:cs="Arial"/>
                <w:sz w:val="24"/>
                <w:szCs w:val="24"/>
              </w:rPr>
              <w:t>)</w:t>
            </w:r>
          </w:p>
        </w:tc>
        <w:tc>
          <w:tcPr>
            <w:tcW w:w="1417" w:type="dxa"/>
            <w:vMerge w:val="restart"/>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78.9% (43.8%</w:t>
            </w:r>
            <w:r w:rsidRPr="00991EB9">
              <w:rPr>
                <w:rFonts w:ascii="Book Antiqua" w:eastAsia="HYSinMyeongJo-Medium" w:hAnsi="Book Antiqua" w:cs="Arial"/>
                <w:sz w:val="24"/>
                <w:szCs w:val="24"/>
                <w:vertAlign w:val="superscript"/>
              </w:rPr>
              <w:t>1</w:t>
            </w:r>
            <w:r w:rsidRPr="00991EB9">
              <w:rPr>
                <w:rFonts w:ascii="Book Antiqua" w:eastAsia="HYSinMyeongJo-Medium" w:hAnsi="Book Antiqua" w:cs="Arial"/>
                <w:sz w:val="24"/>
                <w:szCs w:val="24"/>
              </w:rPr>
              <w:t>)</w:t>
            </w:r>
          </w:p>
        </w:tc>
      </w:tr>
      <w:tr w:rsidR="00991EB9" w:rsidRPr="00991EB9" w:rsidTr="00C24FA6">
        <w:trPr>
          <w:trHeight w:val="964"/>
        </w:trPr>
        <w:tc>
          <w:tcPr>
            <w:tcW w:w="1560" w:type="dxa"/>
            <w:vMerge/>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709"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3686"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Irregular microvascular pattern </w:t>
            </w:r>
          </w:p>
        </w:tc>
        <w:tc>
          <w:tcPr>
            <w:tcW w:w="1417"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1418"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1417" w:type="dxa"/>
            <w:vMerge/>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p>
        </w:tc>
      </w:tr>
      <w:tr w:rsidR="00991EB9" w:rsidRPr="00991EB9" w:rsidTr="00C24FA6">
        <w:trPr>
          <w:trHeight w:val="813"/>
        </w:trPr>
        <w:tc>
          <w:tcPr>
            <w:tcW w:w="1560" w:type="dxa"/>
            <w:vMerge w:val="restart"/>
            <w:shd w:val="clear" w:color="auto" w:fill="auto"/>
          </w:tcPr>
          <w:p w:rsidR="007D1A9E" w:rsidRPr="00991EB9" w:rsidRDefault="007D1A9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sz w:val="24"/>
                <w:szCs w:val="24"/>
              </w:rPr>
              <w:t xml:space="preserve">Kato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[58]</w:t>
            </w:r>
          </w:p>
        </w:tc>
        <w:tc>
          <w:tcPr>
            <w:tcW w:w="709" w:type="dxa"/>
            <w:vMerge w:val="restart"/>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2010</w:t>
            </w:r>
          </w:p>
        </w:tc>
        <w:tc>
          <w:tcPr>
            <w:tcW w:w="3686"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Disappearance of fine mucosal structure </w:t>
            </w:r>
          </w:p>
        </w:tc>
        <w:tc>
          <w:tcPr>
            <w:tcW w:w="1417" w:type="dxa"/>
            <w:vMerge w:val="restart"/>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92.9% (42.9%)</w:t>
            </w:r>
          </w:p>
        </w:tc>
        <w:tc>
          <w:tcPr>
            <w:tcW w:w="1418" w:type="dxa"/>
            <w:vMerge w:val="restart"/>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94.7% (61.0%)</w:t>
            </w:r>
          </w:p>
        </w:tc>
        <w:tc>
          <w:tcPr>
            <w:tcW w:w="1417" w:type="dxa"/>
            <w:vMerge w:val="restart"/>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N/A </w:t>
            </w:r>
          </w:p>
        </w:tc>
      </w:tr>
      <w:tr w:rsidR="00991EB9" w:rsidRPr="00991EB9" w:rsidTr="00C24FA6">
        <w:trPr>
          <w:trHeight w:val="413"/>
        </w:trPr>
        <w:tc>
          <w:tcPr>
            <w:tcW w:w="1560" w:type="dxa"/>
            <w:vMerge/>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709"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3686"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Microvascular dilation</w:t>
            </w:r>
          </w:p>
        </w:tc>
        <w:tc>
          <w:tcPr>
            <w:tcW w:w="1417"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1418"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1417" w:type="dxa"/>
            <w:vMerge/>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p>
        </w:tc>
      </w:tr>
      <w:tr w:rsidR="00991EB9" w:rsidRPr="00991EB9" w:rsidTr="00C24FA6">
        <w:trPr>
          <w:trHeight w:val="989"/>
        </w:trPr>
        <w:tc>
          <w:tcPr>
            <w:tcW w:w="1560" w:type="dxa"/>
            <w:vMerge/>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709"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3686"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Microvascular heterogeneity in shape </w:t>
            </w:r>
          </w:p>
        </w:tc>
        <w:tc>
          <w:tcPr>
            <w:tcW w:w="1417"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1418"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1417" w:type="dxa"/>
            <w:vMerge/>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p>
        </w:tc>
      </w:tr>
      <w:tr w:rsidR="00991EB9" w:rsidRPr="00991EB9" w:rsidTr="00C24FA6">
        <w:trPr>
          <w:trHeight w:val="438"/>
        </w:trPr>
        <w:tc>
          <w:tcPr>
            <w:tcW w:w="1560" w:type="dxa"/>
            <w:vMerge w:val="restart"/>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Yamada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[54]</w:t>
            </w:r>
          </w:p>
        </w:tc>
        <w:tc>
          <w:tcPr>
            <w:tcW w:w="709" w:type="dxa"/>
            <w:vMerge w:val="restart"/>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2014</w:t>
            </w:r>
          </w:p>
        </w:tc>
        <w:tc>
          <w:tcPr>
            <w:tcW w:w="3686"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Demarcation line</w:t>
            </w:r>
          </w:p>
        </w:tc>
        <w:tc>
          <w:tcPr>
            <w:tcW w:w="1417" w:type="dxa"/>
            <w:vMerge w:val="restart"/>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95% (40%</w:t>
            </w:r>
            <w:r w:rsidRPr="00991EB9">
              <w:rPr>
                <w:rFonts w:ascii="Book Antiqua" w:eastAsia="HYSinMyeongJo-Medium" w:hAnsi="Book Antiqua" w:cs="Arial"/>
                <w:sz w:val="24"/>
                <w:szCs w:val="24"/>
                <w:vertAlign w:val="superscript"/>
              </w:rPr>
              <w:t>2</w:t>
            </w:r>
            <w:r w:rsidRPr="00991EB9">
              <w:rPr>
                <w:rFonts w:ascii="Book Antiqua" w:eastAsia="HYSinMyeongJo-Medium" w:hAnsi="Book Antiqua" w:cs="Arial"/>
                <w:sz w:val="24"/>
                <w:szCs w:val="24"/>
              </w:rPr>
              <w:t>)</w:t>
            </w:r>
          </w:p>
        </w:tc>
        <w:tc>
          <w:tcPr>
            <w:tcW w:w="1418" w:type="dxa"/>
            <w:vMerge w:val="restart"/>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97% (68%</w:t>
            </w:r>
            <w:r w:rsidRPr="00991EB9">
              <w:rPr>
                <w:rFonts w:ascii="Book Antiqua" w:eastAsia="HYSinMyeongJo-Medium" w:hAnsi="Book Antiqua" w:cs="Arial"/>
                <w:sz w:val="24"/>
                <w:szCs w:val="24"/>
                <w:vertAlign w:val="superscript"/>
              </w:rPr>
              <w:t>2</w:t>
            </w:r>
            <w:r w:rsidRPr="00991EB9">
              <w:rPr>
                <w:rFonts w:ascii="Book Antiqua" w:eastAsia="HYSinMyeongJo-Medium" w:hAnsi="Book Antiqua" w:cs="Arial"/>
                <w:sz w:val="24"/>
                <w:szCs w:val="24"/>
              </w:rPr>
              <w:t>)</w:t>
            </w:r>
          </w:p>
        </w:tc>
        <w:tc>
          <w:tcPr>
            <w:tcW w:w="1417" w:type="dxa"/>
            <w:vMerge w:val="restart"/>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97% (65%</w:t>
            </w:r>
            <w:r w:rsidRPr="00991EB9">
              <w:rPr>
                <w:rFonts w:ascii="Book Antiqua" w:eastAsia="HYSinMyeongJo-Medium" w:hAnsi="Book Antiqua" w:cs="Arial"/>
                <w:sz w:val="24"/>
                <w:szCs w:val="24"/>
                <w:vertAlign w:val="superscript"/>
              </w:rPr>
              <w:t>2</w:t>
            </w:r>
            <w:r w:rsidRPr="00991EB9">
              <w:rPr>
                <w:rFonts w:ascii="Book Antiqua" w:eastAsia="HYSinMyeongJo-Medium" w:hAnsi="Book Antiqua" w:cs="Arial"/>
                <w:sz w:val="24"/>
                <w:szCs w:val="24"/>
              </w:rPr>
              <w:t xml:space="preserve">) </w:t>
            </w:r>
          </w:p>
        </w:tc>
      </w:tr>
      <w:tr w:rsidR="00991EB9" w:rsidRPr="00991EB9" w:rsidTr="00C24FA6">
        <w:trPr>
          <w:trHeight w:val="389"/>
        </w:trPr>
        <w:tc>
          <w:tcPr>
            <w:tcW w:w="1560" w:type="dxa"/>
            <w:vMerge/>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709"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3686"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Irregular microvascular pattern</w:t>
            </w:r>
          </w:p>
        </w:tc>
        <w:tc>
          <w:tcPr>
            <w:tcW w:w="1417"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1418"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1417" w:type="dxa"/>
            <w:vMerge/>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p>
        </w:tc>
      </w:tr>
      <w:tr w:rsidR="00991EB9" w:rsidRPr="00991EB9" w:rsidTr="00C24FA6">
        <w:trPr>
          <w:trHeight w:val="495"/>
        </w:trPr>
        <w:tc>
          <w:tcPr>
            <w:tcW w:w="1560" w:type="dxa"/>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Yao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[56]</w:t>
            </w:r>
          </w:p>
        </w:tc>
        <w:tc>
          <w:tcPr>
            <w:tcW w:w="709"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2014</w:t>
            </w:r>
          </w:p>
        </w:tc>
        <w:tc>
          <w:tcPr>
            <w:tcW w:w="3686" w:type="dxa"/>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VS classification </w:t>
            </w:r>
          </w:p>
        </w:tc>
        <w:tc>
          <w:tcPr>
            <w:tcW w:w="1417"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85.7%</w:t>
            </w:r>
          </w:p>
        </w:tc>
        <w:tc>
          <w:tcPr>
            <w:tcW w:w="1418"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99.4%</w:t>
            </w:r>
          </w:p>
        </w:tc>
        <w:tc>
          <w:tcPr>
            <w:tcW w:w="1417" w:type="dxa"/>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98.1% </w:t>
            </w:r>
          </w:p>
        </w:tc>
      </w:tr>
      <w:tr w:rsidR="00991EB9" w:rsidRPr="00991EB9" w:rsidTr="00C24FA6">
        <w:trPr>
          <w:trHeight w:val="495"/>
        </w:trPr>
        <w:tc>
          <w:tcPr>
            <w:tcW w:w="1560" w:type="dxa"/>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Fugiwara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[57]</w:t>
            </w:r>
          </w:p>
        </w:tc>
        <w:tc>
          <w:tcPr>
            <w:tcW w:w="709"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2015</w:t>
            </w:r>
          </w:p>
        </w:tc>
        <w:tc>
          <w:tcPr>
            <w:tcW w:w="3686" w:type="dxa"/>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VS classification</w:t>
            </w:r>
          </w:p>
        </w:tc>
        <w:tc>
          <w:tcPr>
            <w:tcW w:w="1417"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78.0% (43.7%</w:t>
            </w:r>
            <w:r w:rsidR="006B5694" w:rsidRPr="00991EB9">
              <w:rPr>
                <w:rFonts w:ascii="Book Antiqua" w:eastAsia="HYSinMyeongJo-Medium" w:hAnsi="Book Antiqua" w:cs="Arial"/>
                <w:sz w:val="24"/>
                <w:szCs w:val="24"/>
                <w:vertAlign w:val="superscript"/>
              </w:rPr>
              <w:t>3</w:t>
            </w:r>
            <w:r w:rsidRPr="00991EB9">
              <w:rPr>
                <w:rFonts w:ascii="Book Antiqua" w:eastAsia="HYSinMyeongJo-Medium" w:hAnsi="Book Antiqua" w:cs="Arial"/>
                <w:sz w:val="24"/>
                <w:szCs w:val="24"/>
              </w:rPr>
              <w:t>)</w:t>
            </w:r>
          </w:p>
        </w:tc>
        <w:tc>
          <w:tcPr>
            <w:tcW w:w="1418"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92.9% (81.6%</w:t>
            </w:r>
            <w:r w:rsidR="006B5694" w:rsidRPr="00991EB9">
              <w:rPr>
                <w:rFonts w:ascii="Book Antiqua" w:eastAsia="HYSinMyeongJo-Medium" w:hAnsi="Book Antiqua" w:cs="Arial"/>
                <w:sz w:val="24"/>
                <w:szCs w:val="24"/>
                <w:vertAlign w:val="superscript"/>
              </w:rPr>
              <w:t>3</w:t>
            </w:r>
            <w:r w:rsidRPr="00991EB9">
              <w:rPr>
                <w:rFonts w:ascii="Book Antiqua" w:eastAsia="HYSinMyeongJo-Medium" w:hAnsi="Book Antiqua" w:cs="Arial"/>
                <w:sz w:val="24"/>
                <w:szCs w:val="24"/>
              </w:rPr>
              <w:t>)</w:t>
            </w:r>
          </w:p>
        </w:tc>
        <w:tc>
          <w:tcPr>
            <w:tcW w:w="1417" w:type="dxa"/>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88.3% (69.9%</w:t>
            </w:r>
            <w:r w:rsidR="006B5694" w:rsidRPr="00991EB9">
              <w:rPr>
                <w:rFonts w:ascii="Book Antiqua" w:eastAsia="HYSinMyeongJo-Medium" w:hAnsi="Book Antiqua" w:cs="Arial"/>
                <w:sz w:val="24"/>
                <w:szCs w:val="24"/>
                <w:vertAlign w:val="superscript"/>
              </w:rPr>
              <w:t>3</w:t>
            </w:r>
            <w:r w:rsidRPr="00991EB9">
              <w:rPr>
                <w:rFonts w:ascii="Book Antiqua" w:eastAsia="HYSinMyeongJo-Medium" w:hAnsi="Book Antiqua" w:cs="Arial"/>
                <w:sz w:val="24"/>
                <w:szCs w:val="24"/>
              </w:rPr>
              <w:t xml:space="preserve">) </w:t>
            </w:r>
          </w:p>
        </w:tc>
      </w:tr>
      <w:tr w:rsidR="00991EB9" w:rsidRPr="00991EB9" w:rsidTr="00C24FA6">
        <w:trPr>
          <w:trHeight w:val="375"/>
        </w:trPr>
        <w:tc>
          <w:tcPr>
            <w:tcW w:w="1560" w:type="dxa"/>
            <w:vMerge w:val="restart"/>
            <w:shd w:val="clear" w:color="auto" w:fill="auto"/>
          </w:tcPr>
          <w:p w:rsidR="007D1A9E" w:rsidRPr="00991EB9" w:rsidRDefault="007D1A9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sz w:val="24"/>
                <w:szCs w:val="24"/>
              </w:rPr>
              <w:t xml:space="preserve">Kanesaka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[59]</w:t>
            </w:r>
          </w:p>
        </w:tc>
        <w:tc>
          <w:tcPr>
            <w:tcW w:w="709" w:type="dxa"/>
            <w:vMerge w:val="restart"/>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2015</w:t>
            </w:r>
          </w:p>
        </w:tc>
        <w:tc>
          <w:tcPr>
            <w:tcW w:w="3686"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Microvascular dilation</w:t>
            </w:r>
          </w:p>
        </w:tc>
        <w:tc>
          <w:tcPr>
            <w:tcW w:w="1417" w:type="dxa"/>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25%</w:t>
            </w:r>
          </w:p>
        </w:tc>
        <w:tc>
          <w:tcPr>
            <w:tcW w:w="1418" w:type="dxa"/>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90%</w:t>
            </w:r>
          </w:p>
        </w:tc>
        <w:tc>
          <w:tcPr>
            <w:tcW w:w="1417"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83%</w:t>
            </w:r>
          </w:p>
        </w:tc>
      </w:tr>
      <w:tr w:rsidR="00991EB9" w:rsidRPr="00991EB9" w:rsidTr="00C24FA6">
        <w:trPr>
          <w:trHeight w:val="375"/>
        </w:trPr>
        <w:tc>
          <w:tcPr>
            <w:tcW w:w="1560" w:type="dxa"/>
            <w:vMerge/>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709"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3686"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Microvascular tortuosity</w:t>
            </w:r>
          </w:p>
        </w:tc>
        <w:tc>
          <w:tcPr>
            <w:tcW w:w="1417" w:type="dxa"/>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55%</w:t>
            </w:r>
          </w:p>
        </w:tc>
        <w:tc>
          <w:tcPr>
            <w:tcW w:w="1418" w:type="dxa"/>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24%</w:t>
            </w:r>
          </w:p>
        </w:tc>
        <w:tc>
          <w:tcPr>
            <w:tcW w:w="1417"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28%</w:t>
            </w:r>
          </w:p>
        </w:tc>
      </w:tr>
      <w:tr w:rsidR="00991EB9" w:rsidRPr="00991EB9" w:rsidTr="00C24FA6">
        <w:trPr>
          <w:trHeight w:val="388"/>
        </w:trPr>
        <w:tc>
          <w:tcPr>
            <w:tcW w:w="1560" w:type="dxa"/>
            <w:vMerge/>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709"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3686"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Difference in caliber</w:t>
            </w:r>
          </w:p>
        </w:tc>
        <w:tc>
          <w:tcPr>
            <w:tcW w:w="1417" w:type="dxa"/>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13%</w:t>
            </w:r>
          </w:p>
        </w:tc>
        <w:tc>
          <w:tcPr>
            <w:tcW w:w="1418" w:type="dxa"/>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99%</w:t>
            </w:r>
          </w:p>
        </w:tc>
        <w:tc>
          <w:tcPr>
            <w:tcW w:w="1417"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89%</w:t>
            </w:r>
          </w:p>
        </w:tc>
      </w:tr>
      <w:tr w:rsidR="00991EB9" w:rsidRPr="00991EB9" w:rsidTr="00C24FA6">
        <w:trPr>
          <w:trHeight w:val="113"/>
        </w:trPr>
        <w:tc>
          <w:tcPr>
            <w:tcW w:w="1560" w:type="dxa"/>
            <w:vMerge/>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709" w:type="dxa"/>
            <w:vMerge/>
          </w:tcPr>
          <w:p w:rsidR="007D1A9E" w:rsidRPr="00991EB9" w:rsidRDefault="007D1A9E" w:rsidP="009A3473">
            <w:pPr>
              <w:wordWrap/>
              <w:snapToGrid w:val="0"/>
              <w:spacing w:line="360" w:lineRule="auto"/>
              <w:rPr>
                <w:rFonts w:ascii="Book Antiqua" w:eastAsia="HYSinMyeongJo-Medium" w:hAnsi="Book Antiqua" w:cs="Arial"/>
                <w:sz w:val="24"/>
                <w:szCs w:val="24"/>
              </w:rPr>
            </w:pPr>
          </w:p>
        </w:tc>
        <w:tc>
          <w:tcPr>
            <w:tcW w:w="3686"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Variation in shape</w:t>
            </w:r>
          </w:p>
        </w:tc>
        <w:tc>
          <w:tcPr>
            <w:tcW w:w="1417" w:type="dxa"/>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70%</w:t>
            </w:r>
          </w:p>
        </w:tc>
        <w:tc>
          <w:tcPr>
            <w:tcW w:w="1418" w:type="dxa"/>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95%</w:t>
            </w:r>
          </w:p>
        </w:tc>
        <w:tc>
          <w:tcPr>
            <w:tcW w:w="1417" w:type="dxa"/>
            <w:shd w:val="clear" w:color="auto" w:fill="auto"/>
          </w:tcPr>
          <w:p w:rsidR="007D1A9E" w:rsidRPr="00991EB9" w:rsidRDefault="007D1A9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92%</w:t>
            </w:r>
          </w:p>
        </w:tc>
      </w:tr>
    </w:tbl>
    <w:p w:rsidR="00EC347E" w:rsidRPr="00991EB9" w:rsidRDefault="006B5694" w:rsidP="009A3473">
      <w:pPr>
        <w:wordWrap/>
        <w:adjustRightInd w:val="0"/>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vertAlign w:val="superscript"/>
        </w:rPr>
        <w:t>1</w:t>
      </w:r>
      <w:r w:rsidRPr="00991EB9">
        <w:rPr>
          <w:rFonts w:ascii="Book Antiqua" w:eastAsia="HYSinMyeongJo-Medium" w:hAnsi="Book Antiqua" w:cs="Arial"/>
          <w:sz w:val="24"/>
          <w:szCs w:val="24"/>
        </w:rPr>
        <w:t xml:space="preserve">Diagnostic sensitivity, specificity, and accuracy using white-light endoscopy with magnification. </w:t>
      </w:r>
      <w:r w:rsidRPr="00991EB9">
        <w:rPr>
          <w:rFonts w:ascii="Book Antiqua" w:eastAsia="HYSinMyeongJo-Medium" w:hAnsi="Book Antiqua" w:cs="Arial"/>
          <w:sz w:val="24"/>
          <w:szCs w:val="24"/>
          <w:vertAlign w:val="superscript"/>
        </w:rPr>
        <w:t>2</w:t>
      </w:r>
      <w:r w:rsidRPr="00991EB9">
        <w:rPr>
          <w:rFonts w:ascii="Book Antiqua" w:eastAsia="HYSinMyeongJo-Medium" w:hAnsi="Book Antiqua" w:cs="Arial"/>
          <w:sz w:val="24"/>
          <w:szCs w:val="24"/>
        </w:rPr>
        <w:t xml:space="preserve">Endoscopic criteria of white-light endoscopy for gastric cancer were an irregular margin and a spiny depressed area. </w:t>
      </w:r>
      <w:r w:rsidRPr="00991EB9">
        <w:rPr>
          <w:rFonts w:ascii="Book Antiqua" w:eastAsia="HYSinMyeongJo-Medium" w:hAnsi="Book Antiqua" w:cs="Arial"/>
          <w:sz w:val="24"/>
          <w:szCs w:val="24"/>
          <w:vertAlign w:val="superscript"/>
        </w:rPr>
        <w:t>3</w:t>
      </w:r>
      <w:r w:rsidRPr="00991EB9">
        <w:rPr>
          <w:rFonts w:ascii="Book Antiqua" w:eastAsia="HYSinMyeongJo-Medium" w:hAnsi="Book Antiqua" w:cs="Arial"/>
          <w:sz w:val="24"/>
          <w:szCs w:val="24"/>
        </w:rPr>
        <w:t>Diagnostic sensitivity, specificity, and accuracy using chromoendoscopy with indigo carmine.</w:t>
      </w:r>
      <w:r w:rsidRPr="009D3CAF">
        <w:rPr>
          <w:rFonts w:ascii="Book Antiqua" w:eastAsia="宋体" w:hAnsi="Book Antiqua" w:cs="Arial" w:hint="eastAsia"/>
          <w:sz w:val="24"/>
          <w:szCs w:val="24"/>
          <w:lang w:eastAsia="zh-CN"/>
        </w:rPr>
        <w:t xml:space="preserve"> </w:t>
      </w:r>
      <w:r w:rsidR="00EC347E" w:rsidRPr="00991EB9">
        <w:rPr>
          <w:rFonts w:ascii="Book Antiqua" w:eastAsia="HYSinMyeongJo-Medium" w:hAnsi="Book Antiqua" w:cs="Arial"/>
          <w:sz w:val="24"/>
          <w:szCs w:val="24"/>
        </w:rPr>
        <w:t xml:space="preserve">NBI: Narrow-band imaging; VS: Vessel plus surface; N/A: </w:t>
      </w:r>
      <w:r w:rsidR="00EC347E" w:rsidRPr="00991EB9">
        <w:rPr>
          <w:rFonts w:ascii="Book Antiqua" w:eastAsia="HYSinMyeongJo-Medium" w:hAnsi="Book Antiqua" w:cs="Arial"/>
          <w:caps/>
          <w:sz w:val="24"/>
          <w:szCs w:val="24"/>
        </w:rPr>
        <w:t>n</w:t>
      </w:r>
      <w:r w:rsidR="00EC347E" w:rsidRPr="00991EB9">
        <w:rPr>
          <w:rFonts w:ascii="Book Antiqua" w:eastAsia="HYSinMyeongJo-Medium" w:hAnsi="Book Antiqua" w:cs="Arial"/>
          <w:sz w:val="24"/>
          <w:szCs w:val="24"/>
        </w:rPr>
        <w:t>ot applicable.</w:t>
      </w:r>
    </w:p>
    <w:p w:rsidR="00EC347E" w:rsidRPr="00991EB9" w:rsidRDefault="0021494C"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sz w:val="24"/>
          <w:szCs w:val="24"/>
        </w:rPr>
        <w:br w:type="page"/>
      </w:r>
      <w:r w:rsidR="00EC347E" w:rsidRPr="00991EB9">
        <w:rPr>
          <w:rFonts w:ascii="Book Antiqua" w:eastAsia="HYSinMyeongJo-Medium" w:hAnsi="Book Antiqua" w:cs="Arial"/>
          <w:b/>
          <w:sz w:val="24"/>
          <w:szCs w:val="24"/>
        </w:rPr>
        <w:t>Table 3</w:t>
      </w:r>
      <w:r w:rsidRPr="00991EB9">
        <w:rPr>
          <w:rFonts w:ascii="Book Antiqua" w:eastAsia="HYSinMyeongJo-Medium" w:hAnsi="Book Antiqua" w:cs="Arial"/>
          <w:b/>
          <w:sz w:val="24"/>
          <w:szCs w:val="24"/>
        </w:rPr>
        <w:t xml:space="preserve"> </w:t>
      </w:r>
      <w:r w:rsidR="00EC347E" w:rsidRPr="00991EB9">
        <w:rPr>
          <w:rFonts w:ascii="Book Antiqua" w:eastAsia="HYSinMyeongJo-Medium" w:hAnsi="Book Antiqua" w:cs="Arial"/>
          <w:b/>
          <w:sz w:val="24"/>
          <w:szCs w:val="24"/>
        </w:rPr>
        <w:t>Determination of the horizontal extent of early gastric cancer by</w:t>
      </w:r>
      <w:r w:rsidRPr="00991EB9">
        <w:rPr>
          <w:rFonts w:ascii="Book Antiqua" w:eastAsia="HYSinMyeongJo-Medium" w:hAnsi="Book Antiqua" w:cs="Arial"/>
          <w:b/>
          <w:sz w:val="24"/>
          <w:szCs w:val="24"/>
        </w:rPr>
        <w:t xml:space="preserve"> magnifying narrow-band imaging</w:t>
      </w:r>
    </w:p>
    <w:tbl>
      <w:tblPr>
        <w:tblW w:w="9855" w:type="dxa"/>
        <w:tblBorders>
          <w:top w:val="single" w:sz="12" w:space="0" w:color="auto"/>
          <w:bottom w:val="single" w:sz="12" w:space="0" w:color="auto"/>
        </w:tblBorders>
        <w:tblLayout w:type="fixed"/>
        <w:tblLook w:val="04A0" w:firstRow="1" w:lastRow="0" w:firstColumn="1" w:lastColumn="0" w:noHBand="0" w:noVBand="1"/>
      </w:tblPr>
      <w:tblGrid>
        <w:gridCol w:w="1809"/>
        <w:gridCol w:w="3402"/>
        <w:gridCol w:w="1134"/>
        <w:gridCol w:w="993"/>
        <w:gridCol w:w="1275"/>
        <w:gridCol w:w="1242"/>
      </w:tblGrid>
      <w:tr w:rsidR="00991EB9" w:rsidRPr="00991EB9" w:rsidTr="00136D7B">
        <w:trPr>
          <w:trHeight w:val="491"/>
        </w:trPr>
        <w:tc>
          <w:tcPr>
            <w:tcW w:w="1809" w:type="dxa"/>
            <w:tcBorders>
              <w:top w:val="single" w:sz="12" w:space="0" w:color="auto"/>
              <w:bottom w:val="single" w:sz="12" w:space="0" w:color="auto"/>
            </w:tcBorders>
            <w:shd w:val="clear" w:color="auto" w:fill="auto"/>
          </w:tcPr>
          <w:p w:rsidR="00EC347E" w:rsidRPr="00991EB9" w:rsidRDefault="00A70485"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R</w:t>
            </w:r>
            <w:r w:rsidR="003A4AAB" w:rsidRPr="00991EB9">
              <w:rPr>
                <w:rFonts w:ascii="Book Antiqua" w:eastAsia="HYSinMyeongJo-Medium" w:hAnsi="Book Antiqua" w:cs="Arial"/>
                <w:b/>
                <w:sz w:val="24"/>
                <w:szCs w:val="24"/>
              </w:rPr>
              <w:t>ef.</w:t>
            </w:r>
          </w:p>
        </w:tc>
        <w:tc>
          <w:tcPr>
            <w:tcW w:w="3402" w:type="dxa"/>
            <w:tcBorders>
              <w:top w:val="single" w:sz="12" w:space="0" w:color="auto"/>
              <w:bottom w:val="single" w:sz="12" w:space="0" w:color="auto"/>
            </w:tcBorders>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 xml:space="preserve">Study design </w:t>
            </w:r>
          </w:p>
        </w:tc>
        <w:tc>
          <w:tcPr>
            <w:tcW w:w="1134" w:type="dxa"/>
            <w:tcBorders>
              <w:top w:val="single" w:sz="12" w:space="0" w:color="auto"/>
              <w:bottom w:val="single" w:sz="12" w:space="0" w:color="auto"/>
            </w:tcBorders>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Lesion (</w:t>
            </w:r>
            <w:r w:rsidRPr="00991EB9">
              <w:rPr>
                <w:rFonts w:ascii="Book Antiqua" w:eastAsia="HYSinMyeongJo-Medium" w:hAnsi="Book Antiqua" w:cs="Arial"/>
                <w:b/>
                <w:i/>
                <w:sz w:val="24"/>
                <w:szCs w:val="24"/>
              </w:rPr>
              <w:t>n</w:t>
            </w:r>
            <w:r w:rsidRPr="00991EB9">
              <w:rPr>
                <w:rFonts w:ascii="Book Antiqua" w:eastAsia="HYSinMyeongJo-Medium" w:hAnsi="Book Antiqua" w:cs="Arial"/>
                <w:b/>
                <w:sz w:val="24"/>
                <w:szCs w:val="24"/>
              </w:rPr>
              <w:t>)</w:t>
            </w:r>
          </w:p>
        </w:tc>
        <w:tc>
          <w:tcPr>
            <w:tcW w:w="993" w:type="dxa"/>
            <w:tcBorders>
              <w:top w:val="single" w:sz="12" w:space="0" w:color="auto"/>
              <w:bottom w:val="single" w:sz="12" w:space="0" w:color="auto"/>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Pathology</w:t>
            </w:r>
          </w:p>
        </w:tc>
        <w:tc>
          <w:tcPr>
            <w:tcW w:w="1275" w:type="dxa"/>
            <w:tcBorders>
              <w:top w:val="single" w:sz="12" w:space="0" w:color="auto"/>
              <w:bottom w:val="single" w:sz="12" w:space="0" w:color="auto"/>
            </w:tcBorders>
            <w:shd w:val="clear" w:color="auto" w:fill="auto"/>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sz w:val="24"/>
                <w:szCs w:val="24"/>
              </w:rPr>
              <w:t>Diagnostic accuracy</w:t>
            </w:r>
          </w:p>
        </w:tc>
        <w:tc>
          <w:tcPr>
            <w:tcW w:w="1242" w:type="dxa"/>
            <w:tcBorders>
              <w:top w:val="single" w:sz="12" w:space="0" w:color="auto"/>
              <w:bottom w:val="single" w:sz="12" w:space="0" w:color="auto"/>
            </w:tcBorders>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b/>
                <w:i/>
                <w:sz w:val="24"/>
                <w:szCs w:val="24"/>
              </w:rPr>
              <w:t>P</w:t>
            </w:r>
            <w:r w:rsidRPr="00991EB9">
              <w:rPr>
                <w:rFonts w:ascii="Book Antiqua" w:eastAsia="HYSinMyeongJo-Medium" w:hAnsi="Book Antiqua" w:cs="Arial"/>
                <w:b/>
                <w:sz w:val="24"/>
                <w:szCs w:val="24"/>
              </w:rPr>
              <w:t xml:space="preserve"> value</w:t>
            </w:r>
          </w:p>
        </w:tc>
      </w:tr>
      <w:tr w:rsidR="00991EB9" w:rsidRPr="00991EB9" w:rsidTr="00136D7B">
        <w:trPr>
          <w:trHeight w:val="851"/>
        </w:trPr>
        <w:tc>
          <w:tcPr>
            <w:tcW w:w="1809" w:type="dxa"/>
            <w:vMerge w:val="restart"/>
            <w:tcBorders>
              <w:top w:val="single" w:sz="12" w:space="0" w:color="auto"/>
            </w:tcBorders>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Kiyotoki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[61]</w:t>
            </w:r>
            <w:r w:rsidRPr="00991EB9">
              <w:rPr>
                <w:rFonts w:ascii="Book Antiqua" w:eastAsia="HYSinMyeongJo-Medium" w:hAnsi="Book Antiqua" w:cs="Arial"/>
                <w:sz w:val="24"/>
                <w:szCs w:val="24"/>
              </w:rPr>
              <w:t xml:space="preserve"> </w:t>
            </w:r>
          </w:p>
        </w:tc>
        <w:tc>
          <w:tcPr>
            <w:tcW w:w="3402" w:type="dxa"/>
            <w:tcBorders>
              <w:top w:val="single" w:sz="12" w:space="0" w:color="auto"/>
            </w:tcBorders>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Comparative study between CE and M-NBI </w:t>
            </w:r>
          </w:p>
        </w:tc>
        <w:tc>
          <w:tcPr>
            <w:tcW w:w="1134" w:type="dxa"/>
            <w:vMerge w:val="restart"/>
            <w:tcBorders>
              <w:top w:val="single" w:sz="12" w:space="0" w:color="auto"/>
            </w:tcBorders>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EGC (70), adenoma (13)</w:t>
            </w:r>
          </w:p>
        </w:tc>
        <w:tc>
          <w:tcPr>
            <w:tcW w:w="993" w:type="dxa"/>
            <w:vMerge w:val="restart"/>
            <w:tcBorders>
              <w:top w:val="single" w:sz="12" w:space="0" w:color="auto"/>
            </w:tcBorders>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ESD </w:t>
            </w:r>
          </w:p>
        </w:tc>
        <w:tc>
          <w:tcPr>
            <w:tcW w:w="1275" w:type="dxa"/>
            <w:vMerge w:val="restart"/>
            <w:tcBorders>
              <w:top w:val="single" w:sz="12" w:space="0" w:color="auto"/>
            </w:tcBorders>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77.8% </w:t>
            </w:r>
            <w:r w:rsidRPr="00991EB9">
              <w:rPr>
                <w:rFonts w:ascii="Book Antiqua" w:eastAsia="HYSinMyeongJo-Medium" w:hAnsi="Book Antiqua" w:cs="Arial"/>
                <w:i/>
                <w:sz w:val="24"/>
                <w:szCs w:val="24"/>
              </w:rPr>
              <w:t>vs</w:t>
            </w:r>
            <w:r w:rsidRPr="00991EB9">
              <w:rPr>
                <w:rFonts w:ascii="Book Antiqua" w:eastAsia="HYSinMyeongJo-Medium" w:hAnsi="Book Antiqua" w:cs="Arial"/>
                <w:sz w:val="24"/>
                <w:szCs w:val="24"/>
              </w:rPr>
              <w:t xml:space="preserve">  97.4% </w:t>
            </w:r>
          </w:p>
        </w:tc>
        <w:tc>
          <w:tcPr>
            <w:tcW w:w="1242" w:type="dxa"/>
            <w:vMerge w:val="restart"/>
            <w:tcBorders>
              <w:top w:val="single" w:sz="12" w:space="0" w:color="auto"/>
            </w:tcBorders>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0.009</w:t>
            </w:r>
          </w:p>
        </w:tc>
      </w:tr>
      <w:tr w:rsidR="00991EB9" w:rsidRPr="00991EB9" w:rsidTr="00136D7B">
        <w:trPr>
          <w:trHeight w:val="939"/>
        </w:trPr>
        <w:tc>
          <w:tcPr>
            <w:tcW w:w="1809" w:type="dxa"/>
            <w:vMerge/>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p>
        </w:tc>
        <w:tc>
          <w:tcPr>
            <w:tcW w:w="3402" w:type="dxa"/>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Marking dots were placed on the tumor margins</w:t>
            </w:r>
          </w:p>
        </w:tc>
        <w:tc>
          <w:tcPr>
            <w:tcW w:w="1134" w:type="dxa"/>
            <w:vMerge/>
          </w:tcPr>
          <w:p w:rsidR="002B33DF" w:rsidRPr="00991EB9" w:rsidRDefault="002B33DF" w:rsidP="009A3473">
            <w:pPr>
              <w:wordWrap/>
              <w:snapToGrid w:val="0"/>
              <w:spacing w:line="360" w:lineRule="auto"/>
              <w:rPr>
                <w:rFonts w:ascii="Book Antiqua" w:eastAsia="HYSinMyeongJo-Medium" w:hAnsi="Book Antiqua" w:cs="Arial"/>
                <w:sz w:val="24"/>
                <w:szCs w:val="24"/>
              </w:rPr>
            </w:pPr>
          </w:p>
        </w:tc>
        <w:tc>
          <w:tcPr>
            <w:tcW w:w="993" w:type="dxa"/>
            <w:vMerge/>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p>
        </w:tc>
        <w:tc>
          <w:tcPr>
            <w:tcW w:w="1275" w:type="dxa"/>
            <w:vMerge/>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p>
        </w:tc>
        <w:tc>
          <w:tcPr>
            <w:tcW w:w="1242" w:type="dxa"/>
            <w:vMerge/>
          </w:tcPr>
          <w:p w:rsidR="002B33DF" w:rsidRPr="00991EB9" w:rsidRDefault="002B33DF" w:rsidP="009A3473">
            <w:pPr>
              <w:wordWrap/>
              <w:snapToGrid w:val="0"/>
              <w:spacing w:line="360" w:lineRule="auto"/>
              <w:rPr>
                <w:rFonts w:ascii="Book Antiqua" w:eastAsia="HYSinMyeongJo-Medium" w:hAnsi="Book Antiqua" w:cs="Arial"/>
                <w:sz w:val="24"/>
                <w:szCs w:val="24"/>
              </w:rPr>
            </w:pPr>
          </w:p>
        </w:tc>
      </w:tr>
      <w:tr w:rsidR="00991EB9" w:rsidRPr="00991EB9" w:rsidTr="00136D7B">
        <w:trPr>
          <w:trHeight w:val="491"/>
        </w:trPr>
        <w:tc>
          <w:tcPr>
            <w:tcW w:w="1809" w:type="dxa"/>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Nagahama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[63]</w:t>
            </w:r>
            <w:r w:rsidRPr="00991EB9">
              <w:rPr>
                <w:rFonts w:ascii="Book Antiqua" w:eastAsia="HYSinMyeongJo-Medium" w:hAnsi="Book Antiqua" w:cs="Arial"/>
                <w:sz w:val="24"/>
                <w:szCs w:val="24"/>
              </w:rPr>
              <w:t xml:space="preserve">  </w:t>
            </w:r>
          </w:p>
        </w:tc>
        <w:tc>
          <w:tcPr>
            <w:tcW w:w="3402"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M-NBI for unclear margins by CE</w:t>
            </w:r>
          </w:p>
        </w:tc>
        <w:tc>
          <w:tcPr>
            <w:tcW w:w="1134"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EGC (350)</w:t>
            </w:r>
          </w:p>
        </w:tc>
        <w:tc>
          <w:tcPr>
            <w:tcW w:w="993" w:type="dxa"/>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ESD</w:t>
            </w:r>
          </w:p>
        </w:tc>
        <w:tc>
          <w:tcPr>
            <w:tcW w:w="1275" w:type="dxa"/>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81.1% → 94.8%</w:t>
            </w:r>
          </w:p>
        </w:tc>
        <w:tc>
          <w:tcPr>
            <w:tcW w:w="1242"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&lt; 0.001</w:t>
            </w:r>
          </w:p>
        </w:tc>
      </w:tr>
      <w:tr w:rsidR="00991EB9" w:rsidRPr="00991EB9" w:rsidTr="00136D7B">
        <w:trPr>
          <w:trHeight w:val="491"/>
        </w:trPr>
        <w:tc>
          <w:tcPr>
            <w:tcW w:w="1809" w:type="dxa"/>
            <w:shd w:val="clear" w:color="auto" w:fill="auto"/>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sz w:val="24"/>
                <w:szCs w:val="24"/>
              </w:rPr>
              <w:t xml:space="preserve">Uchita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[64]</w:t>
            </w:r>
            <w:r w:rsidRPr="00991EB9">
              <w:rPr>
                <w:rFonts w:ascii="Book Antiqua" w:eastAsia="HYSinMyeongJo-Medium" w:hAnsi="Book Antiqua" w:cs="Arial"/>
                <w:sz w:val="24"/>
                <w:szCs w:val="24"/>
              </w:rPr>
              <w:t xml:space="preserve">  </w:t>
            </w:r>
          </w:p>
        </w:tc>
        <w:tc>
          <w:tcPr>
            <w:tcW w:w="3402"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Combination of CE and M-NBI </w:t>
            </w:r>
          </w:p>
        </w:tc>
        <w:tc>
          <w:tcPr>
            <w:tcW w:w="1134"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EGC (161)</w:t>
            </w:r>
          </w:p>
        </w:tc>
        <w:tc>
          <w:tcPr>
            <w:tcW w:w="993" w:type="dxa"/>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ESD</w:t>
            </w:r>
          </w:p>
        </w:tc>
        <w:tc>
          <w:tcPr>
            <w:tcW w:w="1275" w:type="dxa"/>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72.7% → 98.1% </w:t>
            </w:r>
          </w:p>
        </w:tc>
        <w:tc>
          <w:tcPr>
            <w:tcW w:w="1242"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&lt; 0.001</w:t>
            </w:r>
          </w:p>
        </w:tc>
      </w:tr>
      <w:tr w:rsidR="00991EB9" w:rsidRPr="00991EB9" w:rsidTr="00136D7B">
        <w:trPr>
          <w:trHeight w:val="826"/>
        </w:trPr>
        <w:tc>
          <w:tcPr>
            <w:tcW w:w="1809" w:type="dxa"/>
            <w:vMerge w:val="restart"/>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Asada-Hirayama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[62]</w:t>
            </w:r>
          </w:p>
        </w:tc>
        <w:tc>
          <w:tcPr>
            <w:tcW w:w="3402" w:type="dxa"/>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Comparative study between CE and M-NBI </w:t>
            </w:r>
          </w:p>
        </w:tc>
        <w:tc>
          <w:tcPr>
            <w:tcW w:w="1134" w:type="dxa"/>
            <w:vMerge w:val="restart"/>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EGC (109)</w:t>
            </w:r>
          </w:p>
        </w:tc>
        <w:tc>
          <w:tcPr>
            <w:tcW w:w="993" w:type="dxa"/>
            <w:vMerge w:val="restart"/>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ESD</w:t>
            </w:r>
          </w:p>
        </w:tc>
        <w:tc>
          <w:tcPr>
            <w:tcW w:w="1275" w:type="dxa"/>
            <w:vMerge w:val="restart"/>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75.9% </w:t>
            </w:r>
            <w:r w:rsidRPr="00991EB9">
              <w:rPr>
                <w:rFonts w:ascii="Book Antiqua" w:eastAsia="HYSinMyeongJo-Medium" w:hAnsi="Book Antiqua" w:cs="Arial"/>
                <w:i/>
                <w:sz w:val="24"/>
                <w:szCs w:val="24"/>
              </w:rPr>
              <w:t>vs</w:t>
            </w:r>
            <w:r w:rsidRPr="00991EB9">
              <w:rPr>
                <w:rFonts w:ascii="Book Antiqua" w:eastAsia="HYSinMyeongJo-Medium" w:hAnsi="Book Antiqua" w:cs="Arial"/>
                <w:sz w:val="24"/>
                <w:szCs w:val="24"/>
              </w:rPr>
              <w:t xml:space="preserve"> 89.4% </w:t>
            </w:r>
          </w:p>
        </w:tc>
        <w:tc>
          <w:tcPr>
            <w:tcW w:w="1242" w:type="dxa"/>
            <w:vMerge w:val="restart"/>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0.007</w:t>
            </w:r>
          </w:p>
        </w:tc>
      </w:tr>
      <w:tr w:rsidR="00991EB9" w:rsidRPr="00991EB9" w:rsidTr="00136D7B">
        <w:trPr>
          <w:trHeight w:val="964"/>
        </w:trPr>
        <w:tc>
          <w:tcPr>
            <w:tcW w:w="1809" w:type="dxa"/>
            <w:vMerge/>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p>
        </w:tc>
        <w:tc>
          <w:tcPr>
            <w:tcW w:w="3402" w:type="dxa"/>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Oral and anal tumor margins of the same lesion </w:t>
            </w:r>
          </w:p>
        </w:tc>
        <w:tc>
          <w:tcPr>
            <w:tcW w:w="1134" w:type="dxa"/>
            <w:vMerge/>
          </w:tcPr>
          <w:p w:rsidR="002B33DF" w:rsidRPr="00991EB9" w:rsidRDefault="002B33DF" w:rsidP="009A3473">
            <w:pPr>
              <w:wordWrap/>
              <w:snapToGrid w:val="0"/>
              <w:spacing w:line="360" w:lineRule="auto"/>
              <w:rPr>
                <w:rFonts w:ascii="Book Antiqua" w:eastAsia="HYSinMyeongJo-Medium" w:hAnsi="Book Antiqua" w:cs="Arial"/>
                <w:sz w:val="24"/>
                <w:szCs w:val="24"/>
              </w:rPr>
            </w:pPr>
          </w:p>
        </w:tc>
        <w:tc>
          <w:tcPr>
            <w:tcW w:w="993" w:type="dxa"/>
            <w:vMerge/>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p>
        </w:tc>
        <w:tc>
          <w:tcPr>
            <w:tcW w:w="1275" w:type="dxa"/>
            <w:vMerge/>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p>
        </w:tc>
        <w:tc>
          <w:tcPr>
            <w:tcW w:w="1242" w:type="dxa"/>
            <w:vMerge/>
          </w:tcPr>
          <w:p w:rsidR="002B33DF" w:rsidRPr="00991EB9" w:rsidRDefault="002B33DF" w:rsidP="009A3473">
            <w:pPr>
              <w:wordWrap/>
              <w:snapToGrid w:val="0"/>
              <w:spacing w:line="360" w:lineRule="auto"/>
              <w:rPr>
                <w:rFonts w:ascii="Book Antiqua" w:eastAsia="HYSinMyeongJo-Medium" w:hAnsi="Book Antiqua" w:cs="Arial"/>
                <w:sz w:val="24"/>
                <w:szCs w:val="24"/>
              </w:rPr>
            </w:pPr>
          </w:p>
        </w:tc>
      </w:tr>
      <w:tr w:rsidR="00991EB9" w:rsidRPr="00991EB9" w:rsidTr="00136D7B">
        <w:trPr>
          <w:trHeight w:val="838"/>
        </w:trPr>
        <w:tc>
          <w:tcPr>
            <w:tcW w:w="1809" w:type="dxa"/>
            <w:vMerge w:val="restart"/>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Nagahama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[66]</w:t>
            </w:r>
          </w:p>
        </w:tc>
        <w:tc>
          <w:tcPr>
            <w:tcW w:w="3402" w:type="dxa"/>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Comparative study between CE and M-NBI </w:t>
            </w:r>
          </w:p>
        </w:tc>
        <w:tc>
          <w:tcPr>
            <w:tcW w:w="1134" w:type="dxa"/>
            <w:vMerge w:val="restart"/>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EGC (343)</w:t>
            </w:r>
          </w:p>
        </w:tc>
        <w:tc>
          <w:tcPr>
            <w:tcW w:w="993" w:type="dxa"/>
            <w:vMerge w:val="restart"/>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Biopsy</w:t>
            </w:r>
          </w:p>
        </w:tc>
        <w:tc>
          <w:tcPr>
            <w:tcW w:w="1275" w:type="dxa"/>
            <w:vMerge w:val="restart"/>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85.7% </w:t>
            </w:r>
            <w:r w:rsidRPr="00991EB9">
              <w:rPr>
                <w:rFonts w:ascii="Book Antiqua" w:eastAsia="HYSinMyeongJo-Medium" w:hAnsi="Book Antiqua" w:cs="Arial"/>
                <w:i/>
                <w:sz w:val="24"/>
                <w:szCs w:val="24"/>
              </w:rPr>
              <w:t>vs</w:t>
            </w:r>
            <w:r w:rsidRPr="00991EB9">
              <w:rPr>
                <w:rFonts w:ascii="Book Antiqua" w:eastAsia="HYSinMyeongJo-Medium" w:hAnsi="Book Antiqua" w:cs="Arial"/>
                <w:sz w:val="24"/>
                <w:szCs w:val="24"/>
              </w:rPr>
              <w:t xml:space="preserve"> 88.0% </w:t>
            </w:r>
          </w:p>
        </w:tc>
        <w:tc>
          <w:tcPr>
            <w:tcW w:w="1242" w:type="dxa"/>
            <w:vMerge w:val="restart"/>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0.63</w:t>
            </w:r>
          </w:p>
        </w:tc>
      </w:tr>
      <w:tr w:rsidR="00991EB9" w:rsidRPr="00991EB9" w:rsidTr="00136D7B">
        <w:trPr>
          <w:trHeight w:val="939"/>
        </w:trPr>
        <w:tc>
          <w:tcPr>
            <w:tcW w:w="1809" w:type="dxa"/>
            <w:vMerge/>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p>
        </w:tc>
        <w:tc>
          <w:tcPr>
            <w:tcW w:w="3402" w:type="dxa"/>
          </w:tcPr>
          <w:p w:rsidR="002B33DF" w:rsidRPr="00991EB9" w:rsidRDefault="002B33DF"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Biopsies outside and inside the tumor margins </w:t>
            </w:r>
          </w:p>
        </w:tc>
        <w:tc>
          <w:tcPr>
            <w:tcW w:w="1134" w:type="dxa"/>
            <w:vMerge/>
          </w:tcPr>
          <w:p w:rsidR="002B33DF" w:rsidRPr="00991EB9" w:rsidRDefault="002B33DF" w:rsidP="009A3473">
            <w:pPr>
              <w:wordWrap/>
              <w:snapToGrid w:val="0"/>
              <w:spacing w:line="360" w:lineRule="auto"/>
              <w:rPr>
                <w:rFonts w:ascii="Book Antiqua" w:eastAsia="HYSinMyeongJo-Medium" w:hAnsi="Book Antiqua" w:cs="Arial"/>
                <w:sz w:val="24"/>
                <w:szCs w:val="24"/>
              </w:rPr>
            </w:pPr>
          </w:p>
        </w:tc>
        <w:tc>
          <w:tcPr>
            <w:tcW w:w="993" w:type="dxa"/>
            <w:vMerge/>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p>
        </w:tc>
        <w:tc>
          <w:tcPr>
            <w:tcW w:w="1275" w:type="dxa"/>
            <w:vMerge/>
            <w:shd w:val="clear" w:color="auto" w:fill="auto"/>
          </w:tcPr>
          <w:p w:rsidR="002B33DF" w:rsidRPr="00991EB9" w:rsidRDefault="002B33DF" w:rsidP="009A3473">
            <w:pPr>
              <w:wordWrap/>
              <w:snapToGrid w:val="0"/>
              <w:spacing w:line="360" w:lineRule="auto"/>
              <w:rPr>
                <w:rFonts w:ascii="Book Antiqua" w:eastAsia="HYSinMyeongJo-Medium" w:hAnsi="Book Antiqua" w:cs="Arial"/>
                <w:sz w:val="24"/>
                <w:szCs w:val="24"/>
              </w:rPr>
            </w:pPr>
          </w:p>
        </w:tc>
        <w:tc>
          <w:tcPr>
            <w:tcW w:w="1242" w:type="dxa"/>
            <w:vMerge/>
          </w:tcPr>
          <w:p w:rsidR="002B33DF" w:rsidRPr="00991EB9" w:rsidRDefault="002B33DF" w:rsidP="009A3473">
            <w:pPr>
              <w:wordWrap/>
              <w:snapToGrid w:val="0"/>
              <w:spacing w:line="360" w:lineRule="auto"/>
              <w:rPr>
                <w:rFonts w:ascii="Book Antiqua" w:eastAsia="HYSinMyeongJo-Medium" w:hAnsi="Book Antiqua" w:cs="Arial"/>
                <w:sz w:val="24"/>
                <w:szCs w:val="24"/>
              </w:rPr>
            </w:pPr>
          </w:p>
        </w:tc>
      </w:tr>
      <w:tr w:rsidR="00991EB9" w:rsidRPr="00991EB9" w:rsidTr="00136D7B">
        <w:trPr>
          <w:trHeight w:val="491"/>
        </w:trPr>
        <w:tc>
          <w:tcPr>
            <w:tcW w:w="1809" w:type="dxa"/>
            <w:shd w:val="clear" w:color="auto" w:fill="auto"/>
          </w:tcPr>
          <w:p w:rsidR="00EC347E" w:rsidRPr="00991EB9" w:rsidRDefault="00EC347E" w:rsidP="009A3473">
            <w:pPr>
              <w:wordWrap/>
              <w:snapToGrid w:val="0"/>
              <w:spacing w:line="360" w:lineRule="auto"/>
              <w:rPr>
                <w:rFonts w:ascii="Book Antiqua" w:eastAsia="HYSinMyeongJo-Medium" w:hAnsi="Book Antiqua" w:cs="Arial"/>
                <w:b/>
                <w:sz w:val="24"/>
                <w:szCs w:val="24"/>
              </w:rPr>
            </w:pPr>
            <w:r w:rsidRPr="00991EB9">
              <w:rPr>
                <w:rFonts w:ascii="Book Antiqua" w:eastAsia="HYSinMyeongJo-Medium" w:hAnsi="Book Antiqua" w:cs="Arial"/>
                <w:sz w:val="24"/>
                <w:szCs w:val="24"/>
              </w:rPr>
              <w:t xml:space="preserve">Horii </w:t>
            </w:r>
            <w:r w:rsidRPr="00991EB9">
              <w:rPr>
                <w:rFonts w:ascii="Book Antiqua" w:eastAsia="HYSinMyeongJo-Medium" w:hAnsi="Book Antiqua" w:cs="Arial"/>
                <w:i/>
                <w:sz w:val="24"/>
                <w:szCs w:val="24"/>
              </w:rPr>
              <w:t>et al</w:t>
            </w:r>
            <w:r w:rsidRPr="00991EB9">
              <w:rPr>
                <w:rFonts w:ascii="Book Antiqua" w:eastAsia="HYSinMyeongJo-Medium" w:hAnsi="Book Antiqua" w:cs="Arial"/>
                <w:sz w:val="24"/>
                <w:szCs w:val="24"/>
                <w:vertAlign w:val="superscript"/>
              </w:rPr>
              <w:t>[65]</w:t>
            </w:r>
          </w:p>
        </w:tc>
        <w:tc>
          <w:tcPr>
            <w:tcW w:w="3402"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Non-comparative study using M-NBI only </w:t>
            </w:r>
          </w:p>
        </w:tc>
        <w:tc>
          <w:tcPr>
            <w:tcW w:w="1134"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EGC (330)</w:t>
            </w:r>
          </w:p>
        </w:tc>
        <w:tc>
          <w:tcPr>
            <w:tcW w:w="993" w:type="dxa"/>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Biopsy, ESD</w:t>
            </w:r>
          </w:p>
        </w:tc>
        <w:tc>
          <w:tcPr>
            <w:tcW w:w="1275" w:type="dxa"/>
            <w:shd w:val="clear" w:color="auto" w:fill="auto"/>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96.7</w:t>
            </w:r>
            <w:r w:rsidR="000A3460" w:rsidRPr="00991EB9">
              <w:rPr>
                <w:rFonts w:ascii="Book Antiqua" w:eastAsia="HYSinMyeongJo-Medium" w:hAnsi="Book Antiqua" w:cs="Arial"/>
                <w:sz w:val="24"/>
                <w:szCs w:val="24"/>
              </w:rPr>
              <w:t>%</w:t>
            </w:r>
            <w:r w:rsidRPr="00991EB9">
              <w:rPr>
                <w:rFonts w:ascii="Book Antiqua" w:eastAsia="HYSinMyeongJo-Medium" w:hAnsi="Book Antiqua" w:cs="Arial"/>
                <w:sz w:val="24"/>
                <w:szCs w:val="24"/>
              </w:rPr>
              <w:t>-97.9%</w:t>
            </w:r>
          </w:p>
        </w:tc>
        <w:tc>
          <w:tcPr>
            <w:tcW w:w="1242" w:type="dxa"/>
          </w:tcPr>
          <w:p w:rsidR="00EC347E" w:rsidRPr="00991EB9" w:rsidRDefault="00EC347E" w:rsidP="009A3473">
            <w:pPr>
              <w:wordWrap/>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N/A</w:t>
            </w:r>
          </w:p>
        </w:tc>
      </w:tr>
    </w:tbl>
    <w:p w:rsidR="00EC347E" w:rsidRPr="00991EB9" w:rsidRDefault="00EC347E" w:rsidP="009A3473">
      <w:pPr>
        <w:wordWrap/>
        <w:adjustRightInd w:val="0"/>
        <w:snapToGrid w:val="0"/>
        <w:spacing w:line="360" w:lineRule="auto"/>
        <w:rPr>
          <w:rFonts w:ascii="Book Antiqua" w:eastAsia="HYSinMyeongJo-Medium" w:hAnsi="Book Antiqua" w:cs="Arial"/>
          <w:sz w:val="24"/>
          <w:szCs w:val="24"/>
        </w:rPr>
      </w:pPr>
      <w:r w:rsidRPr="00991EB9">
        <w:rPr>
          <w:rFonts w:ascii="Book Antiqua" w:eastAsia="HYSinMyeongJo-Medium" w:hAnsi="Book Antiqua" w:cs="Arial"/>
          <w:sz w:val="24"/>
          <w:szCs w:val="24"/>
        </w:rPr>
        <w:t xml:space="preserve">CE: Chromoendoscopy; M-NBI: </w:t>
      </w:r>
      <w:r w:rsidRPr="00991EB9">
        <w:rPr>
          <w:rFonts w:ascii="Book Antiqua" w:eastAsia="HYSinMyeongJo-Medium" w:hAnsi="Book Antiqua" w:cs="Arial"/>
          <w:caps/>
          <w:sz w:val="24"/>
          <w:szCs w:val="24"/>
        </w:rPr>
        <w:t>m</w:t>
      </w:r>
      <w:r w:rsidRPr="00991EB9">
        <w:rPr>
          <w:rFonts w:ascii="Book Antiqua" w:eastAsia="HYSinMyeongJo-Medium" w:hAnsi="Book Antiqua" w:cs="Arial"/>
          <w:sz w:val="24"/>
          <w:szCs w:val="24"/>
        </w:rPr>
        <w:t xml:space="preserve">agnifying narrow-band imaging; EGC: </w:t>
      </w:r>
      <w:r w:rsidRPr="00991EB9">
        <w:rPr>
          <w:rFonts w:ascii="Book Antiqua" w:eastAsia="HYSinMyeongJo-Medium" w:hAnsi="Book Antiqua" w:cs="Arial"/>
          <w:caps/>
          <w:sz w:val="24"/>
          <w:szCs w:val="24"/>
        </w:rPr>
        <w:t>e</w:t>
      </w:r>
      <w:r w:rsidRPr="00991EB9">
        <w:rPr>
          <w:rFonts w:ascii="Book Antiqua" w:eastAsia="HYSinMyeongJo-Medium" w:hAnsi="Book Antiqua" w:cs="Arial"/>
          <w:sz w:val="24"/>
          <w:szCs w:val="24"/>
        </w:rPr>
        <w:t xml:space="preserve">arly gastric cancer; ESD: </w:t>
      </w:r>
      <w:r w:rsidRPr="00991EB9">
        <w:rPr>
          <w:rFonts w:ascii="Book Antiqua" w:eastAsia="HYSinMyeongJo-Medium" w:hAnsi="Book Antiqua" w:cs="Arial"/>
          <w:caps/>
          <w:sz w:val="24"/>
          <w:szCs w:val="24"/>
        </w:rPr>
        <w:t>e</w:t>
      </w:r>
      <w:r w:rsidRPr="00991EB9">
        <w:rPr>
          <w:rFonts w:ascii="Book Antiqua" w:eastAsia="HYSinMyeongJo-Medium" w:hAnsi="Book Antiqua" w:cs="Arial"/>
          <w:sz w:val="24"/>
          <w:szCs w:val="24"/>
        </w:rPr>
        <w:t>ndoscopic submucosal di</w:t>
      </w:r>
      <w:r w:rsidR="001253C3" w:rsidRPr="00991EB9">
        <w:rPr>
          <w:rFonts w:ascii="Book Antiqua" w:eastAsia="HYSinMyeongJo-Medium" w:hAnsi="Book Antiqua" w:cs="Arial"/>
          <w:sz w:val="24"/>
          <w:szCs w:val="24"/>
        </w:rPr>
        <w:t xml:space="preserve">ssection; N/A: </w:t>
      </w:r>
      <w:r w:rsidR="001253C3" w:rsidRPr="00991EB9">
        <w:rPr>
          <w:rFonts w:ascii="Book Antiqua" w:eastAsia="HYSinMyeongJo-Medium" w:hAnsi="Book Antiqua" w:cs="Arial"/>
          <w:caps/>
          <w:sz w:val="24"/>
          <w:szCs w:val="24"/>
        </w:rPr>
        <w:t>n</w:t>
      </w:r>
      <w:r w:rsidR="001253C3" w:rsidRPr="00991EB9">
        <w:rPr>
          <w:rFonts w:ascii="Book Antiqua" w:eastAsia="HYSinMyeongJo-Medium" w:hAnsi="Book Antiqua" w:cs="Arial"/>
          <w:sz w:val="24"/>
          <w:szCs w:val="24"/>
        </w:rPr>
        <w:t xml:space="preserve">ot applicable. </w:t>
      </w:r>
    </w:p>
    <w:sectPr w:rsidR="00EC347E" w:rsidRPr="00991EB9" w:rsidSect="00415DE4">
      <w:footerReference w:type="default" r:id="rId16"/>
      <w:pgSz w:w="11907" w:h="16840" w:code="9"/>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238" w:rsidRDefault="00F72238" w:rsidP="009202BD">
      <w:r>
        <w:separator/>
      </w:r>
    </w:p>
  </w:endnote>
  <w:endnote w:type="continuationSeparator" w:id="0">
    <w:p w:rsidR="00F72238" w:rsidRDefault="00F72238" w:rsidP="00920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YSinMyeongJo-Medium">
    <w:altName w:val="Arial Unicode MS"/>
    <w:charset w:val="81"/>
    <w:family w:val="roman"/>
    <w:pitch w:val="variable"/>
    <w:sig w:usb0="00000000" w:usb1="29D77CF9" w:usb2="00000010" w:usb3="00000000" w:csb0="00080000" w:csb1="00000000"/>
  </w:font>
  <w:font w:name="等线">
    <w:panose1 w:val="02010600030101010101"/>
    <w:charset w:val="86"/>
    <w:family w:val="auto"/>
    <w:pitch w:val="variable"/>
    <w:sig w:usb0="A00002BF" w:usb1="38CF7CFA" w:usb2="00000016" w:usb3="00000000" w:csb0="0004000F" w:csb1="00000000"/>
  </w:font>
  <w:font w:name="BatangChe">
    <w:panose1 w:val="02030609000101010101"/>
    <w:charset w:val="81"/>
    <w:family w:val="modern"/>
    <w:pitch w:val="fixed"/>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11" w:rsidRPr="00626D11" w:rsidRDefault="00626D11" w:rsidP="00626D11">
    <w:pPr>
      <w:pStyle w:val="a8"/>
      <w:jc w:val="right"/>
    </w:pPr>
    <w:r w:rsidRPr="00626D11">
      <w:rPr>
        <w:lang w:val="zh-CN" w:eastAsia="zh-CN"/>
      </w:rPr>
      <w:t xml:space="preserve"> </w:t>
    </w:r>
    <w:r w:rsidRPr="00626D11">
      <w:rPr>
        <w:bCs/>
        <w:sz w:val="24"/>
        <w:szCs w:val="24"/>
      </w:rPr>
      <w:fldChar w:fldCharType="begin"/>
    </w:r>
    <w:r w:rsidRPr="00626D11">
      <w:rPr>
        <w:bCs/>
      </w:rPr>
      <w:instrText>PAGE</w:instrText>
    </w:r>
    <w:r w:rsidRPr="00626D11">
      <w:rPr>
        <w:bCs/>
        <w:sz w:val="24"/>
        <w:szCs w:val="24"/>
      </w:rPr>
      <w:fldChar w:fldCharType="separate"/>
    </w:r>
    <w:r w:rsidR="00F72238">
      <w:rPr>
        <w:bCs/>
        <w:noProof/>
      </w:rPr>
      <w:t>1</w:t>
    </w:r>
    <w:r w:rsidRPr="00626D11">
      <w:rPr>
        <w:bCs/>
        <w:sz w:val="24"/>
        <w:szCs w:val="24"/>
      </w:rPr>
      <w:fldChar w:fldCharType="end"/>
    </w:r>
    <w:r w:rsidRPr="00626D11">
      <w:rPr>
        <w:lang w:val="zh-CN" w:eastAsia="zh-CN"/>
      </w:rPr>
      <w:t xml:space="preserve"> / </w:t>
    </w:r>
    <w:r w:rsidRPr="00626D11">
      <w:rPr>
        <w:bCs/>
        <w:sz w:val="24"/>
        <w:szCs w:val="24"/>
      </w:rPr>
      <w:fldChar w:fldCharType="begin"/>
    </w:r>
    <w:r w:rsidRPr="00626D11">
      <w:rPr>
        <w:bCs/>
      </w:rPr>
      <w:instrText>NUMPAGES</w:instrText>
    </w:r>
    <w:r w:rsidRPr="00626D11">
      <w:rPr>
        <w:bCs/>
        <w:sz w:val="24"/>
        <w:szCs w:val="24"/>
      </w:rPr>
      <w:fldChar w:fldCharType="separate"/>
    </w:r>
    <w:r w:rsidR="00F72238">
      <w:rPr>
        <w:bCs/>
        <w:noProof/>
      </w:rPr>
      <w:t>1</w:t>
    </w:r>
    <w:r w:rsidRPr="00626D11">
      <w:rPr>
        <w:bCs/>
        <w:sz w:val="24"/>
        <w:szCs w:val="24"/>
      </w:rPr>
      <w:fldChar w:fldCharType="end"/>
    </w:r>
  </w:p>
  <w:p w:rsidR="00626D11" w:rsidRDefault="00626D1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238" w:rsidRDefault="00F72238" w:rsidP="009202BD">
      <w:r>
        <w:separator/>
      </w:r>
    </w:p>
  </w:footnote>
  <w:footnote w:type="continuationSeparator" w:id="0">
    <w:p w:rsidR="00F72238" w:rsidRDefault="00F72238" w:rsidP="009202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9B46344"/>
    <w:lvl w:ilvl="0">
      <w:start w:val="1"/>
      <w:numFmt w:val="decimal"/>
      <w:lvlText w:val="%1."/>
      <w:lvlJc w:val="left"/>
      <w:pPr>
        <w:tabs>
          <w:tab w:val="num" w:pos="2062"/>
        </w:tabs>
        <w:ind w:leftChars="1000" w:left="2062" w:hangingChars="200" w:hanging="360"/>
      </w:pPr>
    </w:lvl>
  </w:abstractNum>
  <w:abstractNum w:abstractNumId="1">
    <w:nsid w:val="FFFFFF7D"/>
    <w:multiLevelType w:val="singleLevel"/>
    <w:tmpl w:val="65F4C6BE"/>
    <w:lvl w:ilvl="0">
      <w:start w:val="1"/>
      <w:numFmt w:val="decimal"/>
      <w:lvlText w:val="%1."/>
      <w:lvlJc w:val="left"/>
      <w:pPr>
        <w:tabs>
          <w:tab w:val="num" w:pos="1637"/>
        </w:tabs>
        <w:ind w:leftChars="800" w:left="1637" w:hangingChars="200" w:hanging="360"/>
      </w:pPr>
    </w:lvl>
  </w:abstractNum>
  <w:abstractNum w:abstractNumId="2">
    <w:nsid w:val="FFFFFF7E"/>
    <w:multiLevelType w:val="singleLevel"/>
    <w:tmpl w:val="5ED8EEE4"/>
    <w:lvl w:ilvl="0">
      <w:start w:val="1"/>
      <w:numFmt w:val="decimal"/>
      <w:lvlText w:val="%1."/>
      <w:lvlJc w:val="left"/>
      <w:pPr>
        <w:tabs>
          <w:tab w:val="num" w:pos="1212"/>
        </w:tabs>
        <w:ind w:leftChars="600" w:left="1212" w:hangingChars="200" w:hanging="360"/>
      </w:pPr>
    </w:lvl>
  </w:abstractNum>
  <w:abstractNum w:abstractNumId="3">
    <w:nsid w:val="FFFFFF7F"/>
    <w:multiLevelType w:val="singleLevel"/>
    <w:tmpl w:val="5344C43A"/>
    <w:lvl w:ilvl="0">
      <w:start w:val="1"/>
      <w:numFmt w:val="decimal"/>
      <w:lvlText w:val="%1."/>
      <w:lvlJc w:val="left"/>
      <w:pPr>
        <w:tabs>
          <w:tab w:val="num" w:pos="786"/>
        </w:tabs>
        <w:ind w:leftChars="400" w:left="786" w:hangingChars="200" w:hanging="360"/>
      </w:pPr>
    </w:lvl>
  </w:abstractNum>
  <w:abstractNum w:abstractNumId="4">
    <w:nsid w:val="FFFFFF80"/>
    <w:multiLevelType w:val="singleLevel"/>
    <w:tmpl w:val="04C439E2"/>
    <w:lvl w:ilvl="0">
      <w:start w:val="1"/>
      <w:numFmt w:val="bullet"/>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7302A212"/>
    <w:lvl w:ilvl="0">
      <w:start w:val="1"/>
      <w:numFmt w:val="bullet"/>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D9540A40"/>
    <w:lvl w:ilvl="0">
      <w:start w:val="1"/>
      <w:numFmt w:val="bullet"/>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EA9ACE88"/>
    <w:lvl w:ilvl="0">
      <w:start w:val="1"/>
      <w:numFmt w:val="bullet"/>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783ACBFA"/>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0AB0776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4A13326"/>
    <w:multiLevelType w:val="hybridMultilevel"/>
    <w:tmpl w:val="ED0C7A14"/>
    <w:lvl w:ilvl="0" w:tplc="E5BCD930">
      <w:start w:val="1"/>
      <w:numFmt w:val="decimal"/>
      <w:lvlText w:val="%1."/>
      <w:lvlJc w:val="left"/>
      <w:pPr>
        <w:tabs>
          <w:tab w:val="num" w:pos="1155"/>
        </w:tabs>
        <w:ind w:left="1155"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1">
    <w:nsid w:val="07417494"/>
    <w:multiLevelType w:val="hybridMultilevel"/>
    <w:tmpl w:val="2BC46DBE"/>
    <w:lvl w:ilvl="0" w:tplc="F14EC42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13F418D7"/>
    <w:multiLevelType w:val="hybridMultilevel"/>
    <w:tmpl w:val="44BE982E"/>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153E216A"/>
    <w:multiLevelType w:val="hybridMultilevel"/>
    <w:tmpl w:val="ED242AA8"/>
    <w:lvl w:ilvl="0" w:tplc="CEBA42F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196B568A"/>
    <w:multiLevelType w:val="multilevel"/>
    <w:tmpl w:val="4AE478F2"/>
    <w:lvl w:ilvl="0">
      <w:start w:val="1"/>
      <w:numFmt w:val="decimal"/>
      <w:lvlText w:val="%1."/>
      <w:lvlJc w:val="left"/>
      <w:pPr>
        <w:ind w:left="760" w:hanging="360"/>
      </w:pPr>
      <w:rPr>
        <w:rFonts w:hint="default"/>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840" w:hanging="144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2200" w:hanging="1800"/>
      </w:pPr>
      <w:rPr>
        <w:rFonts w:hint="default"/>
      </w:rPr>
    </w:lvl>
    <w:lvl w:ilvl="8">
      <w:start w:val="1"/>
      <w:numFmt w:val="decimal"/>
      <w:isLgl/>
      <w:lvlText w:val="%1.%2.%3.%4.%5.%6.%7.%8.%9."/>
      <w:lvlJc w:val="left"/>
      <w:pPr>
        <w:ind w:left="2560" w:hanging="2160"/>
      </w:pPr>
      <w:rPr>
        <w:rFonts w:hint="default"/>
      </w:rPr>
    </w:lvl>
  </w:abstractNum>
  <w:abstractNum w:abstractNumId="15">
    <w:nsid w:val="1ACA5B80"/>
    <w:multiLevelType w:val="hybridMultilevel"/>
    <w:tmpl w:val="EE7E0672"/>
    <w:lvl w:ilvl="0" w:tplc="0409000F">
      <w:start w:val="1"/>
      <w:numFmt w:val="decimal"/>
      <w:lvlText w:val="%1."/>
      <w:lvlJc w:val="left"/>
      <w:pPr>
        <w:ind w:left="1040" w:hanging="400"/>
      </w:pPr>
    </w:lvl>
    <w:lvl w:ilvl="1" w:tplc="04090019" w:tentative="1">
      <w:start w:val="1"/>
      <w:numFmt w:val="upperLetter"/>
      <w:lvlText w:val="%2."/>
      <w:lvlJc w:val="left"/>
      <w:pPr>
        <w:ind w:left="1440" w:hanging="400"/>
      </w:pPr>
    </w:lvl>
    <w:lvl w:ilvl="2" w:tplc="0409001B" w:tentative="1">
      <w:start w:val="1"/>
      <w:numFmt w:val="lowerRoman"/>
      <w:lvlText w:val="%3."/>
      <w:lvlJc w:val="right"/>
      <w:pPr>
        <w:ind w:left="1840" w:hanging="400"/>
      </w:pPr>
    </w:lvl>
    <w:lvl w:ilvl="3" w:tplc="0409000F" w:tentative="1">
      <w:start w:val="1"/>
      <w:numFmt w:val="decimal"/>
      <w:lvlText w:val="%4."/>
      <w:lvlJc w:val="left"/>
      <w:pPr>
        <w:ind w:left="2240" w:hanging="400"/>
      </w:pPr>
    </w:lvl>
    <w:lvl w:ilvl="4" w:tplc="04090019" w:tentative="1">
      <w:start w:val="1"/>
      <w:numFmt w:val="upperLetter"/>
      <w:lvlText w:val="%5."/>
      <w:lvlJc w:val="left"/>
      <w:pPr>
        <w:ind w:left="2640" w:hanging="400"/>
      </w:pPr>
    </w:lvl>
    <w:lvl w:ilvl="5" w:tplc="0409001B" w:tentative="1">
      <w:start w:val="1"/>
      <w:numFmt w:val="lowerRoman"/>
      <w:lvlText w:val="%6."/>
      <w:lvlJc w:val="right"/>
      <w:pPr>
        <w:ind w:left="3040" w:hanging="400"/>
      </w:pPr>
    </w:lvl>
    <w:lvl w:ilvl="6" w:tplc="0409000F" w:tentative="1">
      <w:start w:val="1"/>
      <w:numFmt w:val="decimal"/>
      <w:lvlText w:val="%7."/>
      <w:lvlJc w:val="left"/>
      <w:pPr>
        <w:ind w:left="3440" w:hanging="400"/>
      </w:pPr>
    </w:lvl>
    <w:lvl w:ilvl="7" w:tplc="04090019" w:tentative="1">
      <w:start w:val="1"/>
      <w:numFmt w:val="upperLetter"/>
      <w:lvlText w:val="%8."/>
      <w:lvlJc w:val="left"/>
      <w:pPr>
        <w:ind w:left="3840" w:hanging="400"/>
      </w:pPr>
    </w:lvl>
    <w:lvl w:ilvl="8" w:tplc="0409001B" w:tentative="1">
      <w:start w:val="1"/>
      <w:numFmt w:val="lowerRoman"/>
      <w:lvlText w:val="%9."/>
      <w:lvlJc w:val="right"/>
      <w:pPr>
        <w:ind w:left="4240" w:hanging="400"/>
      </w:pPr>
    </w:lvl>
  </w:abstractNum>
  <w:abstractNum w:abstractNumId="16">
    <w:nsid w:val="1F3619BC"/>
    <w:multiLevelType w:val="hybridMultilevel"/>
    <w:tmpl w:val="DE96AE7C"/>
    <w:lvl w:ilvl="0" w:tplc="04090001">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17">
    <w:nsid w:val="279F365B"/>
    <w:multiLevelType w:val="multilevel"/>
    <w:tmpl w:val="E4F0883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9085EA3"/>
    <w:multiLevelType w:val="hybridMultilevel"/>
    <w:tmpl w:val="2BFE347A"/>
    <w:lvl w:ilvl="0" w:tplc="7C02FA34">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9">
    <w:nsid w:val="39885B86"/>
    <w:multiLevelType w:val="hybridMultilevel"/>
    <w:tmpl w:val="ED242AA8"/>
    <w:lvl w:ilvl="0" w:tplc="CEBA42F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42C23E21"/>
    <w:multiLevelType w:val="hybridMultilevel"/>
    <w:tmpl w:val="5DAE2F52"/>
    <w:lvl w:ilvl="0" w:tplc="04090013">
      <w:start w:val="1"/>
      <w:numFmt w:val="upperRoman"/>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49364DA2"/>
    <w:multiLevelType w:val="hybridMultilevel"/>
    <w:tmpl w:val="1B20F23C"/>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4F2043DA"/>
    <w:multiLevelType w:val="hybridMultilevel"/>
    <w:tmpl w:val="02A48AB6"/>
    <w:lvl w:ilvl="0" w:tplc="2DFA1850">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54B01D2C"/>
    <w:multiLevelType w:val="hybridMultilevel"/>
    <w:tmpl w:val="08DC216C"/>
    <w:lvl w:ilvl="0" w:tplc="7E9CAA5C">
      <w:start w:val="39"/>
      <w:numFmt w:val="bullet"/>
      <w:lvlText w:val=""/>
      <w:lvlJc w:val="left"/>
      <w:pPr>
        <w:ind w:left="644" w:hanging="360"/>
      </w:pPr>
      <w:rPr>
        <w:rFonts w:ascii="Wingdings" w:eastAsia="Batang" w:hAnsi="Wingdings"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24">
    <w:nsid w:val="584B7DFD"/>
    <w:multiLevelType w:val="hybridMultilevel"/>
    <w:tmpl w:val="46185964"/>
    <w:lvl w:ilvl="0" w:tplc="E3086ADE">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5">
    <w:nsid w:val="65BE680D"/>
    <w:multiLevelType w:val="hybridMultilevel"/>
    <w:tmpl w:val="CA7A588E"/>
    <w:lvl w:ilvl="0" w:tplc="1DDAA90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65D32F10"/>
    <w:multiLevelType w:val="hybridMultilevel"/>
    <w:tmpl w:val="2722856A"/>
    <w:lvl w:ilvl="0" w:tplc="CB365CC2">
      <w:start w:val="1"/>
      <w:numFmt w:val="decimal"/>
      <w:lvlText w:val="%1."/>
      <w:lvlJc w:val="left"/>
      <w:pPr>
        <w:tabs>
          <w:tab w:val="num" w:pos="360"/>
        </w:tabs>
        <w:ind w:left="360" w:hanging="360"/>
      </w:pPr>
      <w:rPr>
        <w:rFonts w:hint="default"/>
        <w:color w:val="000000"/>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7">
    <w:nsid w:val="66EF3C26"/>
    <w:multiLevelType w:val="hybridMultilevel"/>
    <w:tmpl w:val="F6EA2936"/>
    <w:lvl w:ilvl="0" w:tplc="4BAA3B0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68FF59FD"/>
    <w:multiLevelType w:val="hybridMultilevel"/>
    <w:tmpl w:val="BF826C84"/>
    <w:lvl w:ilvl="0" w:tplc="0409000F">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9">
    <w:nsid w:val="746356D2"/>
    <w:multiLevelType w:val="hybridMultilevel"/>
    <w:tmpl w:val="F7065786"/>
    <w:lvl w:ilvl="0" w:tplc="DE1A19D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0"/>
  </w:num>
  <w:num w:numId="2">
    <w:abstractNumId w:val="29"/>
  </w:num>
  <w:num w:numId="3">
    <w:abstractNumId w:val="18"/>
  </w:num>
  <w:num w:numId="4">
    <w:abstractNumId w:val="27"/>
  </w:num>
  <w:num w:numId="5">
    <w:abstractNumId w:val="25"/>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28"/>
  </w:num>
  <w:num w:numId="14">
    <w:abstractNumId w:val="3"/>
  </w:num>
  <w:num w:numId="15">
    <w:abstractNumId w:val="2"/>
  </w:num>
  <w:num w:numId="16">
    <w:abstractNumId w:val="1"/>
  </w:num>
  <w:num w:numId="17">
    <w:abstractNumId w:val="0"/>
  </w:num>
  <w:num w:numId="18">
    <w:abstractNumId w:val="22"/>
  </w:num>
  <w:num w:numId="19">
    <w:abstractNumId w:val="11"/>
  </w:num>
  <w:num w:numId="20">
    <w:abstractNumId w:val="20"/>
  </w:num>
  <w:num w:numId="21">
    <w:abstractNumId w:val="19"/>
  </w:num>
  <w:num w:numId="22">
    <w:abstractNumId w:val="16"/>
  </w:num>
  <w:num w:numId="23">
    <w:abstractNumId w:val="15"/>
  </w:num>
  <w:num w:numId="24">
    <w:abstractNumId w:val="12"/>
  </w:num>
  <w:num w:numId="25">
    <w:abstractNumId w:val="21"/>
  </w:num>
  <w:num w:numId="26">
    <w:abstractNumId w:val="23"/>
  </w:num>
  <w:num w:numId="27">
    <w:abstractNumId w:val="14"/>
  </w:num>
  <w:num w:numId="28">
    <w:abstractNumId w:val="17"/>
  </w:num>
  <w:num w:numId="29">
    <w:abstractNumId w:val="24"/>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800"/>
  <w:drawingGridHorizontalSpacing w:val="100"/>
  <w:displayHorizontalDrawingGridEvery w:val="0"/>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C90"/>
    <w:rsid w:val="000003F8"/>
    <w:rsid w:val="00000418"/>
    <w:rsid w:val="000004E8"/>
    <w:rsid w:val="00000605"/>
    <w:rsid w:val="00000884"/>
    <w:rsid w:val="0000099C"/>
    <w:rsid w:val="00000D21"/>
    <w:rsid w:val="00000D8C"/>
    <w:rsid w:val="000012F3"/>
    <w:rsid w:val="0000149D"/>
    <w:rsid w:val="000016C3"/>
    <w:rsid w:val="00001CED"/>
    <w:rsid w:val="00002BBD"/>
    <w:rsid w:val="00002D7D"/>
    <w:rsid w:val="00002F86"/>
    <w:rsid w:val="000031F3"/>
    <w:rsid w:val="00003493"/>
    <w:rsid w:val="00003622"/>
    <w:rsid w:val="00003C12"/>
    <w:rsid w:val="00003D3B"/>
    <w:rsid w:val="00004A47"/>
    <w:rsid w:val="00004CA3"/>
    <w:rsid w:val="00004D41"/>
    <w:rsid w:val="00004FF5"/>
    <w:rsid w:val="00005115"/>
    <w:rsid w:val="000052F3"/>
    <w:rsid w:val="00005641"/>
    <w:rsid w:val="0000572F"/>
    <w:rsid w:val="00005BB1"/>
    <w:rsid w:val="00005E10"/>
    <w:rsid w:val="00005ECC"/>
    <w:rsid w:val="00006305"/>
    <w:rsid w:val="00006697"/>
    <w:rsid w:val="000069D9"/>
    <w:rsid w:val="0000708C"/>
    <w:rsid w:val="00007118"/>
    <w:rsid w:val="000071DA"/>
    <w:rsid w:val="000075B3"/>
    <w:rsid w:val="00007765"/>
    <w:rsid w:val="000077D0"/>
    <w:rsid w:val="000079CF"/>
    <w:rsid w:val="00007C19"/>
    <w:rsid w:val="00007CA5"/>
    <w:rsid w:val="00010421"/>
    <w:rsid w:val="000107D5"/>
    <w:rsid w:val="00010B01"/>
    <w:rsid w:val="00010BCE"/>
    <w:rsid w:val="00010C20"/>
    <w:rsid w:val="00010D14"/>
    <w:rsid w:val="00010ECA"/>
    <w:rsid w:val="00011158"/>
    <w:rsid w:val="00011443"/>
    <w:rsid w:val="000115F0"/>
    <w:rsid w:val="000116CC"/>
    <w:rsid w:val="0001171F"/>
    <w:rsid w:val="00011B1D"/>
    <w:rsid w:val="00011C6B"/>
    <w:rsid w:val="00011DB4"/>
    <w:rsid w:val="00012234"/>
    <w:rsid w:val="000123FF"/>
    <w:rsid w:val="00012543"/>
    <w:rsid w:val="0001268F"/>
    <w:rsid w:val="000126CF"/>
    <w:rsid w:val="000129A4"/>
    <w:rsid w:val="00012A17"/>
    <w:rsid w:val="000137C5"/>
    <w:rsid w:val="00013AF1"/>
    <w:rsid w:val="0001490B"/>
    <w:rsid w:val="00014941"/>
    <w:rsid w:val="00014A33"/>
    <w:rsid w:val="00014B37"/>
    <w:rsid w:val="00014DB9"/>
    <w:rsid w:val="000152F3"/>
    <w:rsid w:val="000154AF"/>
    <w:rsid w:val="000159A5"/>
    <w:rsid w:val="00015D2E"/>
    <w:rsid w:val="00015D94"/>
    <w:rsid w:val="0001604E"/>
    <w:rsid w:val="000160F7"/>
    <w:rsid w:val="00016498"/>
    <w:rsid w:val="00016538"/>
    <w:rsid w:val="00016E21"/>
    <w:rsid w:val="00016E7B"/>
    <w:rsid w:val="00016EA7"/>
    <w:rsid w:val="000173A5"/>
    <w:rsid w:val="000174C1"/>
    <w:rsid w:val="000175D7"/>
    <w:rsid w:val="000178F2"/>
    <w:rsid w:val="00017FAB"/>
    <w:rsid w:val="0002015B"/>
    <w:rsid w:val="000201D7"/>
    <w:rsid w:val="00020427"/>
    <w:rsid w:val="00020C7B"/>
    <w:rsid w:val="00020CA2"/>
    <w:rsid w:val="00020D9C"/>
    <w:rsid w:val="00020DBD"/>
    <w:rsid w:val="00020E08"/>
    <w:rsid w:val="00020E1B"/>
    <w:rsid w:val="00020F9B"/>
    <w:rsid w:val="0002117B"/>
    <w:rsid w:val="00021391"/>
    <w:rsid w:val="00021588"/>
    <w:rsid w:val="00021602"/>
    <w:rsid w:val="0002173B"/>
    <w:rsid w:val="00021ABB"/>
    <w:rsid w:val="00021B2B"/>
    <w:rsid w:val="00021B67"/>
    <w:rsid w:val="0002214C"/>
    <w:rsid w:val="00022180"/>
    <w:rsid w:val="00022238"/>
    <w:rsid w:val="00022279"/>
    <w:rsid w:val="00022413"/>
    <w:rsid w:val="000224C6"/>
    <w:rsid w:val="00022989"/>
    <w:rsid w:val="00022DBF"/>
    <w:rsid w:val="00022DED"/>
    <w:rsid w:val="00022EF7"/>
    <w:rsid w:val="00022FC4"/>
    <w:rsid w:val="00023757"/>
    <w:rsid w:val="000237A2"/>
    <w:rsid w:val="0002390D"/>
    <w:rsid w:val="00023A22"/>
    <w:rsid w:val="000242DE"/>
    <w:rsid w:val="00024437"/>
    <w:rsid w:val="00024C22"/>
    <w:rsid w:val="000250F7"/>
    <w:rsid w:val="0002514B"/>
    <w:rsid w:val="00025247"/>
    <w:rsid w:val="000252D9"/>
    <w:rsid w:val="0002534C"/>
    <w:rsid w:val="000253E3"/>
    <w:rsid w:val="00025ADC"/>
    <w:rsid w:val="00026234"/>
    <w:rsid w:val="0002627F"/>
    <w:rsid w:val="000265DC"/>
    <w:rsid w:val="00026615"/>
    <w:rsid w:val="000266EB"/>
    <w:rsid w:val="00026A0B"/>
    <w:rsid w:val="00026A29"/>
    <w:rsid w:val="00026AEE"/>
    <w:rsid w:val="00026CBC"/>
    <w:rsid w:val="00026D56"/>
    <w:rsid w:val="00026D5E"/>
    <w:rsid w:val="00026D60"/>
    <w:rsid w:val="00027588"/>
    <w:rsid w:val="00027655"/>
    <w:rsid w:val="000279F1"/>
    <w:rsid w:val="000279F4"/>
    <w:rsid w:val="00027BEA"/>
    <w:rsid w:val="00027CD8"/>
    <w:rsid w:val="0003028F"/>
    <w:rsid w:val="000305DD"/>
    <w:rsid w:val="0003075C"/>
    <w:rsid w:val="0003094F"/>
    <w:rsid w:val="000309DE"/>
    <w:rsid w:val="00030FB2"/>
    <w:rsid w:val="000312CC"/>
    <w:rsid w:val="00031822"/>
    <w:rsid w:val="00031997"/>
    <w:rsid w:val="00031B76"/>
    <w:rsid w:val="00031D90"/>
    <w:rsid w:val="0003214F"/>
    <w:rsid w:val="000321BF"/>
    <w:rsid w:val="00032215"/>
    <w:rsid w:val="00032781"/>
    <w:rsid w:val="0003283D"/>
    <w:rsid w:val="0003296D"/>
    <w:rsid w:val="00032A9E"/>
    <w:rsid w:val="00032F81"/>
    <w:rsid w:val="00033446"/>
    <w:rsid w:val="000334A4"/>
    <w:rsid w:val="000338B3"/>
    <w:rsid w:val="00033CB6"/>
    <w:rsid w:val="00033F4E"/>
    <w:rsid w:val="00034400"/>
    <w:rsid w:val="000345BD"/>
    <w:rsid w:val="000346CE"/>
    <w:rsid w:val="00035312"/>
    <w:rsid w:val="0003549E"/>
    <w:rsid w:val="00036131"/>
    <w:rsid w:val="0003673F"/>
    <w:rsid w:val="000368CE"/>
    <w:rsid w:val="00036B6B"/>
    <w:rsid w:val="000370F0"/>
    <w:rsid w:val="00037599"/>
    <w:rsid w:val="00037803"/>
    <w:rsid w:val="00037AB5"/>
    <w:rsid w:val="00040003"/>
    <w:rsid w:val="000400D4"/>
    <w:rsid w:val="000401AC"/>
    <w:rsid w:val="000404FB"/>
    <w:rsid w:val="00040806"/>
    <w:rsid w:val="00040864"/>
    <w:rsid w:val="00040B51"/>
    <w:rsid w:val="00040C43"/>
    <w:rsid w:val="00040F03"/>
    <w:rsid w:val="00041180"/>
    <w:rsid w:val="000411FD"/>
    <w:rsid w:val="000415BB"/>
    <w:rsid w:val="00041814"/>
    <w:rsid w:val="00041B21"/>
    <w:rsid w:val="00041CE4"/>
    <w:rsid w:val="00042089"/>
    <w:rsid w:val="000420B4"/>
    <w:rsid w:val="0004221E"/>
    <w:rsid w:val="000422D3"/>
    <w:rsid w:val="0004293D"/>
    <w:rsid w:val="00042B83"/>
    <w:rsid w:val="00042D8C"/>
    <w:rsid w:val="000431B8"/>
    <w:rsid w:val="000433B6"/>
    <w:rsid w:val="0004375C"/>
    <w:rsid w:val="00043DE9"/>
    <w:rsid w:val="000443BA"/>
    <w:rsid w:val="00044732"/>
    <w:rsid w:val="00044922"/>
    <w:rsid w:val="00044D89"/>
    <w:rsid w:val="00044DB8"/>
    <w:rsid w:val="00045008"/>
    <w:rsid w:val="00045161"/>
    <w:rsid w:val="000451E8"/>
    <w:rsid w:val="0004547A"/>
    <w:rsid w:val="00045D5A"/>
    <w:rsid w:val="0004645F"/>
    <w:rsid w:val="0004661C"/>
    <w:rsid w:val="00046FA3"/>
    <w:rsid w:val="00046FC1"/>
    <w:rsid w:val="00047139"/>
    <w:rsid w:val="00047157"/>
    <w:rsid w:val="000473C0"/>
    <w:rsid w:val="000479D1"/>
    <w:rsid w:val="0005057A"/>
    <w:rsid w:val="0005068F"/>
    <w:rsid w:val="000508E1"/>
    <w:rsid w:val="00050A6B"/>
    <w:rsid w:val="00050C57"/>
    <w:rsid w:val="00051F0D"/>
    <w:rsid w:val="0005216C"/>
    <w:rsid w:val="000523A7"/>
    <w:rsid w:val="00052CCF"/>
    <w:rsid w:val="000532A0"/>
    <w:rsid w:val="000532F8"/>
    <w:rsid w:val="00053BC6"/>
    <w:rsid w:val="00053CCA"/>
    <w:rsid w:val="00053CF9"/>
    <w:rsid w:val="00053ECA"/>
    <w:rsid w:val="00053FA9"/>
    <w:rsid w:val="00054287"/>
    <w:rsid w:val="000543F9"/>
    <w:rsid w:val="000546DF"/>
    <w:rsid w:val="00054792"/>
    <w:rsid w:val="0005484C"/>
    <w:rsid w:val="00054C2D"/>
    <w:rsid w:val="00054E97"/>
    <w:rsid w:val="00054FE3"/>
    <w:rsid w:val="000551AC"/>
    <w:rsid w:val="00055711"/>
    <w:rsid w:val="000558B9"/>
    <w:rsid w:val="00055A34"/>
    <w:rsid w:val="00056129"/>
    <w:rsid w:val="000563AC"/>
    <w:rsid w:val="000565F9"/>
    <w:rsid w:val="000567D4"/>
    <w:rsid w:val="00056B47"/>
    <w:rsid w:val="00056F49"/>
    <w:rsid w:val="00057039"/>
    <w:rsid w:val="000577A1"/>
    <w:rsid w:val="00057CD8"/>
    <w:rsid w:val="00060169"/>
    <w:rsid w:val="000605BE"/>
    <w:rsid w:val="00060618"/>
    <w:rsid w:val="0006067A"/>
    <w:rsid w:val="00060727"/>
    <w:rsid w:val="00060742"/>
    <w:rsid w:val="0006076A"/>
    <w:rsid w:val="00060A76"/>
    <w:rsid w:val="0006100B"/>
    <w:rsid w:val="0006118A"/>
    <w:rsid w:val="0006122C"/>
    <w:rsid w:val="000612EE"/>
    <w:rsid w:val="000619B6"/>
    <w:rsid w:val="000620E2"/>
    <w:rsid w:val="00062331"/>
    <w:rsid w:val="00063194"/>
    <w:rsid w:val="000631AE"/>
    <w:rsid w:val="00063395"/>
    <w:rsid w:val="00063B13"/>
    <w:rsid w:val="00063EA3"/>
    <w:rsid w:val="00063EFB"/>
    <w:rsid w:val="000645AE"/>
    <w:rsid w:val="00064779"/>
    <w:rsid w:val="0006509B"/>
    <w:rsid w:val="00065322"/>
    <w:rsid w:val="00065384"/>
    <w:rsid w:val="000654FE"/>
    <w:rsid w:val="0006556E"/>
    <w:rsid w:val="0006564E"/>
    <w:rsid w:val="00065A1F"/>
    <w:rsid w:val="00065CBD"/>
    <w:rsid w:val="00065E95"/>
    <w:rsid w:val="000664F2"/>
    <w:rsid w:val="00066A14"/>
    <w:rsid w:val="00066B36"/>
    <w:rsid w:val="00066BE5"/>
    <w:rsid w:val="00066CB5"/>
    <w:rsid w:val="00066DE9"/>
    <w:rsid w:val="0006712D"/>
    <w:rsid w:val="000671BC"/>
    <w:rsid w:val="0006727F"/>
    <w:rsid w:val="0006739B"/>
    <w:rsid w:val="0006744C"/>
    <w:rsid w:val="000674C7"/>
    <w:rsid w:val="00067600"/>
    <w:rsid w:val="00067861"/>
    <w:rsid w:val="000678CC"/>
    <w:rsid w:val="000679B9"/>
    <w:rsid w:val="000679EF"/>
    <w:rsid w:val="00067F65"/>
    <w:rsid w:val="000700CD"/>
    <w:rsid w:val="000701BE"/>
    <w:rsid w:val="000702E2"/>
    <w:rsid w:val="00070317"/>
    <w:rsid w:val="00070915"/>
    <w:rsid w:val="00070ECF"/>
    <w:rsid w:val="00071104"/>
    <w:rsid w:val="0007132A"/>
    <w:rsid w:val="000715AC"/>
    <w:rsid w:val="00071BC5"/>
    <w:rsid w:val="00071E17"/>
    <w:rsid w:val="0007265C"/>
    <w:rsid w:val="00072F4C"/>
    <w:rsid w:val="0007309A"/>
    <w:rsid w:val="000733F7"/>
    <w:rsid w:val="0007355D"/>
    <w:rsid w:val="00073A2F"/>
    <w:rsid w:val="00073BF5"/>
    <w:rsid w:val="000741E5"/>
    <w:rsid w:val="0007447B"/>
    <w:rsid w:val="000744FB"/>
    <w:rsid w:val="00074842"/>
    <w:rsid w:val="0007487C"/>
    <w:rsid w:val="00074CE7"/>
    <w:rsid w:val="00074E4D"/>
    <w:rsid w:val="0007504E"/>
    <w:rsid w:val="00075137"/>
    <w:rsid w:val="00075213"/>
    <w:rsid w:val="00075A0E"/>
    <w:rsid w:val="00075ABB"/>
    <w:rsid w:val="00075BBF"/>
    <w:rsid w:val="00075D9A"/>
    <w:rsid w:val="00075F42"/>
    <w:rsid w:val="000761F9"/>
    <w:rsid w:val="00076894"/>
    <w:rsid w:val="000768E4"/>
    <w:rsid w:val="00076CB2"/>
    <w:rsid w:val="00076D37"/>
    <w:rsid w:val="00076ED9"/>
    <w:rsid w:val="00077076"/>
    <w:rsid w:val="00077089"/>
    <w:rsid w:val="000777EA"/>
    <w:rsid w:val="00077AB0"/>
    <w:rsid w:val="0008010E"/>
    <w:rsid w:val="000801B8"/>
    <w:rsid w:val="0008031E"/>
    <w:rsid w:val="0008045E"/>
    <w:rsid w:val="00080D21"/>
    <w:rsid w:val="00081076"/>
    <w:rsid w:val="000813AE"/>
    <w:rsid w:val="000815B7"/>
    <w:rsid w:val="0008164C"/>
    <w:rsid w:val="00081928"/>
    <w:rsid w:val="00081938"/>
    <w:rsid w:val="000819A2"/>
    <w:rsid w:val="00081B70"/>
    <w:rsid w:val="0008235A"/>
    <w:rsid w:val="00082385"/>
    <w:rsid w:val="000824AB"/>
    <w:rsid w:val="000826E0"/>
    <w:rsid w:val="000826F8"/>
    <w:rsid w:val="00082915"/>
    <w:rsid w:val="00082BA0"/>
    <w:rsid w:val="0008312F"/>
    <w:rsid w:val="000833A6"/>
    <w:rsid w:val="000839C1"/>
    <w:rsid w:val="000839C4"/>
    <w:rsid w:val="00083FCE"/>
    <w:rsid w:val="000840A1"/>
    <w:rsid w:val="00084524"/>
    <w:rsid w:val="00084601"/>
    <w:rsid w:val="000847C0"/>
    <w:rsid w:val="000848E0"/>
    <w:rsid w:val="00084D64"/>
    <w:rsid w:val="0008566D"/>
    <w:rsid w:val="00085810"/>
    <w:rsid w:val="00085934"/>
    <w:rsid w:val="0008598A"/>
    <w:rsid w:val="00085FC2"/>
    <w:rsid w:val="000861D7"/>
    <w:rsid w:val="00086337"/>
    <w:rsid w:val="000864DE"/>
    <w:rsid w:val="00086586"/>
    <w:rsid w:val="000869F3"/>
    <w:rsid w:val="00086BB1"/>
    <w:rsid w:val="0008722A"/>
    <w:rsid w:val="0009012F"/>
    <w:rsid w:val="000905BD"/>
    <w:rsid w:val="00090B2E"/>
    <w:rsid w:val="000910C4"/>
    <w:rsid w:val="000910D5"/>
    <w:rsid w:val="000915BE"/>
    <w:rsid w:val="00091DFF"/>
    <w:rsid w:val="00092115"/>
    <w:rsid w:val="0009297C"/>
    <w:rsid w:val="00092E1F"/>
    <w:rsid w:val="00092F16"/>
    <w:rsid w:val="00093659"/>
    <w:rsid w:val="00093723"/>
    <w:rsid w:val="000937D4"/>
    <w:rsid w:val="00093897"/>
    <w:rsid w:val="00093A47"/>
    <w:rsid w:val="00093AFF"/>
    <w:rsid w:val="00093E5A"/>
    <w:rsid w:val="00093F26"/>
    <w:rsid w:val="0009421F"/>
    <w:rsid w:val="00094C37"/>
    <w:rsid w:val="00094DC5"/>
    <w:rsid w:val="00095398"/>
    <w:rsid w:val="000956FC"/>
    <w:rsid w:val="00095B91"/>
    <w:rsid w:val="00095CC3"/>
    <w:rsid w:val="00095E9A"/>
    <w:rsid w:val="00095F4C"/>
    <w:rsid w:val="00096197"/>
    <w:rsid w:val="00096343"/>
    <w:rsid w:val="000963AA"/>
    <w:rsid w:val="00096799"/>
    <w:rsid w:val="0009681B"/>
    <w:rsid w:val="00096B5E"/>
    <w:rsid w:val="00097066"/>
    <w:rsid w:val="00097146"/>
    <w:rsid w:val="000971C2"/>
    <w:rsid w:val="0009740F"/>
    <w:rsid w:val="00097AFE"/>
    <w:rsid w:val="00097D62"/>
    <w:rsid w:val="000A0008"/>
    <w:rsid w:val="000A0204"/>
    <w:rsid w:val="000A0619"/>
    <w:rsid w:val="000A0A6D"/>
    <w:rsid w:val="000A0E36"/>
    <w:rsid w:val="000A0FBE"/>
    <w:rsid w:val="000A1410"/>
    <w:rsid w:val="000A14A8"/>
    <w:rsid w:val="000A1832"/>
    <w:rsid w:val="000A1C0B"/>
    <w:rsid w:val="000A1CA4"/>
    <w:rsid w:val="000A1DD0"/>
    <w:rsid w:val="000A2033"/>
    <w:rsid w:val="000A21C2"/>
    <w:rsid w:val="000A263D"/>
    <w:rsid w:val="000A2977"/>
    <w:rsid w:val="000A2BFB"/>
    <w:rsid w:val="000A2C68"/>
    <w:rsid w:val="000A2D3D"/>
    <w:rsid w:val="000A3190"/>
    <w:rsid w:val="000A3311"/>
    <w:rsid w:val="000A3460"/>
    <w:rsid w:val="000A3AC7"/>
    <w:rsid w:val="000A40F2"/>
    <w:rsid w:val="000A413B"/>
    <w:rsid w:val="000A4197"/>
    <w:rsid w:val="000A4493"/>
    <w:rsid w:val="000A47D4"/>
    <w:rsid w:val="000A4888"/>
    <w:rsid w:val="000A48FB"/>
    <w:rsid w:val="000A4EA4"/>
    <w:rsid w:val="000A51BB"/>
    <w:rsid w:val="000A572C"/>
    <w:rsid w:val="000A579D"/>
    <w:rsid w:val="000A5821"/>
    <w:rsid w:val="000A5822"/>
    <w:rsid w:val="000A5830"/>
    <w:rsid w:val="000A5FEA"/>
    <w:rsid w:val="000A60F9"/>
    <w:rsid w:val="000A6440"/>
    <w:rsid w:val="000A64AD"/>
    <w:rsid w:val="000A64B7"/>
    <w:rsid w:val="000A6735"/>
    <w:rsid w:val="000A6A0C"/>
    <w:rsid w:val="000A6D96"/>
    <w:rsid w:val="000A70D9"/>
    <w:rsid w:val="000A7B22"/>
    <w:rsid w:val="000A7BE5"/>
    <w:rsid w:val="000A7DA9"/>
    <w:rsid w:val="000A7ECC"/>
    <w:rsid w:val="000A7F93"/>
    <w:rsid w:val="000B012E"/>
    <w:rsid w:val="000B0174"/>
    <w:rsid w:val="000B026D"/>
    <w:rsid w:val="000B027B"/>
    <w:rsid w:val="000B0535"/>
    <w:rsid w:val="000B0614"/>
    <w:rsid w:val="000B0EEC"/>
    <w:rsid w:val="000B1199"/>
    <w:rsid w:val="000B1223"/>
    <w:rsid w:val="000B1398"/>
    <w:rsid w:val="000B18E3"/>
    <w:rsid w:val="000B193E"/>
    <w:rsid w:val="000B1DC8"/>
    <w:rsid w:val="000B1F20"/>
    <w:rsid w:val="000B2136"/>
    <w:rsid w:val="000B222B"/>
    <w:rsid w:val="000B228D"/>
    <w:rsid w:val="000B232A"/>
    <w:rsid w:val="000B255B"/>
    <w:rsid w:val="000B2833"/>
    <w:rsid w:val="000B295F"/>
    <w:rsid w:val="000B2A82"/>
    <w:rsid w:val="000B32DB"/>
    <w:rsid w:val="000B3356"/>
    <w:rsid w:val="000B35B7"/>
    <w:rsid w:val="000B37A0"/>
    <w:rsid w:val="000B3A87"/>
    <w:rsid w:val="000B3D05"/>
    <w:rsid w:val="000B40D6"/>
    <w:rsid w:val="000B45E2"/>
    <w:rsid w:val="000B45F8"/>
    <w:rsid w:val="000B49CB"/>
    <w:rsid w:val="000B4EE7"/>
    <w:rsid w:val="000B56ED"/>
    <w:rsid w:val="000B56FC"/>
    <w:rsid w:val="000B592F"/>
    <w:rsid w:val="000B5A1E"/>
    <w:rsid w:val="000B5AFB"/>
    <w:rsid w:val="000B5BAE"/>
    <w:rsid w:val="000B5CE6"/>
    <w:rsid w:val="000B620D"/>
    <w:rsid w:val="000B626F"/>
    <w:rsid w:val="000B6336"/>
    <w:rsid w:val="000B6957"/>
    <w:rsid w:val="000B6976"/>
    <w:rsid w:val="000B6AAF"/>
    <w:rsid w:val="000B6ADF"/>
    <w:rsid w:val="000B6BCE"/>
    <w:rsid w:val="000B6C12"/>
    <w:rsid w:val="000B6E3D"/>
    <w:rsid w:val="000B6F64"/>
    <w:rsid w:val="000B7239"/>
    <w:rsid w:val="000B78EB"/>
    <w:rsid w:val="000B7F09"/>
    <w:rsid w:val="000C08DA"/>
    <w:rsid w:val="000C0D2E"/>
    <w:rsid w:val="000C0DF2"/>
    <w:rsid w:val="000C0E19"/>
    <w:rsid w:val="000C0F16"/>
    <w:rsid w:val="000C0FBD"/>
    <w:rsid w:val="000C15F2"/>
    <w:rsid w:val="000C1897"/>
    <w:rsid w:val="000C1B06"/>
    <w:rsid w:val="000C1C20"/>
    <w:rsid w:val="000C1D64"/>
    <w:rsid w:val="000C20B2"/>
    <w:rsid w:val="000C2233"/>
    <w:rsid w:val="000C27A3"/>
    <w:rsid w:val="000C2EE1"/>
    <w:rsid w:val="000C3520"/>
    <w:rsid w:val="000C3743"/>
    <w:rsid w:val="000C3B1F"/>
    <w:rsid w:val="000C3BBF"/>
    <w:rsid w:val="000C3C0D"/>
    <w:rsid w:val="000C3CD1"/>
    <w:rsid w:val="000C3D4A"/>
    <w:rsid w:val="000C40C6"/>
    <w:rsid w:val="000C40EC"/>
    <w:rsid w:val="000C45E0"/>
    <w:rsid w:val="000C46B3"/>
    <w:rsid w:val="000C46D4"/>
    <w:rsid w:val="000C4A3F"/>
    <w:rsid w:val="000C4BFA"/>
    <w:rsid w:val="000C4DC6"/>
    <w:rsid w:val="000C4DC8"/>
    <w:rsid w:val="000C517B"/>
    <w:rsid w:val="000C524F"/>
    <w:rsid w:val="000C52E0"/>
    <w:rsid w:val="000C5446"/>
    <w:rsid w:val="000C54A4"/>
    <w:rsid w:val="000C55F4"/>
    <w:rsid w:val="000C56D2"/>
    <w:rsid w:val="000C5A53"/>
    <w:rsid w:val="000C5CDF"/>
    <w:rsid w:val="000C5E87"/>
    <w:rsid w:val="000C601C"/>
    <w:rsid w:val="000C618C"/>
    <w:rsid w:val="000C643B"/>
    <w:rsid w:val="000C650E"/>
    <w:rsid w:val="000C6886"/>
    <w:rsid w:val="000C6CE0"/>
    <w:rsid w:val="000C6F74"/>
    <w:rsid w:val="000C7113"/>
    <w:rsid w:val="000C7315"/>
    <w:rsid w:val="000C7890"/>
    <w:rsid w:val="000C7B6C"/>
    <w:rsid w:val="000C7F1F"/>
    <w:rsid w:val="000D0B0C"/>
    <w:rsid w:val="000D0D80"/>
    <w:rsid w:val="000D1093"/>
    <w:rsid w:val="000D12BA"/>
    <w:rsid w:val="000D15BB"/>
    <w:rsid w:val="000D1736"/>
    <w:rsid w:val="000D2381"/>
    <w:rsid w:val="000D23BC"/>
    <w:rsid w:val="000D26E6"/>
    <w:rsid w:val="000D285A"/>
    <w:rsid w:val="000D2A00"/>
    <w:rsid w:val="000D2BFD"/>
    <w:rsid w:val="000D2F62"/>
    <w:rsid w:val="000D2F84"/>
    <w:rsid w:val="000D350D"/>
    <w:rsid w:val="000D3A8B"/>
    <w:rsid w:val="000D3C4C"/>
    <w:rsid w:val="000D3E90"/>
    <w:rsid w:val="000D3F91"/>
    <w:rsid w:val="000D411E"/>
    <w:rsid w:val="000D41D1"/>
    <w:rsid w:val="000D4571"/>
    <w:rsid w:val="000D4651"/>
    <w:rsid w:val="000D59E9"/>
    <w:rsid w:val="000D6459"/>
    <w:rsid w:val="000D6474"/>
    <w:rsid w:val="000D68BC"/>
    <w:rsid w:val="000D6961"/>
    <w:rsid w:val="000D6A19"/>
    <w:rsid w:val="000D6B69"/>
    <w:rsid w:val="000D6B6C"/>
    <w:rsid w:val="000D6CAE"/>
    <w:rsid w:val="000D72D5"/>
    <w:rsid w:val="000D7A2D"/>
    <w:rsid w:val="000D7BE7"/>
    <w:rsid w:val="000E04EA"/>
    <w:rsid w:val="000E0653"/>
    <w:rsid w:val="000E06B9"/>
    <w:rsid w:val="000E078C"/>
    <w:rsid w:val="000E082C"/>
    <w:rsid w:val="000E0E71"/>
    <w:rsid w:val="000E0EA2"/>
    <w:rsid w:val="000E100A"/>
    <w:rsid w:val="000E1177"/>
    <w:rsid w:val="000E11BE"/>
    <w:rsid w:val="000E1407"/>
    <w:rsid w:val="000E142F"/>
    <w:rsid w:val="000E17A3"/>
    <w:rsid w:val="000E1B19"/>
    <w:rsid w:val="000E2001"/>
    <w:rsid w:val="000E2238"/>
    <w:rsid w:val="000E22DB"/>
    <w:rsid w:val="000E2302"/>
    <w:rsid w:val="000E29D1"/>
    <w:rsid w:val="000E2C21"/>
    <w:rsid w:val="000E2E67"/>
    <w:rsid w:val="000E2EC7"/>
    <w:rsid w:val="000E2F46"/>
    <w:rsid w:val="000E37EF"/>
    <w:rsid w:val="000E39F4"/>
    <w:rsid w:val="000E3A6F"/>
    <w:rsid w:val="000E3CA1"/>
    <w:rsid w:val="000E412F"/>
    <w:rsid w:val="000E4228"/>
    <w:rsid w:val="000E453C"/>
    <w:rsid w:val="000E4796"/>
    <w:rsid w:val="000E4990"/>
    <w:rsid w:val="000E49D2"/>
    <w:rsid w:val="000E4D27"/>
    <w:rsid w:val="000E4DB4"/>
    <w:rsid w:val="000E4DC7"/>
    <w:rsid w:val="000E5085"/>
    <w:rsid w:val="000E59A3"/>
    <w:rsid w:val="000E5A32"/>
    <w:rsid w:val="000E5F00"/>
    <w:rsid w:val="000E6123"/>
    <w:rsid w:val="000E6327"/>
    <w:rsid w:val="000E65E7"/>
    <w:rsid w:val="000E6AAE"/>
    <w:rsid w:val="000E6E7F"/>
    <w:rsid w:val="000E7139"/>
    <w:rsid w:val="000E715B"/>
    <w:rsid w:val="000E72D0"/>
    <w:rsid w:val="000E7885"/>
    <w:rsid w:val="000E7BEE"/>
    <w:rsid w:val="000E7BF2"/>
    <w:rsid w:val="000F0171"/>
    <w:rsid w:val="000F0235"/>
    <w:rsid w:val="000F064D"/>
    <w:rsid w:val="000F065C"/>
    <w:rsid w:val="000F0BBA"/>
    <w:rsid w:val="000F1009"/>
    <w:rsid w:val="000F12B9"/>
    <w:rsid w:val="000F133E"/>
    <w:rsid w:val="000F13F3"/>
    <w:rsid w:val="000F16A5"/>
    <w:rsid w:val="000F1774"/>
    <w:rsid w:val="000F1C37"/>
    <w:rsid w:val="000F2050"/>
    <w:rsid w:val="000F27C6"/>
    <w:rsid w:val="000F29AB"/>
    <w:rsid w:val="000F29F5"/>
    <w:rsid w:val="000F2BFC"/>
    <w:rsid w:val="000F2CE0"/>
    <w:rsid w:val="000F2D7D"/>
    <w:rsid w:val="000F30C1"/>
    <w:rsid w:val="000F34DE"/>
    <w:rsid w:val="000F3BC2"/>
    <w:rsid w:val="000F3FA7"/>
    <w:rsid w:val="000F435F"/>
    <w:rsid w:val="000F4BA5"/>
    <w:rsid w:val="000F4D0D"/>
    <w:rsid w:val="000F4D93"/>
    <w:rsid w:val="000F4E74"/>
    <w:rsid w:val="000F511B"/>
    <w:rsid w:val="000F55B0"/>
    <w:rsid w:val="000F574C"/>
    <w:rsid w:val="000F5864"/>
    <w:rsid w:val="000F5C01"/>
    <w:rsid w:val="000F61A3"/>
    <w:rsid w:val="000F6396"/>
    <w:rsid w:val="000F65E3"/>
    <w:rsid w:val="000F67BC"/>
    <w:rsid w:val="000F688E"/>
    <w:rsid w:val="000F698D"/>
    <w:rsid w:val="000F6B5D"/>
    <w:rsid w:val="000F6DB7"/>
    <w:rsid w:val="000F6E05"/>
    <w:rsid w:val="000F7098"/>
    <w:rsid w:val="000F71AB"/>
    <w:rsid w:val="000F754E"/>
    <w:rsid w:val="000F770A"/>
    <w:rsid w:val="000F7A00"/>
    <w:rsid w:val="000F7DE8"/>
    <w:rsid w:val="000F7EF3"/>
    <w:rsid w:val="000F7F0D"/>
    <w:rsid w:val="000F7F80"/>
    <w:rsid w:val="000F7FEB"/>
    <w:rsid w:val="00100476"/>
    <w:rsid w:val="0010052F"/>
    <w:rsid w:val="00100697"/>
    <w:rsid w:val="00100823"/>
    <w:rsid w:val="00100F1C"/>
    <w:rsid w:val="001011CE"/>
    <w:rsid w:val="0010123E"/>
    <w:rsid w:val="0010158D"/>
    <w:rsid w:val="00101A08"/>
    <w:rsid w:val="00101A44"/>
    <w:rsid w:val="00101A54"/>
    <w:rsid w:val="00101D03"/>
    <w:rsid w:val="00101F8C"/>
    <w:rsid w:val="00101FD8"/>
    <w:rsid w:val="001020B8"/>
    <w:rsid w:val="0010217A"/>
    <w:rsid w:val="00102983"/>
    <w:rsid w:val="00103028"/>
    <w:rsid w:val="001030B1"/>
    <w:rsid w:val="00103545"/>
    <w:rsid w:val="0010366A"/>
    <w:rsid w:val="001038AD"/>
    <w:rsid w:val="00103A2F"/>
    <w:rsid w:val="00104047"/>
    <w:rsid w:val="0010406B"/>
    <w:rsid w:val="001049B8"/>
    <w:rsid w:val="00104A90"/>
    <w:rsid w:val="00104D81"/>
    <w:rsid w:val="00105129"/>
    <w:rsid w:val="001052B7"/>
    <w:rsid w:val="00105384"/>
    <w:rsid w:val="001053C1"/>
    <w:rsid w:val="0010589A"/>
    <w:rsid w:val="00105A7A"/>
    <w:rsid w:val="00105B6D"/>
    <w:rsid w:val="00105CF7"/>
    <w:rsid w:val="001060B3"/>
    <w:rsid w:val="001062AC"/>
    <w:rsid w:val="001066CC"/>
    <w:rsid w:val="0010696D"/>
    <w:rsid w:val="00106A87"/>
    <w:rsid w:val="00106A8C"/>
    <w:rsid w:val="00106C3D"/>
    <w:rsid w:val="001075DD"/>
    <w:rsid w:val="0010781E"/>
    <w:rsid w:val="00107A0B"/>
    <w:rsid w:val="00107C8E"/>
    <w:rsid w:val="001103DA"/>
    <w:rsid w:val="00110436"/>
    <w:rsid w:val="00110E38"/>
    <w:rsid w:val="0011107B"/>
    <w:rsid w:val="001110BD"/>
    <w:rsid w:val="001110F4"/>
    <w:rsid w:val="00111396"/>
    <w:rsid w:val="001114B5"/>
    <w:rsid w:val="00111520"/>
    <w:rsid w:val="00111624"/>
    <w:rsid w:val="001117CD"/>
    <w:rsid w:val="001118CD"/>
    <w:rsid w:val="001120C0"/>
    <w:rsid w:val="001123FD"/>
    <w:rsid w:val="0011253B"/>
    <w:rsid w:val="001126BA"/>
    <w:rsid w:val="00112CBD"/>
    <w:rsid w:val="00113103"/>
    <w:rsid w:val="00113787"/>
    <w:rsid w:val="00113E51"/>
    <w:rsid w:val="00114396"/>
    <w:rsid w:val="0011450C"/>
    <w:rsid w:val="00114BFD"/>
    <w:rsid w:val="00114C58"/>
    <w:rsid w:val="00114CA3"/>
    <w:rsid w:val="001151F7"/>
    <w:rsid w:val="00115240"/>
    <w:rsid w:val="0011638E"/>
    <w:rsid w:val="00116616"/>
    <w:rsid w:val="0011690D"/>
    <w:rsid w:val="0011692A"/>
    <w:rsid w:val="00117138"/>
    <w:rsid w:val="001172ED"/>
    <w:rsid w:val="001173AC"/>
    <w:rsid w:val="00117618"/>
    <w:rsid w:val="001178FD"/>
    <w:rsid w:val="00117912"/>
    <w:rsid w:val="00120444"/>
    <w:rsid w:val="001206DA"/>
    <w:rsid w:val="001207DF"/>
    <w:rsid w:val="00120E0C"/>
    <w:rsid w:val="00120E27"/>
    <w:rsid w:val="0012106C"/>
    <w:rsid w:val="0012135A"/>
    <w:rsid w:val="00121508"/>
    <w:rsid w:val="0012172D"/>
    <w:rsid w:val="0012194E"/>
    <w:rsid w:val="00121BA0"/>
    <w:rsid w:val="00121D73"/>
    <w:rsid w:val="00122391"/>
    <w:rsid w:val="00122415"/>
    <w:rsid w:val="00122441"/>
    <w:rsid w:val="0012294E"/>
    <w:rsid w:val="00122A72"/>
    <w:rsid w:val="00122AEA"/>
    <w:rsid w:val="00122CE6"/>
    <w:rsid w:val="00122F0B"/>
    <w:rsid w:val="00123394"/>
    <w:rsid w:val="00123FDA"/>
    <w:rsid w:val="001240D1"/>
    <w:rsid w:val="00124461"/>
    <w:rsid w:val="0012464F"/>
    <w:rsid w:val="00124919"/>
    <w:rsid w:val="00124933"/>
    <w:rsid w:val="00125193"/>
    <w:rsid w:val="001253C3"/>
    <w:rsid w:val="00125907"/>
    <w:rsid w:val="001259A4"/>
    <w:rsid w:val="00125A2F"/>
    <w:rsid w:val="001260D8"/>
    <w:rsid w:val="00126178"/>
    <w:rsid w:val="00126487"/>
    <w:rsid w:val="0012653F"/>
    <w:rsid w:val="001266C9"/>
    <w:rsid w:val="00126701"/>
    <w:rsid w:val="00126B58"/>
    <w:rsid w:val="00126B85"/>
    <w:rsid w:val="00126C4A"/>
    <w:rsid w:val="00126CCA"/>
    <w:rsid w:val="0012702D"/>
    <w:rsid w:val="00127591"/>
    <w:rsid w:val="001277DC"/>
    <w:rsid w:val="00127A50"/>
    <w:rsid w:val="00127D2E"/>
    <w:rsid w:val="00127D53"/>
    <w:rsid w:val="00127E35"/>
    <w:rsid w:val="001302E9"/>
    <w:rsid w:val="001309BE"/>
    <w:rsid w:val="00130D75"/>
    <w:rsid w:val="00130EE1"/>
    <w:rsid w:val="00130F5C"/>
    <w:rsid w:val="0013133F"/>
    <w:rsid w:val="001313EC"/>
    <w:rsid w:val="001315B6"/>
    <w:rsid w:val="0013161C"/>
    <w:rsid w:val="001316D7"/>
    <w:rsid w:val="00131718"/>
    <w:rsid w:val="001317AA"/>
    <w:rsid w:val="00131F22"/>
    <w:rsid w:val="0013230D"/>
    <w:rsid w:val="0013255B"/>
    <w:rsid w:val="001325F4"/>
    <w:rsid w:val="0013260F"/>
    <w:rsid w:val="00132925"/>
    <w:rsid w:val="00132BF1"/>
    <w:rsid w:val="00132F39"/>
    <w:rsid w:val="001332FC"/>
    <w:rsid w:val="00133797"/>
    <w:rsid w:val="001339C8"/>
    <w:rsid w:val="00133BFA"/>
    <w:rsid w:val="001342A4"/>
    <w:rsid w:val="0013447E"/>
    <w:rsid w:val="00134C0C"/>
    <w:rsid w:val="00134D79"/>
    <w:rsid w:val="001355CF"/>
    <w:rsid w:val="00135929"/>
    <w:rsid w:val="00135A89"/>
    <w:rsid w:val="00135DE2"/>
    <w:rsid w:val="00135E8A"/>
    <w:rsid w:val="00136374"/>
    <w:rsid w:val="001364B3"/>
    <w:rsid w:val="0013660F"/>
    <w:rsid w:val="00136772"/>
    <w:rsid w:val="00136D7B"/>
    <w:rsid w:val="00137240"/>
    <w:rsid w:val="001376BA"/>
    <w:rsid w:val="00137A95"/>
    <w:rsid w:val="00137B62"/>
    <w:rsid w:val="00137C91"/>
    <w:rsid w:val="00137D50"/>
    <w:rsid w:val="00137FBA"/>
    <w:rsid w:val="0014049E"/>
    <w:rsid w:val="001404ED"/>
    <w:rsid w:val="00140573"/>
    <w:rsid w:val="00140AA6"/>
    <w:rsid w:val="00140BE9"/>
    <w:rsid w:val="00140CEA"/>
    <w:rsid w:val="00141064"/>
    <w:rsid w:val="00141092"/>
    <w:rsid w:val="00141130"/>
    <w:rsid w:val="00141387"/>
    <w:rsid w:val="0014199A"/>
    <w:rsid w:val="00141C40"/>
    <w:rsid w:val="00141D25"/>
    <w:rsid w:val="00141D83"/>
    <w:rsid w:val="00142010"/>
    <w:rsid w:val="00142115"/>
    <w:rsid w:val="00142651"/>
    <w:rsid w:val="00142790"/>
    <w:rsid w:val="001428E2"/>
    <w:rsid w:val="001429A3"/>
    <w:rsid w:val="00142C67"/>
    <w:rsid w:val="00142CED"/>
    <w:rsid w:val="00143105"/>
    <w:rsid w:val="00143142"/>
    <w:rsid w:val="0014321D"/>
    <w:rsid w:val="001432CD"/>
    <w:rsid w:val="0014356C"/>
    <w:rsid w:val="0014389D"/>
    <w:rsid w:val="00143A14"/>
    <w:rsid w:val="00143AB3"/>
    <w:rsid w:val="00143EF5"/>
    <w:rsid w:val="00144154"/>
    <w:rsid w:val="00144186"/>
    <w:rsid w:val="00144B20"/>
    <w:rsid w:val="00144B51"/>
    <w:rsid w:val="0014502B"/>
    <w:rsid w:val="001453EB"/>
    <w:rsid w:val="00145CA0"/>
    <w:rsid w:val="00146132"/>
    <w:rsid w:val="00146184"/>
    <w:rsid w:val="001461A1"/>
    <w:rsid w:val="00146238"/>
    <w:rsid w:val="00146525"/>
    <w:rsid w:val="00146A3B"/>
    <w:rsid w:val="00146A5A"/>
    <w:rsid w:val="00146AFC"/>
    <w:rsid w:val="00146B69"/>
    <w:rsid w:val="00146ECE"/>
    <w:rsid w:val="00146F2D"/>
    <w:rsid w:val="001478CF"/>
    <w:rsid w:val="00147909"/>
    <w:rsid w:val="00147B5A"/>
    <w:rsid w:val="00147BDD"/>
    <w:rsid w:val="00147C12"/>
    <w:rsid w:val="00147D1A"/>
    <w:rsid w:val="00147DF6"/>
    <w:rsid w:val="00147FDA"/>
    <w:rsid w:val="0015055A"/>
    <w:rsid w:val="0015055D"/>
    <w:rsid w:val="00150CDD"/>
    <w:rsid w:val="001511B6"/>
    <w:rsid w:val="001519EC"/>
    <w:rsid w:val="00151E59"/>
    <w:rsid w:val="00152326"/>
    <w:rsid w:val="00152A56"/>
    <w:rsid w:val="00152F5F"/>
    <w:rsid w:val="00152F99"/>
    <w:rsid w:val="00153112"/>
    <w:rsid w:val="001531F5"/>
    <w:rsid w:val="00153C8E"/>
    <w:rsid w:val="00153CAC"/>
    <w:rsid w:val="001540D3"/>
    <w:rsid w:val="00154121"/>
    <w:rsid w:val="00154212"/>
    <w:rsid w:val="001542B0"/>
    <w:rsid w:val="001547A7"/>
    <w:rsid w:val="00154A2B"/>
    <w:rsid w:val="00154A65"/>
    <w:rsid w:val="00154D79"/>
    <w:rsid w:val="00154D82"/>
    <w:rsid w:val="00154E47"/>
    <w:rsid w:val="00154E4D"/>
    <w:rsid w:val="00155007"/>
    <w:rsid w:val="001551AD"/>
    <w:rsid w:val="00155464"/>
    <w:rsid w:val="00155CF6"/>
    <w:rsid w:val="00155EE4"/>
    <w:rsid w:val="00155FA5"/>
    <w:rsid w:val="0015607D"/>
    <w:rsid w:val="001561E2"/>
    <w:rsid w:val="00156381"/>
    <w:rsid w:val="001563BC"/>
    <w:rsid w:val="00156689"/>
    <w:rsid w:val="00156F2D"/>
    <w:rsid w:val="00157461"/>
    <w:rsid w:val="00157539"/>
    <w:rsid w:val="0015759A"/>
    <w:rsid w:val="00157613"/>
    <w:rsid w:val="0015763E"/>
    <w:rsid w:val="00157F3D"/>
    <w:rsid w:val="00160189"/>
    <w:rsid w:val="001603D4"/>
    <w:rsid w:val="00160954"/>
    <w:rsid w:val="00160F08"/>
    <w:rsid w:val="001610BB"/>
    <w:rsid w:val="001611A5"/>
    <w:rsid w:val="00161660"/>
    <w:rsid w:val="001619FF"/>
    <w:rsid w:val="00162478"/>
    <w:rsid w:val="00162635"/>
    <w:rsid w:val="00162C46"/>
    <w:rsid w:val="00162DF8"/>
    <w:rsid w:val="00162E78"/>
    <w:rsid w:val="00162EF1"/>
    <w:rsid w:val="001636A7"/>
    <w:rsid w:val="001639EB"/>
    <w:rsid w:val="00163A2A"/>
    <w:rsid w:val="00163A4F"/>
    <w:rsid w:val="00163AC1"/>
    <w:rsid w:val="00163F81"/>
    <w:rsid w:val="00164070"/>
    <w:rsid w:val="001643AC"/>
    <w:rsid w:val="00164491"/>
    <w:rsid w:val="00164592"/>
    <w:rsid w:val="0016466B"/>
    <w:rsid w:val="00164B28"/>
    <w:rsid w:val="00164C32"/>
    <w:rsid w:val="00164E0C"/>
    <w:rsid w:val="00164EE2"/>
    <w:rsid w:val="00165124"/>
    <w:rsid w:val="0016532C"/>
    <w:rsid w:val="00165765"/>
    <w:rsid w:val="00165805"/>
    <w:rsid w:val="00165C7C"/>
    <w:rsid w:val="00165CDF"/>
    <w:rsid w:val="00166060"/>
    <w:rsid w:val="00166183"/>
    <w:rsid w:val="001661B8"/>
    <w:rsid w:val="0016684D"/>
    <w:rsid w:val="00166BCB"/>
    <w:rsid w:val="00166BD3"/>
    <w:rsid w:val="00166C09"/>
    <w:rsid w:val="00166D3C"/>
    <w:rsid w:val="00166E03"/>
    <w:rsid w:val="00167259"/>
    <w:rsid w:val="001675DE"/>
    <w:rsid w:val="00167938"/>
    <w:rsid w:val="00167C42"/>
    <w:rsid w:val="00167EAF"/>
    <w:rsid w:val="001701D1"/>
    <w:rsid w:val="001703F5"/>
    <w:rsid w:val="001704DD"/>
    <w:rsid w:val="00170801"/>
    <w:rsid w:val="00170BE5"/>
    <w:rsid w:val="00170E8A"/>
    <w:rsid w:val="001710AC"/>
    <w:rsid w:val="00171174"/>
    <w:rsid w:val="001718EB"/>
    <w:rsid w:val="00171935"/>
    <w:rsid w:val="0017261D"/>
    <w:rsid w:val="00172A7C"/>
    <w:rsid w:val="0017365A"/>
    <w:rsid w:val="0017388E"/>
    <w:rsid w:val="001738CA"/>
    <w:rsid w:val="00173AE9"/>
    <w:rsid w:val="00173E7D"/>
    <w:rsid w:val="00174116"/>
    <w:rsid w:val="00174206"/>
    <w:rsid w:val="0017430D"/>
    <w:rsid w:val="00174951"/>
    <w:rsid w:val="00174CB3"/>
    <w:rsid w:val="00174D9E"/>
    <w:rsid w:val="00174DCF"/>
    <w:rsid w:val="00175360"/>
    <w:rsid w:val="00175374"/>
    <w:rsid w:val="001756FF"/>
    <w:rsid w:val="00175749"/>
    <w:rsid w:val="001758C2"/>
    <w:rsid w:val="00175E29"/>
    <w:rsid w:val="0017608E"/>
    <w:rsid w:val="0017618A"/>
    <w:rsid w:val="001766BA"/>
    <w:rsid w:val="001768E8"/>
    <w:rsid w:val="00176A79"/>
    <w:rsid w:val="00176ABB"/>
    <w:rsid w:val="00177124"/>
    <w:rsid w:val="001775A5"/>
    <w:rsid w:val="00177874"/>
    <w:rsid w:val="00177A85"/>
    <w:rsid w:val="00177FA2"/>
    <w:rsid w:val="00180008"/>
    <w:rsid w:val="0018047F"/>
    <w:rsid w:val="001807C1"/>
    <w:rsid w:val="001808E1"/>
    <w:rsid w:val="001809DA"/>
    <w:rsid w:val="00180CD2"/>
    <w:rsid w:val="00180DE9"/>
    <w:rsid w:val="001810AC"/>
    <w:rsid w:val="001812C8"/>
    <w:rsid w:val="00181673"/>
    <w:rsid w:val="00181B03"/>
    <w:rsid w:val="00181BD3"/>
    <w:rsid w:val="00181C3E"/>
    <w:rsid w:val="00181F37"/>
    <w:rsid w:val="001821F9"/>
    <w:rsid w:val="0018230B"/>
    <w:rsid w:val="0018236C"/>
    <w:rsid w:val="00182371"/>
    <w:rsid w:val="0018286B"/>
    <w:rsid w:val="00182AC0"/>
    <w:rsid w:val="00182CBE"/>
    <w:rsid w:val="00182FF0"/>
    <w:rsid w:val="0018313D"/>
    <w:rsid w:val="0018359A"/>
    <w:rsid w:val="00183711"/>
    <w:rsid w:val="00183997"/>
    <w:rsid w:val="00183C45"/>
    <w:rsid w:val="00183FD2"/>
    <w:rsid w:val="00184287"/>
    <w:rsid w:val="0018463C"/>
    <w:rsid w:val="001849C8"/>
    <w:rsid w:val="00184C5D"/>
    <w:rsid w:val="00185190"/>
    <w:rsid w:val="0018541A"/>
    <w:rsid w:val="001855F9"/>
    <w:rsid w:val="00185831"/>
    <w:rsid w:val="00185DC9"/>
    <w:rsid w:val="00185DFE"/>
    <w:rsid w:val="001860F3"/>
    <w:rsid w:val="00186299"/>
    <w:rsid w:val="001866DD"/>
    <w:rsid w:val="00186826"/>
    <w:rsid w:val="0018698F"/>
    <w:rsid w:val="00187140"/>
    <w:rsid w:val="0018759B"/>
    <w:rsid w:val="00187743"/>
    <w:rsid w:val="00187B83"/>
    <w:rsid w:val="00187E04"/>
    <w:rsid w:val="00187FC3"/>
    <w:rsid w:val="0019012F"/>
    <w:rsid w:val="001904C5"/>
    <w:rsid w:val="00190745"/>
    <w:rsid w:val="001908A2"/>
    <w:rsid w:val="00190D0E"/>
    <w:rsid w:val="00190E36"/>
    <w:rsid w:val="00190E89"/>
    <w:rsid w:val="00191859"/>
    <w:rsid w:val="00191E78"/>
    <w:rsid w:val="00191F69"/>
    <w:rsid w:val="001924AF"/>
    <w:rsid w:val="001927C2"/>
    <w:rsid w:val="00192B34"/>
    <w:rsid w:val="00192B3C"/>
    <w:rsid w:val="00192B44"/>
    <w:rsid w:val="00192F07"/>
    <w:rsid w:val="0019349C"/>
    <w:rsid w:val="00193515"/>
    <w:rsid w:val="001935ED"/>
    <w:rsid w:val="001936DA"/>
    <w:rsid w:val="001937AE"/>
    <w:rsid w:val="001938C9"/>
    <w:rsid w:val="00193A50"/>
    <w:rsid w:val="00193E13"/>
    <w:rsid w:val="00193F16"/>
    <w:rsid w:val="00194085"/>
    <w:rsid w:val="00194641"/>
    <w:rsid w:val="00194716"/>
    <w:rsid w:val="00194898"/>
    <w:rsid w:val="001949D2"/>
    <w:rsid w:val="001949F8"/>
    <w:rsid w:val="0019526D"/>
    <w:rsid w:val="00195C1D"/>
    <w:rsid w:val="001960D2"/>
    <w:rsid w:val="001962C7"/>
    <w:rsid w:val="00196636"/>
    <w:rsid w:val="0019676F"/>
    <w:rsid w:val="00196854"/>
    <w:rsid w:val="00196FFD"/>
    <w:rsid w:val="001970A5"/>
    <w:rsid w:val="0019727D"/>
    <w:rsid w:val="001973B4"/>
    <w:rsid w:val="001973BA"/>
    <w:rsid w:val="00197727"/>
    <w:rsid w:val="00197A3C"/>
    <w:rsid w:val="001A01C2"/>
    <w:rsid w:val="001A0497"/>
    <w:rsid w:val="001A0587"/>
    <w:rsid w:val="001A05F1"/>
    <w:rsid w:val="001A08F5"/>
    <w:rsid w:val="001A09A8"/>
    <w:rsid w:val="001A0A1B"/>
    <w:rsid w:val="001A0B15"/>
    <w:rsid w:val="001A1147"/>
    <w:rsid w:val="001A1E18"/>
    <w:rsid w:val="001A1E8F"/>
    <w:rsid w:val="001A2100"/>
    <w:rsid w:val="001A2696"/>
    <w:rsid w:val="001A2734"/>
    <w:rsid w:val="001A2DCB"/>
    <w:rsid w:val="001A341F"/>
    <w:rsid w:val="001A3925"/>
    <w:rsid w:val="001A3AE1"/>
    <w:rsid w:val="001A40D8"/>
    <w:rsid w:val="001A435E"/>
    <w:rsid w:val="001A4568"/>
    <w:rsid w:val="001A4C9C"/>
    <w:rsid w:val="001A4FB5"/>
    <w:rsid w:val="001A517E"/>
    <w:rsid w:val="001A56EA"/>
    <w:rsid w:val="001A5803"/>
    <w:rsid w:val="001A5884"/>
    <w:rsid w:val="001A6082"/>
    <w:rsid w:val="001A622D"/>
    <w:rsid w:val="001A62B0"/>
    <w:rsid w:val="001A7242"/>
    <w:rsid w:val="001A759B"/>
    <w:rsid w:val="001A77AC"/>
    <w:rsid w:val="001A7907"/>
    <w:rsid w:val="001A7E55"/>
    <w:rsid w:val="001B0053"/>
    <w:rsid w:val="001B02AE"/>
    <w:rsid w:val="001B0425"/>
    <w:rsid w:val="001B078F"/>
    <w:rsid w:val="001B0EAE"/>
    <w:rsid w:val="001B173E"/>
    <w:rsid w:val="001B1EF7"/>
    <w:rsid w:val="001B20CC"/>
    <w:rsid w:val="001B2568"/>
    <w:rsid w:val="001B27E8"/>
    <w:rsid w:val="001B28A1"/>
    <w:rsid w:val="001B2CE2"/>
    <w:rsid w:val="001B311A"/>
    <w:rsid w:val="001B34F9"/>
    <w:rsid w:val="001B373B"/>
    <w:rsid w:val="001B37DD"/>
    <w:rsid w:val="001B3A6E"/>
    <w:rsid w:val="001B3A97"/>
    <w:rsid w:val="001B3E1C"/>
    <w:rsid w:val="001B45E7"/>
    <w:rsid w:val="001B4958"/>
    <w:rsid w:val="001B4BC3"/>
    <w:rsid w:val="001B4E85"/>
    <w:rsid w:val="001B509D"/>
    <w:rsid w:val="001B51EB"/>
    <w:rsid w:val="001B60DA"/>
    <w:rsid w:val="001B62A4"/>
    <w:rsid w:val="001B6769"/>
    <w:rsid w:val="001B6936"/>
    <w:rsid w:val="001B6C6B"/>
    <w:rsid w:val="001B6E97"/>
    <w:rsid w:val="001B6FF9"/>
    <w:rsid w:val="001B7076"/>
    <w:rsid w:val="001B7097"/>
    <w:rsid w:val="001B71A9"/>
    <w:rsid w:val="001B761D"/>
    <w:rsid w:val="001B7AD3"/>
    <w:rsid w:val="001B7BE7"/>
    <w:rsid w:val="001C0049"/>
    <w:rsid w:val="001C00F5"/>
    <w:rsid w:val="001C057C"/>
    <w:rsid w:val="001C0776"/>
    <w:rsid w:val="001C08CF"/>
    <w:rsid w:val="001C0928"/>
    <w:rsid w:val="001C0A84"/>
    <w:rsid w:val="001C10F4"/>
    <w:rsid w:val="001C121E"/>
    <w:rsid w:val="001C12A8"/>
    <w:rsid w:val="001C14AA"/>
    <w:rsid w:val="001C16B3"/>
    <w:rsid w:val="001C1932"/>
    <w:rsid w:val="001C22FB"/>
    <w:rsid w:val="001C2A1F"/>
    <w:rsid w:val="001C2F80"/>
    <w:rsid w:val="001C3043"/>
    <w:rsid w:val="001C319E"/>
    <w:rsid w:val="001C31DB"/>
    <w:rsid w:val="001C339E"/>
    <w:rsid w:val="001C34B6"/>
    <w:rsid w:val="001C34D1"/>
    <w:rsid w:val="001C3625"/>
    <w:rsid w:val="001C3A52"/>
    <w:rsid w:val="001C3D9C"/>
    <w:rsid w:val="001C414C"/>
    <w:rsid w:val="001C447E"/>
    <w:rsid w:val="001C47E4"/>
    <w:rsid w:val="001C48C2"/>
    <w:rsid w:val="001C4B15"/>
    <w:rsid w:val="001C4E7C"/>
    <w:rsid w:val="001C555D"/>
    <w:rsid w:val="001C55B7"/>
    <w:rsid w:val="001C590B"/>
    <w:rsid w:val="001C5A1B"/>
    <w:rsid w:val="001C5EC6"/>
    <w:rsid w:val="001C6056"/>
    <w:rsid w:val="001C6097"/>
    <w:rsid w:val="001C6571"/>
    <w:rsid w:val="001C65A2"/>
    <w:rsid w:val="001C6712"/>
    <w:rsid w:val="001C6728"/>
    <w:rsid w:val="001C67A9"/>
    <w:rsid w:val="001C68D4"/>
    <w:rsid w:val="001C69EE"/>
    <w:rsid w:val="001C7251"/>
    <w:rsid w:val="001C7575"/>
    <w:rsid w:val="001C7757"/>
    <w:rsid w:val="001C77FF"/>
    <w:rsid w:val="001C78FA"/>
    <w:rsid w:val="001C798C"/>
    <w:rsid w:val="001C7A4A"/>
    <w:rsid w:val="001C7BEE"/>
    <w:rsid w:val="001D07A3"/>
    <w:rsid w:val="001D0848"/>
    <w:rsid w:val="001D0C32"/>
    <w:rsid w:val="001D0DAA"/>
    <w:rsid w:val="001D0DD4"/>
    <w:rsid w:val="001D0E83"/>
    <w:rsid w:val="001D0EA2"/>
    <w:rsid w:val="001D101C"/>
    <w:rsid w:val="001D1465"/>
    <w:rsid w:val="001D16D1"/>
    <w:rsid w:val="001D1ABD"/>
    <w:rsid w:val="001D1C3E"/>
    <w:rsid w:val="001D1D7B"/>
    <w:rsid w:val="001D2072"/>
    <w:rsid w:val="001D22AD"/>
    <w:rsid w:val="001D2642"/>
    <w:rsid w:val="001D2753"/>
    <w:rsid w:val="001D276C"/>
    <w:rsid w:val="001D27F2"/>
    <w:rsid w:val="001D28B0"/>
    <w:rsid w:val="001D291F"/>
    <w:rsid w:val="001D29FC"/>
    <w:rsid w:val="001D2BF6"/>
    <w:rsid w:val="001D2D87"/>
    <w:rsid w:val="001D328B"/>
    <w:rsid w:val="001D3421"/>
    <w:rsid w:val="001D3C1C"/>
    <w:rsid w:val="001D3DDC"/>
    <w:rsid w:val="001D3F77"/>
    <w:rsid w:val="001D412C"/>
    <w:rsid w:val="001D42E6"/>
    <w:rsid w:val="001D43A0"/>
    <w:rsid w:val="001D46AB"/>
    <w:rsid w:val="001D48CD"/>
    <w:rsid w:val="001D4BF0"/>
    <w:rsid w:val="001D4D13"/>
    <w:rsid w:val="001D4DF1"/>
    <w:rsid w:val="001D4E86"/>
    <w:rsid w:val="001D5306"/>
    <w:rsid w:val="001D549E"/>
    <w:rsid w:val="001D59EB"/>
    <w:rsid w:val="001D5EC4"/>
    <w:rsid w:val="001D5ED2"/>
    <w:rsid w:val="001D5EEA"/>
    <w:rsid w:val="001D63F7"/>
    <w:rsid w:val="001D6A5F"/>
    <w:rsid w:val="001D6CEF"/>
    <w:rsid w:val="001D7193"/>
    <w:rsid w:val="001D7435"/>
    <w:rsid w:val="001D74CF"/>
    <w:rsid w:val="001D77ED"/>
    <w:rsid w:val="001D77FA"/>
    <w:rsid w:val="001D786D"/>
    <w:rsid w:val="001D7A87"/>
    <w:rsid w:val="001D7DA9"/>
    <w:rsid w:val="001D7F1D"/>
    <w:rsid w:val="001E00B2"/>
    <w:rsid w:val="001E0228"/>
    <w:rsid w:val="001E0249"/>
    <w:rsid w:val="001E0775"/>
    <w:rsid w:val="001E0F83"/>
    <w:rsid w:val="001E0FDF"/>
    <w:rsid w:val="001E1066"/>
    <w:rsid w:val="001E10F9"/>
    <w:rsid w:val="001E13BC"/>
    <w:rsid w:val="001E14D8"/>
    <w:rsid w:val="001E15B4"/>
    <w:rsid w:val="001E1989"/>
    <w:rsid w:val="001E1E1E"/>
    <w:rsid w:val="001E25CB"/>
    <w:rsid w:val="001E26F3"/>
    <w:rsid w:val="001E289A"/>
    <w:rsid w:val="001E2AD2"/>
    <w:rsid w:val="001E2C4B"/>
    <w:rsid w:val="001E353D"/>
    <w:rsid w:val="001E36F5"/>
    <w:rsid w:val="001E3729"/>
    <w:rsid w:val="001E39DA"/>
    <w:rsid w:val="001E3AC5"/>
    <w:rsid w:val="001E42B4"/>
    <w:rsid w:val="001E432E"/>
    <w:rsid w:val="001E4460"/>
    <w:rsid w:val="001E4496"/>
    <w:rsid w:val="001E450A"/>
    <w:rsid w:val="001E4C5C"/>
    <w:rsid w:val="001E4C6B"/>
    <w:rsid w:val="001E4E89"/>
    <w:rsid w:val="001E4F1D"/>
    <w:rsid w:val="001E5016"/>
    <w:rsid w:val="001E51FD"/>
    <w:rsid w:val="001E54D1"/>
    <w:rsid w:val="001E5581"/>
    <w:rsid w:val="001E5A79"/>
    <w:rsid w:val="001E5D1A"/>
    <w:rsid w:val="001E5F7E"/>
    <w:rsid w:val="001E669A"/>
    <w:rsid w:val="001E7537"/>
    <w:rsid w:val="001E775E"/>
    <w:rsid w:val="001F03C5"/>
    <w:rsid w:val="001F03F6"/>
    <w:rsid w:val="001F062D"/>
    <w:rsid w:val="001F064D"/>
    <w:rsid w:val="001F0BE1"/>
    <w:rsid w:val="001F104C"/>
    <w:rsid w:val="001F140E"/>
    <w:rsid w:val="001F16B5"/>
    <w:rsid w:val="001F190B"/>
    <w:rsid w:val="001F1D2C"/>
    <w:rsid w:val="001F1DFA"/>
    <w:rsid w:val="001F278D"/>
    <w:rsid w:val="001F2DDF"/>
    <w:rsid w:val="001F2F05"/>
    <w:rsid w:val="001F3125"/>
    <w:rsid w:val="001F3364"/>
    <w:rsid w:val="001F35CC"/>
    <w:rsid w:val="001F3746"/>
    <w:rsid w:val="001F3D00"/>
    <w:rsid w:val="001F3FB8"/>
    <w:rsid w:val="001F43CD"/>
    <w:rsid w:val="001F443A"/>
    <w:rsid w:val="001F4814"/>
    <w:rsid w:val="001F48BA"/>
    <w:rsid w:val="001F4C56"/>
    <w:rsid w:val="001F4C5B"/>
    <w:rsid w:val="001F4E24"/>
    <w:rsid w:val="001F4EF2"/>
    <w:rsid w:val="001F5467"/>
    <w:rsid w:val="001F591F"/>
    <w:rsid w:val="001F5A20"/>
    <w:rsid w:val="001F5BFA"/>
    <w:rsid w:val="001F6102"/>
    <w:rsid w:val="001F6206"/>
    <w:rsid w:val="001F6478"/>
    <w:rsid w:val="001F65AF"/>
    <w:rsid w:val="001F687C"/>
    <w:rsid w:val="001F688E"/>
    <w:rsid w:val="001F6B27"/>
    <w:rsid w:val="001F6C33"/>
    <w:rsid w:val="001F71C2"/>
    <w:rsid w:val="001F73E1"/>
    <w:rsid w:val="001F74E3"/>
    <w:rsid w:val="001F7606"/>
    <w:rsid w:val="001F7634"/>
    <w:rsid w:val="001F7911"/>
    <w:rsid w:val="001F7AD6"/>
    <w:rsid w:val="001F7E50"/>
    <w:rsid w:val="0020047B"/>
    <w:rsid w:val="00200548"/>
    <w:rsid w:val="00200752"/>
    <w:rsid w:val="00200A81"/>
    <w:rsid w:val="00200CE6"/>
    <w:rsid w:val="00200D4D"/>
    <w:rsid w:val="00200DD5"/>
    <w:rsid w:val="00200EA6"/>
    <w:rsid w:val="00201CBE"/>
    <w:rsid w:val="00201D0F"/>
    <w:rsid w:val="00201D40"/>
    <w:rsid w:val="00202027"/>
    <w:rsid w:val="0020218C"/>
    <w:rsid w:val="00202430"/>
    <w:rsid w:val="0020286F"/>
    <w:rsid w:val="00202B15"/>
    <w:rsid w:val="00202E0C"/>
    <w:rsid w:val="00202F9E"/>
    <w:rsid w:val="002030EE"/>
    <w:rsid w:val="0020323A"/>
    <w:rsid w:val="002038F1"/>
    <w:rsid w:val="00203A71"/>
    <w:rsid w:val="002043BB"/>
    <w:rsid w:val="002046F0"/>
    <w:rsid w:val="00204770"/>
    <w:rsid w:val="00204F8D"/>
    <w:rsid w:val="0020504F"/>
    <w:rsid w:val="002051A0"/>
    <w:rsid w:val="002052A0"/>
    <w:rsid w:val="002052EA"/>
    <w:rsid w:val="002053A9"/>
    <w:rsid w:val="002054B7"/>
    <w:rsid w:val="00205651"/>
    <w:rsid w:val="0020595F"/>
    <w:rsid w:val="0020596E"/>
    <w:rsid w:val="00205E51"/>
    <w:rsid w:val="00205EF9"/>
    <w:rsid w:val="00206098"/>
    <w:rsid w:val="0020624C"/>
    <w:rsid w:val="00206392"/>
    <w:rsid w:val="00206433"/>
    <w:rsid w:val="0020645D"/>
    <w:rsid w:val="00206499"/>
    <w:rsid w:val="002065A5"/>
    <w:rsid w:val="00206A5E"/>
    <w:rsid w:val="00207FB6"/>
    <w:rsid w:val="00207FF2"/>
    <w:rsid w:val="00210E33"/>
    <w:rsid w:val="00210F83"/>
    <w:rsid w:val="002112A3"/>
    <w:rsid w:val="002114E9"/>
    <w:rsid w:val="002114ED"/>
    <w:rsid w:val="00211726"/>
    <w:rsid w:val="00211964"/>
    <w:rsid w:val="00211A12"/>
    <w:rsid w:val="00211AF1"/>
    <w:rsid w:val="00211C6A"/>
    <w:rsid w:val="00212313"/>
    <w:rsid w:val="0021253D"/>
    <w:rsid w:val="00212EAF"/>
    <w:rsid w:val="00212F93"/>
    <w:rsid w:val="0021316E"/>
    <w:rsid w:val="0021336B"/>
    <w:rsid w:val="002137EF"/>
    <w:rsid w:val="00213932"/>
    <w:rsid w:val="0021417D"/>
    <w:rsid w:val="0021469C"/>
    <w:rsid w:val="0021494C"/>
    <w:rsid w:val="0021497A"/>
    <w:rsid w:val="00214DB1"/>
    <w:rsid w:val="00214DFA"/>
    <w:rsid w:val="00214FD9"/>
    <w:rsid w:val="00215388"/>
    <w:rsid w:val="00216415"/>
    <w:rsid w:val="0021652F"/>
    <w:rsid w:val="00216791"/>
    <w:rsid w:val="00216A0A"/>
    <w:rsid w:val="00216D92"/>
    <w:rsid w:val="00216F7F"/>
    <w:rsid w:val="00216FA8"/>
    <w:rsid w:val="00216FE0"/>
    <w:rsid w:val="00217143"/>
    <w:rsid w:val="00217247"/>
    <w:rsid w:val="00217564"/>
    <w:rsid w:val="00217A11"/>
    <w:rsid w:val="00217D4D"/>
    <w:rsid w:val="00217E9B"/>
    <w:rsid w:val="00217ECD"/>
    <w:rsid w:val="00220096"/>
    <w:rsid w:val="002205C0"/>
    <w:rsid w:val="00220609"/>
    <w:rsid w:val="0022066B"/>
    <w:rsid w:val="00220702"/>
    <w:rsid w:val="00220C9C"/>
    <w:rsid w:val="0022133C"/>
    <w:rsid w:val="002214A1"/>
    <w:rsid w:val="002215C5"/>
    <w:rsid w:val="002216F0"/>
    <w:rsid w:val="00221B39"/>
    <w:rsid w:val="00221BE5"/>
    <w:rsid w:val="00221C59"/>
    <w:rsid w:val="0022202F"/>
    <w:rsid w:val="002222D7"/>
    <w:rsid w:val="002222EC"/>
    <w:rsid w:val="00222B80"/>
    <w:rsid w:val="0022308C"/>
    <w:rsid w:val="002233BA"/>
    <w:rsid w:val="002241B8"/>
    <w:rsid w:val="00224297"/>
    <w:rsid w:val="002242E6"/>
    <w:rsid w:val="002249A2"/>
    <w:rsid w:val="00224FD3"/>
    <w:rsid w:val="00225191"/>
    <w:rsid w:val="002256C2"/>
    <w:rsid w:val="00225889"/>
    <w:rsid w:val="00225E9F"/>
    <w:rsid w:val="002265BB"/>
    <w:rsid w:val="00226650"/>
    <w:rsid w:val="002266CE"/>
    <w:rsid w:val="0022677B"/>
    <w:rsid w:val="00226889"/>
    <w:rsid w:val="002268A5"/>
    <w:rsid w:val="00226D43"/>
    <w:rsid w:val="00226FDF"/>
    <w:rsid w:val="002271D7"/>
    <w:rsid w:val="002275E8"/>
    <w:rsid w:val="002275F3"/>
    <w:rsid w:val="002276B0"/>
    <w:rsid w:val="00227730"/>
    <w:rsid w:val="00227830"/>
    <w:rsid w:val="002278A4"/>
    <w:rsid w:val="00227A1C"/>
    <w:rsid w:val="00227A57"/>
    <w:rsid w:val="0023028B"/>
    <w:rsid w:val="002303E7"/>
    <w:rsid w:val="00230C71"/>
    <w:rsid w:val="00230EE0"/>
    <w:rsid w:val="002310C6"/>
    <w:rsid w:val="00231111"/>
    <w:rsid w:val="00231347"/>
    <w:rsid w:val="00231930"/>
    <w:rsid w:val="00231A2E"/>
    <w:rsid w:val="00231B86"/>
    <w:rsid w:val="0023227E"/>
    <w:rsid w:val="00232548"/>
    <w:rsid w:val="00232622"/>
    <w:rsid w:val="00232873"/>
    <w:rsid w:val="00232990"/>
    <w:rsid w:val="00232A64"/>
    <w:rsid w:val="00232CAB"/>
    <w:rsid w:val="00232DAD"/>
    <w:rsid w:val="00232E51"/>
    <w:rsid w:val="002339CC"/>
    <w:rsid w:val="00233A89"/>
    <w:rsid w:val="002340FF"/>
    <w:rsid w:val="00234500"/>
    <w:rsid w:val="00234D7A"/>
    <w:rsid w:val="0023532D"/>
    <w:rsid w:val="002353AC"/>
    <w:rsid w:val="00235601"/>
    <w:rsid w:val="0023564A"/>
    <w:rsid w:val="00235995"/>
    <w:rsid w:val="00235F99"/>
    <w:rsid w:val="002362F0"/>
    <w:rsid w:val="0023664D"/>
    <w:rsid w:val="00236686"/>
    <w:rsid w:val="0023673F"/>
    <w:rsid w:val="00236A56"/>
    <w:rsid w:val="00236CEA"/>
    <w:rsid w:val="00236E80"/>
    <w:rsid w:val="0023704C"/>
    <w:rsid w:val="002375DB"/>
    <w:rsid w:val="00237817"/>
    <w:rsid w:val="0023783B"/>
    <w:rsid w:val="00237890"/>
    <w:rsid w:val="00240025"/>
    <w:rsid w:val="00240095"/>
    <w:rsid w:val="00240278"/>
    <w:rsid w:val="00240420"/>
    <w:rsid w:val="002404AB"/>
    <w:rsid w:val="00240560"/>
    <w:rsid w:val="00240D5D"/>
    <w:rsid w:val="00240DBB"/>
    <w:rsid w:val="00240F02"/>
    <w:rsid w:val="002410AD"/>
    <w:rsid w:val="00241139"/>
    <w:rsid w:val="002411AC"/>
    <w:rsid w:val="002416F5"/>
    <w:rsid w:val="00241842"/>
    <w:rsid w:val="00241A77"/>
    <w:rsid w:val="00241CF5"/>
    <w:rsid w:val="002427B2"/>
    <w:rsid w:val="00242859"/>
    <w:rsid w:val="00242C0A"/>
    <w:rsid w:val="00242CE6"/>
    <w:rsid w:val="00243027"/>
    <w:rsid w:val="00243236"/>
    <w:rsid w:val="002433C3"/>
    <w:rsid w:val="0024342E"/>
    <w:rsid w:val="002436A9"/>
    <w:rsid w:val="00243B20"/>
    <w:rsid w:val="00243BB4"/>
    <w:rsid w:val="002440F1"/>
    <w:rsid w:val="00244307"/>
    <w:rsid w:val="00244428"/>
    <w:rsid w:val="00244454"/>
    <w:rsid w:val="00244AC7"/>
    <w:rsid w:val="00244E0D"/>
    <w:rsid w:val="00244F6A"/>
    <w:rsid w:val="002453E6"/>
    <w:rsid w:val="002454B5"/>
    <w:rsid w:val="00245535"/>
    <w:rsid w:val="00245569"/>
    <w:rsid w:val="00245756"/>
    <w:rsid w:val="00246039"/>
    <w:rsid w:val="00246457"/>
    <w:rsid w:val="00246480"/>
    <w:rsid w:val="002464BF"/>
    <w:rsid w:val="002469A9"/>
    <w:rsid w:val="00246CB7"/>
    <w:rsid w:val="00246D50"/>
    <w:rsid w:val="00246E76"/>
    <w:rsid w:val="0024704F"/>
    <w:rsid w:val="0024716D"/>
    <w:rsid w:val="00247385"/>
    <w:rsid w:val="00247673"/>
    <w:rsid w:val="00247A65"/>
    <w:rsid w:val="00247C0F"/>
    <w:rsid w:val="0025040E"/>
    <w:rsid w:val="00250640"/>
    <w:rsid w:val="00250B9D"/>
    <w:rsid w:val="002517EA"/>
    <w:rsid w:val="00251CD9"/>
    <w:rsid w:val="00251D6E"/>
    <w:rsid w:val="0025212E"/>
    <w:rsid w:val="00252480"/>
    <w:rsid w:val="00252687"/>
    <w:rsid w:val="002528A2"/>
    <w:rsid w:val="00252ACD"/>
    <w:rsid w:val="00252B3A"/>
    <w:rsid w:val="00252BD3"/>
    <w:rsid w:val="00252E2D"/>
    <w:rsid w:val="00252EC9"/>
    <w:rsid w:val="002532AD"/>
    <w:rsid w:val="0025339C"/>
    <w:rsid w:val="00253460"/>
    <w:rsid w:val="00253635"/>
    <w:rsid w:val="0025376F"/>
    <w:rsid w:val="002537F5"/>
    <w:rsid w:val="00253976"/>
    <w:rsid w:val="002539A6"/>
    <w:rsid w:val="00253FD7"/>
    <w:rsid w:val="0025462C"/>
    <w:rsid w:val="002546A0"/>
    <w:rsid w:val="002546C4"/>
    <w:rsid w:val="002548DD"/>
    <w:rsid w:val="00254946"/>
    <w:rsid w:val="00254CB9"/>
    <w:rsid w:val="00254E31"/>
    <w:rsid w:val="00254E36"/>
    <w:rsid w:val="00254EF5"/>
    <w:rsid w:val="0025511C"/>
    <w:rsid w:val="00255425"/>
    <w:rsid w:val="0025548D"/>
    <w:rsid w:val="00255E2E"/>
    <w:rsid w:val="00255F9A"/>
    <w:rsid w:val="0025673F"/>
    <w:rsid w:val="002568E7"/>
    <w:rsid w:val="00256EC5"/>
    <w:rsid w:val="00256F68"/>
    <w:rsid w:val="002571A7"/>
    <w:rsid w:val="00257524"/>
    <w:rsid w:val="00257728"/>
    <w:rsid w:val="00257912"/>
    <w:rsid w:val="002579BC"/>
    <w:rsid w:val="00257B6C"/>
    <w:rsid w:val="0026029E"/>
    <w:rsid w:val="00260595"/>
    <w:rsid w:val="00260B32"/>
    <w:rsid w:val="00260C2A"/>
    <w:rsid w:val="00260DFF"/>
    <w:rsid w:val="00260F2C"/>
    <w:rsid w:val="002611C9"/>
    <w:rsid w:val="00261587"/>
    <w:rsid w:val="00261BEA"/>
    <w:rsid w:val="00261DA5"/>
    <w:rsid w:val="0026211F"/>
    <w:rsid w:val="0026228A"/>
    <w:rsid w:val="00262407"/>
    <w:rsid w:val="0026284A"/>
    <w:rsid w:val="00262BB4"/>
    <w:rsid w:val="00263039"/>
    <w:rsid w:val="00263356"/>
    <w:rsid w:val="002633BF"/>
    <w:rsid w:val="002633ED"/>
    <w:rsid w:val="00263467"/>
    <w:rsid w:val="00263AFD"/>
    <w:rsid w:val="00263E7F"/>
    <w:rsid w:val="0026405E"/>
    <w:rsid w:val="00264B96"/>
    <w:rsid w:val="00264F98"/>
    <w:rsid w:val="00264FAA"/>
    <w:rsid w:val="00265002"/>
    <w:rsid w:val="00265515"/>
    <w:rsid w:val="00265A4D"/>
    <w:rsid w:val="00265C04"/>
    <w:rsid w:val="00265ECF"/>
    <w:rsid w:val="00265F84"/>
    <w:rsid w:val="0026646D"/>
    <w:rsid w:val="002664BD"/>
    <w:rsid w:val="00266503"/>
    <w:rsid w:val="00266F77"/>
    <w:rsid w:val="00267173"/>
    <w:rsid w:val="002673A7"/>
    <w:rsid w:val="0026793A"/>
    <w:rsid w:val="00267974"/>
    <w:rsid w:val="00267B9C"/>
    <w:rsid w:val="00267BC0"/>
    <w:rsid w:val="00267CAE"/>
    <w:rsid w:val="00267EA5"/>
    <w:rsid w:val="00267F1C"/>
    <w:rsid w:val="00267F57"/>
    <w:rsid w:val="00270357"/>
    <w:rsid w:val="002708B7"/>
    <w:rsid w:val="00271527"/>
    <w:rsid w:val="0027157F"/>
    <w:rsid w:val="002715F7"/>
    <w:rsid w:val="002717A2"/>
    <w:rsid w:val="002717E0"/>
    <w:rsid w:val="0027195F"/>
    <w:rsid w:val="00271C32"/>
    <w:rsid w:val="00271C37"/>
    <w:rsid w:val="00271E8B"/>
    <w:rsid w:val="00272005"/>
    <w:rsid w:val="00272EED"/>
    <w:rsid w:val="002732C6"/>
    <w:rsid w:val="00273452"/>
    <w:rsid w:val="00273A18"/>
    <w:rsid w:val="0027405B"/>
    <w:rsid w:val="0027407C"/>
    <w:rsid w:val="0027428D"/>
    <w:rsid w:val="002749A2"/>
    <w:rsid w:val="0027567F"/>
    <w:rsid w:val="002756AE"/>
    <w:rsid w:val="00275810"/>
    <w:rsid w:val="002758A3"/>
    <w:rsid w:val="0027599E"/>
    <w:rsid w:val="002759EC"/>
    <w:rsid w:val="00275A36"/>
    <w:rsid w:val="00275BBF"/>
    <w:rsid w:val="00275C4A"/>
    <w:rsid w:val="00275D27"/>
    <w:rsid w:val="00275EE8"/>
    <w:rsid w:val="00275F8E"/>
    <w:rsid w:val="00276043"/>
    <w:rsid w:val="002762BE"/>
    <w:rsid w:val="0027644E"/>
    <w:rsid w:val="00276A6A"/>
    <w:rsid w:val="00276C62"/>
    <w:rsid w:val="00276CC8"/>
    <w:rsid w:val="00276D1F"/>
    <w:rsid w:val="002770AA"/>
    <w:rsid w:val="002770F5"/>
    <w:rsid w:val="00277461"/>
    <w:rsid w:val="002774C1"/>
    <w:rsid w:val="00277654"/>
    <w:rsid w:val="002776F4"/>
    <w:rsid w:val="002777A2"/>
    <w:rsid w:val="002801B0"/>
    <w:rsid w:val="0028022D"/>
    <w:rsid w:val="0028027C"/>
    <w:rsid w:val="002804F1"/>
    <w:rsid w:val="002807BA"/>
    <w:rsid w:val="002809F1"/>
    <w:rsid w:val="00280DCB"/>
    <w:rsid w:val="00280FA5"/>
    <w:rsid w:val="002810F0"/>
    <w:rsid w:val="00281170"/>
    <w:rsid w:val="002814FD"/>
    <w:rsid w:val="00281559"/>
    <w:rsid w:val="0028168E"/>
    <w:rsid w:val="00281BC2"/>
    <w:rsid w:val="00281F94"/>
    <w:rsid w:val="00282020"/>
    <w:rsid w:val="00282090"/>
    <w:rsid w:val="00282577"/>
    <w:rsid w:val="00283075"/>
    <w:rsid w:val="00283426"/>
    <w:rsid w:val="00283492"/>
    <w:rsid w:val="0028358D"/>
    <w:rsid w:val="0028385A"/>
    <w:rsid w:val="00283CF7"/>
    <w:rsid w:val="00283D1C"/>
    <w:rsid w:val="002840E8"/>
    <w:rsid w:val="00284122"/>
    <w:rsid w:val="002845D1"/>
    <w:rsid w:val="00284607"/>
    <w:rsid w:val="00284B1B"/>
    <w:rsid w:val="00284EB0"/>
    <w:rsid w:val="00284F30"/>
    <w:rsid w:val="00286259"/>
    <w:rsid w:val="00286362"/>
    <w:rsid w:val="002864A2"/>
    <w:rsid w:val="002867E9"/>
    <w:rsid w:val="00286AAA"/>
    <w:rsid w:val="00286AF5"/>
    <w:rsid w:val="00286B31"/>
    <w:rsid w:val="00286C22"/>
    <w:rsid w:val="00286DF0"/>
    <w:rsid w:val="00287069"/>
    <w:rsid w:val="002872FC"/>
    <w:rsid w:val="00287751"/>
    <w:rsid w:val="00287B38"/>
    <w:rsid w:val="00287B4B"/>
    <w:rsid w:val="00290285"/>
    <w:rsid w:val="0029040B"/>
    <w:rsid w:val="002909B3"/>
    <w:rsid w:val="00290A33"/>
    <w:rsid w:val="00290AAD"/>
    <w:rsid w:val="00290C95"/>
    <w:rsid w:val="00290DE9"/>
    <w:rsid w:val="00290E79"/>
    <w:rsid w:val="00291019"/>
    <w:rsid w:val="00291163"/>
    <w:rsid w:val="002912A8"/>
    <w:rsid w:val="002913BD"/>
    <w:rsid w:val="0029172B"/>
    <w:rsid w:val="002928B2"/>
    <w:rsid w:val="002929EE"/>
    <w:rsid w:val="00292EB6"/>
    <w:rsid w:val="00292FCB"/>
    <w:rsid w:val="0029308A"/>
    <w:rsid w:val="00293101"/>
    <w:rsid w:val="002933E6"/>
    <w:rsid w:val="002933F6"/>
    <w:rsid w:val="00293472"/>
    <w:rsid w:val="002937FF"/>
    <w:rsid w:val="00293822"/>
    <w:rsid w:val="002938E1"/>
    <w:rsid w:val="00293B93"/>
    <w:rsid w:val="00293D05"/>
    <w:rsid w:val="00293F61"/>
    <w:rsid w:val="00293F95"/>
    <w:rsid w:val="00294023"/>
    <w:rsid w:val="00294395"/>
    <w:rsid w:val="00294446"/>
    <w:rsid w:val="002945C1"/>
    <w:rsid w:val="00294875"/>
    <w:rsid w:val="00294AE1"/>
    <w:rsid w:val="00294BE3"/>
    <w:rsid w:val="002958A5"/>
    <w:rsid w:val="00295920"/>
    <w:rsid w:val="00295936"/>
    <w:rsid w:val="00295ED5"/>
    <w:rsid w:val="00295F87"/>
    <w:rsid w:val="00296054"/>
    <w:rsid w:val="00296556"/>
    <w:rsid w:val="002965F7"/>
    <w:rsid w:val="002965FA"/>
    <w:rsid w:val="002968D8"/>
    <w:rsid w:val="00296A0E"/>
    <w:rsid w:val="00296B09"/>
    <w:rsid w:val="00297108"/>
    <w:rsid w:val="0029727D"/>
    <w:rsid w:val="002975DF"/>
    <w:rsid w:val="0029782F"/>
    <w:rsid w:val="00297A01"/>
    <w:rsid w:val="00297B1D"/>
    <w:rsid w:val="00297BF8"/>
    <w:rsid w:val="002A0288"/>
    <w:rsid w:val="002A04BF"/>
    <w:rsid w:val="002A06C7"/>
    <w:rsid w:val="002A0B7F"/>
    <w:rsid w:val="002A11C5"/>
    <w:rsid w:val="002A1672"/>
    <w:rsid w:val="002A18B0"/>
    <w:rsid w:val="002A1B26"/>
    <w:rsid w:val="002A1C86"/>
    <w:rsid w:val="002A1CCC"/>
    <w:rsid w:val="002A1F0C"/>
    <w:rsid w:val="002A1FDC"/>
    <w:rsid w:val="002A216B"/>
    <w:rsid w:val="002A237C"/>
    <w:rsid w:val="002A2B1C"/>
    <w:rsid w:val="002A2D5E"/>
    <w:rsid w:val="002A30FA"/>
    <w:rsid w:val="002A3346"/>
    <w:rsid w:val="002A365A"/>
    <w:rsid w:val="002A3A10"/>
    <w:rsid w:val="002A3AEA"/>
    <w:rsid w:val="002A3FBD"/>
    <w:rsid w:val="002A40EF"/>
    <w:rsid w:val="002A4616"/>
    <w:rsid w:val="002A4A81"/>
    <w:rsid w:val="002A4C91"/>
    <w:rsid w:val="002A4FE3"/>
    <w:rsid w:val="002A54AE"/>
    <w:rsid w:val="002A5BAD"/>
    <w:rsid w:val="002A5FB9"/>
    <w:rsid w:val="002A6014"/>
    <w:rsid w:val="002A654C"/>
    <w:rsid w:val="002A67A8"/>
    <w:rsid w:val="002A6851"/>
    <w:rsid w:val="002A6AB9"/>
    <w:rsid w:val="002A6E69"/>
    <w:rsid w:val="002A6EA5"/>
    <w:rsid w:val="002A7270"/>
    <w:rsid w:val="002A73AD"/>
    <w:rsid w:val="002A7584"/>
    <w:rsid w:val="002A779A"/>
    <w:rsid w:val="002A7C23"/>
    <w:rsid w:val="002B03D1"/>
    <w:rsid w:val="002B0454"/>
    <w:rsid w:val="002B0485"/>
    <w:rsid w:val="002B07A3"/>
    <w:rsid w:val="002B07CD"/>
    <w:rsid w:val="002B0BFE"/>
    <w:rsid w:val="002B0DC0"/>
    <w:rsid w:val="002B1016"/>
    <w:rsid w:val="002B116E"/>
    <w:rsid w:val="002B117E"/>
    <w:rsid w:val="002B119A"/>
    <w:rsid w:val="002B158F"/>
    <w:rsid w:val="002B166F"/>
    <w:rsid w:val="002B173C"/>
    <w:rsid w:val="002B1A18"/>
    <w:rsid w:val="002B1B1E"/>
    <w:rsid w:val="002B21E2"/>
    <w:rsid w:val="002B2860"/>
    <w:rsid w:val="002B2925"/>
    <w:rsid w:val="002B2B62"/>
    <w:rsid w:val="002B33A6"/>
    <w:rsid w:val="002B33DF"/>
    <w:rsid w:val="002B3C2E"/>
    <w:rsid w:val="002B3FDC"/>
    <w:rsid w:val="002B41C7"/>
    <w:rsid w:val="002B43BD"/>
    <w:rsid w:val="002B45FD"/>
    <w:rsid w:val="002B4CC9"/>
    <w:rsid w:val="002B4DB1"/>
    <w:rsid w:val="002B4F0B"/>
    <w:rsid w:val="002B4F2C"/>
    <w:rsid w:val="002B4F83"/>
    <w:rsid w:val="002B5480"/>
    <w:rsid w:val="002B5712"/>
    <w:rsid w:val="002B57C9"/>
    <w:rsid w:val="002B57E0"/>
    <w:rsid w:val="002B5F78"/>
    <w:rsid w:val="002B61F9"/>
    <w:rsid w:val="002B64EB"/>
    <w:rsid w:val="002B6554"/>
    <w:rsid w:val="002B65D8"/>
    <w:rsid w:val="002B6601"/>
    <w:rsid w:val="002B6686"/>
    <w:rsid w:val="002B6B6A"/>
    <w:rsid w:val="002B7036"/>
    <w:rsid w:val="002B7115"/>
    <w:rsid w:val="002B7177"/>
    <w:rsid w:val="002B722D"/>
    <w:rsid w:val="002B7369"/>
    <w:rsid w:val="002B7983"/>
    <w:rsid w:val="002B79F6"/>
    <w:rsid w:val="002B7AB2"/>
    <w:rsid w:val="002B7CB0"/>
    <w:rsid w:val="002B7D77"/>
    <w:rsid w:val="002C009B"/>
    <w:rsid w:val="002C0168"/>
    <w:rsid w:val="002C0686"/>
    <w:rsid w:val="002C1555"/>
    <w:rsid w:val="002C198E"/>
    <w:rsid w:val="002C1C9D"/>
    <w:rsid w:val="002C1D01"/>
    <w:rsid w:val="002C1DA6"/>
    <w:rsid w:val="002C1F2F"/>
    <w:rsid w:val="002C204E"/>
    <w:rsid w:val="002C21D0"/>
    <w:rsid w:val="002C21F8"/>
    <w:rsid w:val="002C2211"/>
    <w:rsid w:val="002C22A9"/>
    <w:rsid w:val="002C26FE"/>
    <w:rsid w:val="002C2AC2"/>
    <w:rsid w:val="002C2D62"/>
    <w:rsid w:val="002C2F2B"/>
    <w:rsid w:val="002C30FE"/>
    <w:rsid w:val="002C310A"/>
    <w:rsid w:val="002C31F7"/>
    <w:rsid w:val="002C3435"/>
    <w:rsid w:val="002C37B7"/>
    <w:rsid w:val="002C3B40"/>
    <w:rsid w:val="002C3C92"/>
    <w:rsid w:val="002C3E94"/>
    <w:rsid w:val="002C3F1D"/>
    <w:rsid w:val="002C3F3E"/>
    <w:rsid w:val="002C4161"/>
    <w:rsid w:val="002C425C"/>
    <w:rsid w:val="002C4435"/>
    <w:rsid w:val="002C47DC"/>
    <w:rsid w:val="002C4965"/>
    <w:rsid w:val="002C49A9"/>
    <w:rsid w:val="002C4BC4"/>
    <w:rsid w:val="002C4CFA"/>
    <w:rsid w:val="002C4E67"/>
    <w:rsid w:val="002C4F7B"/>
    <w:rsid w:val="002C51A0"/>
    <w:rsid w:val="002C52C3"/>
    <w:rsid w:val="002C531F"/>
    <w:rsid w:val="002C5506"/>
    <w:rsid w:val="002C57D7"/>
    <w:rsid w:val="002C6464"/>
    <w:rsid w:val="002C64F8"/>
    <w:rsid w:val="002C6517"/>
    <w:rsid w:val="002C6F6B"/>
    <w:rsid w:val="002C71E9"/>
    <w:rsid w:val="002C7362"/>
    <w:rsid w:val="002C7447"/>
    <w:rsid w:val="002C780E"/>
    <w:rsid w:val="002C7CF0"/>
    <w:rsid w:val="002C7FB5"/>
    <w:rsid w:val="002D08B7"/>
    <w:rsid w:val="002D0A4C"/>
    <w:rsid w:val="002D0D89"/>
    <w:rsid w:val="002D0E19"/>
    <w:rsid w:val="002D12B9"/>
    <w:rsid w:val="002D13A7"/>
    <w:rsid w:val="002D1783"/>
    <w:rsid w:val="002D18DF"/>
    <w:rsid w:val="002D1DF3"/>
    <w:rsid w:val="002D2564"/>
    <w:rsid w:val="002D2921"/>
    <w:rsid w:val="002D2A58"/>
    <w:rsid w:val="002D2D0B"/>
    <w:rsid w:val="002D2FEF"/>
    <w:rsid w:val="002D2FF3"/>
    <w:rsid w:val="002D3000"/>
    <w:rsid w:val="002D3105"/>
    <w:rsid w:val="002D35E1"/>
    <w:rsid w:val="002D3686"/>
    <w:rsid w:val="002D3963"/>
    <w:rsid w:val="002D3969"/>
    <w:rsid w:val="002D39A1"/>
    <w:rsid w:val="002D3A1B"/>
    <w:rsid w:val="002D3FFA"/>
    <w:rsid w:val="002D44E9"/>
    <w:rsid w:val="002D485E"/>
    <w:rsid w:val="002D4DB8"/>
    <w:rsid w:val="002D4FBE"/>
    <w:rsid w:val="002D50A6"/>
    <w:rsid w:val="002D53AB"/>
    <w:rsid w:val="002D54BF"/>
    <w:rsid w:val="002D54C4"/>
    <w:rsid w:val="002D572E"/>
    <w:rsid w:val="002D5D37"/>
    <w:rsid w:val="002D61CF"/>
    <w:rsid w:val="002D64DE"/>
    <w:rsid w:val="002D658C"/>
    <w:rsid w:val="002D68FA"/>
    <w:rsid w:val="002D6AD2"/>
    <w:rsid w:val="002D705C"/>
    <w:rsid w:val="002D7077"/>
    <w:rsid w:val="002D7191"/>
    <w:rsid w:val="002D76AF"/>
    <w:rsid w:val="002D792D"/>
    <w:rsid w:val="002D7C11"/>
    <w:rsid w:val="002D7C1A"/>
    <w:rsid w:val="002D7C8B"/>
    <w:rsid w:val="002E0248"/>
    <w:rsid w:val="002E057B"/>
    <w:rsid w:val="002E064C"/>
    <w:rsid w:val="002E069B"/>
    <w:rsid w:val="002E088D"/>
    <w:rsid w:val="002E0C90"/>
    <w:rsid w:val="002E0DDF"/>
    <w:rsid w:val="002E0DE1"/>
    <w:rsid w:val="002E227F"/>
    <w:rsid w:val="002E275D"/>
    <w:rsid w:val="002E279E"/>
    <w:rsid w:val="002E281A"/>
    <w:rsid w:val="002E2A85"/>
    <w:rsid w:val="002E33BD"/>
    <w:rsid w:val="002E3403"/>
    <w:rsid w:val="002E3429"/>
    <w:rsid w:val="002E37DC"/>
    <w:rsid w:val="002E3A41"/>
    <w:rsid w:val="002E3F08"/>
    <w:rsid w:val="002E3FE3"/>
    <w:rsid w:val="002E400D"/>
    <w:rsid w:val="002E4080"/>
    <w:rsid w:val="002E41A7"/>
    <w:rsid w:val="002E422A"/>
    <w:rsid w:val="002E46C3"/>
    <w:rsid w:val="002E4724"/>
    <w:rsid w:val="002E474F"/>
    <w:rsid w:val="002E47AD"/>
    <w:rsid w:val="002E4B84"/>
    <w:rsid w:val="002E4BC1"/>
    <w:rsid w:val="002E4D95"/>
    <w:rsid w:val="002E4DBA"/>
    <w:rsid w:val="002E4E98"/>
    <w:rsid w:val="002E50C2"/>
    <w:rsid w:val="002E5401"/>
    <w:rsid w:val="002E545A"/>
    <w:rsid w:val="002E5475"/>
    <w:rsid w:val="002E5491"/>
    <w:rsid w:val="002E58A0"/>
    <w:rsid w:val="002E5CE7"/>
    <w:rsid w:val="002E5F62"/>
    <w:rsid w:val="002E5FFD"/>
    <w:rsid w:val="002E6268"/>
    <w:rsid w:val="002E6357"/>
    <w:rsid w:val="002E640D"/>
    <w:rsid w:val="002E6554"/>
    <w:rsid w:val="002E65C1"/>
    <w:rsid w:val="002E6B4A"/>
    <w:rsid w:val="002E6EB3"/>
    <w:rsid w:val="002E7016"/>
    <w:rsid w:val="002E7BAD"/>
    <w:rsid w:val="002E7F44"/>
    <w:rsid w:val="002F0234"/>
    <w:rsid w:val="002F05CE"/>
    <w:rsid w:val="002F067A"/>
    <w:rsid w:val="002F0B86"/>
    <w:rsid w:val="002F0C6F"/>
    <w:rsid w:val="002F0CF8"/>
    <w:rsid w:val="002F0DBB"/>
    <w:rsid w:val="002F0E27"/>
    <w:rsid w:val="002F0F8F"/>
    <w:rsid w:val="002F1052"/>
    <w:rsid w:val="002F132B"/>
    <w:rsid w:val="002F13FB"/>
    <w:rsid w:val="002F1466"/>
    <w:rsid w:val="002F14F4"/>
    <w:rsid w:val="002F158C"/>
    <w:rsid w:val="002F1690"/>
    <w:rsid w:val="002F1819"/>
    <w:rsid w:val="002F1865"/>
    <w:rsid w:val="002F193D"/>
    <w:rsid w:val="002F1C30"/>
    <w:rsid w:val="002F1C6A"/>
    <w:rsid w:val="002F1CF7"/>
    <w:rsid w:val="002F2495"/>
    <w:rsid w:val="002F26EA"/>
    <w:rsid w:val="002F27ED"/>
    <w:rsid w:val="002F28DB"/>
    <w:rsid w:val="002F2AA8"/>
    <w:rsid w:val="002F2C4C"/>
    <w:rsid w:val="002F3765"/>
    <w:rsid w:val="002F37F2"/>
    <w:rsid w:val="002F3972"/>
    <w:rsid w:val="002F39AF"/>
    <w:rsid w:val="002F3AE2"/>
    <w:rsid w:val="002F3CDB"/>
    <w:rsid w:val="002F3CF9"/>
    <w:rsid w:val="002F3EFC"/>
    <w:rsid w:val="002F4911"/>
    <w:rsid w:val="002F4E81"/>
    <w:rsid w:val="002F540B"/>
    <w:rsid w:val="002F5BC2"/>
    <w:rsid w:val="002F5F4C"/>
    <w:rsid w:val="002F60D4"/>
    <w:rsid w:val="002F64BF"/>
    <w:rsid w:val="002F6555"/>
    <w:rsid w:val="002F685C"/>
    <w:rsid w:val="002F69D4"/>
    <w:rsid w:val="002F6F66"/>
    <w:rsid w:val="002F6FFD"/>
    <w:rsid w:val="002F7505"/>
    <w:rsid w:val="002F7708"/>
    <w:rsid w:val="002F791E"/>
    <w:rsid w:val="00300C0C"/>
    <w:rsid w:val="00301152"/>
    <w:rsid w:val="00301599"/>
    <w:rsid w:val="0030162A"/>
    <w:rsid w:val="0030170E"/>
    <w:rsid w:val="003019CC"/>
    <w:rsid w:val="00302162"/>
    <w:rsid w:val="003021C8"/>
    <w:rsid w:val="003023E3"/>
    <w:rsid w:val="00302532"/>
    <w:rsid w:val="0030275B"/>
    <w:rsid w:val="00302864"/>
    <w:rsid w:val="0030294C"/>
    <w:rsid w:val="00302C22"/>
    <w:rsid w:val="00302D1B"/>
    <w:rsid w:val="003037E9"/>
    <w:rsid w:val="003039C8"/>
    <w:rsid w:val="003040B9"/>
    <w:rsid w:val="00304128"/>
    <w:rsid w:val="00304A03"/>
    <w:rsid w:val="00304E9F"/>
    <w:rsid w:val="00305181"/>
    <w:rsid w:val="003053F6"/>
    <w:rsid w:val="0030547E"/>
    <w:rsid w:val="0030552D"/>
    <w:rsid w:val="003055D2"/>
    <w:rsid w:val="003059CE"/>
    <w:rsid w:val="00305B55"/>
    <w:rsid w:val="00305E51"/>
    <w:rsid w:val="00307931"/>
    <w:rsid w:val="00307A93"/>
    <w:rsid w:val="00307B65"/>
    <w:rsid w:val="00307DA6"/>
    <w:rsid w:val="00307F50"/>
    <w:rsid w:val="003109FF"/>
    <w:rsid w:val="00310D60"/>
    <w:rsid w:val="00310D78"/>
    <w:rsid w:val="00310DD8"/>
    <w:rsid w:val="00310FFC"/>
    <w:rsid w:val="003111D9"/>
    <w:rsid w:val="00311280"/>
    <w:rsid w:val="00311A36"/>
    <w:rsid w:val="00311ADB"/>
    <w:rsid w:val="00311E09"/>
    <w:rsid w:val="00311E2D"/>
    <w:rsid w:val="00311F30"/>
    <w:rsid w:val="00312053"/>
    <w:rsid w:val="00313398"/>
    <w:rsid w:val="0031342B"/>
    <w:rsid w:val="003137B3"/>
    <w:rsid w:val="00313866"/>
    <w:rsid w:val="00313977"/>
    <w:rsid w:val="003140B8"/>
    <w:rsid w:val="003142D0"/>
    <w:rsid w:val="00314543"/>
    <w:rsid w:val="0031458D"/>
    <w:rsid w:val="00314BC7"/>
    <w:rsid w:val="00314C72"/>
    <w:rsid w:val="00314D43"/>
    <w:rsid w:val="003150CE"/>
    <w:rsid w:val="0031512E"/>
    <w:rsid w:val="003151F6"/>
    <w:rsid w:val="003155D1"/>
    <w:rsid w:val="00315982"/>
    <w:rsid w:val="00315FBA"/>
    <w:rsid w:val="003160F6"/>
    <w:rsid w:val="00316242"/>
    <w:rsid w:val="0031700D"/>
    <w:rsid w:val="00317128"/>
    <w:rsid w:val="00317347"/>
    <w:rsid w:val="00317461"/>
    <w:rsid w:val="00317AC0"/>
    <w:rsid w:val="0032028F"/>
    <w:rsid w:val="00320611"/>
    <w:rsid w:val="00320761"/>
    <w:rsid w:val="00321668"/>
    <w:rsid w:val="00321877"/>
    <w:rsid w:val="00321B67"/>
    <w:rsid w:val="00321E39"/>
    <w:rsid w:val="00321F04"/>
    <w:rsid w:val="00322606"/>
    <w:rsid w:val="00322924"/>
    <w:rsid w:val="00322E78"/>
    <w:rsid w:val="00322F43"/>
    <w:rsid w:val="00323527"/>
    <w:rsid w:val="00323544"/>
    <w:rsid w:val="0032379D"/>
    <w:rsid w:val="00323DAF"/>
    <w:rsid w:val="00324106"/>
    <w:rsid w:val="00324283"/>
    <w:rsid w:val="003248F9"/>
    <w:rsid w:val="00324983"/>
    <w:rsid w:val="00324B78"/>
    <w:rsid w:val="00324CC0"/>
    <w:rsid w:val="00325695"/>
    <w:rsid w:val="003256E9"/>
    <w:rsid w:val="00325AE8"/>
    <w:rsid w:val="00325AFE"/>
    <w:rsid w:val="0032605C"/>
    <w:rsid w:val="00326130"/>
    <w:rsid w:val="00326243"/>
    <w:rsid w:val="00326295"/>
    <w:rsid w:val="0032646C"/>
    <w:rsid w:val="0032662F"/>
    <w:rsid w:val="003268A5"/>
    <w:rsid w:val="003269FA"/>
    <w:rsid w:val="00326DFF"/>
    <w:rsid w:val="00326E77"/>
    <w:rsid w:val="00327058"/>
    <w:rsid w:val="003273B6"/>
    <w:rsid w:val="0032799F"/>
    <w:rsid w:val="00327BDB"/>
    <w:rsid w:val="00330113"/>
    <w:rsid w:val="003302EE"/>
    <w:rsid w:val="003303DE"/>
    <w:rsid w:val="00330A00"/>
    <w:rsid w:val="00330CA8"/>
    <w:rsid w:val="00331299"/>
    <w:rsid w:val="00331370"/>
    <w:rsid w:val="00331540"/>
    <w:rsid w:val="003318A4"/>
    <w:rsid w:val="00331C37"/>
    <w:rsid w:val="003326A1"/>
    <w:rsid w:val="00332769"/>
    <w:rsid w:val="0033289E"/>
    <w:rsid w:val="00332B76"/>
    <w:rsid w:val="0033329B"/>
    <w:rsid w:val="003332F5"/>
    <w:rsid w:val="00333791"/>
    <w:rsid w:val="003339AD"/>
    <w:rsid w:val="00333EA7"/>
    <w:rsid w:val="00334137"/>
    <w:rsid w:val="003343FA"/>
    <w:rsid w:val="0033449E"/>
    <w:rsid w:val="0033487C"/>
    <w:rsid w:val="003348CA"/>
    <w:rsid w:val="00334977"/>
    <w:rsid w:val="00334E71"/>
    <w:rsid w:val="00334F2D"/>
    <w:rsid w:val="00335293"/>
    <w:rsid w:val="0033529A"/>
    <w:rsid w:val="0033538F"/>
    <w:rsid w:val="0033540A"/>
    <w:rsid w:val="00335927"/>
    <w:rsid w:val="00335A61"/>
    <w:rsid w:val="00335A79"/>
    <w:rsid w:val="00335B2C"/>
    <w:rsid w:val="00335BDA"/>
    <w:rsid w:val="00335E29"/>
    <w:rsid w:val="00335E5E"/>
    <w:rsid w:val="00336083"/>
    <w:rsid w:val="003363EF"/>
    <w:rsid w:val="00336731"/>
    <w:rsid w:val="00336E91"/>
    <w:rsid w:val="00336F54"/>
    <w:rsid w:val="003372C0"/>
    <w:rsid w:val="00337AD9"/>
    <w:rsid w:val="00337AE8"/>
    <w:rsid w:val="00337D7B"/>
    <w:rsid w:val="00337E0D"/>
    <w:rsid w:val="00337F66"/>
    <w:rsid w:val="0034002F"/>
    <w:rsid w:val="003401D3"/>
    <w:rsid w:val="003401E6"/>
    <w:rsid w:val="00340282"/>
    <w:rsid w:val="0034076E"/>
    <w:rsid w:val="003413E9"/>
    <w:rsid w:val="003418BA"/>
    <w:rsid w:val="00341F3F"/>
    <w:rsid w:val="00341F93"/>
    <w:rsid w:val="003424CE"/>
    <w:rsid w:val="00342703"/>
    <w:rsid w:val="00342816"/>
    <w:rsid w:val="00342927"/>
    <w:rsid w:val="003429F1"/>
    <w:rsid w:val="00342F61"/>
    <w:rsid w:val="00343037"/>
    <w:rsid w:val="00343ADB"/>
    <w:rsid w:val="00344629"/>
    <w:rsid w:val="0034481B"/>
    <w:rsid w:val="0034486B"/>
    <w:rsid w:val="00344A4E"/>
    <w:rsid w:val="0034575F"/>
    <w:rsid w:val="003458B2"/>
    <w:rsid w:val="00345987"/>
    <w:rsid w:val="00345E73"/>
    <w:rsid w:val="00345EF8"/>
    <w:rsid w:val="00346331"/>
    <w:rsid w:val="0034656A"/>
    <w:rsid w:val="0034671A"/>
    <w:rsid w:val="003467C7"/>
    <w:rsid w:val="00346B2E"/>
    <w:rsid w:val="00346D37"/>
    <w:rsid w:val="00347032"/>
    <w:rsid w:val="00347165"/>
    <w:rsid w:val="003475F7"/>
    <w:rsid w:val="003476BE"/>
    <w:rsid w:val="00347772"/>
    <w:rsid w:val="00347978"/>
    <w:rsid w:val="00347B78"/>
    <w:rsid w:val="00350B72"/>
    <w:rsid w:val="00350E7C"/>
    <w:rsid w:val="00350EFA"/>
    <w:rsid w:val="00351072"/>
    <w:rsid w:val="00351374"/>
    <w:rsid w:val="0035157A"/>
    <w:rsid w:val="00351673"/>
    <w:rsid w:val="00351946"/>
    <w:rsid w:val="00351ABC"/>
    <w:rsid w:val="00351BDF"/>
    <w:rsid w:val="00351C9F"/>
    <w:rsid w:val="00351CE4"/>
    <w:rsid w:val="00352098"/>
    <w:rsid w:val="003522D5"/>
    <w:rsid w:val="00352508"/>
    <w:rsid w:val="00352564"/>
    <w:rsid w:val="0035285E"/>
    <w:rsid w:val="00352943"/>
    <w:rsid w:val="003529BB"/>
    <w:rsid w:val="003530CC"/>
    <w:rsid w:val="00353435"/>
    <w:rsid w:val="003538D9"/>
    <w:rsid w:val="00353ADA"/>
    <w:rsid w:val="00353B01"/>
    <w:rsid w:val="00353EEC"/>
    <w:rsid w:val="003540F9"/>
    <w:rsid w:val="0035449B"/>
    <w:rsid w:val="00354994"/>
    <w:rsid w:val="00354DA0"/>
    <w:rsid w:val="0035523E"/>
    <w:rsid w:val="003555C2"/>
    <w:rsid w:val="00355CDA"/>
    <w:rsid w:val="003562B0"/>
    <w:rsid w:val="003563DE"/>
    <w:rsid w:val="003565F6"/>
    <w:rsid w:val="0035667B"/>
    <w:rsid w:val="00356C34"/>
    <w:rsid w:val="00356D49"/>
    <w:rsid w:val="003578B3"/>
    <w:rsid w:val="00357DCD"/>
    <w:rsid w:val="00357E83"/>
    <w:rsid w:val="00360231"/>
    <w:rsid w:val="0036042A"/>
    <w:rsid w:val="0036069C"/>
    <w:rsid w:val="003607B7"/>
    <w:rsid w:val="00360A36"/>
    <w:rsid w:val="00360A5A"/>
    <w:rsid w:val="00360A61"/>
    <w:rsid w:val="00360A68"/>
    <w:rsid w:val="00360C48"/>
    <w:rsid w:val="003611F1"/>
    <w:rsid w:val="00361409"/>
    <w:rsid w:val="00361A87"/>
    <w:rsid w:val="00361B8E"/>
    <w:rsid w:val="00361CFF"/>
    <w:rsid w:val="00361DC4"/>
    <w:rsid w:val="00361DEC"/>
    <w:rsid w:val="00361E47"/>
    <w:rsid w:val="0036222F"/>
    <w:rsid w:val="0036290F"/>
    <w:rsid w:val="003629CF"/>
    <w:rsid w:val="00362D00"/>
    <w:rsid w:val="00362DAE"/>
    <w:rsid w:val="003631A9"/>
    <w:rsid w:val="00363598"/>
    <w:rsid w:val="00363693"/>
    <w:rsid w:val="00363F02"/>
    <w:rsid w:val="0036400B"/>
    <w:rsid w:val="00364369"/>
    <w:rsid w:val="0036454B"/>
    <w:rsid w:val="0036455F"/>
    <w:rsid w:val="003646D6"/>
    <w:rsid w:val="00364D42"/>
    <w:rsid w:val="00364D84"/>
    <w:rsid w:val="0036531D"/>
    <w:rsid w:val="00365502"/>
    <w:rsid w:val="00365726"/>
    <w:rsid w:val="00365EEA"/>
    <w:rsid w:val="00366052"/>
    <w:rsid w:val="003661DD"/>
    <w:rsid w:val="00366252"/>
    <w:rsid w:val="003668FB"/>
    <w:rsid w:val="00366AC0"/>
    <w:rsid w:val="00366BBD"/>
    <w:rsid w:val="00366E2C"/>
    <w:rsid w:val="003670B9"/>
    <w:rsid w:val="003671A3"/>
    <w:rsid w:val="003671E0"/>
    <w:rsid w:val="00367207"/>
    <w:rsid w:val="00367464"/>
    <w:rsid w:val="00367526"/>
    <w:rsid w:val="003676A7"/>
    <w:rsid w:val="003678BC"/>
    <w:rsid w:val="00367E8F"/>
    <w:rsid w:val="0037031F"/>
    <w:rsid w:val="00370F0C"/>
    <w:rsid w:val="0037135C"/>
    <w:rsid w:val="003714AD"/>
    <w:rsid w:val="00371662"/>
    <w:rsid w:val="003718DD"/>
    <w:rsid w:val="00371C4B"/>
    <w:rsid w:val="00371D5C"/>
    <w:rsid w:val="00372422"/>
    <w:rsid w:val="00372649"/>
    <w:rsid w:val="0037291F"/>
    <w:rsid w:val="00372F4A"/>
    <w:rsid w:val="00372F55"/>
    <w:rsid w:val="0037308F"/>
    <w:rsid w:val="0037319F"/>
    <w:rsid w:val="00373603"/>
    <w:rsid w:val="00373847"/>
    <w:rsid w:val="00373F64"/>
    <w:rsid w:val="003743C0"/>
    <w:rsid w:val="0037468B"/>
    <w:rsid w:val="00374CCB"/>
    <w:rsid w:val="00374F9D"/>
    <w:rsid w:val="00374FD5"/>
    <w:rsid w:val="0037501C"/>
    <w:rsid w:val="003754E6"/>
    <w:rsid w:val="003758A7"/>
    <w:rsid w:val="00375B08"/>
    <w:rsid w:val="00375BDC"/>
    <w:rsid w:val="00375C41"/>
    <w:rsid w:val="00375CA8"/>
    <w:rsid w:val="0037602B"/>
    <w:rsid w:val="0037672E"/>
    <w:rsid w:val="00376933"/>
    <w:rsid w:val="00376B9B"/>
    <w:rsid w:val="00376C7E"/>
    <w:rsid w:val="00376D26"/>
    <w:rsid w:val="00377239"/>
    <w:rsid w:val="0037740D"/>
    <w:rsid w:val="00377C6B"/>
    <w:rsid w:val="00377FB3"/>
    <w:rsid w:val="0038018F"/>
    <w:rsid w:val="00380670"/>
    <w:rsid w:val="00380828"/>
    <w:rsid w:val="003808B7"/>
    <w:rsid w:val="00380F47"/>
    <w:rsid w:val="00381054"/>
    <w:rsid w:val="003810FD"/>
    <w:rsid w:val="00381274"/>
    <w:rsid w:val="003814C8"/>
    <w:rsid w:val="0038164A"/>
    <w:rsid w:val="0038184E"/>
    <w:rsid w:val="00381ACD"/>
    <w:rsid w:val="00381C61"/>
    <w:rsid w:val="00382712"/>
    <w:rsid w:val="00382915"/>
    <w:rsid w:val="00382FD2"/>
    <w:rsid w:val="00382FD7"/>
    <w:rsid w:val="00382FE0"/>
    <w:rsid w:val="00383073"/>
    <w:rsid w:val="00383084"/>
    <w:rsid w:val="00383263"/>
    <w:rsid w:val="0038340D"/>
    <w:rsid w:val="00383485"/>
    <w:rsid w:val="0038348C"/>
    <w:rsid w:val="003836C7"/>
    <w:rsid w:val="00383AA2"/>
    <w:rsid w:val="00383BA4"/>
    <w:rsid w:val="00383E1F"/>
    <w:rsid w:val="003842BD"/>
    <w:rsid w:val="0038473E"/>
    <w:rsid w:val="0038486C"/>
    <w:rsid w:val="00384952"/>
    <w:rsid w:val="003850A2"/>
    <w:rsid w:val="0038561D"/>
    <w:rsid w:val="003856EA"/>
    <w:rsid w:val="00385775"/>
    <w:rsid w:val="00385B5A"/>
    <w:rsid w:val="00385E7C"/>
    <w:rsid w:val="003865B2"/>
    <w:rsid w:val="00386639"/>
    <w:rsid w:val="0038681D"/>
    <w:rsid w:val="00386942"/>
    <w:rsid w:val="00386B5B"/>
    <w:rsid w:val="00386C51"/>
    <w:rsid w:val="00386D2E"/>
    <w:rsid w:val="003870CB"/>
    <w:rsid w:val="00387412"/>
    <w:rsid w:val="003875C9"/>
    <w:rsid w:val="00387725"/>
    <w:rsid w:val="003877D4"/>
    <w:rsid w:val="00387C3A"/>
    <w:rsid w:val="00387CDF"/>
    <w:rsid w:val="00390516"/>
    <w:rsid w:val="003905DB"/>
    <w:rsid w:val="003905EF"/>
    <w:rsid w:val="003906D9"/>
    <w:rsid w:val="003907D2"/>
    <w:rsid w:val="00390908"/>
    <w:rsid w:val="00390B40"/>
    <w:rsid w:val="00390D1D"/>
    <w:rsid w:val="00390E1F"/>
    <w:rsid w:val="003911C7"/>
    <w:rsid w:val="003913B7"/>
    <w:rsid w:val="003915A1"/>
    <w:rsid w:val="00391A40"/>
    <w:rsid w:val="00391B48"/>
    <w:rsid w:val="00391DEA"/>
    <w:rsid w:val="00392061"/>
    <w:rsid w:val="003922C2"/>
    <w:rsid w:val="0039252B"/>
    <w:rsid w:val="00392D3F"/>
    <w:rsid w:val="00392E19"/>
    <w:rsid w:val="00393138"/>
    <w:rsid w:val="0039313C"/>
    <w:rsid w:val="00393246"/>
    <w:rsid w:val="0039338B"/>
    <w:rsid w:val="00393AE3"/>
    <w:rsid w:val="00393C75"/>
    <w:rsid w:val="003940BF"/>
    <w:rsid w:val="003941F1"/>
    <w:rsid w:val="0039431F"/>
    <w:rsid w:val="00394623"/>
    <w:rsid w:val="003947BD"/>
    <w:rsid w:val="0039481F"/>
    <w:rsid w:val="00394836"/>
    <w:rsid w:val="00394839"/>
    <w:rsid w:val="00394B9E"/>
    <w:rsid w:val="00394F98"/>
    <w:rsid w:val="0039508B"/>
    <w:rsid w:val="00395503"/>
    <w:rsid w:val="00395533"/>
    <w:rsid w:val="0039580C"/>
    <w:rsid w:val="0039597A"/>
    <w:rsid w:val="003959B0"/>
    <w:rsid w:val="00395BCD"/>
    <w:rsid w:val="00395D9F"/>
    <w:rsid w:val="00396480"/>
    <w:rsid w:val="003965B1"/>
    <w:rsid w:val="00396CCC"/>
    <w:rsid w:val="003975A1"/>
    <w:rsid w:val="00397759"/>
    <w:rsid w:val="003978AA"/>
    <w:rsid w:val="00397A6F"/>
    <w:rsid w:val="00397FE8"/>
    <w:rsid w:val="003A05FB"/>
    <w:rsid w:val="003A0732"/>
    <w:rsid w:val="003A08DF"/>
    <w:rsid w:val="003A0AC9"/>
    <w:rsid w:val="003A0CA7"/>
    <w:rsid w:val="003A144C"/>
    <w:rsid w:val="003A158D"/>
    <w:rsid w:val="003A1605"/>
    <w:rsid w:val="003A198F"/>
    <w:rsid w:val="003A19A6"/>
    <w:rsid w:val="003A19CA"/>
    <w:rsid w:val="003A1DCC"/>
    <w:rsid w:val="003A263A"/>
    <w:rsid w:val="003A28E6"/>
    <w:rsid w:val="003A2B25"/>
    <w:rsid w:val="003A2EB6"/>
    <w:rsid w:val="003A2EFA"/>
    <w:rsid w:val="003A2FD4"/>
    <w:rsid w:val="003A313C"/>
    <w:rsid w:val="003A35A9"/>
    <w:rsid w:val="003A3751"/>
    <w:rsid w:val="003A3B16"/>
    <w:rsid w:val="003A3D9A"/>
    <w:rsid w:val="003A3E21"/>
    <w:rsid w:val="003A3F9A"/>
    <w:rsid w:val="003A41AC"/>
    <w:rsid w:val="003A4475"/>
    <w:rsid w:val="003A4479"/>
    <w:rsid w:val="003A451E"/>
    <w:rsid w:val="003A468B"/>
    <w:rsid w:val="003A46E0"/>
    <w:rsid w:val="003A480E"/>
    <w:rsid w:val="003A4AAB"/>
    <w:rsid w:val="003A4B08"/>
    <w:rsid w:val="003A507D"/>
    <w:rsid w:val="003A55C9"/>
    <w:rsid w:val="003A5B08"/>
    <w:rsid w:val="003A5D20"/>
    <w:rsid w:val="003A603B"/>
    <w:rsid w:val="003A76A6"/>
    <w:rsid w:val="003A77DE"/>
    <w:rsid w:val="003A7881"/>
    <w:rsid w:val="003A7CF0"/>
    <w:rsid w:val="003A7D24"/>
    <w:rsid w:val="003B029A"/>
    <w:rsid w:val="003B0360"/>
    <w:rsid w:val="003B0568"/>
    <w:rsid w:val="003B0648"/>
    <w:rsid w:val="003B0A59"/>
    <w:rsid w:val="003B0DD6"/>
    <w:rsid w:val="003B0F10"/>
    <w:rsid w:val="003B1452"/>
    <w:rsid w:val="003B160A"/>
    <w:rsid w:val="003B1B5D"/>
    <w:rsid w:val="003B1B81"/>
    <w:rsid w:val="003B1C74"/>
    <w:rsid w:val="003B1FE2"/>
    <w:rsid w:val="003B2362"/>
    <w:rsid w:val="003B25A7"/>
    <w:rsid w:val="003B28BA"/>
    <w:rsid w:val="003B2A5A"/>
    <w:rsid w:val="003B2AE4"/>
    <w:rsid w:val="003B3080"/>
    <w:rsid w:val="003B3396"/>
    <w:rsid w:val="003B3547"/>
    <w:rsid w:val="003B373F"/>
    <w:rsid w:val="003B3AEA"/>
    <w:rsid w:val="003B3B77"/>
    <w:rsid w:val="003B3F10"/>
    <w:rsid w:val="003B3FAC"/>
    <w:rsid w:val="003B4C1D"/>
    <w:rsid w:val="003B4DAC"/>
    <w:rsid w:val="003B51C3"/>
    <w:rsid w:val="003B5391"/>
    <w:rsid w:val="003B5B0F"/>
    <w:rsid w:val="003B652D"/>
    <w:rsid w:val="003B663D"/>
    <w:rsid w:val="003B6C5C"/>
    <w:rsid w:val="003B794C"/>
    <w:rsid w:val="003B7E9B"/>
    <w:rsid w:val="003C0143"/>
    <w:rsid w:val="003C019B"/>
    <w:rsid w:val="003C0360"/>
    <w:rsid w:val="003C06C8"/>
    <w:rsid w:val="003C094F"/>
    <w:rsid w:val="003C0A8B"/>
    <w:rsid w:val="003C0AD3"/>
    <w:rsid w:val="003C109B"/>
    <w:rsid w:val="003C144F"/>
    <w:rsid w:val="003C17A4"/>
    <w:rsid w:val="003C1D49"/>
    <w:rsid w:val="003C21D8"/>
    <w:rsid w:val="003C2233"/>
    <w:rsid w:val="003C26CF"/>
    <w:rsid w:val="003C2B34"/>
    <w:rsid w:val="003C2D7A"/>
    <w:rsid w:val="003C2E8A"/>
    <w:rsid w:val="003C3E98"/>
    <w:rsid w:val="003C413E"/>
    <w:rsid w:val="003C4489"/>
    <w:rsid w:val="003C466C"/>
    <w:rsid w:val="003C49A2"/>
    <w:rsid w:val="003C49DE"/>
    <w:rsid w:val="003C4AF8"/>
    <w:rsid w:val="003C4B2C"/>
    <w:rsid w:val="003C4BA5"/>
    <w:rsid w:val="003C4FE2"/>
    <w:rsid w:val="003C5106"/>
    <w:rsid w:val="003C5559"/>
    <w:rsid w:val="003C5A1C"/>
    <w:rsid w:val="003C5F56"/>
    <w:rsid w:val="003C68D4"/>
    <w:rsid w:val="003C69FA"/>
    <w:rsid w:val="003C7187"/>
    <w:rsid w:val="003C71C1"/>
    <w:rsid w:val="003C758A"/>
    <w:rsid w:val="003C7672"/>
    <w:rsid w:val="003C776E"/>
    <w:rsid w:val="003C7778"/>
    <w:rsid w:val="003C78E1"/>
    <w:rsid w:val="003D0B79"/>
    <w:rsid w:val="003D0DE2"/>
    <w:rsid w:val="003D1034"/>
    <w:rsid w:val="003D12D9"/>
    <w:rsid w:val="003D1723"/>
    <w:rsid w:val="003D18D2"/>
    <w:rsid w:val="003D1AA1"/>
    <w:rsid w:val="003D1D6A"/>
    <w:rsid w:val="003D1F81"/>
    <w:rsid w:val="003D2437"/>
    <w:rsid w:val="003D277C"/>
    <w:rsid w:val="003D2963"/>
    <w:rsid w:val="003D2B37"/>
    <w:rsid w:val="003D2D45"/>
    <w:rsid w:val="003D2EF4"/>
    <w:rsid w:val="003D2F07"/>
    <w:rsid w:val="003D2F2B"/>
    <w:rsid w:val="003D2F9B"/>
    <w:rsid w:val="003D33BB"/>
    <w:rsid w:val="003D3804"/>
    <w:rsid w:val="003D3B10"/>
    <w:rsid w:val="003D3C4D"/>
    <w:rsid w:val="003D3D5B"/>
    <w:rsid w:val="003D41FA"/>
    <w:rsid w:val="003D4BB8"/>
    <w:rsid w:val="003D4D44"/>
    <w:rsid w:val="003D4E94"/>
    <w:rsid w:val="003D4EC1"/>
    <w:rsid w:val="003D52C4"/>
    <w:rsid w:val="003D5333"/>
    <w:rsid w:val="003D5490"/>
    <w:rsid w:val="003D5ADA"/>
    <w:rsid w:val="003D62B3"/>
    <w:rsid w:val="003D657C"/>
    <w:rsid w:val="003D6620"/>
    <w:rsid w:val="003D6980"/>
    <w:rsid w:val="003D69F8"/>
    <w:rsid w:val="003D6C59"/>
    <w:rsid w:val="003D714D"/>
    <w:rsid w:val="003D73A6"/>
    <w:rsid w:val="003D7B5A"/>
    <w:rsid w:val="003D7FF3"/>
    <w:rsid w:val="003E042A"/>
    <w:rsid w:val="003E04B1"/>
    <w:rsid w:val="003E04D4"/>
    <w:rsid w:val="003E0D6B"/>
    <w:rsid w:val="003E0FBF"/>
    <w:rsid w:val="003E1201"/>
    <w:rsid w:val="003E12F4"/>
    <w:rsid w:val="003E168D"/>
    <w:rsid w:val="003E1983"/>
    <w:rsid w:val="003E1994"/>
    <w:rsid w:val="003E213C"/>
    <w:rsid w:val="003E21AE"/>
    <w:rsid w:val="003E21FC"/>
    <w:rsid w:val="003E28EE"/>
    <w:rsid w:val="003E2A2A"/>
    <w:rsid w:val="003E2B37"/>
    <w:rsid w:val="003E3216"/>
    <w:rsid w:val="003E3308"/>
    <w:rsid w:val="003E3580"/>
    <w:rsid w:val="003E3CD2"/>
    <w:rsid w:val="003E3E92"/>
    <w:rsid w:val="003E3ECE"/>
    <w:rsid w:val="003E4034"/>
    <w:rsid w:val="003E4326"/>
    <w:rsid w:val="003E4627"/>
    <w:rsid w:val="003E4744"/>
    <w:rsid w:val="003E4AD2"/>
    <w:rsid w:val="003E51D7"/>
    <w:rsid w:val="003E52F0"/>
    <w:rsid w:val="003E5459"/>
    <w:rsid w:val="003E5D57"/>
    <w:rsid w:val="003E60E1"/>
    <w:rsid w:val="003E6539"/>
    <w:rsid w:val="003E681E"/>
    <w:rsid w:val="003E7133"/>
    <w:rsid w:val="003E7192"/>
    <w:rsid w:val="003E73A8"/>
    <w:rsid w:val="003E7761"/>
    <w:rsid w:val="003E7989"/>
    <w:rsid w:val="003E7D4D"/>
    <w:rsid w:val="003E7D54"/>
    <w:rsid w:val="003E7DB9"/>
    <w:rsid w:val="003E7E70"/>
    <w:rsid w:val="003F020F"/>
    <w:rsid w:val="003F0766"/>
    <w:rsid w:val="003F08D4"/>
    <w:rsid w:val="003F164F"/>
    <w:rsid w:val="003F1734"/>
    <w:rsid w:val="003F1A44"/>
    <w:rsid w:val="003F1CD4"/>
    <w:rsid w:val="003F1CFC"/>
    <w:rsid w:val="003F25A3"/>
    <w:rsid w:val="003F2778"/>
    <w:rsid w:val="003F2C50"/>
    <w:rsid w:val="003F2CF6"/>
    <w:rsid w:val="003F2F0E"/>
    <w:rsid w:val="003F316B"/>
    <w:rsid w:val="003F3264"/>
    <w:rsid w:val="003F35CD"/>
    <w:rsid w:val="003F380A"/>
    <w:rsid w:val="003F4244"/>
    <w:rsid w:val="003F459C"/>
    <w:rsid w:val="003F46C8"/>
    <w:rsid w:val="003F46E3"/>
    <w:rsid w:val="003F5005"/>
    <w:rsid w:val="003F514F"/>
    <w:rsid w:val="003F53D9"/>
    <w:rsid w:val="003F59A0"/>
    <w:rsid w:val="003F6AD0"/>
    <w:rsid w:val="003F6CD7"/>
    <w:rsid w:val="003F6EC1"/>
    <w:rsid w:val="003F6F5B"/>
    <w:rsid w:val="003F75A5"/>
    <w:rsid w:val="003F767B"/>
    <w:rsid w:val="003F77C6"/>
    <w:rsid w:val="003F7C3B"/>
    <w:rsid w:val="003F7D5C"/>
    <w:rsid w:val="003F7F81"/>
    <w:rsid w:val="0040027E"/>
    <w:rsid w:val="0040038B"/>
    <w:rsid w:val="00400523"/>
    <w:rsid w:val="00400736"/>
    <w:rsid w:val="00400753"/>
    <w:rsid w:val="00400BF6"/>
    <w:rsid w:val="00400E91"/>
    <w:rsid w:val="00400FAD"/>
    <w:rsid w:val="0040120E"/>
    <w:rsid w:val="004015F7"/>
    <w:rsid w:val="00401817"/>
    <w:rsid w:val="00401A54"/>
    <w:rsid w:val="00401B2F"/>
    <w:rsid w:val="00402867"/>
    <w:rsid w:val="004029E0"/>
    <w:rsid w:val="00402A81"/>
    <w:rsid w:val="00402BF9"/>
    <w:rsid w:val="00402C59"/>
    <w:rsid w:val="00402D04"/>
    <w:rsid w:val="00402D23"/>
    <w:rsid w:val="00402D93"/>
    <w:rsid w:val="00402F50"/>
    <w:rsid w:val="00402F93"/>
    <w:rsid w:val="00402FC7"/>
    <w:rsid w:val="004031BC"/>
    <w:rsid w:val="00403B1C"/>
    <w:rsid w:val="00403B41"/>
    <w:rsid w:val="00403B52"/>
    <w:rsid w:val="00403BA5"/>
    <w:rsid w:val="00403D1D"/>
    <w:rsid w:val="00403F55"/>
    <w:rsid w:val="00404288"/>
    <w:rsid w:val="0040429E"/>
    <w:rsid w:val="00404922"/>
    <w:rsid w:val="00404A27"/>
    <w:rsid w:val="00404A4F"/>
    <w:rsid w:val="00404BF8"/>
    <w:rsid w:val="00404D48"/>
    <w:rsid w:val="00405292"/>
    <w:rsid w:val="00405546"/>
    <w:rsid w:val="004055C2"/>
    <w:rsid w:val="004059F6"/>
    <w:rsid w:val="00405FF5"/>
    <w:rsid w:val="00406588"/>
    <w:rsid w:val="004068C1"/>
    <w:rsid w:val="00406B51"/>
    <w:rsid w:val="00407299"/>
    <w:rsid w:val="00407857"/>
    <w:rsid w:val="004078E5"/>
    <w:rsid w:val="004079D3"/>
    <w:rsid w:val="00407B2C"/>
    <w:rsid w:val="00407D00"/>
    <w:rsid w:val="00410098"/>
    <w:rsid w:val="004100B3"/>
    <w:rsid w:val="00410422"/>
    <w:rsid w:val="00410D1A"/>
    <w:rsid w:val="00410D47"/>
    <w:rsid w:val="0041105C"/>
    <w:rsid w:val="0041135F"/>
    <w:rsid w:val="004113C9"/>
    <w:rsid w:val="00411511"/>
    <w:rsid w:val="004116AC"/>
    <w:rsid w:val="0041187F"/>
    <w:rsid w:val="00411883"/>
    <w:rsid w:val="00411987"/>
    <w:rsid w:val="00411B83"/>
    <w:rsid w:val="00411B86"/>
    <w:rsid w:val="00411B8C"/>
    <w:rsid w:val="00411D7D"/>
    <w:rsid w:val="00411E58"/>
    <w:rsid w:val="00411F6D"/>
    <w:rsid w:val="00411F8E"/>
    <w:rsid w:val="00411FAE"/>
    <w:rsid w:val="0041201A"/>
    <w:rsid w:val="0041234D"/>
    <w:rsid w:val="0041269F"/>
    <w:rsid w:val="004126DA"/>
    <w:rsid w:val="004127DC"/>
    <w:rsid w:val="004128F0"/>
    <w:rsid w:val="00412962"/>
    <w:rsid w:val="004129D3"/>
    <w:rsid w:val="00412E0B"/>
    <w:rsid w:val="0041301A"/>
    <w:rsid w:val="00413063"/>
    <w:rsid w:val="00413160"/>
    <w:rsid w:val="0041336F"/>
    <w:rsid w:val="00413832"/>
    <w:rsid w:val="0041394F"/>
    <w:rsid w:val="00413C3A"/>
    <w:rsid w:val="00413C68"/>
    <w:rsid w:val="00414055"/>
    <w:rsid w:val="0041425B"/>
    <w:rsid w:val="004144C4"/>
    <w:rsid w:val="00414A73"/>
    <w:rsid w:val="00415320"/>
    <w:rsid w:val="0041546C"/>
    <w:rsid w:val="00415861"/>
    <w:rsid w:val="00415C78"/>
    <w:rsid w:val="00415DE4"/>
    <w:rsid w:val="0041619C"/>
    <w:rsid w:val="004161AC"/>
    <w:rsid w:val="00416301"/>
    <w:rsid w:val="00416323"/>
    <w:rsid w:val="00416BA5"/>
    <w:rsid w:val="00416C46"/>
    <w:rsid w:val="00416FEA"/>
    <w:rsid w:val="004175DE"/>
    <w:rsid w:val="00417652"/>
    <w:rsid w:val="00417D5E"/>
    <w:rsid w:val="00417E30"/>
    <w:rsid w:val="00417F18"/>
    <w:rsid w:val="0042016D"/>
    <w:rsid w:val="0042044F"/>
    <w:rsid w:val="00420ED0"/>
    <w:rsid w:val="00420F46"/>
    <w:rsid w:val="0042104E"/>
    <w:rsid w:val="004210B7"/>
    <w:rsid w:val="00421151"/>
    <w:rsid w:val="00421256"/>
    <w:rsid w:val="004213A8"/>
    <w:rsid w:val="0042149C"/>
    <w:rsid w:val="00421538"/>
    <w:rsid w:val="0042157A"/>
    <w:rsid w:val="00421684"/>
    <w:rsid w:val="00421AC7"/>
    <w:rsid w:val="00421ACE"/>
    <w:rsid w:val="00421F0E"/>
    <w:rsid w:val="0042214F"/>
    <w:rsid w:val="00422817"/>
    <w:rsid w:val="00422DD2"/>
    <w:rsid w:val="00422DF2"/>
    <w:rsid w:val="0042309F"/>
    <w:rsid w:val="00423196"/>
    <w:rsid w:val="004231CC"/>
    <w:rsid w:val="004238E1"/>
    <w:rsid w:val="00423B73"/>
    <w:rsid w:val="004240E2"/>
    <w:rsid w:val="004241D0"/>
    <w:rsid w:val="00424346"/>
    <w:rsid w:val="0042458E"/>
    <w:rsid w:val="004245C6"/>
    <w:rsid w:val="004247BD"/>
    <w:rsid w:val="004249F5"/>
    <w:rsid w:val="00424C87"/>
    <w:rsid w:val="00424F12"/>
    <w:rsid w:val="00424F69"/>
    <w:rsid w:val="00425053"/>
    <w:rsid w:val="00425411"/>
    <w:rsid w:val="00425458"/>
    <w:rsid w:val="004256A2"/>
    <w:rsid w:val="00425F92"/>
    <w:rsid w:val="00426064"/>
    <w:rsid w:val="0042618F"/>
    <w:rsid w:val="00426257"/>
    <w:rsid w:val="00426E12"/>
    <w:rsid w:val="0042713C"/>
    <w:rsid w:val="00427497"/>
    <w:rsid w:val="0042772D"/>
    <w:rsid w:val="00427999"/>
    <w:rsid w:val="00427D72"/>
    <w:rsid w:val="00427DFB"/>
    <w:rsid w:val="00430015"/>
    <w:rsid w:val="0043025C"/>
    <w:rsid w:val="00430585"/>
    <w:rsid w:val="00430753"/>
    <w:rsid w:val="00431242"/>
    <w:rsid w:val="0043126E"/>
    <w:rsid w:val="004312B2"/>
    <w:rsid w:val="004312CB"/>
    <w:rsid w:val="004313D5"/>
    <w:rsid w:val="004316A8"/>
    <w:rsid w:val="00431705"/>
    <w:rsid w:val="0043200C"/>
    <w:rsid w:val="004328C2"/>
    <w:rsid w:val="00432A6E"/>
    <w:rsid w:val="00432E47"/>
    <w:rsid w:val="00432F1C"/>
    <w:rsid w:val="00432F3F"/>
    <w:rsid w:val="004338C6"/>
    <w:rsid w:val="00433A17"/>
    <w:rsid w:val="00433BFC"/>
    <w:rsid w:val="00433CE9"/>
    <w:rsid w:val="0043419B"/>
    <w:rsid w:val="004346C8"/>
    <w:rsid w:val="00434D73"/>
    <w:rsid w:val="00434EE7"/>
    <w:rsid w:val="004357D4"/>
    <w:rsid w:val="00435C44"/>
    <w:rsid w:val="0043662E"/>
    <w:rsid w:val="00436AE5"/>
    <w:rsid w:val="00436D38"/>
    <w:rsid w:val="0043709F"/>
    <w:rsid w:val="004370E5"/>
    <w:rsid w:val="004373E5"/>
    <w:rsid w:val="00437696"/>
    <w:rsid w:val="00437971"/>
    <w:rsid w:val="00437F64"/>
    <w:rsid w:val="00440345"/>
    <w:rsid w:val="00440366"/>
    <w:rsid w:val="00440CC6"/>
    <w:rsid w:val="00440F81"/>
    <w:rsid w:val="00441054"/>
    <w:rsid w:val="0044164A"/>
    <w:rsid w:val="00441A65"/>
    <w:rsid w:val="00441F6B"/>
    <w:rsid w:val="004420F7"/>
    <w:rsid w:val="00442298"/>
    <w:rsid w:val="004423C2"/>
    <w:rsid w:val="004427B9"/>
    <w:rsid w:val="004431BA"/>
    <w:rsid w:val="00443471"/>
    <w:rsid w:val="004437C8"/>
    <w:rsid w:val="004437EA"/>
    <w:rsid w:val="00444097"/>
    <w:rsid w:val="00444479"/>
    <w:rsid w:val="004444CC"/>
    <w:rsid w:val="00444D0A"/>
    <w:rsid w:val="00444FA1"/>
    <w:rsid w:val="0044502D"/>
    <w:rsid w:val="00445037"/>
    <w:rsid w:val="00445976"/>
    <w:rsid w:val="004459BA"/>
    <w:rsid w:val="00445F20"/>
    <w:rsid w:val="00446EFE"/>
    <w:rsid w:val="00446FFD"/>
    <w:rsid w:val="004471BE"/>
    <w:rsid w:val="004474DA"/>
    <w:rsid w:val="00447526"/>
    <w:rsid w:val="004477D4"/>
    <w:rsid w:val="00447843"/>
    <w:rsid w:val="00447A76"/>
    <w:rsid w:val="00447C3F"/>
    <w:rsid w:val="00447C6B"/>
    <w:rsid w:val="00447CE2"/>
    <w:rsid w:val="004504BC"/>
    <w:rsid w:val="004505DC"/>
    <w:rsid w:val="004509A1"/>
    <w:rsid w:val="00450D60"/>
    <w:rsid w:val="00450E70"/>
    <w:rsid w:val="00450FC8"/>
    <w:rsid w:val="004515B3"/>
    <w:rsid w:val="00451ECA"/>
    <w:rsid w:val="004520ED"/>
    <w:rsid w:val="0045213C"/>
    <w:rsid w:val="0045264F"/>
    <w:rsid w:val="00452C90"/>
    <w:rsid w:val="004532CF"/>
    <w:rsid w:val="00453548"/>
    <w:rsid w:val="00453868"/>
    <w:rsid w:val="00453FAF"/>
    <w:rsid w:val="0045435C"/>
    <w:rsid w:val="004543DE"/>
    <w:rsid w:val="0045453A"/>
    <w:rsid w:val="00454649"/>
    <w:rsid w:val="00454711"/>
    <w:rsid w:val="00454C79"/>
    <w:rsid w:val="00454F0C"/>
    <w:rsid w:val="0045500C"/>
    <w:rsid w:val="0045552D"/>
    <w:rsid w:val="00455659"/>
    <w:rsid w:val="00455864"/>
    <w:rsid w:val="00455B30"/>
    <w:rsid w:val="004562A6"/>
    <w:rsid w:val="0045631F"/>
    <w:rsid w:val="00456787"/>
    <w:rsid w:val="00457089"/>
    <w:rsid w:val="00457427"/>
    <w:rsid w:val="0045789D"/>
    <w:rsid w:val="00457A43"/>
    <w:rsid w:val="00457B34"/>
    <w:rsid w:val="00457C2F"/>
    <w:rsid w:val="00457EAC"/>
    <w:rsid w:val="00457EB5"/>
    <w:rsid w:val="00457FBE"/>
    <w:rsid w:val="00460337"/>
    <w:rsid w:val="00460C05"/>
    <w:rsid w:val="00460C06"/>
    <w:rsid w:val="00460CED"/>
    <w:rsid w:val="0046100E"/>
    <w:rsid w:val="004611ED"/>
    <w:rsid w:val="004612C0"/>
    <w:rsid w:val="004613F6"/>
    <w:rsid w:val="00461469"/>
    <w:rsid w:val="004614CA"/>
    <w:rsid w:val="004615E0"/>
    <w:rsid w:val="00461C66"/>
    <w:rsid w:val="00461C78"/>
    <w:rsid w:val="0046228B"/>
    <w:rsid w:val="004625B5"/>
    <w:rsid w:val="00462B18"/>
    <w:rsid w:val="00462C62"/>
    <w:rsid w:val="00462E5D"/>
    <w:rsid w:val="004631DA"/>
    <w:rsid w:val="00463281"/>
    <w:rsid w:val="0046360C"/>
    <w:rsid w:val="004636A6"/>
    <w:rsid w:val="00463B09"/>
    <w:rsid w:val="00463CA8"/>
    <w:rsid w:val="00463DC2"/>
    <w:rsid w:val="00463ECA"/>
    <w:rsid w:val="00464546"/>
    <w:rsid w:val="0046455C"/>
    <w:rsid w:val="00464609"/>
    <w:rsid w:val="00464698"/>
    <w:rsid w:val="004649D3"/>
    <w:rsid w:val="004649F2"/>
    <w:rsid w:val="00464BAA"/>
    <w:rsid w:val="00464D8B"/>
    <w:rsid w:val="00464FB4"/>
    <w:rsid w:val="00465036"/>
    <w:rsid w:val="0046512A"/>
    <w:rsid w:val="004654CE"/>
    <w:rsid w:val="00465CE2"/>
    <w:rsid w:val="00465FB6"/>
    <w:rsid w:val="004660C7"/>
    <w:rsid w:val="00466F1F"/>
    <w:rsid w:val="004671A5"/>
    <w:rsid w:val="00467230"/>
    <w:rsid w:val="00467256"/>
    <w:rsid w:val="004676F9"/>
    <w:rsid w:val="00467AA3"/>
    <w:rsid w:val="00467F27"/>
    <w:rsid w:val="00467FF1"/>
    <w:rsid w:val="0047062D"/>
    <w:rsid w:val="004707B6"/>
    <w:rsid w:val="00470CBB"/>
    <w:rsid w:val="00470FF9"/>
    <w:rsid w:val="00471067"/>
    <w:rsid w:val="00471187"/>
    <w:rsid w:val="004714CD"/>
    <w:rsid w:val="00471ADD"/>
    <w:rsid w:val="00471D2B"/>
    <w:rsid w:val="00471D53"/>
    <w:rsid w:val="0047216B"/>
    <w:rsid w:val="004722BE"/>
    <w:rsid w:val="0047235D"/>
    <w:rsid w:val="0047251F"/>
    <w:rsid w:val="004729D1"/>
    <w:rsid w:val="00472B57"/>
    <w:rsid w:val="00472FCF"/>
    <w:rsid w:val="004732EC"/>
    <w:rsid w:val="004734B5"/>
    <w:rsid w:val="004738FA"/>
    <w:rsid w:val="00473B29"/>
    <w:rsid w:val="00473CC2"/>
    <w:rsid w:val="00473CFC"/>
    <w:rsid w:val="00473D88"/>
    <w:rsid w:val="0047449E"/>
    <w:rsid w:val="004749D0"/>
    <w:rsid w:val="00474A92"/>
    <w:rsid w:val="00474B7F"/>
    <w:rsid w:val="00474C41"/>
    <w:rsid w:val="00474C95"/>
    <w:rsid w:val="00474DC8"/>
    <w:rsid w:val="00474E20"/>
    <w:rsid w:val="00474E43"/>
    <w:rsid w:val="00474EC8"/>
    <w:rsid w:val="0047516E"/>
    <w:rsid w:val="004753DD"/>
    <w:rsid w:val="00475660"/>
    <w:rsid w:val="00475690"/>
    <w:rsid w:val="0047589A"/>
    <w:rsid w:val="00475AB6"/>
    <w:rsid w:val="00475CF6"/>
    <w:rsid w:val="004761EA"/>
    <w:rsid w:val="004768FC"/>
    <w:rsid w:val="00477A99"/>
    <w:rsid w:val="00477B79"/>
    <w:rsid w:val="00477D64"/>
    <w:rsid w:val="004802B4"/>
    <w:rsid w:val="004803D0"/>
    <w:rsid w:val="00480D77"/>
    <w:rsid w:val="0048102F"/>
    <w:rsid w:val="00481160"/>
    <w:rsid w:val="004813F7"/>
    <w:rsid w:val="004815CF"/>
    <w:rsid w:val="004816E2"/>
    <w:rsid w:val="00481F32"/>
    <w:rsid w:val="00481F91"/>
    <w:rsid w:val="00481F92"/>
    <w:rsid w:val="00482470"/>
    <w:rsid w:val="00482E08"/>
    <w:rsid w:val="004830FF"/>
    <w:rsid w:val="00483209"/>
    <w:rsid w:val="004835DB"/>
    <w:rsid w:val="00483B21"/>
    <w:rsid w:val="00483DF4"/>
    <w:rsid w:val="00483F39"/>
    <w:rsid w:val="004842F6"/>
    <w:rsid w:val="004846C3"/>
    <w:rsid w:val="00484B24"/>
    <w:rsid w:val="00485342"/>
    <w:rsid w:val="00485358"/>
    <w:rsid w:val="00485A60"/>
    <w:rsid w:val="00485D35"/>
    <w:rsid w:val="00485DC2"/>
    <w:rsid w:val="00486027"/>
    <w:rsid w:val="0048606E"/>
    <w:rsid w:val="00486071"/>
    <w:rsid w:val="00486074"/>
    <w:rsid w:val="00486202"/>
    <w:rsid w:val="0048644F"/>
    <w:rsid w:val="00487254"/>
    <w:rsid w:val="00487B35"/>
    <w:rsid w:val="00487CAC"/>
    <w:rsid w:val="00487F97"/>
    <w:rsid w:val="00487FD7"/>
    <w:rsid w:val="00490386"/>
    <w:rsid w:val="0049043E"/>
    <w:rsid w:val="0049114C"/>
    <w:rsid w:val="004911CD"/>
    <w:rsid w:val="00491F7C"/>
    <w:rsid w:val="00492152"/>
    <w:rsid w:val="00492462"/>
    <w:rsid w:val="00492BE3"/>
    <w:rsid w:val="004936C0"/>
    <w:rsid w:val="004937B6"/>
    <w:rsid w:val="00493A28"/>
    <w:rsid w:val="00493AA9"/>
    <w:rsid w:val="00493CD9"/>
    <w:rsid w:val="00493D18"/>
    <w:rsid w:val="00494088"/>
    <w:rsid w:val="0049408E"/>
    <w:rsid w:val="004944FE"/>
    <w:rsid w:val="00494668"/>
    <w:rsid w:val="004949A0"/>
    <w:rsid w:val="00494BE7"/>
    <w:rsid w:val="00494C3C"/>
    <w:rsid w:val="00494C69"/>
    <w:rsid w:val="00495051"/>
    <w:rsid w:val="0049522F"/>
    <w:rsid w:val="0049578C"/>
    <w:rsid w:val="004957BD"/>
    <w:rsid w:val="0049580E"/>
    <w:rsid w:val="00495BD0"/>
    <w:rsid w:val="00495C37"/>
    <w:rsid w:val="00495EFA"/>
    <w:rsid w:val="004963EF"/>
    <w:rsid w:val="004965DE"/>
    <w:rsid w:val="00496988"/>
    <w:rsid w:val="0049704F"/>
    <w:rsid w:val="00497158"/>
    <w:rsid w:val="00497226"/>
    <w:rsid w:val="00497343"/>
    <w:rsid w:val="004973A1"/>
    <w:rsid w:val="004974EA"/>
    <w:rsid w:val="00497648"/>
    <w:rsid w:val="00497A2B"/>
    <w:rsid w:val="00497D29"/>
    <w:rsid w:val="00497F14"/>
    <w:rsid w:val="00497F49"/>
    <w:rsid w:val="00497FE3"/>
    <w:rsid w:val="004A0264"/>
    <w:rsid w:val="004A0286"/>
    <w:rsid w:val="004A0372"/>
    <w:rsid w:val="004A045F"/>
    <w:rsid w:val="004A07CA"/>
    <w:rsid w:val="004A0972"/>
    <w:rsid w:val="004A0F56"/>
    <w:rsid w:val="004A1046"/>
    <w:rsid w:val="004A11A7"/>
    <w:rsid w:val="004A12B5"/>
    <w:rsid w:val="004A131A"/>
    <w:rsid w:val="004A15C8"/>
    <w:rsid w:val="004A16E6"/>
    <w:rsid w:val="004A1721"/>
    <w:rsid w:val="004A1A53"/>
    <w:rsid w:val="004A1B32"/>
    <w:rsid w:val="004A1C8E"/>
    <w:rsid w:val="004A2234"/>
    <w:rsid w:val="004A2408"/>
    <w:rsid w:val="004A28E7"/>
    <w:rsid w:val="004A2C13"/>
    <w:rsid w:val="004A2F86"/>
    <w:rsid w:val="004A30A2"/>
    <w:rsid w:val="004A3205"/>
    <w:rsid w:val="004A36F9"/>
    <w:rsid w:val="004A38E4"/>
    <w:rsid w:val="004A3BEE"/>
    <w:rsid w:val="004A3E6B"/>
    <w:rsid w:val="004A4011"/>
    <w:rsid w:val="004A41E9"/>
    <w:rsid w:val="004A48EE"/>
    <w:rsid w:val="004A5192"/>
    <w:rsid w:val="004A5518"/>
    <w:rsid w:val="004A572A"/>
    <w:rsid w:val="004A597D"/>
    <w:rsid w:val="004A5A72"/>
    <w:rsid w:val="004A5AE7"/>
    <w:rsid w:val="004A5B34"/>
    <w:rsid w:val="004A5B68"/>
    <w:rsid w:val="004A5F1E"/>
    <w:rsid w:val="004A5FAF"/>
    <w:rsid w:val="004A60E1"/>
    <w:rsid w:val="004A621C"/>
    <w:rsid w:val="004A6561"/>
    <w:rsid w:val="004A6797"/>
    <w:rsid w:val="004A6993"/>
    <w:rsid w:val="004A6C57"/>
    <w:rsid w:val="004A6D0E"/>
    <w:rsid w:val="004A6F87"/>
    <w:rsid w:val="004A7068"/>
    <w:rsid w:val="004A788F"/>
    <w:rsid w:val="004A78AA"/>
    <w:rsid w:val="004B0292"/>
    <w:rsid w:val="004B0481"/>
    <w:rsid w:val="004B0730"/>
    <w:rsid w:val="004B0932"/>
    <w:rsid w:val="004B0D52"/>
    <w:rsid w:val="004B1530"/>
    <w:rsid w:val="004B1818"/>
    <w:rsid w:val="004B1BAE"/>
    <w:rsid w:val="004B1C7E"/>
    <w:rsid w:val="004B20EE"/>
    <w:rsid w:val="004B2698"/>
    <w:rsid w:val="004B27B8"/>
    <w:rsid w:val="004B2AC1"/>
    <w:rsid w:val="004B339B"/>
    <w:rsid w:val="004B36F3"/>
    <w:rsid w:val="004B3749"/>
    <w:rsid w:val="004B3B02"/>
    <w:rsid w:val="004B3EBE"/>
    <w:rsid w:val="004B4531"/>
    <w:rsid w:val="004B4B2B"/>
    <w:rsid w:val="004B4B31"/>
    <w:rsid w:val="004B4F91"/>
    <w:rsid w:val="004B558E"/>
    <w:rsid w:val="004B55E6"/>
    <w:rsid w:val="004B5B2F"/>
    <w:rsid w:val="004B6349"/>
    <w:rsid w:val="004B673C"/>
    <w:rsid w:val="004B68EF"/>
    <w:rsid w:val="004B6BB5"/>
    <w:rsid w:val="004B6C2F"/>
    <w:rsid w:val="004B6D0E"/>
    <w:rsid w:val="004B6DBC"/>
    <w:rsid w:val="004B6DC4"/>
    <w:rsid w:val="004B73E7"/>
    <w:rsid w:val="004B753D"/>
    <w:rsid w:val="004B772C"/>
    <w:rsid w:val="004B797E"/>
    <w:rsid w:val="004B79B3"/>
    <w:rsid w:val="004B7EFF"/>
    <w:rsid w:val="004C0358"/>
    <w:rsid w:val="004C04F3"/>
    <w:rsid w:val="004C07EF"/>
    <w:rsid w:val="004C12CC"/>
    <w:rsid w:val="004C1A3E"/>
    <w:rsid w:val="004C1ABE"/>
    <w:rsid w:val="004C1EDF"/>
    <w:rsid w:val="004C1F0F"/>
    <w:rsid w:val="004C230E"/>
    <w:rsid w:val="004C234E"/>
    <w:rsid w:val="004C2995"/>
    <w:rsid w:val="004C2EFD"/>
    <w:rsid w:val="004C2F8D"/>
    <w:rsid w:val="004C3074"/>
    <w:rsid w:val="004C352C"/>
    <w:rsid w:val="004C3632"/>
    <w:rsid w:val="004C36F0"/>
    <w:rsid w:val="004C46D9"/>
    <w:rsid w:val="004C4841"/>
    <w:rsid w:val="004C49D6"/>
    <w:rsid w:val="004C4D4D"/>
    <w:rsid w:val="004C4F41"/>
    <w:rsid w:val="004C5293"/>
    <w:rsid w:val="004C552A"/>
    <w:rsid w:val="004C5999"/>
    <w:rsid w:val="004C5B90"/>
    <w:rsid w:val="004C64C1"/>
    <w:rsid w:val="004C6761"/>
    <w:rsid w:val="004C6A03"/>
    <w:rsid w:val="004C6BFF"/>
    <w:rsid w:val="004C7291"/>
    <w:rsid w:val="004C759D"/>
    <w:rsid w:val="004C771A"/>
    <w:rsid w:val="004C7A0B"/>
    <w:rsid w:val="004C7AD6"/>
    <w:rsid w:val="004C7E8D"/>
    <w:rsid w:val="004C7F01"/>
    <w:rsid w:val="004D044E"/>
    <w:rsid w:val="004D0470"/>
    <w:rsid w:val="004D0724"/>
    <w:rsid w:val="004D0727"/>
    <w:rsid w:val="004D0830"/>
    <w:rsid w:val="004D0C86"/>
    <w:rsid w:val="004D0D3A"/>
    <w:rsid w:val="004D0D9B"/>
    <w:rsid w:val="004D0FB3"/>
    <w:rsid w:val="004D108B"/>
    <w:rsid w:val="004D10E0"/>
    <w:rsid w:val="004D10E7"/>
    <w:rsid w:val="004D1580"/>
    <w:rsid w:val="004D1674"/>
    <w:rsid w:val="004D1730"/>
    <w:rsid w:val="004D187A"/>
    <w:rsid w:val="004D1C8E"/>
    <w:rsid w:val="004D1C93"/>
    <w:rsid w:val="004D1CB4"/>
    <w:rsid w:val="004D1EE6"/>
    <w:rsid w:val="004D21D8"/>
    <w:rsid w:val="004D2379"/>
    <w:rsid w:val="004D27B5"/>
    <w:rsid w:val="004D2B44"/>
    <w:rsid w:val="004D2DF4"/>
    <w:rsid w:val="004D3095"/>
    <w:rsid w:val="004D3118"/>
    <w:rsid w:val="004D321B"/>
    <w:rsid w:val="004D3BB7"/>
    <w:rsid w:val="004D3C0E"/>
    <w:rsid w:val="004D3C45"/>
    <w:rsid w:val="004D3D49"/>
    <w:rsid w:val="004D3D7E"/>
    <w:rsid w:val="004D4118"/>
    <w:rsid w:val="004D4CAE"/>
    <w:rsid w:val="004D4D28"/>
    <w:rsid w:val="004D4E1E"/>
    <w:rsid w:val="004D4E77"/>
    <w:rsid w:val="004D4F42"/>
    <w:rsid w:val="004D5715"/>
    <w:rsid w:val="004D5EC5"/>
    <w:rsid w:val="004D68E8"/>
    <w:rsid w:val="004D6D62"/>
    <w:rsid w:val="004D71FF"/>
    <w:rsid w:val="004D73D6"/>
    <w:rsid w:val="004D77D2"/>
    <w:rsid w:val="004D7C33"/>
    <w:rsid w:val="004D7D4B"/>
    <w:rsid w:val="004D7EBA"/>
    <w:rsid w:val="004D7F31"/>
    <w:rsid w:val="004E023D"/>
    <w:rsid w:val="004E0775"/>
    <w:rsid w:val="004E0C79"/>
    <w:rsid w:val="004E0C87"/>
    <w:rsid w:val="004E0D9F"/>
    <w:rsid w:val="004E0F9D"/>
    <w:rsid w:val="004E108B"/>
    <w:rsid w:val="004E12BE"/>
    <w:rsid w:val="004E159E"/>
    <w:rsid w:val="004E1961"/>
    <w:rsid w:val="004E1B40"/>
    <w:rsid w:val="004E1CEC"/>
    <w:rsid w:val="004E2012"/>
    <w:rsid w:val="004E2149"/>
    <w:rsid w:val="004E224D"/>
    <w:rsid w:val="004E2503"/>
    <w:rsid w:val="004E291F"/>
    <w:rsid w:val="004E2F0E"/>
    <w:rsid w:val="004E36DC"/>
    <w:rsid w:val="004E3791"/>
    <w:rsid w:val="004E3CC8"/>
    <w:rsid w:val="004E3CCD"/>
    <w:rsid w:val="004E3D2A"/>
    <w:rsid w:val="004E3DFE"/>
    <w:rsid w:val="004E42BF"/>
    <w:rsid w:val="004E4352"/>
    <w:rsid w:val="004E45BF"/>
    <w:rsid w:val="004E46A2"/>
    <w:rsid w:val="004E47AF"/>
    <w:rsid w:val="004E49B4"/>
    <w:rsid w:val="004E4A48"/>
    <w:rsid w:val="004E53DD"/>
    <w:rsid w:val="004E5525"/>
    <w:rsid w:val="004E56FC"/>
    <w:rsid w:val="004E5725"/>
    <w:rsid w:val="004E5801"/>
    <w:rsid w:val="004E58F7"/>
    <w:rsid w:val="004E5942"/>
    <w:rsid w:val="004E5EEC"/>
    <w:rsid w:val="004E64E5"/>
    <w:rsid w:val="004E6B81"/>
    <w:rsid w:val="004E72D4"/>
    <w:rsid w:val="004E72FC"/>
    <w:rsid w:val="004E738E"/>
    <w:rsid w:val="004E75CE"/>
    <w:rsid w:val="004E766C"/>
    <w:rsid w:val="004E7798"/>
    <w:rsid w:val="004E7875"/>
    <w:rsid w:val="004E7974"/>
    <w:rsid w:val="004E7CBD"/>
    <w:rsid w:val="004E7F71"/>
    <w:rsid w:val="004E7F79"/>
    <w:rsid w:val="004F00CA"/>
    <w:rsid w:val="004F0374"/>
    <w:rsid w:val="004F0449"/>
    <w:rsid w:val="004F067E"/>
    <w:rsid w:val="004F0707"/>
    <w:rsid w:val="004F0ABD"/>
    <w:rsid w:val="004F0B86"/>
    <w:rsid w:val="004F0BB1"/>
    <w:rsid w:val="004F0DBC"/>
    <w:rsid w:val="004F0DFC"/>
    <w:rsid w:val="004F1070"/>
    <w:rsid w:val="004F1094"/>
    <w:rsid w:val="004F11F0"/>
    <w:rsid w:val="004F1420"/>
    <w:rsid w:val="004F1539"/>
    <w:rsid w:val="004F17A6"/>
    <w:rsid w:val="004F17A9"/>
    <w:rsid w:val="004F186E"/>
    <w:rsid w:val="004F19A3"/>
    <w:rsid w:val="004F2029"/>
    <w:rsid w:val="004F28CD"/>
    <w:rsid w:val="004F2D9C"/>
    <w:rsid w:val="004F2E06"/>
    <w:rsid w:val="004F2E09"/>
    <w:rsid w:val="004F3199"/>
    <w:rsid w:val="004F32B7"/>
    <w:rsid w:val="004F370B"/>
    <w:rsid w:val="004F3A49"/>
    <w:rsid w:val="004F3C99"/>
    <w:rsid w:val="004F404D"/>
    <w:rsid w:val="004F41FC"/>
    <w:rsid w:val="004F42D2"/>
    <w:rsid w:val="004F4622"/>
    <w:rsid w:val="004F47E7"/>
    <w:rsid w:val="004F4E2F"/>
    <w:rsid w:val="004F4E3B"/>
    <w:rsid w:val="004F4FD9"/>
    <w:rsid w:val="004F585F"/>
    <w:rsid w:val="004F5BFC"/>
    <w:rsid w:val="004F5FF3"/>
    <w:rsid w:val="004F5FF4"/>
    <w:rsid w:val="004F6441"/>
    <w:rsid w:val="004F6563"/>
    <w:rsid w:val="004F65ED"/>
    <w:rsid w:val="004F6C54"/>
    <w:rsid w:val="004F6E9E"/>
    <w:rsid w:val="004F737B"/>
    <w:rsid w:val="004F73DC"/>
    <w:rsid w:val="004F7769"/>
    <w:rsid w:val="004F7AB3"/>
    <w:rsid w:val="00500356"/>
    <w:rsid w:val="00500AA7"/>
    <w:rsid w:val="00500B6E"/>
    <w:rsid w:val="00500EBF"/>
    <w:rsid w:val="00501334"/>
    <w:rsid w:val="0050140E"/>
    <w:rsid w:val="005015D4"/>
    <w:rsid w:val="00501BC8"/>
    <w:rsid w:val="00501F09"/>
    <w:rsid w:val="00501F8B"/>
    <w:rsid w:val="005022A5"/>
    <w:rsid w:val="005027E2"/>
    <w:rsid w:val="00502934"/>
    <w:rsid w:val="00502AAC"/>
    <w:rsid w:val="00502E91"/>
    <w:rsid w:val="00503352"/>
    <w:rsid w:val="00503502"/>
    <w:rsid w:val="00503766"/>
    <w:rsid w:val="005037C2"/>
    <w:rsid w:val="00503A07"/>
    <w:rsid w:val="00503A9E"/>
    <w:rsid w:val="005040E5"/>
    <w:rsid w:val="00504A0D"/>
    <w:rsid w:val="00504D60"/>
    <w:rsid w:val="00504DBD"/>
    <w:rsid w:val="00504EB5"/>
    <w:rsid w:val="00505241"/>
    <w:rsid w:val="005055B1"/>
    <w:rsid w:val="005055CE"/>
    <w:rsid w:val="005055CF"/>
    <w:rsid w:val="00505777"/>
    <w:rsid w:val="00505D75"/>
    <w:rsid w:val="00505F2A"/>
    <w:rsid w:val="0050671E"/>
    <w:rsid w:val="0050686B"/>
    <w:rsid w:val="00506E70"/>
    <w:rsid w:val="0050722B"/>
    <w:rsid w:val="0050725C"/>
    <w:rsid w:val="00507857"/>
    <w:rsid w:val="005078DD"/>
    <w:rsid w:val="00507D39"/>
    <w:rsid w:val="00507D63"/>
    <w:rsid w:val="00510692"/>
    <w:rsid w:val="00510711"/>
    <w:rsid w:val="00510C54"/>
    <w:rsid w:val="00510D61"/>
    <w:rsid w:val="00510DC9"/>
    <w:rsid w:val="00510FBA"/>
    <w:rsid w:val="005114E0"/>
    <w:rsid w:val="0051176D"/>
    <w:rsid w:val="0051185D"/>
    <w:rsid w:val="00511FEA"/>
    <w:rsid w:val="005120DE"/>
    <w:rsid w:val="00512385"/>
    <w:rsid w:val="00512718"/>
    <w:rsid w:val="00512B48"/>
    <w:rsid w:val="00512B6F"/>
    <w:rsid w:val="00512C21"/>
    <w:rsid w:val="00512C4A"/>
    <w:rsid w:val="00512ED1"/>
    <w:rsid w:val="005138C8"/>
    <w:rsid w:val="00513A99"/>
    <w:rsid w:val="00513C4E"/>
    <w:rsid w:val="00514525"/>
    <w:rsid w:val="0051460A"/>
    <w:rsid w:val="00514D96"/>
    <w:rsid w:val="00514E69"/>
    <w:rsid w:val="00514F35"/>
    <w:rsid w:val="00514FCA"/>
    <w:rsid w:val="00515058"/>
    <w:rsid w:val="005150DF"/>
    <w:rsid w:val="005151AB"/>
    <w:rsid w:val="00515442"/>
    <w:rsid w:val="00515727"/>
    <w:rsid w:val="00515738"/>
    <w:rsid w:val="005158B1"/>
    <w:rsid w:val="005158C0"/>
    <w:rsid w:val="00515F86"/>
    <w:rsid w:val="00516057"/>
    <w:rsid w:val="00516217"/>
    <w:rsid w:val="00516B89"/>
    <w:rsid w:val="005172A4"/>
    <w:rsid w:val="0051778F"/>
    <w:rsid w:val="00517791"/>
    <w:rsid w:val="00517887"/>
    <w:rsid w:val="00517AE6"/>
    <w:rsid w:val="00520171"/>
    <w:rsid w:val="0052043E"/>
    <w:rsid w:val="00520A55"/>
    <w:rsid w:val="00520A7A"/>
    <w:rsid w:val="00520A8D"/>
    <w:rsid w:val="00520DC8"/>
    <w:rsid w:val="00521181"/>
    <w:rsid w:val="00521927"/>
    <w:rsid w:val="00521A63"/>
    <w:rsid w:val="00521E61"/>
    <w:rsid w:val="00521F2C"/>
    <w:rsid w:val="0052225F"/>
    <w:rsid w:val="005227D4"/>
    <w:rsid w:val="0052288D"/>
    <w:rsid w:val="00522E09"/>
    <w:rsid w:val="00522F98"/>
    <w:rsid w:val="00522FC2"/>
    <w:rsid w:val="00523BB7"/>
    <w:rsid w:val="00523E09"/>
    <w:rsid w:val="00523E5E"/>
    <w:rsid w:val="0052420A"/>
    <w:rsid w:val="00524730"/>
    <w:rsid w:val="0052473C"/>
    <w:rsid w:val="00525080"/>
    <w:rsid w:val="00525184"/>
    <w:rsid w:val="0052526F"/>
    <w:rsid w:val="0052528B"/>
    <w:rsid w:val="00525CFA"/>
    <w:rsid w:val="00525D91"/>
    <w:rsid w:val="00525EE1"/>
    <w:rsid w:val="0052619A"/>
    <w:rsid w:val="0052620E"/>
    <w:rsid w:val="00526348"/>
    <w:rsid w:val="0052649D"/>
    <w:rsid w:val="00526A9C"/>
    <w:rsid w:val="00526B3F"/>
    <w:rsid w:val="00526E41"/>
    <w:rsid w:val="0052737B"/>
    <w:rsid w:val="005277C6"/>
    <w:rsid w:val="00527CCB"/>
    <w:rsid w:val="00527D4F"/>
    <w:rsid w:val="00527D81"/>
    <w:rsid w:val="0053030D"/>
    <w:rsid w:val="00530481"/>
    <w:rsid w:val="00530722"/>
    <w:rsid w:val="00530E41"/>
    <w:rsid w:val="00531856"/>
    <w:rsid w:val="00531988"/>
    <w:rsid w:val="0053227B"/>
    <w:rsid w:val="00532291"/>
    <w:rsid w:val="0053232A"/>
    <w:rsid w:val="0053244B"/>
    <w:rsid w:val="005324F3"/>
    <w:rsid w:val="005326D6"/>
    <w:rsid w:val="005327A9"/>
    <w:rsid w:val="0053285E"/>
    <w:rsid w:val="00532CC2"/>
    <w:rsid w:val="00533923"/>
    <w:rsid w:val="00533E1E"/>
    <w:rsid w:val="0053407E"/>
    <w:rsid w:val="00534372"/>
    <w:rsid w:val="00534B34"/>
    <w:rsid w:val="0053512E"/>
    <w:rsid w:val="005353BE"/>
    <w:rsid w:val="005357D1"/>
    <w:rsid w:val="00535842"/>
    <w:rsid w:val="00535F60"/>
    <w:rsid w:val="005362B2"/>
    <w:rsid w:val="005365B6"/>
    <w:rsid w:val="00536A13"/>
    <w:rsid w:val="00536DF9"/>
    <w:rsid w:val="00537126"/>
    <w:rsid w:val="00537B28"/>
    <w:rsid w:val="00537B88"/>
    <w:rsid w:val="00537BA8"/>
    <w:rsid w:val="00537E4E"/>
    <w:rsid w:val="0054004C"/>
    <w:rsid w:val="005401C2"/>
    <w:rsid w:val="005409EA"/>
    <w:rsid w:val="0054139D"/>
    <w:rsid w:val="00541696"/>
    <w:rsid w:val="00541B22"/>
    <w:rsid w:val="00541D75"/>
    <w:rsid w:val="00542091"/>
    <w:rsid w:val="00542549"/>
    <w:rsid w:val="00542687"/>
    <w:rsid w:val="00542FD8"/>
    <w:rsid w:val="00543D8C"/>
    <w:rsid w:val="00543E19"/>
    <w:rsid w:val="0054417B"/>
    <w:rsid w:val="00544513"/>
    <w:rsid w:val="00544593"/>
    <w:rsid w:val="005449E9"/>
    <w:rsid w:val="00544A46"/>
    <w:rsid w:val="00544B53"/>
    <w:rsid w:val="00544C53"/>
    <w:rsid w:val="00544CD0"/>
    <w:rsid w:val="00544EBF"/>
    <w:rsid w:val="0054529B"/>
    <w:rsid w:val="00545658"/>
    <w:rsid w:val="005460A3"/>
    <w:rsid w:val="005465E1"/>
    <w:rsid w:val="005465F9"/>
    <w:rsid w:val="00546812"/>
    <w:rsid w:val="00546A7C"/>
    <w:rsid w:val="00546E8E"/>
    <w:rsid w:val="00547171"/>
    <w:rsid w:val="00547235"/>
    <w:rsid w:val="00547332"/>
    <w:rsid w:val="005473A7"/>
    <w:rsid w:val="0054757E"/>
    <w:rsid w:val="005502C8"/>
    <w:rsid w:val="005507BF"/>
    <w:rsid w:val="00550839"/>
    <w:rsid w:val="00550B07"/>
    <w:rsid w:val="00551128"/>
    <w:rsid w:val="00551534"/>
    <w:rsid w:val="00551A2B"/>
    <w:rsid w:val="00551DB3"/>
    <w:rsid w:val="0055206D"/>
    <w:rsid w:val="0055214E"/>
    <w:rsid w:val="00552507"/>
    <w:rsid w:val="005529C2"/>
    <w:rsid w:val="00553153"/>
    <w:rsid w:val="00553300"/>
    <w:rsid w:val="00553493"/>
    <w:rsid w:val="005538B0"/>
    <w:rsid w:val="00553BA2"/>
    <w:rsid w:val="00553BDA"/>
    <w:rsid w:val="00553D57"/>
    <w:rsid w:val="00553E62"/>
    <w:rsid w:val="0055402E"/>
    <w:rsid w:val="005540FE"/>
    <w:rsid w:val="005541B1"/>
    <w:rsid w:val="0055421B"/>
    <w:rsid w:val="005542FB"/>
    <w:rsid w:val="0055434F"/>
    <w:rsid w:val="00554841"/>
    <w:rsid w:val="00554D09"/>
    <w:rsid w:val="00554D4D"/>
    <w:rsid w:val="00554E26"/>
    <w:rsid w:val="00554FF2"/>
    <w:rsid w:val="0055510A"/>
    <w:rsid w:val="00555921"/>
    <w:rsid w:val="00555DB2"/>
    <w:rsid w:val="00556251"/>
    <w:rsid w:val="005562D4"/>
    <w:rsid w:val="00556A9E"/>
    <w:rsid w:val="00556DAA"/>
    <w:rsid w:val="00557021"/>
    <w:rsid w:val="005570F2"/>
    <w:rsid w:val="005579DF"/>
    <w:rsid w:val="00557CDF"/>
    <w:rsid w:val="00557F8C"/>
    <w:rsid w:val="00560550"/>
    <w:rsid w:val="0056057F"/>
    <w:rsid w:val="00560E36"/>
    <w:rsid w:val="00560FFF"/>
    <w:rsid w:val="0056104F"/>
    <w:rsid w:val="0056126A"/>
    <w:rsid w:val="005614E7"/>
    <w:rsid w:val="00561650"/>
    <w:rsid w:val="00561AB2"/>
    <w:rsid w:val="00561D9A"/>
    <w:rsid w:val="00561DC5"/>
    <w:rsid w:val="00561F2A"/>
    <w:rsid w:val="00562202"/>
    <w:rsid w:val="00562630"/>
    <w:rsid w:val="00562ABE"/>
    <w:rsid w:val="00563227"/>
    <w:rsid w:val="005635C8"/>
    <w:rsid w:val="0056369A"/>
    <w:rsid w:val="00563901"/>
    <w:rsid w:val="005639D5"/>
    <w:rsid w:val="00563CB1"/>
    <w:rsid w:val="00563E2B"/>
    <w:rsid w:val="00563FD1"/>
    <w:rsid w:val="0056428D"/>
    <w:rsid w:val="00564304"/>
    <w:rsid w:val="00564517"/>
    <w:rsid w:val="0056466B"/>
    <w:rsid w:val="005646FB"/>
    <w:rsid w:val="00564FB3"/>
    <w:rsid w:val="00565489"/>
    <w:rsid w:val="005656EB"/>
    <w:rsid w:val="005657A6"/>
    <w:rsid w:val="00565813"/>
    <w:rsid w:val="00565D73"/>
    <w:rsid w:val="00565FF4"/>
    <w:rsid w:val="005660D9"/>
    <w:rsid w:val="005661A7"/>
    <w:rsid w:val="0056673F"/>
    <w:rsid w:val="00566CD5"/>
    <w:rsid w:val="00567C6C"/>
    <w:rsid w:val="00570C6F"/>
    <w:rsid w:val="00570CA9"/>
    <w:rsid w:val="00571095"/>
    <w:rsid w:val="005712ED"/>
    <w:rsid w:val="0057131A"/>
    <w:rsid w:val="00571330"/>
    <w:rsid w:val="00571648"/>
    <w:rsid w:val="0057166A"/>
    <w:rsid w:val="00571756"/>
    <w:rsid w:val="00571B59"/>
    <w:rsid w:val="00571C49"/>
    <w:rsid w:val="00571DD5"/>
    <w:rsid w:val="00571E37"/>
    <w:rsid w:val="00572317"/>
    <w:rsid w:val="00572372"/>
    <w:rsid w:val="00572523"/>
    <w:rsid w:val="005727C9"/>
    <w:rsid w:val="005727FB"/>
    <w:rsid w:val="00572B1C"/>
    <w:rsid w:val="00572CAE"/>
    <w:rsid w:val="00573601"/>
    <w:rsid w:val="00573B36"/>
    <w:rsid w:val="005750DC"/>
    <w:rsid w:val="005756E9"/>
    <w:rsid w:val="00575896"/>
    <w:rsid w:val="0057618F"/>
    <w:rsid w:val="00576310"/>
    <w:rsid w:val="00576356"/>
    <w:rsid w:val="005765DB"/>
    <w:rsid w:val="005767F0"/>
    <w:rsid w:val="00576836"/>
    <w:rsid w:val="00576C9E"/>
    <w:rsid w:val="00577742"/>
    <w:rsid w:val="00577923"/>
    <w:rsid w:val="00577A2D"/>
    <w:rsid w:val="00577A64"/>
    <w:rsid w:val="005801FF"/>
    <w:rsid w:val="00580585"/>
    <w:rsid w:val="0058071F"/>
    <w:rsid w:val="005807FD"/>
    <w:rsid w:val="00580818"/>
    <w:rsid w:val="00580A6F"/>
    <w:rsid w:val="005816C1"/>
    <w:rsid w:val="00581829"/>
    <w:rsid w:val="00582249"/>
    <w:rsid w:val="0058274A"/>
    <w:rsid w:val="0058280A"/>
    <w:rsid w:val="005828CA"/>
    <w:rsid w:val="00582DD9"/>
    <w:rsid w:val="0058392C"/>
    <w:rsid w:val="00583BE9"/>
    <w:rsid w:val="00583FE3"/>
    <w:rsid w:val="0058400B"/>
    <w:rsid w:val="00584164"/>
    <w:rsid w:val="005841DA"/>
    <w:rsid w:val="00584630"/>
    <w:rsid w:val="00584AA6"/>
    <w:rsid w:val="00584C01"/>
    <w:rsid w:val="00584E67"/>
    <w:rsid w:val="00584FC5"/>
    <w:rsid w:val="0058520F"/>
    <w:rsid w:val="005854F4"/>
    <w:rsid w:val="00586592"/>
    <w:rsid w:val="005866BE"/>
    <w:rsid w:val="00586768"/>
    <w:rsid w:val="0058688B"/>
    <w:rsid w:val="00586ABF"/>
    <w:rsid w:val="00586B8E"/>
    <w:rsid w:val="00586BE1"/>
    <w:rsid w:val="00586DD9"/>
    <w:rsid w:val="0058752F"/>
    <w:rsid w:val="0058760F"/>
    <w:rsid w:val="0058769D"/>
    <w:rsid w:val="00587A3A"/>
    <w:rsid w:val="00587A77"/>
    <w:rsid w:val="00587DF4"/>
    <w:rsid w:val="00587E42"/>
    <w:rsid w:val="00587E68"/>
    <w:rsid w:val="005903EC"/>
    <w:rsid w:val="0059084F"/>
    <w:rsid w:val="00590A1F"/>
    <w:rsid w:val="00590B56"/>
    <w:rsid w:val="00590B8D"/>
    <w:rsid w:val="00590BCB"/>
    <w:rsid w:val="0059103F"/>
    <w:rsid w:val="0059109D"/>
    <w:rsid w:val="005913EF"/>
    <w:rsid w:val="00591A8D"/>
    <w:rsid w:val="00591F7B"/>
    <w:rsid w:val="005921E6"/>
    <w:rsid w:val="00592288"/>
    <w:rsid w:val="005924B0"/>
    <w:rsid w:val="005925AB"/>
    <w:rsid w:val="00592BF1"/>
    <w:rsid w:val="00592DDE"/>
    <w:rsid w:val="00592E2C"/>
    <w:rsid w:val="00592E9A"/>
    <w:rsid w:val="0059306E"/>
    <w:rsid w:val="0059339B"/>
    <w:rsid w:val="005934C4"/>
    <w:rsid w:val="0059358C"/>
    <w:rsid w:val="00593D2B"/>
    <w:rsid w:val="00593DB3"/>
    <w:rsid w:val="0059409B"/>
    <w:rsid w:val="005943CB"/>
    <w:rsid w:val="0059524C"/>
    <w:rsid w:val="0059586C"/>
    <w:rsid w:val="00595BB2"/>
    <w:rsid w:val="00595E7E"/>
    <w:rsid w:val="00595F29"/>
    <w:rsid w:val="00595FC4"/>
    <w:rsid w:val="00596035"/>
    <w:rsid w:val="005963BE"/>
    <w:rsid w:val="005965CA"/>
    <w:rsid w:val="005976BE"/>
    <w:rsid w:val="005978E6"/>
    <w:rsid w:val="00597AC0"/>
    <w:rsid w:val="00597FE0"/>
    <w:rsid w:val="005A02C9"/>
    <w:rsid w:val="005A036D"/>
    <w:rsid w:val="005A0AF5"/>
    <w:rsid w:val="005A0FB5"/>
    <w:rsid w:val="005A122A"/>
    <w:rsid w:val="005A13F2"/>
    <w:rsid w:val="005A184F"/>
    <w:rsid w:val="005A1B9B"/>
    <w:rsid w:val="005A20F7"/>
    <w:rsid w:val="005A22E2"/>
    <w:rsid w:val="005A26C6"/>
    <w:rsid w:val="005A2907"/>
    <w:rsid w:val="005A2976"/>
    <w:rsid w:val="005A2AE3"/>
    <w:rsid w:val="005A2C07"/>
    <w:rsid w:val="005A306B"/>
    <w:rsid w:val="005A325C"/>
    <w:rsid w:val="005A3373"/>
    <w:rsid w:val="005A3535"/>
    <w:rsid w:val="005A3623"/>
    <w:rsid w:val="005A36A3"/>
    <w:rsid w:val="005A36DE"/>
    <w:rsid w:val="005A3D3D"/>
    <w:rsid w:val="005A4817"/>
    <w:rsid w:val="005A493D"/>
    <w:rsid w:val="005A4EFC"/>
    <w:rsid w:val="005A4F83"/>
    <w:rsid w:val="005A509B"/>
    <w:rsid w:val="005A5644"/>
    <w:rsid w:val="005A59F4"/>
    <w:rsid w:val="005A6411"/>
    <w:rsid w:val="005A6601"/>
    <w:rsid w:val="005A67BD"/>
    <w:rsid w:val="005A6998"/>
    <w:rsid w:val="005A69A4"/>
    <w:rsid w:val="005A6C8E"/>
    <w:rsid w:val="005A6D0C"/>
    <w:rsid w:val="005A6F4D"/>
    <w:rsid w:val="005A71D1"/>
    <w:rsid w:val="005A7227"/>
    <w:rsid w:val="005A74CD"/>
    <w:rsid w:val="005A75C9"/>
    <w:rsid w:val="005B02E4"/>
    <w:rsid w:val="005B063D"/>
    <w:rsid w:val="005B098B"/>
    <w:rsid w:val="005B0B12"/>
    <w:rsid w:val="005B0B51"/>
    <w:rsid w:val="005B2354"/>
    <w:rsid w:val="005B2618"/>
    <w:rsid w:val="005B2849"/>
    <w:rsid w:val="005B2C36"/>
    <w:rsid w:val="005B30CC"/>
    <w:rsid w:val="005B32AD"/>
    <w:rsid w:val="005B3461"/>
    <w:rsid w:val="005B3613"/>
    <w:rsid w:val="005B3B85"/>
    <w:rsid w:val="005B3BEA"/>
    <w:rsid w:val="005B3E7F"/>
    <w:rsid w:val="005B3ED8"/>
    <w:rsid w:val="005B4593"/>
    <w:rsid w:val="005B45D5"/>
    <w:rsid w:val="005B46CC"/>
    <w:rsid w:val="005B4BB3"/>
    <w:rsid w:val="005B4C58"/>
    <w:rsid w:val="005B4FBA"/>
    <w:rsid w:val="005B5780"/>
    <w:rsid w:val="005B5939"/>
    <w:rsid w:val="005B5DB0"/>
    <w:rsid w:val="005B63AA"/>
    <w:rsid w:val="005B6819"/>
    <w:rsid w:val="005B6AF7"/>
    <w:rsid w:val="005B6B38"/>
    <w:rsid w:val="005B6CC8"/>
    <w:rsid w:val="005B6F3F"/>
    <w:rsid w:val="005B711F"/>
    <w:rsid w:val="005B7D64"/>
    <w:rsid w:val="005B7D74"/>
    <w:rsid w:val="005B7E02"/>
    <w:rsid w:val="005C02F7"/>
    <w:rsid w:val="005C05DD"/>
    <w:rsid w:val="005C0D4B"/>
    <w:rsid w:val="005C0D93"/>
    <w:rsid w:val="005C0E2D"/>
    <w:rsid w:val="005C0ECD"/>
    <w:rsid w:val="005C0FB3"/>
    <w:rsid w:val="005C11B7"/>
    <w:rsid w:val="005C1206"/>
    <w:rsid w:val="005C1535"/>
    <w:rsid w:val="005C1550"/>
    <w:rsid w:val="005C1B48"/>
    <w:rsid w:val="005C1C40"/>
    <w:rsid w:val="005C1C45"/>
    <w:rsid w:val="005C1D37"/>
    <w:rsid w:val="005C1D86"/>
    <w:rsid w:val="005C1F59"/>
    <w:rsid w:val="005C22EC"/>
    <w:rsid w:val="005C2315"/>
    <w:rsid w:val="005C29C8"/>
    <w:rsid w:val="005C2DB1"/>
    <w:rsid w:val="005C2DDB"/>
    <w:rsid w:val="005C2F1D"/>
    <w:rsid w:val="005C2FAC"/>
    <w:rsid w:val="005C3524"/>
    <w:rsid w:val="005C353D"/>
    <w:rsid w:val="005C3812"/>
    <w:rsid w:val="005C3914"/>
    <w:rsid w:val="005C3ACD"/>
    <w:rsid w:val="005C3EAE"/>
    <w:rsid w:val="005C3F48"/>
    <w:rsid w:val="005C3F4F"/>
    <w:rsid w:val="005C4E04"/>
    <w:rsid w:val="005C511F"/>
    <w:rsid w:val="005C5388"/>
    <w:rsid w:val="005C5B12"/>
    <w:rsid w:val="005C5D30"/>
    <w:rsid w:val="005C65E5"/>
    <w:rsid w:val="005C6BF9"/>
    <w:rsid w:val="005C6EE8"/>
    <w:rsid w:val="005C6FC5"/>
    <w:rsid w:val="005C7077"/>
    <w:rsid w:val="005C7223"/>
    <w:rsid w:val="005C763F"/>
    <w:rsid w:val="005C7DF5"/>
    <w:rsid w:val="005D0011"/>
    <w:rsid w:val="005D0732"/>
    <w:rsid w:val="005D0D44"/>
    <w:rsid w:val="005D0D93"/>
    <w:rsid w:val="005D113D"/>
    <w:rsid w:val="005D1306"/>
    <w:rsid w:val="005D1527"/>
    <w:rsid w:val="005D15DA"/>
    <w:rsid w:val="005D168E"/>
    <w:rsid w:val="005D196E"/>
    <w:rsid w:val="005D1A22"/>
    <w:rsid w:val="005D1B1F"/>
    <w:rsid w:val="005D1C37"/>
    <w:rsid w:val="005D1EE2"/>
    <w:rsid w:val="005D1FBD"/>
    <w:rsid w:val="005D2165"/>
    <w:rsid w:val="005D23FF"/>
    <w:rsid w:val="005D262D"/>
    <w:rsid w:val="005D287F"/>
    <w:rsid w:val="005D295F"/>
    <w:rsid w:val="005D2C1A"/>
    <w:rsid w:val="005D2F83"/>
    <w:rsid w:val="005D3015"/>
    <w:rsid w:val="005D3335"/>
    <w:rsid w:val="005D34F8"/>
    <w:rsid w:val="005D3592"/>
    <w:rsid w:val="005D3E9F"/>
    <w:rsid w:val="005D3FD7"/>
    <w:rsid w:val="005D40DF"/>
    <w:rsid w:val="005D45BD"/>
    <w:rsid w:val="005D4B12"/>
    <w:rsid w:val="005D4BAE"/>
    <w:rsid w:val="005D4C31"/>
    <w:rsid w:val="005D4CE6"/>
    <w:rsid w:val="005D4E21"/>
    <w:rsid w:val="005D5089"/>
    <w:rsid w:val="005D5113"/>
    <w:rsid w:val="005D5187"/>
    <w:rsid w:val="005D5924"/>
    <w:rsid w:val="005D5A1F"/>
    <w:rsid w:val="005D5C07"/>
    <w:rsid w:val="005D60CA"/>
    <w:rsid w:val="005D6304"/>
    <w:rsid w:val="005D6527"/>
    <w:rsid w:val="005D6BCE"/>
    <w:rsid w:val="005D6DE9"/>
    <w:rsid w:val="005D6E9B"/>
    <w:rsid w:val="005D6F2D"/>
    <w:rsid w:val="005D7B0E"/>
    <w:rsid w:val="005D7B6C"/>
    <w:rsid w:val="005E00D5"/>
    <w:rsid w:val="005E023F"/>
    <w:rsid w:val="005E041D"/>
    <w:rsid w:val="005E0774"/>
    <w:rsid w:val="005E0917"/>
    <w:rsid w:val="005E0CB3"/>
    <w:rsid w:val="005E0DE8"/>
    <w:rsid w:val="005E0E3A"/>
    <w:rsid w:val="005E0FF0"/>
    <w:rsid w:val="005E1176"/>
    <w:rsid w:val="005E11A0"/>
    <w:rsid w:val="005E198E"/>
    <w:rsid w:val="005E19E7"/>
    <w:rsid w:val="005E1CA8"/>
    <w:rsid w:val="005E1EB1"/>
    <w:rsid w:val="005E2145"/>
    <w:rsid w:val="005E2372"/>
    <w:rsid w:val="005E247F"/>
    <w:rsid w:val="005E26BB"/>
    <w:rsid w:val="005E2802"/>
    <w:rsid w:val="005E2890"/>
    <w:rsid w:val="005E2DCB"/>
    <w:rsid w:val="005E2EA5"/>
    <w:rsid w:val="005E30B7"/>
    <w:rsid w:val="005E31B4"/>
    <w:rsid w:val="005E3501"/>
    <w:rsid w:val="005E35CC"/>
    <w:rsid w:val="005E382E"/>
    <w:rsid w:val="005E3950"/>
    <w:rsid w:val="005E3A0E"/>
    <w:rsid w:val="005E3B80"/>
    <w:rsid w:val="005E3BF1"/>
    <w:rsid w:val="005E4264"/>
    <w:rsid w:val="005E4381"/>
    <w:rsid w:val="005E4611"/>
    <w:rsid w:val="005E4730"/>
    <w:rsid w:val="005E49E8"/>
    <w:rsid w:val="005E4A19"/>
    <w:rsid w:val="005E4CEC"/>
    <w:rsid w:val="005E508F"/>
    <w:rsid w:val="005E54B6"/>
    <w:rsid w:val="005E56FB"/>
    <w:rsid w:val="005E5827"/>
    <w:rsid w:val="005E59FF"/>
    <w:rsid w:val="005E5C1D"/>
    <w:rsid w:val="005E5E5A"/>
    <w:rsid w:val="005E63CF"/>
    <w:rsid w:val="005E6484"/>
    <w:rsid w:val="005E65E5"/>
    <w:rsid w:val="005E6682"/>
    <w:rsid w:val="005E66C3"/>
    <w:rsid w:val="005E6BB0"/>
    <w:rsid w:val="005E6D3A"/>
    <w:rsid w:val="005E7125"/>
    <w:rsid w:val="005E718D"/>
    <w:rsid w:val="005E7293"/>
    <w:rsid w:val="005E72E5"/>
    <w:rsid w:val="005E784B"/>
    <w:rsid w:val="005E7A68"/>
    <w:rsid w:val="005E7C21"/>
    <w:rsid w:val="005E7CB2"/>
    <w:rsid w:val="005F0009"/>
    <w:rsid w:val="005F0409"/>
    <w:rsid w:val="005F04D8"/>
    <w:rsid w:val="005F05E6"/>
    <w:rsid w:val="005F06FA"/>
    <w:rsid w:val="005F11AB"/>
    <w:rsid w:val="005F14DA"/>
    <w:rsid w:val="005F1660"/>
    <w:rsid w:val="005F169D"/>
    <w:rsid w:val="005F19B4"/>
    <w:rsid w:val="005F1FD8"/>
    <w:rsid w:val="005F2395"/>
    <w:rsid w:val="005F2674"/>
    <w:rsid w:val="005F2A3C"/>
    <w:rsid w:val="005F377F"/>
    <w:rsid w:val="005F3912"/>
    <w:rsid w:val="005F3AF5"/>
    <w:rsid w:val="005F3C2B"/>
    <w:rsid w:val="005F3DD3"/>
    <w:rsid w:val="005F426A"/>
    <w:rsid w:val="005F431F"/>
    <w:rsid w:val="005F4BA2"/>
    <w:rsid w:val="005F4DE5"/>
    <w:rsid w:val="005F5420"/>
    <w:rsid w:val="005F555F"/>
    <w:rsid w:val="005F5851"/>
    <w:rsid w:val="005F5860"/>
    <w:rsid w:val="005F5EB5"/>
    <w:rsid w:val="005F65C4"/>
    <w:rsid w:val="005F677B"/>
    <w:rsid w:val="005F6807"/>
    <w:rsid w:val="005F6ABD"/>
    <w:rsid w:val="005F6C93"/>
    <w:rsid w:val="005F704E"/>
    <w:rsid w:val="005F7431"/>
    <w:rsid w:val="005F7546"/>
    <w:rsid w:val="005F7751"/>
    <w:rsid w:val="005F7AB1"/>
    <w:rsid w:val="005F7C0E"/>
    <w:rsid w:val="0060018C"/>
    <w:rsid w:val="00600206"/>
    <w:rsid w:val="00600260"/>
    <w:rsid w:val="006002A9"/>
    <w:rsid w:val="00600589"/>
    <w:rsid w:val="0060089A"/>
    <w:rsid w:val="00600E6E"/>
    <w:rsid w:val="0060128D"/>
    <w:rsid w:val="006015A1"/>
    <w:rsid w:val="006019A8"/>
    <w:rsid w:val="00601A05"/>
    <w:rsid w:val="0060209F"/>
    <w:rsid w:val="00602775"/>
    <w:rsid w:val="00602B14"/>
    <w:rsid w:val="00603564"/>
    <w:rsid w:val="00603617"/>
    <w:rsid w:val="00603778"/>
    <w:rsid w:val="006039F8"/>
    <w:rsid w:val="00603F9A"/>
    <w:rsid w:val="0060402F"/>
    <w:rsid w:val="00604219"/>
    <w:rsid w:val="0060447A"/>
    <w:rsid w:val="00604491"/>
    <w:rsid w:val="00604594"/>
    <w:rsid w:val="0060466A"/>
    <w:rsid w:val="00604733"/>
    <w:rsid w:val="00604BB8"/>
    <w:rsid w:val="00604D10"/>
    <w:rsid w:val="00604F67"/>
    <w:rsid w:val="00604FEA"/>
    <w:rsid w:val="006050BC"/>
    <w:rsid w:val="0060523E"/>
    <w:rsid w:val="00605318"/>
    <w:rsid w:val="006054CE"/>
    <w:rsid w:val="006054EF"/>
    <w:rsid w:val="006056C3"/>
    <w:rsid w:val="006057ED"/>
    <w:rsid w:val="00605E24"/>
    <w:rsid w:val="00605FF8"/>
    <w:rsid w:val="00606032"/>
    <w:rsid w:val="00606033"/>
    <w:rsid w:val="00606494"/>
    <w:rsid w:val="0060659A"/>
    <w:rsid w:val="00606841"/>
    <w:rsid w:val="00606E7C"/>
    <w:rsid w:val="006073E6"/>
    <w:rsid w:val="0060740B"/>
    <w:rsid w:val="00607466"/>
    <w:rsid w:val="006075D6"/>
    <w:rsid w:val="006078CA"/>
    <w:rsid w:val="00607B93"/>
    <w:rsid w:val="00607C66"/>
    <w:rsid w:val="006102F6"/>
    <w:rsid w:val="00610308"/>
    <w:rsid w:val="0061079A"/>
    <w:rsid w:val="006108C5"/>
    <w:rsid w:val="006108ED"/>
    <w:rsid w:val="006109AE"/>
    <w:rsid w:val="00610A5D"/>
    <w:rsid w:val="00610CEF"/>
    <w:rsid w:val="0061136E"/>
    <w:rsid w:val="006114C3"/>
    <w:rsid w:val="0061178D"/>
    <w:rsid w:val="00611803"/>
    <w:rsid w:val="00611A0A"/>
    <w:rsid w:val="00611A94"/>
    <w:rsid w:val="00611C02"/>
    <w:rsid w:val="00611F55"/>
    <w:rsid w:val="0061208C"/>
    <w:rsid w:val="0061226C"/>
    <w:rsid w:val="006122A5"/>
    <w:rsid w:val="00612C93"/>
    <w:rsid w:val="00612CE3"/>
    <w:rsid w:val="00612CE8"/>
    <w:rsid w:val="006130EF"/>
    <w:rsid w:val="0061333F"/>
    <w:rsid w:val="00613618"/>
    <w:rsid w:val="006138F4"/>
    <w:rsid w:val="00613993"/>
    <w:rsid w:val="00614644"/>
    <w:rsid w:val="006146C8"/>
    <w:rsid w:val="006148CA"/>
    <w:rsid w:val="0061491A"/>
    <w:rsid w:val="006149A5"/>
    <w:rsid w:val="00614A4F"/>
    <w:rsid w:val="00614DC0"/>
    <w:rsid w:val="00614E7C"/>
    <w:rsid w:val="00615095"/>
    <w:rsid w:val="00615232"/>
    <w:rsid w:val="00615845"/>
    <w:rsid w:val="006158A3"/>
    <w:rsid w:val="006159B7"/>
    <w:rsid w:val="00615A06"/>
    <w:rsid w:val="00615FD9"/>
    <w:rsid w:val="0061659F"/>
    <w:rsid w:val="0061665B"/>
    <w:rsid w:val="00616A6F"/>
    <w:rsid w:val="0061731A"/>
    <w:rsid w:val="00617607"/>
    <w:rsid w:val="00617F5E"/>
    <w:rsid w:val="006203E2"/>
    <w:rsid w:val="0062048F"/>
    <w:rsid w:val="00620BF1"/>
    <w:rsid w:val="00620E38"/>
    <w:rsid w:val="00620F40"/>
    <w:rsid w:val="006213C2"/>
    <w:rsid w:val="00621557"/>
    <w:rsid w:val="0062179B"/>
    <w:rsid w:val="006218BA"/>
    <w:rsid w:val="00621933"/>
    <w:rsid w:val="00621AB2"/>
    <w:rsid w:val="00621CDF"/>
    <w:rsid w:val="00621F15"/>
    <w:rsid w:val="00622164"/>
    <w:rsid w:val="006223B6"/>
    <w:rsid w:val="00622413"/>
    <w:rsid w:val="006228FA"/>
    <w:rsid w:val="00622B49"/>
    <w:rsid w:val="00623313"/>
    <w:rsid w:val="0062340E"/>
    <w:rsid w:val="00623440"/>
    <w:rsid w:val="0062354D"/>
    <w:rsid w:val="00623596"/>
    <w:rsid w:val="006235ED"/>
    <w:rsid w:val="00623F68"/>
    <w:rsid w:val="006240BF"/>
    <w:rsid w:val="0062427A"/>
    <w:rsid w:val="00624425"/>
    <w:rsid w:val="00624438"/>
    <w:rsid w:val="006245C0"/>
    <w:rsid w:val="006246F0"/>
    <w:rsid w:val="00624970"/>
    <w:rsid w:val="00624A99"/>
    <w:rsid w:val="00625347"/>
    <w:rsid w:val="006253CF"/>
    <w:rsid w:val="0062552C"/>
    <w:rsid w:val="00625675"/>
    <w:rsid w:val="00625AA4"/>
    <w:rsid w:val="00625B16"/>
    <w:rsid w:val="00625EAB"/>
    <w:rsid w:val="00626028"/>
    <w:rsid w:val="00626074"/>
    <w:rsid w:val="0062646A"/>
    <w:rsid w:val="006265A7"/>
    <w:rsid w:val="006265E8"/>
    <w:rsid w:val="006268F0"/>
    <w:rsid w:val="00626AF5"/>
    <w:rsid w:val="00626D11"/>
    <w:rsid w:val="00626DB7"/>
    <w:rsid w:val="00626E34"/>
    <w:rsid w:val="006272E8"/>
    <w:rsid w:val="00627551"/>
    <w:rsid w:val="00627966"/>
    <w:rsid w:val="00627A32"/>
    <w:rsid w:val="00627A4C"/>
    <w:rsid w:val="00627A4D"/>
    <w:rsid w:val="00627D42"/>
    <w:rsid w:val="00627E9D"/>
    <w:rsid w:val="00627FAD"/>
    <w:rsid w:val="006306B3"/>
    <w:rsid w:val="00630F33"/>
    <w:rsid w:val="00630F96"/>
    <w:rsid w:val="00631174"/>
    <w:rsid w:val="00631328"/>
    <w:rsid w:val="006315D0"/>
    <w:rsid w:val="00631E64"/>
    <w:rsid w:val="00632035"/>
    <w:rsid w:val="0063219B"/>
    <w:rsid w:val="00632340"/>
    <w:rsid w:val="006325B0"/>
    <w:rsid w:val="00632B23"/>
    <w:rsid w:val="00632F19"/>
    <w:rsid w:val="00632F25"/>
    <w:rsid w:val="006331D2"/>
    <w:rsid w:val="00633241"/>
    <w:rsid w:val="006337A1"/>
    <w:rsid w:val="00633869"/>
    <w:rsid w:val="006338D0"/>
    <w:rsid w:val="006338EC"/>
    <w:rsid w:val="00633A6F"/>
    <w:rsid w:val="00633AFC"/>
    <w:rsid w:val="00634037"/>
    <w:rsid w:val="006340C3"/>
    <w:rsid w:val="0063421E"/>
    <w:rsid w:val="006342FC"/>
    <w:rsid w:val="006346A4"/>
    <w:rsid w:val="0063497E"/>
    <w:rsid w:val="00634B0A"/>
    <w:rsid w:val="00635145"/>
    <w:rsid w:val="00635302"/>
    <w:rsid w:val="00635530"/>
    <w:rsid w:val="0063598A"/>
    <w:rsid w:val="006359BA"/>
    <w:rsid w:val="006359F5"/>
    <w:rsid w:val="00635B09"/>
    <w:rsid w:val="00635C14"/>
    <w:rsid w:val="00635C25"/>
    <w:rsid w:val="00635F9C"/>
    <w:rsid w:val="00636144"/>
    <w:rsid w:val="0063639A"/>
    <w:rsid w:val="0063643D"/>
    <w:rsid w:val="0063651A"/>
    <w:rsid w:val="00636B62"/>
    <w:rsid w:val="00636CCD"/>
    <w:rsid w:val="00636DCF"/>
    <w:rsid w:val="00637007"/>
    <w:rsid w:val="006376BA"/>
    <w:rsid w:val="00637B7F"/>
    <w:rsid w:val="00637D56"/>
    <w:rsid w:val="00637FB0"/>
    <w:rsid w:val="00640357"/>
    <w:rsid w:val="00641231"/>
    <w:rsid w:val="00641341"/>
    <w:rsid w:val="00641564"/>
    <w:rsid w:val="006417EA"/>
    <w:rsid w:val="006418F4"/>
    <w:rsid w:val="00641F74"/>
    <w:rsid w:val="0064206B"/>
    <w:rsid w:val="006421A8"/>
    <w:rsid w:val="006421FB"/>
    <w:rsid w:val="0064270A"/>
    <w:rsid w:val="0064277A"/>
    <w:rsid w:val="00642E7B"/>
    <w:rsid w:val="006430FC"/>
    <w:rsid w:val="00644656"/>
    <w:rsid w:val="006446EA"/>
    <w:rsid w:val="00644B3B"/>
    <w:rsid w:val="00644C1F"/>
    <w:rsid w:val="00644C7F"/>
    <w:rsid w:val="00644EB0"/>
    <w:rsid w:val="00644EEF"/>
    <w:rsid w:val="006451CE"/>
    <w:rsid w:val="0064541B"/>
    <w:rsid w:val="00645484"/>
    <w:rsid w:val="00645BA6"/>
    <w:rsid w:val="00645D46"/>
    <w:rsid w:val="00645E7F"/>
    <w:rsid w:val="00646188"/>
    <w:rsid w:val="0064625B"/>
    <w:rsid w:val="00646912"/>
    <w:rsid w:val="00646A24"/>
    <w:rsid w:val="0064701F"/>
    <w:rsid w:val="006472E1"/>
    <w:rsid w:val="0064792F"/>
    <w:rsid w:val="00647C53"/>
    <w:rsid w:val="00647F04"/>
    <w:rsid w:val="006503F6"/>
    <w:rsid w:val="006506A2"/>
    <w:rsid w:val="00650960"/>
    <w:rsid w:val="00650D55"/>
    <w:rsid w:val="00651026"/>
    <w:rsid w:val="00651805"/>
    <w:rsid w:val="00651838"/>
    <w:rsid w:val="00651B52"/>
    <w:rsid w:val="00651EA2"/>
    <w:rsid w:val="00651FBE"/>
    <w:rsid w:val="00652411"/>
    <w:rsid w:val="00652B08"/>
    <w:rsid w:val="00652BDB"/>
    <w:rsid w:val="00652D45"/>
    <w:rsid w:val="006531C8"/>
    <w:rsid w:val="00654471"/>
    <w:rsid w:val="00654B32"/>
    <w:rsid w:val="00654F42"/>
    <w:rsid w:val="0065511F"/>
    <w:rsid w:val="00655325"/>
    <w:rsid w:val="006554AA"/>
    <w:rsid w:val="00655874"/>
    <w:rsid w:val="00656287"/>
    <w:rsid w:val="006566CB"/>
    <w:rsid w:val="00656825"/>
    <w:rsid w:val="00656C89"/>
    <w:rsid w:val="00656FC3"/>
    <w:rsid w:val="006578E0"/>
    <w:rsid w:val="0065799A"/>
    <w:rsid w:val="00657BEC"/>
    <w:rsid w:val="00657DA3"/>
    <w:rsid w:val="006602B4"/>
    <w:rsid w:val="006604A3"/>
    <w:rsid w:val="006609D0"/>
    <w:rsid w:val="00660DBC"/>
    <w:rsid w:val="0066107F"/>
    <w:rsid w:val="00661166"/>
    <w:rsid w:val="0066134D"/>
    <w:rsid w:val="006614C2"/>
    <w:rsid w:val="00661BE4"/>
    <w:rsid w:val="00661F4E"/>
    <w:rsid w:val="006623C9"/>
    <w:rsid w:val="00662816"/>
    <w:rsid w:val="00662D6D"/>
    <w:rsid w:val="0066334D"/>
    <w:rsid w:val="006635D9"/>
    <w:rsid w:val="006636AA"/>
    <w:rsid w:val="00663875"/>
    <w:rsid w:val="00663AE0"/>
    <w:rsid w:val="00663AF9"/>
    <w:rsid w:val="00664422"/>
    <w:rsid w:val="00664901"/>
    <w:rsid w:val="00664B3D"/>
    <w:rsid w:val="00664C50"/>
    <w:rsid w:val="00664D7C"/>
    <w:rsid w:val="00665602"/>
    <w:rsid w:val="006656FC"/>
    <w:rsid w:val="00665BFB"/>
    <w:rsid w:val="00666149"/>
    <w:rsid w:val="00666B07"/>
    <w:rsid w:val="00666BD7"/>
    <w:rsid w:val="00666CEB"/>
    <w:rsid w:val="00666EBC"/>
    <w:rsid w:val="006670F6"/>
    <w:rsid w:val="00667337"/>
    <w:rsid w:val="006674CE"/>
    <w:rsid w:val="00667781"/>
    <w:rsid w:val="0066778A"/>
    <w:rsid w:val="00667902"/>
    <w:rsid w:val="00667A8E"/>
    <w:rsid w:val="00667C85"/>
    <w:rsid w:val="00667D78"/>
    <w:rsid w:val="00667E8E"/>
    <w:rsid w:val="00667F4C"/>
    <w:rsid w:val="006700C6"/>
    <w:rsid w:val="006701E0"/>
    <w:rsid w:val="006706D7"/>
    <w:rsid w:val="00670998"/>
    <w:rsid w:val="00670A65"/>
    <w:rsid w:val="00670E45"/>
    <w:rsid w:val="00671000"/>
    <w:rsid w:val="006710FB"/>
    <w:rsid w:val="00671325"/>
    <w:rsid w:val="00671721"/>
    <w:rsid w:val="00671900"/>
    <w:rsid w:val="00672846"/>
    <w:rsid w:val="00672AC1"/>
    <w:rsid w:val="00672E5C"/>
    <w:rsid w:val="006734DF"/>
    <w:rsid w:val="00673AA2"/>
    <w:rsid w:val="00673B01"/>
    <w:rsid w:val="00673F2B"/>
    <w:rsid w:val="0067418A"/>
    <w:rsid w:val="0067441D"/>
    <w:rsid w:val="006745CF"/>
    <w:rsid w:val="00674858"/>
    <w:rsid w:val="006749F6"/>
    <w:rsid w:val="00674B05"/>
    <w:rsid w:val="00674EED"/>
    <w:rsid w:val="0067539C"/>
    <w:rsid w:val="0067551F"/>
    <w:rsid w:val="0067592E"/>
    <w:rsid w:val="00675CE8"/>
    <w:rsid w:val="006763F5"/>
    <w:rsid w:val="00676471"/>
    <w:rsid w:val="00676C2D"/>
    <w:rsid w:val="006774F5"/>
    <w:rsid w:val="006775D2"/>
    <w:rsid w:val="00677B34"/>
    <w:rsid w:val="00680455"/>
    <w:rsid w:val="006818AF"/>
    <w:rsid w:val="00681C1A"/>
    <w:rsid w:val="00681F88"/>
    <w:rsid w:val="00682131"/>
    <w:rsid w:val="0068218C"/>
    <w:rsid w:val="00682501"/>
    <w:rsid w:val="00682592"/>
    <w:rsid w:val="006827CD"/>
    <w:rsid w:val="00682A8F"/>
    <w:rsid w:val="00682C5A"/>
    <w:rsid w:val="00682FA9"/>
    <w:rsid w:val="00682FDC"/>
    <w:rsid w:val="00683202"/>
    <w:rsid w:val="00683519"/>
    <w:rsid w:val="006838FE"/>
    <w:rsid w:val="00683E6E"/>
    <w:rsid w:val="00683F28"/>
    <w:rsid w:val="00684078"/>
    <w:rsid w:val="00684292"/>
    <w:rsid w:val="006844CE"/>
    <w:rsid w:val="006845C6"/>
    <w:rsid w:val="00684626"/>
    <w:rsid w:val="00684680"/>
    <w:rsid w:val="00684703"/>
    <w:rsid w:val="00684974"/>
    <w:rsid w:val="006849BA"/>
    <w:rsid w:val="00684BBF"/>
    <w:rsid w:val="006858B8"/>
    <w:rsid w:val="00685B29"/>
    <w:rsid w:val="00685E73"/>
    <w:rsid w:val="00686474"/>
    <w:rsid w:val="006864EA"/>
    <w:rsid w:val="00686723"/>
    <w:rsid w:val="0068685E"/>
    <w:rsid w:val="00686A6D"/>
    <w:rsid w:val="00686BA4"/>
    <w:rsid w:val="00686C37"/>
    <w:rsid w:val="00687A5E"/>
    <w:rsid w:val="00687E78"/>
    <w:rsid w:val="00690101"/>
    <w:rsid w:val="00690506"/>
    <w:rsid w:val="00690770"/>
    <w:rsid w:val="0069088E"/>
    <w:rsid w:val="006908A6"/>
    <w:rsid w:val="00690D4F"/>
    <w:rsid w:val="00690EED"/>
    <w:rsid w:val="0069109A"/>
    <w:rsid w:val="006915E7"/>
    <w:rsid w:val="006918CF"/>
    <w:rsid w:val="00691A78"/>
    <w:rsid w:val="00691ACC"/>
    <w:rsid w:val="00691C95"/>
    <w:rsid w:val="00692676"/>
    <w:rsid w:val="00692851"/>
    <w:rsid w:val="0069291B"/>
    <w:rsid w:val="00692EFF"/>
    <w:rsid w:val="00693943"/>
    <w:rsid w:val="00693DA1"/>
    <w:rsid w:val="00694175"/>
    <w:rsid w:val="00694271"/>
    <w:rsid w:val="00694B9B"/>
    <w:rsid w:val="00694DF2"/>
    <w:rsid w:val="0069512D"/>
    <w:rsid w:val="00695200"/>
    <w:rsid w:val="006952D4"/>
    <w:rsid w:val="00695452"/>
    <w:rsid w:val="00695518"/>
    <w:rsid w:val="00695667"/>
    <w:rsid w:val="00695940"/>
    <w:rsid w:val="00695FD5"/>
    <w:rsid w:val="00696127"/>
    <w:rsid w:val="006965D0"/>
    <w:rsid w:val="006967F7"/>
    <w:rsid w:val="00696C0E"/>
    <w:rsid w:val="00696C1A"/>
    <w:rsid w:val="00697173"/>
    <w:rsid w:val="0069738A"/>
    <w:rsid w:val="006975A6"/>
    <w:rsid w:val="00697819"/>
    <w:rsid w:val="00697C16"/>
    <w:rsid w:val="00697E93"/>
    <w:rsid w:val="006A0194"/>
    <w:rsid w:val="006A0433"/>
    <w:rsid w:val="006A1182"/>
    <w:rsid w:val="006A1220"/>
    <w:rsid w:val="006A139C"/>
    <w:rsid w:val="006A15F1"/>
    <w:rsid w:val="006A1BF7"/>
    <w:rsid w:val="006A1C0D"/>
    <w:rsid w:val="006A1F22"/>
    <w:rsid w:val="006A23FF"/>
    <w:rsid w:val="006A2610"/>
    <w:rsid w:val="006A282A"/>
    <w:rsid w:val="006A2CDD"/>
    <w:rsid w:val="006A3206"/>
    <w:rsid w:val="006A32D9"/>
    <w:rsid w:val="006A3490"/>
    <w:rsid w:val="006A384A"/>
    <w:rsid w:val="006A3B78"/>
    <w:rsid w:val="006A3C7B"/>
    <w:rsid w:val="006A3F6A"/>
    <w:rsid w:val="006A45C7"/>
    <w:rsid w:val="006A470D"/>
    <w:rsid w:val="006A48F8"/>
    <w:rsid w:val="006A4907"/>
    <w:rsid w:val="006A4B4D"/>
    <w:rsid w:val="006A4BFF"/>
    <w:rsid w:val="006A4C84"/>
    <w:rsid w:val="006A5031"/>
    <w:rsid w:val="006A5547"/>
    <w:rsid w:val="006A5A0B"/>
    <w:rsid w:val="006A6344"/>
    <w:rsid w:val="006A6429"/>
    <w:rsid w:val="006A6EE6"/>
    <w:rsid w:val="006A6F27"/>
    <w:rsid w:val="006A73D8"/>
    <w:rsid w:val="006A7A8A"/>
    <w:rsid w:val="006A7AE7"/>
    <w:rsid w:val="006B00C6"/>
    <w:rsid w:val="006B038D"/>
    <w:rsid w:val="006B04A9"/>
    <w:rsid w:val="006B0523"/>
    <w:rsid w:val="006B0563"/>
    <w:rsid w:val="006B0591"/>
    <w:rsid w:val="006B08CB"/>
    <w:rsid w:val="006B0E25"/>
    <w:rsid w:val="006B1832"/>
    <w:rsid w:val="006B1F5A"/>
    <w:rsid w:val="006B2193"/>
    <w:rsid w:val="006B22D4"/>
    <w:rsid w:val="006B25FE"/>
    <w:rsid w:val="006B29AC"/>
    <w:rsid w:val="006B2A47"/>
    <w:rsid w:val="006B2A7E"/>
    <w:rsid w:val="006B2D24"/>
    <w:rsid w:val="006B2DCA"/>
    <w:rsid w:val="006B2E4A"/>
    <w:rsid w:val="006B2EE2"/>
    <w:rsid w:val="006B2FD3"/>
    <w:rsid w:val="006B35F0"/>
    <w:rsid w:val="006B38A2"/>
    <w:rsid w:val="006B39B5"/>
    <w:rsid w:val="006B39D1"/>
    <w:rsid w:val="006B40EB"/>
    <w:rsid w:val="006B421C"/>
    <w:rsid w:val="006B443C"/>
    <w:rsid w:val="006B49F9"/>
    <w:rsid w:val="006B4D2E"/>
    <w:rsid w:val="006B5694"/>
    <w:rsid w:val="006B5704"/>
    <w:rsid w:val="006B589B"/>
    <w:rsid w:val="006B5D53"/>
    <w:rsid w:val="006B5F5F"/>
    <w:rsid w:val="006B646D"/>
    <w:rsid w:val="006B684C"/>
    <w:rsid w:val="006B6BF8"/>
    <w:rsid w:val="006B7659"/>
    <w:rsid w:val="006B786F"/>
    <w:rsid w:val="006B7A6A"/>
    <w:rsid w:val="006B7BEC"/>
    <w:rsid w:val="006B7C69"/>
    <w:rsid w:val="006B7D70"/>
    <w:rsid w:val="006C03E1"/>
    <w:rsid w:val="006C04A9"/>
    <w:rsid w:val="006C0819"/>
    <w:rsid w:val="006C0C37"/>
    <w:rsid w:val="006C0EA0"/>
    <w:rsid w:val="006C17B7"/>
    <w:rsid w:val="006C1901"/>
    <w:rsid w:val="006C1DAC"/>
    <w:rsid w:val="006C1DFF"/>
    <w:rsid w:val="006C1EB3"/>
    <w:rsid w:val="006C2293"/>
    <w:rsid w:val="006C24BD"/>
    <w:rsid w:val="006C24CE"/>
    <w:rsid w:val="006C2A13"/>
    <w:rsid w:val="006C2B24"/>
    <w:rsid w:val="006C2E52"/>
    <w:rsid w:val="006C331D"/>
    <w:rsid w:val="006C35A2"/>
    <w:rsid w:val="006C36A0"/>
    <w:rsid w:val="006C36F9"/>
    <w:rsid w:val="006C3976"/>
    <w:rsid w:val="006C3A07"/>
    <w:rsid w:val="006C3B45"/>
    <w:rsid w:val="006C3D0B"/>
    <w:rsid w:val="006C3D8E"/>
    <w:rsid w:val="006C3F19"/>
    <w:rsid w:val="006C3F4E"/>
    <w:rsid w:val="006C3F63"/>
    <w:rsid w:val="006C4229"/>
    <w:rsid w:val="006C44D9"/>
    <w:rsid w:val="006C458F"/>
    <w:rsid w:val="006C4639"/>
    <w:rsid w:val="006C492B"/>
    <w:rsid w:val="006C4CB5"/>
    <w:rsid w:val="006C4E1D"/>
    <w:rsid w:val="006C515C"/>
    <w:rsid w:val="006C51FC"/>
    <w:rsid w:val="006C56B4"/>
    <w:rsid w:val="006C5A23"/>
    <w:rsid w:val="006C5C75"/>
    <w:rsid w:val="006C5EE2"/>
    <w:rsid w:val="006C6157"/>
    <w:rsid w:val="006C662D"/>
    <w:rsid w:val="006C66E3"/>
    <w:rsid w:val="006C6760"/>
    <w:rsid w:val="006C6920"/>
    <w:rsid w:val="006C6B87"/>
    <w:rsid w:val="006C6EBC"/>
    <w:rsid w:val="006C6FA6"/>
    <w:rsid w:val="006C6FB2"/>
    <w:rsid w:val="006C706C"/>
    <w:rsid w:val="006C7229"/>
    <w:rsid w:val="006C72A8"/>
    <w:rsid w:val="006C77C2"/>
    <w:rsid w:val="006C7A3A"/>
    <w:rsid w:val="006C7B01"/>
    <w:rsid w:val="006C7CD1"/>
    <w:rsid w:val="006D08F5"/>
    <w:rsid w:val="006D0D34"/>
    <w:rsid w:val="006D1225"/>
    <w:rsid w:val="006D1640"/>
    <w:rsid w:val="006D16CF"/>
    <w:rsid w:val="006D17E1"/>
    <w:rsid w:val="006D1E18"/>
    <w:rsid w:val="006D1FB6"/>
    <w:rsid w:val="006D22A5"/>
    <w:rsid w:val="006D2362"/>
    <w:rsid w:val="006D2E7A"/>
    <w:rsid w:val="006D3098"/>
    <w:rsid w:val="006D321B"/>
    <w:rsid w:val="006D3502"/>
    <w:rsid w:val="006D3539"/>
    <w:rsid w:val="006D37FF"/>
    <w:rsid w:val="006D3C82"/>
    <w:rsid w:val="006D3E9C"/>
    <w:rsid w:val="006D416C"/>
    <w:rsid w:val="006D4539"/>
    <w:rsid w:val="006D481B"/>
    <w:rsid w:val="006D4ACD"/>
    <w:rsid w:val="006D4DF2"/>
    <w:rsid w:val="006D4E81"/>
    <w:rsid w:val="006D4F1D"/>
    <w:rsid w:val="006D4F81"/>
    <w:rsid w:val="006D4FDA"/>
    <w:rsid w:val="006D5090"/>
    <w:rsid w:val="006D551F"/>
    <w:rsid w:val="006D58BB"/>
    <w:rsid w:val="006D5E7B"/>
    <w:rsid w:val="006D6612"/>
    <w:rsid w:val="006D681E"/>
    <w:rsid w:val="006D6990"/>
    <w:rsid w:val="006D6C8C"/>
    <w:rsid w:val="006D6E7D"/>
    <w:rsid w:val="006D6ECC"/>
    <w:rsid w:val="006D6F48"/>
    <w:rsid w:val="006D7038"/>
    <w:rsid w:val="006D729B"/>
    <w:rsid w:val="006D72C1"/>
    <w:rsid w:val="006D790A"/>
    <w:rsid w:val="006D79E4"/>
    <w:rsid w:val="006D7ABF"/>
    <w:rsid w:val="006D7DA8"/>
    <w:rsid w:val="006E00D9"/>
    <w:rsid w:val="006E02FB"/>
    <w:rsid w:val="006E0865"/>
    <w:rsid w:val="006E0B77"/>
    <w:rsid w:val="006E0F69"/>
    <w:rsid w:val="006E14E0"/>
    <w:rsid w:val="006E1573"/>
    <w:rsid w:val="006E16F5"/>
    <w:rsid w:val="006E1998"/>
    <w:rsid w:val="006E1A90"/>
    <w:rsid w:val="006E1B23"/>
    <w:rsid w:val="006E1CD0"/>
    <w:rsid w:val="006E1DC4"/>
    <w:rsid w:val="006E2264"/>
    <w:rsid w:val="006E23D2"/>
    <w:rsid w:val="006E2480"/>
    <w:rsid w:val="006E274B"/>
    <w:rsid w:val="006E2EB6"/>
    <w:rsid w:val="006E31C3"/>
    <w:rsid w:val="006E3696"/>
    <w:rsid w:val="006E36A7"/>
    <w:rsid w:val="006E38AC"/>
    <w:rsid w:val="006E47DB"/>
    <w:rsid w:val="006E4822"/>
    <w:rsid w:val="006E4A39"/>
    <w:rsid w:val="006E4CC4"/>
    <w:rsid w:val="006E5693"/>
    <w:rsid w:val="006E5D02"/>
    <w:rsid w:val="006E5F92"/>
    <w:rsid w:val="006E6094"/>
    <w:rsid w:val="006E6469"/>
    <w:rsid w:val="006E64DF"/>
    <w:rsid w:val="006E6697"/>
    <w:rsid w:val="006E67E2"/>
    <w:rsid w:val="006E68F5"/>
    <w:rsid w:val="006E6EE9"/>
    <w:rsid w:val="006E76F5"/>
    <w:rsid w:val="006E76FE"/>
    <w:rsid w:val="006E7BAF"/>
    <w:rsid w:val="006E7C2B"/>
    <w:rsid w:val="006E7D29"/>
    <w:rsid w:val="006F0398"/>
    <w:rsid w:val="006F0513"/>
    <w:rsid w:val="006F0A3E"/>
    <w:rsid w:val="006F0CBC"/>
    <w:rsid w:val="006F0D37"/>
    <w:rsid w:val="006F10DE"/>
    <w:rsid w:val="006F10FC"/>
    <w:rsid w:val="006F1780"/>
    <w:rsid w:val="006F1CCF"/>
    <w:rsid w:val="006F1E68"/>
    <w:rsid w:val="006F1F45"/>
    <w:rsid w:val="006F21D9"/>
    <w:rsid w:val="006F2635"/>
    <w:rsid w:val="006F2731"/>
    <w:rsid w:val="006F2997"/>
    <w:rsid w:val="006F2B0E"/>
    <w:rsid w:val="006F2B4C"/>
    <w:rsid w:val="006F2EAB"/>
    <w:rsid w:val="006F2EDB"/>
    <w:rsid w:val="006F36DA"/>
    <w:rsid w:val="006F3872"/>
    <w:rsid w:val="006F3C77"/>
    <w:rsid w:val="006F3E57"/>
    <w:rsid w:val="006F44DE"/>
    <w:rsid w:val="006F45E0"/>
    <w:rsid w:val="006F4892"/>
    <w:rsid w:val="006F4A02"/>
    <w:rsid w:val="006F4A13"/>
    <w:rsid w:val="006F4E68"/>
    <w:rsid w:val="006F51BB"/>
    <w:rsid w:val="006F59FD"/>
    <w:rsid w:val="006F5D3F"/>
    <w:rsid w:val="006F5E68"/>
    <w:rsid w:val="006F5EFC"/>
    <w:rsid w:val="006F627B"/>
    <w:rsid w:val="006F6413"/>
    <w:rsid w:val="006F6453"/>
    <w:rsid w:val="006F64F8"/>
    <w:rsid w:val="006F67DD"/>
    <w:rsid w:val="006F690C"/>
    <w:rsid w:val="006F6F1A"/>
    <w:rsid w:val="006F6F5D"/>
    <w:rsid w:val="006F6FFA"/>
    <w:rsid w:val="006F734E"/>
    <w:rsid w:val="006F735D"/>
    <w:rsid w:val="006F73EF"/>
    <w:rsid w:val="006F7678"/>
    <w:rsid w:val="006F7D7F"/>
    <w:rsid w:val="006F7E42"/>
    <w:rsid w:val="006F7F05"/>
    <w:rsid w:val="0070041C"/>
    <w:rsid w:val="00700C77"/>
    <w:rsid w:val="00701038"/>
    <w:rsid w:val="007011CA"/>
    <w:rsid w:val="00701351"/>
    <w:rsid w:val="00701595"/>
    <w:rsid w:val="00701F4D"/>
    <w:rsid w:val="00702533"/>
    <w:rsid w:val="00702570"/>
    <w:rsid w:val="007027A3"/>
    <w:rsid w:val="00702B0E"/>
    <w:rsid w:val="00702CBE"/>
    <w:rsid w:val="007038F6"/>
    <w:rsid w:val="007040B6"/>
    <w:rsid w:val="00704DC0"/>
    <w:rsid w:val="00704E7B"/>
    <w:rsid w:val="0070553A"/>
    <w:rsid w:val="00705897"/>
    <w:rsid w:val="00705A7F"/>
    <w:rsid w:val="00705AD6"/>
    <w:rsid w:val="00705C7B"/>
    <w:rsid w:val="00705CB1"/>
    <w:rsid w:val="00705F6B"/>
    <w:rsid w:val="0070610A"/>
    <w:rsid w:val="007061DD"/>
    <w:rsid w:val="007061E1"/>
    <w:rsid w:val="007062F5"/>
    <w:rsid w:val="0070654F"/>
    <w:rsid w:val="007068F3"/>
    <w:rsid w:val="00706ABD"/>
    <w:rsid w:val="007073BB"/>
    <w:rsid w:val="0070748F"/>
    <w:rsid w:val="00707B98"/>
    <w:rsid w:val="00707BB4"/>
    <w:rsid w:val="00707F1C"/>
    <w:rsid w:val="007101E1"/>
    <w:rsid w:val="00710237"/>
    <w:rsid w:val="0071057A"/>
    <w:rsid w:val="00710624"/>
    <w:rsid w:val="00710803"/>
    <w:rsid w:val="007115BE"/>
    <w:rsid w:val="0071160E"/>
    <w:rsid w:val="00711738"/>
    <w:rsid w:val="0071179F"/>
    <w:rsid w:val="00711B56"/>
    <w:rsid w:val="00711BAB"/>
    <w:rsid w:val="00711C56"/>
    <w:rsid w:val="00711F18"/>
    <w:rsid w:val="0071215C"/>
    <w:rsid w:val="00712530"/>
    <w:rsid w:val="00712548"/>
    <w:rsid w:val="00712A9A"/>
    <w:rsid w:val="00712BB6"/>
    <w:rsid w:val="00712E94"/>
    <w:rsid w:val="00712ED8"/>
    <w:rsid w:val="00712FC0"/>
    <w:rsid w:val="0071300E"/>
    <w:rsid w:val="00713656"/>
    <w:rsid w:val="007137C6"/>
    <w:rsid w:val="00713F51"/>
    <w:rsid w:val="007140DC"/>
    <w:rsid w:val="007144EC"/>
    <w:rsid w:val="00714727"/>
    <w:rsid w:val="00715137"/>
    <w:rsid w:val="007151C3"/>
    <w:rsid w:val="007152EA"/>
    <w:rsid w:val="0071546C"/>
    <w:rsid w:val="00715669"/>
    <w:rsid w:val="00715B6B"/>
    <w:rsid w:val="00715DEA"/>
    <w:rsid w:val="00715FB4"/>
    <w:rsid w:val="00716063"/>
    <w:rsid w:val="00716886"/>
    <w:rsid w:val="00716CD4"/>
    <w:rsid w:val="00716E15"/>
    <w:rsid w:val="00716F2B"/>
    <w:rsid w:val="00717455"/>
    <w:rsid w:val="00717743"/>
    <w:rsid w:val="00717B43"/>
    <w:rsid w:val="00717E45"/>
    <w:rsid w:val="00717EC7"/>
    <w:rsid w:val="00717F24"/>
    <w:rsid w:val="0072005A"/>
    <w:rsid w:val="0072095B"/>
    <w:rsid w:val="00721037"/>
    <w:rsid w:val="0072142E"/>
    <w:rsid w:val="007216C9"/>
    <w:rsid w:val="0072177F"/>
    <w:rsid w:val="00721E4C"/>
    <w:rsid w:val="00721EAA"/>
    <w:rsid w:val="007221F1"/>
    <w:rsid w:val="007228A5"/>
    <w:rsid w:val="00722DF8"/>
    <w:rsid w:val="007242BB"/>
    <w:rsid w:val="0072460C"/>
    <w:rsid w:val="0072548A"/>
    <w:rsid w:val="0072585D"/>
    <w:rsid w:val="00725C43"/>
    <w:rsid w:val="007262A5"/>
    <w:rsid w:val="007264B5"/>
    <w:rsid w:val="007265CA"/>
    <w:rsid w:val="00726612"/>
    <w:rsid w:val="007268DE"/>
    <w:rsid w:val="00727241"/>
    <w:rsid w:val="0072761D"/>
    <w:rsid w:val="00727672"/>
    <w:rsid w:val="00727E56"/>
    <w:rsid w:val="0073010F"/>
    <w:rsid w:val="0073022D"/>
    <w:rsid w:val="007304D9"/>
    <w:rsid w:val="00730697"/>
    <w:rsid w:val="00730816"/>
    <w:rsid w:val="00730A4D"/>
    <w:rsid w:val="00730DBE"/>
    <w:rsid w:val="007314E0"/>
    <w:rsid w:val="0073166B"/>
    <w:rsid w:val="007316A9"/>
    <w:rsid w:val="007316BF"/>
    <w:rsid w:val="00731E01"/>
    <w:rsid w:val="00731F31"/>
    <w:rsid w:val="00732082"/>
    <w:rsid w:val="007321EF"/>
    <w:rsid w:val="00732217"/>
    <w:rsid w:val="007322C2"/>
    <w:rsid w:val="00732420"/>
    <w:rsid w:val="007327E1"/>
    <w:rsid w:val="0073280F"/>
    <w:rsid w:val="00732C7C"/>
    <w:rsid w:val="00732DA3"/>
    <w:rsid w:val="00732EA8"/>
    <w:rsid w:val="00732ECF"/>
    <w:rsid w:val="00732ED4"/>
    <w:rsid w:val="007331E5"/>
    <w:rsid w:val="007333E2"/>
    <w:rsid w:val="00733434"/>
    <w:rsid w:val="007335DF"/>
    <w:rsid w:val="00733822"/>
    <w:rsid w:val="00733C3F"/>
    <w:rsid w:val="00734216"/>
    <w:rsid w:val="00734665"/>
    <w:rsid w:val="0073472F"/>
    <w:rsid w:val="00734A3D"/>
    <w:rsid w:val="00735050"/>
    <w:rsid w:val="00735304"/>
    <w:rsid w:val="00735689"/>
    <w:rsid w:val="00735B69"/>
    <w:rsid w:val="00735DF4"/>
    <w:rsid w:val="00735F04"/>
    <w:rsid w:val="0073604A"/>
    <w:rsid w:val="00736127"/>
    <w:rsid w:val="007363D2"/>
    <w:rsid w:val="0073642C"/>
    <w:rsid w:val="007364AB"/>
    <w:rsid w:val="007365D2"/>
    <w:rsid w:val="007366B0"/>
    <w:rsid w:val="007369B4"/>
    <w:rsid w:val="00736AC0"/>
    <w:rsid w:val="00736D99"/>
    <w:rsid w:val="0073732A"/>
    <w:rsid w:val="00737497"/>
    <w:rsid w:val="00737538"/>
    <w:rsid w:val="0073784A"/>
    <w:rsid w:val="0073798E"/>
    <w:rsid w:val="00737EEE"/>
    <w:rsid w:val="007403A2"/>
    <w:rsid w:val="00740447"/>
    <w:rsid w:val="00740517"/>
    <w:rsid w:val="0074057D"/>
    <w:rsid w:val="0074070C"/>
    <w:rsid w:val="00740B72"/>
    <w:rsid w:val="0074118D"/>
    <w:rsid w:val="00741327"/>
    <w:rsid w:val="007417E6"/>
    <w:rsid w:val="00741ACB"/>
    <w:rsid w:val="00741D08"/>
    <w:rsid w:val="00741DD4"/>
    <w:rsid w:val="00741F02"/>
    <w:rsid w:val="00742571"/>
    <w:rsid w:val="0074291C"/>
    <w:rsid w:val="007429FC"/>
    <w:rsid w:val="00742A7E"/>
    <w:rsid w:val="00742F49"/>
    <w:rsid w:val="00742FDA"/>
    <w:rsid w:val="007430CC"/>
    <w:rsid w:val="007432AB"/>
    <w:rsid w:val="0074346D"/>
    <w:rsid w:val="007434F8"/>
    <w:rsid w:val="007437DC"/>
    <w:rsid w:val="00744008"/>
    <w:rsid w:val="00744108"/>
    <w:rsid w:val="00744A04"/>
    <w:rsid w:val="00744D68"/>
    <w:rsid w:val="00744E37"/>
    <w:rsid w:val="007457BB"/>
    <w:rsid w:val="00745E25"/>
    <w:rsid w:val="00746195"/>
    <w:rsid w:val="00746267"/>
    <w:rsid w:val="00746720"/>
    <w:rsid w:val="007467B0"/>
    <w:rsid w:val="007469B0"/>
    <w:rsid w:val="00746AC9"/>
    <w:rsid w:val="00746C46"/>
    <w:rsid w:val="00746C9A"/>
    <w:rsid w:val="00746EED"/>
    <w:rsid w:val="00747603"/>
    <w:rsid w:val="0074794D"/>
    <w:rsid w:val="00747A40"/>
    <w:rsid w:val="00747B5A"/>
    <w:rsid w:val="00747C61"/>
    <w:rsid w:val="00747D7D"/>
    <w:rsid w:val="00747FA2"/>
    <w:rsid w:val="007501A2"/>
    <w:rsid w:val="00750952"/>
    <w:rsid w:val="00750C83"/>
    <w:rsid w:val="00750D32"/>
    <w:rsid w:val="00750D35"/>
    <w:rsid w:val="00750EC5"/>
    <w:rsid w:val="00750F61"/>
    <w:rsid w:val="00750FC1"/>
    <w:rsid w:val="0075185F"/>
    <w:rsid w:val="00751B3E"/>
    <w:rsid w:val="007520D2"/>
    <w:rsid w:val="00752299"/>
    <w:rsid w:val="007523A5"/>
    <w:rsid w:val="00752462"/>
    <w:rsid w:val="0075253D"/>
    <w:rsid w:val="007525C9"/>
    <w:rsid w:val="00752657"/>
    <w:rsid w:val="007527B4"/>
    <w:rsid w:val="00752F2F"/>
    <w:rsid w:val="0075324D"/>
    <w:rsid w:val="007533E0"/>
    <w:rsid w:val="007534C6"/>
    <w:rsid w:val="00753735"/>
    <w:rsid w:val="0075388E"/>
    <w:rsid w:val="00753BCA"/>
    <w:rsid w:val="00753CA9"/>
    <w:rsid w:val="0075451D"/>
    <w:rsid w:val="00754BE2"/>
    <w:rsid w:val="00754C77"/>
    <w:rsid w:val="00754F45"/>
    <w:rsid w:val="00755043"/>
    <w:rsid w:val="00755B3B"/>
    <w:rsid w:val="00755D87"/>
    <w:rsid w:val="0075603B"/>
    <w:rsid w:val="0075618D"/>
    <w:rsid w:val="007562C9"/>
    <w:rsid w:val="00756B7F"/>
    <w:rsid w:val="007573EF"/>
    <w:rsid w:val="0075765A"/>
    <w:rsid w:val="00757CA5"/>
    <w:rsid w:val="00757DEC"/>
    <w:rsid w:val="00760142"/>
    <w:rsid w:val="00760491"/>
    <w:rsid w:val="007609E3"/>
    <w:rsid w:val="007609F1"/>
    <w:rsid w:val="00760B5B"/>
    <w:rsid w:val="00760D06"/>
    <w:rsid w:val="00760EFD"/>
    <w:rsid w:val="007610B8"/>
    <w:rsid w:val="00761167"/>
    <w:rsid w:val="0076139B"/>
    <w:rsid w:val="007614B1"/>
    <w:rsid w:val="007615F4"/>
    <w:rsid w:val="00761E99"/>
    <w:rsid w:val="00761FD7"/>
    <w:rsid w:val="00761FFF"/>
    <w:rsid w:val="007621AA"/>
    <w:rsid w:val="007621FA"/>
    <w:rsid w:val="007626C2"/>
    <w:rsid w:val="0076279A"/>
    <w:rsid w:val="007629A9"/>
    <w:rsid w:val="007632B9"/>
    <w:rsid w:val="007635DE"/>
    <w:rsid w:val="0076382E"/>
    <w:rsid w:val="0076395D"/>
    <w:rsid w:val="00763FBB"/>
    <w:rsid w:val="0076423B"/>
    <w:rsid w:val="00764A94"/>
    <w:rsid w:val="00764B1A"/>
    <w:rsid w:val="00764DA2"/>
    <w:rsid w:val="00764DD6"/>
    <w:rsid w:val="00764EFA"/>
    <w:rsid w:val="0076516B"/>
    <w:rsid w:val="00765531"/>
    <w:rsid w:val="007659D7"/>
    <w:rsid w:val="00765A09"/>
    <w:rsid w:val="00765AF5"/>
    <w:rsid w:val="00765BC1"/>
    <w:rsid w:val="00765F4F"/>
    <w:rsid w:val="007661CC"/>
    <w:rsid w:val="00766353"/>
    <w:rsid w:val="007663E3"/>
    <w:rsid w:val="00766747"/>
    <w:rsid w:val="00766DE0"/>
    <w:rsid w:val="00766E8D"/>
    <w:rsid w:val="0076762F"/>
    <w:rsid w:val="007678F4"/>
    <w:rsid w:val="00770110"/>
    <w:rsid w:val="00770D0B"/>
    <w:rsid w:val="00770EEF"/>
    <w:rsid w:val="007711A2"/>
    <w:rsid w:val="007711D9"/>
    <w:rsid w:val="007713EF"/>
    <w:rsid w:val="00771789"/>
    <w:rsid w:val="00771912"/>
    <w:rsid w:val="00771C07"/>
    <w:rsid w:val="00771CCD"/>
    <w:rsid w:val="00771DD0"/>
    <w:rsid w:val="0077202E"/>
    <w:rsid w:val="00772150"/>
    <w:rsid w:val="0077220C"/>
    <w:rsid w:val="00772300"/>
    <w:rsid w:val="007724AC"/>
    <w:rsid w:val="0077266D"/>
    <w:rsid w:val="00772D98"/>
    <w:rsid w:val="00772FEE"/>
    <w:rsid w:val="0077307B"/>
    <w:rsid w:val="00773376"/>
    <w:rsid w:val="00773390"/>
    <w:rsid w:val="007734C2"/>
    <w:rsid w:val="00773AE9"/>
    <w:rsid w:val="00773C5F"/>
    <w:rsid w:val="007741DC"/>
    <w:rsid w:val="0077431E"/>
    <w:rsid w:val="00774AFB"/>
    <w:rsid w:val="00774D17"/>
    <w:rsid w:val="00775086"/>
    <w:rsid w:val="00775339"/>
    <w:rsid w:val="007757FC"/>
    <w:rsid w:val="00775954"/>
    <w:rsid w:val="00775E5D"/>
    <w:rsid w:val="00776592"/>
    <w:rsid w:val="0077662E"/>
    <w:rsid w:val="007766B8"/>
    <w:rsid w:val="0077671C"/>
    <w:rsid w:val="00776A1A"/>
    <w:rsid w:val="00776C13"/>
    <w:rsid w:val="00776F9F"/>
    <w:rsid w:val="0077735F"/>
    <w:rsid w:val="00777417"/>
    <w:rsid w:val="0077783E"/>
    <w:rsid w:val="00777A2A"/>
    <w:rsid w:val="00777B70"/>
    <w:rsid w:val="00777D91"/>
    <w:rsid w:val="00780174"/>
    <w:rsid w:val="00780271"/>
    <w:rsid w:val="00780294"/>
    <w:rsid w:val="007804CC"/>
    <w:rsid w:val="0078055E"/>
    <w:rsid w:val="0078056A"/>
    <w:rsid w:val="00780690"/>
    <w:rsid w:val="00780704"/>
    <w:rsid w:val="00780B69"/>
    <w:rsid w:val="00780C83"/>
    <w:rsid w:val="00780F1E"/>
    <w:rsid w:val="00781112"/>
    <w:rsid w:val="00781134"/>
    <w:rsid w:val="007811BB"/>
    <w:rsid w:val="00781448"/>
    <w:rsid w:val="0078191A"/>
    <w:rsid w:val="007819F2"/>
    <w:rsid w:val="00781A69"/>
    <w:rsid w:val="00781B74"/>
    <w:rsid w:val="00781E96"/>
    <w:rsid w:val="0078215F"/>
    <w:rsid w:val="00782564"/>
    <w:rsid w:val="00782567"/>
    <w:rsid w:val="00782ACE"/>
    <w:rsid w:val="00782C1A"/>
    <w:rsid w:val="00782DB3"/>
    <w:rsid w:val="00783007"/>
    <w:rsid w:val="0078304A"/>
    <w:rsid w:val="00783211"/>
    <w:rsid w:val="00783382"/>
    <w:rsid w:val="007833E8"/>
    <w:rsid w:val="00783415"/>
    <w:rsid w:val="007834BE"/>
    <w:rsid w:val="007835B4"/>
    <w:rsid w:val="0078362A"/>
    <w:rsid w:val="00783D9E"/>
    <w:rsid w:val="00784172"/>
    <w:rsid w:val="0078457F"/>
    <w:rsid w:val="00784DCF"/>
    <w:rsid w:val="007850E6"/>
    <w:rsid w:val="00785440"/>
    <w:rsid w:val="0078550E"/>
    <w:rsid w:val="00785519"/>
    <w:rsid w:val="007859C3"/>
    <w:rsid w:val="00785A99"/>
    <w:rsid w:val="00785BB4"/>
    <w:rsid w:val="00785F2D"/>
    <w:rsid w:val="0078617E"/>
    <w:rsid w:val="00786513"/>
    <w:rsid w:val="00786882"/>
    <w:rsid w:val="00786986"/>
    <w:rsid w:val="007869D2"/>
    <w:rsid w:val="007869F3"/>
    <w:rsid w:val="00786C49"/>
    <w:rsid w:val="00786DD7"/>
    <w:rsid w:val="00786EDF"/>
    <w:rsid w:val="0078707C"/>
    <w:rsid w:val="0078708F"/>
    <w:rsid w:val="0078729B"/>
    <w:rsid w:val="007872A9"/>
    <w:rsid w:val="007872DE"/>
    <w:rsid w:val="007874DD"/>
    <w:rsid w:val="00787700"/>
    <w:rsid w:val="00787E73"/>
    <w:rsid w:val="00790061"/>
    <w:rsid w:val="0079011E"/>
    <w:rsid w:val="007902E1"/>
    <w:rsid w:val="007904F0"/>
    <w:rsid w:val="00790629"/>
    <w:rsid w:val="00790905"/>
    <w:rsid w:val="0079098D"/>
    <w:rsid w:val="007911AF"/>
    <w:rsid w:val="00791406"/>
    <w:rsid w:val="00791B11"/>
    <w:rsid w:val="00791EF0"/>
    <w:rsid w:val="00791F38"/>
    <w:rsid w:val="007921AA"/>
    <w:rsid w:val="00792E3C"/>
    <w:rsid w:val="007930D2"/>
    <w:rsid w:val="0079325B"/>
    <w:rsid w:val="00793D0E"/>
    <w:rsid w:val="0079404B"/>
    <w:rsid w:val="00794341"/>
    <w:rsid w:val="00794F22"/>
    <w:rsid w:val="00794F6F"/>
    <w:rsid w:val="007955E1"/>
    <w:rsid w:val="00795C42"/>
    <w:rsid w:val="00795D03"/>
    <w:rsid w:val="00795F01"/>
    <w:rsid w:val="00795F14"/>
    <w:rsid w:val="007960DC"/>
    <w:rsid w:val="007962A9"/>
    <w:rsid w:val="00796F4F"/>
    <w:rsid w:val="007971D0"/>
    <w:rsid w:val="0079727F"/>
    <w:rsid w:val="00797352"/>
    <w:rsid w:val="00797622"/>
    <w:rsid w:val="00797659"/>
    <w:rsid w:val="00797661"/>
    <w:rsid w:val="00797EE6"/>
    <w:rsid w:val="00797F24"/>
    <w:rsid w:val="007A0140"/>
    <w:rsid w:val="007A01B0"/>
    <w:rsid w:val="007A0320"/>
    <w:rsid w:val="007A075F"/>
    <w:rsid w:val="007A0FA8"/>
    <w:rsid w:val="007A1B04"/>
    <w:rsid w:val="007A1C88"/>
    <w:rsid w:val="007A1D2C"/>
    <w:rsid w:val="007A25F1"/>
    <w:rsid w:val="007A2710"/>
    <w:rsid w:val="007A29EA"/>
    <w:rsid w:val="007A2CDC"/>
    <w:rsid w:val="007A2E8E"/>
    <w:rsid w:val="007A2F72"/>
    <w:rsid w:val="007A3CD8"/>
    <w:rsid w:val="007A3E2F"/>
    <w:rsid w:val="007A3E3D"/>
    <w:rsid w:val="007A4341"/>
    <w:rsid w:val="007A44B2"/>
    <w:rsid w:val="007A4719"/>
    <w:rsid w:val="007A47D1"/>
    <w:rsid w:val="007A4891"/>
    <w:rsid w:val="007A4C89"/>
    <w:rsid w:val="007A4D68"/>
    <w:rsid w:val="007A500A"/>
    <w:rsid w:val="007A50FB"/>
    <w:rsid w:val="007A5211"/>
    <w:rsid w:val="007A522B"/>
    <w:rsid w:val="007A5461"/>
    <w:rsid w:val="007A5595"/>
    <w:rsid w:val="007A55AF"/>
    <w:rsid w:val="007A5611"/>
    <w:rsid w:val="007A577B"/>
    <w:rsid w:val="007A5D3F"/>
    <w:rsid w:val="007A60AB"/>
    <w:rsid w:val="007A60B8"/>
    <w:rsid w:val="007A612D"/>
    <w:rsid w:val="007A6336"/>
    <w:rsid w:val="007A6688"/>
    <w:rsid w:val="007A6A56"/>
    <w:rsid w:val="007A70F1"/>
    <w:rsid w:val="007A7338"/>
    <w:rsid w:val="007A77F9"/>
    <w:rsid w:val="007B0578"/>
    <w:rsid w:val="007B0F41"/>
    <w:rsid w:val="007B10DD"/>
    <w:rsid w:val="007B10E9"/>
    <w:rsid w:val="007B16DB"/>
    <w:rsid w:val="007B1E27"/>
    <w:rsid w:val="007B1E4E"/>
    <w:rsid w:val="007B1F3A"/>
    <w:rsid w:val="007B23BE"/>
    <w:rsid w:val="007B26B1"/>
    <w:rsid w:val="007B29B8"/>
    <w:rsid w:val="007B29FE"/>
    <w:rsid w:val="007B2B86"/>
    <w:rsid w:val="007B2D38"/>
    <w:rsid w:val="007B3528"/>
    <w:rsid w:val="007B36A5"/>
    <w:rsid w:val="007B3BDA"/>
    <w:rsid w:val="007B3E2C"/>
    <w:rsid w:val="007B3E87"/>
    <w:rsid w:val="007B427C"/>
    <w:rsid w:val="007B4760"/>
    <w:rsid w:val="007B479E"/>
    <w:rsid w:val="007B47F2"/>
    <w:rsid w:val="007B5092"/>
    <w:rsid w:val="007B5340"/>
    <w:rsid w:val="007B5651"/>
    <w:rsid w:val="007B5B2D"/>
    <w:rsid w:val="007B5C95"/>
    <w:rsid w:val="007B5F26"/>
    <w:rsid w:val="007B62D4"/>
    <w:rsid w:val="007B641B"/>
    <w:rsid w:val="007B6887"/>
    <w:rsid w:val="007B6A00"/>
    <w:rsid w:val="007B6B81"/>
    <w:rsid w:val="007B6BC8"/>
    <w:rsid w:val="007B6F3E"/>
    <w:rsid w:val="007B6F56"/>
    <w:rsid w:val="007B7218"/>
    <w:rsid w:val="007B74B7"/>
    <w:rsid w:val="007B76AE"/>
    <w:rsid w:val="007B77CC"/>
    <w:rsid w:val="007B783F"/>
    <w:rsid w:val="007B7970"/>
    <w:rsid w:val="007B7AF5"/>
    <w:rsid w:val="007C01DC"/>
    <w:rsid w:val="007C02AF"/>
    <w:rsid w:val="007C111C"/>
    <w:rsid w:val="007C11AC"/>
    <w:rsid w:val="007C1387"/>
    <w:rsid w:val="007C1598"/>
    <w:rsid w:val="007C1977"/>
    <w:rsid w:val="007C1BD2"/>
    <w:rsid w:val="007C233C"/>
    <w:rsid w:val="007C2527"/>
    <w:rsid w:val="007C25DD"/>
    <w:rsid w:val="007C28B4"/>
    <w:rsid w:val="007C296D"/>
    <w:rsid w:val="007C2BE0"/>
    <w:rsid w:val="007C3060"/>
    <w:rsid w:val="007C30B8"/>
    <w:rsid w:val="007C3157"/>
    <w:rsid w:val="007C31BC"/>
    <w:rsid w:val="007C32C4"/>
    <w:rsid w:val="007C3474"/>
    <w:rsid w:val="007C396B"/>
    <w:rsid w:val="007C399E"/>
    <w:rsid w:val="007C3A02"/>
    <w:rsid w:val="007C3B0F"/>
    <w:rsid w:val="007C3D68"/>
    <w:rsid w:val="007C4155"/>
    <w:rsid w:val="007C442B"/>
    <w:rsid w:val="007C456F"/>
    <w:rsid w:val="007C4588"/>
    <w:rsid w:val="007C4A7D"/>
    <w:rsid w:val="007C4B36"/>
    <w:rsid w:val="007C4C8A"/>
    <w:rsid w:val="007C5191"/>
    <w:rsid w:val="007C68F9"/>
    <w:rsid w:val="007C6A5A"/>
    <w:rsid w:val="007C6AD2"/>
    <w:rsid w:val="007C6BB7"/>
    <w:rsid w:val="007C6E5C"/>
    <w:rsid w:val="007C72BE"/>
    <w:rsid w:val="007C72CE"/>
    <w:rsid w:val="007C7352"/>
    <w:rsid w:val="007C7C3F"/>
    <w:rsid w:val="007D0070"/>
    <w:rsid w:val="007D00FC"/>
    <w:rsid w:val="007D0441"/>
    <w:rsid w:val="007D05FA"/>
    <w:rsid w:val="007D0A09"/>
    <w:rsid w:val="007D0B25"/>
    <w:rsid w:val="007D0F32"/>
    <w:rsid w:val="007D1229"/>
    <w:rsid w:val="007D1908"/>
    <w:rsid w:val="007D1A1F"/>
    <w:rsid w:val="007D1A9E"/>
    <w:rsid w:val="007D1B60"/>
    <w:rsid w:val="007D1E4C"/>
    <w:rsid w:val="007D1EC6"/>
    <w:rsid w:val="007D2177"/>
    <w:rsid w:val="007D2406"/>
    <w:rsid w:val="007D2427"/>
    <w:rsid w:val="007D26E3"/>
    <w:rsid w:val="007D2AD4"/>
    <w:rsid w:val="007D2C91"/>
    <w:rsid w:val="007D2F17"/>
    <w:rsid w:val="007D3049"/>
    <w:rsid w:val="007D375A"/>
    <w:rsid w:val="007D37A5"/>
    <w:rsid w:val="007D38DB"/>
    <w:rsid w:val="007D3C4B"/>
    <w:rsid w:val="007D3C94"/>
    <w:rsid w:val="007D3E7A"/>
    <w:rsid w:val="007D3F9E"/>
    <w:rsid w:val="007D437D"/>
    <w:rsid w:val="007D437E"/>
    <w:rsid w:val="007D445E"/>
    <w:rsid w:val="007D46C9"/>
    <w:rsid w:val="007D4B21"/>
    <w:rsid w:val="007D4B94"/>
    <w:rsid w:val="007D4C8B"/>
    <w:rsid w:val="007D5179"/>
    <w:rsid w:val="007D53A9"/>
    <w:rsid w:val="007D53B8"/>
    <w:rsid w:val="007D55D8"/>
    <w:rsid w:val="007D5870"/>
    <w:rsid w:val="007D5A36"/>
    <w:rsid w:val="007D5BCE"/>
    <w:rsid w:val="007D607C"/>
    <w:rsid w:val="007D6306"/>
    <w:rsid w:val="007D692E"/>
    <w:rsid w:val="007D6C34"/>
    <w:rsid w:val="007D74DE"/>
    <w:rsid w:val="007D75D5"/>
    <w:rsid w:val="007D77F1"/>
    <w:rsid w:val="007D7AA4"/>
    <w:rsid w:val="007D7DC6"/>
    <w:rsid w:val="007D7E28"/>
    <w:rsid w:val="007E025A"/>
    <w:rsid w:val="007E027B"/>
    <w:rsid w:val="007E02C6"/>
    <w:rsid w:val="007E0331"/>
    <w:rsid w:val="007E0A83"/>
    <w:rsid w:val="007E0DDE"/>
    <w:rsid w:val="007E0F61"/>
    <w:rsid w:val="007E1207"/>
    <w:rsid w:val="007E14FF"/>
    <w:rsid w:val="007E2173"/>
    <w:rsid w:val="007E24D9"/>
    <w:rsid w:val="007E2511"/>
    <w:rsid w:val="007E2651"/>
    <w:rsid w:val="007E2E43"/>
    <w:rsid w:val="007E2ED9"/>
    <w:rsid w:val="007E2FE3"/>
    <w:rsid w:val="007E300F"/>
    <w:rsid w:val="007E30DE"/>
    <w:rsid w:val="007E3CA8"/>
    <w:rsid w:val="007E3D2A"/>
    <w:rsid w:val="007E3E6A"/>
    <w:rsid w:val="007E3EF0"/>
    <w:rsid w:val="007E4969"/>
    <w:rsid w:val="007E49B8"/>
    <w:rsid w:val="007E4BFC"/>
    <w:rsid w:val="007E4C97"/>
    <w:rsid w:val="007E5161"/>
    <w:rsid w:val="007E5318"/>
    <w:rsid w:val="007E54A5"/>
    <w:rsid w:val="007E567E"/>
    <w:rsid w:val="007E5929"/>
    <w:rsid w:val="007E5B39"/>
    <w:rsid w:val="007E5CFE"/>
    <w:rsid w:val="007E62BA"/>
    <w:rsid w:val="007E6B73"/>
    <w:rsid w:val="007E6D24"/>
    <w:rsid w:val="007E7489"/>
    <w:rsid w:val="007E749D"/>
    <w:rsid w:val="007E75D0"/>
    <w:rsid w:val="007E78D2"/>
    <w:rsid w:val="007E79E0"/>
    <w:rsid w:val="007E79F3"/>
    <w:rsid w:val="007F0055"/>
    <w:rsid w:val="007F0233"/>
    <w:rsid w:val="007F0AC4"/>
    <w:rsid w:val="007F0B68"/>
    <w:rsid w:val="007F0E32"/>
    <w:rsid w:val="007F0E41"/>
    <w:rsid w:val="007F128C"/>
    <w:rsid w:val="007F1CA1"/>
    <w:rsid w:val="007F1DB2"/>
    <w:rsid w:val="007F204A"/>
    <w:rsid w:val="007F2E10"/>
    <w:rsid w:val="007F31F1"/>
    <w:rsid w:val="007F33A3"/>
    <w:rsid w:val="007F367A"/>
    <w:rsid w:val="007F375F"/>
    <w:rsid w:val="007F387C"/>
    <w:rsid w:val="007F3A5E"/>
    <w:rsid w:val="007F3AF9"/>
    <w:rsid w:val="007F3B0E"/>
    <w:rsid w:val="007F4062"/>
    <w:rsid w:val="007F4824"/>
    <w:rsid w:val="007F4980"/>
    <w:rsid w:val="007F4C7D"/>
    <w:rsid w:val="007F4EC8"/>
    <w:rsid w:val="007F4F3D"/>
    <w:rsid w:val="007F52E7"/>
    <w:rsid w:val="007F53C4"/>
    <w:rsid w:val="007F55B3"/>
    <w:rsid w:val="007F57D2"/>
    <w:rsid w:val="007F580B"/>
    <w:rsid w:val="007F5BD1"/>
    <w:rsid w:val="007F5F90"/>
    <w:rsid w:val="007F661F"/>
    <w:rsid w:val="007F6775"/>
    <w:rsid w:val="007F6D1D"/>
    <w:rsid w:val="007F6E9D"/>
    <w:rsid w:val="007F74C2"/>
    <w:rsid w:val="007F76F3"/>
    <w:rsid w:val="007F77EC"/>
    <w:rsid w:val="007F787C"/>
    <w:rsid w:val="007F7C9B"/>
    <w:rsid w:val="007F7FAE"/>
    <w:rsid w:val="0080060F"/>
    <w:rsid w:val="00800CDF"/>
    <w:rsid w:val="008016A6"/>
    <w:rsid w:val="008019F6"/>
    <w:rsid w:val="00801A76"/>
    <w:rsid w:val="00801C50"/>
    <w:rsid w:val="00801D15"/>
    <w:rsid w:val="00801F5A"/>
    <w:rsid w:val="008021B6"/>
    <w:rsid w:val="00802282"/>
    <w:rsid w:val="008023DE"/>
    <w:rsid w:val="008030E3"/>
    <w:rsid w:val="008032A8"/>
    <w:rsid w:val="008034E1"/>
    <w:rsid w:val="008036C5"/>
    <w:rsid w:val="00803C15"/>
    <w:rsid w:val="00803DBD"/>
    <w:rsid w:val="00803E28"/>
    <w:rsid w:val="0080426D"/>
    <w:rsid w:val="00804373"/>
    <w:rsid w:val="008044A7"/>
    <w:rsid w:val="008045E1"/>
    <w:rsid w:val="008046FF"/>
    <w:rsid w:val="008048F4"/>
    <w:rsid w:val="008051B3"/>
    <w:rsid w:val="00805576"/>
    <w:rsid w:val="008059B4"/>
    <w:rsid w:val="0080616F"/>
    <w:rsid w:val="008061EC"/>
    <w:rsid w:val="008061F9"/>
    <w:rsid w:val="00806294"/>
    <w:rsid w:val="008062E8"/>
    <w:rsid w:val="0080635E"/>
    <w:rsid w:val="008067F8"/>
    <w:rsid w:val="00806851"/>
    <w:rsid w:val="00806D41"/>
    <w:rsid w:val="008076F5"/>
    <w:rsid w:val="00807C55"/>
    <w:rsid w:val="00807D8E"/>
    <w:rsid w:val="00807D9C"/>
    <w:rsid w:val="00810221"/>
    <w:rsid w:val="008102EE"/>
    <w:rsid w:val="00810538"/>
    <w:rsid w:val="00810939"/>
    <w:rsid w:val="00811487"/>
    <w:rsid w:val="00811753"/>
    <w:rsid w:val="00811927"/>
    <w:rsid w:val="00811C8F"/>
    <w:rsid w:val="00811F1D"/>
    <w:rsid w:val="0081215D"/>
    <w:rsid w:val="00812202"/>
    <w:rsid w:val="00812236"/>
    <w:rsid w:val="00812B85"/>
    <w:rsid w:val="00812CEC"/>
    <w:rsid w:val="00812E77"/>
    <w:rsid w:val="00812F26"/>
    <w:rsid w:val="00813390"/>
    <w:rsid w:val="00813889"/>
    <w:rsid w:val="00813A7B"/>
    <w:rsid w:val="00813BC9"/>
    <w:rsid w:val="00813BD4"/>
    <w:rsid w:val="00813F64"/>
    <w:rsid w:val="0081408A"/>
    <w:rsid w:val="0081421F"/>
    <w:rsid w:val="00814600"/>
    <w:rsid w:val="00814934"/>
    <w:rsid w:val="00814AE5"/>
    <w:rsid w:val="00814D0D"/>
    <w:rsid w:val="008150D6"/>
    <w:rsid w:val="00815384"/>
    <w:rsid w:val="008159A4"/>
    <w:rsid w:val="00815BAB"/>
    <w:rsid w:val="00815BCC"/>
    <w:rsid w:val="00815C99"/>
    <w:rsid w:val="00815CB3"/>
    <w:rsid w:val="008161C4"/>
    <w:rsid w:val="0081651F"/>
    <w:rsid w:val="00816565"/>
    <w:rsid w:val="00816E6C"/>
    <w:rsid w:val="0081748A"/>
    <w:rsid w:val="00817538"/>
    <w:rsid w:val="008178D0"/>
    <w:rsid w:val="008178FB"/>
    <w:rsid w:val="00817A5E"/>
    <w:rsid w:val="00817A92"/>
    <w:rsid w:val="00817DD2"/>
    <w:rsid w:val="00817ECC"/>
    <w:rsid w:val="00820081"/>
    <w:rsid w:val="00820269"/>
    <w:rsid w:val="0082098F"/>
    <w:rsid w:val="008209DE"/>
    <w:rsid w:val="00820A9B"/>
    <w:rsid w:val="00820EA7"/>
    <w:rsid w:val="0082140B"/>
    <w:rsid w:val="00821743"/>
    <w:rsid w:val="00821878"/>
    <w:rsid w:val="00821975"/>
    <w:rsid w:val="00821AA7"/>
    <w:rsid w:val="00821DCF"/>
    <w:rsid w:val="0082230C"/>
    <w:rsid w:val="008226BE"/>
    <w:rsid w:val="00822F12"/>
    <w:rsid w:val="00822F66"/>
    <w:rsid w:val="008230A0"/>
    <w:rsid w:val="008232FE"/>
    <w:rsid w:val="00823441"/>
    <w:rsid w:val="00823478"/>
    <w:rsid w:val="008234E9"/>
    <w:rsid w:val="00823798"/>
    <w:rsid w:val="008237DF"/>
    <w:rsid w:val="00823A24"/>
    <w:rsid w:val="00823EA6"/>
    <w:rsid w:val="008243B6"/>
    <w:rsid w:val="008243CB"/>
    <w:rsid w:val="00824812"/>
    <w:rsid w:val="00824AF7"/>
    <w:rsid w:val="00824E8D"/>
    <w:rsid w:val="00825B8D"/>
    <w:rsid w:val="00825E72"/>
    <w:rsid w:val="00825F29"/>
    <w:rsid w:val="00825F70"/>
    <w:rsid w:val="0082616A"/>
    <w:rsid w:val="00826354"/>
    <w:rsid w:val="008271E3"/>
    <w:rsid w:val="00827381"/>
    <w:rsid w:val="00827412"/>
    <w:rsid w:val="00827A37"/>
    <w:rsid w:val="00827E7B"/>
    <w:rsid w:val="0083010F"/>
    <w:rsid w:val="008304B5"/>
    <w:rsid w:val="0083089D"/>
    <w:rsid w:val="0083098D"/>
    <w:rsid w:val="00830C81"/>
    <w:rsid w:val="00830CB0"/>
    <w:rsid w:val="00830CD8"/>
    <w:rsid w:val="00830EF1"/>
    <w:rsid w:val="0083144A"/>
    <w:rsid w:val="00831514"/>
    <w:rsid w:val="00831869"/>
    <w:rsid w:val="00831AEA"/>
    <w:rsid w:val="00831C6B"/>
    <w:rsid w:val="00831F3A"/>
    <w:rsid w:val="008321E3"/>
    <w:rsid w:val="008325BB"/>
    <w:rsid w:val="00832D12"/>
    <w:rsid w:val="00832DD8"/>
    <w:rsid w:val="00832E81"/>
    <w:rsid w:val="00833A55"/>
    <w:rsid w:val="00833B9C"/>
    <w:rsid w:val="00833EA1"/>
    <w:rsid w:val="00834686"/>
    <w:rsid w:val="008348FC"/>
    <w:rsid w:val="008349B6"/>
    <w:rsid w:val="00834D1D"/>
    <w:rsid w:val="00834F31"/>
    <w:rsid w:val="00835B2D"/>
    <w:rsid w:val="00836020"/>
    <w:rsid w:val="00836392"/>
    <w:rsid w:val="00836BD6"/>
    <w:rsid w:val="00836BF4"/>
    <w:rsid w:val="00836CAC"/>
    <w:rsid w:val="00836D12"/>
    <w:rsid w:val="00836DE7"/>
    <w:rsid w:val="00836E3F"/>
    <w:rsid w:val="00836EC3"/>
    <w:rsid w:val="00836F8E"/>
    <w:rsid w:val="0083713C"/>
    <w:rsid w:val="00837153"/>
    <w:rsid w:val="008379A4"/>
    <w:rsid w:val="00837AB0"/>
    <w:rsid w:val="00837CBF"/>
    <w:rsid w:val="00840288"/>
    <w:rsid w:val="00840545"/>
    <w:rsid w:val="00840666"/>
    <w:rsid w:val="00841347"/>
    <w:rsid w:val="008414DD"/>
    <w:rsid w:val="008417A2"/>
    <w:rsid w:val="008417F9"/>
    <w:rsid w:val="0084181C"/>
    <w:rsid w:val="00841951"/>
    <w:rsid w:val="00841C72"/>
    <w:rsid w:val="00841E8A"/>
    <w:rsid w:val="0084203E"/>
    <w:rsid w:val="008420F7"/>
    <w:rsid w:val="0084242E"/>
    <w:rsid w:val="0084255E"/>
    <w:rsid w:val="00842962"/>
    <w:rsid w:val="00842CB4"/>
    <w:rsid w:val="00842F61"/>
    <w:rsid w:val="00843532"/>
    <w:rsid w:val="0084371B"/>
    <w:rsid w:val="0084399B"/>
    <w:rsid w:val="00843B86"/>
    <w:rsid w:val="00843E4F"/>
    <w:rsid w:val="0084422F"/>
    <w:rsid w:val="008443A1"/>
    <w:rsid w:val="008445A8"/>
    <w:rsid w:val="008445E3"/>
    <w:rsid w:val="00844850"/>
    <w:rsid w:val="008448F8"/>
    <w:rsid w:val="00844ACC"/>
    <w:rsid w:val="00844BC3"/>
    <w:rsid w:val="00844E4F"/>
    <w:rsid w:val="00844EB0"/>
    <w:rsid w:val="00845122"/>
    <w:rsid w:val="0084564E"/>
    <w:rsid w:val="00845D8B"/>
    <w:rsid w:val="00845DAB"/>
    <w:rsid w:val="00845E21"/>
    <w:rsid w:val="00845E4E"/>
    <w:rsid w:val="00846083"/>
    <w:rsid w:val="008460E2"/>
    <w:rsid w:val="008460F7"/>
    <w:rsid w:val="008464FB"/>
    <w:rsid w:val="00846ABC"/>
    <w:rsid w:val="00846D68"/>
    <w:rsid w:val="00846EB2"/>
    <w:rsid w:val="00847043"/>
    <w:rsid w:val="008479B5"/>
    <w:rsid w:val="00847CE6"/>
    <w:rsid w:val="00847DC1"/>
    <w:rsid w:val="00850035"/>
    <w:rsid w:val="008500AC"/>
    <w:rsid w:val="008503C5"/>
    <w:rsid w:val="00850486"/>
    <w:rsid w:val="00850521"/>
    <w:rsid w:val="0085055D"/>
    <w:rsid w:val="00850856"/>
    <w:rsid w:val="008509AC"/>
    <w:rsid w:val="00850BBB"/>
    <w:rsid w:val="00850D3F"/>
    <w:rsid w:val="00851288"/>
    <w:rsid w:val="00851C94"/>
    <w:rsid w:val="00852310"/>
    <w:rsid w:val="0085232C"/>
    <w:rsid w:val="0085251D"/>
    <w:rsid w:val="00852712"/>
    <w:rsid w:val="00852C72"/>
    <w:rsid w:val="00852D5F"/>
    <w:rsid w:val="00852F12"/>
    <w:rsid w:val="0085318A"/>
    <w:rsid w:val="008531CF"/>
    <w:rsid w:val="00853725"/>
    <w:rsid w:val="00853AEC"/>
    <w:rsid w:val="00853DDE"/>
    <w:rsid w:val="00854108"/>
    <w:rsid w:val="00854249"/>
    <w:rsid w:val="008542A5"/>
    <w:rsid w:val="008548EE"/>
    <w:rsid w:val="0085494B"/>
    <w:rsid w:val="00854996"/>
    <w:rsid w:val="00854CB4"/>
    <w:rsid w:val="00854E2D"/>
    <w:rsid w:val="00854E8A"/>
    <w:rsid w:val="00854F94"/>
    <w:rsid w:val="008558A3"/>
    <w:rsid w:val="00855995"/>
    <w:rsid w:val="00855ACA"/>
    <w:rsid w:val="00855AFF"/>
    <w:rsid w:val="00855CAB"/>
    <w:rsid w:val="00855DC7"/>
    <w:rsid w:val="0085613F"/>
    <w:rsid w:val="00856533"/>
    <w:rsid w:val="00856A8A"/>
    <w:rsid w:val="00856C17"/>
    <w:rsid w:val="00856CC7"/>
    <w:rsid w:val="00856E68"/>
    <w:rsid w:val="00856EC0"/>
    <w:rsid w:val="00857064"/>
    <w:rsid w:val="00857445"/>
    <w:rsid w:val="00857471"/>
    <w:rsid w:val="00857572"/>
    <w:rsid w:val="008575C9"/>
    <w:rsid w:val="0085784F"/>
    <w:rsid w:val="00857B1B"/>
    <w:rsid w:val="00857DEE"/>
    <w:rsid w:val="008602D9"/>
    <w:rsid w:val="0086031D"/>
    <w:rsid w:val="00860461"/>
    <w:rsid w:val="008604BE"/>
    <w:rsid w:val="0086055E"/>
    <w:rsid w:val="008605BC"/>
    <w:rsid w:val="00860623"/>
    <w:rsid w:val="008608AB"/>
    <w:rsid w:val="008608D7"/>
    <w:rsid w:val="008609F7"/>
    <w:rsid w:val="00860A53"/>
    <w:rsid w:val="00860BCF"/>
    <w:rsid w:val="00860C3A"/>
    <w:rsid w:val="00860C9D"/>
    <w:rsid w:val="00860CAD"/>
    <w:rsid w:val="0086113F"/>
    <w:rsid w:val="00861A3B"/>
    <w:rsid w:val="00861AF2"/>
    <w:rsid w:val="00861BC7"/>
    <w:rsid w:val="00861C9F"/>
    <w:rsid w:val="00861F06"/>
    <w:rsid w:val="0086209B"/>
    <w:rsid w:val="00862351"/>
    <w:rsid w:val="008626E7"/>
    <w:rsid w:val="00862F7D"/>
    <w:rsid w:val="008630A1"/>
    <w:rsid w:val="00863718"/>
    <w:rsid w:val="0086397D"/>
    <w:rsid w:val="00863D7D"/>
    <w:rsid w:val="0086454E"/>
    <w:rsid w:val="00864616"/>
    <w:rsid w:val="008648B5"/>
    <w:rsid w:val="008649FB"/>
    <w:rsid w:val="00864BF9"/>
    <w:rsid w:val="00864EFD"/>
    <w:rsid w:val="00864FE0"/>
    <w:rsid w:val="008654F0"/>
    <w:rsid w:val="00865531"/>
    <w:rsid w:val="00865643"/>
    <w:rsid w:val="00865C11"/>
    <w:rsid w:val="00865C87"/>
    <w:rsid w:val="00866073"/>
    <w:rsid w:val="00866488"/>
    <w:rsid w:val="008665F8"/>
    <w:rsid w:val="008667AB"/>
    <w:rsid w:val="00866A4C"/>
    <w:rsid w:val="00866BB2"/>
    <w:rsid w:val="00867485"/>
    <w:rsid w:val="00867509"/>
    <w:rsid w:val="008675E4"/>
    <w:rsid w:val="00867D0A"/>
    <w:rsid w:val="00867DF5"/>
    <w:rsid w:val="0087017F"/>
    <w:rsid w:val="00870BB4"/>
    <w:rsid w:val="00871151"/>
    <w:rsid w:val="0087155C"/>
    <w:rsid w:val="00871781"/>
    <w:rsid w:val="00871B6D"/>
    <w:rsid w:val="008720C8"/>
    <w:rsid w:val="00872328"/>
    <w:rsid w:val="00872DFD"/>
    <w:rsid w:val="00873052"/>
    <w:rsid w:val="008732EC"/>
    <w:rsid w:val="0087342A"/>
    <w:rsid w:val="0087343F"/>
    <w:rsid w:val="00873810"/>
    <w:rsid w:val="008738D8"/>
    <w:rsid w:val="00873D98"/>
    <w:rsid w:val="00873DD3"/>
    <w:rsid w:val="008741C4"/>
    <w:rsid w:val="008743D7"/>
    <w:rsid w:val="00874626"/>
    <w:rsid w:val="008746E0"/>
    <w:rsid w:val="00875048"/>
    <w:rsid w:val="00875723"/>
    <w:rsid w:val="00875746"/>
    <w:rsid w:val="008757C5"/>
    <w:rsid w:val="00875E94"/>
    <w:rsid w:val="008760B7"/>
    <w:rsid w:val="008765AB"/>
    <w:rsid w:val="00876780"/>
    <w:rsid w:val="00876B2A"/>
    <w:rsid w:val="00876C46"/>
    <w:rsid w:val="00876E23"/>
    <w:rsid w:val="00876FC4"/>
    <w:rsid w:val="00877744"/>
    <w:rsid w:val="00877AEC"/>
    <w:rsid w:val="00877B0A"/>
    <w:rsid w:val="00877D8A"/>
    <w:rsid w:val="00877E51"/>
    <w:rsid w:val="00877FBF"/>
    <w:rsid w:val="008804EF"/>
    <w:rsid w:val="008808AF"/>
    <w:rsid w:val="00880ED1"/>
    <w:rsid w:val="00881455"/>
    <w:rsid w:val="008814F7"/>
    <w:rsid w:val="008817C0"/>
    <w:rsid w:val="00881AEA"/>
    <w:rsid w:val="00881B43"/>
    <w:rsid w:val="00881B66"/>
    <w:rsid w:val="00881DE7"/>
    <w:rsid w:val="00881E0A"/>
    <w:rsid w:val="00881E81"/>
    <w:rsid w:val="0088246C"/>
    <w:rsid w:val="008824D6"/>
    <w:rsid w:val="00882543"/>
    <w:rsid w:val="00882771"/>
    <w:rsid w:val="00882AF8"/>
    <w:rsid w:val="00882D4D"/>
    <w:rsid w:val="00883301"/>
    <w:rsid w:val="0088357A"/>
    <w:rsid w:val="0088362A"/>
    <w:rsid w:val="00883728"/>
    <w:rsid w:val="00883B9B"/>
    <w:rsid w:val="00883D29"/>
    <w:rsid w:val="00883F1B"/>
    <w:rsid w:val="00883F2F"/>
    <w:rsid w:val="008841CA"/>
    <w:rsid w:val="00884A6A"/>
    <w:rsid w:val="00884AB4"/>
    <w:rsid w:val="0088514C"/>
    <w:rsid w:val="008853F6"/>
    <w:rsid w:val="00885A68"/>
    <w:rsid w:val="00885DFB"/>
    <w:rsid w:val="0088644E"/>
    <w:rsid w:val="0088663A"/>
    <w:rsid w:val="008868A6"/>
    <w:rsid w:val="00886AAB"/>
    <w:rsid w:val="00886BFF"/>
    <w:rsid w:val="008870FF"/>
    <w:rsid w:val="008872A9"/>
    <w:rsid w:val="0088744C"/>
    <w:rsid w:val="008878F9"/>
    <w:rsid w:val="00887982"/>
    <w:rsid w:val="00887987"/>
    <w:rsid w:val="00887E57"/>
    <w:rsid w:val="008901D2"/>
    <w:rsid w:val="0089080F"/>
    <w:rsid w:val="0089086C"/>
    <w:rsid w:val="0089128D"/>
    <w:rsid w:val="008916B3"/>
    <w:rsid w:val="0089173F"/>
    <w:rsid w:val="00891A14"/>
    <w:rsid w:val="00891AE4"/>
    <w:rsid w:val="00891B09"/>
    <w:rsid w:val="00891B17"/>
    <w:rsid w:val="00891F23"/>
    <w:rsid w:val="0089241D"/>
    <w:rsid w:val="0089273B"/>
    <w:rsid w:val="008929AE"/>
    <w:rsid w:val="00892D4E"/>
    <w:rsid w:val="00892D83"/>
    <w:rsid w:val="00892F14"/>
    <w:rsid w:val="0089321C"/>
    <w:rsid w:val="008938A5"/>
    <w:rsid w:val="00893BD4"/>
    <w:rsid w:val="00893D8A"/>
    <w:rsid w:val="0089415C"/>
    <w:rsid w:val="00894464"/>
    <w:rsid w:val="0089446F"/>
    <w:rsid w:val="0089453A"/>
    <w:rsid w:val="00894597"/>
    <w:rsid w:val="00894749"/>
    <w:rsid w:val="008947D6"/>
    <w:rsid w:val="00894BCC"/>
    <w:rsid w:val="00895056"/>
    <w:rsid w:val="00895143"/>
    <w:rsid w:val="00895C7E"/>
    <w:rsid w:val="00895F80"/>
    <w:rsid w:val="0089601F"/>
    <w:rsid w:val="00896359"/>
    <w:rsid w:val="008964A3"/>
    <w:rsid w:val="008964F9"/>
    <w:rsid w:val="0089673D"/>
    <w:rsid w:val="00896B1C"/>
    <w:rsid w:val="00896DBF"/>
    <w:rsid w:val="00896FFF"/>
    <w:rsid w:val="00897066"/>
    <w:rsid w:val="00897274"/>
    <w:rsid w:val="00897774"/>
    <w:rsid w:val="008A0381"/>
    <w:rsid w:val="008A0A77"/>
    <w:rsid w:val="008A0CD5"/>
    <w:rsid w:val="008A0E41"/>
    <w:rsid w:val="008A1146"/>
    <w:rsid w:val="008A1865"/>
    <w:rsid w:val="008A1A2F"/>
    <w:rsid w:val="008A1E95"/>
    <w:rsid w:val="008A2229"/>
    <w:rsid w:val="008A24C2"/>
    <w:rsid w:val="008A24DD"/>
    <w:rsid w:val="008A253D"/>
    <w:rsid w:val="008A2747"/>
    <w:rsid w:val="008A28BA"/>
    <w:rsid w:val="008A28E8"/>
    <w:rsid w:val="008A2E4F"/>
    <w:rsid w:val="008A300E"/>
    <w:rsid w:val="008A3501"/>
    <w:rsid w:val="008A3781"/>
    <w:rsid w:val="008A3BE2"/>
    <w:rsid w:val="008A3DC5"/>
    <w:rsid w:val="008A3EAD"/>
    <w:rsid w:val="008A4181"/>
    <w:rsid w:val="008A4195"/>
    <w:rsid w:val="008A4475"/>
    <w:rsid w:val="008A474B"/>
    <w:rsid w:val="008A48C5"/>
    <w:rsid w:val="008A4B62"/>
    <w:rsid w:val="008A4D72"/>
    <w:rsid w:val="008A4F9D"/>
    <w:rsid w:val="008A523D"/>
    <w:rsid w:val="008A54C8"/>
    <w:rsid w:val="008A54E4"/>
    <w:rsid w:val="008A5697"/>
    <w:rsid w:val="008A579C"/>
    <w:rsid w:val="008A58DE"/>
    <w:rsid w:val="008A5C18"/>
    <w:rsid w:val="008A62E9"/>
    <w:rsid w:val="008A642C"/>
    <w:rsid w:val="008A6641"/>
    <w:rsid w:val="008A679B"/>
    <w:rsid w:val="008A69F7"/>
    <w:rsid w:val="008A6E61"/>
    <w:rsid w:val="008A7108"/>
    <w:rsid w:val="008A73F9"/>
    <w:rsid w:val="008A74C5"/>
    <w:rsid w:val="008A74F9"/>
    <w:rsid w:val="008A7559"/>
    <w:rsid w:val="008A77BB"/>
    <w:rsid w:val="008B06CB"/>
    <w:rsid w:val="008B0950"/>
    <w:rsid w:val="008B0C90"/>
    <w:rsid w:val="008B0FAC"/>
    <w:rsid w:val="008B114B"/>
    <w:rsid w:val="008B1922"/>
    <w:rsid w:val="008B2555"/>
    <w:rsid w:val="008B2974"/>
    <w:rsid w:val="008B2BAD"/>
    <w:rsid w:val="008B2C9E"/>
    <w:rsid w:val="008B2E7F"/>
    <w:rsid w:val="008B3030"/>
    <w:rsid w:val="008B38D7"/>
    <w:rsid w:val="008B3905"/>
    <w:rsid w:val="008B3A34"/>
    <w:rsid w:val="008B4148"/>
    <w:rsid w:val="008B4222"/>
    <w:rsid w:val="008B450B"/>
    <w:rsid w:val="008B4847"/>
    <w:rsid w:val="008B4960"/>
    <w:rsid w:val="008B49F2"/>
    <w:rsid w:val="008B4C36"/>
    <w:rsid w:val="008B4D77"/>
    <w:rsid w:val="008B4EFB"/>
    <w:rsid w:val="008B4FD4"/>
    <w:rsid w:val="008B5095"/>
    <w:rsid w:val="008B5176"/>
    <w:rsid w:val="008B5535"/>
    <w:rsid w:val="008B59CD"/>
    <w:rsid w:val="008B5C5F"/>
    <w:rsid w:val="008B5EB7"/>
    <w:rsid w:val="008B61D8"/>
    <w:rsid w:val="008B6BBD"/>
    <w:rsid w:val="008B6DDF"/>
    <w:rsid w:val="008B7299"/>
    <w:rsid w:val="008B75C3"/>
    <w:rsid w:val="008C00BF"/>
    <w:rsid w:val="008C01D8"/>
    <w:rsid w:val="008C02ED"/>
    <w:rsid w:val="008C0545"/>
    <w:rsid w:val="008C0A27"/>
    <w:rsid w:val="008C0A56"/>
    <w:rsid w:val="008C0C37"/>
    <w:rsid w:val="008C13E7"/>
    <w:rsid w:val="008C1435"/>
    <w:rsid w:val="008C16D6"/>
    <w:rsid w:val="008C1A98"/>
    <w:rsid w:val="008C2312"/>
    <w:rsid w:val="008C235D"/>
    <w:rsid w:val="008C2D4B"/>
    <w:rsid w:val="008C3266"/>
    <w:rsid w:val="008C34E4"/>
    <w:rsid w:val="008C3507"/>
    <w:rsid w:val="008C3BA1"/>
    <w:rsid w:val="008C3EE6"/>
    <w:rsid w:val="008C3F1A"/>
    <w:rsid w:val="008C43A2"/>
    <w:rsid w:val="008C4486"/>
    <w:rsid w:val="008C471F"/>
    <w:rsid w:val="008C4AF1"/>
    <w:rsid w:val="008C4B4E"/>
    <w:rsid w:val="008C52BE"/>
    <w:rsid w:val="008C53F9"/>
    <w:rsid w:val="008C594A"/>
    <w:rsid w:val="008C5D1B"/>
    <w:rsid w:val="008C5E4C"/>
    <w:rsid w:val="008C5E68"/>
    <w:rsid w:val="008C5E69"/>
    <w:rsid w:val="008C64D7"/>
    <w:rsid w:val="008C6554"/>
    <w:rsid w:val="008C6804"/>
    <w:rsid w:val="008C6856"/>
    <w:rsid w:val="008C6972"/>
    <w:rsid w:val="008C6DDC"/>
    <w:rsid w:val="008C6FB3"/>
    <w:rsid w:val="008C7073"/>
    <w:rsid w:val="008C7260"/>
    <w:rsid w:val="008C7496"/>
    <w:rsid w:val="008C74A3"/>
    <w:rsid w:val="008C797B"/>
    <w:rsid w:val="008C7BB5"/>
    <w:rsid w:val="008C7C85"/>
    <w:rsid w:val="008D0549"/>
    <w:rsid w:val="008D0552"/>
    <w:rsid w:val="008D05D3"/>
    <w:rsid w:val="008D05F8"/>
    <w:rsid w:val="008D1011"/>
    <w:rsid w:val="008D1938"/>
    <w:rsid w:val="008D194C"/>
    <w:rsid w:val="008D1AE8"/>
    <w:rsid w:val="008D1CCA"/>
    <w:rsid w:val="008D1CF9"/>
    <w:rsid w:val="008D1F88"/>
    <w:rsid w:val="008D2095"/>
    <w:rsid w:val="008D21F4"/>
    <w:rsid w:val="008D2238"/>
    <w:rsid w:val="008D22ED"/>
    <w:rsid w:val="008D2338"/>
    <w:rsid w:val="008D2360"/>
    <w:rsid w:val="008D24B0"/>
    <w:rsid w:val="008D2854"/>
    <w:rsid w:val="008D2D8B"/>
    <w:rsid w:val="008D2FF6"/>
    <w:rsid w:val="008D319F"/>
    <w:rsid w:val="008D360A"/>
    <w:rsid w:val="008D365F"/>
    <w:rsid w:val="008D385E"/>
    <w:rsid w:val="008D3A27"/>
    <w:rsid w:val="008D3BE9"/>
    <w:rsid w:val="008D41E7"/>
    <w:rsid w:val="008D4AB2"/>
    <w:rsid w:val="008D4DC2"/>
    <w:rsid w:val="008D511D"/>
    <w:rsid w:val="008D57E3"/>
    <w:rsid w:val="008D5A15"/>
    <w:rsid w:val="008D5ACB"/>
    <w:rsid w:val="008D5C42"/>
    <w:rsid w:val="008D5CF1"/>
    <w:rsid w:val="008D5D1A"/>
    <w:rsid w:val="008D5E4E"/>
    <w:rsid w:val="008D65DC"/>
    <w:rsid w:val="008D661B"/>
    <w:rsid w:val="008D73BB"/>
    <w:rsid w:val="008D74F4"/>
    <w:rsid w:val="008D762B"/>
    <w:rsid w:val="008D7761"/>
    <w:rsid w:val="008D79EB"/>
    <w:rsid w:val="008D7A7A"/>
    <w:rsid w:val="008D7AF4"/>
    <w:rsid w:val="008D7BE2"/>
    <w:rsid w:val="008D7D91"/>
    <w:rsid w:val="008E01AA"/>
    <w:rsid w:val="008E0627"/>
    <w:rsid w:val="008E07F6"/>
    <w:rsid w:val="008E09B4"/>
    <w:rsid w:val="008E09E2"/>
    <w:rsid w:val="008E0A6D"/>
    <w:rsid w:val="008E0F6E"/>
    <w:rsid w:val="008E10A9"/>
    <w:rsid w:val="008E149B"/>
    <w:rsid w:val="008E1B48"/>
    <w:rsid w:val="008E20B5"/>
    <w:rsid w:val="008E20EC"/>
    <w:rsid w:val="008E216E"/>
    <w:rsid w:val="008E2721"/>
    <w:rsid w:val="008E2816"/>
    <w:rsid w:val="008E29D8"/>
    <w:rsid w:val="008E2B09"/>
    <w:rsid w:val="008E2E42"/>
    <w:rsid w:val="008E2E7A"/>
    <w:rsid w:val="008E2FED"/>
    <w:rsid w:val="008E35DF"/>
    <w:rsid w:val="008E3AC2"/>
    <w:rsid w:val="008E4363"/>
    <w:rsid w:val="008E44B2"/>
    <w:rsid w:val="008E4547"/>
    <w:rsid w:val="008E48B5"/>
    <w:rsid w:val="008E49E0"/>
    <w:rsid w:val="008E4A45"/>
    <w:rsid w:val="008E4B6A"/>
    <w:rsid w:val="008E4BD1"/>
    <w:rsid w:val="008E4CF7"/>
    <w:rsid w:val="008E4FFC"/>
    <w:rsid w:val="008E52C2"/>
    <w:rsid w:val="008E561C"/>
    <w:rsid w:val="008E57EF"/>
    <w:rsid w:val="008E5868"/>
    <w:rsid w:val="008E5D00"/>
    <w:rsid w:val="008E614B"/>
    <w:rsid w:val="008E6859"/>
    <w:rsid w:val="008E6D43"/>
    <w:rsid w:val="008E6F30"/>
    <w:rsid w:val="008E7119"/>
    <w:rsid w:val="008E7318"/>
    <w:rsid w:val="008E7871"/>
    <w:rsid w:val="008E794E"/>
    <w:rsid w:val="008E7F46"/>
    <w:rsid w:val="008F0244"/>
    <w:rsid w:val="008F03E7"/>
    <w:rsid w:val="008F0435"/>
    <w:rsid w:val="008F08EA"/>
    <w:rsid w:val="008F0C22"/>
    <w:rsid w:val="008F0ED8"/>
    <w:rsid w:val="008F121A"/>
    <w:rsid w:val="008F1756"/>
    <w:rsid w:val="008F1FFB"/>
    <w:rsid w:val="008F2286"/>
    <w:rsid w:val="008F2311"/>
    <w:rsid w:val="008F2339"/>
    <w:rsid w:val="008F2712"/>
    <w:rsid w:val="008F2724"/>
    <w:rsid w:val="008F2742"/>
    <w:rsid w:val="008F2D71"/>
    <w:rsid w:val="008F2EC0"/>
    <w:rsid w:val="008F323B"/>
    <w:rsid w:val="008F34E6"/>
    <w:rsid w:val="008F36B5"/>
    <w:rsid w:val="008F3873"/>
    <w:rsid w:val="008F3AED"/>
    <w:rsid w:val="008F3AF4"/>
    <w:rsid w:val="008F4521"/>
    <w:rsid w:val="008F4674"/>
    <w:rsid w:val="008F4D71"/>
    <w:rsid w:val="008F4FEC"/>
    <w:rsid w:val="008F5183"/>
    <w:rsid w:val="008F5599"/>
    <w:rsid w:val="008F57F8"/>
    <w:rsid w:val="008F5C09"/>
    <w:rsid w:val="008F5C79"/>
    <w:rsid w:val="008F5F98"/>
    <w:rsid w:val="008F651A"/>
    <w:rsid w:val="008F658F"/>
    <w:rsid w:val="008F6C68"/>
    <w:rsid w:val="008F701B"/>
    <w:rsid w:val="008F757A"/>
    <w:rsid w:val="008F7623"/>
    <w:rsid w:val="008F78E6"/>
    <w:rsid w:val="008F7DD3"/>
    <w:rsid w:val="0090005F"/>
    <w:rsid w:val="00900277"/>
    <w:rsid w:val="00900991"/>
    <w:rsid w:val="00900E57"/>
    <w:rsid w:val="00901424"/>
    <w:rsid w:val="00901612"/>
    <w:rsid w:val="00901631"/>
    <w:rsid w:val="00901879"/>
    <w:rsid w:val="00902083"/>
    <w:rsid w:val="009020FB"/>
    <w:rsid w:val="009021D6"/>
    <w:rsid w:val="0090225C"/>
    <w:rsid w:val="0090227D"/>
    <w:rsid w:val="0090278E"/>
    <w:rsid w:val="00902867"/>
    <w:rsid w:val="009028FA"/>
    <w:rsid w:val="009036FF"/>
    <w:rsid w:val="009038A5"/>
    <w:rsid w:val="009039E2"/>
    <w:rsid w:val="00904216"/>
    <w:rsid w:val="00904407"/>
    <w:rsid w:val="00904616"/>
    <w:rsid w:val="009046D3"/>
    <w:rsid w:val="00904937"/>
    <w:rsid w:val="0090494E"/>
    <w:rsid w:val="00904A38"/>
    <w:rsid w:val="00904B7B"/>
    <w:rsid w:val="00904B81"/>
    <w:rsid w:val="00904C8F"/>
    <w:rsid w:val="00904F50"/>
    <w:rsid w:val="00904F70"/>
    <w:rsid w:val="00905086"/>
    <w:rsid w:val="009053BC"/>
    <w:rsid w:val="0090554A"/>
    <w:rsid w:val="009055BD"/>
    <w:rsid w:val="009057DD"/>
    <w:rsid w:val="00905807"/>
    <w:rsid w:val="00905CB1"/>
    <w:rsid w:val="00905D00"/>
    <w:rsid w:val="00905DD1"/>
    <w:rsid w:val="00906080"/>
    <w:rsid w:val="00906623"/>
    <w:rsid w:val="00906757"/>
    <w:rsid w:val="0090691D"/>
    <w:rsid w:val="00907576"/>
    <w:rsid w:val="00907CB5"/>
    <w:rsid w:val="00907DA0"/>
    <w:rsid w:val="009101A6"/>
    <w:rsid w:val="00910205"/>
    <w:rsid w:val="00910C23"/>
    <w:rsid w:val="00910C57"/>
    <w:rsid w:val="00910E2F"/>
    <w:rsid w:val="009114E1"/>
    <w:rsid w:val="0091160A"/>
    <w:rsid w:val="00911878"/>
    <w:rsid w:val="00911A64"/>
    <w:rsid w:val="00911B08"/>
    <w:rsid w:val="0091233F"/>
    <w:rsid w:val="00912F9D"/>
    <w:rsid w:val="00913492"/>
    <w:rsid w:val="009135C4"/>
    <w:rsid w:val="00913DD4"/>
    <w:rsid w:val="00914D0E"/>
    <w:rsid w:val="00914E19"/>
    <w:rsid w:val="00914E39"/>
    <w:rsid w:val="009150E3"/>
    <w:rsid w:val="00915297"/>
    <w:rsid w:val="009155D6"/>
    <w:rsid w:val="00915687"/>
    <w:rsid w:val="009157B5"/>
    <w:rsid w:val="00915AAA"/>
    <w:rsid w:val="00915CBB"/>
    <w:rsid w:val="009160EB"/>
    <w:rsid w:val="009166F9"/>
    <w:rsid w:val="009167A4"/>
    <w:rsid w:val="00917A1E"/>
    <w:rsid w:val="009202BD"/>
    <w:rsid w:val="009204AB"/>
    <w:rsid w:val="009209DA"/>
    <w:rsid w:val="009212A8"/>
    <w:rsid w:val="00921348"/>
    <w:rsid w:val="00921D29"/>
    <w:rsid w:val="009220E9"/>
    <w:rsid w:val="00922258"/>
    <w:rsid w:val="00922597"/>
    <w:rsid w:val="0092266A"/>
    <w:rsid w:val="00922A76"/>
    <w:rsid w:val="00922F98"/>
    <w:rsid w:val="0092300B"/>
    <w:rsid w:val="009233BD"/>
    <w:rsid w:val="0092379B"/>
    <w:rsid w:val="00923D3E"/>
    <w:rsid w:val="00923FB0"/>
    <w:rsid w:val="0092449C"/>
    <w:rsid w:val="00924B82"/>
    <w:rsid w:val="00924F6A"/>
    <w:rsid w:val="00924FF4"/>
    <w:rsid w:val="0092506C"/>
    <w:rsid w:val="0092521B"/>
    <w:rsid w:val="00925CEA"/>
    <w:rsid w:val="00926250"/>
    <w:rsid w:val="00930158"/>
    <w:rsid w:val="00930601"/>
    <w:rsid w:val="0093109F"/>
    <w:rsid w:val="0093113C"/>
    <w:rsid w:val="00931177"/>
    <w:rsid w:val="00931277"/>
    <w:rsid w:val="009312E2"/>
    <w:rsid w:val="00931766"/>
    <w:rsid w:val="00931866"/>
    <w:rsid w:val="00931884"/>
    <w:rsid w:val="00931D6F"/>
    <w:rsid w:val="00931F21"/>
    <w:rsid w:val="009322C9"/>
    <w:rsid w:val="00932326"/>
    <w:rsid w:val="00932432"/>
    <w:rsid w:val="009325BA"/>
    <w:rsid w:val="00932AFF"/>
    <w:rsid w:val="00932B7F"/>
    <w:rsid w:val="00933162"/>
    <w:rsid w:val="009334D5"/>
    <w:rsid w:val="009334F2"/>
    <w:rsid w:val="00933A17"/>
    <w:rsid w:val="00933AC0"/>
    <w:rsid w:val="00933C65"/>
    <w:rsid w:val="00933DA1"/>
    <w:rsid w:val="00933ED8"/>
    <w:rsid w:val="00933FA5"/>
    <w:rsid w:val="009340E8"/>
    <w:rsid w:val="00934138"/>
    <w:rsid w:val="0093419E"/>
    <w:rsid w:val="00934248"/>
    <w:rsid w:val="009342AB"/>
    <w:rsid w:val="00934320"/>
    <w:rsid w:val="009345DC"/>
    <w:rsid w:val="00934DAC"/>
    <w:rsid w:val="00934FBE"/>
    <w:rsid w:val="0093532A"/>
    <w:rsid w:val="00935C2F"/>
    <w:rsid w:val="00935C8F"/>
    <w:rsid w:val="00935C99"/>
    <w:rsid w:val="00935D75"/>
    <w:rsid w:val="00935E9F"/>
    <w:rsid w:val="0093613E"/>
    <w:rsid w:val="00936D9C"/>
    <w:rsid w:val="00936DD7"/>
    <w:rsid w:val="00937131"/>
    <w:rsid w:val="009373C3"/>
    <w:rsid w:val="00937445"/>
    <w:rsid w:val="0093751A"/>
    <w:rsid w:val="00937D72"/>
    <w:rsid w:val="00937F3C"/>
    <w:rsid w:val="009407AE"/>
    <w:rsid w:val="00940F6F"/>
    <w:rsid w:val="00941143"/>
    <w:rsid w:val="00941CDA"/>
    <w:rsid w:val="00941E6E"/>
    <w:rsid w:val="00941F71"/>
    <w:rsid w:val="00942303"/>
    <w:rsid w:val="009424E2"/>
    <w:rsid w:val="00943000"/>
    <w:rsid w:val="00943223"/>
    <w:rsid w:val="009435AC"/>
    <w:rsid w:val="009438AC"/>
    <w:rsid w:val="00943A0F"/>
    <w:rsid w:val="00944259"/>
    <w:rsid w:val="009445FF"/>
    <w:rsid w:val="00944BB6"/>
    <w:rsid w:val="00944D2C"/>
    <w:rsid w:val="00944DD2"/>
    <w:rsid w:val="00945044"/>
    <w:rsid w:val="00945070"/>
    <w:rsid w:val="0094540C"/>
    <w:rsid w:val="00945623"/>
    <w:rsid w:val="009459E9"/>
    <w:rsid w:val="00945D4A"/>
    <w:rsid w:val="00945D8D"/>
    <w:rsid w:val="00945EF9"/>
    <w:rsid w:val="00945F44"/>
    <w:rsid w:val="00945F94"/>
    <w:rsid w:val="009460B4"/>
    <w:rsid w:val="009461AB"/>
    <w:rsid w:val="00946349"/>
    <w:rsid w:val="00946612"/>
    <w:rsid w:val="00946710"/>
    <w:rsid w:val="009467E6"/>
    <w:rsid w:val="00946FED"/>
    <w:rsid w:val="0094748D"/>
    <w:rsid w:val="00947B19"/>
    <w:rsid w:val="00947B2B"/>
    <w:rsid w:val="00947D95"/>
    <w:rsid w:val="0095053A"/>
    <w:rsid w:val="009505CE"/>
    <w:rsid w:val="009505FC"/>
    <w:rsid w:val="00950954"/>
    <w:rsid w:val="0095097B"/>
    <w:rsid w:val="00950D1D"/>
    <w:rsid w:val="00951333"/>
    <w:rsid w:val="00951397"/>
    <w:rsid w:val="0095164B"/>
    <w:rsid w:val="00951738"/>
    <w:rsid w:val="00951749"/>
    <w:rsid w:val="0095175D"/>
    <w:rsid w:val="0095178B"/>
    <w:rsid w:val="00952025"/>
    <w:rsid w:val="00952253"/>
    <w:rsid w:val="00952716"/>
    <w:rsid w:val="00953A6C"/>
    <w:rsid w:val="00953B09"/>
    <w:rsid w:val="00953C9E"/>
    <w:rsid w:val="00954013"/>
    <w:rsid w:val="009542E1"/>
    <w:rsid w:val="00954324"/>
    <w:rsid w:val="0095440D"/>
    <w:rsid w:val="009545E2"/>
    <w:rsid w:val="00954679"/>
    <w:rsid w:val="00954761"/>
    <w:rsid w:val="00954A8D"/>
    <w:rsid w:val="00954CC1"/>
    <w:rsid w:val="009550E0"/>
    <w:rsid w:val="009553B5"/>
    <w:rsid w:val="009555FB"/>
    <w:rsid w:val="00955770"/>
    <w:rsid w:val="00955F8D"/>
    <w:rsid w:val="00955FAD"/>
    <w:rsid w:val="00956061"/>
    <w:rsid w:val="00956086"/>
    <w:rsid w:val="009562DC"/>
    <w:rsid w:val="00956305"/>
    <w:rsid w:val="00956C41"/>
    <w:rsid w:val="00956E33"/>
    <w:rsid w:val="00956F9B"/>
    <w:rsid w:val="009570C3"/>
    <w:rsid w:val="00957240"/>
    <w:rsid w:val="00957488"/>
    <w:rsid w:val="00957861"/>
    <w:rsid w:val="00960198"/>
    <w:rsid w:val="00960525"/>
    <w:rsid w:val="0096068E"/>
    <w:rsid w:val="00960975"/>
    <w:rsid w:val="00960B0B"/>
    <w:rsid w:val="00960D5B"/>
    <w:rsid w:val="00960D6A"/>
    <w:rsid w:val="00960E56"/>
    <w:rsid w:val="00961285"/>
    <w:rsid w:val="009614AD"/>
    <w:rsid w:val="009615B8"/>
    <w:rsid w:val="009618F0"/>
    <w:rsid w:val="00961B98"/>
    <w:rsid w:val="00961BC2"/>
    <w:rsid w:val="00961C10"/>
    <w:rsid w:val="00962563"/>
    <w:rsid w:val="009625BF"/>
    <w:rsid w:val="009625E2"/>
    <w:rsid w:val="009628C2"/>
    <w:rsid w:val="00962939"/>
    <w:rsid w:val="00962E6E"/>
    <w:rsid w:val="00963099"/>
    <w:rsid w:val="009630D7"/>
    <w:rsid w:val="00963AE6"/>
    <w:rsid w:val="00963F03"/>
    <w:rsid w:val="00963FAE"/>
    <w:rsid w:val="009646C1"/>
    <w:rsid w:val="00964706"/>
    <w:rsid w:val="0096478E"/>
    <w:rsid w:val="009647C6"/>
    <w:rsid w:val="009648E8"/>
    <w:rsid w:val="00964940"/>
    <w:rsid w:val="00964E25"/>
    <w:rsid w:val="009652CA"/>
    <w:rsid w:val="00965491"/>
    <w:rsid w:val="0096561C"/>
    <w:rsid w:val="00965766"/>
    <w:rsid w:val="009657C5"/>
    <w:rsid w:val="009659A5"/>
    <w:rsid w:val="00966462"/>
    <w:rsid w:val="00966476"/>
    <w:rsid w:val="00966541"/>
    <w:rsid w:val="009666B9"/>
    <w:rsid w:val="00966A9E"/>
    <w:rsid w:val="00966D5C"/>
    <w:rsid w:val="00967FA1"/>
    <w:rsid w:val="00970141"/>
    <w:rsid w:val="0097054B"/>
    <w:rsid w:val="00970700"/>
    <w:rsid w:val="00970A11"/>
    <w:rsid w:val="00970C2A"/>
    <w:rsid w:val="00970D24"/>
    <w:rsid w:val="00970E0B"/>
    <w:rsid w:val="00970F61"/>
    <w:rsid w:val="0097127A"/>
    <w:rsid w:val="009712A1"/>
    <w:rsid w:val="00971700"/>
    <w:rsid w:val="009717D2"/>
    <w:rsid w:val="009718DF"/>
    <w:rsid w:val="00971BC9"/>
    <w:rsid w:val="00971E17"/>
    <w:rsid w:val="00971F17"/>
    <w:rsid w:val="00971FB6"/>
    <w:rsid w:val="00972112"/>
    <w:rsid w:val="0097279D"/>
    <w:rsid w:val="00972A4C"/>
    <w:rsid w:val="0097317D"/>
    <w:rsid w:val="009735CA"/>
    <w:rsid w:val="009737F2"/>
    <w:rsid w:val="009738AE"/>
    <w:rsid w:val="00973911"/>
    <w:rsid w:val="00973B39"/>
    <w:rsid w:val="009749D4"/>
    <w:rsid w:val="00974A56"/>
    <w:rsid w:val="00974C90"/>
    <w:rsid w:val="00975374"/>
    <w:rsid w:val="009754D3"/>
    <w:rsid w:val="00975928"/>
    <w:rsid w:val="00975980"/>
    <w:rsid w:val="00975B17"/>
    <w:rsid w:val="00975B92"/>
    <w:rsid w:val="009761D4"/>
    <w:rsid w:val="00976659"/>
    <w:rsid w:val="0097679E"/>
    <w:rsid w:val="00976BD5"/>
    <w:rsid w:val="00976FEF"/>
    <w:rsid w:val="00977262"/>
    <w:rsid w:val="00977391"/>
    <w:rsid w:val="009775D4"/>
    <w:rsid w:val="00977817"/>
    <w:rsid w:val="00977893"/>
    <w:rsid w:val="00977A42"/>
    <w:rsid w:val="00977DB0"/>
    <w:rsid w:val="00977E0B"/>
    <w:rsid w:val="009801F0"/>
    <w:rsid w:val="0098027F"/>
    <w:rsid w:val="00980610"/>
    <w:rsid w:val="00980646"/>
    <w:rsid w:val="0098092A"/>
    <w:rsid w:val="00980A17"/>
    <w:rsid w:val="00980A4B"/>
    <w:rsid w:val="00980BDC"/>
    <w:rsid w:val="00980C3B"/>
    <w:rsid w:val="00980E85"/>
    <w:rsid w:val="009810D5"/>
    <w:rsid w:val="00981483"/>
    <w:rsid w:val="00981609"/>
    <w:rsid w:val="009818D0"/>
    <w:rsid w:val="00982733"/>
    <w:rsid w:val="009827F9"/>
    <w:rsid w:val="00982A5B"/>
    <w:rsid w:val="00982D09"/>
    <w:rsid w:val="00982D66"/>
    <w:rsid w:val="009839E8"/>
    <w:rsid w:val="00983AB3"/>
    <w:rsid w:val="00983B0D"/>
    <w:rsid w:val="00983C4A"/>
    <w:rsid w:val="00983EAF"/>
    <w:rsid w:val="00983FAC"/>
    <w:rsid w:val="0098412B"/>
    <w:rsid w:val="009845A0"/>
    <w:rsid w:val="009847FD"/>
    <w:rsid w:val="00984972"/>
    <w:rsid w:val="00984AE2"/>
    <w:rsid w:val="00984B86"/>
    <w:rsid w:val="00984BA3"/>
    <w:rsid w:val="00984FB5"/>
    <w:rsid w:val="009853B8"/>
    <w:rsid w:val="009854FC"/>
    <w:rsid w:val="00985515"/>
    <w:rsid w:val="009858B9"/>
    <w:rsid w:val="00985B2B"/>
    <w:rsid w:val="00985C50"/>
    <w:rsid w:val="00985D69"/>
    <w:rsid w:val="00986091"/>
    <w:rsid w:val="0098637E"/>
    <w:rsid w:val="00986824"/>
    <w:rsid w:val="009868EF"/>
    <w:rsid w:val="00986A17"/>
    <w:rsid w:val="00986C0B"/>
    <w:rsid w:val="00986DE3"/>
    <w:rsid w:val="00986E44"/>
    <w:rsid w:val="00987207"/>
    <w:rsid w:val="009876B6"/>
    <w:rsid w:val="00987887"/>
    <w:rsid w:val="009879E1"/>
    <w:rsid w:val="00987A9C"/>
    <w:rsid w:val="00987ABA"/>
    <w:rsid w:val="00987B88"/>
    <w:rsid w:val="00990647"/>
    <w:rsid w:val="00990AD3"/>
    <w:rsid w:val="00990E73"/>
    <w:rsid w:val="00991266"/>
    <w:rsid w:val="009912FB"/>
    <w:rsid w:val="0099191D"/>
    <w:rsid w:val="00991B78"/>
    <w:rsid w:val="00991B9A"/>
    <w:rsid w:val="00991D9B"/>
    <w:rsid w:val="00991EB9"/>
    <w:rsid w:val="00992105"/>
    <w:rsid w:val="0099214C"/>
    <w:rsid w:val="009922A2"/>
    <w:rsid w:val="00992493"/>
    <w:rsid w:val="009927B3"/>
    <w:rsid w:val="00992850"/>
    <w:rsid w:val="009929AB"/>
    <w:rsid w:val="00992B16"/>
    <w:rsid w:val="009932E1"/>
    <w:rsid w:val="009934C1"/>
    <w:rsid w:val="009935B7"/>
    <w:rsid w:val="009939AD"/>
    <w:rsid w:val="00993BA5"/>
    <w:rsid w:val="00993FF8"/>
    <w:rsid w:val="00994124"/>
    <w:rsid w:val="00994322"/>
    <w:rsid w:val="009943C3"/>
    <w:rsid w:val="009950E7"/>
    <w:rsid w:val="009952A6"/>
    <w:rsid w:val="009952AC"/>
    <w:rsid w:val="00995373"/>
    <w:rsid w:val="00995468"/>
    <w:rsid w:val="00995B38"/>
    <w:rsid w:val="009967FA"/>
    <w:rsid w:val="00996889"/>
    <w:rsid w:val="009969EB"/>
    <w:rsid w:val="00996B79"/>
    <w:rsid w:val="00997006"/>
    <w:rsid w:val="00997256"/>
    <w:rsid w:val="009976DD"/>
    <w:rsid w:val="009978C1"/>
    <w:rsid w:val="00997C2A"/>
    <w:rsid w:val="00997C41"/>
    <w:rsid w:val="00997C65"/>
    <w:rsid w:val="009A099E"/>
    <w:rsid w:val="009A0A6B"/>
    <w:rsid w:val="009A0C50"/>
    <w:rsid w:val="009A0E1D"/>
    <w:rsid w:val="009A0EE1"/>
    <w:rsid w:val="009A0EEA"/>
    <w:rsid w:val="009A12B3"/>
    <w:rsid w:val="009A150F"/>
    <w:rsid w:val="009A1702"/>
    <w:rsid w:val="009A18FD"/>
    <w:rsid w:val="009A1F1F"/>
    <w:rsid w:val="009A206B"/>
    <w:rsid w:val="009A228F"/>
    <w:rsid w:val="009A24CF"/>
    <w:rsid w:val="009A256B"/>
    <w:rsid w:val="009A28B9"/>
    <w:rsid w:val="009A323C"/>
    <w:rsid w:val="009A3473"/>
    <w:rsid w:val="009A367F"/>
    <w:rsid w:val="009A36BA"/>
    <w:rsid w:val="009A3B1A"/>
    <w:rsid w:val="009A3B43"/>
    <w:rsid w:val="009A44AF"/>
    <w:rsid w:val="009A4770"/>
    <w:rsid w:val="009A5AAA"/>
    <w:rsid w:val="009A5BB1"/>
    <w:rsid w:val="009A5EB2"/>
    <w:rsid w:val="009A5F5C"/>
    <w:rsid w:val="009A5F77"/>
    <w:rsid w:val="009A623B"/>
    <w:rsid w:val="009A6491"/>
    <w:rsid w:val="009A67D0"/>
    <w:rsid w:val="009A6948"/>
    <w:rsid w:val="009A6EA2"/>
    <w:rsid w:val="009A7390"/>
    <w:rsid w:val="009A73F5"/>
    <w:rsid w:val="009A7606"/>
    <w:rsid w:val="009A78F4"/>
    <w:rsid w:val="009A7FB3"/>
    <w:rsid w:val="009B00C4"/>
    <w:rsid w:val="009B035B"/>
    <w:rsid w:val="009B053C"/>
    <w:rsid w:val="009B0722"/>
    <w:rsid w:val="009B11B4"/>
    <w:rsid w:val="009B1647"/>
    <w:rsid w:val="009B16AC"/>
    <w:rsid w:val="009B1910"/>
    <w:rsid w:val="009B25FD"/>
    <w:rsid w:val="009B2746"/>
    <w:rsid w:val="009B28CC"/>
    <w:rsid w:val="009B2E65"/>
    <w:rsid w:val="009B2F46"/>
    <w:rsid w:val="009B313B"/>
    <w:rsid w:val="009B3186"/>
    <w:rsid w:val="009B36F2"/>
    <w:rsid w:val="009B3A67"/>
    <w:rsid w:val="009B3B8D"/>
    <w:rsid w:val="009B3C4B"/>
    <w:rsid w:val="009B4284"/>
    <w:rsid w:val="009B42FF"/>
    <w:rsid w:val="009B449F"/>
    <w:rsid w:val="009B4DC2"/>
    <w:rsid w:val="009B4E8D"/>
    <w:rsid w:val="009B4F33"/>
    <w:rsid w:val="009B5370"/>
    <w:rsid w:val="009B54F0"/>
    <w:rsid w:val="009B5628"/>
    <w:rsid w:val="009B572A"/>
    <w:rsid w:val="009B588F"/>
    <w:rsid w:val="009B5F1A"/>
    <w:rsid w:val="009B5F6E"/>
    <w:rsid w:val="009B620B"/>
    <w:rsid w:val="009B629A"/>
    <w:rsid w:val="009B63EF"/>
    <w:rsid w:val="009B656E"/>
    <w:rsid w:val="009B65A8"/>
    <w:rsid w:val="009B670F"/>
    <w:rsid w:val="009B6758"/>
    <w:rsid w:val="009B68CA"/>
    <w:rsid w:val="009B6C2B"/>
    <w:rsid w:val="009B6DC4"/>
    <w:rsid w:val="009B6F5B"/>
    <w:rsid w:val="009B72A5"/>
    <w:rsid w:val="009B72AD"/>
    <w:rsid w:val="009B79F3"/>
    <w:rsid w:val="009B7C51"/>
    <w:rsid w:val="009C005A"/>
    <w:rsid w:val="009C012A"/>
    <w:rsid w:val="009C027E"/>
    <w:rsid w:val="009C02E3"/>
    <w:rsid w:val="009C0784"/>
    <w:rsid w:val="009C07C0"/>
    <w:rsid w:val="009C0833"/>
    <w:rsid w:val="009C0B3C"/>
    <w:rsid w:val="009C0C13"/>
    <w:rsid w:val="009C0C69"/>
    <w:rsid w:val="009C1235"/>
    <w:rsid w:val="009C12B9"/>
    <w:rsid w:val="009C1623"/>
    <w:rsid w:val="009C16C5"/>
    <w:rsid w:val="009C1DE7"/>
    <w:rsid w:val="009C2031"/>
    <w:rsid w:val="009C2072"/>
    <w:rsid w:val="009C27AC"/>
    <w:rsid w:val="009C2DD7"/>
    <w:rsid w:val="009C2F1C"/>
    <w:rsid w:val="009C3107"/>
    <w:rsid w:val="009C3434"/>
    <w:rsid w:val="009C358E"/>
    <w:rsid w:val="009C38A1"/>
    <w:rsid w:val="009C3A4A"/>
    <w:rsid w:val="009C3BCC"/>
    <w:rsid w:val="009C41E0"/>
    <w:rsid w:val="009C4395"/>
    <w:rsid w:val="009C4571"/>
    <w:rsid w:val="009C45F2"/>
    <w:rsid w:val="009C4657"/>
    <w:rsid w:val="009C47C3"/>
    <w:rsid w:val="009C4D67"/>
    <w:rsid w:val="009C54E0"/>
    <w:rsid w:val="009C54FE"/>
    <w:rsid w:val="009C56AE"/>
    <w:rsid w:val="009C5C65"/>
    <w:rsid w:val="009C5D98"/>
    <w:rsid w:val="009C5E17"/>
    <w:rsid w:val="009C6652"/>
    <w:rsid w:val="009C6BF0"/>
    <w:rsid w:val="009C6C62"/>
    <w:rsid w:val="009C6D3B"/>
    <w:rsid w:val="009C6DBC"/>
    <w:rsid w:val="009C6DCA"/>
    <w:rsid w:val="009C6E87"/>
    <w:rsid w:val="009C7032"/>
    <w:rsid w:val="009C71DA"/>
    <w:rsid w:val="009C764D"/>
    <w:rsid w:val="009C7CEC"/>
    <w:rsid w:val="009C7D25"/>
    <w:rsid w:val="009C7F35"/>
    <w:rsid w:val="009D070C"/>
    <w:rsid w:val="009D0A8D"/>
    <w:rsid w:val="009D0C0F"/>
    <w:rsid w:val="009D0D54"/>
    <w:rsid w:val="009D12F1"/>
    <w:rsid w:val="009D1929"/>
    <w:rsid w:val="009D2003"/>
    <w:rsid w:val="009D21B9"/>
    <w:rsid w:val="009D25EF"/>
    <w:rsid w:val="009D2603"/>
    <w:rsid w:val="009D266E"/>
    <w:rsid w:val="009D2EBC"/>
    <w:rsid w:val="009D3493"/>
    <w:rsid w:val="009D3ACA"/>
    <w:rsid w:val="009D3B07"/>
    <w:rsid w:val="009D3CAF"/>
    <w:rsid w:val="009D3D8C"/>
    <w:rsid w:val="009D3F23"/>
    <w:rsid w:val="009D4385"/>
    <w:rsid w:val="009D43C0"/>
    <w:rsid w:val="009D452D"/>
    <w:rsid w:val="009D4592"/>
    <w:rsid w:val="009D48A7"/>
    <w:rsid w:val="009D48E3"/>
    <w:rsid w:val="009D4914"/>
    <w:rsid w:val="009D4925"/>
    <w:rsid w:val="009D4F72"/>
    <w:rsid w:val="009D55EA"/>
    <w:rsid w:val="009D56EE"/>
    <w:rsid w:val="009D5855"/>
    <w:rsid w:val="009D5919"/>
    <w:rsid w:val="009D5929"/>
    <w:rsid w:val="009D5989"/>
    <w:rsid w:val="009D5A79"/>
    <w:rsid w:val="009D5BCB"/>
    <w:rsid w:val="009D5D90"/>
    <w:rsid w:val="009D5E4C"/>
    <w:rsid w:val="009D63DC"/>
    <w:rsid w:val="009D64E9"/>
    <w:rsid w:val="009D6596"/>
    <w:rsid w:val="009D6854"/>
    <w:rsid w:val="009D6B87"/>
    <w:rsid w:val="009D6CE7"/>
    <w:rsid w:val="009D6FC8"/>
    <w:rsid w:val="009D700E"/>
    <w:rsid w:val="009D73E0"/>
    <w:rsid w:val="009D77F6"/>
    <w:rsid w:val="009D7A84"/>
    <w:rsid w:val="009D7D7A"/>
    <w:rsid w:val="009D7DA4"/>
    <w:rsid w:val="009E0018"/>
    <w:rsid w:val="009E0288"/>
    <w:rsid w:val="009E02E9"/>
    <w:rsid w:val="009E0608"/>
    <w:rsid w:val="009E06FD"/>
    <w:rsid w:val="009E0CBC"/>
    <w:rsid w:val="009E0FB1"/>
    <w:rsid w:val="009E13E2"/>
    <w:rsid w:val="009E151C"/>
    <w:rsid w:val="009E1759"/>
    <w:rsid w:val="009E1891"/>
    <w:rsid w:val="009E193C"/>
    <w:rsid w:val="009E1951"/>
    <w:rsid w:val="009E1D69"/>
    <w:rsid w:val="009E1D82"/>
    <w:rsid w:val="009E1D95"/>
    <w:rsid w:val="009E1F29"/>
    <w:rsid w:val="009E2100"/>
    <w:rsid w:val="009E2539"/>
    <w:rsid w:val="009E26A1"/>
    <w:rsid w:val="009E26A8"/>
    <w:rsid w:val="009E28CA"/>
    <w:rsid w:val="009E297B"/>
    <w:rsid w:val="009E2BB9"/>
    <w:rsid w:val="009E2CA1"/>
    <w:rsid w:val="009E2F2A"/>
    <w:rsid w:val="009E3326"/>
    <w:rsid w:val="009E34A1"/>
    <w:rsid w:val="009E3590"/>
    <w:rsid w:val="009E36B1"/>
    <w:rsid w:val="009E3914"/>
    <w:rsid w:val="009E3A3A"/>
    <w:rsid w:val="009E3AD3"/>
    <w:rsid w:val="009E407D"/>
    <w:rsid w:val="009E418F"/>
    <w:rsid w:val="009E4448"/>
    <w:rsid w:val="009E459F"/>
    <w:rsid w:val="009E460F"/>
    <w:rsid w:val="009E4708"/>
    <w:rsid w:val="009E472F"/>
    <w:rsid w:val="009E47F2"/>
    <w:rsid w:val="009E4EAE"/>
    <w:rsid w:val="009E54A7"/>
    <w:rsid w:val="009E6664"/>
    <w:rsid w:val="009E6978"/>
    <w:rsid w:val="009E6D24"/>
    <w:rsid w:val="009E715A"/>
    <w:rsid w:val="009E72EF"/>
    <w:rsid w:val="009E7453"/>
    <w:rsid w:val="009E7A10"/>
    <w:rsid w:val="009E7A1E"/>
    <w:rsid w:val="009E7AC6"/>
    <w:rsid w:val="009E7E1D"/>
    <w:rsid w:val="009F05FF"/>
    <w:rsid w:val="009F0784"/>
    <w:rsid w:val="009F0A13"/>
    <w:rsid w:val="009F0EE0"/>
    <w:rsid w:val="009F11C9"/>
    <w:rsid w:val="009F120E"/>
    <w:rsid w:val="009F1359"/>
    <w:rsid w:val="009F1491"/>
    <w:rsid w:val="009F1825"/>
    <w:rsid w:val="009F2112"/>
    <w:rsid w:val="009F237A"/>
    <w:rsid w:val="009F2392"/>
    <w:rsid w:val="009F243C"/>
    <w:rsid w:val="009F24CD"/>
    <w:rsid w:val="009F257B"/>
    <w:rsid w:val="009F269D"/>
    <w:rsid w:val="009F297C"/>
    <w:rsid w:val="009F310A"/>
    <w:rsid w:val="009F3433"/>
    <w:rsid w:val="009F385C"/>
    <w:rsid w:val="009F38ED"/>
    <w:rsid w:val="009F3943"/>
    <w:rsid w:val="009F397C"/>
    <w:rsid w:val="009F3A3E"/>
    <w:rsid w:val="009F3BA8"/>
    <w:rsid w:val="009F3F3E"/>
    <w:rsid w:val="009F4161"/>
    <w:rsid w:val="009F4187"/>
    <w:rsid w:val="009F4421"/>
    <w:rsid w:val="009F49D5"/>
    <w:rsid w:val="009F5153"/>
    <w:rsid w:val="009F53B6"/>
    <w:rsid w:val="009F5765"/>
    <w:rsid w:val="009F57BE"/>
    <w:rsid w:val="009F591A"/>
    <w:rsid w:val="009F59C1"/>
    <w:rsid w:val="009F5C6D"/>
    <w:rsid w:val="009F60A1"/>
    <w:rsid w:val="009F648D"/>
    <w:rsid w:val="009F7020"/>
    <w:rsid w:val="009F7090"/>
    <w:rsid w:val="009F70B0"/>
    <w:rsid w:val="009F73E4"/>
    <w:rsid w:val="009F76DE"/>
    <w:rsid w:val="009F771D"/>
    <w:rsid w:val="009F77A6"/>
    <w:rsid w:val="009F7877"/>
    <w:rsid w:val="009F7887"/>
    <w:rsid w:val="009F7894"/>
    <w:rsid w:val="009F78F5"/>
    <w:rsid w:val="009F79E4"/>
    <w:rsid w:val="009F7A52"/>
    <w:rsid w:val="009F7AC5"/>
    <w:rsid w:val="009F7C26"/>
    <w:rsid w:val="009F7ECA"/>
    <w:rsid w:val="00A000A5"/>
    <w:rsid w:val="00A000C1"/>
    <w:rsid w:val="00A000DE"/>
    <w:rsid w:val="00A0076D"/>
    <w:rsid w:val="00A00ADF"/>
    <w:rsid w:val="00A01848"/>
    <w:rsid w:val="00A01A6F"/>
    <w:rsid w:val="00A01BF9"/>
    <w:rsid w:val="00A0237A"/>
    <w:rsid w:val="00A023EB"/>
    <w:rsid w:val="00A0257C"/>
    <w:rsid w:val="00A0291A"/>
    <w:rsid w:val="00A03196"/>
    <w:rsid w:val="00A032CD"/>
    <w:rsid w:val="00A03438"/>
    <w:rsid w:val="00A034DA"/>
    <w:rsid w:val="00A0377C"/>
    <w:rsid w:val="00A03839"/>
    <w:rsid w:val="00A03E20"/>
    <w:rsid w:val="00A03EF7"/>
    <w:rsid w:val="00A03FCA"/>
    <w:rsid w:val="00A042D3"/>
    <w:rsid w:val="00A0439F"/>
    <w:rsid w:val="00A04519"/>
    <w:rsid w:val="00A04533"/>
    <w:rsid w:val="00A04580"/>
    <w:rsid w:val="00A04659"/>
    <w:rsid w:val="00A048A7"/>
    <w:rsid w:val="00A04D50"/>
    <w:rsid w:val="00A04F04"/>
    <w:rsid w:val="00A05026"/>
    <w:rsid w:val="00A05410"/>
    <w:rsid w:val="00A0547C"/>
    <w:rsid w:val="00A059B0"/>
    <w:rsid w:val="00A05A60"/>
    <w:rsid w:val="00A06198"/>
    <w:rsid w:val="00A06360"/>
    <w:rsid w:val="00A06531"/>
    <w:rsid w:val="00A06544"/>
    <w:rsid w:val="00A067AA"/>
    <w:rsid w:val="00A0693F"/>
    <w:rsid w:val="00A06968"/>
    <w:rsid w:val="00A06BE3"/>
    <w:rsid w:val="00A06BE7"/>
    <w:rsid w:val="00A06EE2"/>
    <w:rsid w:val="00A0765F"/>
    <w:rsid w:val="00A077F2"/>
    <w:rsid w:val="00A079ED"/>
    <w:rsid w:val="00A07A85"/>
    <w:rsid w:val="00A07D54"/>
    <w:rsid w:val="00A1023F"/>
    <w:rsid w:val="00A10283"/>
    <w:rsid w:val="00A1039D"/>
    <w:rsid w:val="00A103C0"/>
    <w:rsid w:val="00A1068C"/>
    <w:rsid w:val="00A10FB2"/>
    <w:rsid w:val="00A10FCA"/>
    <w:rsid w:val="00A1122E"/>
    <w:rsid w:val="00A11239"/>
    <w:rsid w:val="00A11648"/>
    <w:rsid w:val="00A11AD5"/>
    <w:rsid w:val="00A11C58"/>
    <w:rsid w:val="00A11C6A"/>
    <w:rsid w:val="00A11D2A"/>
    <w:rsid w:val="00A11DA5"/>
    <w:rsid w:val="00A12380"/>
    <w:rsid w:val="00A124C7"/>
    <w:rsid w:val="00A128B5"/>
    <w:rsid w:val="00A12C0A"/>
    <w:rsid w:val="00A12DA3"/>
    <w:rsid w:val="00A12DCC"/>
    <w:rsid w:val="00A13048"/>
    <w:rsid w:val="00A1313B"/>
    <w:rsid w:val="00A1345A"/>
    <w:rsid w:val="00A134BF"/>
    <w:rsid w:val="00A134D6"/>
    <w:rsid w:val="00A13720"/>
    <w:rsid w:val="00A139EE"/>
    <w:rsid w:val="00A13C20"/>
    <w:rsid w:val="00A13C99"/>
    <w:rsid w:val="00A13E76"/>
    <w:rsid w:val="00A141B4"/>
    <w:rsid w:val="00A145CB"/>
    <w:rsid w:val="00A148BA"/>
    <w:rsid w:val="00A14929"/>
    <w:rsid w:val="00A14B83"/>
    <w:rsid w:val="00A14BC9"/>
    <w:rsid w:val="00A14D60"/>
    <w:rsid w:val="00A1504A"/>
    <w:rsid w:val="00A15416"/>
    <w:rsid w:val="00A15E34"/>
    <w:rsid w:val="00A16082"/>
    <w:rsid w:val="00A16153"/>
    <w:rsid w:val="00A16192"/>
    <w:rsid w:val="00A16304"/>
    <w:rsid w:val="00A16477"/>
    <w:rsid w:val="00A16631"/>
    <w:rsid w:val="00A1683D"/>
    <w:rsid w:val="00A16CC6"/>
    <w:rsid w:val="00A16CCF"/>
    <w:rsid w:val="00A171A6"/>
    <w:rsid w:val="00A171A8"/>
    <w:rsid w:val="00A1756B"/>
    <w:rsid w:val="00A17D62"/>
    <w:rsid w:val="00A17DAE"/>
    <w:rsid w:val="00A17E83"/>
    <w:rsid w:val="00A20258"/>
    <w:rsid w:val="00A2042F"/>
    <w:rsid w:val="00A207EA"/>
    <w:rsid w:val="00A2094C"/>
    <w:rsid w:val="00A20AF3"/>
    <w:rsid w:val="00A21119"/>
    <w:rsid w:val="00A21206"/>
    <w:rsid w:val="00A212F4"/>
    <w:rsid w:val="00A213F0"/>
    <w:rsid w:val="00A2187F"/>
    <w:rsid w:val="00A21933"/>
    <w:rsid w:val="00A21FDD"/>
    <w:rsid w:val="00A22189"/>
    <w:rsid w:val="00A2245F"/>
    <w:rsid w:val="00A2266F"/>
    <w:rsid w:val="00A22903"/>
    <w:rsid w:val="00A22EE6"/>
    <w:rsid w:val="00A22FA5"/>
    <w:rsid w:val="00A22FDC"/>
    <w:rsid w:val="00A2310C"/>
    <w:rsid w:val="00A2319F"/>
    <w:rsid w:val="00A2326A"/>
    <w:rsid w:val="00A232C3"/>
    <w:rsid w:val="00A23365"/>
    <w:rsid w:val="00A23472"/>
    <w:rsid w:val="00A23481"/>
    <w:rsid w:val="00A234FE"/>
    <w:rsid w:val="00A236B2"/>
    <w:rsid w:val="00A2380D"/>
    <w:rsid w:val="00A23954"/>
    <w:rsid w:val="00A239D2"/>
    <w:rsid w:val="00A24053"/>
    <w:rsid w:val="00A2438F"/>
    <w:rsid w:val="00A246EF"/>
    <w:rsid w:val="00A24AA2"/>
    <w:rsid w:val="00A24C24"/>
    <w:rsid w:val="00A259A0"/>
    <w:rsid w:val="00A25EBF"/>
    <w:rsid w:val="00A26271"/>
    <w:rsid w:val="00A26ADF"/>
    <w:rsid w:val="00A26D09"/>
    <w:rsid w:val="00A26D51"/>
    <w:rsid w:val="00A26F82"/>
    <w:rsid w:val="00A27317"/>
    <w:rsid w:val="00A27E80"/>
    <w:rsid w:val="00A302D5"/>
    <w:rsid w:val="00A30703"/>
    <w:rsid w:val="00A30899"/>
    <w:rsid w:val="00A309AB"/>
    <w:rsid w:val="00A30B7A"/>
    <w:rsid w:val="00A30D22"/>
    <w:rsid w:val="00A30D85"/>
    <w:rsid w:val="00A30E6F"/>
    <w:rsid w:val="00A310FE"/>
    <w:rsid w:val="00A31889"/>
    <w:rsid w:val="00A31A01"/>
    <w:rsid w:val="00A31B6D"/>
    <w:rsid w:val="00A31C63"/>
    <w:rsid w:val="00A31CC2"/>
    <w:rsid w:val="00A31E33"/>
    <w:rsid w:val="00A32322"/>
    <w:rsid w:val="00A32438"/>
    <w:rsid w:val="00A3244B"/>
    <w:rsid w:val="00A32CF0"/>
    <w:rsid w:val="00A33088"/>
    <w:rsid w:val="00A3324D"/>
    <w:rsid w:val="00A338F5"/>
    <w:rsid w:val="00A33BC1"/>
    <w:rsid w:val="00A33EB8"/>
    <w:rsid w:val="00A33F13"/>
    <w:rsid w:val="00A34058"/>
    <w:rsid w:val="00A34130"/>
    <w:rsid w:val="00A3447D"/>
    <w:rsid w:val="00A348A1"/>
    <w:rsid w:val="00A34D5B"/>
    <w:rsid w:val="00A34FD2"/>
    <w:rsid w:val="00A35376"/>
    <w:rsid w:val="00A35686"/>
    <w:rsid w:val="00A35697"/>
    <w:rsid w:val="00A356C0"/>
    <w:rsid w:val="00A359FC"/>
    <w:rsid w:val="00A35BEB"/>
    <w:rsid w:val="00A35D69"/>
    <w:rsid w:val="00A3633A"/>
    <w:rsid w:val="00A36596"/>
    <w:rsid w:val="00A3677D"/>
    <w:rsid w:val="00A36957"/>
    <w:rsid w:val="00A36C75"/>
    <w:rsid w:val="00A36E48"/>
    <w:rsid w:val="00A36E5F"/>
    <w:rsid w:val="00A36F23"/>
    <w:rsid w:val="00A37299"/>
    <w:rsid w:val="00A37305"/>
    <w:rsid w:val="00A37676"/>
    <w:rsid w:val="00A378D9"/>
    <w:rsid w:val="00A379EC"/>
    <w:rsid w:val="00A40234"/>
    <w:rsid w:val="00A40580"/>
    <w:rsid w:val="00A405C8"/>
    <w:rsid w:val="00A40705"/>
    <w:rsid w:val="00A407B2"/>
    <w:rsid w:val="00A40C83"/>
    <w:rsid w:val="00A41284"/>
    <w:rsid w:val="00A41716"/>
    <w:rsid w:val="00A41BB8"/>
    <w:rsid w:val="00A41D0C"/>
    <w:rsid w:val="00A41E0A"/>
    <w:rsid w:val="00A42125"/>
    <w:rsid w:val="00A421AC"/>
    <w:rsid w:val="00A4276D"/>
    <w:rsid w:val="00A42817"/>
    <w:rsid w:val="00A428C3"/>
    <w:rsid w:val="00A428E7"/>
    <w:rsid w:val="00A42A87"/>
    <w:rsid w:val="00A42FA7"/>
    <w:rsid w:val="00A430EC"/>
    <w:rsid w:val="00A432C3"/>
    <w:rsid w:val="00A432F6"/>
    <w:rsid w:val="00A43689"/>
    <w:rsid w:val="00A43A4A"/>
    <w:rsid w:val="00A43BC2"/>
    <w:rsid w:val="00A43D03"/>
    <w:rsid w:val="00A44456"/>
    <w:rsid w:val="00A444CA"/>
    <w:rsid w:val="00A446F4"/>
    <w:rsid w:val="00A44772"/>
    <w:rsid w:val="00A447F2"/>
    <w:rsid w:val="00A44A77"/>
    <w:rsid w:val="00A452BE"/>
    <w:rsid w:val="00A453BC"/>
    <w:rsid w:val="00A454E9"/>
    <w:rsid w:val="00A4586E"/>
    <w:rsid w:val="00A45A8B"/>
    <w:rsid w:val="00A45AE3"/>
    <w:rsid w:val="00A45DA1"/>
    <w:rsid w:val="00A466D7"/>
    <w:rsid w:val="00A4674C"/>
    <w:rsid w:val="00A467FD"/>
    <w:rsid w:val="00A46956"/>
    <w:rsid w:val="00A46A84"/>
    <w:rsid w:val="00A46ACA"/>
    <w:rsid w:val="00A46E4C"/>
    <w:rsid w:val="00A46F1B"/>
    <w:rsid w:val="00A47173"/>
    <w:rsid w:val="00A4728D"/>
    <w:rsid w:val="00A472F5"/>
    <w:rsid w:val="00A4738F"/>
    <w:rsid w:val="00A47459"/>
    <w:rsid w:val="00A47486"/>
    <w:rsid w:val="00A47940"/>
    <w:rsid w:val="00A4798A"/>
    <w:rsid w:val="00A479A1"/>
    <w:rsid w:val="00A47EB9"/>
    <w:rsid w:val="00A500A9"/>
    <w:rsid w:val="00A5018A"/>
    <w:rsid w:val="00A504AF"/>
    <w:rsid w:val="00A504EE"/>
    <w:rsid w:val="00A50509"/>
    <w:rsid w:val="00A5092E"/>
    <w:rsid w:val="00A50A57"/>
    <w:rsid w:val="00A50F40"/>
    <w:rsid w:val="00A51399"/>
    <w:rsid w:val="00A51719"/>
    <w:rsid w:val="00A51C91"/>
    <w:rsid w:val="00A52A01"/>
    <w:rsid w:val="00A52B8A"/>
    <w:rsid w:val="00A52DC1"/>
    <w:rsid w:val="00A52F28"/>
    <w:rsid w:val="00A52F4B"/>
    <w:rsid w:val="00A53249"/>
    <w:rsid w:val="00A5329F"/>
    <w:rsid w:val="00A53320"/>
    <w:rsid w:val="00A5365F"/>
    <w:rsid w:val="00A537A2"/>
    <w:rsid w:val="00A53B07"/>
    <w:rsid w:val="00A53BCF"/>
    <w:rsid w:val="00A53CD2"/>
    <w:rsid w:val="00A54355"/>
    <w:rsid w:val="00A54696"/>
    <w:rsid w:val="00A547B6"/>
    <w:rsid w:val="00A54990"/>
    <w:rsid w:val="00A54E2A"/>
    <w:rsid w:val="00A552B9"/>
    <w:rsid w:val="00A55389"/>
    <w:rsid w:val="00A55546"/>
    <w:rsid w:val="00A55760"/>
    <w:rsid w:val="00A55981"/>
    <w:rsid w:val="00A5640C"/>
    <w:rsid w:val="00A56874"/>
    <w:rsid w:val="00A56AE9"/>
    <w:rsid w:val="00A56DC8"/>
    <w:rsid w:val="00A5729A"/>
    <w:rsid w:val="00A575C3"/>
    <w:rsid w:val="00A57626"/>
    <w:rsid w:val="00A57A1D"/>
    <w:rsid w:val="00A57B16"/>
    <w:rsid w:val="00A60026"/>
    <w:rsid w:val="00A604A3"/>
    <w:rsid w:val="00A604CC"/>
    <w:rsid w:val="00A60749"/>
    <w:rsid w:val="00A60F4D"/>
    <w:rsid w:val="00A61174"/>
    <w:rsid w:val="00A61649"/>
    <w:rsid w:val="00A618A5"/>
    <w:rsid w:val="00A61EDD"/>
    <w:rsid w:val="00A62345"/>
    <w:rsid w:val="00A623EB"/>
    <w:rsid w:val="00A628E2"/>
    <w:rsid w:val="00A62AA1"/>
    <w:rsid w:val="00A62BE8"/>
    <w:rsid w:val="00A62E70"/>
    <w:rsid w:val="00A62EC5"/>
    <w:rsid w:val="00A63159"/>
    <w:rsid w:val="00A63316"/>
    <w:rsid w:val="00A633DD"/>
    <w:rsid w:val="00A635C2"/>
    <w:rsid w:val="00A63AF2"/>
    <w:rsid w:val="00A63EC8"/>
    <w:rsid w:val="00A63F27"/>
    <w:rsid w:val="00A647C4"/>
    <w:rsid w:val="00A64D3C"/>
    <w:rsid w:val="00A64E57"/>
    <w:rsid w:val="00A65005"/>
    <w:rsid w:val="00A65059"/>
    <w:rsid w:val="00A6517A"/>
    <w:rsid w:val="00A65B84"/>
    <w:rsid w:val="00A65DE1"/>
    <w:rsid w:val="00A662A6"/>
    <w:rsid w:val="00A66543"/>
    <w:rsid w:val="00A66720"/>
    <w:rsid w:val="00A6691E"/>
    <w:rsid w:val="00A669EF"/>
    <w:rsid w:val="00A67123"/>
    <w:rsid w:val="00A672CA"/>
    <w:rsid w:val="00A67992"/>
    <w:rsid w:val="00A67A0A"/>
    <w:rsid w:val="00A67B5D"/>
    <w:rsid w:val="00A67BF9"/>
    <w:rsid w:val="00A70313"/>
    <w:rsid w:val="00A703BA"/>
    <w:rsid w:val="00A70485"/>
    <w:rsid w:val="00A709BA"/>
    <w:rsid w:val="00A709C0"/>
    <w:rsid w:val="00A70ACE"/>
    <w:rsid w:val="00A70AE4"/>
    <w:rsid w:val="00A70AF7"/>
    <w:rsid w:val="00A70B56"/>
    <w:rsid w:val="00A71534"/>
    <w:rsid w:val="00A71941"/>
    <w:rsid w:val="00A71AD4"/>
    <w:rsid w:val="00A71B8F"/>
    <w:rsid w:val="00A72058"/>
    <w:rsid w:val="00A7253E"/>
    <w:rsid w:val="00A726FC"/>
    <w:rsid w:val="00A7272B"/>
    <w:rsid w:val="00A7276D"/>
    <w:rsid w:val="00A72904"/>
    <w:rsid w:val="00A72AE0"/>
    <w:rsid w:val="00A72BAD"/>
    <w:rsid w:val="00A72E30"/>
    <w:rsid w:val="00A72E51"/>
    <w:rsid w:val="00A73751"/>
    <w:rsid w:val="00A737AC"/>
    <w:rsid w:val="00A74786"/>
    <w:rsid w:val="00A74A2C"/>
    <w:rsid w:val="00A74AC2"/>
    <w:rsid w:val="00A750E3"/>
    <w:rsid w:val="00A752F0"/>
    <w:rsid w:val="00A754C7"/>
    <w:rsid w:val="00A756D1"/>
    <w:rsid w:val="00A75721"/>
    <w:rsid w:val="00A7586C"/>
    <w:rsid w:val="00A75DC8"/>
    <w:rsid w:val="00A765B7"/>
    <w:rsid w:val="00A7668F"/>
    <w:rsid w:val="00A76692"/>
    <w:rsid w:val="00A7678B"/>
    <w:rsid w:val="00A76CB7"/>
    <w:rsid w:val="00A76FBA"/>
    <w:rsid w:val="00A77326"/>
    <w:rsid w:val="00A774A6"/>
    <w:rsid w:val="00A77708"/>
    <w:rsid w:val="00A77BD0"/>
    <w:rsid w:val="00A80027"/>
    <w:rsid w:val="00A80046"/>
    <w:rsid w:val="00A8059B"/>
    <w:rsid w:val="00A805CC"/>
    <w:rsid w:val="00A807B8"/>
    <w:rsid w:val="00A80A60"/>
    <w:rsid w:val="00A81502"/>
    <w:rsid w:val="00A81572"/>
    <w:rsid w:val="00A8187C"/>
    <w:rsid w:val="00A823DB"/>
    <w:rsid w:val="00A82697"/>
    <w:rsid w:val="00A82E85"/>
    <w:rsid w:val="00A8348E"/>
    <w:rsid w:val="00A834EA"/>
    <w:rsid w:val="00A83B90"/>
    <w:rsid w:val="00A83BD9"/>
    <w:rsid w:val="00A83BE0"/>
    <w:rsid w:val="00A83FB1"/>
    <w:rsid w:val="00A8433B"/>
    <w:rsid w:val="00A846F3"/>
    <w:rsid w:val="00A847AD"/>
    <w:rsid w:val="00A84AB2"/>
    <w:rsid w:val="00A84ADD"/>
    <w:rsid w:val="00A854B5"/>
    <w:rsid w:val="00A85578"/>
    <w:rsid w:val="00A855B5"/>
    <w:rsid w:val="00A856EE"/>
    <w:rsid w:val="00A85846"/>
    <w:rsid w:val="00A85902"/>
    <w:rsid w:val="00A85BE9"/>
    <w:rsid w:val="00A85C26"/>
    <w:rsid w:val="00A86008"/>
    <w:rsid w:val="00A86252"/>
    <w:rsid w:val="00A865DE"/>
    <w:rsid w:val="00A867E9"/>
    <w:rsid w:val="00A86890"/>
    <w:rsid w:val="00A86C3A"/>
    <w:rsid w:val="00A86D3A"/>
    <w:rsid w:val="00A86F33"/>
    <w:rsid w:val="00A86FA9"/>
    <w:rsid w:val="00A87079"/>
    <w:rsid w:val="00A870F4"/>
    <w:rsid w:val="00A8798E"/>
    <w:rsid w:val="00A87A88"/>
    <w:rsid w:val="00A87C20"/>
    <w:rsid w:val="00A9002F"/>
    <w:rsid w:val="00A90357"/>
    <w:rsid w:val="00A903D6"/>
    <w:rsid w:val="00A907C2"/>
    <w:rsid w:val="00A90A1D"/>
    <w:rsid w:val="00A91115"/>
    <w:rsid w:val="00A91644"/>
    <w:rsid w:val="00A9195B"/>
    <w:rsid w:val="00A91E11"/>
    <w:rsid w:val="00A91EAB"/>
    <w:rsid w:val="00A92209"/>
    <w:rsid w:val="00A92257"/>
    <w:rsid w:val="00A928BA"/>
    <w:rsid w:val="00A92CE6"/>
    <w:rsid w:val="00A92D55"/>
    <w:rsid w:val="00A92ED6"/>
    <w:rsid w:val="00A92FBF"/>
    <w:rsid w:val="00A93291"/>
    <w:rsid w:val="00A932C8"/>
    <w:rsid w:val="00A93370"/>
    <w:rsid w:val="00A9371F"/>
    <w:rsid w:val="00A937AD"/>
    <w:rsid w:val="00A9390D"/>
    <w:rsid w:val="00A9397C"/>
    <w:rsid w:val="00A94083"/>
    <w:rsid w:val="00A94575"/>
    <w:rsid w:val="00A949A4"/>
    <w:rsid w:val="00A94B1D"/>
    <w:rsid w:val="00A94E5D"/>
    <w:rsid w:val="00A94EC2"/>
    <w:rsid w:val="00A95777"/>
    <w:rsid w:val="00A957FF"/>
    <w:rsid w:val="00A95ABE"/>
    <w:rsid w:val="00A95B2B"/>
    <w:rsid w:val="00A96385"/>
    <w:rsid w:val="00A96644"/>
    <w:rsid w:val="00A968E8"/>
    <w:rsid w:val="00A968F3"/>
    <w:rsid w:val="00A96A37"/>
    <w:rsid w:val="00A96E2D"/>
    <w:rsid w:val="00A96E95"/>
    <w:rsid w:val="00A97195"/>
    <w:rsid w:val="00A978FF"/>
    <w:rsid w:val="00A9795F"/>
    <w:rsid w:val="00A97EA8"/>
    <w:rsid w:val="00AA0184"/>
    <w:rsid w:val="00AA0449"/>
    <w:rsid w:val="00AA065E"/>
    <w:rsid w:val="00AA0816"/>
    <w:rsid w:val="00AA0989"/>
    <w:rsid w:val="00AA0A8A"/>
    <w:rsid w:val="00AA0F75"/>
    <w:rsid w:val="00AA0FFC"/>
    <w:rsid w:val="00AA1132"/>
    <w:rsid w:val="00AA1621"/>
    <w:rsid w:val="00AA226E"/>
    <w:rsid w:val="00AA22EC"/>
    <w:rsid w:val="00AA23E1"/>
    <w:rsid w:val="00AA2807"/>
    <w:rsid w:val="00AA28E1"/>
    <w:rsid w:val="00AA2A3B"/>
    <w:rsid w:val="00AA2B84"/>
    <w:rsid w:val="00AA3BDB"/>
    <w:rsid w:val="00AA3ED0"/>
    <w:rsid w:val="00AA4264"/>
    <w:rsid w:val="00AA45C6"/>
    <w:rsid w:val="00AA45DA"/>
    <w:rsid w:val="00AA463F"/>
    <w:rsid w:val="00AA46CE"/>
    <w:rsid w:val="00AA4AF0"/>
    <w:rsid w:val="00AA4C68"/>
    <w:rsid w:val="00AA51C9"/>
    <w:rsid w:val="00AA57C4"/>
    <w:rsid w:val="00AA57D0"/>
    <w:rsid w:val="00AA5982"/>
    <w:rsid w:val="00AA5A56"/>
    <w:rsid w:val="00AA5A9C"/>
    <w:rsid w:val="00AA5DBE"/>
    <w:rsid w:val="00AA681E"/>
    <w:rsid w:val="00AA7149"/>
    <w:rsid w:val="00AA71B0"/>
    <w:rsid w:val="00AA7275"/>
    <w:rsid w:val="00AA7459"/>
    <w:rsid w:val="00AA7514"/>
    <w:rsid w:val="00AA753F"/>
    <w:rsid w:val="00AA7707"/>
    <w:rsid w:val="00AA77D3"/>
    <w:rsid w:val="00AB02A3"/>
    <w:rsid w:val="00AB02AA"/>
    <w:rsid w:val="00AB0562"/>
    <w:rsid w:val="00AB06CE"/>
    <w:rsid w:val="00AB06F0"/>
    <w:rsid w:val="00AB0811"/>
    <w:rsid w:val="00AB08E3"/>
    <w:rsid w:val="00AB11BD"/>
    <w:rsid w:val="00AB1271"/>
    <w:rsid w:val="00AB14EA"/>
    <w:rsid w:val="00AB19BC"/>
    <w:rsid w:val="00AB1AC4"/>
    <w:rsid w:val="00AB1C7A"/>
    <w:rsid w:val="00AB1E49"/>
    <w:rsid w:val="00AB238C"/>
    <w:rsid w:val="00AB23C3"/>
    <w:rsid w:val="00AB24B4"/>
    <w:rsid w:val="00AB297D"/>
    <w:rsid w:val="00AB29AA"/>
    <w:rsid w:val="00AB29BA"/>
    <w:rsid w:val="00AB2C43"/>
    <w:rsid w:val="00AB3451"/>
    <w:rsid w:val="00AB3553"/>
    <w:rsid w:val="00AB4189"/>
    <w:rsid w:val="00AB42D5"/>
    <w:rsid w:val="00AB4705"/>
    <w:rsid w:val="00AB50BA"/>
    <w:rsid w:val="00AB515A"/>
    <w:rsid w:val="00AB51D1"/>
    <w:rsid w:val="00AB5347"/>
    <w:rsid w:val="00AB53D2"/>
    <w:rsid w:val="00AB54DA"/>
    <w:rsid w:val="00AB5862"/>
    <w:rsid w:val="00AB5972"/>
    <w:rsid w:val="00AB5B3C"/>
    <w:rsid w:val="00AB627A"/>
    <w:rsid w:val="00AB62CB"/>
    <w:rsid w:val="00AB648C"/>
    <w:rsid w:val="00AB6C99"/>
    <w:rsid w:val="00AB6FCC"/>
    <w:rsid w:val="00AB70B3"/>
    <w:rsid w:val="00AB72CE"/>
    <w:rsid w:val="00AB74FC"/>
    <w:rsid w:val="00AB7682"/>
    <w:rsid w:val="00AB7862"/>
    <w:rsid w:val="00AB7C9C"/>
    <w:rsid w:val="00AB7E74"/>
    <w:rsid w:val="00AB7EF9"/>
    <w:rsid w:val="00AB7FA9"/>
    <w:rsid w:val="00AC053B"/>
    <w:rsid w:val="00AC0CA2"/>
    <w:rsid w:val="00AC1109"/>
    <w:rsid w:val="00AC11AB"/>
    <w:rsid w:val="00AC15C9"/>
    <w:rsid w:val="00AC176B"/>
    <w:rsid w:val="00AC1A3D"/>
    <w:rsid w:val="00AC20C7"/>
    <w:rsid w:val="00AC21B2"/>
    <w:rsid w:val="00AC2234"/>
    <w:rsid w:val="00AC2980"/>
    <w:rsid w:val="00AC2CC5"/>
    <w:rsid w:val="00AC2D23"/>
    <w:rsid w:val="00AC2EA1"/>
    <w:rsid w:val="00AC328B"/>
    <w:rsid w:val="00AC356E"/>
    <w:rsid w:val="00AC398F"/>
    <w:rsid w:val="00AC3B4D"/>
    <w:rsid w:val="00AC3E1F"/>
    <w:rsid w:val="00AC45B4"/>
    <w:rsid w:val="00AC4970"/>
    <w:rsid w:val="00AC4C41"/>
    <w:rsid w:val="00AC4C6B"/>
    <w:rsid w:val="00AC4EBF"/>
    <w:rsid w:val="00AC4ED9"/>
    <w:rsid w:val="00AC4F57"/>
    <w:rsid w:val="00AC4FAD"/>
    <w:rsid w:val="00AC51E0"/>
    <w:rsid w:val="00AC5299"/>
    <w:rsid w:val="00AC5451"/>
    <w:rsid w:val="00AC56F6"/>
    <w:rsid w:val="00AC57BA"/>
    <w:rsid w:val="00AC592A"/>
    <w:rsid w:val="00AC59C3"/>
    <w:rsid w:val="00AC5B50"/>
    <w:rsid w:val="00AC6013"/>
    <w:rsid w:val="00AC6146"/>
    <w:rsid w:val="00AC6489"/>
    <w:rsid w:val="00AC687B"/>
    <w:rsid w:val="00AC68B7"/>
    <w:rsid w:val="00AC6A49"/>
    <w:rsid w:val="00AC6A66"/>
    <w:rsid w:val="00AC6D46"/>
    <w:rsid w:val="00AC6F38"/>
    <w:rsid w:val="00AC7121"/>
    <w:rsid w:val="00AC7586"/>
    <w:rsid w:val="00AC777B"/>
    <w:rsid w:val="00AC781A"/>
    <w:rsid w:val="00AC7A32"/>
    <w:rsid w:val="00AD026A"/>
    <w:rsid w:val="00AD04D2"/>
    <w:rsid w:val="00AD087D"/>
    <w:rsid w:val="00AD08A1"/>
    <w:rsid w:val="00AD090C"/>
    <w:rsid w:val="00AD0AE1"/>
    <w:rsid w:val="00AD0FA3"/>
    <w:rsid w:val="00AD123A"/>
    <w:rsid w:val="00AD1B23"/>
    <w:rsid w:val="00AD1BC6"/>
    <w:rsid w:val="00AD1CCA"/>
    <w:rsid w:val="00AD1E0B"/>
    <w:rsid w:val="00AD2390"/>
    <w:rsid w:val="00AD24A7"/>
    <w:rsid w:val="00AD2798"/>
    <w:rsid w:val="00AD2975"/>
    <w:rsid w:val="00AD2B35"/>
    <w:rsid w:val="00AD2B64"/>
    <w:rsid w:val="00AD2BFC"/>
    <w:rsid w:val="00AD2E7B"/>
    <w:rsid w:val="00AD32B4"/>
    <w:rsid w:val="00AD33AE"/>
    <w:rsid w:val="00AD34B1"/>
    <w:rsid w:val="00AD36A0"/>
    <w:rsid w:val="00AD370C"/>
    <w:rsid w:val="00AD39B9"/>
    <w:rsid w:val="00AD3D85"/>
    <w:rsid w:val="00AD3E82"/>
    <w:rsid w:val="00AD3F8D"/>
    <w:rsid w:val="00AD3FFF"/>
    <w:rsid w:val="00AD4047"/>
    <w:rsid w:val="00AD447F"/>
    <w:rsid w:val="00AD4BD7"/>
    <w:rsid w:val="00AD4CE7"/>
    <w:rsid w:val="00AD5151"/>
    <w:rsid w:val="00AD5B9B"/>
    <w:rsid w:val="00AD5DCA"/>
    <w:rsid w:val="00AD5EC7"/>
    <w:rsid w:val="00AD5F76"/>
    <w:rsid w:val="00AD6078"/>
    <w:rsid w:val="00AD6162"/>
    <w:rsid w:val="00AD64EF"/>
    <w:rsid w:val="00AD66C2"/>
    <w:rsid w:val="00AD6779"/>
    <w:rsid w:val="00AD6B51"/>
    <w:rsid w:val="00AD6F4B"/>
    <w:rsid w:val="00AD77E4"/>
    <w:rsid w:val="00AD78B2"/>
    <w:rsid w:val="00AD796A"/>
    <w:rsid w:val="00AD7A9A"/>
    <w:rsid w:val="00AD7AD0"/>
    <w:rsid w:val="00AE00A3"/>
    <w:rsid w:val="00AE02E6"/>
    <w:rsid w:val="00AE0A00"/>
    <w:rsid w:val="00AE0ADB"/>
    <w:rsid w:val="00AE0CCB"/>
    <w:rsid w:val="00AE15BC"/>
    <w:rsid w:val="00AE16DD"/>
    <w:rsid w:val="00AE17DE"/>
    <w:rsid w:val="00AE2323"/>
    <w:rsid w:val="00AE24FE"/>
    <w:rsid w:val="00AE29CC"/>
    <w:rsid w:val="00AE2C27"/>
    <w:rsid w:val="00AE2FF9"/>
    <w:rsid w:val="00AE3131"/>
    <w:rsid w:val="00AE31AC"/>
    <w:rsid w:val="00AE3259"/>
    <w:rsid w:val="00AE3396"/>
    <w:rsid w:val="00AE33F4"/>
    <w:rsid w:val="00AE3B4A"/>
    <w:rsid w:val="00AE3C51"/>
    <w:rsid w:val="00AE4224"/>
    <w:rsid w:val="00AE42DC"/>
    <w:rsid w:val="00AE4A6B"/>
    <w:rsid w:val="00AE5318"/>
    <w:rsid w:val="00AE5947"/>
    <w:rsid w:val="00AE5A8E"/>
    <w:rsid w:val="00AE5C37"/>
    <w:rsid w:val="00AE5D54"/>
    <w:rsid w:val="00AE6103"/>
    <w:rsid w:val="00AE610D"/>
    <w:rsid w:val="00AE653A"/>
    <w:rsid w:val="00AE67BB"/>
    <w:rsid w:val="00AE6AD6"/>
    <w:rsid w:val="00AE6F26"/>
    <w:rsid w:val="00AE70DF"/>
    <w:rsid w:val="00AE7204"/>
    <w:rsid w:val="00AE72B1"/>
    <w:rsid w:val="00AE72E0"/>
    <w:rsid w:val="00AE72FB"/>
    <w:rsid w:val="00AE7440"/>
    <w:rsid w:val="00AE75B8"/>
    <w:rsid w:val="00AE7821"/>
    <w:rsid w:val="00AE7C06"/>
    <w:rsid w:val="00AE7E64"/>
    <w:rsid w:val="00AE7E6A"/>
    <w:rsid w:val="00AE7E9B"/>
    <w:rsid w:val="00AE7FF6"/>
    <w:rsid w:val="00AF00CF"/>
    <w:rsid w:val="00AF0395"/>
    <w:rsid w:val="00AF0937"/>
    <w:rsid w:val="00AF094F"/>
    <w:rsid w:val="00AF0CEC"/>
    <w:rsid w:val="00AF1364"/>
    <w:rsid w:val="00AF16AE"/>
    <w:rsid w:val="00AF191F"/>
    <w:rsid w:val="00AF1C63"/>
    <w:rsid w:val="00AF1CD0"/>
    <w:rsid w:val="00AF1F01"/>
    <w:rsid w:val="00AF2053"/>
    <w:rsid w:val="00AF20C1"/>
    <w:rsid w:val="00AF2197"/>
    <w:rsid w:val="00AF23F8"/>
    <w:rsid w:val="00AF2439"/>
    <w:rsid w:val="00AF26B6"/>
    <w:rsid w:val="00AF26DD"/>
    <w:rsid w:val="00AF2A10"/>
    <w:rsid w:val="00AF35FA"/>
    <w:rsid w:val="00AF375B"/>
    <w:rsid w:val="00AF378D"/>
    <w:rsid w:val="00AF3980"/>
    <w:rsid w:val="00AF39F8"/>
    <w:rsid w:val="00AF3D5E"/>
    <w:rsid w:val="00AF3FF1"/>
    <w:rsid w:val="00AF4606"/>
    <w:rsid w:val="00AF474C"/>
    <w:rsid w:val="00AF47E2"/>
    <w:rsid w:val="00AF493E"/>
    <w:rsid w:val="00AF4DCE"/>
    <w:rsid w:val="00AF4EF3"/>
    <w:rsid w:val="00AF5013"/>
    <w:rsid w:val="00AF51A6"/>
    <w:rsid w:val="00AF536D"/>
    <w:rsid w:val="00AF5E67"/>
    <w:rsid w:val="00AF5F6C"/>
    <w:rsid w:val="00AF661F"/>
    <w:rsid w:val="00AF66CD"/>
    <w:rsid w:val="00AF6CA0"/>
    <w:rsid w:val="00AF7369"/>
    <w:rsid w:val="00AF7AD0"/>
    <w:rsid w:val="00AF7C4B"/>
    <w:rsid w:val="00AF7D67"/>
    <w:rsid w:val="00AF7DA7"/>
    <w:rsid w:val="00AF7F33"/>
    <w:rsid w:val="00B00888"/>
    <w:rsid w:val="00B00E34"/>
    <w:rsid w:val="00B010C5"/>
    <w:rsid w:val="00B010F5"/>
    <w:rsid w:val="00B015BF"/>
    <w:rsid w:val="00B017C4"/>
    <w:rsid w:val="00B018D6"/>
    <w:rsid w:val="00B01900"/>
    <w:rsid w:val="00B01AC3"/>
    <w:rsid w:val="00B01EC2"/>
    <w:rsid w:val="00B024CD"/>
    <w:rsid w:val="00B02707"/>
    <w:rsid w:val="00B032C5"/>
    <w:rsid w:val="00B035DC"/>
    <w:rsid w:val="00B03AF6"/>
    <w:rsid w:val="00B04253"/>
    <w:rsid w:val="00B042D2"/>
    <w:rsid w:val="00B044EC"/>
    <w:rsid w:val="00B0453B"/>
    <w:rsid w:val="00B04573"/>
    <w:rsid w:val="00B045FA"/>
    <w:rsid w:val="00B04C35"/>
    <w:rsid w:val="00B04DF3"/>
    <w:rsid w:val="00B04E45"/>
    <w:rsid w:val="00B04FF5"/>
    <w:rsid w:val="00B0511B"/>
    <w:rsid w:val="00B0555D"/>
    <w:rsid w:val="00B05585"/>
    <w:rsid w:val="00B05A69"/>
    <w:rsid w:val="00B05D22"/>
    <w:rsid w:val="00B05D39"/>
    <w:rsid w:val="00B05E6C"/>
    <w:rsid w:val="00B060C1"/>
    <w:rsid w:val="00B062E1"/>
    <w:rsid w:val="00B06C20"/>
    <w:rsid w:val="00B06EF2"/>
    <w:rsid w:val="00B07422"/>
    <w:rsid w:val="00B074A8"/>
    <w:rsid w:val="00B07C71"/>
    <w:rsid w:val="00B10260"/>
    <w:rsid w:val="00B10343"/>
    <w:rsid w:val="00B10420"/>
    <w:rsid w:val="00B10644"/>
    <w:rsid w:val="00B106DD"/>
    <w:rsid w:val="00B108CE"/>
    <w:rsid w:val="00B10A36"/>
    <w:rsid w:val="00B11154"/>
    <w:rsid w:val="00B11DA8"/>
    <w:rsid w:val="00B11ED9"/>
    <w:rsid w:val="00B11F2F"/>
    <w:rsid w:val="00B121F0"/>
    <w:rsid w:val="00B12359"/>
    <w:rsid w:val="00B12462"/>
    <w:rsid w:val="00B125C6"/>
    <w:rsid w:val="00B12AFA"/>
    <w:rsid w:val="00B12E78"/>
    <w:rsid w:val="00B13299"/>
    <w:rsid w:val="00B132E1"/>
    <w:rsid w:val="00B1338B"/>
    <w:rsid w:val="00B135E3"/>
    <w:rsid w:val="00B137DF"/>
    <w:rsid w:val="00B13877"/>
    <w:rsid w:val="00B13B3E"/>
    <w:rsid w:val="00B13CCD"/>
    <w:rsid w:val="00B13F99"/>
    <w:rsid w:val="00B144C3"/>
    <w:rsid w:val="00B14521"/>
    <w:rsid w:val="00B146DF"/>
    <w:rsid w:val="00B14A23"/>
    <w:rsid w:val="00B14A8D"/>
    <w:rsid w:val="00B14B0F"/>
    <w:rsid w:val="00B15033"/>
    <w:rsid w:val="00B15298"/>
    <w:rsid w:val="00B15446"/>
    <w:rsid w:val="00B1555D"/>
    <w:rsid w:val="00B15696"/>
    <w:rsid w:val="00B16007"/>
    <w:rsid w:val="00B160B1"/>
    <w:rsid w:val="00B16F31"/>
    <w:rsid w:val="00B170D6"/>
    <w:rsid w:val="00B17625"/>
    <w:rsid w:val="00B179DC"/>
    <w:rsid w:val="00B17A7A"/>
    <w:rsid w:val="00B17ABA"/>
    <w:rsid w:val="00B17AFA"/>
    <w:rsid w:val="00B17F2F"/>
    <w:rsid w:val="00B200F8"/>
    <w:rsid w:val="00B20995"/>
    <w:rsid w:val="00B20CFE"/>
    <w:rsid w:val="00B20EAC"/>
    <w:rsid w:val="00B210B3"/>
    <w:rsid w:val="00B210B6"/>
    <w:rsid w:val="00B214E2"/>
    <w:rsid w:val="00B21812"/>
    <w:rsid w:val="00B219BC"/>
    <w:rsid w:val="00B21BE3"/>
    <w:rsid w:val="00B220D4"/>
    <w:rsid w:val="00B220D7"/>
    <w:rsid w:val="00B22214"/>
    <w:rsid w:val="00B22221"/>
    <w:rsid w:val="00B22529"/>
    <w:rsid w:val="00B227A5"/>
    <w:rsid w:val="00B22A48"/>
    <w:rsid w:val="00B22B16"/>
    <w:rsid w:val="00B22CDC"/>
    <w:rsid w:val="00B2347C"/>
    <w:rsid w:val="00B236CF"/>
    <w:rsid w:val="00B238EF"/>
    <w:rsid w:val="00B23FC0"/>
    <w:rsid w:val="00B23FE0"/>
    <w:rsid w:val="00B245CE"/>
    <w:rsid w:val="00B24974"/>
    <w:rsid w:val="00B24A2E"/>
    <w:rsid w:val="00B24C87"/>
    <w:rsid w:val="00B24E27"/>
    <w:rsid w:val="00B25691"/>
    <w:rsid w:val="00B25EB8"/>
    <w:rsid w:val="00B25F3F"/>
    <w:rsid w:val="00B265A4"/>
    <w:rsid w:val="00B27425"/>
    <w:rsid w:val="00B3018F"/>
    <w:rsid w:val="00B3031F"/>
    <w:rsid w:val="00B307B7"/>
    <w:rsid w:val="00B30918"/>
    <w:rsid w:val="00B30B12"/>
    <w:rsid w:val="00B30D58"/>
    <w:rsid w:val="00B30F1A"/>
    <w:rsid w:val="00B310B1"/>
    <w:rsid w:val="00B312F7"/>
    <w:rsid w:val="00B313A3"/>
    <w:rsid w:val="00B313FC"/>
    <w:rsid w:val="00B3144A"/>
    <w:rsid w:val="00B316C0"/>
    <w:rsid w:val="00B316CC"/>
    <w:rsid w:val="00B31DC0"/>
    <w:rsid w:val="00B31FF9"/>
    <w:rsid w:val="00B32620"/>
    <w:rsid w:val="00B32623"/>
    <w:rsid w:val="00B32D7A"/>
    <w:rsid w:val="00B330E5"/>
    <w:rsid w:val="00B331D9"/>
    <w:rsid w:val="00B3320D"/>
    <w:rsid w:val="00B33EDD"/>
    <w:rsid w:val="00B33EF2"/>
    <w:rsid w:val="00B33F04"/>
    <w:rsid w:val="00B34159"/>
    <w:rsid w:val="00B341E9"/>
    <w:rsid w:val="00B343AD"/>
    <w:rsid w:val="00B3451B"/>
    <w:rsid w:val="00B34547"/>
    <w:rsid w:val="00B34B8D"/>
    <w:rsid w:val="00B34F37"/>
    <w:rsid w:val="00B35570"/>
    <w:rsid w:val="00B3558D"/>
    <w:rsid w:val="00B35737"/>
    <w:rsid w:val="00B35B99"/>
    <w:rsid w:val="00B35D85"/>
    <w:rsid w:val="00B36158"/>
    <w:rsid w:val="00B36190"/>
    <w:rsid w:val="00B36714"/>
    <w:rsid w:val="00B36859"/>
    <w:rsid w:val="00B36ACC"/>
    <w:rsid w:val="00B36B58"/>
    <w:rsid w:val="00B37041"/>
    <w:rsid w:val="00B371D0"/>
    <w:rsid w:val="00B377EF"/>
    <w:rsid w:val="00B37846"/>
    <w:rsid w:val="00B37B38"/>
    <w:rsid w:val="00B37B3A"/>
    <w:rsid w:val="00B37B83"/>
    <w:rsid w:val="00B37B85"/>
    <w:rsid w:val="00B37CC3"/>
    <w:rsid w:val="00B37CFE"/>
    <w:rsid w:val="00B40631"/>
    <w:rsid w:val="00B40891"/>
    <w:rsid w:val="00B4090A"/>
    <w:rsid w:val="00B40AE6"/>
    <w:rsid w:val="00B411F1"/>
    <w:rsid w:val="00B413B9"/>
    <w:rsid w:val="00B41EF1"/>
    <w:rsid w:val="00B42019"/>
    <w:rsid w:val="00B421C2"/>
    <w:rsid w:val="00B4237E"/>
    <w:rsid w:val="00B4279E"/>
    <w:rsid w:val="00B427E6"/>
    <w:rsid w:val="00B429B1"/>
    <w:rsid w:val="00B42ACF"/>
    <w:rsid w:val="00B42F6E"/>
    <w:rsid w:val="00B4312C"/>
    <w:rsid w:val="00B43173"/>
    <w:rsid w:val="00B43420"/>
    <w:rsid w:val="00B43982"/>
    <w:rsid w:val="00B439C9"/>
    <w:rsid w:val="00B43EB8"/>
    <w:rsid w:val="00B43F59"/>
    <w:rsid w:val="00B4407B"/>
    <w:rsid w:val="00B4430D"/>
    <w:rsid w:val="00B44366"/>
    <w:rsid w:val="00B44751"/>
    <w:rsid w:val="00B447BD"/>
    <w:rsid w:val="00B4501F"/>
    <w:rsid w:val="00B4542A"/>
    <w:rsid w:val="00B456AA"/>
    <w:rsid w:val="00B45709"/>
    <w:rsid w:val="00B46049"/>
    <w:rsid w:val="00B46057"/>
    <w:rsid w:val="00B46196"/>
    <w:rsid w:val="00B46DB0"/>
    <w:rsid w:val="00B46EC7"/>
    <w:rsid w:val="00B476DC"/>
    <w:rsid w:val="00B479D5"/>
    <w:rsid w:val="00B47EBE"/>
    <w:rsid w:val="00B47F85"/>
    <w:rsid w:val="00B47FEA"/>
    <w:rsid w:val="00B502D8"/>
    <w:rsid w:val="00B503B8"/>
    <w:rsid w:val="00B50530"/>
    <w:rsid w:val="00B5074C"/>
    <w:rsid w:val="00B5093B"/>
    <w:rsid w:val="00B50994"/>
    <w:rsid w:val="00B509FF"/>
    <w:rsid w:val="00B50C5F"/>
    <w:rsid w:val="00B50D65"/>
    <w:rsid w:val="00B516D7"/>
    <w:rsid w:val="00B516E3"/>
    <w:rsid w:val="00B51839"/>
    <w:rsid w:val="00B51B5A"/>
    <w:rsid w:val="00B51B70"/>
    <w:rsid w:val="00B51D7B"/>
    <w:rsid w:val="00B51F20"/>
    <w:rsid w:val="00B522F2"/>
    <w:rsid w:val="00B524CF"/>
    <w:rsid w:val="00B529F4"/>
    <w:rsid w:val="00B52E56"/>
    <w:rsid w:val="00B531D2"/>
    <w:rsid w:val="00B53A7E"/>
    <w:rsid w:val="00B53DB6"/>
    <w:rsid w:val="00B53FCF"/>
    <w:rsid w:val="00B5485C"/>
    <w:rsid w:val="00B5491B"/>
    <w:rsid w:val="00B54DAD"/>
    <w:rsid w:val="00B54F47"/>
    <w:rsid w:val="00B55265"/>
    <w:rsid w:val="00B55322"/>
    <w:rsid w:val="00B5577F"/>
    <w:rsid w:val="00B558E9"/>
    <w:rsid w:val="00B55D35"/>
    <w:rsid w:val="00B55DFE"/>
    <w:rsid w:val="00B55FDF"/>
    <w:rsid w:val="00B56102"/>
    <w:rsid w:val="00B5610E"/>
    <w:rsid w:val="00B56CC3"/>
    <w:rsid w:val="00B56D66"/>
    <w:rsid w:val="00B56FEB"/>
    <w:rsid w:val="00B5705F"/>
    <w:rsid w:val="00B5712D"/>
    <w:rsid w:val="00B575F5"/>
    <w:rsid w:val="00B578A2"/>
    <w:rsid w:val="00B57A7E"/>
    <w:rsid w:val="00B57B5F"/>
    <w:rsid w:val="00B57D72"/>
    <w:rsid w:val="00B600B4"/>
    <w:rsid w:val="00B603C2"/>
    <w:rsid w:val="00B6115A"/>
    <w:rsid w:val="00B61428"/>
    <w:rsid w:val="00B61ADC"/>
    <w:rsid w:val="00B61C58"/>
    <w:rsid w:val="00B62189"/>
    <w:rsid w:val="00B6258C"/>
    <w:rsid w:val="00B625B2"/>
    <w:rsid w:val="00B626B4"/>
    <w:rsid w:val="00B62752"/>
    <w:rsid w:val="00B627FC"/>
    <w:rsid w:val="00B62C5D"/>
    <w:rsid w:val="00B630B7"/>
    <w:rsid w:val="00B632E5"/>
    <w:rsid w:val="00B639A6"/>
    <w:rsid w:val="00B63B2B"/>
    <w:rsid w:val="00B63D5B"/>
    <w:rsid w:val="00B64121"/>
    <w:rsid w:val="00B641AF"/>
    <w:rsid w:val="00B642F0"/>
    <w:rsid w:val="00B6442B"/>
    <w:rsid w:val="00B64448"/>
    <w:rsid w:val="00B64519"/>
    <w:rsid w:val="00B6453D"/>
    <w:rsid w:val="00B6473E"/>
    <w:rsid w:val="00B64856"/>
    <w:rsid w:val="00B64AB7"/>
    <w:rsid w:val="00B64CD9"/>
    <w:rsid w:val="00B64FC6"/>
    <w:rsid w:val="00B65096"/>
    <w:rsid w:val="00B65183"/>
    <w:rsid w:val="00B6554E"/>
    <w:rsid w:val="00B655E9"/>
    <w:rsid w:val="00B655FE"/>
    <w:rsid w:val="00B65DAE"/>
    <w:rsid w:val="00B66505"/>
    <w:rsid w:val="00B66548"/>
    <w:rsid w:val="00B66889"/>
    <w:rsid w:val="00B6696F"/>
    <w:rsid w:val="00B66A0D"/>
    <w:rsid w:val="00B66BE0"/>
    <w:rsid w:val="00B6713C"/>
    <w:rsid w:val="00B67310"/>
    <w:rsid w:val="00B67904"/>
    <w:rsid w:val="00B67AE6"/>
    <w:rsid w:val="00B705BC"/>
    <w:rsid w:val="00B7075F"/>
    <w:rsid w:val="00B70E5B"/>
    <w:rsid w:val="00B70F4C"/>
    <w:rsid w:val="00B71AD4"/>
    <w:rsid w:val="00B71B7E"/>
    <w:rsid w:val="00B71C5D"/>
    <w:rsid w:val="00B71EB1"/>
    <w:rsid w:val="00B728CE"/>
    <w:rsid w:val="00B728DD"/>
    <w:rsid w:val="00B7292F"/>
    <w:rsid w:val="00B729B0"/>
    <w:rsid w:val="00B72A0E"/>
    <w:rsid w:val="00B72A7B"/>
    <w:rsid w:val="00B72A8C"/>
    <w:rsid w:val="00B72C10"/>
    <w:rsid w:val="00B72CAD"/>
    <w:rsid w:val="00B72D2E"/>
    <w:rsid w:val="00B72F38"/>
    <w:rsid w:val="00B73047"/>
    <w:rsid w:val="00B7321C"/>
    <w:rsid w:val="00B73394"/>
    <w:rsid w:val="00B73452"/>
    <w:rsid w:val="00B73538"/>
    <w:rsid w:val="00B73A2E"/>
    <w:rsid w:val="00B73F30"/>
    <w:rsid w:val="00B740FB"/>
    <w:rsid w:val="00B74845"/>
    <w:rsid w:val="00B7488C"/>
    <w:rsid w:val="00B74893"/>
    <w:rsid w:val="00B74D32"/>
    <w:rsid w:val="00B75061"/>
    <w:rsid w:val="00B75318"/>
    <w:rsid w:val="00B75325"/>
    <w:rsid w:val="00B7544A"/>
    <w:rsid w:val="00B7577E"/>
    <w:rsid w:val="00B7592E"/>
    <w:rsid w:val="00B759B4"/>
    <w:rsid w:val="00B7668E"/>
    <w:rsid w:val="00B7696D"/>
    <w:rsid w:val="00B76B1D"/>
    <w:rsid w:val="00B76D97"/>
    <w:rsid w:val="00B76F55"/>
    <w:rsid w:val="00B7708B"/>
    <w:rsid w:val="00B77384"/>
    <w:rsid w:val="00B773BF"/>
    <w:rsid w:val="00B77451"/>
    <w:rsid w:val="00B776CF"/>
    <w:rsid w:val="00B7788D"/>
    <w:rsid w:val="00B77C0A"/>
    <w:rsid w:val="00B77C51"/>
    <w:rsid w:val="00B77DE4"/>
    <w:rsid w:val="00B80015"/>
    <w:rsid w:val="00B8013B"/>
    <w:rsid w:val="00B805AA"/>
    <w:rsid w:val="00B8087F"/>
    <w:rsid w:val="00B80B98"/>
    <w:rsid w:val="00B81BA8"/>
    <w:rsid w:val="00B81E61"/>
    <w:rsid w:val="00B81FB5"/>
    <w:rsid w:val="00B825A9"/>
    <w:rsid w:val="00B82687"/>
    <w:rsid w:val="00B82A6A"/>
    <w:rsid w:val="00B82DB6"/>
    <w:rsid w:val="00B82EF4"/>
    <w:rsid w:val="00B83442"/>
    <w:rsid w:val="00B837D4"/>
    <w:rsid w:val="00B83E27"/>
    <w:rsid w:val="00B83E42"/>
    <w:rsid w:val="00B847BC"/>
    <w:rsid w:val="00B847C4"/>
    <w:rsid w:val="00B848CF"/>
    <w:rsid w:val="00B84D9E"/>
    <w:rsid w:val="00B851CA"/>
    <w:rsid w:val="00B85B72"/>
    <w:rsid w:val="00B86407"/>
    <w:rsid w:val="00B86560"/>
    <w:rsid w:val="00B86A7F"/>
    <w:rsid w:val="00B86A84"/>
    <w:rsid w:val="00B86CD7"/>
    <w:rsid w:val="00B86E85"/>
    <w:rsid w:val="00B8777A"/>
    <w:rsid w:val="00B87C0D"/>
    <w:rsid w:val="00B87CD7"/>
    <w:rsid w:val="00B87DDB"/>
    <w:rsid w:val="00B9011F"/>
    <w:rsid w:val="00B9062E"/>
    <w:rsid w:val="00B90907"/>
    <w:rsid w:val="00B90F0C"/>
    <w:rsid w:val="00B917CC"/>
    <w:rsid w:val="00B91C6E"/>
    <w:rsid w:val="00B91CC7"/>
    <w:rsid w:val="00B91F25"/>
    <w:rsid w:val="00B9209E"/>
    <w:rsid w:val="00B92413"/>
    <w:rsid w:val="00B927D1"/>
    <w:rsid w:val="00B928AC"/>
    <w:rsid w:val="00B92BA9"/>
    <w:rsid w:val="00B92FFB"/>
    <w:rsid w:val="00B931C2"/>
    <w:rsid w:val="00B9372A"/>
    <w:rsid w:val="00B93950"/>
    <w:rsid w:val="00B93965"/>
    <w:rsid w:val="00B939EB"/>
    <w:rsid w:val="00B94228"/>
    <w:rsid w:val="00B94530"/>
    <w:rsid w:val="00B94589"/>
    <w:rsid w:val="00B945FB"/>
    <w:rsid w:val="00B94657"/>
    <w:rsid w:val="00B94814"/>
    <w:rsid w:val="00B94E9B"/>
    <w:rsid w:val="00B950C7"/>
    <w:rsid w:val="00B951C0"/>
    <w:rsid w:val="00B952F1"/>
    <w:rsid w:val="00B953F9"/>
    <w:rsid w:val="00B955DD"/>
    <w:rsid w:val="00B95CB1"/>
    <w:rsid w:val="00B95D06"/>
    <w:rsid w:val="00B95EE2"/>
    <w:rsid w:val="00B960C0"/>
    <w:rsid w:val="00B96189"/>
    <w:rsid w:val="00B9659F"/>
    <w:rsid w:val="00B96756"/>
    <w:rsid w:val="00B96FCE"/>
    <w:rsid w:val="00B976B7"/>
    <w:rsid w:val="00B977BE"/>
    <w:rsid w:val="00B97923"/>
    <w:rsid w:val="00B9796E"/>
    <w:rsid w:val="00B97B5E"/>
    <w:rsid w:val="00BA0111"/>
    <w:rsid w:val="00BA0209"/>
    <w:rsid w:val="00BA0255"/>
    <w:rsid w:val="00BA0F7D"/>
    <w:rsid w:val="00BA0FBC"/>
    <w:rsid w:val="00BA1158"/>
    <w:rsid w:val="00BA1342"/>
    <w:rsid w:val="00BA164B"/>
    <w:rsid w:val="00BA16A7"/>
    <w:rsid w:val="00BA1C86"/>
    <w:rsid w:val="00BA1D9C"/>
    <w:rsid w:val="00BA1E8F"/>
    <w:rsid w:val="00BA1F33"/>
    <w:rsid w:val="00BA20FC"/>
    <w:rsid w:val="00BA22BC"/>
    <w:rsid w:val="00BA2366"/>
    <w:rsid w:val="00BA23CE"/>
    <w:rsid w:val="00BA243D"/>
    <w:rsid w:val="00BA261E"/>
    <w:rsid w:val="00BA27D9"/>
    <w:rsid w:val="00BA293B"/>
    <w:rsid w:val="00BA2AE5"/>
    <w:rsid w:val="00BA2E03"/>
    <w:rsid w:val="00BA37FC"/>
    <w:rsid w:val="00BA3DA3"/>
    <w:rsid w:val="00BA3DAB"/>
    <w:rsid w:val="00BA3F48"/>
    <w:rsid w:val="00BA41B9"/>
    <w:rsid w:val="00BA41C8"/>
    <w:rsid w:val="00BA4355"/>
    <w:rsid w:val="00BA436D"/>
    <w:rsid w:val="00BA466A"/>
    <w:rsid w:val="00BA4687"/>
    <w:rsid w:val="00BA4E4B"/>
    <w:rsid w:val="00BA4F17"/>
    <w:rsid w:val="00BA5225"/>
    <w:rsid w:val="00BA5254"/>
    <w:rsid w:val="00BA53D2"/>
    <w:rsid w:val="00BA545F"/>
    <w:rsid w:val="00BA5CC5"/>
    <w:rsid w:val="00BA5D23"/>
    <w:rsid w:val="00BA614F"/>
    <w:rsid w:val="00BA6253"/>
    <w:rsid w:val="00BA6300"/>
    <w:rsid w:val="00BA6B35"/>
    <w:rsid w:val="00BA6F08"/>
    <w:rsid w:val="00BA6F66"/>
    <w:rsid w:val="00BA718F"/>
    <w:rsid w:val="00BA71AE"/>
    <w:rsid w:val="00BA72A1"/>
    <w:rsid w:val="00BA7540"/>
    <w:rsid w:val="00BA76C2"/>
    <w:rsid w:val="00BA771E"/>
    <w:rsid w:val="00BA773A"/>
    <w:rsid w:val="00BA7798"/>
    <w:rsid w:val="00BA7836"/>
    <w:rsid w:val="00BA7C58"/>
    <w:rsid w:val="00BB003E"/>
    <w:rsid w:val="00BB006B"/>
    <w:rsid w:val="00BB00D8"/>
    <w:rsid w:val="00BB0920"/>
    <w:rsid w:val="00BB0BF4"/>
    <w:rsid w:val="00BB0E38"/>
    <w:rsid w:val="00BB0F20"/>
    <w:rsid w:val="00BB10EC"/>
    <w:rsid w:val="00BB11D7"/>
    <w:rsid w:val="00BB12D3"/>
    <w:rsid w:val="00BB1694"/>
    <w:rsid w:val="00BB19A0"/>
    <w:rsid w:val="00BB1D6D"/>
    <w:rsid w:val="00BB1D77"/>
    <w:rsid w:val="00BB2283"/>
    <w:rsid w:val="00BB229B"/>
    <w:rsid w:val="00BB2914"/>
    <w:rsid w:val="00BB2BEF"/>
    <w:rsid w:val="00BB2EE9"/>
    <w:rsid w:val="00BB33DC"/>
    <w:rsid w:val="00BB35AE"/>
    <w:rsid w:val="00BB365E"/>
    <w:rsid w:val="00BB399B"/>
    <w:rsid w:val="00BB472F"/>
    <w:rsid w:val="00BB481D"/>
    <w:rsid w:val="00BB4BF7"/>
    <w:rsid w:val="00BB4C4C"/>
    <w:rsid w:val="00BB521B"/>
    <w:rsid w:val="00BB5297"/>
    <w:rsid w:val="00BB5652"/>
    <w:rsid w:val="00BB5721"/>
    <w:rsid w:val="00BB5994"/>
    <w:rsid w:val="00BB65DE"/>
    <w:rsid w:val="00BB6A04"/>
    <w:rsid w:val="00BB7125"/>
    <w:rsid w:val="00BB7415"/>
    <w:rsid w:val="00BB78AE"/>
    <w:rsid w:val="00BB79D9"/>
    <w:rsid w:val="00BB7EF7"/>
    <w:rsid w:val="00BB7F1D"/>
    <w:rsid w:val="00BB7FBA"/>
    <w:rsid w:val="00BC0037"/>
    <w:rsid w:val="00BC0474"/>
    <w:rsid w:val="00BC04AB"/>
    <w:rsid w:val="00BC09C6"/>
    <w:rsid w:val="00BC0B89"/>
    <w:rsid w:val="00BC0EE5"/>
    <w:rsid w:val="00BC0FBC"/>
    <w:rsid w:val="00BC1672"/>
    <w:rsid w:val="00BC1CBA"/>
    <w:rsid w:val="00BC1DCE"/>
    <w:rsid w:val="00BC2207"/>
    <w:rsid w:val="00BC267C"/>
    <w:rsid w:val="00BC2971"/>
    <w:rsid w:val="00BC2B5E"/>
    <w:rsid w:val="00BC2C61"/>
    <w:rsid w:val="00BC2E14"/>
    <w:rsid w:val="00BC306B"/>
    <w:rsid w:val="00BC360A"/>
    <w:rsid w:val="00BC3635"/>
    <w:rsid w:val="00BC3981"/>
    <w:rsid w:val="00BC39EB"/>
    <w:rsid w:val="00BC3B22"/>
    <w:rsid w:val="00BC427F"/>
    <w:rsid w:val="00BC4485"/>
    <w:rsid w:val="00BC55CA"/>
    <w:rsid w:val="00BC5977"/>
    <w:rsid w:val="00BC5B08"/>
    <w:rsid w:val="00BC607C"/>
    <w:rsid w:val="00BC60CB"/>
    <w:rsid w:val="00BC6312"/>
    <w:rsid w:val="00BC63E3"/>
    <w:rsid w:val="00BC645E"/>
    <w:rsid w:val="00BC66C8"/>
    <w:rsid w:val="00BC675E"/>
    <w:rsid w:val="00BC67F1"/>
    <w:rsid w:val="00BC722A"/>
    <w:rsid w:val="00BC7323"/>
    <w:rsid w:val="00BC7428"/>
    <w:rsid w:val="00BC7430"/>
    <w:rsid w:val="00BC746E"/>
    <w:rsid w:val="00BC77D4"/>
    <w:rsid w:val="00BC7968"/>
    <w:rsid w:val="00BC7AEC"/>
    <w:rsid w:val="00BC7CAC"/>
    <w:rsid w:val="00BC7CFE"/>
    <w:rsid w:val="00BD0112"/>
    <w:rsid w:val="00BD0122"/>
    <w:rsid w:val="00BD0716"/>
    <w:rsid w:val="00BD0ACD"/>
    <w:rsid w:val="00BD0C2F"/>
    <w:rsid w:val="00BD0D04"/>
    <w:rsid w:val="00BD0D14"/>
    <w:rsid w:val="00BD0D27"/>
    <w:rsid w:val="00BD0D2E"/>
    <w:rsid w:val="00BD12D8"/>
    <w:rsid w:val="00BD14BC"/>
    <w:rsid w:val="00BD1A13"/>
    <w:rsid w:val="00BD1AB5"/>
    <w:rsid w:val="00BD1D9D"/>
    <w:rsid w:val="00BD208A"/>
    <w:rsid w:val="00BD2485"/>
    <w:rsid w:val="00BD258B"/>
    <w:rsid w:val="00BD25B9"/>
    <w:rsid w:val="00BD2EF9"/>
    <w:rsid w:val="00BD303E"/>
    <w:rsid w:val="00BD30FB"/>
    <w:rsid w:val="00BD337F"/>
    <w:rsid w:val="00BD38F6"/>
    <w:rsid w:val="00BD3FED"/>
    <w:rsid w:val="00BD44F9"/>
    <w:rsid w:val="00BD4975"/>
    <w:rsid w:val="00BD4AD5"/>
    <w:rsid w:val="00BD4B36"/>
    <w:rsid w:val="00BD4F1B"/>
    <w:rsid w:val="00BD5B96"/>
    <w:rsid w:val="00BD5D19"/>
    <w:rsid w:val="00BD5FAA"/>
    <w:rsid w:val="00BD6014"/>
    <w:rsid w:val="00BD61F1"/>
    <w:rsid w:val="00BD61FB"/>
    <w:rsid w:val="00BD64EF"/>
    <w:rsid w:val="00BD670E"/>
    <w:rsid w:val="00BD6834"/>
    <w:rsid w:val="00BD6B4E"/>
    <w:rsid w:val="00BD6E13"/>
    <w:rsid w:val="00BD6F58"/>
    <w:rsid w:val="00BD7313"/>
    <w:rsid w:val="00BD73EA"/>
    <w:rsid w:val="00BD747B"/>
    <w:rsid w:val="00BD76B9"/>
    <w:rsid w:val="00BD78E0"/>
    <w:rsid w:val="00BD79A2"/>
    <w:rsid w:val="00BD7CB0"/>
    <w:rsid w:val="00BE01C8"/>
    <w:rsid w:val="00BE06E0"/>
    <w:rsid w:val="00BE0AE1"/>
    <w:rsid w:val="00BE0D0D"/>
    <w:rsid w:val="00BE0D67"/>
    <w:rsid w:val="00BE0E56"/>
    <w:rsid w:val="00BE0F21"/>
    <w:rsid w:val="00BE0F9A"/>
    <w:rsid w:val="00BE100D"/>
    <w:rsid w:val="00BE113E"/>
    <w:rsid w:val="00BE1590"/>
    <w:rsid w:val="00BE15DB"/>
    <w:rsid w:val="00BE1B39"/>
    <w:rsid w:val="00BE1BDA"/>
    <w:rsid w:val="00BE1FA7"/>
    <w:rsid w:val="00BE24DF"/>
    <w:rsid w:val="00BE254E"/>
    <w:rsid w:val="00BE2B3B"/>
    <w:rsid w:val="00BE2BC7"/>
    <w:rsid w:val="00BE3865"/>
    <w:rsid w:val="00BE3AB9"/>
    <w:rsid w:val="00BE3B07"/>
    <w:rsid w:val="00BE3C94"/>
    <w:rsid w:val="00BE3EF2"/>
    <w:rsid w:val="00BE464D"/>
    <w:rsid w:val="00BE46AF"/>
    <w:rsid w:val="00BE4BC5"/>
    <w:rsid w:val="00BE4CE0"/>
    <w:rsid w:val="00BE52D6"/>
    <w:rsid w:val="00BE5639"/>
    <w:rsid w:val="00BE570F"/>
    <w:rsid w:val="00BE58A5"/>
    <w:rsid w:val="00BE58C1"/>
    <w:rsid w:val="00BE5B5B"/>
    <w:rsid w:val="00BE5BF3"/>
    <w:rsid w:val="00BE5CD6"/>
    <w:rsid w:val="00BE634E"/>
    <w:rsid w:val="00BE72D7"/>
    <w:rsid w:val="00BE74EA"/>
    <w:rsid w:val="00BE7721"/>
    <w:rsid w:val="00BE77C8"/>
    <w:rsid w:val="00BE7810"/>
    <w:rsid w:val="00BE7CF7"/>
    <w:rsid w:val="00BE7DFA"/>
    <w:rsid w:val="00BE7F4A"/>
    <w:rsid w:val="00BE7F51"/>
    <w:rsid w:val="00BF01F1"/>
    <w:rsid w:val="00BF09B8"/>
    <w:rsid w:val="00BF0A78"/>
    <w:rsid w:val="00BF0BB7"/>
    <w:rsid w:val="00BF0C2B"/>
    <w:rsid w:val="00BF0C3E"/>
    <w:rsid w:val="00BF0C45"/>
    <w:rsid w:val="00BF0D0C"/>
    <w:rsid w:val="00BF0DAF"/>
    <w:rsid w:val="00BF0E0C"/>
    <w:rsid w:val="00BF0EB8"/>
    <w:rsid w:val="00BF0EDF"/>
    <w:rsid w:val="00BF1120"/>
    <w:rsid w:val="00BF158F"/>
    <w:rsid w:val="00BF16C3"/>
    <w:rsid w:val="00BF1C65"/>
    <w:rsid w:val="00BF1DB5"/>
    <w:rsid w:val="00BF1E0F"/>
    <w:rsid w:val="00BF1E6A"/>
    <w:rsid w:val="00BF210C"/>
    <w:rsid w:val="00BF22F8"/>
    <w:rsid w:val="00BF3BBF"/>
    <w:rsid w:val="00BF3C78"/>
    <w:rsid w:val="00BF44FA"/>
    <w:rsid w:val="00BF46BF"/>
    <w:rsid w:val="00BF4723"/>
    <w:rsid w:val="00BF479D"/>
    <w:rsid w:val="00BF522E"/>
    <w:rsid w:val="00BF5424"/>
    <w:rsid w:val="00BF5659"/>
    <w:rsid w:val="00BF57AE"/>
    <w:rsid w:val="00BF57D5"/>
    <w:rsid w:val="00BF5D79"/>
    <w:rsid w:val="00BF62D2"/>
    <w:rsid w:val="00BF6425"/>
    <w:rsid w:val="00BF644F"/>
    <w:rsid w:val="00BF66EB"/>
    <w:rsid w:val="00BF70A7"/>
    <w:rsid w:val="00BF76DB"/>
    <w:rsid w:val="00BF770E"/>
    <w:rsid w:val="00BF774F"/>
    <w:rsid w:val="00BF7882"/>
    <w:rsid w:val="00C00195"/>
    <w:rsid w:val="00C00284"/>
    <w:rsid w:val="00C007B5"/>
    <w:rsid w:val="00C00B52"/>
    <w:rsid w:val="00C011BB"/>
    <w:rsid w:val="00C0129E"/>
    <w:rsid w:val="00C013E5"/>
    <w:rsid w:val="00C01A22"/>
    <w:rsid w:val="00C02207"/>
    <w:rsid w:val="00C025C7"/>
    <w:rsid w:val="00C0268F"/>
    <w:rsid w:val="00C027F3"/>
    <w:rsid w:val="00C02A11"/>
    <w:rsid w:val="00C02A4C"/>
    <w:rsid w:val="00C02A5E"/>
    <w:rsid w:val="00C02A76"/>
    <w:rsid w:val="00C02EFF"/>
    <w:rsid w:val="00C03263"/>
    <w:rsid w:val="00C033C5"/>
    <w:rsid w:val="00C03753"/>
    <w:rsid w:val="00C037B7"/>
    <w:rsid w:val="00C0381C"/>
    <w:rsid w:val="00C03837"/>
    <w:rsid w:val="00C03AA4"/>
    <w:rsid w:val="00C03DCC"/>
    <w:rsid w:val="00C0417D"/>
    <w:rsid w:val="00C0447C"/>
    <w:rsid w:val="00C0453F"/>
    <w:rsid w:val="00C047BF"/>
    <w:rsid w:val="00C04980"/>
    <w:rsid w:val="00C04BC6"/>
    <w:rsid w:val="00C04E8D"/>
    <w:rsid w:val="00C050A1"/>
    <w:rsid w:val="00C050BF"/>
    <w:rsid w:val="00C050F7"/>
    <w:rsid w:val="00C05215"/>
    <w:rsid w:val="00C0530D"/>
    <w:rsid w:val="00C0546A"/>
    <w:rsid w:val="00C055F9"/>
    <w:rsid w:val="00C05691"/>
    <w:rsid w:val="00C05750"/>
    <w:rsid w:val="00C05914"/>
    <w:rsid w:val="00C05D58"/>
    <w:rsid w:val="00C05D6C"/>
    <w:rsid w:val="00C05F46"/>
    <w:rsid w:val="00C0613A"/>
    <w:rsid w:val="00C06184"/>
    <w:rsid w:val="00C064AE"/>
    <w:rsid w:val="00C0658E"/>
    <w:rsid w:val="00C06731"/>
    <w:rsid w:val="00C06DAD"/>
    <w:rsid w:val="00C06DDC"/>
    <w:rsid w:val="00C0723B"/>
    <w:rsid w:val="00C07A25"/>
    <w:rsid w:val="00C07B9A"/>
    <w:rsid w:val="00C07BBD"/>
    <w:rsid w:val="00C07F61"/>
    <w:rsid w:val="00C103EC"/>
    <w:rsid w:val="00C104E2"/>
    <w:rsid w:val="00C10862"/>
    <w:rsid w:val="00C108FD"/>
    <w:rsid w:val="00C10950"/>
    <w:rsid w:val="00C10976"/>
    <w:rsid w:val="00C112CA"/>
    <w:rsid w:val="00C1198F"/>
    <w:rsid w:val="00C11A78"/>
    <w:rsid w:val="00C11D3B"/>
    <w:rsid w:val="00C125CB"/>
    <w:rsid w:val="00C12631"/>
    <w:rsid w:val="00C12666"/>
    <w:rsid w:val="00C12D45"/>
    <w:rsid w:val="00C12E8D"/>
    <w:rsid w:val="00C132E1"/>
    <w:rsid w:val="00C13EF3"/>
    <w:rsid w:val="00C13F2F"/>
    <w:rsid w:val="00C14013"/>
    <w:rsid w:val="00C14A3F"/>
    <w:rsid w:val="00C14B16"/>
    <w:rsid w:val="00C14C51"/>
    <w:rsid w:val="00C152E1"/>
    <w:rsid w:val="00C15628"/>
    <w:rsid w:val="00C15654"/>
    <w:rsid w:val="00C158C8"/>
    <w:rsid w:val="00C15C97"/>
    <w:rsid w:val="00C15D19"/>
    <w:rsid w:val="00C15EC8"/>
    <w:rsid w:val="00C1618F"/>
    <w:rsid w:val="00C1653A"/>
    <w:rsid w:val="00C16C1A"/>
    <w:rsid w:val="00C174AC"/>
    <w:rsid w:val="00C174C4"/>
    <w:rsid w:val="00C178B2"/>
    <w:rsid w:val="00C17F34"/>
    <w:rsid w:val="00C2011F"/>
    <w:rsid w:val="00C20194"/>
    <w:rsid w:val="00C2027B"/>
    <w:rsid w:val="00C2048B"/>
    <w:rsid w:val="00C20BAA"/>
    <w:rsid w:val="00C210A6"/>
    <w:rsid w:val="00C21140"/>
    <w:rsid w:val="00C2155D"/>
    <w:rsid w:val="00C2172A"/>
    <w:rsid w:val="00C2196C"/>
    <w:rsid w:val="00C219BD"/>
    <w:rsid w:val="00C223ED"/>
    <w:rsid w:val="00C22AAB"/>
    <w:rsid w:val="00C23328"/>
    <w:rsid w:val="00C2360B"/>
    <w:rsid w:val="00C237DA"/>
    <w:rsid w:val="00C2386D"/>
    <w:rsid w:val="00C23A16"/>
    <w:rsid w:val="00C23E54"/>
    <w:rsid w:val="00C23FE7"/>
    <w:rsid w:val="00C24085"/>
    <w:rsid w:val="00C24444"/>
    <w:rsid w:val="00C24710"/>
    <w:rsid w:val="00C2489E"/>
    <w:rsid w:val="00C24B4F"/>
    <w:rsid w:val="00C24C07"/>
    <w:rsid w:val="00C24FA6"/>
    <w:rsid w:val="00C24FD9"/>
    <w:rsid w:val="00C253CE"/>
    <w:rsid w:val="00C263D0"/>
    <w:rsid w:val="00C27697"/>
    <w:rsid w:val="00C27D55"/>
    <w:rsid w:val="00C30354"/>
    <w:rsid w:val="00C303A2"/>
    <w:rsid w:val="00C307B9"/>
    <w:rsid w:val="00C30D2C"/>
    <w:rsid w:val="00C310AB"/>
    <w:rsid w:val="00C311DF"/>
    <w:rsid w:val="00C314E3"/>
    <w:rsid w:val="00C3183F"/>
    <w:rsid w:val="00C31894"/>
    <w:rsid w:val="00C31895"/>
    <w:rsid w:val="00C32CF4"/>
    <w:rsid w:val="00C32DBF"/>
    <w:rsid w:val="00C32F2B"/>
    <w:rsid w:val="00C32F75"/>
    <w:rsid w:val="00C33441"/>
    <w:rsid w:val="00C3372E"/>
    <w:rsid w:val="00C3388C"/>
    <w:rsid w:val="00C33980"/>
    <w:rsid w:val="00C33DF0"/>
    <w:rsid w:val="00C34067"/>
    <w:rsid w:val="00C340BE"/>
    <w:rsid w:val="00C348AC"/>
    <w:rsid w:val="00C348FC"/>
    <w:rsid w:val="00C34EB0"/>
    <w:rsid w:val="00C351FD"/>
    <w:rsid w:val="00C35445"/>
    <w:rsid w:val="00C355AC"/>
    <w:rsid w:val="00C35698"/>
    <w:rsid w:val="00C356D6"/>
    <w:rsid w:val="00C35870"/>
    <w:rsid w:val="00C358B4"/>
    <w:rsid w:val="00C35A9F"/>
    <w:rsid w:val="00C35BCA"/>
    <w:rsid w:val="00C365F4"/>
    <w:rsid w:val="00C3672B"/>
    <w:rsid w:val="00C36B51"/>
    <w:rsid w:val="00C372E1"/>
    <w:rsid w:val="00C3751C"/>
    <w:rsid w:val="00C377CF"/>
    <w:rsid w:val="00C379ED"/>
    <w:rsid w:val="00C40F05"/>
    <w:rsid w:val="00C41050"/>
    <w:rsid w:val="00C41662"/>
    <w:rsid w:val="00C41794"/>
    <w:rsid w:val="00C41BB2"/>
    <w:rsid w:val="00C42025"/>
    <w:rsid w:val="00C423B5"/>
    <w:rsid w:val="00C42744"/>
    <w:rsid w:val="00C42899"/>
    <w:rsid w:val="00C42DD9"/>
    <w:rsid w:val="00C4340B"/>
    <w:rsid w:val="00C43B70"/>
    <w:rsid w:val="00C43F48"/>
    <w:rsid w:val="00C43F5C"/>
    <w:rsid w:val="00C4401E"/>
    <w:rsid w:val="00C4425C"/>
    <w:rsid w:val="00C4437B"/>
    <w:rsid w:val="00C4443A"/>
    <w:rsid w:val="00C44765"/>
    <w:rsid w:val="00C44CE8"/>
    <w:rsid w:val="00C44DBA"/>
    <w:rsid w:val="00C44EF9"/>
    <w:rsid w:val="00C454D6"/>
    <w:rsid w:val="00C45A74"/>
    <w:rsid w:val="00C45AD2"/>
    <w:rsid w:val="00C45DF6"/>
    <w:rsid w:val="00C46004"/>
    <w:rsid w:val="00C46141"/>
    <w:rsid w:val="00C46904"/>
    <w:rsid w:val="00C46D19"/>
    <w:rsid w:val="00C47015"/>
    <w:rsid w:val="00C4758F"/>
    <w:rsid w:val="00C47690"/>
    <w:rsid w:val="00C4789C"/>
    <w:rsid w:val="00C47B96"/>
    <w:rsid w:val="00C47EAB"/>
    <w:rsid w:val="00C502C6"/>
    <w:rsid w:val="00C50491"/>
    <w:rsid w:val="00C505AB"/>
    <w:rsid w:val="00C50697"/>
    <w:rsid w:val="00C5074B"/>
    <w:rsid w:val="00C50AA8"/>
    <w:rsid w:val="00C50B08"/>
    <w:rsid w:val="00C50C69"/>
    <w:rsid w:val="00C50D28"/>
    <w:rsid w:val="00C51324"/>
    <w:rsid w:val="00C51F48"/>
    <w:rsid w:val="00C52082"/>
    <w:rsid w:val="00C52283"/>
    <w:rsid w:val="00C5237B"/>
    <w:rsid w:val="00C52AA6"/>
    <w:rsid w:val="00C52E11"/>
    <w:rsid w:val="00C52FB1"/>
    <w:rsid w:val="00C52FED"/>
    <w:rsid w:val="00C5329A"/>
    <w:rsid w:val="00C53835"/>
    <w:rsid w:val="00C53A29"/>
    <w:rsid w:val="00C53FFC"/>
    <w:rsid w:val="00C5411A"/>
    <w:rsid w:val="00C545EC"/>
    <w:rsid w:val="00C54985"/>
    <w:rsid w:val="00C549A2"/>
    <w:rsid w:val="00C54ADA"/>
    <w:rsid w:val="00C54F41"/>
    <w:rsid w:val="00C55760"/>
    <w:rsid w:val="00C55CF1"/>
    <w:rsid w:val="00C5616E"/>
    <w:rsid w:val="00C5640B"/>
    <w:rsid w:val="00C5673B"/>
    <w:rsid w:val="00C56DC1"/>
    <w:rsid w:val="00C57088"/>
    <w:rsid w:val="00C5734F"/>
    <w:rsid w:val="00C579EF"/>
    <w:rsid w:val="00C579F0"/>
    <w:rsid w:val="00C6028D"/>
    <w:rsid w:val="00C60441"/>
    <w:rsid w:val="00C6093D"/>
    <w:rsid w:val="00C609BD"/>
    <w:rsid w:val="00C61585"/>
    <w:rsid w:val="00C61646"/>
    <w:rsid w:val="00C6182B"/>
    <w:rsid w:val="00C61CC3"/>
    <w:rsid w:val="00C61E01"/>
    <w:rsid w:val="00C61E9F"/>
    <w:rsid w:val="00C61F12"/>
    <w:rsid w:val="00C6243F"/>
    <w:rsid w:val="00C62FB2"/>
    <w:rsid w:val="00C63738"/>
    <w:rsid w:val="00C63D83"/>
    <w:rsid w:val="00C63F1B"/>
    <w:rsid w:val="00C6469C"/>
    <w:rsid w:val="00C64B8D"/>
    <w:rsid w:val="00C64F95"/>
    <w:rsid w:val="00C64FEA"/>
    <w:rsid w:val="00C65180"/>
    <w:rsid w:val="00C651BD"/>
    <w:rsid w:val="00C653D1"/>
    <w:rsid w:val="00C6546B"/>
    <w:rsid w:val="00C655B3"/>
    <w:rsid w:val="00C65C8C"/>
    <w:rsid w:val="00C65F26"/>
    <w:rsid w:val="00C65FC9"/>
    <w:rsid w:val="00C66203"/>
    <w:rsid w:val="00C66550"/>
    <w:rsid w:val="00C66721"/>
    <w:rsid w:val="00C66EB4"/>
    <w:rsid w:val="00C66FFA"/>
    <w:rsid w:val="00C671A3"/>
    <w:rsid w:val="00C67397"/>
    <w:rsid w:val="00C6762B"/>
    <w:rsid w:val="00C67900"/>
    <w:rsid w:val="00C701C8"/>
    <w:rsid w:val="00C70517"/>
    <w:rsid w:val="00C70864"/>
    <w:rsid w:val="00C70B5C"/>
    <w:rsid w:val="00C70C12"/>
    <w:rsid w:val="00C70DD1"/>
    <w:rsid w:val="00C70E05"/>
    <w:rsid w:val="00C716D5"/>
    <w:rsid w:val="00C717F6"/>
    <w:rsid w:val="00C71986"/>
    <w:rsid w:val="00C71E41"/>
    <w:rsid w:val="00C721AF"/>
    <w:rsid w:val="00C7222C"/>
    <w:rsid w:val="00C7234A"/>
    <w:rsid w:val="00C72835"/>
    <w:rsid w:val="00C72AFD"/>
    <w:rsid w:val="00C72FE1"/>
    <w:rsid w:val="00C73135"/>
    <w:rsid w:val="00C73331"/>
    <w:rsid w:val="00C733C6"/>
    <w:rsid w:val="00C73453"/>
    <w:rsid w:val="00C73501"/>
    <w:rsid w:val="00C735E1"/>
    <w:rsid w:val="00C7367D"/>
    <w:rsid w:val="00C73C43"/>
    <w:rsid w:val="00C73D84"/>
    <w:rsid w:val="00C73E05"/>
    <w:rsid w:val="00C73F48"/>
    <w:rsid w:val="00C7405A"/>
    <w:rsid w:val="00C74068"/>
    <w:rsid w:val="00C74205"/>
    <w:rsid w:val="00C74751"/>
    <w:rsid w:val="00C7481C"/>
    <w:rsid w:val="00C74BA3"/>
    <w:rsid w:val="00C754D9"/>
    <w:rsid w:val="00C755E4"/>
    <w:rsid w:val="00C7564A"/>
    <w:rsid w:val="00C75795"/>
    <w:rsid w:val="00C75A53"/>
    <w:rsid w:val="00C75AC1"/>
    <w:rsid w:val="00C75B16"/>
    <w:rsid w:val="00C75E8A"/>
    <w:rsid w:val="00C76222"/>
    <w:rsid w:val="00C763FF"/>
    <w:rsid w:val="00C76BD3"/>
    <w:rsid w:val="00C76F22"/>
    <w:rsid w:val="00C776B9"/>
    <w:rsid w:val="00C77971"/>
    <w:rsid w:val="00C77A72"/>
    <w:rsid w:val="00C77D08"/>
    <w:rsid w:val="00C77D26"/>
    <w:rsid w:val="00C77EC2"/>
    <w:rsid w:val="00C77F4F"/>
    <w:rsid w:val="00C80114"/>
    <w:rsid w:val="00C80192"/>
    <w:rsid w:val="00C802ED"/>
    <w:rsid w:val="00C8042F"/>
    <w:rsid w:val="00C80706"/>
    <w:rsid w:val="00C80837"/>
    <w:rsid w:val="00C80B48"/>
    <w:rsid w:val="00C80F02"/>
    <w:rsid w:val="00C80F4E"/>
    <w:rsid w:val="00C81346"/>
    <w:rsid w:val="00C816C5"/>
    <w:rsid w:val="00C81999"/>
    <w:rsid w:val="00C82444"/>
    <w:rsid w:val="00C82D8E"/>
    <w:rsid w:val="00C82E97"/>
    <w:rsid w:val="00C8388E"/>
    <w:rsid w:val="00C83E10"/>
    <w:rsid w:val="00C83F2D"/>
    <w:rsid w:val="00C83F68"/>
    <w:rsid w:val="00C842F9"/>
    <w:rsid w:val="00C8462C"/>
    <w:rsid w:val="00C84A8C"/>
    <w:rsid w:val="00C84EBD"/>
    <w:rsid w:val="00C8504D"/>
    <w:rsid w:val="00C852F8"/>
    <w:rsid w:val="00C85332"/>
    <w:rsid w:val="00C8534C"/>
    <w:rsid w:val="00C85601"/>
    <w:rsid w:val="00C8588C"/>
    <w:rsid w:val="00C85E01"/>
    <w:rsid w:val="00C863C3"/>
    <w:rsid w:val="00C863C6"/>
    <w:rsid w:val="00C86711"/>
    <w:rsid w:val="00C86911"/>
    <w:rsid w:val="00C86A88"/>
    <w:rsid w:val="00C86AED"/>
    <w:rsid w:val="00C86B33"/>
    <w:rsid w:val="00C86B61"/>
    <w:rsid w:val="00C875A8"/>
    <w:rsid w:val="00C875C4"/>
    <w:rsid w:val="00C87711"/>
    <w:rsid w:val="00C879C2"/>
    <w:rsid w:val="00C87B67"/>
    <w:rsid w:val="00C87DB1"/>
    <w:rsid w:val="00C87DFA"/>
    <w:rsid w:val="00C87E09"/>
    <w:rsid w:val="00C901C0"/>
    <w:rsid w:val="00C901E8"/>
    <w:rsid w:val="00C9026F"/>
    <w:rsid w:val="00C9030E"/>
    <w:rsid w:val="00C90420"/>
    <w:rsid w:val="00C90DE2"/>
    <w:rsid w:val="00C90F8B"/>
    <w:rsid w:val="00C91525"/>
    <w:rsid w:val="00C91777"/>
    <w:rsid w:val="00C91885"/>
    <w:rsid w:val="00C91CDD"/>
    <w:rsid w:val="00C91F7C"/>
    <w:rsid w:val="00C91F99"/>
    <w:rsid w:val="00C9210C"/>
    <w:rsid w:val="00C92AA8"/>
    <w:rsid w:val="00C92CDC"/>
    <w:rsid w:val="00C92E33"/>
    <w:rsid w:val="00C92FDE"/>
    <w:rsid w:val="00C930E3"/>
    <w:rsid w:val="00C93122"/>
    <w:rsid w:val="00C9349C"/>
    <w:rsid w:val="00C93E00"/>
    <w:rsid w:val="00C9405B"/>
    <w:rsid w:val="00C94192"/>
    <w:rsid w:val="00C941D7"/>
    <w:rsid w:val="00C942B2"/>
    <w:rsid w:val="00C94611"/>
    <w:rsid w:val="00C94F72"/>
    <w:rsid w:val="00C951DE"/>
    <w:rsid w:val="00C9524F"/>
    <w:rsid w:val="00C955F2"/>
    <w:rsid w:val="00C95D03"/>
    <w:rsid w:val="00C95DDC"/>
    <w:rsid w:val="00C95E5D"/>
    <w:rsid w:val="00C95EE3"/>
    <w:rsid w:val="00C95EEA"/>
    <w:rsid w:val="00C960A2"/>
    <w:rsid w:val="00C96110"/>
    <w:rsid w:val="00C963B9"/>
    <w:rsid w:val="00C967F4"/>
    <w:rsid w:val="00C9688C"/>
    <w:rsid w:val="00C9700F"/>
    <w:rsid w:val="00C97488"/>
    <w:rsid w:val="00C974E9"/>
    <w:rsid w:val="00C97A4F"/>
    <w:rsid w:val="00C97AEC"/>
    <w:rsid w:val="00C97FAB"/>
    <w:rsid w:val="00CA0656"/>
    <w:rsid w:val="00CA0752"/>
    <w:rsid w:val="00CA0D48"/>
    <w:rsid w:val="00CA0E39"/>
    <w:rsid w:val="00CA134D"/>
    <w:rsid w:val="00CA1484"/>
    <w:rsid w:val="00CA178A"/>
    <w:rsid w:val="00CA187C"/>
    <w:rsid w:val="00CA189C"/>
    <w:rsid w:val="00CA1993"/>
    <w:rsid w:val="00CA1B87"/>
    <w:rsid w:val="00CA24E3"/>
    <w:rsid w:val="00CA26D6"/>
    <w:rsid w:val="00CA2B02"/>
    <w:rsid w:val="00CA31B7"/>
    <w:rsid w:val="00CA33B3"/>
    <w:rsid w:val="00CA35A0"/>
    <w:rsid w:val="00CA36F6"/>
    <w:rsid w:val="00CA3714"/>
    <w:rsid w:val="00CA3940"/>
    <w:rsid w:val="00CA4247"/>
    <w:rsid w:val="00CA448A"/>
    <w:rsid w:val="00CA4F23"/>
    <w:rsid w:val="00CA5489"/>
    <w:rsid w:val="00CA569D"/>
    <w:rsid w:val="00CA58AD"/>
    <w:rsid w:val="00CA58F0"/>
    <w:rsid w:val="00CA5EA2"/>
    <w:rsid w:val="00CA6015"/>
    <w:rsid w:val="00CA61C3"/>
    <w:rsid w:val="00CA644E"/>
    <w:rsid w:val="00CA6732"/>
    <w:rsid w:val="00CA68E9"/>
    <w:rsid w:val="00CA692A"/>
    <w:rsid w:val="00CA6B2C"/>
    <w:rsid w:val="00CA7050"/>
    <w:rsid w:val="00CA743D"/>
    <w:rsid w:val="00CA7731"/>
    <w:rsid w:val="00CA7CFA"/>
    <w:rsid w:val="00CA7E70"/>
    <w:rsid w:val="00CB05A6"/>
    <w:rsid w:val="00CB0806"/>
    <w:rsid w:val="00CB09E1"/>
    <w:rsid w:val="00CB0BFF"/>
    <w:rsid w:val="00CB105F"/>
    <w:rsid w:val="00CB1429"/>
    <w:rsid w:val="00CB1523"/>
    <w:rsid w:val="00CB1875"/>
    <w:rsid w:val="00CB1F09"/>
    <w:rsid w:val="00CB1F30"/>
    <w:rsid w:val="00CB216C"/>
    <w:rsid w:val="00CB26B0"/>
    <w:rsid w:val="00CB2796"/>
    <w:rsid w:val="00CB28E5"/>
    <w:rsid w:val="00CB2A6E"/>
    <w:rsid w:val="00CB31F8"/>
    <w:rsid w:val="00CB351F"/>
    <w:rsid w:val="00CB379F"/>
    <w:rsid w:val="00CB38A4"/>
    <w:rsid w:val="00CB3F2E"/>
    <w:rsid w:val="00CB447C"/>
    <w:rsid w:val="00CB4B82"/>
    <w:rsid w:val="00CB4BFC"/>
    <w:rsid w:val="00CB4CD1"/>
    <w:rsid w:val="00CB4D8E"/>
    <w:rsid w:val="00CB4DA1"/>
    <w:rsid w:val="00CB5805"/>
    <w:rsid w:val="00CB5B37"/>
    <w:rsid w:val="00CB5FBB"/>
    <w:rsid w:val="00CB65DE"/>
    <w:rsid w:val="00CB66FF"/>
    <w:rsid w:val="00CB6BBE"/>
    <w:rsid w:val="00CB6C96"/>
    <w:rsid w:val="00CB6E4B"/>
    <w:rsid w:val="00CB736B"/>
    <w:rsid w:val="00CB75B2"/>
    <w:rsid w:val="00CB79FC"/>
    <w:rsid w:val="00CB7D2C"/>
    <w:rsid w:val="00CC001F"/>
    <w:rsid w:val="00CC03F6"/>
    <w:rsid w:val="00CC060E"/>
    <w:rsid w:val="00CC0882"/>
    <w:rsid w:val="00CC0B9E"/>
    <w:rsid w:val="00CC128D"/>
    <w:rsid w:val="00CC1332"/>
    <w:rsid w:val="00CC1365"/>
    <w:rsid w:val="00CC138E"/>
    <w:rsid w:val="00CC149F"/>
    <w:rsid w:val="00CC17BE"/>
    <w:rsid w:val="00CC1965"/>
    <w:rsid w:val="00CC1A41"/>
    <w:rsid w:val="00CC1B21"/>
    <w:rsid w:val="00CC2209"/>
    <w:rsid w:val="00CC2530"/>
    <w:rsid w:val="00CC2B01"/>
    <w:rsid w:val="00CC2C3F"/>
    <w:rsid w:val="00CC2FFB"/>
    <w:rsid w:val="00CC32CA"/>
    <w:rsid w:val="00CC32D7"/>
    <w:rsid w:val="00CC3AF3"/>
    <w:rsid w:val="00CC3C37"/>
    <w:rsid w:val="00CC472C"/>
    <w:rsid w:val="00CC4AF8"/>
    <w:rsid w:val="00CC4B93"/>
    <w:rsid w:val="00CC4BC7"/>
    <w:rsid w:val="00CC4CEF"/>
    <w:rsid w:val="00CC56B3"/>
    <w:rsid w:val="00CC5813"/>
    <w:rsid w:val="00CC5C47"/>
    <w:rsid w:val="00CC5E32"/>
    <w:rsid w:val="00CC5F41"/>
    <w:rsid w:val="00CC5FF8"/>
    <w:rsid w:val="00CC6494"/>
    <w:rsid w:val="00CC653E"/>
    <w:rsid w:val="00CC6541"/>
    <w:rsid w:val="00CC67DD"/>
    <w:rsid w:val="00CC6D7D"/>
    <w:rsid w:val="00CC718E"/>
    <w:rsid w:val="00CC7760"/>
    <w:rsid w:val="00CD0272"/>
    <w:rsid w:val="00CD0371"/>
    <w:rsid w:val="00CD04AA"/>
    <w:rsid w:val="00CD0923"/>
    <w:rsid w:val="00CD0972"/>
    <w:rsid w:val="00CD0D26"/>
    <w:rsid w:val="00CD10F4"/>
    <w:rsid w:val="00CD17BF"/>
    <w:rsid w:val="00CD1A9E"/>
    <w:rsid w:val="00CD2092"/>
    <w:rsid w:val="00CD20CE"/>
    <w:rsid w:val="00CD245F"/>
    <w:rsid w:val="00CD247D"/>
    <w:rsid w:val="00CD2581"/>
    <w:rsid w:val="00CD26B2"/>
    <w:rsid w:val="00CD28FC"/>
    <w:rsid w:val="00CD2B2E"/>
    <w:rsid w:val="00CD2CC3"/>
    <w:rsid w:val="00CD2E0B"/>
    <w:rsid w:val="00CD3946"/>
    <w:rsid w:val="00CD488D"/>
    <w:rsid w:val="00CD4A33"/>
    <w:rsid w:val="00CD4B95"/>
    <w:rsid w:val="00CD4C22"/>
    <w:rsid w:val="00CD4FE0"/>
    <w:rsid w:val="00CD50C8"/>
    <w:rsid w:val="00CD51C9"/>
    <w:rsid w:val="00CD52B8"/>
    <w:rsid w:val="00CD540B"/>
    <w:rsid w:val="00CD56B9"/>
    <w:rsid w:val="00CD5FBF"/>
    <w:rsid w:val="00CD63EC"/>
    <w:rsid w:val="00CD6540"/>
    <w:rsid w:val="00CD656A"/>
    <w:rsid w:val="00CD67C0"/>
    <w:rsid w:val="00CD6A59"/>
    <w:rsid w:val="00CD6CE2"/>
    <w:rsid w:val="00CD6D60"/>
    <w:rsid w:val="00CD6E60"/>
    <w:rsid w:val="00CD71B6"/>
    <w:rsid w:val="00CD7B01"/>
    <w:rsid w:val="00CD7B39"/>
    <w:rsid w:val="00CE010C"/>
    <w:rsid w:val="00CE0526"/>
    <w:rsid w:val="00CE05C4"/>
    <w:rsid w:val="00CE0811"/>
    <w:rsid w:val="00CE0955"/>
    <w:rsid w:val="00CE127C"/>
    <w:rsid w:val="00CE192C"/>
    <w:rsid w:val="00CE1A5B"/>
    <w:rsid w:val="00CE1DFF"/>
    <w:rsid w:val="00CE221E"/>
    <w:rsid w:val="00CE2695"/>
    <w:rsid w:val="00CE2789"/>
    <w:rsid w:val="00CE2AAF"/>
    <w:rsid w:val="00CE2EAA"/>
    <w:rsid w:val="00CE2FFA"/>
    <w:rsid w:val="00CE384F"/>
    <w:rsid w:val="00CE3DC0"/>
    <w:rsid w:val="00CE4828"/>
    <w:rsid w:val="00CE4D6B"/>
    <w:rsid w:val="00CE5017"/>
    <w:rsid w:val="00CE5138"/>
    <w:rsid w:val="00CE5D08"/>
    <w:rsid w:val="00CE71A7"/>
    <w:rsid w:val="00CE7390"/>
    <w:rsid w:val="00CE7CFF"/>
    <w:rsid w:val="00CE7DF2"/>
    <w:rsid w:val="00CF0058"/>
    <w:rsid w:val="00CF0289"/>
    <w:rsid w:val="00CF054F"/>
    <w:rsid w:val="00CF0A57"/>
    <w:rsid w:val="00CF1237"/>
    <w:rsid w:val="00CF158B"/>
    <w:rsid w:val="00CF1A17"/>
    <w:rsid w:val="00CF1B97"/>
    <w:rsid w:val="00CF1D68"/>
    <w:rsid w:val="00CF1E61"/>
    <w:rsid w:val="00CF1EF8"/>
    <w:rsid w:val="00CF1F29"/>
    <w:rsid w:val="00CF226D"/>
    <w:rsid w:val="00CF262A"/>
    <w:rsid w:val="00CF2A75"/>
    <w:rsid w:val="00CF2B26"/>
    <w:rsid w:val="00CF2D46"/>
    <w:rsid w:val="00CF3152"/>
    <w:rsid w:val="00CF3736"/>
    <w:rsid w:val="00CF3A14"/>
    <w:rsid w:val="00CF450B"/>
    <w:rsid w:val="00CF46A6"/>
    <w:rsid w:val="00CF47D6"/>
    <w:rsid w:val="00CF480A"/>
    <w:rsid w:val="00CF4B64"/>
    <w:rsid w:val="00CF4CE2"/>
    <w:rsid w:val="00CF5051"/>
    <w:rsid w:val="00CF5093"/>
    <w:rsid w:val="00CF5207"/>
    <w:rsid w:val="00CF53EE"/>
    <w:rsid w:val="00CF6043"/>
    <w:rsid w:val="00CF6617"/>
    <w:rsid w:val="00CF7040"/>
    <w:rsid w:val="00CF707C"/>
    <w:rsid w:val="00CF7841"/>
    <w:rsid w:val="00CF7A28"/>
    <w:rsid w:val="00CF7B33"/>
    <w:rsid w:val="00CF7CFC"/>
    <w:rsid w:val="00D003C0"/>
    <w:rsid w:val="00D003D8"/>
    <w:rsid w:val="00D00C0F"/>
    <w:rsid w:val="00D00E3E"/>
    <w:rsid w:val="00D01484"/>
    <w:rsid w:val="00D01525"/>
    <w:rsid w:val="00D01D99"/>
    <w:rsid w:val="00D01EFB"/>
    <w:rsid w:val="00D025AB"/>
    <w:rsid w:val="00D02875"/>
    <w:rsid w:val="00D02A94"/>
    <w:rsid w:val="00D02C6D"/>
    <w:rsid w:val="00D02FA3"/>
    <w:rsid w:val="00D031F5"/>
    <w:rsid w:val="00D036B1"/>
    <w:rsid w:val="00D03B67"/>
    <w:rsid w:val="00D03B81"/>
    <w:rsid w:val="00D03D1E"/>
    <w:rsid w:val="00D03D4F"/>
    <w:rsid w:val="00D03FC9"/>
    <w:rsid w:val="00D0476D"/>
    <w:rsid w:val="00D04B00"/>
    <w:rsid w:val="00D04BAA"/>
    <w:rsid w:val="00D04CC9"/>
    <w:rsid w:val="00D04E9F"/>
    <w:rsid w:val="00D0512E"/>
    <w:rsid w:val="00D0531A"/>
    <w:rsid w:val="00D05329"/>
    <w:rsid w:val="00D053A2"/>
    <w:rsid w:val="00D05B3C"/>
    <w:rsid w:val="00D05E13"/>
    <w:rsid w:val="00D06975"/>
    <w:rsid w:val="00D0697D"/>
    <w:rsid w:val="00D06A7D"/>
    <w:rsid w:val="00D06C48"/>
    <w:rsid w:val="00D06F74"/>
    <w:rsid w:val="00D0752E"/>
    <w:rsid w:val="00D103A8"/>
    <w:rsid w:val="00D103D2"/>
    <w:rsid w:val="00D1059F"/>
    <w:rsid w:val="00D10967"/>
    <w:rsid w:val="00D10CB5"/>
    <w:rsid w:val="00D10E08"/>
    <w:rsid w:val="00D111F6"/>
    <w:rsid w:val="00D11347"/>
    <w:rsid w:val="00D1135A"/>
    <w:rsid w:val="00D11425"/>
    <w:rsid w:val="00D11506"/>
    <w:rsid w:val="00D11752"/>
    <w:rsid w:val="00D11890"/>
    <w:rsid w:val="00D1193B"/>
    <w:rsid w:val="00D11971"/>
    <w:rsid w:val="00D1199C"/>
    <w:rsid w:val="00D11B73"/>
    <w:rsid w:val="00D11F18"/>
    <w:rsid w:val="00D11F4D"/>
    <w:rsid w:val="00D12695"/>
    <w:rsid w:val="00D12712"/>
    <w:rsid w:val="00D12EC6"/>
    <w:rsid w:val="00D13039"/>
    <w:rsid w:val="00D13083"/>
    <w:rsid w:val="00D1310C"/>
    <w:rsid w:val="00D136B8"/>
    <w:rsid w:val="00D136DA"/>
    <w:rsid w:val="00D13903"/>
    <w:rsid w:val="00D13EFD"/>
    <w:rsid w:val="00D14544"/>
    <w:rsid w:val="00D1476C"/>
    <w:rsid w:val="00D14A6B"/>
    <w:rsid w:val="00D14F31"/>
    <w:rsid w:val="00D15E19"/>
    <w:rsid w:val="00D15EB1"/>
    <w:rsid w:val="00D16016"/>
    <w:rsid w:val="00D16206"/>
    <w:rsid w:val="00D16604"/>
    <w:rsid w:val="00D16620"/>
    <w:rsid w:val="00D169FB"/>
    <w:rsid w:val="00D16AE4"/>
    <w:rsid w:val="00D16B0C"/>
    <w:rsid w:val="00D16F80"/>
    <w:rsid w:val="00D16F88"/>
    <w:rsid w:val="00D17424"/>
    <w:rsid w:val="00D1752D"/>
    <w:rsid w:val="00D176D7"/>
    <w:rsid w:val="00D17840"/>
    <w:rsid w:val="00D17935"/>
    <w:rsid w:val="00D17BA1"/>
    <w:rsid w:val="00D17CC4"/>
    <w:rsid w:val="00D17EC1"/>
    <w:rsid w:val="00D17ECC"/>
    <w:rsid w:val="00D209C3"/>
    <w:rsid w:val="00D20EA5"/>
    <w:rsid w:val="00D21DF9"/>
    <w:rsid w:val="00D21EFD"/>
    <w:rsid w:val="00D2216B"/>
    <w:rsid w:val="00D2241D"/>
    <w:rsid w:val="00D22475"/>
    <w:rsid w:val="00D22922"/>
    <w:rsid w:val="00D22CDE"/>
    <w:rsid w:val="00D233AB"/>
    <w:rsid w:val="00D23645"/>
    <w:rsid w:val="00D23A01"/>
    <w:rsid w:val="00D23BBB"/>
    <w:rsid w:val="00D23BF2"/>
    <w:rsid w:val="00D24208"/>
    <w:rsid w:val="00D24308"/>
    <w:rsid w:val="00D24553"/>
    <w:rsid w:val="00D24D99"/>
    <w:rsid w:val="00D24ECC"/>
    <w:rsid w:val="00D24F7E"/>
    <w:rsid w:val="00D253C8"/>
    <w:rsid w:val="00D2583B"/>
    <w:rsid w:val="00D25929"/>
    <w:rsid w:val="00D25E35"/>
    <w:rsid w:val="00D25FED"/>
    <w:rsid w:val="00D26959"/>
    <w:rsid w:val="00D274BA"/>
    <w:rsid w:val="00D27FA2"/>
    <w:rsid w:val="00D3017D"/>
    <w:rsid w:val="00D30719"/>
    <w:rsid w:val="00D30881"/>
    <w:rsid w:val="00D30A86"/>
    <w:rsid w:val="00D31264"/>
    <w:rsid w:val="00D312F5"/>
    <w:rsid w:val="00D313A8"/>
    <w:rsid w:val="00D316C3"/>
    <w:rsid w:val="00D31775"/>
    <w:rsid w:val="00D31B34"/>
    <w:rsid w:val="00D31B4A"/>
    <w:rsid w:val="00D31B4B"/>
    <w:rsid w:val="00D31BC2"/>
    <w:rsid w:val="00D31D6B"/>
    <w:rsid w:val="00D31E72"/>
    <w:rsid w:val="00D3245E"/>
    <w:rsid w:val="00D32508"/>
    <w:rsid w:val="00D32AE9"/>
    <w:rsid w:val="00D32C16"/>
    <w:rsid w:val="00D33097"/>
    <w:rsid w:val="00D33182"/>
    <w:rsid w:val="00D334C0"/>
    <w:rsid w:val="00D3351E"/>
    <w:rsid w:val="00D33781"/>
    <w:rsid w:val="00D338B4"/>
    <w:rsid w:val="00D34099"/>
    <w:rsid w:val="00D342C5"/>
    <w:rsid w:val="00D3441C"/>
    <w:rsid w:val="00D34E2E"/>
    <w:rsid w:val="00D34E52"/>
    <w:rsid w:val="00D34F5B"/>
    <w:rsid w:val="00D353ED"/>
    <w:rsid w:val="00D35471"/>
    <w:rsid w:val="00D3549C"/>
    <w:rsid w:val="00D35D67"/>
    <w:rsid w:val="00D3648A"/>
    <w:rsid w:val="00D36799"/>
    <w:rsid w:val="00D3697D"/>
    <w:rsid w:val="00D36A9B"/>
    <w:rsid w:val="00D36CE8"/>
    <w:rsid w:val="00D3722D"/>
    <w:rsid w:val="00D3732F"/>
    <w:rsid w:val="00D378B6"/>
    <w:rsid w:val="00D37CA3"/>
    <w:rsid w:val="00D37D53"/>
    <w:rsid w:val="00D37D8B"/>
    <w:rsid w:val="00D37ED0"/>
    <w:rsid w:val="00D400E0"/>
    <w:rsid w:val="00D401F4"/>
    <w:rsid w:val="00D40765"/>
    <w:rsid w:val="00D41223"/>
    <w:rsid w:val="00D41289"/>
    <w:rsid w:val="00D41758"/>
    <w:rsid w:val="00D41E83"/>
    <w:rsid w:val="00D41EF8"/>
    <w:rsid w:val="00D42512"/>
    <w:rsid w:val="00D4290D"/>
    <w:rsid w:val="00D42A40"/>
    <w:rsid w:val="00D42E04"/>
    <w:rsid w:val="00D431B5"/>
    <w:rsid w:val="00D43237"/>
    <w:rsid w:val="00D43368"/>
    <w:rsid w:val="00D433C0"/>
    <w:rsid w:val="00D43454"/>
    <w:rsid w:val="00D4353E"/>
    <w:rsid w:val="00D437BE"/>
    <w:rsid w:val="00D43802"/>
    <w:rsid w:val="00D43837"/>
    <w:rsid w:val="00D43881"/>
    <w:rsid w:val="00D43A88"/>
    <w:rsid w:val="00D43CAD"/>
    <w:rsid w:val="00D43F41"/>
    <w:rsid w:val="00D43F53"/>
    <w:rsid w:val="00D43FED"/>
    <w:rsid w:val="00D4429B"/>
    <w:rsid w:val="00D44536"/>
    <w:rsid w:val="00D4457D"/>
    <w:rsid w:val="00D448B7"/>
    <w:rsid w:val="00D44D63"/>
    <w:rsid w:val="00D44EAD"/>
    <w:rsid w:val="00D44F75"/>
    <w:rsid w:val="00D45046"/>
    <w:rsid w:val="00D45731"/>
    <w:rsid w:val="00D45EF7"/>
    <w:rsid w:val="00D4608D"/>
    <w:rsid w:val="00D460E2"/>
    <w:rsid w:val="00D46258"/>
    <w:rsid w:val="00D46267"/>
    <w:rsid w:val="00D464E5"/>
    <w:rsid w:val="00D4683A"/>
    <w:rsid w:val="00D4689C"/>
    <w:rsid w:val="00D46A05"/>
    <w:rsid w:val="00D46B9E"/>
    <w:rsid w:val="00D46BB5"/>
    <w:rsid w:val="00D46ED0"/>
    <w:rsid w:val="00D47950"/>
    <w:rsid w:val="00D47A94"/>
    <w:rsid w:val="00D47BB5"/>
    <w:rsid w:val="00D47BE2"/>
    <w:rsid w:val="00D47CCB"/>
    <w:rsid w:val="00D500E9"/>
    <w:rsid w:val="00D50FA4"/>
    <w:rsid w:val="00D512D8"/>
    <w:rsid w:val="00D51578"/>
    <w:rsid w:val="00D51739"/>
    <w:rsid w:val="00D517BF"/>
    <w:rsid w:val="00D517D0"/>
    <w:rsid w:val="00D51B19"/>
    <w:rsid w:val="00D51C0B"/>
    <w:rsid w:val="00D51FCA"/>
    <w:rsid w:val="00D5245F"/>
    <w:rsid w:val="00D52DD0"/>
    <w:rsid w:val="00D52EFD"/>
    <w:rsid w:val="00D530B1"/>
    <w:rsid w:val="00D531C2"/>
    <w:rsid w:val="00D5343F"/>
    <w:rsid w:val="00D541C8"/>
    <w:rsid w:val="00D542A5"/>
    <w:rsid w:val="00D54506"/>
    <w:rsid w:val="00D546D6"/>
    <w:rsid w:val="00D5470D"/>
    <w:rsid w:val="00D5493D"/>
    <w:rsid w:val="00D54F0C"/>
    <w:rsid w:val="00D55004"/>
    <w:rsid w:val="00D551B2"/>
    <w:rsid w:val="00D551B7"/>
    <w:rsid w:val="00D55242"/>
    <w:rsid w:val="00D55259"/>
    <w:rsid w:val="00D55A94"/>
    <w:rsid w:val="00D55A9D"/>
    <w:rsid w:val="00D55AD6"/>
    <w:rsid w:val="00D55FBE"/>
    <w:rsid w:val="00D56146"/>
    <w:rsid w:val="00D56325"/>
    <w:rsid w:val="00D563F5"/>
    <w:rsid w:val="00D56577"/>
    <w:rsid w:val="00D56825"/>
    <w:rsid w:val="00D56D40"/>
    <w:rsid w:val="00D57197"/>
    <w:rsid w:val="00D572E3"/>
    <w:rsid w:val="00D57316"/>
    <w:rsid w:val="00D575AA"/>
    <w:rsid w:val="00D575B6"/>
    <w:rsid w:val="00D576B8"/>
    <w:rsid w:val="00D576F2"/>
    <w:rsid w:val="00D57889"/>
    <w:rsid w:val="00D57926"/>
    <w:rsid w:val="00D57D92"/>
    <w:rsid w:val="00D57FA3"/>
    <w:rsid w:val="00D60344"/>
    <w:rsid w:val="00D60B33"/>
    <w:rsid w:val="00D60DC1"/>
    <w:rsid w:val="00D60E43"/>
    <w:rsid w:val="00D6147D"/>
    <w:rsid w:val="00D61925"/>
    <w:rsid w:val="00D61A26"/>
    <w:rsid w:val="00D61A3C"/>
    <w:rsid w:val="00D61A80"/>
    <w:rsid w:val="00D61D81"/>
    <w:rsid w:val="00D61F9D"/>
    <w:rsid w:val="00D61FB4"/>
    <w:rsid w:val="00D62130"/>
    <w:rsid w:val="00D621A1"/>
    <w:rsid w:val="00D62375"/>
    <w:rsid w:val="00D62404"/>
    <w:rsid w:val="00D624C5"/>
    <w:rsid w:val="00D6284E"/>
    <w:rsid w:val="00D62F5E"/>
    <w:rsid w:val="00D63147"/>
    <w:rsid w:val="00D63209"/>
    <w:rsid w:val="00D63285"/>
    <w:rsid w:val="00D634E2"/>
    <w:rsid w:val="00D63625"/>
    <w:rsid w:val="00D63CF6"/>
    <w:rsid w:val="00D63EE2"/>
    <w:rsid w:val="00D64496"/>
    <w:rsid w:val="00D64FA0"/>
    <w:rsid w:val="00D650B3"/>
    <w:rsid w:val="00D656AD"/>
    <w:rsid w:val="00D65845"/>
    <w:rsid w:val="00D65B01"/>
    <w:rsid w:val="00D65B78"/>
    <w:rsid w:val="00D65C4B"/>
    <w:rsid w:val="00D65D83"/>
    <w:rsid w:val="00D65FEA"/>
    <w:rsid w:val="00D66405"/>
    <w:rsid w:val="00D66757"/>
    <w:rsid w:val="00D6683C"/>
    <w:rsid w:val="00D66BA6"/>
    <w:rsid w:val="00D66F09"/>
    <w:rsid w:val="00D67095"/>
    <w:rsid w:val="00D67261"/>
    <w:rsid w:val="00D6734F"/>
    <w:rsid w:val="00D67427"/>
    <w:rsid w:val="00D677C3"/>
    <w:rsid w:val="00D67B20"/>
    <w:rsid w:val="00D67D75"/>
    <w:rsid w:val="00D67DE1"/>
    <w:rsid w:val="00D70288"/>
    <w:rsid w:val="00D706F0"/>
    <w:rsid w:val="00D70D31"/>
    <w:rsid w:val="00D71072"/>
    <w:rsid w:val="00D712D8"/>
    <w:rsid w:val="00D713D5"/>
    <w:rsid w:val="00D715CB"/>
    <w:rsid w:val="00D71732"/>
    <w:rsid w:val="00D71792"/>
    <w:rsid w:val="00D71A23"/>
    <w:rsid w:val="00D71F71"/>
    <w:rsid w:val="00D722A1"/>
    <w:rsid w:val="00D72419"/>
    <w:rsid w:val="00D72C8C"/>
    <w:rsid w:val="00D72CCD"/>
    <w:rsid w:val="00D72D4A"/>
    <w:rsid w:val="00D72E14"/>
    <w:rsid w:val="00D72F8F"/>
    <w:rsid w:val="00D732C8"/>
    <w:rsid w:val="00D733CC"/>
    <w:rsid w:val="00D738B2"/>
    <w:rsid w:val="00D73C69"/>
    <w:rsid w:val="00D73D60"/>
    <w:rsid w:val="00D74037"/>
    <w:rsid w:val="00D74239"/>
    <w:rsid w:val="00D7446E"/>
    <w:rsid w:val="00D7461D"/>
    <w:rsid w:val="00D74F53"/>
    <w:rsid w:val="00D750DE"/>
    <w:rsid w:val="00D75333"/>
    <w:rsid w:val="00D754D5"/>
    <w:rsid w:val="00D755C6"/>
    <w:rsid w:val="00D757B5"/>
    <w:rsid w:val="00D758CA"/>
    <w:rsid w:val="00D75AA1"/>
    <w:rsid w:val="00D75DA2"/>
    <w:rsid w:val="00D75E33"/>
    <w:rsid w:val="00D75F81"/>
    <w:rsid w:val="00D7612E"/>
    <w:rsid w:val="00D764D9"/>
    <w:rsid w:val="00D7683C"/>
    <w:rsid w:val="00D76C15"/>
    <w:rsid w:val="00D76FA8"/>
    <w:rsid w:val="00D76FC4"/>
    <w:rsid w:val="00D77244"/>
    <w:rsid w:val="00D773FB"/>
    <w:rsid w:val="00D77737"/>
    <w:rsid w:val="00D77A57"/>
    <w:rsid w:val="00D77AEA"/>
    <w:rsid w:val="00D77BE7"/>
    <w:rsid w:val="00D77E89"/>
    <w:rsid w:val="00D800E6"/>
    <w:rsid w:val="00D801BE"/>
    <w:rsid w:val="00D80228"/>
    <w:rsid w:val="00D809C5"/>
    <w:rsid w:val="00D80DA9"/>
    <w:rsid w:val="00D80DC4"/>
    <w:rsid w:val="00D81295"/>
    <w:rsid w:val="00D81464"/>
    <w:rsid w:val="00D81475"/>
    <w:rsid w:val="00D81622"/>
    <w:rsid w:val="00D81D26"/>
    <w:rsid w:val="00D81DC8"/>
    <w:rsid w:val="00D81EDD"/>
    <w:rsid w:val="00D81F57"/>
    <w:rsid w:val="00D8251D"/>
    <w:rsid w:val="00D83AA6"/>
    <w:rsid w:val="00D83B29"/>
    <w:rsid w:val="00D84081"/>
    <w:rsid w:val="00D8415B"/>
    <w:rsid w:val="00D84494"/>
    <w:rsid w:val="00D84770"/>
    <w:rsid w:val="00D84913"/>
    <w:rsid w:val="00D84C7F"/>
    <w:rsid w:val="00D84C94"/>
    <w:rsid w:val="00D84CD1"/>
    <w:rsid w:val="00D85058"/>
    <w:rsid w:val="00D85CFB"/>
    <w:rsid w:val="00D85E57"/>
    <w:rsid w:val="00D86694"/>
    <w:rsid w:val="00D86981"/>
    <w:rsid w:val="00D86ADA"/>
    <w:rsid w:val="00D86DA5"/>
    <w:rsid w:val="00D86E20"/>
    <w:rsid w:val="00D87383"/>
    <w:rsid w:val="00D87A0D"/>
    <w:rsid w:val="00D87E95"/>
    <w:rsid w:val="00D87FA0"/>
    <w:rsid w:val="00D87FB1"/>
    <w:rsid w:val="00D90172"/>
    <w:rsid w:val="00D90245"/>
    <w:rsid w:val="00D90648"/>
    <w:rsid w:val="00D9081B"/>
    <w:rsid w:val="00D90831"/>
    <w:rsid w:val="00D90CBE"/>
    <w:rsid w:val="00D90FAA"/>
    <w:rsid w:val="00D91120"/>
    <w:rsid w:val="00D912B8"/>
    <w:rsid w:val="00D915F4"/>
    <w:rsid w:val="00D91AAD"/>
    <w:rsid w:val="00D91B07"/>
    <w:rsid w:val="00D91B5D"/>
    <w:rsid w:val="00D91BF0"/>
    <w:rsid w:val="00D9205B"/>
    <w:rsid w:val="00D923BA"/>
    <w:rsid w:val="00D9299C"/>
    <w:rsid w:val="00D92BA0"/>
    <w:rsid w:val="00D92FF6"/>
    <w:rsid w:val="00D9309C"/>
    <w:rsid w:val="00D931CD"/>
    <w:rsid w:val="00D93995"/>
    <w:rsid w:val="00D93AD6"/>
    <w:rsid w:val="00D9467D"/>
    <w:rsid w:val="00D94C9E"/>
    <w:rsid w:val="00D94DEE"/>
    <w:rsid w:val="00D95046"/>
    <w:rsid w:val="00D9540D"/>
    <w:rsid w:val="00D95511"/>
    <w:rsid w:val="00D95AC2"/>
    <w:rsid w:val="00D969F4"/>
    <w:rsid w:val="00D96EB1"/>
    <w:rsid w:val="00D97236"/>
    <w:rsid w:val="00D97501"/>
    <w:rsid w:val="00D97659"/>
    <w:rsid w:val="00D976E0"/>
    <w:rsid w:val="00D977C0"/>
    <w:rsid w:val="00D97A2D"/>
    <w:rsid w:val="00D97A7E"/>
    <w:rsid w:val="00D97B24"/>
    <w:rsid w:val="00D97CA4"/>
    <w:rsid w:val="00D97D9B"/>
    <w:rsid w:val="00DA0089"/>
    <w:rsid w:val="00DA0226"/>
    <w:rsid w:val="00DA0531"/>
    <w:rsid w:val="00DA07C4"/>
    <w:rsid w:val="00DA08EC"/>
    <w:rsid w:val="00DA0B06"/>
    <w:rsid w:val="00DA101C"/>
    <w:rsid w:val="00DA11F2"/>
    <w:rsid w:val="00DA129A"/>
    <w:rsid w:val="00DA13AE"/>
    <w:rsid w:val="00DA159E"/>
    <w:rsid w:val="00DA17DB"/>
    <w:rsid w:val="00DA19D8"/>
    <w:rsid w:val="00DA1DBD"/>
    <w:rsid w:val="00DA206E"/>
    <w:rsid w:val="00DA2284"/>
    <w:rsid w:val="00DA2416"/>
    <w:rsid w:val="00DA243E"/>
    <w:rsid w:val="00DA24BE"/>
    <w:rsid w:val="00DA2548"/>
    <w:rsid w:val="00DA2646"/>
    <w:rsid w:val="00DA2867"/>
    <w:rsid w:val="00DA2ACE"/>
    <w:rsid w:val="00DA2D73"/>
    <w:rsid w:val="00DA307B"/>
    <w:rsid w:val="00DA3084"/>
    <w:rsid w:val="00DA331F"/>
    <w:rsid w:val="00DA3408"/>
    <w:rsid w:val="00DA3524"/>
    <w:rsid w:val="00DA356A"/>
    <w:rsid w:val="00DA3A1E"/>
    <w:rsid w:val="00DA3A47"/>
    <w:rsid w:val="00DA3A5B"/>
    <w:rsid w:val="00DA420D"/>
    <w:rsid w:val="00DA4826"/>
    <w:rsid w:val="00DA491C"/>
    <w:rsid w:val="00DA49F8"/>
    <w:rsid w:val="00DA4B34"/>
    <w:rsid w:val="00DA5060"/>
    <w:rsid w:val="00DA5258"/>
    <w:rsid w:val="00DA594F"/>
    <w:rsid w:val="00DA59E4"/>
    <w:rsid w:val="00DA5B52"/>
    <w:rsid w:val="00DA5F55"/>
    <w:rsid w:val="00DA60CE"/>
    <w:rsid w:val="00DA68A6"/>
    <w:rsid w:val="00DA6B4B"/>
    <w:rsid w:val="00DA6DA4"/>
    <w:rsid w:val="00DA7F00"/>
    <w:rsid w:val="00DB0140"/>
    <w:rsid w:val="00DB0253"/>
    <w:rsid w:val="00DB02FC"/>
    <w:rsid w:val="00DB0667"/>
    <w:rsid w:val="00DB06B2"/>
    <w:rsid w:val="00DB08C6"/>
    <w:rsid w:val="00DB0949"/>
    <w:rsid w:val="00DB0B54"/>
    <w:rsid w:val="00DB0C99"/>
    <w:rsid w:val="00DB0F7C"/>
    <w:rsid w:val="00DB121A"/>
    <w:rsid w:val="00DB1713"/>
    <w:rsid w:val="00DB187D"/>
    <w:rsid w:val="00DB1977"/>
    <w:rsid w:val="00DB1F4C"/>
    <w:rsid w:val="00DB244E"/>
    <w:rsid w:val="00DB2638"/>
    <w:rsid w:val="00DB29C5"/>
    <w:rsid w:val="00DB2A38"/>
    <w:rsid w:val="00DB2B10"/>
    <w:rsid w:val="00DB2BCA"/>
    <w:rsid w:val="00DB3157"/>
    <w:rsid w:val="00DB31B5"/>
    <w:rsid w:val="00DB32CE"/>
    <w:rsid w:val="00DB3498"/>
    <w:rsid w:val="00DB374D"/>
    <w:rsid w:val="00DB3E6D"/>
    <w:rsid w:val="00DB44C5"/>
    <w:rsid w:val="00DB4833"/>
    <w:rsid w:val="00DB4E36"/>
    <w:rsid w:val="00DB4EBB"/>
    <w:rsid w:val="00DB53FD"/>
    <w:rsid w:val="00DB55EB"/>
    <w:rsid w:val="00DB57D0"/>
    <w:rsid w:val="00DB5B27"/>
    <w:rsid w:val="00DB620C"/>
    <w:rsid w:val="00DB6303"/>
    <w:rsid w:val="00DB6413"/>
    <w:rsid w:val="00DB6B3C"/>
    <w:rsid w:val="00DB6C85"/>
    <w:rsid w:val="00DB6CF3"/>
    <w:rsid w:val="00DB6D63"/>
    <w:rsid w:val="00DB72F9"/>
    <w:rsid w:val="00DB7B08"/>
    <w:rsid w:val="00DB7FF8"/>
    <w:rsid w:val="00DC00B0"/>
    <w:rsid w:val="00DC00FB"/>
    <w:rsid w:val="00DC0190"/>
    <w:rsid w:val="00DC0313"/>
    <w:rsid w:val="00DC03B4"/>
    <w:rsid w:val="00DC05F8"/>
    <w:rsid w:val="00DC06F7"/>
    <w:rsid w:val="00DC07B2"/>
    <w:rsid w:val="00DC18A7"/>
    <w:rsid w:val="00DC19AD"/>
    <w:rsid w:val="00DC1B83"/>
    <w:rsid w:val="00DC1E98"/>
    <w:rsid w:val="00DC1FE3"/>
    <w:rsid w:val="00DC24CC"/>
    <w:rsid w:val="00DC2BD7"/>
    <w:rsid w:val="00DC2D18"/>
    <w:rsid w:val="00DC2E3D"/>
    <w:rsid w:val="00DC2FAD"/>
    <w:rsid w:val="00DC3141"/>
    <w:rsid w:val="00DC3343"/>
    <w:rsid w:val="00DC34C1"/>
    <w:rsid w:val="00DC35B9"/>
    <w:rsid w:val="00DC3849"/>
    <w:rsid w:val="00DC3895"/>
    <w:rsid w:val="00DC3B96"/>
    <w:rsid w:val="00DC3D7D"/>
    <w:rsid w:val="00DC3F62"/>
    <w:rsid w:val="00DC4067"/>
    <w:rsid w:val="00DC43D0"/>
    <w:rsid w:val="00DC47AC"/>
    <w:rsid w:val="00DC4B5B"/>
    <w:rsid w:val="00DC4FD7"/>
    <w:rsid w:val="00DC5361"/>
    <w:rsid w:val="00DC55A3"/>
    <w:rsid w:val="00DC569F"/>
    <w:rsid w:val="00DC595F"/>
    <w:rsid w:val="00DC59D7"/>
    <w:rsid w:val="00DC5EF5"/>
    <w:rsid w:val="00DC603D"/>
    <w:rsid w:val="00DC636A"/>
    <w:rsid w:val="00DC6441"/>
    <w:rsid w:val="00DC65D8"/>
    <w:rsid w:val="00DC678A"/>
    <w:rsid w:val="00DC6905"/>
    <w:rsid w:val="00DC6F8C"/>
    <w:rsid w:val="00DC7276"/>
    <w:rsid w:val="00DC73F2"/>
    <w:rsid w:val="00DC7430"/>
    <w:rsid w:val="00DC746F"/>
    <w:rsid w:val="00DC79CA"/>
    <w:rsid w:val="00DC7AFA"/>
    <w:rsid w:val="00DD0087"/>
    <w:rsid w:val="00DD00E8"/>
    <w:rsid w:val="00DD0303"/>
    <w:rsid w:val="00DD0456"/>
    <w:rsid w:val="00DD0B89"/>
    <w:rsid w:val="00DD0C0C"/>
    <w:rsid w:val="00DD0D6A"/>
    <w:rsid w:val="00DD10C4"/>
    <w:rsid w:val="00DD1433"/>
    <w:rsid w:val="00DD171E"/>
    <w:rsid w:val="00DD1807"/>
    <w:rsid w:val="00DD18B3"/>
    <w:rsid w:val="00DD1947"/>
    <w:rsid w:val="00DD1964"/>
    <w:rsid w:val="00DD19C2"/>
    <w:rsid w:val="00DD1A21"/>
    <w:rsid w:val="00DD1B16"/>
    <w:rsid w:val="00DD1DAB"/>
    <w:rsid w:val="00DD1DF6"/>
    <w:rsid w:val="00DD1FDB"/>
    <w:rsid w:val="00DD2211"/>
    <w:rsid w:val="00DD225F"/>
    <w:rsid w:val="00DD23CF"/>
    <w:rsid w:val="00DD2443"/>
    <w:rsid w:val="00DD2565"/>
    <w:rsid w:val="00DD28F6"/>
    <w:rsid w:val="00DD2FAC"/>
    <w:rsid w:val="00DD31C3"/>
    <w:rsid w:val="00DD32AC"/>
    <w:rsid w:val="00DD3330"/>
    <w:rsid w:val="00DD3CBB"/>
    <w:rsid w:val="00DD3DE7"/>
    <w:rsid w:val="00DD3EC3"/>
    <w:rsid w:val="00DD466E"/>
    <w:rsid w:val="00DD4737"/>
    <w:rsid w:val="00DD4CD4"/>
    <w:rsid w:val="00DD571F"/>
    <w:rsid w:val="00DD594A"/>
    <w:rsid w:val="00DD5F64"/>
    <w:rsid w:val="00DD6C4E"/>
    <w:rsid w:val="00DD6CFD"/>
    <w:rsid w:val="00DD6F33"/>
    <w:rsid w:val="00DD6F7A"/>
    <w:rsid w:val="00DD70BF"/>
    <w:rsid w:val="00DD77D0"/>
    <w:rsid w:val="00DD7964"/>
    <w:rsid w:val="00DD7AAA"/>
    <w:rsid w:val="00DD7CB5"/>
    <w:rsid w:val="00DD7E77"/>
    <w:rsid w:val="00DD7EB0"/>
    <w:rsid w:val="00DE0351"/>
    <w:rsid w:val="00DE0493"/>
    <w:rsid w:val="00DE0B2E"/>
    <w:rsid w:val="00DE0DE7"/>
    <w:rsid w:val="00DE1153"/>
    <w:rsid w:val="00DE198E"/>
    <w:rsid w:val="00DE2060"/>
    <w:rsid w:val="00DE25E4"/>
    <w:rsid w:val="00DE2A51"/>
    <w:rsid w:val="00DE2FC6"/>
    <w:rsid w:val="00DE310A"/>
    <w:rsid w:val="00DE3208"/>
    <w:rsid w:val="00DE34B7"/>
    <w:rsid w:val="00DE3F08"/>
    <w:rsid w:val="00DE3F28"/>
    <w:rsid w:val="00DE4178"/>
    <w:rsid w:val="00DE4578"/>
    <w:rsid w:val="00DE487C"/>
    <w:rsid w:val="00DE4916"/>
    <w:rsid w:val="00DE4CBA"/>
    <w:rsid w:val="00DE4F01"/>
    <w:rsid w:val="00DE52C3"/>
    <w:rsid w:val="00DE5655"/>
    <w:rsid w:val="00DE571A"/>
    <w:rsid w:val="00DE5BC6"/>
    <w:rsid w:val="00DE5D39"/>
    <w:rsid w:val="00DE5EB0"/>
    <w:rsid w:val="00DE6026"/>
    <w:rsid w:val="00DE6484"/>
    <w:rsid w:val="00DE64A2"/>
    <w:rsid w:val="00DE657D"/>
    <w:rsid w:val="00DE69F2"/>
    <w:rsid w:val="00DE6B06"/>
    <w:rsid w:val="00DE6C41"/>
    <w:rsid w:val="00DE6EBD"/>
    <w:rsid w:val="00DE79F7"/>
    <w:rsid w:val="00DE7B34"/>
    <w:rsid w:val="00DF0412"/>
    <w:rsid w:val="00DF081E"/>
    <w:rsid w:val="00DF0C9B"/>
    <w:rsid w:val="00DF0FDF"/>
    <w:rsid w:val="00DF14ED"/>
    <w:rsid w:val="00DF1596"/>
    <w:rsid w:val="00DF169D"/>
    <w:rsid w:val="00DF1705"/>
    <w:rsid w:val="00DF176E"/>
    <w:rsid w:val="00DF206C"/>
    <w:rsid w:val="00DF2339"/>
    <w:rsid w:val="00DF2A73"/>
    <w:rsid w:val="00DF2AD4"/>
    <w:rsid w:val="00DF32BE"/>
    <w:rsid w:val="00DF335F"/>
    <w:rsid w:val="00DF37E6"/>
    <w:rsid w:val="00DF3B64"/>
    <w:rsid w:val="00DF4312"/>
    <w:rsid w:val="00DF44B3"/>
    <w:rsid w:val="00DF4C7A"/>
    <w:rsid w:val="00DF507D"/>
    <w:rsid w:val="00DF528E"/>
    <w:rsid w:val="00DF5340"/>
    <w:rsid w:val="00DF5AA2"/>
    <w:rsid w:val="00DF5E3B"/>
    <w:rsid w:val="00DF5EF8"/>
    <w:rsid w:val="00DF6005"/>
    <w:rsid w:val="00DF603A"/>
    <w:rsid w:val="00DF61F0"/>
    <w:rsid w:val="00DF6341"/>
    <w:rsid w:val="00DF6539"/>
    <w:rsid w:val="00DF6A59"/>
    <w:rsid w:val="00DF6C28"/>
    <w:rsid w:val="00DF6D86"/>
    <w:rsid w:val="00DF78ED"/>
    <w:rsid w:val="00DF7FD2"/>
    <w:rsid w:val="00E0007F"/>
    <w:rsid w:val="00E008CF"/>
    <w:rsid w:val="00E00CC4"/>
    <w:rsid w:val="00E013C8"/>
    <w:rsid w:val="00E01561"/>
    <w:rsid w:val="00E0156C"/>
    <w:rsid w:val="00E016FB"/>
    <w:rsid w:val="00E0182F"/>
    <w:rsid w:val="00E01BA7"/>
    <w:rsid w:val="00E01D05"/>
    <w:rsid w:val="00E0200C"/>
    <w:rsid w:val="00E021B4"/>
    <w:rsid w:val="00E0238D"/>
    <w:rsid w:val="00E023AE"/>
    <w:rsid w:val="00E025F8"/>
    <w:rsid w:val="00E0268A"/>
    <w:rsid w:val="00E02732"/>
    <w:rsid w:val="00E02D94"/>
    <w:rsid w:val="00E0323D"/>
    <w:rsid w:val="00E0331C"/>
    <w:rsid w:val="00E03529"/>
    <w:rsid w:val="00E03561"/>
    <w:rsid w:val="00E03A38"/>
    <w:rsid w:val="00E03DDF"/>
    <w:rsid w:val="00E03F39"/>
    <w:rsid w:val="00E03F71"/>
    <w:rsid w:val="00E04583"/>
    <w:rsid w:val="00E0465E"/>
    <w:rsid w:val="00E04754"/>
    <w:rsid w:val="00E04D07"/>
    <w:rsid w:val="00E04F6F"/>
    <w:rsid w:val="00E0514B"/>
    <w:rsid w:val="00E0534F"/>
    <w:rsid w:val="00E0535B"/>
    <w:rsid w:val="00E05417"/>
    <w:rsid w:val="00E05624"/>
    <w:rsid w:val="00E0597C"/>
    <w:rsid w:val="00E05EF1"/>
    <w:rsid w:val="00E0610A"/>
    <w:rsid w:val="00E0628D"/>
    <w:rsid w:val="00E062F5"/>
    <w:rsid w:val="00E06537"/>
    <w:rsid w:val="00E06643"/>
    <w:rsid w:val="00E06A04"/>
    <w:rsid w:val="00E06D6B"/>
    <w:rsid w:val="00E07078"/>
    <w:rsid w:val="00E07382"/>
    <w:rsid w:val="00E074AF"/>
    <w:rsid w:val="00E0763C"/>
    <w:rsid w:val="00E0770A"/>
    <w:rsid w:val="00E07D59"/>
    <w:rsid w:val="00E105D7"/>
    <w:rsid w:val="00E106E4"/>
    <w:rsid w:val="00E1076D"/>
    <w:rsid w:val="00E107F8"/>
    <w:rsid w:val="00E10899"/>
    <w:rsid w:val="00E1151A"/>
    <w:rsid w:val="00E11745"/>
    <w:rsid w:val="00E11C03"/>
    <w:rsid w:val="00E11D44"/>
    <w:rsid w:val="00E11DED"/>
    <w:rsid w:val="00E1204E"/>
    <w:rsid w:val="00E12667"/>
    <w:rsid w:val="00E12741"/>
    <w:rsid w:val="00E127F1"/>
    <w:rsid w:val="00E12C54"/>
    <w:rsid w:val="00E1346C"/>
    <w:rsid w:val="00E1384D"/>
    <w:rsid w:val="00E13902"/>
    <w:rsid w:val="00E13C28"/>
    <w:rsid w:val="00E14142"/>
    <w:rsid w:val="00E144FD"/>
    <w:rsid w:val="00E145D7"/>
    <w:rsid w:val="00E14991"/>
    <w:rsid w:val="00E14B25"/>
    <w:rsid w:val="00E14B6E"/>
    <w:rsid w:val="00E14D91"/>
    <w:rsid w:val="00E14E9F"/>
    <w:rsid w:val="00E15128"/>
    <w:rsid w:val="00E155BE"/>
    <w:rsid w:val="00E155F8"/>
    <w:rsid w:val="00E15691"/>
    <w:rsid w:val="00E1599B"/>
    <w:rsid w:val="00E15D96"/>
    <w:rsid w:val="00E15E9A"/>
    <w:rsid w:val="00E15F00"/>
    <w:rsid w:val="00E15F49"/>
    <w:rsid w:val="00E162EE"/>
    <w:rsid w:val="00E16788"/>
    <w:rsid w:val="00E16942"/>
    <w:rsid w:val="00E16A10"/>
    <w:rsid w:val="00E17640"/>
    <w:rsid w:val="00E17B1A"/>
    <w:rsid w:val="00E17BB9"/>
    <w:rsid w:val="00E17F5D"/>
    <w:rsid w:val="00E2000F"/>
    <w:rsid w:val="00E2029D"/>
    <w:rsid w:val="00E203AF"/>
    <w:rsid w:val="00E203B1"/>
    <w:rsid w:val="00E2090D"/>
    <w:rsid w:val="00E20935"/>
    <w:rsid w:val="00E209AF"/>
    <w:rsid w:val="00E20AA4"/>
    <w:rsid w:val="00E214C8"/>
    <w:rsid w:val="00E21538"/>
    <w:rsid w:val="00E2189D"/>
    <w:rsid w:val="00E21B1D"/>
    <w:rsid w:val="00E21C89"/>
    <w:rsid w:val="00E21E14"/>
    <w:rsid w:val="00E22649"/>
    <w:rsid w:val="00E22E5E"/>
    <w:rsid w:val="00E2334A"/>
    <w:rsid w:val="00E2378B"/>
    <w:rsid w:val="00E23866"/>
    <w:rsid w:val="00E23C39"/>
    <w:rsid w:val="00E24531"/>
    <w:rsid w:val="00E2462C"/>
    <w:rsid w:val="00E246DE"/>
    <w:rsid w:val="00E250D3"/>
    <w:rsid w:val="00E25C03"/>
    <w:rsid w:val="00E25C9C"/>
    <w:rsid w:val="00E25D06"/>
    <w:rsid w:val="00E26294"/>
    <w:rsid w:val="00E2658B"/>
    <w:rsid w:val="00E26628"/>
    <w:rsid w:val="00E26643"/>
    <w:rsid w:val="00E26724"/>
    <w:rsid w:val="00E2690A"/>
    <w:rsid w:val="00E26B4F"/>
    <w:rsid w:val="00E26F22"/>
    <w:rsid w:val="00E270DC"/>
    <w:rsid w:val="00E27682"/>
    <w:rsid w:val="00E27823"/>
    <w:rsid w:val="00E27908"/>
    <w:rsid w:val="00E27B12"/>
    <w:rsid w:val="00E27BAD"/>
    <w:rsid w:val="00E3018B"/>
    <w:rsid w:val="00E307C1"/>
    <w:rsid w:val="00E309F2"/>
    <w:rsid w:val="00E30B4F"/>
    <w:rsid w:val="00E30D98"/>
    <w:rsid w:val="00E30F8B"/>
    <w:rsid w:val="00E310A5"/>
    <w:rsid w:val="00E31571"/>
    <w:rsid w:val="00E31840"/>
    <w:rsid w:val="00E31915"/>
    <w:rsid w:val="00E31CB4"/>
    <w:rsid w:val="00E321B3"/>
    <w:rsid w:val="00E322D8"/>
    <w:rsid w:val="00E32679"/>
    <w:rsid w:val="00E3282D"/>
    <w:rsid w:val="00E32C0C"/>
    <w:rsid w:val="00E32D52"/>
    <w:rsid w:val="00E32D6D"/>
    <w:rsid w:val="00E3300E"/>
    <w:rsid w:val="00E331B6"/>
    <w:rsid w:val="00E33430"/>
    <w:rsid w:val="00E33474"/>
    <w:rsid w:val="00E33565"/>
    <w:rsid w:val="00E338AB"/>
    <w:rsid w:val="00E33A16"/>
    <w:rsid w:val="00E33B45"/>
    <w:rsid w:val="00E3432B"/>
    <w:rsid w:val="00E347AE"/>
    <w:rsid w:val="00E347C7"/>
    <w:rsid w:val="00E34893"/>
    <w:rsid w:val="00E34EBE"/>
    <w:rsid w:val="00E3505D"/>
    <w:rsid w:val="00E350D6"/>
    <w:rsid w:val="00E350DA"/>
    <w:rsid w:val="00E353BA"/>
    <w:rsid w:val="00E35654"/>
    <w:rsid w:val="00E356A2"/>
    <w:rsid w:val="00E35A53"/>
    <w:rsid w:val="00E35C7B"/>
    <w:rsid w:val="00E35DA7"/>
    <w:rsid w:val="00E35FEF"/>
    <w:rsid w:val="00E3686B"/>
    <w:rsid w:val="00E36BF8"/>
    <w:rsid w:val="00E36F3F"/>
    <w:rsid w:val="00E36F41"/>
    <w:rsid w:val="00E36FB6"/>
    <w:rsid w:val="00E3726A"/>
    <w:rsid w:val="00E3749E"/>
    <w:rsid w:val="00E37CD4"/>
    <w:rsid w:val="00E37D1B"/>
    <w:rsid w:val="00E37E64"/>
    <w:rsid w:val="00E37FFC"/>
    <w:rsid w:val="00E400BF"/>
    <w:rsid w:val="00E40C16"/>
    <w:rsid w:val="00E40CC2"/>
    <w:rsid w:val="00E417D0"/>
    <w:rsid w:val="00E41B9C"/>
    <w:rsid w:val="00E41E75"/>
    <w:rsid w:val="00E41F9B"/>
    <w:rsid w:val="00E41FE9"/>
    <w:rsid w:val="00E421D5"/>
    <w:rsid w:val="00E426A9"/>
    <w:rsid w:val="00E42F33"/>
    <w:rsid w:val="00E431A0"/>
    <w:rsid w:val="00E43E4C"/>
    <w:rsid w:val="00E4414D"/>
    <w:rsid w:val="00E44301"/>
    <w:rsid w:val="00E4453F"/>
    <w:rsid w:val="00E445A3"/>
    <w:rsid w:val="00E4471F"/>
    <w:rsid w:val="00E447F7"/>
    <w:rsid w:val="00E44971"/>
    <w:rsid w:val="00E449A4"/>
    <w:rsid w:val="00E456E9"/>
    <w:rsid w:val="00E45F39"/>
    <w:rsid w:val="00E46433"/>
    <w:rsid w:val="00E46549"/>
    <w:rsid w:val="00E46696"/>
    <w:rsid w:val="00E46788"/>
    <w:rsid w:val="00E468D6"/>
    <w:rsid w:val="00E468DE"/>
    <w:rsid w:val="00E47016"/>
    <w:rsid w:val="00E4739D"/>
    <w:rsid w:val="00E4756F"/>
    <w:rsid w:val="00E47A71"/>
    <w:rsid w:val="00E500AE"/>
    <w:rsid w:val="00E505EE"/>
    <w:rsid w:val="00E50626"/>
    <w:rsid w:val="00E506DC"/>
    <w:rsid w:val="00E50827"/>
    <w:rsid w:val="00E50BFA"/>
    <w:rsid w:val="00E50D11"/>
    <w:rsid w:val="00E50EBF"/>
    <w:rsid w:val="00E50F3C"/>
    <w:rsid w:val="00E5143A"/>
    <w:rsid w:val="00E515FE"/>
    <w:rsid w:val="00E51A82"/>
    <w:rsid w:val="00E51BD0"/>
    <w:rsid w:val="00E521FE"/>
    <w:rsid w:val="00E522E6"/>
    <w:rsid w:val="00E528EC"/>
    <w:rsid w:val="00E52B9D"/>
    <w:rsid w:val="00E52CE7"/>
    <w:rsid w:val="00E52DB7"/>
    <w:rsid w:val="00E53011"/>
    <w:rsid w:val="00E53469"/>
    <w:rsid w:val="00E537E7"/>
    <w:rsid w:val="00E53ECF"/>
    <w:rsid w:val="00E5401C"/>
    <w:rsid w:val="00E54108"/>
    <w:rsid w:val="00E5428A"/>
    <w:rsid w:val="00E5454A"/>
    <w:rsid w:val="00E5461E"/>
    <w:rsid w:val="00E54701"/>
    <w:rsid w:val="00E5471D"/>
    <w:rsid w:val="00E54904"/>
    <w:rsid w:val="00E54AD1"/>
    <w:rsid w:val="00E54E0B"/>
    <w:rsid w:val="00E54EB1"/>
    <w:rsid w:val="00E54F34"/>
    <w:rsid w:val="00E55071"/>
    <w:rsid w:val="00E553A6"/>
    <w:rsid w:val="00E5559F"/>
    <w:rsid w:val="00E55669"/>
    <w:rsid w:val="00E5567D"/>
    <w:rsid w:val="00E55866"/>
    <w:rsid w:val="00E55BDE"/>
    <w:rsid w:val="00E55ED3"/>
    <w:rsid w:val="00E55FA0"/>
    <w:rsid w:val="00E55FC6"/>
    <w:rsid w:val="00E5614C"/>
    <w:rsid w:val="00E563CA"/>
    <w:rsid w:val="00E563FB"/>
    <w:rsid w:val="00E5641D"/>
    <w:rsid w:val="00E56722"/>
    <w:rsid w:val="00E5678E"/>
    <w:rsid w:val="00E57193"/>
    <w:rsid w:val="00E57318"/>
    <w:rsid w:val="00E57AFD"/>
    <w:rsid w:val="00E57B7E"/>
    <w:rsid w:val="00E601B5"/>
    <w:rsid w:val="00E607F4"/>
    <w:rsid w:val="00E60AB8"/>
    <w:rsid w:val="00E60AD0"/>
    <w:rsid w:val="00E60CF7"/>
    <w:rsid w:val="00E619F3"/>
    <w:rsid w:val="00E61BE5"/>
    <w:rsid w:val="00E61F51"/>
    <w:rsid w:val="00E62106"/>
    <w:rsid w:val="00E624A3"/>
    <w:rsid w:val="00E624A8"/>
    <w:rsid w:val="00E624C5"/>
    <w:rsid w:val="00E62710"/>
    <w:rsid w:val="00E62A46"/>
    <w:rsid w:val="00E62BAF"/>
    <w:rsid w:val="00E62BD0"/>
    <w:rsid w:val="00E63260"/>
    <w:rsid w:val="00E63795"/>
    <w:rsid w:val="00E639CE"/>
    <w:rsid w:val="00E639DE"/>
    <w:rsid w:val="00E63B3F"/>
    <w:rsid w:val="00E63E21"/>
    <w:rsid w:val="00E6401E"/>
    <w:rsid w:val="00E640E2"/>
    <w:rsid w:val="00E64513"/>
    <w:rsid w:val="00E6458A"/>
    <w:rsid w:val="00E64771"/>
    <w:rsid w:val="00E65778"/>
    <w:rsid w:val="00E65A93"/>
    <w:rsid w:val="00E65C4C"/>
    <w:rsid w:val="00E65DBC"/>
    <w:rsid w:val="00E65EFD"/>
    <w:rsid w:val="00E66583"/>
    <w:rsid w:val="00E66764"/>
    <w:rsid w:val="00E66770"/>
    <w:rsid w:val="00E6690C"/>
    <w:rsid w:val="00E66A7B"/>
    <w:rsid w:val="00E66B0A"/>
    <w:rsid w:val="00E66FA8"/>
    <w:rsid w:val="00E673B3"/>
    <w:rsid w:val="00E676F8"/>
    <w:rsid w:val="00E67753"/>
    <w:rsid w:val="00E677B9"/>
    <w:rsid w:val="00E67884"/>
    <w:rsid w:val="00E679AC"/>
    <w:rsid w:val="00E67A3F"/>
    <w:rsid w:val="00E67A9B"/>
    <w:rsid w:val="00E67C77"/>
    <w:rsid w:val="00E70974"/>
    <w:rsid w:val="00E7115F"/>
    <w:rsid w:val="00E7133F"/>
    <w:rsid w:val="00E714A2"/>
    <w:rsid w:val="00E718FB"/>
    <w:rsid w:val="00E71DB7"/>
    <w:rsid w:val="00E7225F"/>
    <w:rsid w:val="00E72467"/>
    <w:rsid w:val="00E725BC"/>
    <w:rsid w:val="00E725F0"/>
    <w:rsid w:val="00E72BF1"/>
    <w:rsid w:val="00E73090"/>
    <w:rsid w:val="00E73172"/>
    <w:rsid w:val="00E7328B"/>
    <w:rsid w:val="00E732E0"/>
    <w:rsid w:val="00E7351C"/>
    <w:rsid w:val="00E7396A"/>
    <w:rsid w:val="00E73D16"/>
    <w:rsid w:val="00E74071"/>
    <w:rsid w:val="00E741EA"/>
    <w:rsid w:val="00E7430E"/>
    <w:rsid w:val="00E74327"/>
    <w:rsid w:val="00E7462E"/>
    <w:rsid w:val="00E746CC"/>
    <w:rsid w:val="00E748B9"/>
    <w:rsid w:val="00E74974"/>
    <w:rsid w:val="00E74A81"/>
    <w:rsid w:val="00E74C8C"/>
    <w:rsid w:val="00E75439"/>
    <w:rsid w:val="00E75454"/>
    <w:rsid w:val="00E75987"/>
    <w:rsid w:val="00E75A53"/>
    <w:rsid w:val="00E75C02"/>
    <w:rsid w:val="00E75CA8"/>
    <w:rsid w:val="00E75E35"/>
    <w:rsid w:val="00E7679E"/>
    <w:rsid w:val="00E767F6"/>
    <w:rsid w:val="00E76843"/>
    <w:rsid w:val="00E76AC7"/>
    <w:rsid w:val="00E76B02"/>
    <w:rsid w:val="00E76B0F"/>
    <w:rsid w:val="00E76CA0"/>
    <w:rsid w:val="00E76CA3"/>
    <w:rsid w:val="00E76CAB"/>
    <w:rsid w:val="00E77258"/>
    <w:rsid w:val="00E77949"/>
    <w:rsid w:val="00E77A35"/>
    <w:rsid w:val="00E77CC5"/>
    <w:rsid w:val="00E77DC1"/>
    <w:rsid w:val="00E80113"/>
    <w:rsid w:val="00E804E5"/>
    <w:rsid w:val="00E80FF7"/>
    <w:rsid w:val="00E81139"/>
    <w:rsid w:val="00E816EB"/>
    <w:rsid w:val="00E81959"/>
    <w:rsid w:val="00E81AC6"/>
    <w:rsid w:val="00E8225E"/>
    <w:rsid w:val="00E826EC"/>
    <w:rsid w:val="00E82995"/>
    <w:rsid w:val="00E82FEB"/>
    <w:rsid w:val="00E832F2"/>
    <w:rsid w:val="00E83422"/>
    <w:rsid w:val="00E83518"/>
    <w:rsid w:val="00E839D5"/>
    <w:rsid w:val="00E83C3B"/>
    <w:rsid w:val="00E83FBF"/>
    <w:rsid w:val="00E84161"/>
    <w:rsid w:val="00E841DA"/>
    <w:rsid w:val="00E84286"/>
    <w:rsid w:val="00E8431C"/>
    <w:rsid w:val="00E84324"/>
    <w:rsid w:val="00E843BB"/>
    <w:rsid w:val="00E84566"/>
    <w:rsid w:val="00E84A86"/>
    <w:rsid w:val="00E84C9D"/>
    <w:rsid w:val="00E84D2B"/>
    <w:rsid w:val="00E850F8"/>
    <w:rsid w:val="00E85335"/>
    <w:rsid w:val="00E85536"/>
    <w:rsid w:val="00E85590"/>
    <w:rsid w:val="00E855CB"/>
    <w:rsid w:val="00E856C1"/>
    <w:rsid w:val="00E8595C"/>
    <w:rsid w:val="00E8620C"/>
    <w:rsid w:val="00E8679C"/>
    <w:rsid w:val="00E86954"/>
    <w:rsid w:val="00E86C81"/>
    <w:rsid w:val="00E8743B"/>
    <w:rsid w:val="00E8756B"/>
    <w:rsid w:val="00E8759D"/>
    <w:rsid w:val="00E875DA"/>
    <w:rsid w:val="00E878BC"/>
    <w:rsid w:val="00E8797E"/>
    <w:rsid w:val="00E87ADD"/>
    <w:rsid w:val="00E87E2B"/>
    <w:rsid w:val="00E87EAA"/>
    <w:rsid w:val="00E87F53"/>
    <w:rsid w:val="00E9003C"/>
    <w:rsid w:val="00E90808"/>
    <w:rsid w:val="00E90F33"/>
    <w:rsid w:val="00E911F5"/>
    <w:rsid w:val="00E9127B"/>
    <w:rsid w:val="00E91556"/>
    <w:rsid w:val="00E91647"/>
    <w:rsid w:val="00E91685"/>
    <w:rsid w:val="00E91766"/>
    <w:rsid w:val="00E91924"/>
    <w:rsid w:val="00E91DBD"/>
    <w:rsid w:val="00E9213B"/>
    <w:rsid w:val="00E921F0"/>
    <w:rsid w:val="00E92316"/>
    <w:rsid w:val="00E924AA"/>
    <w:rsid w:val="00E92611"/>
    <w:rsid w:val="00E92882"/>
    <w:rsid w:val="00E928D5"/>
    <w:rsid w:val="00E92AEC"/>
    <w:rsid w:val="00E92C72"/>
    <w:rsid w:val="00E92C8F"/>
    <w:rsid w:val="00E92D2B"/>
    <w:rsid w:val="00E93133"/>
    <w:rsid w:val="00E9342B"/>
    <w:rsid w:val="00E93513"/>
    <w:rsid w:val="00E9366D"/>
    <w:rsid w:val="00E93E3B"/>
    <w:rsid w:val="00E94183"/>
    <w:rsid w:val="00E942CA"/>
    <w:rsid w:val="00E944C1"/>
    <w:rsid w:val="00E9461F"/>
    <w:rsid w:val="00E94940"/>
    <w:rsid w:val="00E94B2A"/>
    <w:rsid w:val="00E94C29"/>
    <w:rsid w:val="00E94D38"/>
    <w:rsid w:val="00E95013"/>
    <w:rsid w:val="00E950DE"/>
    <w:rsid w:val="00E9531D"/>
    <w:rsid w:val="00E957E6"/>
    <w:rsid w:val="00E9594F"/>
    <w:rsid w:val="00E95A35"/>
    <w:rsid w:val="00E95B1E"/>
    <w:rsid w:val="00E95B95"/>
    <w:rsid w:val="00E95C5A"/>
    <w:rsid w:val="00E96014"/>
    <w:rsid w:val="00E965CB"/>
    <w:rsid w:val="00E96644"/>
    <w:rsid w:val="00E97156"/>
    <w:rsid w:val="00E976C5"/>
    <w:rsid w:val="00E977EB"/>
    <w:rsid w:val="00E97C18"/>
    <w:rsid w:val="00E97E30"/>
    <w:rsid w:val="00EA040A"/>
    <w:rsid w:val="00EA054C"/>
    <w:rsid w:val="00EA076C"/>
    <w:rsid w:val="00EA0CBF"/>
    <w:rsid w:val="00EA0DF9"/>
    <w:rsid w:val="00EA0F12"/>
    <w:rsid w:val="00EA1139"/>
    <w:rsid w:val="00EA13B5"/>
    <w:rsid w:val="00EA14D0"/>
    <w:rsid w:val="00EA14F4"/>
    <w:rsid w:val="00EA15B5"/>
    <w:rsid w:val="00EA1693"/>
    <w:rsid w:val="00EA17FB"/>
    <w:rsid w:val="00EA18CC"/>
    <w:rsid w:val="00EA1BAF"/>
    <w:rsid w:val="00EA1D92"/>
    <w:rsid w:val="00EA2A5A"/>
    <w:rsid w:val="00EA2D20"/>
    <w:rsid w:val="00EA3077"/>
    <w:rsid w:val="00EA3232"/>
    <w:rsid w:val="00EA3536"/>
    <w:rsid w:val="00EA38AC"/>
    <w:rsid w:val="00EA3CF0"/>
    <w:rsid w:val="00EA484C"/>
    <w:rsid w:val="00EA4997"/>
    <w:rsid w:val="00EA4EF3"/>
    <w:rsid w:val="00EA5451"/>
    <w:rsid w:val="00EA54D6"/>
    <w:rsid w:val="00EA5FEE"/>
    <w:rsid w:val="00EA6360"/>
    <w:rsid w:val="00EA650D"/>
    <w:rsid w:val="00EA6614"/>
    <w:rsid w:val="00EA693D"/>
    <w:rsid w:val="00EA6C38"/>
    <w:rsid w:val="00EA73B5"/>
    <w:rsid w:val="00EA7E1C"/>
    <w:rsid w:val="00EB0C89"/>
    <w:rsid w:val="00EB0E37"/>
    <w:rsid w:val="00EB1154"/>
    <w:rsid w:val="00EB11AA"/>
    <w:rsid w:val="00EB125F"/>
    <w:rsid w:val="00EB192F"/>
    <w:rsid w:val="00EB1FAA"/>
    <w:rsid w:val="00EB20E5"/>
    <w:rsid w:val="00EB2231"/>
    <w:rsid w:val="00EB276F"/>
    <w:rsid w:val="00EB2B3C"/>
    <w:rsid w:val="00EB2CB9"/>
    <w:rsid w:val="00EB2D0D"/>
    <w:rsid w:val="00EB30C7"/>
    <w:rsid w:val="00EB34BB"/>
    <w:rsid w:val="00EB38BA"/>
    <w:rsid w:val="00EB3E1A"/>
    <w:rsid w:val="00EB3EA5"/>
    <w:rsid w:val="00EB4578"/>
    <w:rsid w:val="00EB4A45"/>
    <w:rsid w:val="00EB4F62"/>
    <w:rsid w:val="00EB52F3"/>
    <w:rsid w:val="00EB54E3"/>
    <w:rsid w:val="00EB5A28"/>
    <w:rsid w:val="00EB6274"/>
    <w:rsid w:val="00EB63B2"/>
    <w:rsid w:val="00EB6A41"/>
    <w:rsid w:val="00EB6D2E"/>
    <w:rsid w:val="00EB6DB0"/>
    <w:rsid w:val="00EB6F3D"/>
    <w:rsid w:val="00EB71B8"/>
    <w:rsid w:val="00EB71BF"/>
    <w:rsid w:val="00EB7490"/>
    <w:rsid w:val="00EB7529"/>
    <w:rsid w:val="00EB7672"/>
    <w:rsid w:val="00EB77F3"/>
    <w:rsid w:val="00EB77F6"/>
    <w:rsid w:val="00EB7857"/>
    <w:rsid w:val="00EB7C1A"/>
    <w:rsid w:val="00EB7CD7"/>
    <w:rsid w:val="00EC017C"/>
    <w:rsid w:val="00EC0555"/>
    <w:rsid w:val="00EC058F"/>
    <w:rsid w:val="00EC069C"/>
    <w:rsid w:val="00EC0852"/>
    <w:rsid w:val="00EC0AD2"/>
    <w:rsid w:val="00EC1111"/>
    <w:rsid w:val="00EC1568"/>
    <w:rsid w:val="00EC1599"/>
    <w:rsid w:val="00EC179B"/>
    <w:rsid w:val="00EC19EE"/>
    <w:rsid w:val="00EC1CB7"/>
    <w:rsid w:val="00EC207E"/>
    <w:rsid w:val="00EC2107"/>
    <w:rsid w:val="00EC2432"/>
    <w:rsid w:val="00EC2C4E"/>
    <w:rsid w:val="00EC2F7E"/>
    <w:rsid w:val="00EC3268"/>
    <w:rsid w:val="00EC3374"/>
    <w:rsid w:val="00EC33FC"/>
    <w:rsid w:val="00EC347E"/>
    <w:rsid w:val="00EC3582"/>
    <w:rsid w:val="00EC3719"/>
    <w:rsid w:val="00EC3857"/>
    <w:rsid w:val="00EC3A40"/>
    <w:rsid w:val="00EC3DCA"/>
    <w:rsid w:val="00EC3E99"/>
    <w:rsid w:val="00EC460C"/>
    <w:rsid w:val="00EC468D"/>
    <w:rsid w:val="00EC47FC"/>
    <w:rsid w:val="00EC4BB2"/>
    <w:rsid w:val="00EC4C66"/>
    <w:rsid w:val="00EC4CA3"/>
    <w:rsid w:val="00EC4D3A"/>
    <w:rsid w:val="00EC4F57"/>
    <w:rsid w:val="00EC5459"/>
    <w:rsid w:val="00EC5644"/>
    <w:rsid w:val="00EC5744"/>
    <w:rsid w:val="00EC58D6"/>
    <w:rsid w:val="00EC5A3E"/>
    <w:rsid w:val="00EC5E63"/>
    <w:rsid w:val="00EC5E96"/>
    <w:rsid w:val="00EC5F68"/>
    <w:rsid w:val="00EC6066"/>
    <w:rsid w:val="00EC60EC"/>
    <w:rsid w:val="00EC6823"/>
    <w:rsid w:val="00EC6B10"/>
    <w:rsid w:val="00EC6B23"/>
    <w:rsid w:val="00EC6BF5"/>
    <w:rsid w:val="00EC6C18"/>
    <w:rsid w:val="00EC6F0E"/>
    <w:rsid w:val="00EC712F"/>
    <w:rsid w:val="00EC7233"/>
    <w:rsid w:val="00EC73C1"/>
    <w:rsid w:val="00EC7551"/>
    <w:rsid w:val="00EC787A"/>
    <w:rsid w:val="00EC7A0D"/>
    <w:rsid w:val="00EC7A80"/>
    <w:rsid w:val="00EC7C9B"/>
    <w:rsid w:val="00ED0027"/>
    <w:rsid w:val="00ED009D"/>
    <w:rsid w:val="00ED03CD"/>
    <w:rsid w:val="00ED04D4"/>
    <w:rsid w:val="00ED0815"/>
    <w:rsid w:val="00ED0B93"/>
    <w:rsid w:val="00ED0F38"/>
    <w:rsid w:val="00ED130E"/>
    <w:rsid w:val="00ED16B9"/>
    <w:rsid w:val="00ED17EE"/>
    <w:rsid w:val="00ED196C"/>
    <w:rsid w:val="00ED2302"/>
    <w:rsid w:val="00ED2609"/>
    <w:rsid w:val="00ED269F"/>
    <w:rsid w:val="00ED2758"/>
    <w:rsid w:val="00ED2844"/>
    <w:rsid w:val="00ED28B0"/>
    <w:rsid w:val="00ED2CDA"/>
    <w:rsid w:val="00ED303D"/>
    <w:rsid w:val="00ED3098"/>
    <w:rsid w:val="00ED3C11"/>
    <w:rsid w:val="00ED3C71"/>
    <w:rsid w:val="00ED413C"/>
    <w:rsid w:val="00ED419B"/>
    <w:rsid w:val="00ED42B8"/>
    <w:rsid w:val="00ED4724"/>
    <w:rsid w:val="00ED4A36"/>
    <w:rsid w:val="00ED5278"/>
    <w:rsid w:val="00ED5299"/>
    <w:rsid w:val="00ED531B"/>
    <w:rsid w:val="00ED5441"/>
    <w:rsid w:val="00ED55DC"/>
    <w:rsid w:val="00ED563E"/>
    <w:rsid w:val="00ED5A92"/>
    <w:rsid w:val="00ED5D2E"/>
    <w:rsid w:val="00ED5F95"/>
    <w:rsid w:val="00ED63F5"/>
    <w:rsid w:val="00ED64A5"/>
    <w:rsid w:val="00ED669F"/>
    <w:rsid w:val="00ED69BE"/>
    <w:rsid w:val="00ED6C3A"/>
    <w:rsid w:val="00ED7200"/>
    <w:rsid w:val="00ED77B7"/>
    <w:rsid w:val="00ED7D7E"/>
    <w:rsid w:val="00ED7DC9"/>
    <w:rsid w:val="00EE033E"/>
    <w:rsid w:val="00EE04D2"/>
    <w:rsid w:val="00EE1294"/>
    <w:rsid w:val="00EE184B"/>
    <w:rsid w:val="00EE185E"/>
    <w:rsid w:val="00EE189A"/>
    <w:rsid w:val="00EE1EAD"/>
    <w:rsid w:val="00EE226E"/>
    <w:rsid w:val="00EE247F"/>
    <w:rsid w:val="00EE2499"/>
    <w:rsid w:val="00EE271C"/>
    <w:rsid w:val="00EE2D8B"/>
    <w:rsid w:val="00EE30AC"/>
    <w:rsid w:val="00EE3183"/>
    <w:rsid w:val="00EE3256"/>
    <w:rsid w:val="00EE3586"/>
    <w:rsid w:val="00EE3DA9"/>
    <w:rsid w:val="00EE40D5"/>
    <w:rsid w:val="00EE4198"/>
    <w:rsid w:val="00EE463D"/>
    <w:rsid w:val="00EE479C"/>
    <w:rsid w:val="00EE4CC7"/>
    <w:rsid w:val="00EE4DB4"/>
    <w:rsid w:val="00EE511E"/>
    <w:rsid w:val="00EE53DB"/>
    <w:rsid w:val="00EE5A66"/>
    <w:rsid w:val="00EE6770"/>
    <w:rsid w:val="00EE6D5D"/>
    <w:rsid w:val="00EE6E7B"/>
    <w:rsid w:val="00EE742B"/>
    <w:rsid w:val="00EE76D8"/>
    <w:rsid w:val="00EE7772"/>
    <w:rsid w:val="00EE787E"/>
    <w:rsid w:val="00EE7F5F"/>
    <w:rsid w:val="00EF0048"/>
    <w:rsid w:val="00EF03A1"/>
    <w:rsid w:val="00EF066A"/>
    <w:rsid w:val="00EF066B"/>
    <w:rsid w:val="00EF09C2"/>
    <w:rsid w:val="00EF0E15"/>
    <w:rsid w:val="00EF0E51"/>
    <w:rsid w:val="00EF1118"/>
    <w:rsid w:val="00EF13B2"/>
    <w:rsid w:val="00EF185A"/>
    <w:rsid w:val="00EF1909"/>
    <w:rsid w:val="00EF1A69"/>
    <w:rsid w:val="00EF1EF0"/>
    <w:rsid w:val="00EF23F7"/>
    <w:rsid w:val="00EF259D"/>
    <w:rsid w:val="00EF261C"/>
    <w:rsid w:val="00EF2757"/>
    <w:rsid w:val="00EF2C68"/>
    <w:rsid w:val="00EF2E68"/>
    <w:rsid w:val="00EF2FD3"/>
    <w:rsid w:val="00EF31D8"/>
    <w:rsid w:val="00EF3308"/>
    <w:rsid w:val="00EF388B"/>
    <w:rsid w:val="00EF3A4B"/>
    <w:rsid w:val="00EF3CD7"/>
    <w:rsid w:val="00EF4289"/>
    <w:rsid w:val="00EF43F0"/>
    <w:rsid w:val="00EF473A"/>
    <w:rsid w:val="00EF4B1D"/>
    <w:rsid w:val="00EF4BAB"/>
    <w:rsid w:val="00EF4D86"/>
    <w:rsid w:val="00EF4EBE"/>
    <w:rsid w:val="00EF4F8F"/>
    <w:rsid w:val="00EF515D"/>
    <w:rsid w:val="00EF5330"/>
    <w:rsid w:val="00EF59A2"/>
    <w:rsid w:val="00EF5D0B"/>
    <w:rsid w:val="00EF63D6"/>
    <w:rsid w:val="00EF674A"/>
    <w:rsid w:val="00EF6FB2"/>
    <w:rsid w:val="00EF707F"/>
    <w:rsid w:val="00EF72C2"/>
    <w:rsid w:val="00EF74A5"/>
    <w:rsid w:val="00EF7553"/>
    <w:rsid w:val="00EF760B"/>
    <w:rsid w:val="00EF7A29"/>
    <w:rsid w:val="00EF7C67"/>
    <w:rsid w:val="00F0006B"/>
    <w:rsid w:val="00F002BD"/>
    <w:rsid w:val="00F00440"/>
    <w:rsid w:val="00F009A3"/>
    <w:rsid w:val="00F00B9E"/>
    <w:rsid w:val="00F00C05"/>
    <w:rsid w:val="00F01C69"/>
    <w:rsid w:val="00F01DBF"/>
    <w:rsid w:val="00F01EF1"/>
    <w:rsid w:val="00F020A8"/>
    <w:rsid w:val="00F022DA"/>
    <w:rsid w:val="00F023D0"/>
    <w:rsid w:val="00F02626"/>
    <w:rsid w:val="00F02B5C"/>
    <w:rsid w:val="00F03174"/>
    <w:rsid w:val="00F0383D"/>
    <w:rsid w:val="00F038B6"/>
    <w:rsid w:val="00F039B8"/>
    <w:rsid w:val="00F03FB1"/>
    <w:rsid w:val="00F04182"/>
    <w:rsid w:val="00F04CA9"/>
    <w:rsid w:val="00F04CE0"/>
    <w:rsid w:val="00F04DE7"/>
    <w:rsid w:val="00F05199"/>
    <w:rsid w:val="00F05282"/>
    <w:rsid w:val="00F0541E"/>
    <w:rsid w:val="00F054D1"/>
    <w:rsid w:val="00F055C7"/>
    <w:rsid w:val="00F0562A"/>
    <w:rsid w:val="00F06084"/>
    <w:rsid w:val="00F06124"/>
    <w:rsid w:val="00F06338"/>
    <w:rsid w:val="00F06439"/>
    <w:rsid w:val="00F064D2"/>
    <w:rsid w:val="00F069B9"/>
    <w:rsid w:val="00F06C40"/>
    <w:rsid w:val="00F06E88"/>
    <w:rsid w:val="00F06FAD"/>
    <w:rsid w:val="00F076F8"/>
    <w:rsid w:val="00F0793D"/>
    <w:rsid w:val="00F07E17"/>
    <w:rsid w:val="00F103E9"/>
    <w:rsid w:val="00F10488"/>
    <w:rsid w:val="00F10570"/>
    <w:rsid w:val="00F1086E"/>
    <w:rsid w:val="00F109D2"/>
    <w:rsid w:val="00F10F9C"/>
    <w:rsid w:val="00F110F2"/>
    <w:rsid w:val="00F1138B"/>
    <w:rsid w:val="00F1151C"/>
    <w:rsid w:val="00F11CBE"/>
    <w:rsid w:val="00F11E9B"/>
    <w:rsid w:val="00F120F5"/>
    <w:rsid w:val="00F12235"/>
    <w:rsid w:val="00F12452"/>
    <w:rsid w:val="00F1267E"/>
    <w:rsid w:val="00F12931"/>
    <w:rsid w:val="00F12AB8"/>
    <w:rsid w:val="00F1334E"/>
    <w:rsid w:val="00F13361"/>
    <w:rsid w:val="00F13370"/>
    <w:rsid w:val="00F1389F"/>
    <w:rsid w:val="00F13B2E"/>
    <w:rsid w:val="00F13BF9"/>
    <w:rsid w:val="00F13DA1"/>
    <w:rsid w:val="00F13F79"/>
    <w:rsid w:val="00F14072"/>
    <w:rsid w:val="00F1432F"/>
    <w:rsid w:val="00F14383"/>
    <w:rsid w:val="00F14479"/>
    <w:rsid w:val="00F14681"/>
    <w:rsid w:val="00F1468B"/>
    <w:rsid w:val="00F1474F"/>
    <w:rsid w:val="00F14B7A"/>
    <w:rsid w:val="00F14CD9"/>
    <w:rsid w:val="00F14D99"/>
    <w:rsid w:val="00F1507D"/>
    <w:rsid w:val="00F15185"/>
    <w:rsid w:val="00F158FC"/>
    <w:rsid w:val="00F15BDE"/>
    <w:rsid w:val="00F15DEB"/>
    <w:rsid w:val="00F162CC"/>
    <w:rsid w:val="00F164EF"/>
    <w:rsid w:val="00F167D0"/>
    <w:rsid w:val="00F169BF"/>
    <w:rsid w:val="00F16AB0"/>
    <w:rsid w:val="00F16D5D"/>
    <w:rsid w:val="00F173A3"/>
    <w:rsid w:val="00F1748F"/>
    <w:rsid w:val="00F178AD"/>
    <w:rsid w:val="00F17A08"/>
    <w:rsid w:val="00F201AE"/>
    <w:rsid w:val="00F201DE"/>
    <w:rsid w:val="00F2037D"/>
    <w:rsid w:val="00F205A7"/>
    <w:rsid w:val="00F20614"/>
    <w:rsid w:val="00F2082A"/>
    <w:rsid w:val="00F20BFA"/>
    <w:rsid w:val="00F21168"/>
    <w:rsid w:val="00F21668"/>
    <w:rsid w:val="00F21675"/>
    <w:rsid w:val="00F216EB"/>
    <w:rsid w:val="00F2198C"/>
    <w:rsid w:val="00F21E69"/>
    <w:rsid w:val="00F22109"/>
    <w:rsid w:val="00F223B2"/>
    <w:rsid w:val="00F224C4"/>
    <w:rsid w:val="00F22E25"/>
    <w:rsid w:val="00F22ED8"/>
    <w:rsid w:val="00F23688"/>
    <w:rsid w:val="00F239FA"/>
    <w:rsid w:val="00F23A95"/>
    <w:rsid w:val="00F23B92"/>
    <w:rsid w:val="00F23F77"/>
    <w:rsid w:val="00F242A1"/>
    <w:rsid w:val="00F24AC2"/>
    <w:rsid w:val="00F24EF6"/>
    <w:rsid w:val="00F24F96"/>
    <w:rsid w:val="00F2538E"/>
    <w:rsid w:val="00F253CA"/>
    <w:rsid w:val="00F259C9"/>
    <w:rsid w:val="00F25B58"/>
    <w:rsid w:val="00F25B61"/>
    <w:rsid w:val="00F26274"/>
    <w:rsid w:val="00F2637D"/>
    <w:rsid w:val="00F26A39"/>
    <w:rsid w:val="00F26C40"/>
    <w:rsid w:val="00F27371"/>
    <w:rsid w:val="00F277FB"/>
    <w:rsid w:val="00F27892"/>
    <w:rsid w:val="00F27C22"/>
    <w:rsid w:val="00F30150"/>
    <w:rsid w:val="00F302D3"/>
    <w:rsid w:val="00F304D3"/>
    <w:rsid w:val="00F30653"/>
    <w:rsid w:val="00F3080E"/>
    <w:rsid w:val="00F3092C"/>
    <w:rsid w:val="00F30A56"/>
    <w:rsid w:val="00F30A9E"/>
    <w:rsid w:val="00F30C9E"/>
    <w:rsid w:val="00F30F5C"/>
    <w:rsid w:val="00F31712"/>
    <w:rsid w:val="00F317D2"/>
    <w:rsid w:val="00F31A55"/>
    <w:rsid w:val="00F31AA1"/>
    <w:rsid w:val="00F31B59"/>
    <w:rsid w:val="00F31DBD"/>
    <w:rsid w:val="00F31EB9"/>
    <w:rsid w:val="00F3262B"/>
    <w:rsid w:val="00F327D7"/>
    <w:rsid w:val="00F32D02"/>
    <w:rsid w:val="00F32D2D"/>
    <w:rsid w:val="00F32F97"/>
    <w:rsid w:val="00F334F6"/>
    <w:rsid w:val="00F3363D"/>
    <w:rsid w:val="00F336B9"/>
    <w:rsid w:val="00F34024"/>
    <w:rsid w:val="00F3436D"/>
    <w:rsid w:val="00F343B3"/>
    <w:rsid w:val="00F347AD"/>
    <w:rsid w:val="00F34BFB"/>
    <w:rsid w:val="00F34D29"/>
    <w:rsid w:val="00F34EBE"/>
    <w:rsid w:val="00F35280"/>
    <w:rsid w:val="00F352D7"/>
    <w:rsid w:val="00F3550E"/>
    <w:rsid w:val="00F35567"/>
    <w:rsid w:val="00F3597A"/>
    <w:rsid w:val="00F35A70"/>
    <w:rsid w:val="00F35C72"/>
    <w:rsid w:val="00F35CA4"/>
    <w:rsid w:val="00F35DF3"/>
    <w:rsid w:val="00F363A2"/>
    <w:rsid w:val="00F363CB"/>
    <w:rsid w:val="00F36668"/>
    <w:rsid w:val="00F3674A"/>
    <w:rsid w:val="00F367C0"/>
    <w:rsid w:val="00F367CA"/>
    <w:rsid w:val="00F369D0"/>
    <w:rsid w:val="00F36B21"/>
    <w:rsid w:val="00F36BB4"/>
    <w:rsid w:val="00F36DCD"/>
    <w:rsid w:val="00F36F21"/>
    <w:rsid w:val="00F37121"/>
    <w:rsid w:val="00F37A78"/>
    <w:rsid w:val="00F40102"/>
    <w:rsid w:val="00F4048C"/>
    <w:rsid w:val="00F404FC"/>
    <w:rsid w:val="00F4103A"/>
    <w:rsid w:val="00F4120A"/>
    <w:rsid w:val="00F416F9"/>
    <w:rsid w:val="00F418C6"/>
    <w:rsid w:val="00F41EE4"/>
    <w:rsid w:val="00F4225F"/>
    <w:rsid w:val="00F42472"/>
    <w:rsid w:val="00F42506"/>
    <w:rsid w:val="00F42DE4"/>
    <w:rsid w:val="00F4317A"/>
    <w:rsid w:val="00F435A4"/>
    <w:rsid w:val="00F43676"/>
    <w:rsid w:val="00F43771"/>
    <w:rsid w:val="00F43791"/>
    <w:rsid w:val="00F43A03"/>
    <w:rsid w:val="00F43A9E"/>
    <w:rsid w:val="00F43B72"/>
    <w:rsid w:val="00F43ED3"/>
    <w:rsid w:val="00F43F88"/>
    <w:rsid w:val="00F43FCB"/>
    <w:rsid w:val="00F443C2"/>
    <w:rsid w:val="00F44AD9"/>
    <w:rsid w:val="00F44F06"/>
    <w:rsid w:val="00F453BE"/>
    <w:rsid w:val="00F454F8"/>
    <w:rsid w:val="00F4583D"/>
    <w:rsid w:val="00F458AA"/>
    <w:rsid w:val="00F4623E"/>
    <w:rsid w:val="00F4638D"/>
    <w:rsid w:val="00F46495"/>
    <w:rsid w:val="00F468DC"/>
    <w:rsid w:val="00F46CA8"/>
    <w:rsid w:val="00F46CAC"/>
    <w:rsid w:val="00F46D65"/>
    <w:rsid w:val="00F4775B"/>
    <w:rsid w:val="00F47A70"/>
    <w:rsid w:val="00F47C9A"/>
    <w:rsid w:val="00F47CB4"/>
    <w:rsid w:val="00F47F47"/>
    <w:rsid w:val="00F504DA"/>
    <w:rsid w:val="00F50526"/>
    <w:rsid w:val="00F50665"/>
    <w:rsid w:val="00F50898"/>
    <w:rsid w:val="00F50BFC"/>
    <w:rsid w:val="00F51028"/>
    <w:rsid w:val="00F511C7"/>
    <w:rsid w:val="00F513DD"/>
    <w:rsid w:val="00F5150D"/>
    <w:rsid w:val="00F51548"/>
    <w:rsid w:val="00F517B7"/>
    <w:rsid w:val="00F518D4"/>
    <w:rsid w:val="00F51A77"/>
    <w:rsid w:val="00F51D9B"/>
    <w:rsid w:val="00F51DF9"/>
    <w:rsid w:val="00F521AB"/>
    <w:rsid w:val="00F5227E"/>
    <w:rsid w:val="00F52508"/>
    <w:rsid w:val="00F526B0"/>
    <w:rsid w:val="00F52995"/>
    <w:rsid w:val="00F52D59"/>
    <w:rsid w:val="00F52DDF"/>
    <w:rsid w:val="00F52DEE"/>
    <w:rsid w:val="00F531BA"/>
    <w:rsid w:val="00F5325E"/>
    <w:rsid w:val="00F532EA"/>
    <w:rsid w:val="00F5331E"/>
    <w:rsid w:val="00F53324"/>
    <w:rsid w:val="00F535BA"/>
    <w:rsid w:val="00F5361D"/>
    <w:rsid w:val="00F53643"/>
    <w:rsid w:val="00F53D3F"/>
    <w:rsid w:val="00F5403F"/>
    <w:rsid w:val="00F54099"/>
    <w:rsid w:val="00F540AA"/>
    <w:rsid w:val="00F54483"/>
    <w:rsid w:val="00F54682"/>
    <w:rsid w:val="00F54BB9"/>
    <w:rsid w:val="00F54C97"/>
    <w:rsid w:val="00F55266"/>
    <w:rsid w:val="00F5572F"/>
    <w:rsid w:val="00F55BBA"/>
    <w:rsid w:val="00F55EE2"/>
    <w:rsid w:val="00F56052"/>
    <w:rsid w:val="00F56214"/>
    <w:rsid w:val="00F56314"/>
    <w:rsid w:val="00F56595"/>
    <w:rsid w:val="00F568A5"/>
    <w:rsid w:val="00F56ABA"/>
    <w:rsid w:val="00F56C5F"/>
    <w:rsid w:val="00F56C77"/>
    <w:rsid w:val="00F56CF9"/>
    <w:rsid w:val="00F56D89"/>
    <w:rsid w:val="00F56ECD"/>
    <w:rsid w:val="00F57225"/>
    <w:rsid w:val="00F57575"/>
    <w:rsid w:val="00F57682"/>
    <w:rsid w:val="00F5785A"/>
    <w:rsid w:val="00F57B74"/>
    <w:rsid w:val="00F57D14"/>
    <w:rsid w:val="00F60132"/>
    <w:rsid w:val="00F60167"/>
    <w:rsid w:val="00F602A0"/>
    <w:rsid w:val="00F604B9"/>
    <w:rsid w:val="00F60584"/>
    <w:rsid w:val="00F60726"/>
    <w:rsid w:val="00F6099B"/>
    <w:rsid w:val="00F60A44"/>
    <w:rsid w:val="00F60B29"/>
    <w:rsid w:val="00F6198F"/>
    <w:rsid w:val="00F61A01"/>
    <w:rsid w:val="00F61CDB"/>
    <w:rsid w:val="00F61DF0"/>
    <w:rsid w:val="00F624AF"/>
    <w:rsid w:val="00F62698"/>
    <w:rsid w:val="00F62B4A"/>
    <w:rsid w:val="00F62D12"/>
    <w:rsid w:val="00F62D4C"/>
    <w:rsid w:val="00F63341"/>
    <w:rsid w:val="00F634D3"/>
    <w:rsid w:val="00F6383D"/>
    <w:rsid w:val="00F63D1E"/>
    <w:rsid w:val="00F63F0E"/>
    <w:rsid w:val="00F63F8D"/>
    <w:rsid w:val="00F63FB6"/>
    <w:rsid w:val="00F64259"/>
    <w:rsid w:val="00F6467E"/>
    <w:rsid w:val="00F6468F"/>
    <w:rsid w:val="00F64E51"/>
    <w:rsid w:val="00F64EE5"/>
    <w:rsid w:val="00F650D3"/>
    <w:rsid w:val="00F6536B"/>
    <w:rsid w:val="00F65640"/>
    <w:rsid w:val="00F65696"/>
    <w:rsid w:val="00F65D6D"/>
    <w:rsid w:val="00F6604F"/>
    <w:rsid w:val="00F661ED"/>
    <w:rsid w:val="00F667D8"/>
    <w:rsid w:val="00F66863"/>
    <w:rsid w:val="00F66B79"/>
    <w:rsid w:val="00F671DB"/>
    <w:rsid w:val="00F67622"/>
    <w:rsid w:val="00F677CB"/>
    <w:rsid w:val="00F67808"/>
    <w:rsid w:val="00F678E4"/>
    <w:rsid w:val="00F67B37"/>
    <w:rsid w:val="00F67D8B"/>
    <w:rsid w:val="00F701E5"/>
    <w:rsid w:val="00F70309"/>
    <w:rsid w:val="00F703E0"/>
    <w:rsid w:val="00F70498"/>
    <w:rsid w:val="00F7080E"/>
    <w:rsid w:val="00F70D7F"/>
    <w:rsid w:val="00F70F1A"/>
    <w:rsid w:val="00F70FDF"/>
    <w:rsid w:val="00F71777"/>
    <w:rsid w:val="00F7199A"/>
    <w:rsid w:val="00F72238"/>
    <w:rsid w:val="00F72328"/>
    <w:rsid w:val="00F72391"/>
    <w:rsid w:val="00F724C5"/>
    <w:rsid w:val="00F724F9"/>
    <w:rsid w:val="00F729AB"/>
    <w:rsid w:val="00F72A54"/>
    <w:rsid w:val="00F72DC5"/>
    <w:rsid w:val="00F72ED5"/>
    <w:rsid w:val="00F7339C"/>
    <w:rsid w:val="00F73887"/>
    <w:rsid w:val="00F738A8"/>
    <w:rsid w:val="00F73F26"/>
    <w:rsid w:val="00F74E2B"/>
    <w:rsid w:val="00F75275"/>
    <w:rsid w:val="00F75472"/>
    <w:rsid w:val="00F754C6"/>
    <w:rsid w:val="00F7578D"/>
    <w:rsid w:val="00F75C52"/>
    <w:rsid w:val="00F75F6A"/>
    <w:rsid w:val="00F7628E"/>
    <w:rsid w:val="00F7640F"/>
    <w:rsid w:val="00F76525"/>
    <w:rsid w:val="00F7652D"/>
    <w:rsid w:val="00F76B08"/>
    <w:rsid w:val="00F76DCA"/>
    <w:rsid w:val="00F77444"/>
    <w:rsid w:val="00F77B17"/>
    <w:rsid w:val="00F77C9C"/>
    <w:rsid w:val="00F80061"/>
    <w:rsid w:val="00F800A0"/>
    <w:rsid w:val="00F8012A"/>
    <w:rsid w:val="00F801FB"/>
    <w:rsid w:val="00F80F7B"/>
    <w:rsid w:val="00F80FC5"/>
    <w:rsid w:val="00F80FCF"/>
    <w:rsid w:val="00F81290"/>
    <w:rsid w:val="00F814A4"/>
    <w:rsid w:val="00F81A88"/>
    <w:rsid w:val="00F828F2"/>
    <w:rsid w:val="00F82C53"/>
    <w:rsid w:val="00F83359"/>
    <w:rsid w:val="00F833E8"/>
    <w:rsid w:val="00F83800"/>
    <w:rsid w:val="00F83A07"/>
    <w:rsid w:val="00F83A22"/>
    <w:rsid w:val="00F83ACE"/>
    <w:rsid w:val="00F83B36"/>
    <w:rsid w:val="00F83D91"/>
    <w:rsid w:val="00F848D9"/>
    <w:rsid w:val="00F84DC2"/>
    <w:rsid w:val="00F84DF8"/>
    <w:rsid w:val="00F84E46"/>
    <w:rsid w:val="00F8510E"/>
    <w:rsid w:val="00F8541D"/>
    <w:rsid w:val="00F856C3"/>
    <w:rsid w:val="00F85702"/>
    <w:rsid w:val="00F859CA"/>
    <w:rsid w:val="00F85A12"/>
    <w:rsid w:val="00F85FFA"/>
    <w:rsid w:val="00F86161"/>
    <w:rsid w:val="00F861C5"/>
    <w:rsid w:val="00F8675D"/>
    <w:rsid w:val="00F86768"/>
    <w:rsid w:val="00F86C4D"/>
    <w:rsid w:val="00F86C81"/>
    <w:rsid w:val="00F87238"/>
    <w:rsid w:val="00F87428"/>
    <w:rsid w:val="00F8749C"/>
    <w:rsid w:val="00F87AF1"/>
    <w:rsid w:val="00F87D12"/>
    <w:rsid w:val="00F87D38"/>
    <w:rsid w:val="00F900C5"/>
    <w:rsid w:val="00F90123"/>
    <w:rsid w:val="00F9028D"/>
    <w:rsid w:val="00F90A80"/>
    <w:rsid w:val="00F90F94"/>
    <w:rsid w:val="00F910F5"/>
    <w:rsid w:val="00F9112F"/>
    <w:rsid w:val="00F9135C"/>
    <w:rsid w:val="00F913CD"/>
    <w:rsid w:val="00F91EC2"/>
    <w:rsid w:val="00F91F20"/>
    <w:rsid w:val="00F91F45"/>
    <w:rsid w:val="00F92057"/>
    <w:rsid w:val="00F929EC"/>
    <w:rsid w:val="00F93204"/>
    <w:rsid w:val="00F933A8"/>
    <w:rsid w:val="00F9361A"/>
    <w:rsid w:val="00F937A2"/>
    <w:rsid w:val="00F937A6"/>
    <w:rsid w:val="00F93AA2"/>
    <w:rsid w:val="00F94A87"/>
    <w:rsid w:val="00F94D62"/>
    <w:rsid w:val="00F95640"/>
    <w:rsid w:val="00F957D1"/>
    <w:rsid w:val="00F9597F"/>
    <w:rsid w:val="00F95BBC"/>
    <w:rsid w:val="00F95EC3"/>
    <w:rsid w:val="00F9602E"/>
    <w:rsid w:val="00F96A11"/>
    <w:rsid w:val="00F96C2E"/>
    <w:rsid w:val="00F96D66"/>
    <w:rsid w:val="00F96D95"/>
    <w:rsid w:val="00F96F4E"/>
    <w:rsid w:val="00F972BD"/>
    <w:rsid w:val="00F97CB2"/>
    <w:rsid w:val="00F97E57"/>
    <w:rsid w:val="00F97EC5"/>
    <w:rsid w:val="00F97FE5"/>
    <w:rsid w:val="00FA08D0"/>
    <w:rsid w:val="00FA08D6"/>
    <w:rsid w:val="00FA0E84"/>
    <w:rsid w:val="00FA0EDE"/>
    <w:rsid w:val="00FA0F59"/>
    <w:rsid w:val="00FA1117"/>
    <w:rsid w:val="00FA117D"/>
    <w:rsid w:val="00FA11FA"/>
    <w:rsid w:val="00FA1D79"/>
    <w:rsid w:val="00FA1F62"/>
    <w:rsid w:val="00FA23A1"/>
    <w:rsid w:val="00FA29EB"/>
    <w:rsid w:val="00FA2A31"/>
    <w:rsid w:val="00FA2B31"/>
    <w:rsid w:val="00FA31C9"/>
    <w:rsid w:val="00FA3884"/>
    <w:rsid w:val="00FA3972"/>
    <w:rsid w:val="00FA3A7D"/>
    <w:rsid w:val="00FA3BAD"/>
    <w:rsid w:val="00FA41A6"/>
    <w:rsid w:val="00FA43F8"/>
    <w:rsid w:val="00FA4596"/>
    <w:rsid w:val="00FA4A30"/>
    <w:rsid w:val="00FA4BF2"/>
    <w:rsid w:val="00FA4C54"/>
    <w:rsid w:val="00FA4E0C"/>
    <w:rsid w:val="00FA521F"/>
    <w:rsid w:val="00FA54F0"/>
    <w:rsid w:val="00FA5A07"/>
    <w:rsid w:val="00FA5E12"/>
    <w:rsid w:val="00FA5F65"/>
    <w:rsid w:val="00FA68CA"/>
    <w:rsid w:val="00FA70DA"/>
    <w:rsid w:val="00FA711C"/>
    <w:rsid w:val="00FA73C4"/>
    <w:rsid w:val="00FA752D"/>
    <w:rsid w:val="00FA775E"/>
    <w:rsid w:val="00FA782A"/>
    <w:rsid w:val="00FA7873"/>
    <w:rsid w:val="00FB0401"/>
    <w:rsid w:val="00FB0844"/>
    <w:rsid w:val="00FB09C8"/>
    <w:rsid w:val="00FB0D16"/>
    <w:rsid w:val="00FB0FA4"/>
    <w:rsid w:val="00FB1623"/>
    <w:rsid w:val="00FB16FE"/>
    <w:rsid w:val="00FB17D3"/>
    <w:rsid w:val="00FB1916"/>
    <w:rsid w:val="00FB2403"/>
    <w:rsid w:val="00FB242A"/>
    <w:rsid w:val="00FB28EA"/>
    <w:rsid w:val="00FB3343"/>
    <w:rsid w:val="00FB34A0"/>
    <w:rsid w:val="00FB38A5"/>
    <w:rsid w:val="00FB39B6"/>
    <w:rsid w:val="00FB3A2C"/>
    <w:rsid w:val="00FB41F3"/>
    <w:rsid w:val="00FB4375"/>
    <w:rsid w:val="00FB4998"/>
    <w:rsid w:val="00FB4B45"/>
    <w:rsid w:val="00FB4FDC"/>
    <w:rsid w:val="00FB52D1"/>
    <w:rsid w:val="00FB5722"/>
    <w:rsid w:val="00FB5828"/>
    <w:rsid w:val="00FB5E81"/>
    <w:rsid w:val="00FB5FF4"/>
    <w:rsid w:val="00FB619D"/>
    <w:rsid w:val="00FB63DE"/>
    <w:rsid w:val="00FB63FE"/>
    <w:rsid w:val="00FB6612"/>
    <w:rsid w:val="00FB685E"/>
    <w:rsid w:val="00FB68C1"/>
    <w:rsid w:val="00FB6E91"/>
    <w:rsid w:val="00FB70F9"/>
    <w:rsid w:val="00FB736F"/>
    <w:rsid w:val="00FB75E7"/>
    <w:rsid w:val="00FB78CD"/>
    <w:rsid w:val="00FC009A"/>
    <w:rsid w:val="00FC08BE"/>
    <w:rsid w:val="00FC0945"/>
    <w:rsid w:val="00FC0994"/>
    <w:rsid w:val="00FC0DFF"/>
    <w:rsid w:val="00FC10CF"/>
    <w:rsid w:val="00FC182C"/>
    <w:rsid w:val="00FC2143"/>
    <w:rsid w:val="00FC26E2"/>
    <w:rsid w:val="00FC29E5"/>
    <w:rsid w:val="00FC2AF9"/>
    <w:rsid w:val="00FC2DD3"/>
    <w:rsid w:val="00FC2DF2"/>
    <w:rsid w:val="00FC31C0"/>
    <w:rsid w:val="00FC34DF"/>
    <w:rsid w:val="00FC3531"/>
    <w:rsid w:val="00FC382B"/>
    <w:rsid w:val="00FC3880"/>
    <w:rsid w:val="00FC38E6"/>
    <w:rsid w:val="00FC3AD9"/>
    <w:rsid w:val="00FC3D70"/>
    <w:rsid w:val="00FC3DA7"/>
    <w:rsid w:val="00FC3F51"/>
    <w:rsid w:val="00FC3F6C"/>
    <w:rsid w:val="00FC4492"/>
    <w:rsid w:val="00FC45A0"/>
    <w:rsid w:val="00FC48DA"/>
    <w:rsid w:val="00FC4AAE"/>
    <w:rsid w:val="00FC5132"/>
    <w:rsid w:val="00FC527F"/>
    <w:rsid w:val="00FC52FD"/>
    <w:rsid w:val="00FC5443"/>
    <w:rsid w:val="00FC56A7"/>
    <w:rsid w:val="00FC579D"/>
    <w:rsid w:val="00FC59A6"/>
    <w:rsid w:val="00FC5A9E"/>
    <w:rsid w:val="00FC5DB8"/>
    <w:rsid w:val="00FC5E8C"/>
    <w:rsid w:val="00FC5EB1"/>
    <w:rsid w:val="00FC624B"/>
    <w:rsid w:val="00FC6366"/>
    <w:rsid w:val="00FC6650"/>
    <w:rsid w:val="00FC6C78"/>
    <w:rsid w:val="00FC6F23"/>
    <w:rsid w:val="00FD00ED"/>
    <w:rsid w:val="00FD057E"/>
    <w:rsid w:val="00FD083A"/>
    <w:rsid w:val="00FD0BDB"/>
    <w:rsid w:val="00FD125B"/>
    <w:rsid w:val="00FD129C"/>
    <w:rsid w:val="00FD14FE"/>
    <w:rsid w:val="00FD1512"/>
    <w:rsid w:val="00FD1AA1"/>
    <w:rsid w:val="00FD1AC1"/>
    <w:rsid w:val="00FD1B0F"/>
    <w:rsid w:val="00FD1C61"/>
    <w:rsid w:val="00FD1D64"/>
    <w:rsid w:val="00FD1ECD"/>
    <w:rsid w:val="00FD1ED4"/>
    <w:rsid w:val="00FD2030"/>
    <w:rsid w:val="00FD21A2"/>
    <w:rsid w:val="00FD23C8"/>
    <w:rsid w:val="00FD23E7"/>
    <w:rsid w:val="00FD2569"/>
    <w:rsid w:val="00FD297C"/>
    <w:rsid w:val="00FD2F20"/>
    <w:rsid w:val="00FD31D3"/>
    <w:rsid w:val="00FD320C"/>
    <w:rsid w:val="00FD33D5"/>
    <w:rsid w:val="00FD34C7"/>
    <w:rsid w:val="00FD3513"/>
    <w:rsid w:val="00FD37D1"/>
    <w:rsid w:val="00FD3AF9"/>
    <w:rsid w:val="00FD3D02"/>
    <w:rsid w:val="00FD4078"/>
    <w:rsid w:val="00FD422A"/>
    <w:rsid w:val="00FD49C9"/>
    <w:rsid w:val="00FD4A02"/>
    <w:rsid w:val="00FD50D6"/>
    <w:rsid w:val="00FD51D8"/>
    <w:rsid w:val="00FD5560"/>
    <w:rsid w:val="00FD56B5"/>
    <w:rsid w:val="00FD5873"/>
    <w:rsid w:val="00FD683F"/>
    <w:rsid w:val="00FD69E8"/>
    <w:rsid w:val="00FD6B00"/>
    <w:rsid w:val="00FD6B2D"/>
    <w:rsid w:val="00FD6BC0"/>
    <w:rsid w:val="00FD6C9C"/>
    <w:rsid w:val="00FD7129"/>
    <w:rsid w:val="00FD74A8"/>
    <w:rsid w:val="00FD74EF"/>
    <w:rsid w:val="00FD7981"/>
    <w:rsid w:val="00FD7C27"/>
    <w:rsid w:val="00FE1414"/>
    <w:rsid w:val="00FE165D"/>
    <w:rsid w:val="00FE1C52"/>
    <w:rsid w:val="00FE1D7E"/>
    <w:rsid w:val="00FE20A1"/>
    <w:rsid w:val="00FE20B3"/>
    <w:rsid w:val="00FE22D8"/>
    <w:rsid w:val="00FE2437"/>
    <w:rsid w:val="00FE2481"/>
    <w:rsid w:val="00FE29B1"/>
    <w:rsid w:val="00FE30E1"/>
    <w:rsid w:val="00FE336D"/>
    <w:rsid w:val="00FE39F0"/>
    <w:rsid w:val="00FE3DA6"/>
    <w:rsid w:val="00FE40BD"/>
    <w:rsid w:val="00FE46BD"/>
    <w:rsid w:val="00FE476D"/>
    <w:rsid w:val="00FE488E"/>
    <w:rsid w:val="00FE4BF8"/>
    <w:rsid w:val="00FE4F38"/>
    <w:rsid w:val="00FE5226"/>
    <w:rsid w:val="00FE58E5"/>
    <w:rsid w:val="00FE5EFF"/>
    <w:rsid w:val="00FE6051"/>
    <w:rsid w:val="00FE60CF"/>
    <w:rsid w:val="00FE6139"/>
    <w:rsid w:val="00FE61CC"/>
    <w:rsid w:val="00FE63D6"/>
    <w:rsid w:val="00FE650B"/>
    <w:rsid w:val="00FE6D52"/>
    <w:rsid w:val="00FE737C"/>
    <w:rsid w:val="00FE75C1"/>
    <w:rsid w:val="00FE7A0E"/>
    <w:rsid w:val="00FE7A4D"/>
    <w:rsid w:val="00FE7CD4"/>
    <w:rsid w:val="00FE7FBF"/>
    <w:rsid w:val="00FF0555"/>
    <w:rsid w:val="00FF06A9"/>
    <w:rsid w:val="00FF0A44"/>
    <w:rsid w:val="00FF1897"/>
    <w:rsid w:val="00FF1A6D"/>
    <w:rsid w:val="00FF1AC4"/>
    <w:rsid w:val="00FF1BC4"/>
    <w:rsid w:val="00FF1C1B"/>
    <w:rsid w:val="00FF1D65"/>
    <w:rsid w:val="00FF1F79"/>
    <w:rsid w:val="00FF20F2"/>
    <w:rsid w:val="00FF2483"/>
    <w:rsid w:val="00FF262C"/>
    <w:rsid w:val="00FF2A48"/>
    <w:rsid w:val="00FF2AA1"/>
    <w:rsid w:val="00FF2B1B"/>
    <w:rsid w:val="00FF3149"/>
    <w:rsid w:val="00FF325A"/>
    <w:rsid w:val="00FF34B3"/>
    <w:rsid w:val="00FF35DC"/>
    <w:rsid w:val="00FF366A"/>
    <w:rsid w:val="00FF3712"/>
    <w:rsid w:val="00FF372A"/>
    <w:rsid w:val="00FF37E8"/>
    <w:rsid w:val="00FF3DC7"/>
    <w:rsid w:val="00FF3ED7"/>
    <w:rsid w:val="00FF3F90"/>
    <w:rsid w:val="00FF4239"/>
    <w:rsid w:val="00FF45A8"/>
    <w:rsid w:val="00FF45D1"/>
    <w:rsid w:val="00FF47A7"/>
    <w:rsid w:val="00FF495F"/>
    <w:rsid w:val="00FF4BD2"/>
    <w:rsid w:val="00FF4BF3"/>
    <w:rsid w:val="00FF4F11"/>
    <w:rsid w:val="00FF509A"/>
    <w:rsid w:val="00FF5355"/>
    <w:rsid w:val="00FF540E"/>
    <w:rsid w:val="00FF58BA"/>
    <w:rsid w:val="00FF5ACC"/>
    <w:rsid w:val="00FF5E08"/>
    <w:rsid w:val="00FF5EFF"/>
    <w:rsid w:val="00FF60A6"/>
    <w:rsid w:val="00FF651A"/>
    <w:rsid w:val="00FF66E6"/>
    <w:rsid w:val="00FF68EF"/>
    <w:rsid w:val="00FF6CC6"/>
    <w:rsid w:val="00FF6ED4"/>
    <w:rsid w:val="00FF757B"/>
    <w:rsid w:val="00FF7672"/>
    <w:rsid w:val="00FF7B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2C90"/>
    <w:pPr>
      <w:widowControl w:val="0"/>
      <w:wordWrap w:val="0"/>
      <w:autoSpaceDE w:val="0"/>
      <w:autoSpaceDN w:val="0"/>
      <w:jc w:val="both"/>
    </w:pPr>
    <w:rPr>
      <w:kern w:val="2"/>
      <w:szCs w:val="22"/>
      <w:lang w:eastAsia="ko-KR"/>
    </w:rPr>
  </w:style>
  <w:style w:type="paragraph" w:styleId="1">
    <w:name w:val="heading 1"/>
    <w:basedOn w:val="a0"/>
    <w:next w:val="a0"/>
    <w:link w:val="1Char"/>
    <w:uiPriority w:val="9"/>
    <w:qFormat/>
    <w:rsid w:val="00507D63"/>
    <w:pPr>
      <w:keepNext/>
      <w:outlineLvl w:val="0"/>
    </w:pPr>
    <w:rPr>
      <w:sz w:val="28"/>
      <w:szCs w:val="28"/>
    </w:rPr>
  </w:style>
  <w:style w:type="paragraph" w:styleId="2">
    <w:name w:val="heading 2"/>
    <w:basedOn w:val="a0"/>
    <w:next w:val="a0"/>
    <w:link w:val="2Char"/>
    <w:qFormat/>
    <w:rsid w:val="00452C90"/>
    <w:pPr>
      <w:keepNext/>
      <w:widowControl/>
      <w:wordWrap/>
      <w:autoSpaceDE/>
      <w:autoSpaceDN/>
      <w:spacing w:before="240" w:after="120"/>
      <w:jc w:val="left"/>
      <w:outlineLvl w:val="1"/>
    </w:pPr>
    <w:rPr>
      <w:rFonts w:ascii="Times New Roman" w:eastAsia="Batang" w:hAnsi="Times New Roman"/>
      <w:b/>
      <w:kern w:val="0"/>
      <w:sz w:val="28"/>
      <w:szCs w:val="20"/>
      <w:lang w:eastAsia="en-US"/>
    </w:rPr>
  </w:style>
  <w:style w:type="paragraph" w:styleId="3">
    <w:name w:val="heading 3"/>
    <w:basedOn w:val="a0"/>
    <w:next w:val="a0"/>
    <w:link w:val="3Char"/>
    <w:uiPriority w:val="9"/>
    <w:qFormat/>
    <w:rsid w:val="00507D63"/>
    <w:pPr>
      <w:keepNext/>
      <w:ind w:leftChars="300" w:left="300" w:hangingChars="200" w:hanging="2000"/>
      <w:outlineLvl w:val="2"/>
    </w:pPr>
  </w:style>
  <w:style w:type="paragraph" w:styleId="4">
    <w:name w:val="heading 4"/>
    <w:basedOn w:val="a0"/>
    <w:next w:val="a0"/>
    <w:link w:val="4Char"/>
    <w:uiPriority w:val="9"/>
    <w:qFormat/>
    <w:rsid w:val="00507D63"/>
    <w:pPr>
      <w:keepNext/>
      <w:ind w:leftChars="400" w:left="400" w:hangingChars="200" w:hanging="20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link w:val="2"/>
    <w:rsid w:val="00452C90"/>
    <w:rPr>
      <w:rFonts w:ascii="Times New Roman" w:eastAsia="Batang" w:hAnsi="Times New Roman" w:cs="Times New Roman"/>
      <w:b/>
      <w:kern w:val="0"/>
      <w:sz w:val="28"/>
      <w:szCs w:val="20"/>
      <w:lang w:eastAsia="en-US"/>
    </w:rPr>
  </w:style>
  <w:style w:type="paragraph" w:customStyle="1" w:styleId="a4">
    <w:name w:val="바탕글"/>
    <w:basedOn w:val="a0"/>
    <w:rsid w:val="00452C90"/>
    <w:pPr>
      <w:widowControl/>
      <w:wordWrap/>
      <w:autoSpaceDE/>
      <w:autoSpaceDN/>
      <w:snapToGrid w:val="0"/>
      <w:spacing w:line="384" w:lineRule="auto"/>
    </w:pPr>
    <w:rPr>
      <w:rFonts w:ascii="Batang" w:eastAsia="Batang" w:hAnsi="Batang" w:cs="Gulim"/>
      <w:color w:val="000000"/>
      <w:kern w:val="0"/>
      <w:szCs w:val="20"/>
    </w:rPr>
  </w:style>
  <w:style w:type="paragraph" w:styleId="a5">
    <w:name w:val="Body Text"/>
    <w:basedOn w:val="a0"/>
    <w:link w:val="Char"/>
    <w:rsid w:val="00452C90"/>
    <w:pPr>
      <w:wordWrap/>
      <w:autoSpaceDE/>
      <w:autoSpaceDN/>
    </w:pPr>
    <w:rPr>
      <w:rFonts w:ascii="Verdana" w:eastAsia="Batang" w:hAnsi="Verdana"/>
      <w:sz w:val="24"/>
      <w:szCs w:val="20"/>
      <w:lang w:eastAsia="en-US"/>
    </w:rPr>
  </w:style>
  <w:style w:type="character" w:customStyle="1" w:styleId="Char">
    <w:name w:val="正文文本 Char"/>
    <w:link w:val="a5"/>
    <w:rsid w:val="00452C90"/>
    <w:rPr>
      <w:rFonts w:ascii="Verdana" w:eastAsia="Batang" w:hAnsi="Verdana" w:cs="Times New Roman"/>
      <w:sz w:val="24"/>
      <w:szCs w:val="20"/>
      <w:lang w:eastAsia="en-US"/>
    </w:rPr>
  </w:style>
  <w:style w:type="character" w:customStyle="1" w:styleId="desc">
    <w:name w:val="desc"/>
    <w:basedOn w:val="a1"/>
    <w:rsid w:val="00452C90"/>
  </w:style>
  <w:style w:type="paragraph" w:styleId="a6">
    <w:name w:val="Balloon Text"/>
    <w:basedOn w:val="a0"/>
    <w:link w:val="Char0"/>
    <w:uiPriority w:val="99"/>
    <w:semiHidden/>
    <w:unhideWhenUsed/>
    <w:rsid w:val="00394836"/>
    <w:rPr>
      <w:rFonts w:ascii="Tahoma" w:hAnsi="Tahoma" w:cs="Tahoma"/>
      <w:sz w:val="16"/>
      <w:szCs w:val="16"/>
    </w:rPr>
  </w:style>
  <w:style w:type="character" w:customStyle="1" w:styleId="Char0">
    <w:name w:val="批注框文本 Char"/>
    <w:link w:val="a6"/>
    <w:uiPriority w:val="99"/>
    <w:semiHidden/>
    <w:rsid w:val="00394836"/>
    <w:rPr>
      <w:rFonts w:ascii="Tahoma" w:hAnsi="Tahoma" w:cs="Tahoma"/>
      <w:kern w:val="2"/>
      <w:sz w:val="16"/>
      <w:szCs w:val="16"/>
      <w:lang w:val="en-US" w:eastAsia="ko-KR"/>
    </w:rPr>
  </w:style>
  <w:style w:type="paragraph" w:styleId="HTML">
    <w:name w:val="HTML Preformatted"/>
    <w:basedOn w:val="a0"/>
    <w:link w:val="HTMLChar"/>
    <w:uiPriority w:val="99"/>
    <w:semiHidden/>
    <w:unhideWhenUsed/>
    <w:rsid w:val="00B37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eastAsia="en-US"/>
    </w:rPr>
  </w:style>
  <w:style w:type="character" w:customStyle="1" w:styleId="HTMLChar">
    <w:name w:val="HTML 预设格式 Char"/>
    <w:link w:val="HTML"/>
    <w:uiPriority w:val="99"/>
    <w:semiHidden/>
    <w:rsid w:val="00B37041"/>
    <w:rPr>
      <w:rFonts w:ascii="Courier New" w:eastAsia="Times New Roman" w:hAnsi="Courier New" w:cs="Courier New"/>
    </w:rPr>
  </w:style>
  <w:style w:type="paragraph" w:styleId="a7">
    <w:name w:val="header"/>
    <w:basedOn w:val="a0"/>
    <w:link w:val="Char1"/>
    <w:uiPriority w:val="99"/>
    <w:unhideWhenUsed/>
    <w:rsid w:val="009202BD"/>
    <w:pPr>
      <w:tabs>
        <w:tab w:val="center" w:pos="4513"/>
        <w:tab w:val="right" w:pos="9026"/>
      </w:tabs>
      <w:snapToGrid w:val="0"/>
    </w:pPr>
  </w:style>
  <w:style w:type="character" w:customStyle="1" w:styleId="Char1">
    <w:name w:val="页眉 Char"/>
    <w:link w:val="a7"/>
    <w:uiPriority w:val="99"/>
    <w:rsid w:val="009202BD"/>
    <w:rPr>
      <w:kern w:val="2"/>
      <w:szCs w:val="22"/>
    </w:rPr>
  </w:style>
  <w:style w:type="paragraph" w:styleId="a8">
    <w:name w:val="footer"/>
    <w:basedOn w:val="a0"/>
    <w:link w:val="Char2"/>
    <w:uiPriority w:val="99"/>
    <w:unhideWhenUsed/>
    <w:rsid w:val="009202BD"/>
    <w:pPr>
      <w:tabs>
        <w:tab w:val="center" w:pos="4513"/>
        <w:tab w:val="right" w:pos="9026"/>
      </w:tabs>
      <w:snapToGrid w:val="0"/>
    </w:pPr>
  </w:style>
  <w:style w:type="character" w:customStyle="1" w:styleId="Char2">
    <w:name w:val="页脚 Char"/>
    <w:link w:val="a8"/>
    <w:uiPriority w:val="99"/>
    <w:rsid w:val="009202BD"/>
    <w:rPr>
      <w:kern w:val="2"/>
      <w:szCs w:val="22"/>
    </w:rPr>
  </w:style>
  <w:style w:type="character" w:styleId="a9">
    <w:name w:val="Hyperlink"/>
    <w:uiPriority w:val="99"/>
    <w:unhideWhenUsed/>
    <w:rsid w:val="00DB1F4C"/>
    <w:rPr>
      <w:color w:val="0000FF"/>
      <w:u w:val="single"/>
    </w:rPr>
  </w:style>
  <w:style w:type="character" w:customStyle="1" w:styleId="ti2">
    <w:name w:val="ti2"/>
    <w:rsid w:val="006D729B"/>
    <w:rPr>
      <w:sz w:val="22"/>
      <w:szCs w:val="22"/>
    </w:rPr>
  </w:style>
  <w:style w:type="paragraph" w:customStyle="1" w:styleId="10">
    <w:name w:val="간격 없음1"/>
    <w:uiPriority w:val="1"/>
    <w:qFormat/>
    <w:rsid w:val="006D729B"/>
    <w:pPr>
      <w:widowControl w:val="0"/>
      <w:wordWrap w:val="0"/>
      <w:autoSpaceDE w:val="0"/>
      <w:autoSpaceDN w:val="0"/>
      <w:jc w:val="both"/>
    </w:pPr>
    <w:rPr>
      <w:kern w:val="2"/>
      <w:szCs w:val="22"/>
      <w:lang w:eastAsia="ko-KR"/>
    </w:rPr>
  </w:style>
  <w:style w:type="table" w:styleId="aa">
    <w:name w:val="Table Grid"/>
    <w:basedOn w:val="a2"/>
    <w:uiPriority w:val="59"/>
    <w:rsid w:val="006D72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rmal (Web)"/>
    <w:basedOn w:val="a0"/>
    <w:unhideWhenUsed/>
    <w:rsid w:val="006D729B"/>
    <w:pPr>
      <w:widowControl/>
      <w:wordWrap/>
      <w:autoSpaceDE/>
      <w:autoSpaceDN/>
      <w:spacing w:before="100" w:beforeAutospacing="1" w:after="100" w:afterAutospacing="1"/>
      <w:jc w:val="left"/>
    </w:pPr>
    <w:rPr>
      <w:rFonts w:ascii="Gulim" w:eastAsia="Gulim" w:hAnsi="Gulim" w:cs="Gulim"/>
      <w:kern w:val="0"/>
      <w:sz w:val="24"/>
      <w:szCs w:val="24"/>
    </w:rPr>
  </w:style>
  <w:style w:type="paragraph" w:styleId="ac">
    <w:name w:val="caption"/>
    <w:basedOn w:val="a0"/>
    <w:next w:val="a0"/>
    <w:uiPriority w:val="35"/>
    <w:qFormat/>
    <w:rsid w:val="006D729B"/>
    <w:rPr>
      <w:b/>
      <w:bCs/>
      <w:szCs w:val="20"/>
    </w:rPr>
  </w:style>
  <w:style w:type="paragraph" w:styleId="a">
    <w:name w:val="List Number"/>
    <w:basedOn w:val="a0"/>
    <w:rsid w:val="006D729B"/>
    <w:pPr>
      <w:numPr>
        <w:numId w:val="12"/>
      </w:numPr>
    </w:pPr>
  </w:style>
  <w:style w:type="paragraph" w:styleId="ad">
    <w:name w:val="Document Map"/>
    <w:basedOn w:val="a0"/>
    <w:link w:val="Char3"/>
    <w:uiPriority w:val="99"/>
    <w:semiHidden/>
    <w:unhideWhenUsed/>
    <w:rsid w:val="006D729B"/>
    <w:rPr>
      <w:rFonts w:ascii="Gulim" w:eastAsia="Gulim"/>
      <w:sz w:val="18"/>
      <w:szCs w:val="18"/>
    </w:rPr>
  </w:style>
  <w:style w:type="character" w:customStyle="1" w:styleId="Char3">
    <w:name w:val="文档结构图 Char"/>
    <w:link w:val="ad"/>
    <w:uiPriority w:val="99"/>
    <w:semiHidden/>
    <w:rsid w:val="006D729B"/>
    <w:rPr>
      <w:rFonts w:ascii="Gulim" w:eastAsia="Gulim"/>
      <w:kern w:val="2"/>
      <w:sz w:val="18"/>
      <w:szCs w:val="18"/>
    </w:rPr>
  </w:style>
  <w:style w:type="paragraph" w:styleId="ae">
    <w:name w:val="Date"/>
    <w:basedOn w:val="a0"/>
    <w:next w:val="a0"/>
    <w:link w:val="Char4"/>
    <w:uiPriority w:val="99"/>
    <w:semiHidden/>
    <w:unhideWhenUsed/>
    <w:rsid w:val="006D729B"/>
  </w:style>
  <w:style w:type="character" w:customStyle="1" w:styleId="Char4">
    <w:name w:val="日期 Char"/>
    <w:link w:val="ae"/>
    <w:uiPriority w:val="99"/>
    <w:semiHidden/>
    <w:rsid w:val="006D729B"/>
    <w:rPr>
      <w:kern w:val="2"/>
      <w:szCs w:val="22"/>
    </w:rPr>
  </w:style>
  <w:style w:type="character" w:styleId="af">
    <w:name w:val="annotation reference"/>
    <w:uiPriority w:val="99"/>
    <w:semiHidden/>
    <w:unhideWhenUsed/>
    <w:rsid w:val="006D729B"/>
    <w:rPr>
      <w:sz w:val="18"/>
      <w:szCs w:val="18"/>
    </w:rPr>
  </w:style>
  <w:style w:type="paragraph" w:styleId="af0">
    <w:name w:val="annotation text"/>
    <w:basedOn w:val="a0"/>
    <w:link w:val="Char5"/>
    <w:uiPriority w:val="99"/>
    <w:semiHidden/>
    <w:unhideWhenUsed/>
    <w:rsid w:val="006D729B"/>
    <w:rPr>
      <w:sz w:val="24"/>
      <w:szCs w:val="24"/>
    </w:rPr>
  </w:style>
  <w:style w:type="character" w:customStyle="1" w:styleId="Char5">
    <w:name w:val="批注文字 Char"/>
    <w:link w:val="af0"/>
    <w:uiPriority w:val="99"/>
    <w:semiHidden/>
    <w:rsid w:val="006D729B"/>
    <w:rPr>
      <w:kern w:val="2"/>
      <w:sz w:val="24"/>
      <w:szCs w:val="24"/>
    </w:rPr>
  </w:style>
  <w:style w:type="paragraph" w:styleId="af1">
    <w:name w:val="annotation subject"/>
    <w:basedOn w:val="af0"/>
    <w:next w:val="af0"/>
    <w:link w:val="Char6"/>
    <w:uiPriority w:val="99"/>
    <w:semiHidden/>
    <w:unhideWhenUsed/>
    <w:rsid w:val="006D729B"/>
    <w:rPr>
      <w:b/>
      <w:bCs/>
      <w:sz w:val="20"/>
      <w:szCs w:val="20"/>
    </w:rPr>
  </w:style>
  <w:style w:type="character" w:customStyle="1" w:styleId="Char6">
    <w:name w:val="批注主题 Char"/>
    <w:link w:val="af1"/>
    <w:uiPriority w:val="99"/>
    <w:semiHidden/>
    <w:rsid w:val="006D729B"/>
    <w:rPr>
      <w:b/>
      <w:bCs/>
      <w:kern w:val="2"/>
      <w:sz w:val="24"/>
      <w:szCs w:val="24"/>
    </w:rPr>
  </w:style>
  <w:style w:type="character" w:customStyle="1" w:styleId="1Char">
    <w:name w:val="标题 1 Char"/>
    <w:link w:val="1"/>
    <w:uiPriority w:val="9"/>
    <w:rsid w:val="00507D63"/>
    <w:rPr>
      <w:rFonts w:ascii="Malgun Gothic" w:eastAsia="Malgun Gothic" w:hAnsi="Malgun Gothic" w:cs="Times New Roman"/>
      <w:kern w:val="2"/>
      <w:sz w:val="28"/>
      <w:szCs w:val="28"/>
    </w:rPr>
  </w:style>
  <w:style w:type="character" w:customStyle="1" w:styleId="3Char">
    <w:name w:val="标题 3 Char"/>
    <w:link w:val="3"/>
    <w:uiPriority w:val="9"/>
    <w:semiHidden/>
    <w:rsid w:val="00507D63"/>
    <w:rPr>
      <w:rFonts w:ascii="Malgun Gothic" w:eastAsia="Malgun Gothic" w:hAnsi="Malgun Gothic" w:cs="Times New Roman"/>
      <w:kern w:val="2"/>
      <w:szCs w:val="22"/>
    </w:rPr>
  </w:style>
  <w:style w:type="character" w:customStyle="1" w:styleId="4Char">
    <w:name w:val="标题 4 Char"/>
    <w:link w:val="4"/>
    <w:uiPriority w:val="9"/>
    <w:rsid w:val="00507D63"/>
    <w:rPr>
      <w:b/>
      <w:bCs/>
      <w:kern w:val="2"/>
      <w:szCs w:val="22"/>
    </w:rPr>
  </w:style>
  <w:style w:type="paragraph" w:styleId="af2">
    <w:name w:val="Normal Indent"/>
    <w:basedOn w:val="a0"/>
    <w:rsid w:val="00507D63"/>
    <w:pPr>
      <w:adjustRightInd w:val="0"/>
      <w:ind w:left="851"/>
      <w:textAlignment w:val="baseline"/>
    </w:pPr>
    <w:rPr>
      <w:rFonts w:ascii="Times New Roman" w:eastAsia="Batang" w:hAnsi="Times New Roman"/>
      <w:sz w:val="24"/>
      <w:szCs w:val="20"/>
    </w:rPr>
  </w:style>
  <w:style w:type="character" w:customStyle="1" w:styleId="email">
    <w:name w:val="email"/>
    <w:basedOn w:val="a1"/>
    <w:rsid w:val="006B39D1"/>
  </w:style>
  <w:style w:type="paragraph" w:customStyle="1" w:styleId="rprtbody1">
    <w:name w:val="rprtbody1"/>
    <w:basedOn w:val="a0"/>
    <w:rsid w:val="004F7AB3"/>
    <w:pPr>
      <w:widowControl/>
      <w:wordWrap/>
      <w:autoSpaceDE/>
      <w:autoSpaceDN/>
      <w:spacing w:before="34" w:after="34"/>
      <w:jc w:val="left"/>
    </w:pPr>
    <w:rPr>
      <w:rFonts w:ascii="Gulim" w:eastAsia="Gulim" w:hAnsi="Gulim" w:cs="Gulim"/>
      <w:kern w:val="0"/>
      <w:sz w:val="28"/>
      <w:szCs w:val="28"/>
    </w:rPr>
  </w:style>
  <w:style w:type="character" w:customStyle="1" w:styleId="src1">
    <w:name w:val="src1"/>
    <w:rsid w:val="004F7AB3"/>
    <w:rPr>
      <w:vanish w:val="0"/>
      <w:webHidden w:val="0"/>
      <w:specVanish w:val="0"/>
    </w:rPr>
  </w:style>
  <w:style w:type="character" w:customStyle="1" w:styleId="jrnl">
    <w:name w:val="jrnl"/>
    <w:basedOn w:val="a1"/>
    <w:rsid w:val="004F7AB3"/>
  </w:style>
  <w:style w:type="paragraph" w:styleId="af3">
    <w:name w:val="Title"/>
    <w:basedOn w:val="a5"/>
    <w:link w:val="Char7"/>
    <w:qFormat/>
    <w:rsid w:val="003B2362"/>
    <w:pPr>
      <w:widowControl/>
      <w:spacing w:before="240" w:after="240" w:line="480" w:lineRule="auto"/>
      <w:jc w:val="left"/>
      <w:outlineLvl w:val="0"/>
    </w:pPr>
    <w:rPr>
      <w:rFonts w:ascii="Times New Roman" w:eastAsia="Times New Roman" w:hAnsi="Times New Roman"/>
      <w:b/>
      <w:bCs/>
      <w:kern w:val="28"/>
      <w:sz w:val="28"/>
      <w:szCs w:val="32"/>
    </w:rPr>
  </w:style>
  <w:style w:type="character" w:customStyle="1" w:styleId="Char7">
    <w:name w:val="标题 Char"/>
    <w:link w:val="af3"/>
    <w:rsid w:val="003B2362"/>
    <w:rPr>
      <w:rFonts w:ascii="Times New Roman" w:eastAsia="Times New Roman" w:hAnsi="Times New Roman"/>
      <w:b/>
      <w:bCs/>
      <w:kern w:val="28"/>
      <w:sz w:val="28"/>
      <w:szCs w:val="32"/>
      <w:lang w:eastAsia="en-US"/>
    </w:rPr>
  </w:style>
  <w:style w:type="paragraph" w:styleId="af4">
    <w:name w:val="Subtitle"/>
    <w:basedOn w:val="a5"/>
    <w:link w:val="Char8"/>
    <w:qFormat/>
    <w:rsid w:val="003B2362"/>
    <w:pPr>
      <w:widowControl/>
      <w:spacing w:before="240" w:after="240" w:line="480" w:lineRule="auto"/>
      <w:jc w:val="left"/>
      <w:outlineLvl w:val="1"/>
    </w:pPr>
    <w:rPr>
      <w:rFonts w:ascii="Times New Roman" w:eastAsia="Times New Roman" w:hAnsi="Times New Roman"/>
      <w:kern w:val="0"/>
      <w:szCs w:val="24"/>
    </w:rPr>
  </w:style>
  <w:style w:type="character" w:customStyle="1" w:styleId="Char8">
    <w:name w:val="副标题 Char"/>
    <w:link w:val="af4"/>
    <w:rsid w:val="003B2362"/>
    <w:rPr>
      <w:rFonts w:ascii="Times New Roman" w:eastAsia="Times New Roman" w:hAnsi="Times New Roman"/>
      <w:sz w:val="24"/>
      <w:szCs w:val="24"/>
      <w:lang w:eastAsia="en-US"/>
    </w:rPr>
  </w:style>
  <w:style w:type="paragraph" w:customStyle="1" w:styleId="BodyTextHead">
    <w:name w:val="Body Text Head"/>
    <w:basedOn w:val="a5"/>
    <w:rsid w:val="003B2362"/>
    <w:pPr>
      <w:widowControl/>
      <w:spacing w:before="240" w:line="480" w:lineRule="auto"/>
      <w:jc w:val="left"/>
    </w:pPr>
    <w:rPr>
      <w:rFonts w:ascii="Times New Roman" w:eastAsia="Times New Roman" w:hAnsi="Times New Roman"/>
      <w:kern w:val="0"/>
      <w:szCs w:val="24"/>
    </w:rPr>
  </w:style>
  <w:style w:type="paragraph" w:styleId="af5">
    <w:name w:val="Body Text First Indent"/>
    <w:basedOn w:val="a5"/>
    <w:link w:val="Char9"/>
    <w:uiPriority w:val="99"/>
    <w:unhideWhenUsed/>
    <w:rsid w:val="003B2362"/>
    <w:pPr>
      <w:wordWrap w:val="0"/>
      <w:autoSpaceDE w:val="0"/>
      <w:autoSpaceDN w:val="0"/>
      <w:spacing w:after="180"/>
      <w:ind w:firstLineChars="100" w:firstLine="210"/>
    </w:pPr>
    <w:rPr>
      <w:rFonts w:ascii="Malgun Gothic" w:eastAsia="Malgun Gothic" w:hAnsi="Malgun Gothic"/>
      <w:sz w:val="20"/>
      <w:szCs w:val="22"/>
      <w:lang w:eastAsia="ko-KR"/>
    </w:rPr>
  </w:style>
  <w:style w:type="character" w:customStyle="1" w:styleId="Char9">
    <w:name w:val="正文首行缩进 Char"/>
    <w:link w:val="af5"/>
    <w:uiPriority w:val="99"/>
    <w:rsid w:val="003B2362"/>
    <w:rPr>
      <w:rFonts w:ascii="Verdana" w:eastAsia="Batang" w:hAnsi="Verdana" w:cs="Times New Roman"/>
      <w:kern w:val="2"/>
      <w:sz w:val="24"/>
      <w:szCs w:val="22"/>
      <w:lang w:eastAsia="en-US"/>
    </w:rPr>
  </w:style>
  <w:style w:type="character" w:customStyle="1" w:styleId="nbapihighlight1">
    <w:name w:val="nbapihighlight1"/>
    <w:basedOn w:val="a1"/>
    <w:rsid w:val="006A282A"/>
  </w:style>
  <w:style w:type="paragraph" w:styleId="af6">
    <w:name w:val="No Spacing"/>
    <w:uiPriority w:val="1"/>
    <w:qFormat/>
    <w:rsid w:val="00404922"/>
    <w:pPr>
      <w:widowControl w:val="0"/>
      <w:wordWrap w:val="0"/>
      <w:autoSpaceDE w:val="0"/>
      <w:autoSpaceDN w:val="0"/>
      <w:jc w:val="both"/>
    </w:pPr>
    <w:rPr>
      <w:kern w:val="2"/>
      <w:szCs w:val="2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2C90"/>
    <w:pPr>
      <w:widowControl w:val="0"/>
      <w:wordWrap w:val="0"/>
      <w:autoSpaceDE w:val="0"/>
      <w:autoSpaceDN w:val="0"/>
      <w:jc w:val="both"/>
    </w:pPr>
    <w:rPr>
      <w:kern w:val="2"/>
      <w:szCs w:val="22"/>
      <w:lang w:eastAsia="ko-KR"/>
    </w:rPr>
  </w:style>
  <w:style w:type="paragraph" w:styleId="1">
    <w:name w:val="heading 1"/>
    <w:basedOn w:val="a0"/>
    <w:next w:val="a0"/>
    <w:link w:val="1Char"/>
    <w:uiPriority w:val="9"/>
    <w:qFormat/>
    <w:rsid w:val="00507D63"/>
    <w:pPr>
      <w:keepNext/>
      <w:outlineLvl w:val="0"/>
    </w:pPr>
    <w:rPr>
      <w:sz w:val="28"/>
      <w:szCs w:val="28"/>
    </w:rPr>
  </w:style>
  <w:style w:type="paragraph" w:styleId="2">
    <w:name w:val="heading 2"/>
    <w:basedOn w:val="a0"/>
    <w:next w:val="a0"/>
    <w:link w:val="2Char"/>
    <w:qFormat/>
    <w:rsid w:val="00452C90"/>
    <w:pPr>
      <w:keepNext/>
      <w:widowControl/>
      <w:wordWrap/>
      <w:autoSpaceDE/>
      <w:autoSpaceDN/>
      <w:spacing w:before="240" w:after="120"/>
      <w:jc w:val="left"/>
      <w:outlineLvl w:val="1"/>
    </w:pPr>
    <w:rPr>
      <w:rFonts w:ascii="Times New Roman" w:eastAsia="Batang" w:hAnsi="Times New Roman"/>
      <w:b/>
      <w:kern w:val="0"/>
      <w:sz w:val="28"/>
      <w:szCs w:val="20"/>
      <w:lang w:eastAsia="en-US"/>
    </w:rPr>
  </w:style>
  <w:style w:type="paragraph" w:styleId="3">
    <w:name w:val="heading 3"/>
    <w:basedOn w:val="a0"/>
    <w:next w:val="a0"/>
    <w:link w:val="3Char"/>
    <w:uiPriority w:val="9"/>
    <w:qFormat/>
    <w:rsid w:val="00507D63"/>
    <w:pPr>
      <w:keepNext/>
      <w:ind w:leftChars="300" w:left="300" w:hangingChars="200" w:hanging="2000"/>
      <w:outlineLvl w:val="2"/>
    </w:pPr>
  </w:style>
  <w:style w:type="paragraph" w:styleId="4">
    <w:name w:val="heading 4"/>
    <w:basedOn w:val="a0"/>
    <w:next w:val="a0"/>
    <w:link w:val="4Char"/>
    <w:uiPriority w:val="9"/>
    <w:qFormat/>
    <w:rsid w:val="00507D63"/>
    <w:pPr>
      <w:keepNext/>
      <w:ind w:leftChars="400" w:left="400" w:hangingChars="200" w:hanging="20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link w:val="2"/>
    <w:rsid w:val="00452C90"/>
    <w:rPr>
      <w:rFonts w:ascii="Times New Roman" w:eastAsia="Batang" w:hAnsi="Times New Roman" w:cs="Times New Roman"/>
      <w:b/>
      <w:kern w:val="0"/>
      <w:sz w:val="28"/>
      <w:szCs w:val="20"/>
      <w:lang w:eastAsia="en-US"/>
    </w:rPr>
  </w:style>
  <w:style w:type="paragraph" w:customStyle="1" w:styleId="a4">
    <w:name w:val="바탕글"/>
    <w:basedOn w:val="a0"/>
    <w:rsid w:val="00452C90"/>
    <w:pPr>
      <w:widowControl/>
      <w:wordWrap/>
      <w:autoSpaceDE/>
      <w:autoSpaceDN/>
      <w:snapToGrid w:val="0"/>
      <w:spacing w:line="384" w:lineRule="auto"/>
    </w:pPr>
    <w:rPr>
      <w:rFonts w:ascii="Batang" w:eastAsia="Batang" w:hAnsi="Batang" w:cs="Gulim"/>
      <w:color w:val="000000"/>
      <w:kern w:val="0"/>
      <w:szCs w:val="20"/>
    </w:rPr>
  </w:style>
  <w:style w:type="paragraph" w:styleId="a5">
    <w:name w:val="Body Text"/>
    <w:basedOn w:val="a0"/>
    <w:link w:val="Char"/>
    <w:rsid w:val="00452C90"/>
    <w:pPr>
      <w:wordWrap/>
      <w:autoSpaceDE/>
      <w:autoSpaceDN/>
    </w:pPr>
    <w:rPr>
      <w:rFonts w:ascii="Verdana" w:eastAsia="Batang" w:hAnsi="Verdana"/>
      <w:sz w:val="24"/>
      <w:szCs w:val="20"/>
      <w:lang w:eastAsia="en-US"/>
    </w:rPr>
  </w:style>
  <w:style w:type="character" w:customStyle="1" w:styleId="Char">
    <w:name w:val="正文文本 Char"/>
    <w:link w:val="a5"/>
    <w:rsid w:val="00452C90"/>
    <w:rPr>
      <w:rFonts w:ascii="Verdana" w:eastAsia="Batang" w:hAnsi="Verdana" w:cs="Times New Roman"/>
      <w:sz w:val="24"/>
      <w:szCs w:val="20"/>
      <w:lang w:eastAsia="en-US"/>
    </w:rPr>
  </w:style>
  <w:style w:type="character" w:customStyle="1" w:styleId="desc">
    <w:name w:val="desc"/>
    <w:basedOn w:val="a1"/>
    <w:rsid w:val="00452C90"/>
  </w:style>
  <w:style w:type="paragraph" w:styleId="a6">
    <w:name w:val="Balloon Text"/>
    <w:basedOn w:val="a0"/>
    <w:link w:val="Char0"/>
    <w:uiPriority w:val="99"/>
    <w:semiHidden/>
    <w:unhideWhenUsed/>
    <w:rsid w:val="00394836"/>
    <w:rPr>
      <w:rFonts w:ascii="Tahoma" w:hAnsi="Tahoma" w:cs="Tahoma"/>
      <w:sz w:val="16"/>
      <w:szCs w:val="16"/>
    </w:rPr>
  </w:style>
  <w:style w:type="character" w:customStyle="1" w:styleId="Char0">
    <w:name w:val="批注框文本 Char"/>
    <w:link w:val="a6"/>
    <w:uiPriority w:val="99"/>
    <w:semiHidden/>
    <w:rsid w:val="00394836"/>
    <w:rPr>
      <w:rFonts w:ascii="Tahoma" w:hAnsi="Tahoma" w:cs="Tahoma"/>
      <w:kern w:val="2"/>
      <w:sz w:val="16"/>
      <w:szCs w:val="16"/>
      <w:lang w:val="en-US" w:eastAsia="ko-KR"/>
    </w:rPr>
  </w:style>
  <w:style w:type="paragraph" w:styleId="HTML">
    <w:name w:val="HTML Preformatted"/>
    <w:basedOn w:val="a0"/>
    <w:link w:val="HTMLChar"/>
    <w:uiPriority w:val="99"/>
    <w:semiHidden/>
    <w:unhideWhenUsed/>
    <w:rsid w:val="00B37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eastAsia="en-US"/>
    </w:rPr>
  </w:style>
  <w:style w:type="character" w:customStyle="1" w:styleId="HTMLChar">
    <w:name w:val="HTML 预设格式 Char"/>
    <w:link w:val="HTML"/>
    <w:uiPriority w:val="99"/>
    <w:semiHidden/>
    <w:rsid w:val="00B37041"/>
    <w:rPr>
      <w:rFonts w:ascii="Courier New" w:eastAsia="Times New Roman" w:hAnsi="Courier New" w:cs="Courier New"/>
    </w:rPr>
  </w:style>
  <w:style w:type="paragraph" w:styleId="a7">
    <w:name w:val="header"/>
    <w:basedOn w:val="a0"/>
    <w:link w:val="Char1"/>
    <w:uiPriority w:val="99"/>
    <w:unhideWhenUsed/>
    <w:rsid w:val="009202BD"/>
    <w:pPr>
      <w:tabs>
        <w:tab w:val="center" w:pos="4513"/>
        <w:tab w:val="right" w:pos="9026"/>
      </w:tabs>
      <w:snapToGrid w:val="0"/>
    </w:pPr>
  </w:style>
  <w:style w:type="character" w:customStyle="1" w:styleId="Char1">
    <w:name w:val="页眉 Char"/>
    <w:link w:val="a7"/>
    <w:uiPriority w:val="99"/>
    <w:rsid w:val="009202BD"/>
    <w:rPr>
      <w:kern w:val="2"/>
      <w:szCs w:val="22"/>
    </w:rPr>
  </w:style>
  <w:style w:type="paragraph" w:styleId="a8">
    <w:name w:val="footer"/>
    <w:basedOn w:val="a0"/>
    <w:link w:val="Char2"/>
    <w:uiPriority w:val="99"/>
    <w:unhideWhenUsed/>
    <w:rsid w:val="009202BD"/>
    <w:pPr>
      <w:tabs>
        <w:tab w:val="center" w:pos="4513"/>
        <w:tab w:val="right" w:pos="9026"/>
      </w:tabs>
      <w:snapToGrid w:val="0"/>
    </w:pPr>
  </w:style>
  <w:style w:type="character" w:customStyle="1" w:styleId="Char2">
    <w:name w:val="页脚 Char"/>
    <w:link w:val="a8"/>
    <w:uiPriority w:val="99"/>
    <w:rsid w:val="009202BD"/>
    <w:rPr>
      <w:kern w:val="2"/>
      <w:szCs w:val="22"/>
    </w:rPr>
  </w:style>
  <w:style w:type="character" w:styleId="a9">
    <w:name w:val="Hyperlink"/>
    <w:uiPriority w:val="99"/>
    <w:unhideWhenUsed/>
    <w:rsid w:val="00DB1F4C"/>
    <w:rPr>
      <w:color w:val="0000FF"/>
      <w:u w:val="single"/>
    </w:rPr>
  </w:style>
  <w:style w:type="character" w:customStyle="1" w:styleId="ti2">
    <w:name w:val="ti2"/>
    <w:rsid w:val="006D729B"/>
    <w:rPr>
      <w:sz w:val="22"/>
      <w:szCs w:val="22"/>
    </w:rPr>
  </w:style>
  <w:style w:type="paragraph" w:customStyle="1" w:styleId="10">
    <w:name w:val="간격 없음1"/>
    <w:uiPriority w:val="1"/>
    <w:qFormat/>
    <w:rsid w:val="006D729B"/>
    <w:pPr>
      <w:widowControl w:val="0"/>
      <w:wordWrap w:val="0"/>
      <w:autoSpaceDE w:val="0"/>
      <w:autoSpaceDN w:val="0"/>
      <w:jc w:val="both"/>
    </w:pPr>
    <w:rPr>
      <w:kern w:val="2"/>
      <w:szCs w:val="22"/>
      <w:lang w:eastAsia="ko-KR"/>
    </w:rPr>
  </w:style>
  <w:style w:type="table" w:styleId="aa">
    <w:name w:val="Table Grid"/>
    <w:basedOn w:val="a2"/>
    <w:uiPriority w:val="59"/>
    <w:rsid w:val="006D72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rmal (Web)"/>
    <w:basedOn w:val="a0"/>
    <w:unhideWhenUsed/>
    <w:rsid w:val="006D729B"/>
    <w:pPr>
      <w:widowControl/>
      <w:wordWrap/>
      <w:autoSpaceDE/>
      <w:autoSpaceDN/>
      <w:spacing w:before="100" w:beforeAutospacing="1" w:after="100" w:afterAutospacing="1"/>
      <w:jc w:val="left"/>
    </w:pPr>
    <w:rPr>
      <w:rFonts w:ascii="Gulim" w:eastAsia="Gulim" w:hAnsi="Gulim" w:cs="Gulim"/>
      <w:kern w:val="0"/>
      <w:sz w:val="24"/>
      <w:szCs w:val="24"/>
    </w:rPr>
  </w:style>
  <w:style w:type="paragraph" w:styleId="ac">
    <w:name w:val="caption"/>
    <w:basedOn w:val="a0"/>
    <w:next w:val="a0"/>
    <w:uiPriority w:val="35"/>
    <w:qFormat/>
    <w:rsid w:val="006D729B"/>
    <w:rPr>
      <w:b/>
      <w:bCs/>
      <w:szCs w:val="20"/>
    </w:rPr>
  </w:style>
  <w:style w:type="paragraph" w:styleId="a">
    <w:name w:val="List Number"/>
    <w:basedOn w:val="a0"/>
    <w:rsid w:val="006D729B"/>
    <w:pPr>
      <w:numPr>
        <w:numId w:val="12"/>
      </w:numPr>
    </w:pPr>
  </w:style>
  <w:style w:type="paragraph" w:styleId="ad">
    <w:name w:val="Document Map"/>
    <w:basedOn w:val="a0"/>
    <w:link w:val="Char3"/>
    <w:uiPriority w:val="99"/>
    <w:semiHidden/>
    <w:unhideWhenUsed/>
    <w:rsid w:val="006D729B"/>
    <w:rPr>
      <w:rFonts w:ascii="Gulim" w:eastAsia="Gulim"/>
      <w:sz w:val="18"/>
      <w:szCs w:val="18"/>
    </w:rPr>
  </w:style>
  <w:style w:type="character" w:customStyle="1" w:styleId="Char3">
    <w:name w:val="文档结构图 Char"/>
    <w:link w:val="ad"/>
    <w:uiPriority w:val="99"/>
    <w:semiHidden/>
    <w:rsid w:val="006D729B"/>
    <w:rPr>
      <w:rFonts w:ascii="Gulim" w:eastAsia="Gulim"/>
      <w:kern w:val="2"/>
      <w:sz w:val="18"/>
      <w:szCs w:val="18"/>
    </w:rPr>
  </w:style>
  <w:style w:type="paragraph" w:styleId="ae">
    <w:name w:val="Date"/>
    <w:basedOn w:val="a0"/>
    <w:next w:val="a0"/>
    <w:link w:val="Char4"/>
    <w:uiPriority w:val="99"/>
    <w:semiHidden/>
    <w:unhideWhenUsed/>
    <w:rsid w:val="006D729B"/>
  </w:style>
  <w:style w:type="character" w:customStyle="1" w:styleId="Char4">
    <w:name w:val="日期 Char"/>
    <w:link w:val="ae"/>
    <w:uiPriority w:val="99"/>
    <w:semiHidden/>
    <w:rsid w:val="006D729B"/>
    <w:rPr>
      <w:kern w:val="2"/>
      <w:szCs w:val="22"/>
    </w:rPr>
  </w:style>
  <w:style w:type="character" w:styleId="af">
    <w:name w:val="annotation reference"/>
    <w:uiPriority w:val="99"/>
    <w:semiHidden/>
    <w:unhideWhenUsed/>
    <w:rsid w:val="006D729B"/>
    <w:rPr>
      <w:sz w:val="18"/>
      <w:szCs w:val="18"/>
    </w:rPr>
  </w:style>
  <w:style w:type="paragraph" w:styleId="af0">
    <w:name w:val="annotation text"/>
    <w:basedOn w:val="a0"/>
    <w:link w:val="Char5"/>
    <w:uiPriority w:val="99"/>
    <w:semiHidden/>
    <w:unhideWhenUsed/>
    <w:rsid w:val="006D729B"/>
    <w:rPr>
      <w:sz w:val="24"/>
      <w:szCs w:val="24"/>
    </w:rPr>
  </w:style>
  <w:style w:type="character" w:customStyle="1" w:styleId="Char5">
    <w:name w:val="批注文字 Char"/>
    <w:link w:val="af0"/>
    <w:uiPriority w:val="99"/>
    <w:semiHidden/>
    <w:rsid w:val="006D729B"/>
    <w:rPr>
      <w:kern w:val="2"/>
      <w:sz w:val="24"/>
      <w:szCs w:val="24"/>
    </w:rPr>
  </w:style>
  <w:style w:type="paragraph" w:styleId="af1">
    <w:name w:val="annotation subject"/>
    <w:basedOn w:val="af0"/>
    <w:next w:val="af0"/>
    <w:link w:val="Char6"/>
    <w:uiPriority w:val="99"/>
    <w:semiHidden/>
    <w:unhideWhenUsed/>
    <w:rsid w:val="006D729B"/>
    <w:rPr>
      <w:b/>
      <w:bCs/>
      <w:sz w:val="20"/>
      <w:szCs w:val="20"/>
    </w:rPr>
  </w:style>
  <w:style w:type="character" w:customStyle="1" w:styleId="Char6">
    <w:name w:val="批注主题 Char"/>
    <w:link w:val="af1"/>
    <w:uiPriority w:val="99"/>
    <w:semiHidden/>
    <w:rsid w:val="006D729B"/>
    <w:rPr>
      <w:b/>
      <w:bCs/>
      <w:kern w:val="2"/>
      <w:sz w:val="24"/>
      <w:szCs w:val="24"/>
    </w:rPr>
  </w:style>
  <w:style w:type="character" w:customStyle="1" w:styleId="1Char">
    <w:name w:val="标题 1 Char"/>
    <w:link w:val="1"/>
    <w:uiPriority w:val="9"/>
    <w:rsid w:val="00507D63"/>
    <w:rPr>
      <w:rFonts w:ascii="Malgun Gothic" w:eastAsia="Malgun Gothic" w:hAnsi="Malgun Gothic" w:cs="Times New Roman"/>
      <w:kern w:val="2"/>
      <w:sz w:val="28"/>
      <w:szCs w:val="28"/>
    </w:rPr>
  </w:style>
  <w:style w:type="character" w:customStyle="1" w:styleId="3Char">
    <w:name w:val="标题 3 Char"/>
    <w:link w:val="3"/>
    <w:uiPriority w:val="9"/>
    <w:semiHidden/>
    <w:rsid w:val="00507D63"/>
    <w:rPr>
      <w:rFonts w:ascii="Malgun Gothic" w:eastAsia="Malgun Gothic" w:hAnsi="Malgun Gothic" w:cs="Times New Roman"/>
      <w:kern w:val="2"/>
      <w:szCs w:val="22"/>
    </w:rPr>
  </w:style>
  <w:style w:type="character" w:customStyle="1" w:styleId="4Char">
    <w:name w:val="标题 4 Char"/>
    <w:link w:val="4"/>
    <w:uiPriority w:val="9"/>
    <w:rsid w:val="00507D63"/>
    <w:rPr>
      <w:b/>
      <w:bCs/>
      <w:kern w:val="2"/>
      <w:szCs w:val="22"/>
    </w:rPr>
  </w:style>
  <w:style w:type="paragraph" w:styleId="af2">
    <w:name w:val="Normal Indent"/>
    <w:basedOn w:val="a0"/>
    <w:rsid w:val="00507D63"/>
    <w:pPr>
      <w:adjustRightInd w:val="0"/>
      <w:ind w:left="851"/>
      <w:textAlignment w:val="baseline"/>
    </w:pPr>
    <w:rPr>
      <w:rFonts w:ascii="Times New Roman" w:eastAsia="Batang" w:hAnsi="Times New Roman"/>
      <w:sz w:val="24"/>
      <w:szCs w:val="20"/>
    </w:rPr>
  </w:style>
  <w:style w:type="character" w:customStyle="1" w:styleId="email">
    <w:name w:val="email"/>
    <w:basedOn w:val="a1"/>
    <w:rsid w:val="006B39D1"/>
  </w:style>
  <w:style w:type="paragraph" w:customStyle="1" w:styleId="rprtbody1">
    <w:name w:val="rprtbody1"/>
    <w:basedOn w:val="a0"/>
    <w:rsid w:val="004F7AB3"/>
    <w:pPr>
      <w:widowControl/>
      <w:wordWrap/>
      <w:autoSpaceDE/>
      <w:autoSpaceDN/>
      <w:spacing w:before="34" w:after="34"/>
      <w:jc w:val="left"/>
    </w:pPr>
    <w:rPr>
      <w:rFonts w:ascii="Gulim" w:eastAsia="Gulim" w:hAnsi="Gulim" w:cs="Gulim"/>
      <w:kern w:val="0"/>
      <w:sz w:val="28"/>
      <w:szCs w:val="28"/>
    </w:rPr>
  </w:style>
  <w:style w:type="character" w:customStyle="1" w:styleId="src1">
    <w:name w:val="src1"/>
    <w:rsid w:val="004F7AB3"/>
    <w:rPr>
      <w:vanish w:val="0"/>
      <w:webHidden w:val="0"/>
      <w:specVanish w:val="0"/>
    </w:rPr>
  </w:style>
  <w:style w:type="character" w:customStyle="1" w:styleId="jrnl">
    <w:name w:val="jrnl"/>
    <w:basedOn w:val="a1"/>
    <w:rsid w:val="004F7AB3"/>
  </w:style>
  <w:style w:type="paragraph" w:styleId="af3">
    <w:name w:val="Title"/>
    <w:basedOn w:val="a5"/>
    <w:link w:val="Char7"/>
    <w:qFormat/>
    <w:rsid w:val="003B2362"/>
    <w:pPr>
      <w:widowControl/>
      <w:spacing w:before="240" w:after="240" w:line="480" w:lineRule="auto"/>
      <w:jc w:val="left"/>
      <w:outlineLvl w:val="0"/>
    </w:pPr>
    <w:rPr>
      <w:rFonts w:ascii="Times New Roman" w:eastAsia="Times New Roman" w:hAnsi="Times New Roman"/>
      <w:b/>
      <w:bCs/>
      <w:kern w:val="28"/>
      <w:sz w:val="28"/>
      <w:szCs w:val="32"/>
    </w:rPr>
  </w:style>
  <w:style w:type="character" w:customStyle="1" w:styleId="Char7">
    <w:name w:val="标题 Char"/>
    <w:link w:val="af3"/>
    <w:rsid w:val="003B2362"/>
    <w:rPr>
      <w:rFonts w:ascii="Times New Roman" w:eastAsia="Times New Roman" w:hAnsi="Times New Roman"/>
      <w:b/>
      <w:bCs/>
      <w:kern w:val="28"/>
      <w:sz w:val="28"/>
      <w:szCs w:val="32"/>
      <w:lang w:eastAsia="en-US"/>
    </w:rPr>
  </w:style>
  <w:style w:type="paragraph" w:styleId="af4">
    <w:name w:val="Subtitle"/>
    <w:basedOn w:val="a5"/>
    <w:link w:val="Char8"/>
    <w:qFormat/>
    <w:rsid w:val="003B2362"/>
    <w:pPr>
      <w:widowControl/>
      <w:spacing w:before="240" w:after="240" w:line="480" w:lineRule="auto"/>
      <w:jc w:val="left"/>
      <w:outlineLvl w:val="1"/>
    </w:pPr>
    <w:rPr>
      <w:rFonts w:ascii="Times New Roman" w:eastAsia="Times New Roman" w:hAnsi="Times New Roman"/>
      <w:kern w:val="0"/>
      <w:szCs w:val="24"/>
    </w:rPr>
  </w:style>
  <w:style w:type="character" w:customStyle="1" w:styleId="Char8">
    <w:name w:val="副标题 Char"/>
    <w:link w:val="af4"/>
    <w:rsid w:val="003B2362"/>
    <w:rPr>
      <w:rFonts w:ascii="Times New Roman" w:eastAsia="Times New Roman" w:hAnsi="Times New Roman"/>
      <w:sz w:val="24"/>
      <w:szCs w:val="24"/>
      <w:lang w:eastAsia="en-US"/>
    </w:rPr>
  </w:style>
  <w:style w:type="paragraph" w:customStyle="1" w:styleId="BodyTextHead">
    <w:name w:val="Body Text Head"/>
    <w:basedOn w:val="a5"/>
    <w:rsid w:val="003B2362"/>
    <w:pPr>
      <w:widowControl/>
      <w:spacing w:before="240" w:line="480" w:lineRule="auto"/>
      <w:jc w:val="left"/>
    </w:pPr>
    <w:rPr>
      <w:rFonts w:ascii="Times New Roman" w:eastAsia="Times New Roman" w:hAnsi="Times New Roman"/>
      <w:kern w:val="0"/>
      <w:szCs w:val="24"/>
    </w:rPr>
  </w:style>
  <w:style w:type="paragraph" w:styleId="af5">
    <w:name w:val="Body Text First Indent"/>
    <w:basedOn w:val="a5"/>
    <w:link w:val="Char9"/>
    <w:uiPriority w:val="99"/>
    <w:unhideWhenUsed/>
    <w:rsid w:val="003B2362"/>
    <w:pPr>
      <w:wordWrap w:val="0"/>
      <w:autoSpaceDE w:val="0"/>
      <w:autoSpaceDN w:val="0"/>
      <w:spacing w:after="180"/>
      <w:ind w:firstLineChars="100" w:firstLine="210"/>
    </w:pPr>
    <w:rPr>
      <w:rFonts w:ascii="Malgun Gothic" w:eastAsia="Malgun Gothic" w:hAnsi="Malgun Gothic"/>
      <w:sz w:val="20"/>
      <w:szCs w:val="22"/>
      <w:lang w:eastAsia="ko-KR"/>
    </w:rPr>
  </w:style>
  <w:style w:type="character" w:customStyle="1" w:styleId="Char9">
    <w:name w:val="正文首行缩进 Char"/>
    <w:link w:val="af5"/>
    <w:uiPriority w:val="99"/>
    <w:rsid w:val="003B2362"/>
    <w:rPr>
      <w:rFonts w:ascii="Verdana" w:eastAsia="Batang" w:hAnsi="Verdana" w:cs="Times New Roman"/>
      <w:kern w:val="2"/>
      <w:sz w:val="24"/>
      <w:szCs w:val="22"/>
      <w:lang w:eastAsia="en-US"/>
    </w:rPr>
  </w:style>
  <w:style w:type="character" w:customStyle="1" w:styleId="nbapihighlight1">
    <w:name w:val="nbapihighlight1"/>
    <w:basedOn w:val="a1"/>
    <w:rsid w:val="006A282A"/>
  </w:style>
  <w:style w:type="paragraph" w:styleId="af6">
    <w:name w:val="No Spacing"/>
    <w:uiPriority w:val="1"/>
    <w:qFormat/>
    <w:rsid w:val="00404922"/>
    <w:pPr>
      <w:widowControl w:val="0"/>
      <w:wordWrap w:val="0"/>
      <w:autoSpaceDE w:val="0"/>
      <w:autoSpaceDN w:val="0"/>
      <w:jc w:val="both"/>
    </w:pPr>
    <w:rPr>
      <w:kern w:val="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07989">
      <w:bodyDiv w:val="1"/>
      <w:marLeft w:val="0"/>
      <w:marRight w:val="0"/>
      <w:marTop w:val="0"/>
      <w:marBottom w:val="0"/>
      <w:divBdr>
        <w:top w:val="none" w:sz="0" w:space="0" w:color="auto"/>
        <w:left w:val="none" w:sz="0" w:space="0" w:color="auto"/>
        <w:bottom w:val="none" w:sz="0" w:space="0" w:color="auto"/>
        <w:right w:val="none" w:sz="0" w:space="0" w:color="auto"/>
      </w:divBdr>
    </w:div>
    <w:div w:id="349647568">
      <w:bodyDiv w:val="1"/>
      <w:marLeft w:val="0"/>
      <w:marRight w:val="0"/>
      <w:marTop w:val="0"/>
      <w:marBottom w:val="0"/>
      <w:divBdr>
        <w:top w:val="none" w:sz="0" w:space="0" w:color="auto"/>
        <w:left w:val="none" w:sz="0" w:space="0" w:color="auto"/>
        <w:bottom w:val="none" w:sz="0" w:space="0" w:color="auto"/>
        <w:right w:val="none" w:sz="0" w:space="0" w:color="auto"/>
      </w:divBdr>
    </w:div>
    <w:div w:id="383913694">
      <w:bodyDiv w:val="1"/>
      <w:marLeft w:val="0"/>
      <w:marRight w:val="0"/>
      <w:marTop w:val="0"/>
      <w:marBottom w:val="0"/>
      <w:divBdr>
        <w:top w:val="none" w:sz="0" w:space="0" w:color="auto"/>
        <w:left w:val="none" w:sz="0" w:space="0" w:color="auto"/>
        <w:bottom w:val="none" w:sz="0" w:space="0" w:color="auto"/>
        <w:right w:val="none" w:sz="0" w:space="0" w:color="auto"/>
      </w:divBdr>
      <w:divsChild>
        <w:div w:id="1716462108">
          <w:marLeft w:val="0"/>
          <w:marRight w:val="0"/>
          <w:marTop w:val="0"/>
          <w:marBottom w:val="0"/>
          <w:divBdr>
            <w:top w:val="none" w:sz="0" w:space="0" w:color="auto"/>
            <w:left w:val="none" w:sz="0" w:space="0" w:color="auto"/>
            <w:bottom w:val="none" w:sz="0" w:space="0" w:color="auto"/>
            <w:right w:val="none" w:sz="0" w:space="0" w:color="auto"/>
          </w:divBdr>
          <w:divsChild>
            <w:div w:id="671682273">
              <w:marLeft w:val="0"/>
              <w:marRight w:val="0"/>
              <w:marTop w:val="0"/>
              <w:marBottom w:val="0"/>
              <w:divBdr>
                <w:top w:val="none" w:sz="0" w:space="0" w:color="auto"/>
                <w:left w:val="none" w:sz="0" w:space="0" w:color="auto"/>
                <w:bottom w:val="none" w:sz="0" w:space="0" w:color="auto"/>
                <w:right w:val="none" w:sz="0" w:space="0" w:color="auto"/>
              </w:divBdr>
              <w:divsChild>
                <w:div w:id="1529490746">
                  <w:marLeft w:val="0"/>
                  <w:marRight w:val="-6084"/>
                  <w:marTop w:val="0"/>
                  <w:marBottom w:val="0"/>
                  <w:divBdr>
                    <w:top w:val="none" w:sz="0" w:space="0" w:color="auto"/>
                    <w:left w:val="none" w:sz="0" w:space="0" w:color="auto"/>
                    <w:bottom w:val="none" w:sz="0" w:space="0" w:color="auto"/>
                    <w:right w:val="none" w:sz="0" w:space="0" w:color="auto"/>
                  </w:divBdr>
                  <w:divsChild>
                    <w:div w:id="1909415825">
                      <w:marLeft w:val="0"/>
                      <w:marRight w:val="5604"/>
                      <w:marTop w:val="0"/>
                      <w:marBottom w:val="0"/>
                      <w:divBdr>
                        <w:top w:val="none" w:sz="0" w:space="0" w:color="auto"/>
                        <w:left w:val="none" w:sz="0" w:space="0" w:color="auto"/>
                        <w:bottom w:val="none" w:sz="0" w:space="0" w:color="auto"/>
                        <w:right w:val="none" w:sz="0" w:space="0" w:color="auto"/>
                      </w:divBdr>
                      <w:divsChild>
                        <w:div w:id="143159293">
                          <w:marLeft w:val="0"/>
                          <w:marRight w:val="0"/>
                          <w:marTop w:val="0"/>
                          <w:marBottom w:val="0"/>
                          <w:divBdr>
                            <w:top w:val="none" w:sz="0" w:space="0" w:color="auto"/>
                            <w:left w:val="none" w:sz="0" w:space="0" w:color="auto"/>
                            <w:bottom w:val="none" w:sz="0" w:space="0" w:color="auto"/>
                            <w:right w:val="none" w:sz="0" w:space="0" w:color="auto"/>
                          </w:divBdr>
                          <w:divsChild>
                            <w:div w:id="471288043">
                              <w:marLeft w:val="0"/>
                              <w:marRight w:val="0"/>
                              <w:marTop w:val="120"/>
                              <w:marBottom w:val="360"/>
                              <w:divBdr>
                                <w:top w:val="none" w:sz="0" w:space="0" w:color="auto"/>
                                <w:left w:val="none" w:sz="0" w:space="0" w:color="auto"/>
                                <w:bottom w:val="none" w:sz="0" w:space="0" w:color="auto"/>
                                <w:right w:val="none" w:sz="0" w:space="0" w:color="auto"/>
                              </w:divBdr>
                              <w:divsChild>
                                <w:div w:id="1114135612">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657024">
      <w:bodyDiv w:val="1"/>
      <w:marLeft w:val="0"/>
      <w:marRight w:val="0"/>
      <w:marTop w:val="0"/>
      <w:marBottom w:val="0"/>
      <w:divBdr>
        <w:top w:val="none" w:sz="0" w:space="0" w:color="auto"/>
        <w:left w:val="none" w:sz="0" w:space="0" w:color="auto"/>
        <w:bottom w:val="none" w:sz="0" w:space="0" w:color="auto"/>
        <w:right w:val="none" w:sz="0" w:space="0" w:color="auto"/>
      </w:divBdr>
      <w:divsChild>
        <w:div w:id="1729377004">
          <w:marLeft w:val="0"/>
          <w:marRight w:val="0"/>
          <w:marTop w:val="0"/>
          <w:marBottom w:val="0"/>
          <w:divBdr>
            <w:top w:val="none" w:sz="0" w:space="0" w:color="auto"/>
            <w:left w:val="none" w:sz="0" w:space="0" w:color="auto"/>
            <w:bottom w:val="none" w:sz="0" w:space="0" w:color="auto"/>
            <w:right w:val="none" w:sz="0" w:space="0" w:color="auto"/>
          </w:divBdr>
          <w:divsChild>
            <w:div w:id="1310552008">
              <w:marLeft w:val="0"/>
              <w:marRight w:val="0"/>
              <w:marTop w:val="0"/>
              <w:marBottom w:val="0"/>
              <w:divBdr>
                <w:top w:val="none" w:sz="0" w:space="0" w:color="auto"/>
                <w:left w:val="none" w:sz="0" w:space="0" w:color="auto"/>
                <w:bottom w:val="none" w:sz="0" w:space="0" w:color="auto"/>
                <w:right w:val="none" w:sz="0" w:space="0" w:color="auto"/>
              </w:divBdr>
              <w:divsChild>
                <w:div w:id="1174611432">
                  <w:marLeft w:val="0"/>
                  <w:marRight w:val="0"/>
                  <w:marTop w:val="0"/>
                  <w:marBottom w:val="0"/>
                  <w:divBdr>
                    <w:top w:val="none" w:sz="0" w:space="0" w:color="auto"/>
                    <w:left w:val="single" w:sz="4" w:space="7" w:color="E4E4E4"/>
                    <w:bottom w:val="none" w:sz="0" w:space="0" w:color="auto"/>
                    <w:right w:val="single" w:sz="4" w:space="7" w:color="E4E4E4"/>
                  </w:divBdr>
                  <w:divsChild>
                    <w:div w:id="1949848373">
                      <w:marLeft w:val="0"/>
                      <w:marRight w:val="0"/>
                      <w:marTop w:val="0"/>
                      <w:marBottom w:val="0"/>
                      <w:divBdr>
                        <w:top w:val="none" w:sz="0" w:space="0" w:color="auto"/>
                        <w:left w:val="none" w:sz="0" w:space="0" w:color="auto"/>
                        <w:bottom w:val="none" w:sz="0" w:space="0" w:color="auto"/>
                        <w:right w:val="none" w:sz="0" w:space="0" w:color="auto"/>
                      </w:divBdr>
                      <w:divsChild>
                        <w:div w:id="3224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596484">
      <w:bodyDiv w:val="1"/>
      <w:marLeft w:val="0"/>
      <w:marRight w:val="0"/>
      <w:marTop w:val="0"/>
      <w:marBottom w:val="0"/>
      <w:divBdr>
        <w:top w:val="none" w:sz="0" w:space="0" w:color="auto"/>
        <w:left w:val="none" w:sz="0" w:space="0" w:color="auto"/>
        <w:bottom w:val="none" w:sz="0" w:space="0" w:color="auto"/>
        <w:right w:val="none" w:sz="0" w:space="0" w:color="auto"/>
      </w:divBdr>
    </w:div>
    <w:div w:id="894121968">
      <w:bodyDiv w:val="1"/>
      <w:marLeft w:val="0"/>
      <w:marRight w:val="0"/>
      <w:marTop w:val="0"/>
      <w:marBottom w:val="0"/>
      <w:divBdr>
        <w:top w:val="none" w:sz="0" w:space="0" w:color="auto"/>
        <w:left w:val="none" w:sz="0" w:space="0" w:color="auto"/>
        <w:bottom w:val="none" w:sz="0" w:space="0" w:color="auto"/>
        <w:right w:val="none" w:sz="0" w:space="0" w:color="auto"/>
      </w:divBdr>
    </w:div>
    <w:div w:id="1298755453">
      <w:bodyDiv w:val="1"/>
      <w:marLeft w:val="0"/>
      <w:marRight w:val="0"/>
      <w:marTop w:val="0"/>
      <w:marBottom w:val="0"/>
      <w:divBdr>
        <w:top w:val="none" w:sz="0" w:space="0" w:color="auto"/>
        <w:left w:val="none" w:sz="0" w:space="0" w:color="auto"/>
        <w:bottom w:val="none" w:sz="0" w:space="0" w:color="auto"/>
        <w:right w:val="none" w:sz="0" w:space="0" w:color="auto"/>
      </w:divBdr>
    </w:div>
    <w:div w:id="1465661267">
      <w:bodyDiv w:val="1"/>
      <w:marLeft w:val="0"/>
      <w:marRight w:val="0"/>
      <w:marTop w:val="0"/>
      <w:marBottom w:val="0"/>
      <w:divBdr>
        <w:top w:val="none" w:sz="0" w:space="0" w:color="auto"/>
        <w:left w:val="none" w:sz="0" w:space="0" w:color="auto"/>
        <w:bottom w:val="none" w:sz="0" w:space="0" w:color="auto"/>
        <w:right w:val="none" w:sz="0" w:space="0" w:color="auto"/>
      </w:divBdr>
      <w:divsChild>
        <w:div w:id="82802118">
          <w:marLeft w:val="0"/>
          <w:marRight w:val="0"/>
          <w:marTop w:val="0"/>
          <w:marBottom w:val="0"/>
          <w:divBdr>
            <w:top w:val="none" w:sz="0" w:space="0" w:color="auto"/>
            <w:left w:val="none" w:sz="0" w:space="0" w:color="auto"/>
            <w:bottom w:val="none" w:sz="0" w:space="0" w:color="auto"/>
            <w:right w:val="none" w:sz="0" w:space="0" w:color="auto"/>
          </w:divBdr>
          <w:divsChild>
            <w:div w:id="674235049">
              <w:marLeft w:val="0"/>
              <w:marRight w:val="0"/>
              <w:marTop w:val="0"/>
              <w:marBottom w:val="0"/>
              <w:divBdr>
                <w:top w:val="none" w:sz="0" w:space="0" w:color="auto"/>
                <w:left w:val="none" w:sz="0" w:space="0" w:color="auto"/>
                <w:bottom w:val="none" w:sz="0" w:space="0" w:color="auto"/>
                <w:right w:val="none" w:sz="0" w:space="0" w:color="auto"/>
              </w:divBdr>
              <w:divsChild>
                <w:div w:id="1233588756">
                  <w:marLeft w:val="0"/>
                  <w:marRight w:val="-6084"/>
                  <w:marTop w:val="0"/>
                  <w:marBottom w:val="0"/>
                  <w:divBdr>
                    <w:top w:val="none" w:sz="0" w:space="0" w:color="auto"/>
                    <w:left w:val="none" w:sz="0" w:space="0" w:color="auto"/>
                    <w:bottom w:val="none" w:sz="0" w:space="0" w:color="auto"/>
                    <w:right w:val="none" w:sz="0" w:space="0" w:color="auto"/>
                  </w:divBdr>
                  <w:divsChild>
                    <w:div w:id="60906291">
                      <w:marLeft w:val="0"/>
                      <w:marRight w:val="5604"/>
                      <w:marTop w:val="0"/>
                      <w:marBottom w:val="0"/>
                      <w:divBdr>
                        <w:top w:val="none" w:sz="0" w:space="0" w:color="auto"/>
                        <w:left w:val="none" w:sz="0" w:space="0" w:color="auto"/>
                        <w:bottom w:val="none" w:sz="0" w:space="0" w:color="auto"/>
                        <w:right w:val="none" w:sz="0" w:space="0" w:color="auto"/>
                      </w:divBdr>
                      <w:divsChild>
                        <w:div w:id="574316534">
                          <w:marLeft w:val="0"/>
                          <w:marRight w:val="0"/>
                          <w:marTop w:val="0"/>
                          <w:marBottom w:val="0"/>
                          <w:divBdr>
                            <w:top w:val="none" w:sz="0" w:space="0" w:color="auto"/>
                            <w:left w:val="none" w:sz="0" w:space="0" w:color="auto"/>
                            <w:bottom w:val="none" w:sz="0" w:space="0" w:color="auto"/>
                            <w:right w:val="none" w:sz="0" w:space="0" w:color="auto"/>
                          </w:divBdr>
                          <w:divsChild>
                            <w:div w:id="83427689">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76993">
      <w:bodyDiv w:val="1"/>
      <w:marLeft w:val="0"/>
      <w:marRight w:val="0"/>
      <w:marTop w:val="0"/>
      <w:marBottom w:val="0"/>
      <w:divBdr>
        <w:top w:val="none" w:sz="0" w:space="0" w:color="auto"/>
        <w:left w:val="none" w:sz="0" w:space="0" w:color="auto"/>
        <w:bottom w:val="none" w:sz="0" w:space="0" w:color="auto"/>
        <w:right w:val="none" w:sz="0" w:space="0" w:color="auto"/>
      </w:divBdr>
    </w:div>
    <w:div w:id="1735279710">
      <w:bodyDiv w:val="1"/>
      <w:marLeft w:val="0"/>
      <w:marRight w:val="0"/>
      <w:marTop w:val="0"/>
      <w:marBottom w:val="0"/>
      <w:divBdr>
        <w:top w:val="none" w:sz="0" w:space="0" w:color="auto"/>
        <w:left w:val="none" w:sz="0" w:space="0" w:color="auto"/>
        <w:bottom w:val="none" w:sz="0" w:space="0" w:color="auto"/>
        <w:right w:val="none" w:sz="0" w:space="0" w:color="auto"/>
      </w:divBdr>
      <w:divsChild>
        <w:div w:id="1453749466">
          <w:marLeft w:val="0"/>
          <w:marRight w:val="0"/>
          <w:marTop w:val="0"/>
          <w:marBottom w:val="0"/>
          <w:divBdr>
            <w:top w:val="none" w:sz="0" w:space="0" w:color="auto"/>
            <w:left w:val="none" w:sz="0" w:space="0" w:color="auto"/>
            <w:bottom w:val="none" w:sz="0" w:space="0" w:color="auto"/>
            <w:right w:val="none" w:sz="0" w:space="0" w:color="auto"/>
          </w:divBdr>
          <w:divsChild>
            <w:div w:id="1156725039">
              <w:marLeft w:val="0"/>
              <w:marRight w:val="0"/>
              <w:marTop w:val="0"/>
              <w:marBottom w:val="0"/>
              <w:divBdr>
                <w:top w:val="none" w:sz="0" w:space="0" w:color="auto"/>
                <w:left w:val="none" w:sz="0" w:space="0" w:color="auto"/>
                <w:bottom w:val="none" w:sz="0" w:space="0" w:color="auto"/>
                <w:right w:val="none" w:sz="0" w:space="0" w:color="auto"/>
              </w:divBdr>
              <w:divsChild>
                <w:div w:id="682509452">
                  <w:marLeft w:val="0"/>
                  <w:marRight w:val="-6084"/>
                  <w:marTop w:val="0"/>
                  <w:marBottom w:val="0"/>
                  <w:divBdr>
                    <w:top w:val="none" w:sz="0" w:space="0" w:color="auto"/>
                    <w:left w:val="none" w:sz="0" w:space="0" w:color="auto"/>
                    <w:bottom w:val="none" w:sz="0" w:space="0" w:color="auto"/>
                    <w:right w:val="none" w:sz="0" w:space="0" w:color="auto"/>
                  </w:divBdr>
                  <w:divsChild>
                    <w:div w:id="1155223248">
                      <w:marLeft w:val="0"/>
                      <w:marRight w:val="5604"/>
                      <w:marTop w:val="0"/>
                      <w:marBottom w:val="0"/>
                      <w:divBdr>
                        <w:top w:val="none" w:sz="0" w:space="0" w:color="auto"/>
                        <w:left w:val="none" w:sz="0" w:space="0" w:color="auto"/>
                        <w:bottom w:val="none" w:sz="0" w:space="0" w:color="auto"/>
                        <w:right w:val="none" w:sz="0" w:space="0" w:color="auto"/>
                      </w:divBdr>
                      <w:divsChild>
                        <w:div w:id="2081098478">
                          <w:marLeft w:val="0"/>
                          <w:marRight w:val="0"/>
                          <w:marTop w:val="0"/>
                          <w:marBottom w:val="0"/>
                          <w:divBdr>
                            <w:top w:val="none" w:sz="0" w:space="0" w:color="auto"/>
                            <w:left w:val="none" w:sz="0" w:space="0" w:color="auto"/>
                            <w:bottom w:val="none" w:sz="0" w:space="0" w:color="auto"/>
                            <w:right w:val="none" w:sz="0" w:space="0" w:color="auto"/>
                          </w:divBdr>
                          <w:divsChild>
                            <w:div w:id="484664273">
                              <w:marLeft w:val="0"/>
                              <w:marRight w:val="0"/>
                              <w:marTop w:val="120"/>
                              <w:marBottom w:val="360"/>
                              <w:divBdr>
                                <w:top w:val="none" w:sz="0" w:space="0" w:color="auto"/>
                                <w:left w:val="none" w:sz="0" w:space="0" w:color="auto"/>
                                <w:bottom w:val="none" w:sz="0" w:space="0" w:color="auto"/>
                                <w:right w:val="none" w:sz="0" w:space="0" w:color="auto"/>
                              </w:divBdr>
                              <w:divsChild>
                                <w:div w:id="1475757445">
                                  <w:marLeft w:val="32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54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C6AAD-93DB-4F2C-AD1F-E239F1B12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7874</Words>
  <Characters>44884</Characters>
  <Application>Microsoft Office Word</Application>
  <DocSecurity>0</DocSecurity>
  <Lines>374</Lines>
  <Paragraphs>105</Paragraphs>
  <ScaleCrop>false</ScaleCrop>
  <HeadingPairs>
    <vt:vector size="2" baseType="variant">
      <vt:variant>
        <vt:lpstr>제목</vt:lpstr>
      </vt:variant>
      <vt:variant>
        <vt:i4>1</vt:i4>
      </vt:variant>
    </vt:vector>
  </HeadingPairs>
  <TitlesOfParts>
    <vt:vector size="1" baseType="lpstr">
      <vt:lpstr>Cover Page</vt:lpstr>
    </vt:vector>
  </TitlesOfParts>
  <Company>HP</Company>
  <LinksUpToDate>false</LinksUpToDate>
  <CharactersWithSpaces>52653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creator>TC</dc:creator>
  <cp:lastModifiedBy>liujihong2008@qq.con</cp:lastModifiedBy>
  <cp:revision>3</cp:revision>
  <cp:lastPrinted>2020-03-09T08:57:00Z</cp:lastPrinted>
  <dcterms:created xsi:type="dcterms:W3CDTF">2020-07-22T07:31:00Z</dcterms:created>
  <dcterms:modified xsi:type="dcterms:W3CDTF">2020-07-22T14:02:00Z</dcterms:modified>
</cp:coreProperties>
</file>