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C17A9" w14:textId="7E144403" w:rsidR="006E3234" w:rsidRPr="00C10A48" w:rsidRDefault="006E3234" w:rsidP="00F227A9">
      <w:pPr>
        <w:snapToGrid w:val="0"/>
        <w:spacing w:after="0" w:line="360" w:lineRule="auto"/>
        <w:jc w:val="both"/>
        <w:rPr>
          <w:rStyle w:val="fontstyle01"/>
          <w:rFonts w:ascii="Book Antiqua" w:hAnsi="Book Antiqua"/>
          <w:iCs/>
          <w:noProof/>
          <w:color w:val="auto"/>
          <w:sz w:val="24"/>
          <w:szCs w:val="24"/>
          <w:shd w:val="clear" w:color="auto" w:fill="FFFFFF"/>
          <w:lang w:val="en-US"/>
        </w:rPr>
      </w:pPr>
      <w:r w:rsidRPr="00C10A48">
        <w:rPr>
          <w:rStyle w:val="fontstyle01"/>
          <w:rFonts w:ascii="Book Antiqua" w:hAnsi="Book Antiqua"/>
          <w:b/>
          <w:noProof/>
          <w:color w:val="auto"/>
          <w:sz w:val="24"/>
          <w:szCs w:val="24"/>
          <w:lang w:val="en-US"/>
        </w:rPr>
        <w:t>Name of Journal</w:t>
      </w:r>
      <w:r w:rsidRPr="00C10A48">
        <w:rPr>
          <w:rStyle w:val="fontstyle01"/>
          <w:rFonts w:ascii="Book Antiqua" w:hAnsi="Book Antiqua"/>
          <w:noProof/>
          <w:color w:val="auto"/>
          <w:sz w:val="24"/>
          <w:szCs w:val="24"/>
          <w:lang w:val="en-US"/>
        </w:rPr>
        <w:t xml:space="preserve">: </w:t>
      </w:r>
      <w:r w:rsidRPr="00C10A48">
        <w:rPr>
          <w:rStyle w:val="ac"/>
          <w:rFonts w:ascii="Book Antiqua" w:hAnsi="Book Antiqua"/>
          <w:noProof/>
          <w:sz w:val="24"/>
          <w:szCs w:val="24"/>
          <w:shd w:val="clear" w:color="auto" w:fill="FFFFFF"/>
          <w:lang w:val="en-US"/>
        </w:rPr>
        <w:t>World Journal of Gastro</w:t>
      </w:r>
      <w:r w:rsidR="00412179" w:rsidRPr="00C10A48">
        <w:rPr>
          <w:rStyle w:val="ac"/>
          <w:rFonts w:ascii="Book Antiqua" w:hAnsi="Book Antiqua"/>
          <w:noProof/>
          <w:sz w:val="24"/>
          <w:szCs w:val="24"/>
          <w:shd w:val="clear" w:color="auto" w:fill="FFFFFF"/>
          <w:lang w:val="en-US"/>
        </w:rPr>
        <w:t>intestinal Endoscopy</w:t>
      </w:r>
    </w:p>
    <w:p w14:paraId="79004E24" w14:textId="062B8111" w:rsidR="00041085" w:rsidRPr="00C10A48" w:rsidRDefault="00041085" w:rsidP="00F227A9">
      <w:pPr>
        <w:snapToGrid w:val="0"/>
        <w:spacing w:after="0" w:line="360" w:lineRule="auto"/>
        <w:jc w:val="both"/>
        <w:rPr>
          <w:rStyle w:val="fontstyle31"/>
          <w:noProof/>
          <w:color w:val="auto"/>
          <w:lang w:val="en-US"/>
        </w:rPr>
      </w:pPr>
      <w:r w:rsidRPr="00C10A48">
        <w:rPr>
          <w:rStyle w:val="fontstyle01"/>
          <w:rFonts w:ascii="Book Antiqua" w:hAnsi="Book Antiqua"/>
          <w:b/>
          <w:noProof/>
          <w:color w:val="auto"/>
          <w:sz w:val="24"/>
          <w:szCs w:val="24"/>
          <w:lang w:val="en-US"/>
        </w:rPr>
        <w:t xml:space="preserve">Manuscript </w:t>
      </w:r>
      <w:r w:rsidR="00181D92" w:rsidRPr="00C10A48">
        <w:rPr>
          <w:rStyle w:val="fontstyle01"/>
          <w:rFonts w:ascii="Book Antiqua" w:hAnsi="Book Antiqua"/>
          <w:b/>
          <w:noProof/>
          <w:color w:val="auto"/>
          <w:sz w:val="24"/>
          <w:szCs w:val="24"/>
          <w:lang w:val="en-US"/>
        </w:rPr>
        <w:t>NO</w:t>
      </w:r>
      <w:r w:rsidRPr="00C10A48">
        <w:rPr>
          <w:rStyle w:val="fontstyle01"/>
          <w:rFonts w:ascii="Book Antiqua" w:hAnsi="Book Antiqua"/>
          <w:b/>
          <w:noProof/>
          <w:color w:val="auto"/>
          <w:sz w:val="24"/>
          <w:szCs w:val="24"/>
          <w:lang w:val="en-US"/>
        </w:rPr>
        <w:t>:</w:t>
      </w:r>
      <w:r w:rsidR="00F61431" w:rsidRPr="00C10A48">
        <w:rPr>
          <w:rStyle w:val="fontstyle01"/>
          <w:rFonts w:ascii="Book Antiqua" w:hAnsi="Book Antiqua"/>
          <w:b/>
          <w:noProof/>
          <w:color w:val="auto"/>
          <w:sz w:val="24"/>
          <w:szCs w:val="24"/>
          <w:lang w:val="en-US"/>
        </w:rPr>
        <w:t xml:space="preserve"> </w:t>
      </w:r>
      <w:r w:rsidR="00F61431" w:rsidRPr="00C10A48">
        <w:rPr>
          <w:rStyle w:val="fontstyle01"/>
          <w:rFonts w:ascii="Book Antiqua" w:hAnsi="Book Antiqua"/>
          <w:noProof/>
          <w:color w:val="auto"/>
          <w:sz w:val="24"/>
          <w:szCs w:val="24"/>
          <w:lang w:val="en-US"/>
        </w:rPr>
        <w:t>55729</w:t>
      </w:r>
    </w:p>
    <w:p w14:paraId="4FA85DA4" w14:textId="77777777" w:rsidR="00A758CE" w:rsidRPr="00C10A48" w:rsidRDefault="00A758CE" w:rsidP="00F227A9">
      <w:pPr>
        <w:snapToGrid w:val="0"/>
        <w:spacing w:after="0" w:line="360" w:lineRule="auto"/>
        <w:jc w:val="both"/>
        <w:rPr>
          <w:rStyle w:val="fontstyle31"/>
          <w:noProof/>
          <w:color w:val="auto"/>
          <w:lang w:val="en-US"/>
        </w:rPr>
      </w:pPr>
      <w:r w:rsidRPr="00C10A48">
        <w:rPr>
          <w:rStyle w:val="fontstyle01"/>
          <w:rFonts w:ascii="Book Antiqua" w:hAnsi="Book Antiqua"/>
          <w:b/>
          <w:noProof/>
          <w:color w:val="auto"/>
          <w:sz w:val="24"/>
          <w:szCs w:val="24"/>
          <w:lang w:val="en-US"/>
        </w:rPr>
        <w:t>Manuscript Type:</w:t>
      </w:r>
      <w:r w:rsidRPr="00C10A48">
        <w:rPr>
          <w:rStyle w:val="fontstyle01"/>
          <w:rFonts w:ascii="Book Antiqua" w:hAnsi="Book Antiqua"/>
          <w:noProof/>
          <w:color w:val="auto"/>
          <w:sz w:val="24"/>
          <w:szCs w:val="24"/>
          <w:lang w:val="en-US"/>
        </w:rPr>
        <w:t xml:space="preserve"> </w:t>
      </w:r>
      <w:r w:rsidRPr="00C10A48">
        <w:rPr>
          <w:rStyle w:val="fontstyle31"/>
          <w:caps/>
          <w:noProof/>
          <w:color w:val="auto"/>
          <w:lang w:val="en-US"/>
        </w:rPr>
        <w:t>Meta-analysis</w:t>
      </w:r>
    </w:p>
    <w:p w14:paraId="7B273685" w14:textId="77777777" w:rsidR="006E3234" w:rsidRPr="00C10A48" w:rsidRDefault="006E3234" w:rsidP="00F227A9">
      <w:pPr>
        <w:snapToGrid w:val="0"/>
        <w:spacing w:after="0" w:line="360" w:lineRule="auto"/>
        <w:jc w:val="both"/>
        <w:rPr>
          <w:rStyle w:val="fontstyle31"/>
          <w:noProof/>
          <w:color w:val="auto"/>
          <w:lang w:val="en-US"/>
        </w:rPr>
      </w:pPr>
    </w:p>
    <w:p w14:paraId="48B6749E" w14:textId="7FF6A648" w:rsidR="006E3234" w:rsidRPr="00C10A48" w:rsidRDefault="00412179" w:rsidP="00F227A9">
      <w:pPr>
        <w:snapToGrid w:val="0"/>
        <w:spacing w:after="0" w:line="360" w:lineRule="auto"/>
        <w:jc w:val="both"/>
        <w:rPr>
          <w:rFonts w:ascii="Book Antiqua" w:hAnsi="Book Antiqua"/>
          <w:b/>
          <w:noProof/>
          <w:sz w:val="24"/>
          <w:szCs w:val="24"/>
          <w:lang w:val="en-US"/>
        </w:rPr>
      </w:pPr>
      <w:bookmarkStart w:id="0" w:name="OLE_LINK28"/>
      <w:bookmarkStart w:id="1" w:name="OLE_LINK29"/>
      <w:r w:rsidRPr="00C10A48">
        <w:rPr>
          <w:rFonts w:ascii="Book Antiqua" w:hAnsi="Book Antiqua"/>
          <w:b/>
          <w:noProof/>
          <w:sz w:val="24"/>
          <w:szCs w:val="24"/>
          <w:lang w:val="en-US"/>
        </w:rPr>
        <w:t xml:space="preserve">Propofol </w:t>
      </w:r>
      <w:r w:rsidR="00B37A99" w:rsidRPr="00B37A99">
        <w:rPr>
          <w:rFonts w:ascii="Book Antiqua" w:hAnsi="Book Antiqua"/>
          <w:b/>
          <w:i/>
          <w:noProof/>
          <w:sz w:val="24"/>
          <w:szCs w:val="24"/>
          <w:lang w:val="en-US"/>
        </w:rPr>
        <w:t>vs</w:t>
      </w:r>
      <w:r w:rsidR="00B37A99">
        <w:rPr>
          <w:rFonts w:ascii="Book Antiqua" w:hAnsi="Book Antiqua"/>
          <w:b/>
          <w:noProof/>
          <w:sz w:val="24"/>
          <w:szCs w:val="24"/>
          <w:lang w:val="en-US"/>
        </w:rPr>
        <w:t xml:space="preserve"> </w:t>
      </w:r>
      <w:r w:rsidRPr="00C10A48">
        <w:rPr>
          <w:rFonts w:ascii="Book Antiqua" w:hAnsi="Book Antiqua"/>
          <w:b/>
          <w:noProof/>
          <w:sz w:val="24"/>
          <w:szCs w:val="24"/>
          <w:lang w:val="en-US"/>
        </w:rPr>
        <w:t>midazolam sedation for elective endoscopy in patients with cirrhosis</w:t>
      </w:r>
      <w:r w:rsidR="00F2263B" w:rsidRPr="00C10A48">
        <w:rPr>
          <w:rFonts w:ascii="Book Antiqua" w:hAnsi="Book Antiqua"/>
          <w:b/>
          <w:noProof/>
          <w:sz w:val="24"/>
          <w:szCs w:val="24"/>
          <w:lang w:val="en-US"/>
        </w:rPr>
        <w:t>:</w:t>
      </w:r>
      <w:r w:rsidRPr="00C10A48">
        <w:rPr>
          <w:rFonts w:ascii="Book Antiqua" w:hAnsi="Book Antiqua"/>
          <w:b/>
          <w:noProof/>
          <w:sz w:val="24"/>
          <w:szCs w:val="24"/>
          <w:lang w:val="en-US"/>
        </w:rPr>
        <w:t xml:space="preserve"> A systematic review and meta-analysis of randomized controlled trials</w:t>
      </w:r>
    </w:p>
    <w:bookmarkEnd w:id="0"/>
    <w:bookmarkEnd w:id="1"/>
    <w:p w14:paraId="1693624E" w14:textId="77777777" w:rsidR="00412179" w:rsidRPr="00C10A48" w:rsidRDefault="00412179" w:rsidP="00F227A9">
      <w:pPr>
        <w:snapToGrid w:val="0"/>
        <w:spacing w:after="0" w:line="360" w:lineRule="auto"/>
        <w:jc w:val="both"/>
        <w:rPr>
          <w:rFonts w:ascii="Book Antiqua" w:hAnsi="Book Antiqua"/>
          <w:noProof/>
          <w:sz w:val="24"/>
          <w:szCs w:val="24"/>
          <w:lang w:val="en-US"/>
        </w:rPr>
      </w:pPr>
    </w:p>
    <w:p w14:paraId="1AA4A612" w14:textId="712E5288" w:rsidR="006E3234" w:rsidRPr="00C10A48" w:rsidRDefault="00A758CE" w:rsidP="00F227A9">
      <w:pPr>
        <w:snapToGrid w:val="0"/>
        <w:spacing w:after="0" w:line="360" w:lineRule="auto"/>
        <w:jc w:val="both"/>
        <w:rPr>
          <w:rFonts w:ascii="Book Antiqua" w:hAnsi="Book Antiqua"/>
          <w:noProof/>
          <w:sz w:val="24"/>
          <w:szCs w:val="24"/>
          <w:lang w:val="en-US"/>
        </w:rPr>
      </w:pPr>
      <w:r w:rsidRPr="00C10A48">
        <w:rPr>
          <w:rStyle w:val="fontstyle31"/>
          <w:noProof/>
          <w:color w:val="auto"/>
          <w:lang w:val="en-US"/>
        </w:rPr>
        <w:t xml:space="preserve">Guacho JAL </w:t>
      </w:r>
      <w:r w:rsidRPr="00C10A48">
        <w:rPr>
          <w:rStyle w:val="fontstyle31"/>
          <w:i/>
          <w:noProof/>
          <w:color w:val="auto"/>
          <w:lang w:val="en-US"/>
        </w:rPr>
        <w:t>et al</w:t>
      </w:r>
      <w:r w:rsidRPr="00C10A48">
        <w:rPr>
          <w:rStyle w:val="fontstyle31"/>
          <w:noProof/>
          <w:color w:val="auto"/>
          <w:lang w:val="en-US"/>
        </w:rPr>
        <w:t>.</w:t>
      </w:r>
      <w:r w:rsidRPr="00C10A48">
        <w:rPr>
          <w:rFonts w:ascii="Book Antiqua" w:hAnsi="Book Antiqua"/>
          <w:noProof/>
          <w:sz w:val="24"/>
          <w:szCs w:val="24"/>
          <w:lang w:val="en-US"/>
        </w:rPr>
        <w:t xml:space="preserve"> </w:t>
      </w:r>
      <w:r w:rsidR="00412179" w:rsidRPr="00C10A48">
        <w:rPr>
          <w:rFonts w:ascii="Book Antiqua" w:hAnsi="Book Antiqua"/>
          <w:noProof/>
          <w:sz w:val="24"/>
          <w:szCs w:val="24"/>
          <w:lang w:val="en-US"/>
        </w:rPr>
        <w:t xml:space="preserve">Propofol </w:t>
      </w:r>
      <w:r w:rsidR="00B37A99" w:rsidRPr="0071191D">
        <w:rPr>
          <w:rFonts w:ascii="Book Antiqua" w:hAnsi="Book Antiqua"/>
          <w:i/>
          <w:noProof/>
          <w:sz w:val="24"/>
          <w:szCs w:val="24"/>
          <w:lang w:val="en-US"/>
        </w:rPr>
        <w:t>vs</w:t>
      </w:r>
      <w:r w:rsidR="00B37A99" w:rsidRPr="0071191D">
        <w:rPr>
          <w:rFonts w:ascii="Book Antiqua" w:hAnsi="Book Antiqua"/>
          <w:noProof/>
          <w:sz w:val="24"/>
          <w:szCs w:val="24"/>
          <w:lang w:val="en-US"/>
        </w:rPr>
        <w:t xml:space="preserve"> </w:t>
      </w:r>
      <w:r w:rsidR="00412179" w:rsidRPr="00C10A48">
        <w:rPr>
          <w:rFonts w:ascii="Book Antiqua" w:hAnsi="Book Antiqua"/>
          <w:noProof/>
          <w:sz w:val="24"/>
          <w:szCs w:val="24"/>
          <w:lang w:val="en-US"/>
        </w:rPr>
        <w:t>midazolam sedation for elective endoscopy in patients with cirrhosis</w:t>
      </w:r>
    </w:p>
    <w:p w14:paraId="3983BDC2" w14:textId="77777777" w:rsidR="006E3234" w:rsidRPr="00C10A48" w:rsidRDefault="006E3234" w:rsidP="00F227A9">
      <w:pPr>
        <w:snapToGrid w:val="0"/>
        <w:spacing w:after="0" w:line="360" w:lineRule="auto"/>
        <w:jc w:val="both"/>
        <w:rPr>
          <w:rFonts w:ascii="Book Antiqua" w:hAnsi="Book Antiqua"/>
          <w:noProof/>
          <w:sz w:val="24"/>
          <w:szCs w:val="24"/>
          <w:lang w:val="en-US"/>
        </w:rPr>
      </w:pPr>
    </w:p>
    <w:p w14:paraId="0E137E51" w14:textId="0D56A437" w:rsidR="006E3234" w:rsidRPr="00C10A48" w:rsidRDefault="00412179" w:rsidP="00F227A9">
      <w:pPr>
        <w:snapToGrid w:val="0"/>
        <w:spacing w:after="0" w:line="360" w:lineRule="auto"/>
        <w:jc w:val="both"/>
        <w:rPr>
          <w:rFonts w:ascii="Book Antiqua" w:hAnsi="Book Antiqua"/>
          <w:noProof/>
          <w:sz w:val="24"/>
          <w:szCs w:val="24"/>
        </w:rPr>
      </w:pPr>
      <w:r w:rsidRPr="00C10A48">
        <w:rPr>
          <w:rFonts w:ascii="Book Antiqua" w:hAnsi="Book Antiqua"/>
          <w:noProof/>
          <w:sz w:val="24"/>
          <w:szCs w:val="24"/>
        </w:rPr>
        <w:t xml:space="preserve">John Alexander Lata Guacho, Diogo Turiani Hourneaux de Moura, </w:t>
      </w:r>
      <w:r w:rsidR="00E20772" w:rsidRPr="00C10A48">
        <w:rPr>
          <w:rFonts w:ascii="Book Antiqua" w:hAnsi="Book Antiqua"/>
          <w:noProof/>
          <w:sz w:val="24"/>
          <w:szCs w:val="24"/>
        </w:rPr>
        <w:t xml:space="preserve">Igor Braga Ribeiro, </w:t>
      </w:r>
      <w:r w:rsidRPr="00C10A48">
        <w:rPr>
          <w:rFonts w:ascii="Book Antiqua" w:hAnsi="Book Antiqua"/>
          <w:noProof/>
          <w:sz w:val="24"/>
          <w:szCs w:val="24"/>
        </w:rPr>
        <w:t>Alberto Machado da Ponte Neto</w:t>
      </w:r>
      <w:r w:rsidR="00E20772" w:rsidRPr="00C10A48">
        <w:rPr>
          <w:rFonts w:ascii="Book Antiqua" w:hAnsi="Book Antiqua"/>
          <w:noProof/>
          <w:sz w:val="24"/>
          <w:szCs w:val="24"/>
        </w:rPr>
        <w:t>, Shailendra Singh</w:t>
      </w:r>
      <w:r w:rsidR="006E3234" w:rsidRPr="00C10A48">
        <w:rPr>
          <w:rFonts w:ascii="Book Antiqua" w:hAnsi="Book Antiqua"/>
          <w:noProof/>
          <w:sz w:val="24"/>
          <w:szCs w:val="24"/>
        </w:rPr>
        <w:t xml:space="preserve">, </w:t>
      </w:r>
      <w:r w:rsidRPr="00C10A48">
        <w:rPr>
          <w:rFonts w:ascii="Book Antiqua" w:hAnsi="Book Antiqua"/>
          <w:noProof/>
          <w:sz w:val="24"/>
          <w:szCs w:val="24"/>
        </w:rPr>
        <w:t xml:space="preserve">Marina </w:t>
      </w:r>
      <w:r w:rsidR="00967F47" w:rsidRPr="00C10A48">
        <w:rPr>
          <w:rFonts w:ascii="Book Antiqua" w:hAnsi="Book Antiqua"/>
          <w:noProof/>
          <w:sz w:val="24"/>
          <w:szCs w:val="24"/>
        </w:rPr>
        <w:t xml:space="preserve">Gammaro Baldavira </w:t>
      </w:r>
      <w:r w:rsidRPr="00C10A48">
        <w:rPr>
          <w:rFonts w:ascii="Book Antiqua" w:hAnsi="Book Antiqua"/>
          <w:noProof/>
          <w:sz w:val="24"/>
          <w:szCs w:val="24"/>
        </w:rPr>
        <w:t>Tucci</w:t>
      </w:r>
      <w:r w:rsidR="006E3234" w:rsidRPr="00C10A48">
        <w:rPr>
          <w:rFonts w:ascii="Book Antiqua" w:hAnsi="Book Antiqua"/>
          <w:noProof/>
          <w:sz w:val="24"/>
          <w:szCs w:val="24"/>
        </w:rPr>
        <w:t>, Wanderley Marques Bernardo, Eduardo Guimarães Hourneaux de Moura</w:t>
      </w:r>
    </w:p>
    <w:p w14:paraId="1CE19DCE" w14:textId="77777777" w:rsidR="006E3234" w:rsidRPr="00C10A48" w:rsidRDefault="006E3234" w:rsidP="00F227A9">
      <w:pPr>
        <w:snapToGrid w:val="0"/>
        <w:spacing w:after="0" w:line="360" w:lineRule="auto"/>
        <w:jc w:val="both"/>
        <w:rPr>
          <w:rFonts w:ascii="Book Antiqua" w:hAnsi="Book Antiqua"/>
          <w:b/>
          <w:noProof/>
          <w:sz w:val="24"/>
          <w:szCs w:val="24"/>
        </w:rPr>
      </w:pPr>
    </w:p>
    <w:p w14:paraId="7722868B" w14:textId="5877B249" w:rsidR="006E3234" w:rsidRPr="00C10A48" w:rsidRDefault="00823782" w:rsidP="00F227A9">
      <w:pPr>
        <w:snapToGrid w:val="0"/>
        <w:spacing w:after="0" w:line="360" w:lineRule="auto"/>
        <w:jc w:val="both"/>
        <w:rPr>
          <w:rFonts w:ascii="Book Antiqua" w:hAnsi="Book Antiqua"/>
          <w:noProof/>
          <w:sz w:val="24"/>
          <w:szCs w:val="24"/>
        </w:rPr>
      </w:pPr>
      <w:r w:rsidRPr="00C10A48">
        <w:rPr>
          <w:rFonts w:ascii="Book Antiqua" w:hAnsi="Book Antiqua"/>
          <w:b/>
          <w:noProof/>
          <w:sz w:val="24"/>
          <w:szCs w:val="24"/>
        </w:rPr>
        <w:t>John Alexander Lata Guacho, Diogo Turiani Hourneaux de Moura, Igor Braga Ribeiro, Alberto Machado da Ponte Neto, Marina Gammaro Baldavira Tucci, Wanderley Marques Bernardo, Eduardo Guimarães Hourneaux de Moura</w:t>
      </w:r>
      <w:r w:rsidRPr="00C10A48">
        <w:rPr>
          <w:rFonts w:ascii="Book Antiqua" w:hAnsi="Book Antiqua" w:cs="Arial"/>
          <w:b/>
          <w:noProof/>
          <w:sz w:val="24"/>
          <w:szCs w:val="24"/>
        </w:rPr>
        <w:t xml:space="preserve">, </w:t>
      </w:r>
      <w:r w:rsidR="004156FB" w:rsidRPr="00C10A48">
        <w:rPr>
          <w:rFonts w:ascii="Book Antiqua" w:hAnsi="Book Antiqua"/>
          <w:noProof/>
          <w:sz w:val="24"/>
          <w:szCs w:val="24"/>
        </w:rPr>
        <w:t>Gastrointestinal Endoscopy Unit,</w:t>
      </w:r>
      <w:r w:rsidR="0071169E" w:rsidRPr="00C10A48">
        <w:rPr>
          <w:rFonts w:ascii="Book Antiqua" w:hAnsi="Book Antiqua"/>
          <w:noProof/>
          <w:sz w:val="24"/>
          <w:szCs w:val="24"/>
        </w:rPr>
        <w:t xml:space="preserve"> </w:t>
      </w:r>
      <w:r w:rsidR="006E3234" w:rsidRPr="00C10A48">
        <w:rPr>
          <w:rFonts w:ascii="Book Antiqua" w:hAnsi="Book Antiqua" w:cs="Arial"/>
          <w:noProof/>
          <w:sz w:val="24"/>
          <w:szCs w:val="24"/>
        </w:rPr>
        <w:t>Hospital das Clínicas da Faculdade de Medicina da Universidade de São Paulo,</w:t>
      </w:r>
      <w:r w:rsidR="000050C2" w:rsidRPr="00C10A48">
        <w:rPr>
          <w:rFonts w:ascii="Book Antiqua" w:hAnsi="Book Antiqua"/>
          <w:noProof/>
          <w:sz w:val="24"/>
          <w:szCs w:val="24"/>
        </w:rPr>
        <w:t xml:space="preserve"> </w:t>
      </w:r>
      <w:r w:rsidR="00041085" w:rsidRPr="00C10A48">
        <w:rPr>
          <w:rFonts w:ascii="Book Antiqua" w:hAnsi="Book Antiqua"/>
          <w:noProof/>
          <w:sz w:val="24"/>
          <w:szCs w:val="24"/>
        </w:rPr>
        <w:t>São Paulo</w:t>
      </w:r>
      <w:r w:rsidR="000050C2" w:rsidRPr="00C10A48">
        <w:rPr>
          <w:rFonts w:ascii="Book Antiqua" w:hAnsi="Book Antiqua"/>
          <w:noProof/>
          <w:sz w:val="24"/>
          <w:szCs w:val="24"/>
        </w:rPr>
        <w:t xml:space="preserve"> 05403-010</w:t>
      </w:r>
      <w:r w:rsidR="00041085" w:rsidRPr="00C10A48">
        <w:rPr>
          <w:rFonts w:ascii="Book Antiqua" w:hAnsi="Book Antiqua"/>
          <w:noProof/>
          <w:sz w:val="24"/>
          <w:szCs w:val="24"/>
        </w:rPr>
        <w:t xml:space="preserve">, </w:t>
      </w:r>
      <w:r w:rsidR="001061E6" w:rsidRPr="001061E6">
        <w:rPr>
          <w:rFonts w:ascii="Book Antiqua" w:hAnsi="Book Antiqua"/>
          <w:noProof/>
          <w:sz w:val="24"/>
          <w:szCs w:val="24"/>
        </w:rPr>
        <w:t>Brazil</w:t>
      </w:r>
    </w:p>
    <w:p w14:paraId="6980A76C" w14:textId="77777777" w:rsidR="00823782" w:rsidRPr="00C10A48" w:rsidRDefault="00823782" w:rsidP="00F227A9">
      <w:pPr>
        <w:snapToGrid w:val="0"/>
        <w:spacing w:after="0" w:line="360" w:lineRule="auto"/>
        <w:jc w:val="both"/>
        <w:rPr>
          <w:rFonts w:ascii="Book Antiqua" w:hAnsi="Book Antiqua"/>
          <w:noProof/>
          <w:sz w:val="24"/>
          <w:szCs w:val="24"/>
          <w:lang w:val="en-US"/>
        </w:rPr>
      </w:pPr>
    </w:p>
    <w:p w14:paraId="4B391023" w14:textId="606D2AAB" w:rsidR="009A5926" w:rsidRPr="00C10A48" w:rsidRDefault="00823782" w:rsidP="00F227A9">
      <w:pPr>
        <w:snapToGrid w:val="0"/>
        <w:spacing w:after="0" w:line="360" w:lineRule="auto"/>
        <w:jc w:val="both"/>
        <w:rPr>
          <w:rFonts w:ascii="Book Antiqua" w:hAnsi="Book Antiqua"/>
          <w:b/>
          <w:noProof/>
          <w:sz w:val="24"/>
          <w:szCs w:val="24"/>
        </w:rPr>
      </w:pPr>
      <w:r w:rsidRPr="00C10A48">
        <w:rPr>
          <w:rFonts w:ascii="Book Antiqua" w:hAnsi="Book Antiqua"/>
          <w:b/>
          <w:noProof/>
          <w:sz w:val="24"/>
          <w:szCs w:val="24"/>
        </w:rPr>
        <w:t>Shailendra Singh,</w:t>
      </w:r>
      <w:r w:rsidR="009A5926" w:rsidRPr="00C10A48">
        <w:rPr>
          <w:rFonts w:ascii="Book Antiqua" w:hAnsi="Book Antiqua"/>
          <w:b/>
          <w:noProof/>
          <w:sz w:val="24"/>
          <w:szCs w:val="24"/>
        </w:rPr>
        <w:t xml:space="preserve"> </w:t>
      </w:r>
      <w:r w:rsidR="009A5926" w:rsidRPr="00C10A48">
        <w:rPr>
          <w:rFonts w:ascii="Book Antiqua" w:hAnsi="Book Antiqua"/>
          <w:noProof/>
          <w:sz w:val="24"/>
          <w:szCs w:val="24"/>
        </w:rPr>
        <w:t>Division of Gastroenterology, Department of Internal Medicine, West Virginia University, Charleston, WV</w:t>
      </w:r>
      <w:r w:rsidR="00876752" w:rsidRPr="00C10A48">
        <w:rPr>
          <w:rFonts w:ascii="Book Antiqua" w:hAnsi="Book Antiqua"/>
          <w:noProof/>
          <w:sz w:val="24"/>
          <w:szCs w:val="24"/>
        </w:rPr>
        <w:t xml:space="preserve"> 25304</w:t>
      </w:r>
      <w:r w:rsidR="009A5926" w:rsidRPr="00C10A48">
        <w:rPr>
          <w:rFonts w:ascii="Book Antiqua" w:hAnsi="Book Antiqua"/>
          <w:noProof/>
          <w:sz w:val="24"/>
          <w:szCs w:val="24"/>
        </w:rPr>
        <w:t>, United States</w:t>
      </w:r>
    </w:p>
    <w:p w14:paraId="2A55EC88" w14:textId="77777777" w:rsidR="006E3234" w:rsidRPr="00C10A48" w:rsidRDefault="006E3234" w:rsidP="00F227A9">
      <w:pPr>
        <w:snapToGrid w:val="0"/>
        <w:spacing w:after="0" w:line="360" w:lineRule="auto"/>
        <w:jc w:val="both"/>
        <w:rPr>
          <w:rFonts w:ascii="Book Antiqua" w:hAnsi="Book Antiqua"/>
          <w:noProof/>
          <w:sz w:val="24"/>
          <w:szCs w:val="24"/>
        </w:rPr>
      </w:pPr>
    </w:p>
    <w:p w14:paraId="3D5FF167" w14:textId="760979D3" w:rsidR="006E3234" w:rsidRPr="00C10A48" w:rsidRDefault="006E3234" w:rsidP="00F227A9">
      <w:pPr>
        <w:shd w:val="clear" w:color="auto" w:fill="FFFFFF"/>
        <w:snapToGrid w:val="0"/>
        <w:spacing w:after="0" w:line="360" w:lineRule="auto"/>
        <w:jc w:val="both"/>
        <w:rPr>
          <w:rStyle w:val="fontstyle31"/>
          <w:noProof/>
          <w:color w:val="auto"/>
          <w:lang w:val="en-US"/>
        </w:rPr>
      </w:pPr>
      <w:r w:rsidRPr="00C10A48">
        <w:rPr>
          <w:rFonts w:ascii="Book Antiqua" w:hAnsi="Book Antiqua" w:cs="Arial"/>
          <w:b/>
          <w:noProof/>
          <w:sz w:val="24"/>
          <w:szCs w:val="24"/>
          <w:lang w:val="en-US"/>
        </w:rPr>
        <w:t>Author contributions</w:t>
      </w:r>
      <w:r w:rsidRPr="00C10A48">
        <w:rPr>
          <w:rFonts w:ascii="Book Antiqua" w:hAnsi="Book Antiqua" w:cs="Arial"/>
          <w:noProof/>
          <w:sz w:val="24"/>
          <w:szCs w:val="24"/>
          <w:lang w:val="en-US"/>
        </w:rPr>
        <w:t xml:space="preserve">: </w:t>
      </w:r>
      <w:r w:rsidR="00C07842" w:rsidRPr="00C10A48">
        <w:rPr>
          <w:rStyle w:val="fontstyle31"/>
          <w:noProof/>
          <w:color w:val="auto"/>
          <w:lang w:val="en-US"/>
        </w:rPr>
        <w:t>Guacho</w:t>
      </w:r>
      <w:r w:rsidR="00092110" w:rsidRPr="00C10A48">
        <w:rPr>
          <w:rStyle w:val="fontstyle31"/>
          <w:noProof/>
          <w:color w:val="auto"/>
          <w:lang w:val="en-US"/>
        </w:rPr>
        <w:t xml:space="preserve"> </w:t>
      </w:r>
      <w:r w:rsidR="00C07842" w:rsidRPr="00C10A48">
        <w:rPr>
          <w:rStyle w:val="fontstyle31"/>
          <w:noProof/>
          <w:color w:val="auto"/>
          <w:lang w:val="en-US"/>
        </w:rPr>
        <w:t>JAL</w:t>
      </w:r>
      <w:r w:rsidR="00092110" w:rsidRPr="00C10A48">
        <w:rPr>
          <w:rStyle w:val="fontstyle31"/>
          <w:noProof/>
          <w:color w:val="auto"/>
          <w:lang w:val="en-US"/>
        </w:rPr>
        <w:t xml:space="preserve"> and de Moura DTH contribut</w:t>
      </w:r>
      <w:r w:rsidR="00A32E89" w:rsidRPr="00C10A48">
        <w:rPr>
          <w:rStyle w:val="fontstyle31"/>
          <w:noProof/>
          <w:color w:val="auto"/>
          <w:lang w:val="en-US"/>
        </w:rPr>
        <w:t xml:space="preserve">ed </w:t>
      </w:r>
      <w:r w:rsidR="00092110" w:rsidRPr="00C10A48">
        <w:rPr>
          <w:rStyle w:val="fontstyle31"/>
          <w:noProof/>
          <w:color w:val="auto"/>
          <w:lang w:val="en-US"/>
        </w:rPr>
        <w:t xml:space="preserve">to </w:t>
      </w:r>
      <w:r w:rsidRPr="00C10A48">
        <w:rPr>
          <w:rStyle w:val="fontstyle31"/>
          <w:noProof/>
          <w:color w:val="auto"/>
          <w:lang w:val="en-US"/>
        </w:rPr>
        <w:t>acquisition of data, analysis, interpretation of data, drafting the article, revising the article, final approval; Ribeiro</w:t>
      </w:r>
      <w:r w:rsidR="00A32E89" w:rsidRPr="00C10A48">
        <w:rPr>
          <w:rStyle w:val="fontstyle31"/>
          <w:noProof/>
          <w:color w:val="auto"/>
          <w:lang w:val="en-US"/>
        </w:rPr>
        <w:t xml:space="preserve"> </w:t>
      </w:r>
      <w:r w:rsidRPr="00C10A48">
        <w:rPr>
          <w:rStyle w:val="fontstyle31"/>
          <w:noProof/>
          <w:color w:val="auto"/>
          <w:lang w:val="en-US"/>
        </w:rPr>
        <w:t>IB</w:t>
      </w:r>
      <w:r w:rsidR="00A32E89" w:rsidRPr="00C10A48">
        <w:rPr>
          <w:rStyle w:val="fontstyle31"/>
          <w:noProof/>
          <w:color w:val="auto"/>
          <w:lang w:val="en-US"/>
        </w:rPr>
        <w:t xml:space="preserve">, </w:t>
      </w:r>
      <w:r w:rsidRPr="00C10A48">
        <w:rPr>
          <w:rStyle w:val="fontstyle31"/>
          <w:noProof/>
          <w:color w:val="auto"/>
          <w:lang w:val="en-US"/>
        </w:rPr>
        <w:t xml:space="preserve"> </w:t>
      </w:r>
      <w:r w:rsidR="00A32E89" w:rsidRPr="00C10A48">
        <w:rPr>
          <w:rStyle w:val="fontstyle31"/>
          <w:noProof/>
          <w:color w:val="auto"/>
          <w:lang w:val="en-US"/>
        </w:rPr>
        <w:t xml:space="preserve">da Ponte Neto AM and Singh S contributed to </w:t>
      </w:r>
      <w:r w:rsidRPr="00C10A48">
        <w:rPr>
          <w:rStyle w:val="fontstyle31"/>
          <w:noProof/>
          <w:color w:val="auto"/>
          <w:lang w:val="en-US"/>
        </w:rPr>
        <w:t xml:space="preserve">analysis and interpretation of data, revising the article; </w:t>
      </w:r>
      <w:r w:rsidR="00C07842" w:rsidRPr="00C10A48">
        <w:rPr>
          <w:rStyle w:val="fontstyle31"/>
          <w:noProof/>
          <w:color w:val="auto"/>
          <w:lang w:val="en-US"/>
        </w:rPr>
        <w:t>Tucci</w:t>
      </w:r>
      <w:r w:rsidR="00A32E89" w:rsidRPr="00C10A48">
        <w:rPr>
          <w:rStyle w:val="fontstyle31"/>
          <w:noProof/>
          <w:color w:val="auto"/>
          <w:lang w:val="en-US"/>
        </w:rPr>
        <w:t xml:space="preserve"> </w:t>
      </w:r>
      <w:r w:rsidRPr="00C10A48">
        <w:rPr>
          <w:rStyle w:val="fontstyle31"/>
          <w:noProof/>
          <w:color w:val="auto"/>
          <w:lang w:val="en-US"/>
        </w:rPr>
        <w:t>M</w:t>
      </w:r>
      <w:r w:rsidR="00A32E89" w:rsidRPr="00C10A48">
        <w:rPr>
          <w:rStyle w:val="fontstyle31"/>
          <w:noProof/>
          <w:color w:val="auto"/>
          <w:lang w:val="en-US"/>
        </w:rPr>
        <w:t xml:space="preserve"> contributed to </w:t>
      </w:r>
      <w:r w:rsidRPr="00C10A48">
        <w:rPr>
          <w:rStyle w:val="fontstyle31"/>
          <w:noProof/>
          <w:color w:val="auto"/>
          <w:lang w:val="en-US"/>
        </w:rPr>
        <w:t>acquisition of data drafting the article, final approval; Bernardo</w:t>
      </w:r>
      <w:r w:rsidR="00A32E89" w:rsidRPr="00C10A48">
        <w:rPr>
          <w:rStyle w:val="fontstyle31"/>
          <w:noProof/>
          <w:color w:val="auto"/>
          <w:lang w:val="en-US"/>
        </w:rPr>
        <w:t xml:space="preserve"> </w:t>
      </w:r>
      <w:r w:rsidRPr="00C10A48">
        <w:rPr>
          <w:rStyle w:val="fontstyle31"/>
          <w:noProof/>
          <w:color w:val="auto"/>
          <w:lang w:val="en-US"/>
        </w:rPr>
        <w:t>WM</w:t>
      </w:r>
      <w:r w:rsidR="00A32E89" w:rsidRPr="00C10A48">
        <w:rPr>
          <w:rStyle w:val="fontstyle31"/>
          <w:noProof/>
          <w:color w:val="auto"/>
          <w:lang w:val="en-US"/>
        </w:rPr>
        <w:t xml:space="preserve"> contributed to </w:t>
      </w:r>
      <w:r w:rsidRPr="00C10A48">
        <w:rPr>
          <w:rStyle w:val="fontstyle31"/>
          <w:noProof/>
          <w:color w:val="auto"/>
          <w:lang w:val="en-US"/>
        </w:rPr>
        <w:t xml:space="preserve">analysis and interpretation of data, drafting the article, final </w:t>
      </w:r>
      <w:r w:rsidRPr="00C10A48">
        <w:rPr>
          <w:rStyle w:val="fontstyle31"/>
          <w:noProof/>
          <w:color w:val="auto"/>
          <w:lang w:val="en-US"/>
        </w:rPr>
        <w:lastRenderedPageBreak/>
        <w:t>approval; de Moura</w:t>
      </w:r>
      <w:r w:rsidR="00A32E89" w:rsidRPr="00C10A48">
        <w:rPr>
          <w:rStyle w:val="fontstyle31"/>
          <w:noProof/>
          <w:color w:val="auto"/>
          <w:lang w:val="en-US"/>
        </w:rPr>
        <w:t xml:space="preserve"> </w:t>
      </w:r>
      <w:r w:rsidRPr="00C10A48">
        <w:rPr>
          <w:rStyle w:val="fontstyle31"/>
          <w:noProof/>
          <w:color w:val="auto"/>
          <w:lang w:val="en-US"/>
        </w:rPr>
        <w:t>EGH</w:t>
      </w:r>
      <w:r w:rsidR="00A32E89" w:rsidRPr="00C10A48">
        <w:rPr>
          <w:rStyle w:val="fontstyle31"/>
          <w:noProof/>
          <w:color w:val="auto"/>
          <w:lang w:val="en-US"/>
        </w:rPr>
        <w:t xml:space="preserve"> contributed to </w:t>
      </w:r>
      <w:r w:rsidRPr="00C10A48">
        <w:rPr>
          <w:rStyle w:val="fontstyle31"/>
          <w:noProof/>
          <w:color w:val="auto"/>
          <w:lang w:val="en-US"/>
        </w:rPr>
        <w:t>analysis and interpretation of data, drafting the article, revising the article, final approval.</w:t>
      </w:r>
    </w:p>
    <w:p w14:paraId="270AA522" w14:textId="4E6091B1" w:rsidR="006E3234" w:rsidRPr="00C10A48" w:rsidRDefault="006E3234" w:rsidP="00F227A9">
      <w:pPr>
        <w:snapToGrid w:val="0"/>
        <w:spacing w:after="0" w:line="360" w:lineRule="auto"/>
        <w:jc w:val="both"/>
        <w:rPr>
          <w:rFonts w:ascii="Book Antiqua" w:hAnsi="Book Antiqua"/>
          <w:b/>
          <w:noProof/>
          <w:sz w:val="24"/>
          <w:szCs w:val="24"/>
          <w:lang w:val="en-US"/>
        </w:rPr>
      </w:pPr>
    </w:p>
    <w:p w14:paraId="7B9CE281" w14:textId="41F3BA94" w:rsidR="006E3234" w:rsidRPr="00C10A48" w:rsidRDefault="006E3234" w:rsidP="00F227A9">
      <w:pPr>
        <w:snapToGrid w:val="0"/>
        <w:spacing w:after="0" w:line="360" w:lineRule="auto"/>
        <w:jc w:val="both"/>
        <w:rPr>
          <w:rFonts w:ascii="Book Antiqua" w:hAnsi="Book Antiqua"/>
          <w:b/>
          <w:noProof/>
          <w:sz w:val="24"/>
          <w:szCs w:val="24"/>
          <w:lang w:val="en-US"/>
        </w:rPr>
      </w:pPr>
      <w:r w:rsidRPr="00C10A48">
        <w:rPr>
          <w:rFonts w:ascii="Book Antiqua" w:hAnsi="Book Antiqua"/>
          <w:b/>
          <w:noProof/>
          <w:sz w:val="24"/>
          <w:szCs w:val="24"/>
          <w:lang w:val="en-US"/>
        </w:rPr>
        <w:t xml:space="preserve">Corresponding </w:t>
      </w:r>
      <w:r w:rsidR="00984B5F" w:rsidRPr="00C10A48">
        <w:rPr>
          <w:rFonts w:ascii="Book Antiqua" w:hAnsi="Book Antiqua"/>
          <w:b/>
          <w:noProof/>
          <w:sz w:val="24"/>
          <w:szCs w:val="24"/>
          <w:lang w:val="en-US"/>
        </w:rPr>
        <w:t>a</w:t>
      </w:r>
      <w:r w:rsidRPr="00C10A48">
        <w:rPr>
          <w:rFonts w:ascii="Book Antiqua" w:hAnsi="Book Antiqua"/>
          <w:b/>
          <w:noProof/>
          <w:sz w:val="24"/>
          <w:szCs w:val="24"/>
          <w:lang w:val="en-US"/>
        </w:rPr>
        <w:t>uthor:</w:t>
      </w:r>
      <w:r w:rsidR="00984B5F" w:rsidRPr="00C10A48">
        <w:rPr>
          <w:rFonts w:ascii="Book Antiqua" w:hAnsi="Book Antiqua" w:hint="eastAsia"/>
          <w:b/>
          <w:noProof/>
          <w:sz w:val="24"/>
          <w:szCs w:val="24"/>
          <w:lang w:val="en-US" w:eastAsia="zh-CN"/>
        </w:rPr>
        <w:t xml:space="preserve"> </w:t>
      </w:r>
      <w:bookmarkStart w:id="2" w:name="OLE_LINK30"/>
      <w:bookmarkStart w:id="3" w:name="OLE_LINK31"/>
      <w:r w:rsidR="00984B5F" w:rsidRPr="00C10A48">
        <w:rPr>
          <w:rFonts w:ascii="Book Antiqua" w:hAnsi="Book Antiqua"/>
          <w:b/>
          <w:noProof/>
          <w:sz w:val="24"/>
          <w:szCs w:val="24"/>
        </w:rPr>
        <w:t xml:space="preserve">Igor Braga Ribeiro, MD, </w:t>
      </w:r>
      <w:r w:rsidR="00543F67" w:rsidRPr="00C10A48">
        <w:rPr>
          <w:rFonts w:ascii="Book Antiqua" w:hAnsi="Book Antiqua"/>
          <w:b/>
          <w:noProof/>
          <w:sz w:val="24"/>
          <w:szCs w:val="24"/>
        </w:rPr>
        <w:t xml:space="preserve">Research Fellow, Surgeon, </w:t>
      </w:r>
      <w:r w:rsidR="00092110" w:rsidRPr="00C10A48">
        <w:rPr>
          <w:rFonts w:ascii="Book Antiqua" w:hAnsi="Book Antiqua"/>
          <w:noProof/>
          <w:sz w:val="24"/>
          <w:szCs w:val="24"/>
        </w:rPr>
        <w:t>Gastrointestinal Endoscopy Unit</w:t>
      </w:r>
      <w:bookmarkEnd w:id="2"/>
      <w:bookmarkEnd w:id="3"/>
      <w:r w:rsidR="00092110" w:rsidRPr="00C10A48">
        <w:rPr>
          <w:rFonts w:ascii="Book Antiqua" w:hAnsi="Book Antiqua"/>
          <w:noProof/>
          <w:sz w:val="24"/>
          <w:szCs w:val="24"/>
        </w:rPr>
        <w:t xml:space="preserve">, Hospital das Clínicas da Faculdade de Medicina da Universidade de São Paulo, </w:t>
      </w:r>
      <w:r w:rsidRPr="00C10A48">
        <w:rPr>
          <w:rFonts w:ascii="Book Antiqua" w:hAnsi="Book Antiqua"/>
          <w:noProof/>
          <w:sz w:val="24"/>
          <w:szCs w:val="24"/>
        </w:rPr>
        <w:t>Av. Dr Enéas de Carvalho Aguiar, 225, 6</w:t>
      </w:r>
      <w:r w:rsidRPr="00C10A48">
        <w:rPr>
          <w:rFonts w:ascii="Book Antiqua" w:hAnsi="Book Antiqua"/>
          <w:noProof/>
          <w:sz w:val="24"/>
          <w:szCs w:val="24"/>
          <w:vertAlign w:val="superscript"/>
        </w:rPr>
        <w:t>o</w:t>
      </w:r>
      <w:r w:rsidRPr="00C10A48">
        <w:rPr>
          <w:rFonts w:ascii="Book Antiqua" w:hAnsi="Book Antiqua"/>
          <w:noProof/>
          <w:sz w:val="24"/>
          <w:szCs w:val="24"/>
        </w:rPr>
        <w:t xml:space="preserve"> andar, bloco 3, Cerqueira Cesar</w:t>
      </w:r>
      <w:r w:rsidR="00092110" w:rsidRPr="00C10A48">
        <w:rPr>
          <w:rFonts w:ascii="Book Antiqua" w:hAnsi="Book Antiqua"/>
          <w:noProof/>
          <w:sz w:val="24"/>
          <w:szCs w:val="24"/>
        </w:rPr>
        <w:t xml:space="preserve">, </w:t>
      </w:r>
      <w:r w:rsidRPr="00C10A48">
        <w:rPr>
          <w:rFonts w:ascii="Book Antiqua" w:hAnsi="Book Antiqua"/>
          <w:noProof/>
          <w:sz w:val="24"/>
          <w:szCs w:val="24"/>
        </w:rPr>
        <w:t>São Paulo</w:t>
      </w:r>
      <w:r w:rsidR="00092110" w:rsidRPr="00C10A48">
        <w:rPr>
          <w:rFonts w:ascii="Book Antiqua" w:hAnsi="Book Antiqua"/>
          <w:noProof/>
          <w:sz w:val="24"/>
          <w:szCs w:val="24"/>
        </w:rPr>
        <w:t xml:space="preserve"> 05403-010</w:t>
      </w:r>
      <w:r w:rsidRPr="00C10A48">
        <w:rPr>
          <w:rFonts w:ascii="Book Antiqua" w:hAnsi="Book Antiqua"/>
          <w:noProof/>
          <w:sz w:val="24"/>
          <w:szCs w:val="24"/>
        </w:rPr>
        <w:t>,</w:t>
      </w:r>
      <w:r w:rsidR="001061E6">
        <w:rPr>
          <w:rFonts w:ascii="Book Antiqua" w:hAnsi="Book Antiqua"/>
          <w:noProof/>
          <w:sz w:val="24"/>
          <w:szCs w:val="24"/>
        </w:rPr>
        <w:t xml:space="preserve"> </w:t>
      </w:r>
      <w:r w:rsidR="00B35717" w:rsidRPr="00B35717">
        <w:rPr>
          <w:rFonts w:ascii="Book Antiqua" w:hAnsi="Book Antiqua"/>
          <w:noProof/>
          <w:sz w:val="24"/>
          <w:szCs w:val="24"/>
        </w:rPr>
        <w:t>Brazil</w:t>
      </w:r>
      <w:r w:rsidR="001C5D16" w:rsidRPr="00C10A48">
        <w:rPr>
          <w:rFonts w:ascii="Book Antiqua" w:hAnsi="Book Antiqua" w:hint="eastAsia"/>
          <w:noProof/>
          <w:sz w:val="24"/>
          <w:szCs w:val="24"/>
          <w:lang w:val="en-US" w:eastAsia="zh-CN"/>
        </w:rPr>
        <w:t>.</w:t>
      </w:r>
      <w:r w:rsidR="001C5D16" w:rsidRPr="00C10A48">
        <w:rPr>
          <w:rFonts w:ascii="Book Antiqua" w:hAnsi="Book Antiqua"/>
          <w:noProof/>
          <w:sz w:val="24"/>
          <w:szCs w:val="24"/>
          <w:lang w:val="en-US" w:eastAsia="zh-CN"/>
        </w:rPr>
        <w:t xml:space="preserve"> </w:t>
      </w:r>
      <w:r w:rsidRPr="00867B21">
        <w:rPr>
          <w:rFonts w:ascii="Book Antiqua" w:hAnsi="Book Antiqua"/>
          <w:noProof/>
          <w:sz w:val="24"/>
          <w:szCs w:val="24"/>
          <w:lang w:val="en-US"/>
        </w:rPr>
        <w:t>igorbraga1@gmail.com</w:t>
      </w:r>
    </w:p>
    <w:p w14:paraId="3F20AB9E" w14:textId="77777777" w:rsidR="006E3234" w:rsidRPr="00C10A48" w:rsidRDefault="006E3234" w:rsidP="00F227A9">
      <w:pPr>
        <w:snapToGrid w:val="0"/>
        <w:spacing w:after="0" w:line="360" w:lineRule="auto"/>
        <w:jc w:val="both"/>
        <w:rPr>
          <w:rFonts w:ascii="Book Antiqua" w:hAnsi="Book Antiqua"/>
          <w:b/>
          <w:noProof/>
          <w:sz w:val="24"/>
          <w:szCs w:val="24"/>
          <w:lang w:val="en-US"/>
        </w:rPr>
      </w:pPr>
    </w:p>
    <w:p w14:paraId="46A0299E" w14:textId="5CE8B5A1" w:rsidR="00C5238C" w:rsidRPr="00C10A48" w:rsidRDefault="00C5238C" w:rsidP="00F227A9">
      <w:pPr>
        <w:snapToGrid w:val="0"/>
        <w:spacing w:after="0" w:line="360" w:lineRule="auto"/>
        <w:jc w:val="both"/>
        <w:rPr>
          <w:rFonts w:ascii="Book Antiqua" w:hAnsi="Book Antiqua" w:cs="Times New Roman"/>
          <w:b/>
          <w:sz w:val="24"/>
          <w:szCs w:val="24"/>
          <w:lang w:val="en-US" w:eastAsia="zh-CN"/>
        </w:rPr>
      </w:pPr>
      <w:r w:rsidRPr="00C10A48">
        <w:rPr>
          <w:rFonts w:ascii="Book Antiqua" w:hAnsi="Book Antiqua" w:cs="Times New Roman"/>
          <w:b/>
          <w:sz w:val="24"/>
          <w:szCs w:val="24"/>
          <w:lang w:val="en-US" w:eastAsia="zh-CN"/>
        </w:rPr>
        <w:t xml:space="preserve">Received: </w:t>
      </w:r>
      <w:r w:rsidRPr="00C10A48">
        <w:rPr>
          <w:rFonts w:ascii="Book Antiqua" w:hAnsi="Book Antiqua" w:cs="Times New Roman"/>
          <w:sz w:val="24"/>
          <w:szCs w:val="24"/>
          <w:lang w:val="en-US" w:eastAsia="zh-CN"/>
        </w:rPr>
        <w:t>March 31, 2020</w:t>
      </w:r>
    </w:p>
    <w:p w14:paraId="09695B75" w14:textId="46844574" w:rsidR="00C5238C" w:rsidRPr="00C10A48" w:rsidRDefault="00C5238C" w:rsidP="00F227A9">
      <w:pPr>
        <w:snapToGrid w:val="0"/>
        <w:spacing w:after="0" w:line="360" w:lineRule="auto"/>
        <w:jc w:val="both"/>
        <w:rPr>
          <w:rFonts w:ascii="Book Antiqua" w:hAnsi="Book Antiqua" w:cs="Times New Roman"/>
          <w:b/>
          <w:sz w:val="24"/>
          <w:szCs w:val="24"/>
          <w:lang w:val="en-US" w:eastAsia="zh-CN"/>
        </w:rPr>
      </w:pPr>
      <w:r w:rsidRPr="00C10A48">
        <w:rPr>
          <w:rFonts w:ascii="Book Antiqua" w:hAnsi="Book Antiqua" w:cs="Times New Roman"/>
          <w:b/>
          <w:sz w:val="24"/>
          <w:szCs w:val="24"/>
          <w:lang w:val="en-US" w:eastAsia="zh-CN"/>
        </w:rPr>
        <w:t xml:space="preserve">Revised: </w:t>
      </w:r>
      <w:r w:rsidRPr="00C10A48">
        <w:rPr>
          <w:rFonts w:ascii="Book Antiqua" w:hAnsi="Book Antiqua" w:cs="Times New Roman"/>
          <w:sz w:val="24"/>
          <w:szCs w:val="24"/>
          <w:lang w:val="en-US" w:eastAsia="zh-CN"/>
        </w:rPr>
        <w:t>June 12, 2020</w:t>
      </w:r>
    </w:p>
    <w:p w14:paraId="29E64ECD" w14:textId="22AAC07B" w:rsidR="00C5238C" w:rsidRPr="00C10A48" w:rsidRDefault="00C5238C" w:rsidP="00F227A9">
      <w:pPr>
        <w:snapToGrid w:val="0"/>
        <w:spacing w:after="0" w:line="360" w:lineRule="auto"/>
        <w:jc w:val="both"/>
        <w:rPr>
          <w:rFonts w:ascii="Book Antiqua" w:hAnsi="Book Antiqua" w:cs="Times New Roman"/>
          <w:b/>
          <w:sz w:val="24"/>
          <w:szCs w:val="24"/>
          <w:lang w:val="en-US" w:eastAsia="zh-CN"/>
        </w:rPr>
      </w:pPr>
      <w:r w:rsidRPr="00C10A48">
        <w:rPr>
          <w:rFonts w:ascii="Book Antiqua" w:hAnsi="Book Antiqua" w:cs="Times New Roman"/>
          <w:b/>
          <w:sz w:val="24"/>
          <w:szCs w:val="24"/>
          <w:lang w:val="en-US" w:eastAsia="zh-CN"/>
        </w:rPr>
        <w:t>Accepted:</w:t>
      </w:r>
      <w:r w:rsidR="00A57EBD">
        <w:rPr>
          <w:rFonts w:ascii="Book Antiqua" w:hAnsi="Book Antiqua" w:cs="Times New Roman"/>
          <w:b/>
          <w:sz w:val="24"/>
          <w:szCs w:val="24"/>
          <w:lang w:val="en-US" w:eastAsia="zh-CN"/>
        </w:rPr>
        <w:t xml:space="preserve"> </w:t>
      </w:r>
      <w:r w:rsidR="00A57EBD" w:rsidRPr="00A57EBD">
        <w:rPr>
          <w:rFonts w:ascii="Book Antiqua" w:hAnsi="Book Antiqua" w:cs="Times New Roman"/>
          <w:sz w:val="24"/>
          <w:szCs w:val="24"/>
          <w:lang w:val="en-US" w:eastAsia="zh-CN"/>
        </w:rPr>
        <w:t>July 18, 2020</w:t>
      </w:r>
    </w:p>
    <w:p w14:paraId="0369EA44" w14:textId="44882778" w:rsidR="00C5238C" w:rsidRPr="00C10A48" w:rsidRDefault="00C5238C" w:rsidP="00F227A9">
      <w:pPr>
        <w:snapToGrid w:val="0"/>
        <w:spacing w:after="0" w:line="360" w:lineRule="auto"/>
        <w:jc w:val="both"/>
        <w:rPr>
          <w:rFonts w:ascii="Book Antiqua" w:hAnsi="Book Antiqua" w:cs="Times New Roman"/>
          <w:b/>
          <w:sz w:val="24"/>
          <w:szCs w:val="24"/>
          <w:lang w:val="en-US" w:eastAsia="zh-CN"/>
        </w:rPr>
      </w:pPr>
      <w:r w:rsidRPr="00C10A48">
        <w:rPr>
          <w:rFonts w:ascii="Book Antiqua" w:hAnsi="Book Antiqua" w:cs="Times New Roman"/>
          <w:b/>
          <w:sz w:val="24"/>
          <w:szCs w:val="24"/>
          <w:lang w:val="en-US" w:eastAsia="zh-CN"/>
        </w:rPr>
        <w:t>Published online:</w:t>
      </w:r>
      <w:r w:rsidR="007370CD">
        <w:rPr>
          <w:rFonts w:ascii="Book Antiqua" w:hAnsi="Book Antiqua" w:cs="Times New Roman" w:hint="eastAsia"/>
          <w:b/>
          <w:sz w:val="24"/>
          <w:szCs w:val="24"/>
          <w:lang w:val="en-US" w:eastAsia="zh-CN"/>
        </w:rPr>
        <w:t xml:space="preserve"> </w:t>
      </w:r>
      <w:r w:rsidR="007370CD" w:rsidRPr="007370CD">
        <w:rPr>
          <w:rFonts w:ascii="Book Antiqua" w:hAnsi="Book Antiqua" w:cs="Times New Roman" w:hint="eastAsia"/>
          <w:sz w:val="24"/>
          <w:szCs w:val="24"/>
          <w:lang w:val="en-US" w:eastAsia="zh-CN"/>
        </w:rPr>
        <w:t>August 16, 2020</w:t>
      </w:r>
    </w:p>
    <w:p w14:paraId="739FB226" w14:textId="77777777" w:rsidR="005067E8" w:rsidRPr="00C10A48" w:rsidRDefault="005067E8" w:rsidP="00F227A9">
      <w:pPr>
        <w:snapToGrid w:val="0"/>
        <w:spacing w:after="0" w:line="360" w:lineRule="auto"/>
        <w:jc w:val="both"/>
        <w:rPr>
          <w:rFonts w:ascii="Book Antiqua" w:hAnsi="Book Antiqua"/>
          <w:b/>
          <w:noProof/>
          <w:sz w:val="24"/>
          <w:szCs w:val="24"/>
          <w:lang w:val="en-US"/>
        </w:rPr>
      </w:pPr>
    </w:p>
    <w:p w14:paraId="45B66DCD" w14:textId="77777777" w:rsidR="00805459" w:rsidRPr="00C10A48" w:rsidRDefault="00805459" w:rsidP="00F227A9">
      <w:pPr>
        <w:snapToGrid w:val="0"/>
        <w:spacing w:after="0" w:line="360" w:lineRule="auto"/>
        <w:rPr>
          <w:rFonts w:ascii="Book Antiqua" w:hAnsi="Book Antiqua"/>
          <w:b/>
          <w:noProof/>
          <w:sz w:val="24"/>
          <w:szCs w:val="24"/>
          <w:lang w:val="en-US"/>
        </w:rPr>
      </w:pPr>
      <w:r w:rsidRPr="00C10A48">
        <w:rPr>
          <w:rFonts w:ascii="Book Antiqua" w:hAnsi="Book Antiqua"/>
          <w:b/>
          <w:noProof/>
          <w:sz w:val="24"/>
          <w:szCs w:val="24"/>
          <w:lang w:val="en-US"/>
        </w:rPr>
        <w:br w:type="page"/>
      </w:r>
    </w:p>
    <w:p w14:paraId="032BDAE9" w14:textId="2CFD4861" w:rsidR="006E3234" w:rsidRPr="00C10A48" w:rsidRDefault="006E3234" w:rsidP="00F227A9">
      <w:pPr>
        <w:snapToGrid w:val="0"/>
        <w:spacing w:after="0" w:line="360" w:lineRule="auto"/>
        <w:jc w:val="both"/>
        <w:rPr>
          <w:rFonts w:ascii="Book Antiqua" w:hAnsi="Book Antiqua"/>
          <w:b/>
          <w:noProof/>
          <w:sz w:val="24"/>
          <w:szCs w:val="24"/>
          <w:lang w:val="en-US"/>
        </w:rPr>
      </w:pPr>
      <w:r w:rsidRPr="00C10A48">
        <w:rPr>
          <w:rFonts w:ascii="Book Antiqua" w:hAnsi="Book Antiqua"/>
          <w:b/>
          <w:noProof/>
          <w:sz w:val="24"/>
          <w:szCs w:val="24"/>
          <w:lang w:val="en-US"/>
        </w:rPr>
        <w:lastRenderedPageBreak/>
        <w:t>A</w:t>
      </w:r>
      <w:r w:rsidR="00805459" w:rsidRPr="00C10A48">
        <w:rPr>
          <w:rFonts w:ascii="Book Antiqua" w:hAnsi="Book Antiqua"/>
          <w:b/>
          <w:noProof/>
          <w:sz w:val="24"/>
          <w:szCs w:val="24"/>
          <w:lang w:val="en-US"/>
        </w:rPr>
        <w:t>bstract</w:t>
      </w:r>
    </w:p>
    <w:p w14:paraId="08A72166" w14:textId="77777777" w:rsidR="00805459" w:rsidRPr="00C10A48" w:rsidRDefault="006E3234" w:rsidP="00F227A9">
      <w:pPr>
        <w:snapToGrid w:val="0"/>
        <w:spacing w:after="0" w:line="360" w:lineRule="auto"/>
        <w:jc w:val="both"/>
        <w:rPr>
          <w:rFonts w:ascii="Book Antiqua" w:hAnsi="Book Antiqua"/>
          <w:noProof/>
          <w:sz w:val="24"/>
          <w:szCs w:val="24"/>
          <w:lang w:val="en-US"/>
        </w:rPr>
      </w:pPr>
      <w:r w:rsidRPr="00C10A48">
        <w:rPr>
          <w:rFonts w:ascii="Book Antiqua" w:hAnsi="Book Antiqua"/>
          <w:noProof/>
          <w:sz w:val="24"/>
          <w:szCs w:val="24"/>
          <w:lang w:val="en-US"/>
        </w:rPr>
        <w:t>BACKGROUND</w:t>
      </w:r>
    </w:p>
    <w:p w14:paraId="6B0CF3C6" w14:textId="3B9193E0" w:rsidR="00805459" w:rsidRPr="00C10A48" w:rsidRDefault="00805459" w:rsidP="00F227A9">
      <w:pPr>
        <w:snapToGrid w:val="0"/>
        <w:spacing w:after="0" w:line="360" w:lineRule="auto"/>
        <w:jc w:val="both"/>
        <w:rPr>
          <w:rFonts w:ascii="Book Antiqua" w:hAnsi="Book Antiqua"/>
          <w:b/>
          <w:noProof/>
          <w:sz w:val="24"/>
          <w:szCs w:val="24"/>
          <w:lang w:val="en-US"/>
        </w:rPr>
      </w:pPr>
      <w:r w:rsidRPr="00C10A48">
        <w:rPr>
          <w:rFonts w:ascii="Book Antiqua" w:hAnsi="Book Antiqua"/>
          <w:noProof/>
          <w:sz w:val="24"/>
          <w:szCs w:val="24"/>
          <w:lang w:val="en-US"/>
        </w:rPr>
        <w:t xml:space="preserve">Patients with cirrhosis frequently require sedation for elective endoscopic procedures. Several sedation protocols are available, </w:t>
      </w:r>
      <w:bookmarkStart w:id="4" w:name="_Hlk32333581"/>
      <w:r w:rsidRPr="00C10A48">
        <w:rPr>
          <w:rFonts w:ascii="Book Antiqua" w:hAnsi="Book Antiqua"/>
          <w:noProof/>
          <w:sz w:val="24"/>
          <w:szCs w:val="24"/>
          <w:lang w:val="en-US"/>
        </w:rPr>
        <w:t>but choosing an appropriate sedative in patients with cirrhosis is challenging</w:t>
      </w:r>
      <w:bookmarkEnd w:id="4"/>
      <w:r w:rsidRPr="00C10A48">
        <w:rPr>
          <w:rFonts w:ascii="Book Antiqua" w:hAnsi="Book Antiqua"/>
          <w:noProof/>
          <w:sz w:val="24"/>
          <w:szCs w:val="24"/>
          <w:lang w:val="en-US"/>
        </w:rPr>
        <w:t>.</w:t>
      </w:r>
    </w:p>
    <w:p w14:paraId="15CD15F1" w14:textId="77777777" w:rsidR="00805459" w:rsidRPr="00C10A48" w:rsidRDefault="00805459" w:rsidP="00F227A9">
      <w:pPr>
        <w:snapToGrid w:val="0"/>
        <w:spacing w:after="0" w:line="360" w:lineRule="auto"/>
        <w:jc w:val="both"/>
        <w:rPr>
          <w:rFonts w:ascii="Book Antiqua" w:hAnsi="Book Antiqua"/>
          <w:b/>
          <w:noProof/>
          <w:sz w:val="24"/>
          <w:szCs w:val="24"/>
          <w:lang w:val="en-US"/>
        </w:rPr>
      </w:pPr>
    </w:p>
    <w:p w14:paraId="18B7D3FD" w14:textId="0398BE67" w:rsidR="000A0724" w:rsidRPr="00F227A9" w:rsidRDefault="00DA499C" w:rsidP="00F227A9">
      <w:pPr>
        <w:snapToGrid w:val="0"/>
        <w:spacing w:after="0" w:line="360" w:lineRule="auto"/>
        <w:jc w:val="both"/>
        <w:rPr>
          <w:rFonts w:ascii="Book Antiqua" w:hAnsi="Book Antiqua"/>
          <w:noProof/>
          <w:sz w:val="24"/>
          <w:szCs w:val="24"/>
          <w:lang w:val="en-US"/>
        </w:rPr>
      </w:pPr>
      <w:r w:rsidRPr="00F227A9">
        <w:rPr>
          <w:rFonts w:ascii="Book Antiqua" w:hAnsi="Book Antiqua"/>
          <w:noProof/>
          <w:sz w:val="24"/>
          <w:szCs w:val="24"/>
          <w:lang w:val="en-US"/>
        </w:rPr>
        <w:t>AIM</w:t>
      </w:r>
    </w:p>
    <w:p w14:paraId="75FC2DFC" w14:textId="77CF6B94" w:rsidR="000A0724" w:rsidRPr="00C10A48" w:rsidRDefault="000A0724" w:rsidP="00F227A9">
      <w:pPr>
        <w:snapToGrid w:val="0"/>
        <w:spacing w:after="0" w:line="360" w:lineRule="auto"/>
        <w:jc w:val="both"/>
        <w:rPr>
          <w:rFonts w:ascii="Book Antiqua" w:hAnsi="Book Antiqua"/>
          <w:b/>
          <w:noProof/>
          <w:sz w:val="24"/>
          <w:szCs w:val="24"/>
          <w:lang w:val="en-US"/>
        </w:rPr>
      </w:pPr>
      <w:r w:rsidRPr="00C10A48">
        <w:rPr>
          <w:rFonts w:ascii="Book Antiqua" w:hAnsi="Book Antiqua"/>
          <w:caps/>
          <w:noProof/>
          <w:sz w:val="24"/>
          <w:szCs w:val="24"/>
          <w:lang w:val="en-US"/>
        </w:rPr>
        <w:t>t</w:t>
      </w:r>
      <w:r w:rsidRPr="00C10A48">
        <w:rPr>
          <w:rFonts w:ascii="Book Antiqua" w:hAnsi="Book Antiqua"/>
          <w:noProof/>
          <w:sz w:val="24"/>
          <w:szCs w:val="24"/>
          <w:lang w:val="en-US"/>
        </w:rPr>
        <w:t>o conduct a systematic review and meta-analysis to compare propofol and midazolam for sedation in patients with cirrhosis during elective endoscopic procedures in an attempt to understand the best approach.</w:t>
      </w:r>
      <w:r w:rsidRPr="00C10A48">
        <w:rPr>
          <w:rFonts w:ascii="Book Antiqua" w:hAnsi="Book Antiqua"/>
          <w:b/>
          <w:noProof/>
          <w:sz w:val="24"/>
          <w:szCs w:val="24"/>
          <w:lang w:val="en-US"/>
        </w:rPr>
        <w:t xml:space="preserve"> </w:t>
      </w:r>
    </w:p>
    <w:p w14:paraId="66ED58B4" w14:textId="77777777" w:rsidR="000A0724" w:rsidRPr="00C10A48" w:rsidRDefault="000A0724" w:rsidP="00F227A9">
      <w:pPr>
        <w:snapToGrid w:val="0"/>
        <w:spacing w:after="0" w:line="360" w:lineRule="auto"/>
        <w:jc w:val="both"/>
        <w:rPr>
          <w:rFonts w:ascii="Book Antiqua" w:hAnsi="Book Antiqua"/>
          <w:b/>
          <w:noProof/>
          <w:sz w:val="24"/>
          <w:szCs w:val="24"/>
          <w:lang w:val="en-US"/>
        </w:rPr>
      </w:pPr>
    </w:p>
    <w:p w14:paraId="671BED0B" w14:textId="5F3CE935" w:rsidR="005930A0" w:rsidRPr="00F227A9" w:rsidRDefault="00823782" w:rsidP="00F227A9">
      <w:pPr>
        <w:snapToGrid w:val="0"/>
        <w:spacing w:after="0" w:line="360" w:lineRule="auto"/>
        <w:jc w:val="both"/>
        <w:rPr>
          <w:rFonts w:ascii="Book Antiqua" w:hAnsi="Book Antiqua"/>
          <w:noProof/>
          <w:sz w:val="24"/>
          <w:szCs w:val="24"/>
          <w:lang w:val="en-US"/>
        </w:rPr>
      </w:pPr>
      <w:r w:rsidRPr="00F227A9">
        <w:rPr>
          <w:rFonts w:ascii="Book Antiqua" w:hAnsi="Book Antiqua"/>
          <w:noProof/>
          <w:sz w:val="24"/>
          <w:szCs w:val="24"/>
          <w:lang w:val="en-US"/>
        </w:rPr>
        <w:t>METHODS</w:t>
      </w:r>
    </w:p>
    <w:p w14:paraId="5CB2BC85" w14:textId="756556F1" w:rsidR="006E3234" w:rsidRPr="00C10A48" w:rsidRDefault="00C17E11" w:rsidP="00F227A9">
      <w:pPr>
        <w:snapToGrid w:val="0"/>
        <w:spacing w:after="0" w:line="360" w:lineRule="auto"/>
        <w:jc w:val="both"/>
        <w:rPr>
          <w:rFonts w:ascii="Book Antiqua" w:hAnsi="Book Antiqua"/>
          <w:noProof/>
          <w:sz w:val="24"/>
          <w:szCs w:val="24"/>
          <w:lang w:val="en-US"/>
        </w:rPr>
      </w:pPr>
      <w:bookmarkStart w:id="5" w:name="_Hlk42797819"/>
      <w:r w:rsidRPr="00C10A48">
        <w:rPr>
          <w:rFonts w:ascii="Book Antiqua" w:hAnsi="Book Antiqua"/>
          <w:noProof/>
          <w:sz w:val="24"/>
          <w:szCs w:val="24"/>
          <w:lang w:val="en-US"/>
        </w:rPr>
        <w:t>This systematic review and meta-analysis was conducted using the PRISMA guideline</w:t>
      </w:r>
      <w:r w:rsidR="00EE672D" w:rsidRPr="00C10A48">
        <w:rPr>
          <w:rFonts w:ascii="Book Antiqua" w:hAnsi="Book Antiqua"/>
          <w:noProof/>
          <w:sz w:val="24"/>
          <w:szCs w:val="24"/>
          <w:lang w:val="en-US"/>
        </w:rPr>
        <w:t>s</w:t>
      </w:r>
      <w:r w:rsidRPr="00C10A48">
        <w:rPr>
          <w:rFonts w:ascii="Book Antiqua" w:hAnsi="Book Antiqua"/>
          <w:noProof/>
          <w:sz w:val="24"/>
          <w:szCs w:val="24"/>
          <w:lang w:val="en-US"/>
        </w:rPr>
        <w:t xml:space="preserve">. </w:t>
      </w:r>
      <w:r w:rsidR="000A0724" w:rsidRPr="00C10A48">
        <w:rPr>
          <w:rFonts w:ascii="Book Antiqua" w:hAnsi="Book Antiqua"/>
          <w:noProof/>
          <w:sz w:val="24"/>
          <w:szCs w:val="24"/>
          <w:lang w:val="en-US"/>
        </w:rPr>
        <w:t>Electronic searches were performed using</w:t>
      </w:r>
      <w:r w:rsidRPr="00C10A48">
        <w:rPr>
          <w:rFonts w:ascii="Book Antiqua" w:hAnsi="Book Antiqua"/>
          <w:noProof/>
          <w:sz w:val="24"/>
          <w:szCs w:val="24"/>
          <w:lang w:val="en-US"/>
        </w:rPr>
        <w:t xml:space="preserve"> MEDLINE</w:t>
      </w:r>
      <w:r w:rsidR="000A0724" w:rsidRPr="00C10A48">
        <w:rPr>
          <w:rFonts w:ascii="Book Antiqua" w:hAnsi="Book Antiqua"/>
          <w:noProof/>
          <w:sz w:val="24"/>
          <w:szCs w:val="24"/>
          <w:lang w:val="en-US"/>
        </w:rPr>
        <w:t xml:space="preserve">, </w:t>
      </w:r>
      <w:r w:rsidRPr="00C10A48">
        <w:rPr>
          <w:rFonts w:ascii="Book Antiqua" w:hAnsi="Book Antiqua"/>
          <w:noProof/>
          <w:sz w:val="24"/>
          <w:szCs w:val="24"/>
          <w:lang w:val="en-US"/>
        </w:rPr>
        <w:t>EMBASE</w:t>
      </w:r>
      <w:r w:rsidR="000A0724" w:rsidRPr="00C10A48">
        <w:rPr>
          <w:rFonts w:ascii="Book Antiqua" w:hAnsi="Book Antiqua"/>
          <w:noProof/>
          <w:sz w:val="24"/>
          <w:szCs w:val="24"/>
          <w:lang w:val="en-US"/>
        </w:rPr>
        <w:t>,</w:t>
      </w:r>
      <w:r w:rsidRPr="00C10A48">
        <w:rPr>
          <w:rFonts w:ascii="Book Antiqua" w:hAnsi="Book Antiqua"/>
          <w:noProof/>
          <w:sz w:val="24"/>
          <w:szCs w:val="24"/>
          <w:lang w:val="en-US"/>
        </w:rPr>
        <w:t xml:space="preserve"> Central Cochrane, LILACS databases. Only randomized control trials (RCTs) were included. The outcomes </w:t>
      </w:r>
      <w:r w:rsidR="00611A3D" w:rsidRPr="00C10A48">
        <w:rPr>
          <w:rFonts w:ascii="Book Antiqua" w:hAnsi="Book Antiqua"/>
          <w:noProof/>
          <w:sz w:val="24"/>
          <w:szCs w:val="24"/>
          <w:lang w:val="en-US"/>
        </w:rPr>
        <w:t xml:space="preserve">studied were </w:t>
      </w:r>
      <w:r w:rsidRPr="00C10A48">
        <w:rPr>
          <w:rFonts w:ascii="Book Antiqua" w:hAnsi="Book Antiqua"/>
          <w:noProof/>
          <w:sz w:val="24"/>
          <w:szCs w:val="24"/>
          <w:lang w:val="en-US"/>
        </w:rPr>
        <w:t>procedure time, recovery time, discharge time, and adverse events</w:t>
      </w:r>
      <w:r w:rsidR="00EE672D" w:rsidRPr="00C10A48">
        <w:rPr>
          <w:rFonts w:ascii="Book Antiqua" w:hAnsi="Book Antiqua"/>
          <w:noProof/>
          <w:sz w:val="24"/>
          <w:szCs w:val="24"/>
          <w:lang w:val="en-US"/>
        </w:rPr>
        <w:t xml:space="preserve"> (</w:t>
      </w:r>
      <w:r w:rsidRPr="00C10A48">
        <w:rPr>
          <w:rFonts w:ascii="Book Antiqua" w:hAnsi="Book Antiqua"/>
          <w:noProof/>
          <w:sz w:val="24"/>
          <w:szCs w:val="24"/>
          <w:lang w:val="en-US"/>
        </w:rPr>
        <w:t>bradycardia, hypotension, and hypoxemia</w:t>
      </w:r>
      <w:r w:rsidR="00EE672D" w:rsidRPr="00C10A48">
        <w:rPr>
          <w:rFonts w:ascii="Book Antiqua" w:hAnsi="Book Antiqua"/>
          <w:noProof/>
          <w:sz w:val="24"/>
          <w:szCs w:val="24"/>
          <w:lang w:val="en-US"/>
        </w:rPr>
        <w:t>)</w:t>
      </w:r>
      <w:r w:rsidRPr="00C10A48">
        <w:rPr>
          <w:rFonts w:ascii="Book Antiqua" w:hAnsi="Book Antiqua"/>
          <w:noProof/>
          <w:sz w:val="24"/>
          <w:szCs w:val="24"/>
          <w:lang w:val="en-US"/>
        </w:rPr>
        <w:t>. The risk of bias assessment was performed using the Revised Cochrane Risk-of-Bias tool for randomized trials (RoB-2). Quality of evidence was evaluated by GRADEpro. The meta-analysis was performed using Review Manager.</w:t>
      </w:r>
    </w:p>
    <w:bookmarkEnd w:id="5"/>
    <w:p w14:paraId="7B31C475" w14:textId="77777777" w:rsidR="00A211BD" w:rsidRPr="00C10A48" w:rsidRDefault="00A211BD" w:rsidP="00F227A9">
      <w:pPr>
        <w:snapToGrid w:val="0"/>
        <w:spacing w:after="0" w:line="360" w:lineRule="auto"/>
        <w:jc w:val="both"/>
        <w:rPr>
          <w:rFonts w:ascii="Book Antiqua" w:hAnsi="Book Antiqua"/>
          <w:noProof/>
          <w:sz w:val="24"/>
          <w:szCs w:val="24"/>
          <w:lang w:val="en-US"/>
        </w:rPr>
      </w:pPr>
    </w:p>
    <w:p w14:paraId="25C2D2C8" w14:textId="6466B1C3" w:rsidR="00A211BD" w:rsidRPr="00F227A9" w:rsidRDefault="00823782" w:rsidP="00F227A9">
      <w:pPr>
        <w:snapToGrid w:val="0"/>
        <w:spacing w:after="0" w:line="360" w:lineRule="auto"/>
        <w:ind w:right="97"/>
        <w:jc w:val="both"/>
        <w:rPr>
          <w:rFonts w:ascii="Book Antiqua" w:hAnsi="Book Antiqua"/>
          <w:noProof/>
          <w:sz w:val="24"/>
          <w:szCs w:val="24"/>
          <w:lang w:val="en-US"/>
        </w:rPr>
      </w:pPr>
      <w:r w:rsidRPr="00F227A9">
        <w:rPr>
          <w:rFonts w:ascii="Book Antiqua" w:hAnsi="Book Antiqua"/>
          <w:noProof/>
          <w:sz w:val="24"/>
          <w:szCs w:val="24"/>
          <w:lang w:val="en-US"/>
        </w:rPr>
        <w:t>RESULTS</w:t>
      </w:r>
    </w:p>
    <w:p w14:paraId="29B13DCA" w14:textId="578D8A57" w:rsidR="00863A69" w:rsidRPr="00C10A48" w:rsidRDefault="00C17E11" w:rsidP="00F227A9">
      <w:pPr>
        <w:snapToGrid w:val="0"/>
        <w:spacing w:after="0" w:line="360" w:lineRule="auto"/>
        <w:ind w:right="97"/>
        <w:jc w:val="both"/>
        <w:rPr>
          <w:rFonts w:ascii="Book Antiqua" w:hAnsi="Book Antiqua"/>
          <w:noProof/>
          <w:sz w:val="24"/>
          <w:szCs w:val="24"/>
          <w:lang w:val="en-US"/>
        </w:rPr>
      </w:pPr>
      <w:r w:rsidRPr="00C10A48">
        <w:rPr>
          <w:rFonts w:ascii="Book Antiqua" w:hAnsi="Book Antiqua"/>
          <w:noProof/>
          <w:sz w:val="24"/>
          <w:szCs w:val="24"/>
          <w:lang w:val="en-US"/>
        </w:rPr>
        <w:t xml:space="preserve">The search yielded 3,576 records. Out of these, 8 RCTs with a total of 596 patients (302 in the propofol group and 294 in the midazolam group) were included for the final analysis. </w:t>
      </w:r>
      <w:bookmarkStart w:id="6" w:name="_Hlk42797900"/>
      <w:r w:rsidRPr="00C10A48">
        <w:rPr>
          <w:rFonts w:ascii="Book Antiqua" w:hAnsi="Book Antiqua"/>
          <w:noProof/>
          <w:sz w:val="24"/>
          <w:szCs w:val="24"/>
          <w:lang w:val="en-US"/>
        </w:rPr>
        <w:t>Procedure time was similar between midazolam and propofol groups (MD: 0.25</w:t>
      </w:r>
      <w:r w:rsidR="00D053DC" w:rsidRPr="00C10A48">
        <w:rPr>
          <w:rFonts w:ascii="Book Antiqua" w:hAnsi="Book Antiqua"/>
          <w:noProof/>
          <w:sz w:val="24"/>
          <w:szCs w:val="24"/>
          <w:lang w:val="en-US"/>
        </w:rPr>
        <w:t xml:space="preserve">, </w:t>
      </w:r>
      <w:r w:rsidRPr="00C10A48">
        <w:rPr>
          <w:rFonts w:ascii="Book Antiqua" w:hAnsi="Book Antiqua"/>
          <w:noProof/>
          <w:sz w:val="24"/>
          <w:szCs w:val="24"/>
          <w:lang w:val="en-US"/>
        </w:rPr>
        <w:t>9</w:t>
      </w:r>
      <w:r w:rsidR="00D053DC" w:rsidRPr="00C10A48">
        <w:rPr>
          <w:rFonts w:ascii="Book Antiqua" w:hAnsi="Book Antiqua"/>
          <w:noProof/>
          <w:sz w:val="24"/>
          <w:szCs w:val="24"/>
          <w:lang w:val="en-US"/>
        </w:rPr>
        <w:t>5%</w:t>
      </w:r>
      <w:r w:rsidRPr="00C10A48">
        <w:rPr>
          <w:rFonts w:ascii="Book Antiqua" w:hAnsi="Book Antiqua"/>
          <w:noProof/>
          <w:sz w:val="24"/>
          <w:szCs w:val="24"/>
          <w:lang w:val="en-US"/>
        </w:rPr>
        <w:t>CI</w:t>
      </w:r>
      <w:r w:rsidR="00863A69" w:rsidRPr="00C10A48">
        <w:rPr>
          <w:rFonts w:ascii="Book Antiqua" w:hAnsi="Book Antiqua"/>
          <w:noProof/>
          <w:sz w:val="24"/>
          <w:szCs w:val="24"/>
          <w:lang w:val="en-US"/>
        </w:rPr>
        <w:t xml:space="preserve">: </w:t>
      </w:r>
      <w:r w:rsidR="00D053DC" w:rsidRPr="00C10A48">
        <w:rPr>
          <w:rFonts w:ascii="Book Antiqua" w:hAnsi="Book Antiqua"/>
          <w:noProof/>
          <w:sz w:val="24"/>
          <w:szCs w:val="24"/>
          <w:lang w:val="en-US"/>
        </w:rPr>
        <w:t>-0.64 to 1.13</w:t>
      </w:r>
      <w:r w:rsidRPr="00C10A48">
        <w:rPr>
          <w:rFonts w:ascii="Book Antiqua" w:hAnsi="Book Antiqua"/>
          <w:noProof/>
          <w:sz w:val="24"/>
          <w:szCs w:val="24"/>
          <w:lang w:val="en-US"/>
        </w:rPr>
        <w:t xml:space="preserve">, </w:t>
      </w:r>
      <w:r w:rsidR="00D053DC" w:rsidRPr="00C10A48">
        <w:rPr>
          <w:rFonts w:ascii="Book Antiqua" w:hAnsi="Book Antiqua"/>
          <w:i/>
          <w:caps/>
          <w:noProof/>
          <w:sz w:val="24"/>
          <w:szCs w:val="24"/>
          <w:lang w:val="en-US"/>
        </w:rPr>
        <w:t>p</w:t>
      </w:r>
      <w:r w:rsidR="00D053DC" w:rsidRPr="00C10A48">
        <w:rPr>
          <w:rFonts w:ascii="Book Antiqua" w:hAnsi="Book Antiqua"/>
          <w:noProof/>
          <w:sz w:val="24"/>
          <w:szCs w:val="24"/>
          <w:lang w:val="en-US"/>
        </w:rPr>
        <w:t xml:space="preserve"> </w:t>
      </w:r>
      <w:r w:rsidR="00AD5090" w:rsidRPr="00C10A48">
        <w:rPr>
          <w:rFonts w:ascii="Book Antiqua" w:hAnsi="Book Antiqua"/>
          <w:noProof/>
          <w:sz w:val="24"/>
          <w:szCs w:val="24"/>
          <w:lang w:val="en-US"/>
        </w:rPr>
        <w:t>=</w:t>
      </w:r>
      <w:r w:rsidR="007945BC" w:rsidRPr="00C10A48">
        <w:rPr>
          <w:rFonts w:ascii="Book Antiqua" w:hAnsi="Book Antiqua"/>
          <w:noProof/>
          <w:sz w:val="24"/>
          <w:szCs w:val="24"/>
          <w:lang w:val="en-US"/>
        </w:rPr>
        <w:t xml:space="preserve"> </w:t>
      </w:r>
      <w:r w:rsidRPr="00C10A48">
        <w:rPr>
          <w:rFonts w:ascii="Book Antiqua" w:hAnsi="Book Antiqua"/>
          <w:noProof/>
          <w:sz w:val="24"/>
          <w:szCs w:val="24"/>
          <w:lang w:val="en-US"/>
        </w:rPr>
        <w:t>0.59). Recovery time (MD: -8.19</w:t>
      </w:r>
      <w:r w:rsidR="003C79DC" w:rsidRPr="00C10A48">
        <w:rPr>
          <w:rFonts w:ascii="Book Antiqua" w:hAnsi="Book Antiqua"/>
          <w:noProof/>
          <w:sz w:val="24"/>
          <w:szCs w:val="24"/>
          <w:lang w:val="en-US"/>
        </w:rPr>
        <w:t>, 95%</w:t>
      </w:r>
      <w:r w:rsidRPr="00C10A48">
        <w:rPr>
          <w:rFonts w:ascii="Book Antiqua" w:hAnsi="Book Antiqua"/>
          <w:noProof/>
          <w:sz w:val="24"/>
          <w:szCs w:val="24"/>
          <w:lang w:val="en-US"/>
        </w:rPr>
        <w:t>CI</w:t>
      </w:r>
      <w:r w:rsidR="00863A69" w:rsidRPr="00C10A48">
        <w:rPr>
          <w:rFonts w:ascii="Book Antiqua" w:hAnsi="Book Antiqua"/>
          <w:noProof/>
          <w:sz w:val="24"/>
          <w:szCs w:val="24"/>
          <w:lang w:val="en-US"/>
        </w:rPr>
        <w:t>:</w:t>
      </w:r>
      <w:r w:rsidRPr="00C10A48">
        <w:rPr>
          <w:rFonts w:ascii="Book Antiqua" w:hAnsi="Book Antiqua"/>
          <w:noProof/>
          <w:sz w:val="24"/>
          <w:szCs w:val="24"/>
          <w:lang w:val="en-US"/>
        </w:rPr>
        <w:t xml:space="preserve"> -10.59 </w:t>
      </w:r>
      <w:r w:rsidR="003C79DC" w:rsidRPr="00C10A48">
        <w:rPr>
          <w:rFonts w:ascii="Book Antiqua" w:hAnsi="Book Antiqua"/>
          <w:noProof/>
          <w:sz w:val="24"/>
          <w:szCs w:val="24"/>
          <w:lang w:val="en-US"/>
        </w:rPr>
        <w:t>to -5.79</w:t>
      </w:r>
      <w:r w:rsidRPr="00C10A48">
        <w:rPr>
          <w:rFonts w:ascii="Book Antiqua" w:hAnsi="Book Antiqua"/>
          <w:noProof/>
          <w:sz w:val="24"/>
          <w:szCs w:val="24"/>
          <w:lang w:val="en-US"/>
        </w:rPr>
        <w:t xml:space="preserve">, </w:t>
      </w:r>
      <w:r w:rsidRPr="00C10A48">
        <w:rPr>
          <w:rFonts w:ascii="Book Antiqua" w:hAnsi="Book Antiqua"/>
          <w:i/>
          <w:caps/>
          <w:noProof/>
          <w:sz w:val="24"/>
          <w:szCs w:val="24"/>
          <w:lang w:val="en-US"/>
        </w:rPr>
        <w:t>p</w:t>
      </w:r>
      <w:r w:rsidR="00D053DC" w:rsidRPr="00C10A48">
        <w:rPr>
          <w:rFonts w:ascii="Book Antiqua" w:hAnsi="Book Antiqua"/>
          <w:noProof/>
          <w:sz w:val="24"/>
          <w:szCs w:val="24"/>
          <w:lang w:val="en-US"/>
        </w:rPr>
        <w:t xml:space="preserve"> </w:t>
      </w:r>
      <w:r w:rsidRPr="00C10A48">
        <w:rPr>
          <w:rFonts w:ascii="Book Antiqua" w:hAnsi="Book Antiqua"/>
          <w:noProof/>
          <w:sz w:val="24"/>
          <w:szCs w:val="24"/>
          <w:lang w:val="en-US"/>
        </w:rPr>
        <w:t>&lt;</w:t>
      </w:r>
      <w:r w:rsidR="00D053DC" w:rsidRPr="00C10A48">
        <w:rPr>
          <w:rFonts w:ascii="Book Antiqua" w:hAnsi="Book Antiqua"/>
          <w:noProof/>
          <w:sz w:val="24"/>
          <w:szCs w:val="24"/>
          <w:lang w:val="en-US"/>
        </w:rPr>
        <w:t xml:space="preserve"> </w:t>
      </w:r>
      <w:r w:rsidRPr="00C10A48">
        <w:rPr>
          <w:rFonts w:ascii="Book Antiqua" w:hAnsi="Book Antiqua"/>
          <w:noProof/>
          <w:sz w:val="24"/>
          <w:szCs w:val="24"/>
          <w:lang w:val="en-US"/>
        </w:rPr>
        <w:t xml:space="preserve">0.00001). </w:t>
      </w:r>
      <w:r w:rsidR="00EE672D" w:rsidRPr="00C10A48">
        <w:rPr>
          <w:rFonts w:ascii="Book Antiqua" w:hAnsi="Book Antiqua"/>
          <w:noProof/>
          <w:sz w:val="24"/>
          <w:szCs w:val="24"/>
          <w:lang w:val="en-US"/>
        </w:rPr>
        <w:t xml:space="preserve">and </w:t>
      </w:r>
      <w:r w:rsidRPr="00C10A48">
        <w:rPr>
          <w:rFonts w:ascii="Book Antiqua" w:hAnsi="Book Antiqua"/>
          <w:noProof/>
          <w:sz w:val="24"/>
          <w:szCs w:val="24"/>
          <w:lang w:val="en-US"/>
        </w:rPr>
        <w:t xml:space="preserve"> discharge time w</w:t>
      </w:r>
      <w:r w:rsidR="00EE672D" w:rsidRPr="00C10A48">
        <w:rPr>
          <w:rFonts w:ascii="Book Antiqua" w:hAnsi="Book Antiqua"/>
          <w:noProof/>
          <w:sz w:val="24"/>
          <w:szCs w:val="24"/>
          <w:lang w:val="en-US"/>
        </w:rPr>
        <w:t>ere</w:t>
      </w:r>
      <w:r w:rsidRPr="00C10A48">
        <w:rPr>
          <w:rFonts w:ascii="Book Antiqua" w:hAnsi="Book Antiqua"/>
          <w:noProof/>
          <w:sz w:val="24"/>
          <w:szCs w:val="24"/>
          <w:lang w:val="en-US"/>
        </w:rPr>
        <w:t xml:space="preserve"> significantly less in the p</w:t>
      </w:r>
      <w:r w:rsidR="007D5732" w:rsidRPr="00C10A48">
        <w:rPr>
          <w:rFonts w:ascii="Book Antiqua" w:hAnsi="Book Antiqua"/>
          <w:noProof/>
          <w:sz w:val="24"/>
          <w:szCs w:val="24"/>
          <w:lang w:val="en-US"/>
        </w:rPr>
        <w:t>ropofol group (MD: -12.98, 95%</w:t>
      </w:r>
      <w:r w:rsidRPr="00C10A48">
        <w:rPr>
          <w:rFonts w:ascii="Book Antiqua" w:hAnsi="Book Antiqua"/>
          <w:noProof/>
          <w:sz w:val="24"/>
          <w:szCs w:val="24"/>
          <w:lang w:val="en-US"/>
        </w:rPr>
        <w:t>CI</w:t>
      </w:r>
      <w:r w:rsidR="00863A69" w:rsidRPr="00C10A48">
        <w:rPr>
          <w:rFonts w:ascii="Book Antiqua" w:hAnsi="Book Antiqua"/>
          <w:noProof/>
          <w:sz w:val="24"/>
          <w:szCs w:val="24"/>
          <w:lang w:val="en-US"/>
        </w:rPr>
        <w:t>:</w:t>
      </w:r>
      <w:r w:rsidRPr="00C10A48">
        <w:rPr>
          <w:rFonts w:ascii="Book Antiqua" w:hAnsi="Book Antiqua"/>
          <w:noProof/>
          <w:sz w:val="24"/>
          <w:szCs w:val="24"/>
          <w:lang w:val="en-US"/>
        </w:rPr>
        <w:t xml:space="preserve"> -18.46 </w:t>
      </w:r>
      <w:r w:rsidR="007D5732" w:rsidRPr="00C10A48">
        <w:rPr>
          <w:rFonts w:ascii="Book Antiqua" w:hAnsi="Book Antiqua"/>
          <w:noProof/>
          <w:sz w:val="24"/>
          <w:szCs w:val="24"/>
          <w:lang w:val="en-US"/>
        </w:rPr>
        <w:t xml:space="preserve">to </w:t>
      </w:r>
      <w:r w:rsidR="006A48AF" w:rsidRPr="00C10A48">
        <w:rPr>
          <w:rFonts w:ascii="Book Antiqua" w:hAnsi="Book Antiqua"/>
          <w:noProof/>
          <w:sz w:val="24"/>
          <w:szCs w:val="24"/>
          <w:lang w:val="en-US"/>
        </w:rPr>
        <w:t>-6.50</w:t>
      </w:r>
      <w:r w:rsidRPr="00C10A48">
        <w:rPr>
          <w:rFonts w:ascii="Book Antiqua" w:hAnsi="Book Antiqua"/>
          <w:noProof/>
          <w:sz w:val="24"/>
          <w:szCs w:val="24"/>
          <w:lang w:val="en-US"/>
        </w:rPr>
        <w:t xml:space="preserve">, </w:t>
      </w:r>
      <w:r w:rsidR="007D5732" w:rsidRPr="00C10A48">
        <w:rPr>
          <w:rFonts w:ascii="Book Antiqua" w:hAnsi="Book Antiqua"/>
          <w:i/>
          <w:caps/>
          <w:noProof/>
          <w:sz w:val="24"/>
          <w:szCs w:val="24"/>
          <w:lang w:val="en-US"/>
        </w:rPr>
        <w:t>p</w:t>
      </w:r>
      <w:r w:rsidR="007D5732" w:rsidRPr="00C10A48">
        <w:rPr>
          <w:rFonts w:ascii="Book Antiqua" w:hAnsi="Book Antiqua"/>
          <w:noProof/>
          <w:sz w:val="24"/>
          <w:szCs w:val="24"/>
          <w:lang w:val="en-US"/>
        </w:rPr>
        <w:t xml:space="preserve"> &lt; </w:t>
      </w:r>
      <w:r w:rsidRPr="00C10A48">
        <w:rPr>
          <w:rFonts w:ascii="Book Antiqua" w:hAnsi="Book Antiqua"/>
          <w:noProof/>
          <w:sz w:val="24"/>
          <w:szCs w:val="24"/>
          <w:lang w:val="en-US"/>
        </w:rPr>
        <w:t>0.00001). Adverse events were similar in both groups (RD: 0.02</w:t>
      </w:r>
      <w:r w:rsidR="006605FF" w:rsidRPr="00C10A48">
        <w:rPr>
          <w:rFonts w:ascii="Book Antiqua" w:hAnsi="Book Antiqua"/>
          <w:noProof/>
          <w:sz w:val="24"/>
          <w:szCs w:val="24"/>
          <w:lang w:val="en-US"/>
        </w:rPr>
        <w:t>, 95%</w:t>
      </w:r>
      <w:r w:rsidRPr="00C10A48">
        <w:rPr>
          <w:rFonts w:ascii="Book Antiqua" w:hAnsi="Book Antiqua"/>
          <w:noProof/>
          <w:sz w:val="24"/>
          <w:szCs w:val="24"/>
          <w:lang w:val="en-US"/>
        </w:rPr>
        <w:t>CI</w:t>
      </w:r>
      <w:r w:rsidR="00863A69" w:rsidRPr="00C10A48">
        <w:rPr>
          <w:rFonts w:ascii="Book Antiqua" w:hAnsi="Book Antiqua"/>
          <w:noProof/>
          <w:sz w:val="24"/>
          <w:szCs w:val="24"/>
          <w:lang w:val="en-US"/>
        </w:rPr>
        <w:t>:</w:t>
      </w:r>
      <w:r w:rsidRPr="00C10A48">
        <w:rPr>
          <w:rFonts w:ascii="Book Antiqua" w:hAnsi="Book Antiqua"/>
          <w:noProof/>
          <w:sz w:val="24"/>
          <w:szCs w:val="24"/>
          <w:lang w:val="en-US"/>
        </w:rPr>
        <w:t xml:space="preserve"> 0</w:t>
      </w:r>
      <w:r w:rsidR="006605FF" w:rsidRPr="00C10A48">
        <w:rPr>
          <w:rFonts w:ascii="Book Antiqua" w:hAnsi="Book Antiqua"/>
          <w:noProof/>
          <w:sz w:val="24"/>
          <w:szCs w:val="24"/>
          <w:lang w:val="en-US"/>
        </w:rPr>
        <w:t>-0.04</w:t>
      </w:r>
      <w:r w:rsidRPr="00C10A48">
        <w:rPr>
          <w:rFonts w:ascii="Book Antiqua" w:hAnsi="Book Antiqua"/>
          <w:noProof/>
          <w:sz w:val="24"/>
          <w:szCs w:val="24"/>
          <w:lang w:val="en-US"/>
        </w:rPr>
        <w:t xml:space="preserve">, </w:t>
      </w:r>
      <w:r w:rsidR="006605FF" w:rsidRPr="00C10A48">
        <w:rPr>
          <w:rFonts w:ascii="Book Antiqua" w:hAnsi="Book Antiqua"/>
          <w:i/>
          <w:caps/>
          <w:noProof/>
          <w:sz w:val="24"/>
          <w:szCs w:val="24"/>
          <w:lang w:val="en-US"/>
        </w:rPr>
        <w:t>p</w:t>
      </w:r>
      <w:r w:rsidR="006605FF" w:rsidRPr="00C10A48">
        <w:rPr>
          <w:rFonts w:ascii="Book Antiqua" w:hAnsi="Book Antiqua"/>
          <w:noProof/>
          <w:sz w:val="24"/>
          <w:szCs w:val="24"/>
          <w:lang w:val="en-US"/>
        </w:rPr>
        <w:t xml:space="preserve"> </w:t>
      </w:r>
      <w:r w:rsidR="00863A69" w:rsidRPr="00C10A48">
        <w:rPr>
          <w:rFonts w:ascii="Book Antiqua" w:hAnsi="Book Antiqua"/>
          <w:noProof/>
          <w:sz w:val="24"/>
          <w:szCs w:val="24"/>
          <w:lang w:val="en-US"/>
        </w:rPr>
        <w:t>=</w:t>
      </w:r>
      <w:r w:rsidR="006605FF" w:rsidRPr="00C10A48">
        <w:rPr>
          <w:rFonts w:ascii="Book Antiqua" w:hAnsi="Book Antiqua"/>
          <w:noProof/>
          <w:sz w:val="24"/>
          <w:szCs w:val="24"/>
          <w:lang w:val="en-US"/>
        </w:rPr>
        <w:t xml:space="preserve"> </w:t>
      </w:r>
      <w:r w:rsidRPr="00C10A48">
        <w:rPr>
          <w:rFonts w:ascii="Book Antiqua" w:hAnsi="Book Antiqua"/>
          <w:noProof/>
          <w:sz w:val="24"/>
          <w:szCs w:val="24"/>
          <w:lang w:val="en-US"/>
        </w:rPr>
        <w:t>0.58). Moreover, no significant difference was found for bradycardia (RD: 0.03</w:t>
      </w:r>
      <w:r w:rsidR="007576C9" w:rsidRPr="00C10A48">
        <w:rPr>
          <w:rFonts w:ascii="Book Antiqua" w:hAnsi="Book Antiqua"/>
          <w:noProof/>
          <w:sz w:val="24"/>
          <w:szCs w:val="24"/>
          <w:lang w:val="en-US"/>
        </w:rPr>
        <w:t>, 95%</w:t>
      </w:r>
      <w:r w:rsidRPr="00C10A48">
        <w:rPr>
          <w:rFonts w:ascii="Book Antiqua" w:hAnsi="Book Antiqua"/>
          <w:noProof/>
          <w:sz w:val="24"/>
          <w:szCs w:val="24"/>
          <w:lang w:val="en-US"/>
        </w:rPr>
        <w:t>CI</w:t>
      </w:r>
      <w:r w:rsidR="00863A69" w:rsidRPr="00C10A48">
        <w:rPr>
          <w:rFonts w:ascii="Book Antiqua" w:hAnsi="Book Antiqua"/>
          <w:noProof/>
          <w:sz w:val="24"/>
          <w:szCs w:val="24"/>
          <w:lang w:val="en-US"/>
        </w:rPr>
        <w:t>:</w:t>
      </w:r>
      <w:r w:rsidRPr="00C10A48">
        <w:rPr>
          <w:rFonts w:ascii="Book Antiqua" w:hAnsi="Book Antiqua"/>
          <w:noProof/>
          <w:sz w:val="24"/>
          <w:szCs w:val="24"/>
          <w:lang w:val="en-US"/>
        </w:rPr>
        <w:t xml:space="preserve"> -0.01 </w:t>
      </w:r>
      <w:r w:rsidR="007576C9" w:rsidRPr="00C10A48">
        <w:rPr>
          <w:rFonts w:ascii="Book Antiqua" w:hAnsi="Book Antiqua"/>
          <w:noProof/>
          <w:sz w:val="24"/>
          <w:szCs w:val="24"/>
          <w:lang w:val="en-US"/>
        </w:rPr>
        <w:t>to 0.07</w:t>
      </w:r>
      <w:r w:rsidRPr="00C10A48">
        <w:rPr>
          <w:rFonts w:ascii="Book Antiqua" w:hAnsi="Book Antiqua"/>
          <w:noProof/>
          <w:sz w:val="24"/>
          <w:szCs w:val="24"/>
          <w:lang w:val="en-US"/>
        </w:rPr>
        <w:t xml:space="preserve">, </w:t>
      </w:r>
      <w:r w:rsidR="007576C9" w:rsidRPr="00C10A48">
        <w:rPr>
          <w:rFonts w:ascii="Book Antiqua" w:hAnsi="Book Antiqua"/>
          <w:i/>
          <w:caps/>
          <w:noProof/>
          <w:sz w:val="24"/>
          <w:szCs w:val="24"/>
          <w:lang w:val="en-US"/>
        </w:rPr>
        <w:t>p</w:t>
      </w:r>
      <w:r w:rsidR="007576C9" w:rsidRPr="00C10A48">
        <w:rPr>
          <w:rFonts w:ascii="Book Antiqua" w:hAnsi="Book Antiqua"/>
          <w:noProof/>
          <w:sz w:val="24"/>
          <w:szCs w:val="24"/>
          <w:lang w:val="en-US"/>
        </w:rPr>
        <w:t xml:space="preserve"> </w:t>
      </w:r>
      <w:r w:rsidR="00863A69" w:rsidRPr="00C10A48">
        <w:rPr>
          <w:rFonts w:ascii="Book Antiqua" w:hAnsi="Book Antiqua"/>
          <w:noProof/>
          <w:sz w:val="24"/>
          <w:szCs w:val="24"/>
          <w:lang w:val="en-US"/>
        </w:rPr>
        <w:t>=</w:t>
      </w:r>
      <w:r w:rsidR="007576C9" w:rsidRPr="00C10A48">
        <w:rPr>
          <w:rFonts w:ascii="Book Antiqua" w:hAnsi="Book Antiqua"/>
          <w:noProof/>
          <w:sz w:val="24"/>
          <w:szCs w:val="24"/>
          <w:lang w:val="en-US"/>
        </w:rPr>
        <w:t xml:space="preserve"> </w:t>
      </w:r>
      <w:r w:rsidR="00964AB1" w:rsidRPr="00C10A48">
        <w:rPr>
          <w:rFonts w:ascii="Book Antiqua" w:hAnsi="Book Antiqua"/>
          <w:noProof/>
          <w:sz w:val="24"/>
          <w:szCs w:val="24"/>
          <w:lang w:val="en-US"/>
        </w:rPr>
        <w:t>0.16), hypotension (RD: 0.03, 95%</w:t>
      </w:r>
      <w:r w:rsidRPr="00C10A48">
        <w:rPr>
          <w:rFonts w:ascii="Book Antiqua" w:hAnsi="Book Antiqua"/>
          <w:noProof/>
          <w:sz w:val="24"/>
          <w:szCs w:val="24"/>
          <w:lang w:val="en-US"/>
        </w:rPr>
        <w:t>CI</w:t>
      </w:r>
      <w:r w:rsidR="00863A69" w:rsidRPr="00C10A48">
        <w:rPr>
          <w:rFonts w:ascii="Book Antiqua" w:hAnsi="Book Antiqua"/>
          <w:noProof/>
          <w:sz w:val="24"/>
          <w:szCs w:val="24"/>
          <w:lang w:val="en-US"/>
        </w:rPr>
        <w:t>:</w:t>
      </w:r>
      <w:r w:rsidRPr="00C10A48">
        <w:rPr>
          <w:rFonts w:ascii="Book Antiqua" w:hAnsi="Book Antiqua"/>
          <w:noProof/>
          <w:sz w:val="24"/>
          <w:szCs w:val="24"/>
          <w:lang w:val="en-US"/>
        </w:rPr>
        <w:t xml:space="preserve"> -0.01 </w:t>
      </w:r>
      <w:r w:rsidR="00964AB1" w:rsidRPr="00C10A48">
        <w:rPr>
          <w:rFonts w:ascii="Book Antiqua" w:hAnsi="Book Antiqua"/>
          <w:noProof/>
          <w:sz w:val="24"/>
          <w:szCs w:val="24"/>
          <w:lang w:val="en-US"/>
        </w:rPr>
        <w:t xml:space="preserve">to </w:t>
      </w:r>
      <w:r w:rsidR="008956A9" w:rsidRPr="00C10A48">
        <w:rPr>
          <w:rFonts w:ascii="Book Antiqua" w:hAnsi="Book Antiqua"/>
          <w:noProof/>
          <w:sz w:val="24"/>
          <w:szCs w:val="24"/>
          <w:lang w:val="en-US"/>
        </w:rPr>
        <w:t>0.07</w:t>
      </w:r>
      <w:r w:rsidRPr="00C10A48">
        <w:rPr>
          <w:rFonts w:ascii="Book Antiqua" w:hAnsi="Book Antiqua"/>
          <w:noProof/>
          <w:sz w:val="24"/>
          <w:szCs w:val="24"/>
          <w:lang w:val="en-US"/>
        </w:rPr>
        <w:t>,</w:t>
      </w:r>
      <w:r w:rsidR="008956A9" w:rsidRPr="00C10A48">
        <w:rPr>
          <w:rFonts w:ascii="Book Antiqua" w:hAnsi="Book Antiqua"/>
          <w:noProof/>
          <w:sz w:val="24"/>
          <w:szCs w:val="24"/>
          <w:lang w:val="en-US"/>
        </w:rPr>
        <w:t xml:space="preserve"> </w:t>
      </w:r>
      <w:r w:rsidR="00964AB1" w:rsidRPr="00C10A48">
        <w:rPr>
          <w:rFonts w:ascii="Book Antiqua" w:hAnsi="Book Antiqua"/>
          <w:i/>
          <w:caps/>
          <w:noProof/>
          <w:sz w:val="24"/>
          <w:szCs w:val="24"/>
          <w:lang w:val="en-US"/>
        </w:rPr>
        <w:lastRenderedPageBreak/>
        <w:t>p</w:t>
      </w:r>
      <w:r w:rsidR="00964AB1" w:rsidRPr="00C10A48">
        <w:rPr>
          <w:rFonts w:ascii="Book Antiqua" w:hAnsi="Book Antiqua"/>
          <w:noProof/>
          <w:sz w:val="24"/>
          <w:szCs w:val="24"/>
          <w:lang w:val="en-US"/>
        </w:rPr>
        <w:t xml:space="preserve"> </w:t>
      </w:r>
      <w:r w:rsidR="00863A69" w:rsidRPr="00C10A48">
        <w:rPr>
          <w:rFonts w:ascii="Book Antiqua" w:hAnsi="Book Antiqua"/>
          <w:noProof/>
          <w:sz w:val="24"/>
          <w:szCs w:val="24"/>
          <w:lang w:val="en-US"/>
        </w:rPr>
        <w:t>=</w:t>
      </w:r>
      <w:r w:rsidR="00964AB1" w:rsidRPr="00C10A48">
        <w:rPr>
          <w:rFonts w:ascii="Book Antiqua" w:hAnsi="Book Antiqua"/>
          <w:noProof/>
          <w:sz w:val="24"/>
          <w:szCs w:val="24"/>
          <w:lang w:val="en-US"/>
        </w:rPr>
        <w:t xml:space="preserve"> </w:t>
      </w:r>
      <w:r w:rsidRPr="00C10A48">
        <w:rPr>
          <w:rFonts w:ascii="Book Antiqua" w:hAnsi="Book Antiqua"/>
          <w:noProof/>
          <w:sz w:val="24"/>
          <w:szCs w:val="24"/>
          <w:lang w:val="en-US"/>
        </w:rPr>
        <w:t>0.17), and hypoxemia (RD: 0.00</w:t>
      </w:r>
      <w:r w:rsidR="002977AD" w:rsidRPr="00C10A48">
        <w:rPr>
          <w:rFonts w:ascii="Book Antiqua" w:hAnsi="Book Antiqua"/>
          <w:noProof/>
          <w:sz w:val="24"/>
          <w:szCs w:val="24"/>
          <w:lang w:val="en-US"/>
        </w:rPr>
        <w:t>, 95%</w:t>
      </w:r>
      <w:r w:rsidRPr="00C10A48">
        <w:rPr>
          <w:rFonts w:ascii="Book Antiqua" w:hAnsi="Book Antiqua"/>
          <w:noProof/>
          <w:sz w:val="24"/>
          <w:szCs w:val="24"/>
          <w:lang w:val="en-US"/>
        </w:rPr>
        <w:t>CI</w:t>
      </w:r>
      <w:r w:rsidR="00863A69" w:rsidRPr="00C10A48">
        <w:rPr>
          <w:rFonts w:ascii="Book Antiqua" w:hAnsi="Book Antiqua"/>
          <w:noProof/>
          <w:sz w:val="24"/>
          <w:szCs w:val="24"/>
          <w:lang w:val="en-US"/>
        </w:rPr>
        <w:t>:</w:t>
      </w:r>
      <w:r w:rsidRPr="00C10A48">
        <w:rPr>
          <w:rFonts w:ascii="Book Antiqua" w:hAnsi="Book Antiqua"/>
          <w:noProof/>
          <w:sz w:val="24"/>
          <w:szCs w:val="24"/>
          <w:lang w:val="en-US"/>
        </w:rPr>
        <w:t xml:space="preserve"> -0.04 </w:t>
      </w:r>
      <w:r w:rsidR="002977AD" w:rsidRPr="00C10A48">
        <w:rPr>
          <w:rFonts w:ascii="Book Antiqua" w:hAnsi="Book Antiqua"/>
          <w:noProof/>
          <w:sz w:val="24"/>
          <w:szCs w:val="24"/>
          <w:lang w:val="en-US"/>
        </w:rPr>
        <w:t>to 0.04</w:t>
      </w:r>
      <w:r w:rsidRPr="00C10A48">
        <w:rPr>
          <w:rFonts w:ascii="Book Antiqua" w:hAnsi="Book Antiqua"/>
          <w:noProof/>
          <w:sz w:val="24"/>
          <w:szCs w:val="24"/>
          <w:lang w:val="en-US"/>
        </w:rPr>
        <w:t xml:space="preserve">, </w:t>
      </w:r>
      <w:r w:rsidR="002977AD" w:rsidRPr="00C10A48">
        <w:rPr>
          <w:rFonts w:ascii="Book Antiqua" w:hAnsi="Book Antiqua"/>
          <w:i/>
          <w:caps/>
          <w:noProof/>
          <w:sz w:val="24"/>
          <w:szCs w:val="24"/>
          <w:lang w:val="en-US"/>
        </w:rPr>
        <w:t>p</w:t>
      </w:r>
      <w:r w:rsidR="002977AD" w:rsidRPr="00C10A48">
        <w:rPr>
          <w:rFonts w:ascii="Book Antiqua" w:hAnsi="Book Antiqua"/>
          <w:noProof/>
          <w:sz w:val="24"/>
          <w:szCs w:val="24"/>
          <w:lang w:val="en-US"/>
        </w:rPr>
        <w:t xml:space="preserve"> </w:t>
      </w:r>
      <w:r w:rsidR="00863A69" w:rsidRPr="00C10A48">
        <w:rPr>
          <w:rFonts w:ascii="Book Antiqua" w:hAnsi="Book Antiqua"/>
          <w:noProof/>
          <w:sz w:val="24"/>
          <w:szCs w:val="24"/>
          <w:lang w:val="en-US"/>
        </w:rPr>
        <w:t>=</w:t>
      </w:r>
      <w:r w:rsidR="002977AD" w:rsidRPr="00C10A48">
        <w:rPr>
          <w:rFonts w:ascii="Book Antiqua" w:hAnsi="Book Antiqua"/>
          <w:noProof/>
          <w:sz w:val="24"/>
          <w:szCs w:val="24"/>
          <w:lang w:val="en-US"/>
        </w:rPr>
        <w:t xml:space="preserve"> </w:t>
      </w:r>
      <w:r w:rsidRPr="00C10A48">
        <w:rPr>
          <w:rFonts w:ascii="Book Antiqua" w:hAnsi="Book Antiqua"/>
          <w:noProof/>
          <w:sz w:val="24"/>
          <w:szCs w:val="24"/>
          <w:lang w:val="en-US"/>
        </w:rPr>
        <w:t xml:space="preserve">0.93). </w:t>
      </w:r>
      <w:bookmarkEnd w:id="6"/>
      <w:r w:rsidRPr="00C10A48">
        <w:rPr>
          <w:rFonts w:ascii="Book Antiqua" w:hAnsi="Book Antiqua"/>
          <w:noProof/>
          <w:sz w:val="24"/>
          <w:szCs w:val="24"/>
          <w:lang w:val="en-US"/>
        </w:rPr>
        <w:t>Five studies had low risk of bias, two demonstrated some concerns, and one presented high risk. The quality of the evidence was very low for procedure time, recovery time, and adverse events; while low for discharge time.</w:t>
      </w:r>
    </w:p>
    <w:p w14:paraId="2170FA30" w14:textId="77777777" w:rsidR="000A0724" w:rsidRPr="00C10A48" w:rsidRDefault="000A0724" w:rsidP="00F227A9">
      <w:pPr>
        <w:snapToGrid w:val="0"/>
        <w:spacing w:after="0" w:line="360" w:lineRule="auto"/>
        <w:ind w:right="97"/>
        <w:jc w:val="both"/>
        <w:rPr>
          <w:rFonts w:ascii="Book Antiqua" w:hAnsi="Book Antiqua"/>
          <w:noProof/>
          <w:sz w:val="24"/>
          <w:szCs w:val="24"/>
          <w:lang w:val="en-US"/>
        </w:rPr>
      </w:pPr>
    </w:p>
    <w:p w14:paraId="73C3F43D" w14:textId="0BC50E26" w:rsidR="00F85F24" w:rsidRPr="00F227A9" w:rsidRDefault="00823782" w:rsidP="00F227A9">
      <w:pPr>
        <w:snapToGrid w:val="0"/>
        <w:spacing w:after="0" w:line="360" w:lineRule="auto"/>
        <w:ind w:right="97"/>
        <w:jc w:val="both"/>
        <w:rPr>
          <w:rFonts w:ascii="Book Antiqua" w:hAnsi="Book Antiqua"/>
          <w:noProof/>
          <w:sz w:val="24"/>
          <w:szCs w:val="24"/>
          <w:lang w:val="en-US"/>
        </w:rPr>
      </w:pPr>
      <w:r w:rsidRPr="00F227A9">
        <w:rPr>
          <w:rFonts w:ascii="Book Antiqua" w:hAnsi="Book Antiqua"/>
          <w:noProof/>
          <w:sz w:val="24"/>
          <w:szCs w:val="24"/>
          <w:lang w:val="en-US"/>
        </w:rPr>
        <w:t>CONCLUSION</w:t>
      </w:r>
    </w:p>
    <w:p w14:paraId="73C2F189" w14:textId="335F8D7E" w:rsidR="006E3234" w:rsidRPr="00C10A48" w:rsidRDefault="000A0724" w:rsidP="00F227A9">
      <w:pPr>
        <w:snapToGrid w:val="0"/>
        <w:spacing w:after="0" w:line="360" w:lineRule="auto"/>
        <w:ind w:right="97"/>
        <w:jc w:val="both"/>
        <w:rPr>
          <w:rFonts w:ascii="Book Antiqua" w:hAnsi="Book Antiqua"/>
          <w:b/>
          <w:noProof/>
          <w:sz w:val="24"/>
          <w:szCs w:val="24"/>
          <w:lang w:val="en-US"/>
        </w:rPr>
      </w:pPr>
      <w:bookmarkStart w:id="7" w:name="_Hlk42798004"/>
      <w:r w:rsidRPr="00C10A48">
        <w:rPr>
          <w:rFonts w:ascii="Book Antiqua" w:hAnsi="Book Antiqua"/>
          <w:noProof/>
          <w:sz w:val="24"/>
          <w:szCs w:val="24"/>
          <w:lang w:val="en-US"/>
        </w:rPr>
        <w:t xml:space="preserve">This systematic review and meta-analysis based on RCTs show </w:t>
      </w:r>
      <w:bookmarkStart w:id="8" w:name="_Hlk32333770"/>
      <w:r w:rsidRPr="00C10A48">
        <w:rPr>
          <w:rFonts w:ascii="Book Antiqua" w:hAnsi="Book Antiqua"/>
          <w:noProof/>
          <w:sz w:val="24"/>
          <w:szCs w:val="24"/>
          <w:lang w:val="en-US"/>
        </w:rPr>
        <w:t>that propofol has shorter recovery and patient discharge time as compared to midazolam</w:t>
      </w:r>
      <w:r w:rsidR="00721E44" w:rsidRPr="00C10A48">
        <w:rPr>
          <w:rFonts w:ascii="Book Antiqua" w:hAnsi="Book Antiqua"/>
          <w:noProof/>
          <w:sz w:val="24"/>
          <w:szCs w:val="24"/>
          <w:lang w:val="en-US"/>
        </w:rPr>
        <w:t xml:space="preserve"> with </w:t>
      </w:r>
      <w:r w:rsidR="001961B6" w:rsidRPr="00C10A48">
        <w:rPr>
          <w:rFonts w:ascii="Book Antiqua" w:hAnsi="Book Antiqua"/>
          <w:noProof/>
          <w:sz w:val="24"/>
          <w:szCs w:val="24"/>
          <w:lang w:val="en-US"/>
        </w:rPr>
        <w:t xml:space="preserve">a </w:t>
      </w:r>
      <w:r w:rsidR="00721E44" w:rsidRPr="00C10A48">
        <w:rPr>
          <w:rFonts w:ascii="Book Antiqua" w:hAnsi="Book Antiqua"/>
          <w:noProof/>
          <w:sz w:val="24"/>
          <w:szCs w:val="24"/>
          <w:lang w:val="en-US"/>
        </w:rPr>
        <w:t xml:space="preserve">similar rate of </w:t>
      </w:r>
      <w:r w:rsidRPr="00C10A48">
        <w:rPr>
          <w:rFonts w:ascii="Book Antiqua" w:hAnsi="Book Antiqua"/>
          <w:noProof/>
          <w:sz w:val="24"/>
          <w:szCs w:val="24"/>
          <w:lang w:val="en-US"/>
        </w:rPr>
        <w:t>adverse events.</w:t>
      </w:r>
      <w:r w:rsidR="00721E44" w:rsidRPr="00C10A48">
        <w:rPr>
          <w:rFonts w:ascii="Book Antiqua" w:hAnsi="Book Antiqua"/>
          <w:noProof/>
          <w:sz w:val="24"/>
          <w:szCs w:val="24"/>
          <w:lang w:val="en-US"/>
        </w:rPr>
        <w:t xml:space="preserve"> These results suggest that propofol should be the preferred </w:t>
      </w:r>
      <w:r w:rsidR="00611A3D" w:rsidRPr="00C10A48">
        <w:rPr>
          <w:rFonts w:ascii="Book Antiqua" w:hAnsi="Book Antiqua"/>
          <w:noProof/>
          <w:sz w:val="24"/>
          <w:szCs w:val="24"/>
          <w:lang w:val="en-US"/>
        </w:rPr>
        <w:t>agent</w:t>
      </w:r>
      <w:r w:rsidR="00721E44" w:rsidRPr="00C10A48">
        <w:rPr>
          <w:rFonts w:ascii="Book Antiqua" w:hAnsi="Book Antiqua"/>
          <w:noProof/>
          <w:sz w:val="24"/>
          <w:szCs w:val="24"/>
          <w:lang w:val="en-US"/>
        </w:rPr>
        <w:t xml:space="preserve"> for sedation in patients</w:t>
      </w:r>
      <w:r w:rsidR="001961B6" w:rsidRPr="00C10A48">
        <w:rPr>
          <w:rFonts w:ascii="Book Antiqua" w:hAnsi="Book Antiqua"/>
          <w:noProof/>
          <w:sz w:val="24"/>
          <w:szCs w:val="24"/>
          <w:lang w:val="en-US"/>
        </w:rPr>
        <w:t xml:space="preserve"> with cirrhosis</w:t>
      </w:r>
      <w:r w:rsidR="00721E44" w:rsidRPr="00C10A48">
        <w:rPr>
          <w:rFonts w:ascii="Book Antiqua" w:hAnsi="Book Antiqua"/>
          <w:noProof/>
          <w:sz w:val="24"/>
          <w:szCs w:val="24"/>
          <w:lang w:val="en-US"/>
        </w:rPr>
        <w:t>.</w:t>
      </w:r>
    </w:p>
    <w:bookmarkEnd w:id="7"/>
    <w:bookmarkEnd w:id="8"/>
    <w:p w14:paraId="18B90A8F" w14:textId="77777777" w:rsidR="006E3234" w:rsidRPr="00C10A48" w:rsidRDefault="006E3234" w:rsidP="00F227A9">
      <w:pPr>
        <w:snapToGrid w:val="0"/>
        <w:spacing w:after="0" w:line="360" w:lineRule="auto"/>
        <w:ind w:right="97"/>
        <w:jc w:val="both"/>
        <w:rPr>
          <w:rFonts w:ascii="Book Antiqua" w:hAnsi="Book Antiqua"/>
          <w:b/>
          <w:noProof/>
          <w:sz w:val="24"/>
          <w:szCs w:val="24"/>
          <w:lang w:val="en-US"/>
        </w:rPr>
      </w:pPr>
    </w:p>
    <w:p w14:paraId="0DD6D81C" w14:textId="23D1D908" w:rsidR="006E3234" w:rsidRPr="00C10A48" w:rsidRDefault="006E3234" w:rsidP="00F227A9">
      <w:pPr>
        <w:snapToGrid w:val="0"/>
        <w:spacing w:after="0" w:line="360" w:lineRule="auto"/>
        <w:ind w:right="97"/>
        <w:jc w:val="both"/>
        <w:rPr>
          <w:rFonts w:ascii="Book Antiqua" w:hAnsi="Book Antiqua"/>
          <w:noProof/>
          <w:sz w:val="24"/>
          <w:szCs w:val="24"/>
          <w:lang w:val="en-US"/>
        </w:rPr>
      </w:pPr>
      <w:r w:rsidRPr="00C10A48">
        <w:rPr>
          <w:rFonts w:ascii="Book Antiqua" w:hAnsi="Book Antiqua"/>
          <w:b/>
          <w:noProof/>
          <w:sz w:val="24"/>
          <w:szCs w:val="24"/>
          <w:lang w:val="en-US"/>
        </w:rPr>
        <w:t>Key</w:t>
      </w:r>
      <w:r w:rsidR="00270262" w:rsidRPr="00C10A48">
        <w:rPr>
          <w:rFonts w:ascii="Book Antiqua" w:hAnsi="Book Antiqua"/>
          <w:b/>
          <w:noProof/>
          <w:sz w:val="24"/>
          <w:szCs w:val="24"/>
          <w:lang w:val="en-US"/>
        </w:rPr>
        <w:t xml:space="preserve"> </w:t>
      </w:r>
      <w:r w:rsidRPr="00C10A48">
        <w:rPr>
          <w:rFonts w:ascii="Book Antiqua" w:hAnsi="Book Antiqua"/>
          <w:b/>
          <w:noProof/>
          <w:sz w:val="24"/>
          <w:szCs w:val="24"/>
          <w:lang w:val="en-US"/>
        </w:rPr>
        <w:t>words:</w:t>
      </w:r>
      <w:r w:rsidRPr="00C10A48">
        <w:rPr>
          <w:rFonts w:ascii="Book Antiqua" w:hAnsi="Book Antiqua"/>
          <w:noProof/>
          <w:sz w:val="24"/>
          <w:szCs w:val="24"/>
          <w:lang w:val="en-US"/>
        </w:rPr>
        <w:t xml:space="preserve"> </w:t>
      </w:r>
      <w:r w:rsidR="00C17E11" w:rsidRPr="00C10A48">
        <w:rPr>
          <w:rFonts w:ascii="Book Antiqua" w:hAnsi="Book Antiqua"/>
          <w:noProof/>
          <w:sz w:val="24"/>
          <w:szCs w:val="24"/>
          <w:lang w:val="en-US"/>
        </w:rPr>
        <w:t>Sedation; Midazolam; Propofol; Cirrhosis; Endos</w:t>
      </w:r>
      <w:r w:rsidR="00270262" w:rsidRPr="00C10A48">
        <w:rPr>
          <w:rFonts w:ascii="Book Antiqua" w:hAnsi="Book Antiqua"/>
          <w:noProof/>
          <w:sz w:val="24"/>
          <w:szCs w:val="24"/>
          <w:lang w:val="en-US"/>
        </w:rPr>
        <w:t>copic; Endoscopy; Meta-analysis</w:t>
      </w:r>
    </w:p>
    <w:p w14:paraId="3768F9D7" w14:textId="77777777" w:rsidR="00F67FFB" w:rsidRPr="00C10A48" w:rsidRDefault="00F67FFB" w:rsidP="00F227A9">
      <w:pPr>
        <w:snapToGrid w:val="0"/>
        <w:spacing w:after="0" w:line="360" w:lineRule="auto"/>
        <w:jc w:val="both"/>
        <w:rPr>
          <w:rFonts w:ascii="Book Antiqua" w:hAnsi="Book Antiqua"/>
          <w:noProof/>
          <w:sz w:val="24"/>
          <w:szCs w:val="24"/>
          <w:lang w:val="en-US"/>
        </w:rPr>
      </w:pPr>
    </w:p>
    <w:p w14:paraId="2AF469EF" w14:textId="51B7EBBF" w:rsidR="00993B79" w:rsidRDefault="00993B79" w:rsidP="00F227A9">
      <w:pPr>
        <w:snapToGrid w:val="0"/>
        <w:spacing w:after="0" w:line="360" w:lineRule="auto"/>
        <w:jc w:val="both"/>
        <w:rPr>
          <w:rFonts w:ascii="Book Antiqua" w:hAnsi="Book Antiqua" w:cs="Times New Roman" w:hint="eastAsia"/>
          <w:sz w:val="24"/>
          <w:szCs w:val="24"/>
          <w:lang w:eastAsia="zh-CN"/>
        </w:rPr>
      </w:pPr>
      <w:r w:rsidRPr="00993B79">
        <w:rPr>
          <w:rFonts w:ascii="Book Antiqua" w:hAnsi="Book Antiqua"/>
          <w:b/>
          <w:noProof/>
          <w:sz w:val="24"/>
          <w:szCs w:val="24"/>
        </w:rPr>
        <w:t>Citation</w:t>
      </w:r>
      <w:r w:rsidRPr="00993B79">
        <w:rPr>
          <w:rFonts w:ascii="Book Antiqua" w:hAnsi="Book Antiqua" w:hint="eastAsia"/>
          <w:b/>
          <w:noProof/>
          <w:sz w:val="24"/>
          <w:szCs w:val="24"/>
          <w:lang w:eastAsia="zh-CN"/>
        </w:rPr>
        <w:t>:</w:t>
      </w:r>
      <w:r>
        <w:rPr>
          <w:rFonts w:ascii="Book Antiqua" w:hAnsi="Book Antiqua" w:hint="eastAsia"/>
          <w:noProof/>
          <w:sz w:val="24"/>
          <w:szCs w:val="24"/>
          <w:lang w:eastAsia="zh-CN"/>
        </w:rPr>
        <w:t xml:space="preserve"> </w:t>
      </w:r>
      <w:r w:rsidR="00F67FFB" w:rsidRPr="00C10A48">
        <w:rPr>
          <w:rFonts w:ascii="Book Antiqua" w:hAnsi="Book Antiqua"/>
          <w:noProof/>
          <w:sz w:val="24"/>
          <w:szCs w:val="24"/>
        </w:rPr>
        <w:t>Guacho JAL, de Moura DTH, Ribeiro IB, da Ponte Neto AM, Singh S, Tucci MGB, Bernardo WM, de Moura EGH</w:t>
      </w:r>
      <w:r w:rsidR="00F67FFB">
        <w:rPr>
          <w:rFonts w:ascii="Book Antiqua" w:hAnsi="Book Antiqua"/>
          <w:noProof/>
          <w:sz w:val="24"/>
          <w:szCs w:val="24"/>
        </w:rPr>
        <w:t xml:space="preserve">. </w:t>
      </w:r>
      <w:r w:rsidR="00F67FFB" w:rsidRPr="00F67FFB">
        <w:rPr>
          <w:rFonts w:ascii="Book Antiqua" w:hAnsi="Book Antiqua"/>
          <w:noProof/>
          <w:sz w:val="24"/>
          <w:szCs w:val="24"/>
          <w:lang w:val="en-US"/>
        </w:rPr>
        <w:t xml:space="preserve">Propofol </w:t>
      </w:r>
      <w:r w:rsidR="00F67FFB" w:rsidRPr="00F67FFB">
        <w:rPr>
          <w:rFonts w:ascii="Book Antiqua" w:hAnsi="Book Antiqua"/>
          <w:i/>
          <w:noProof/>
          <w:sz w:val="24"/>
          <w:szCs w:val="24"/>
          <w:lang w:val="en-US"/>
        </w:rPr>
        <w:t>vs</w:t>
      </w:r>
      <w:r w:rsidR="00F67FFB" w:rsidRPr="00F67FFB">
        <w:rPr>
          <w:rFonts w:ascii="Book Antiqua" w:hAnsi="Book Antiqua"/>
          <w:noProof/>
          <w:sz w:val="24"/>
          <w:szCs w:val="24"/>
          <w:lang w:val="en-US"/>
        </w:rPr>
        <w:t xml:space="preserve"> midazolam sedation for elective endoscopy in patients with cirrhosis: A systematic review and meta-analysis of randomized controlled trials</w:t>
      </w:r>
      <w:r w:rsidR="00F67FFB">
        <w:rPr>
          <w:rFonts w:ascii="Book Antiqua" w:hAnsi="Book Antiqua"/>
          <w:noProof/>
          <w:sz w:val="24"/>
          <w:szCs w:val="24"/>
          <w:lang w:val="en-US"/>
        </w:rPr>
        <w:t xml:space="preserve">. </w:t>
      </w:r>
      <w:r w:rsidR="00F67FFB" w:rsidRPr="00F67FFB">
        <w:rPr>
          <w:rFonts w:ascii="Book Antiqua" w:hAnsi="Book Antiqua" w:cs="Times New Roman"/>
          <w:i/>
          <w:sz w:val="24"/>
          <w:szCs w:val="24"/>
        </w:rPr>
        <w:t xml:space="preserve">World J Gastrointest Endosc </w:t>
      </w:r>
      <w:r w:rsidR="00F67FFB">
        <w:rPr>
          <w:rFonts w:ascii="Book Antiqua" w:hAnsi="Book Antiqua" w:cs="Times New Roman"/>
          <w:sz w:val="24"/>
          <w:szCs w:val="24"/>
        </w:rPr>
        <w:t xml:space="preserve">2020; </w:t>
      </w:r>
      <w:r w:rsidR="007370CD" w:rsidRPr="007370CD">
        <w:rPr>
          <w:rFonts w:ascii="Book Antiqua" w:hAnsi="Book Antiqua" w:cs="Times New Roman"/>
          <w:sz w:val="24"/>
          <w:szCs w:val="24"/>
        </w:rPr>
        <w:t xml:space="preserve">12(8): </w:t>
      </w:r>
      <w:r>
        <w:rPr>
          <w:rFonts w:ascii="Book Antiqua" w:hAnsi="Book Antiqua" w:cs="Times New Roman" w:hint="eastAsia"/>
          <w:sz w:val="24"/>
          <w:szCs w:val="24"/>
          <w:lang w:eastAsia="zh-CN"/>
        </w:rPr>
        <w:t>241</w:t>
      </w:r>
      <w:r w:rsidR="007370CD" w:rsidRPr="007370CD">
        <w:rPr>
          <w:rFonts w:ascii="Book Antiqua" w:hAnsi="Book Antiqua" w:cs="Times New Roman"/>
          <w:sz w:val="24"/>
          <w:szCs w:val="24"/>
        </w:rPr>
        <w:t>-</w:t>
      </w:r>
      <w:r>
        <w:rPr>
          <w:rFonts w:ascii="Book Antiqua" w:hAnsi="Book Antiqua" w:cs="Times New Roman" w:hint="eastAsia"/>
          <w:sz w:val="24"/>
          <w:szCs w:val="24"/>
          <w:lang w:eastAsia="zh-CN"/>
        </w:rPr>
        <w:t>255</w:t>
      </w:r>
      <w:r w:rsidR="007370CD" w:rsidRPr="007370CD">
        <w:rPr>
          <w:rFonts w:ascii="Book Antiqua" w:hAnsi="Book Antiqua" w:cs="Times New Roman"/>
          <w:sz w:val="24"/>
          <w:szCs w:val="24"/>
        </w:rPr>
        <w:t xml:space="preserve">  </w:t>
      </w:r>
    </w:p>
    <w:p w14:paraId="3428A4B6" w14:textId="68893BCA" w:rsidR="00993B79" w:rsidRDefault="007370CD" w:rsidP="00F227A9">
      <w:pPr>
        <w:snapToGrid w:val="0"/>
        <w:spacing w:after="0" w:line="360" w:lineRule="auto"/>
        <w:jc w:val="both"/>
        <w:rPr>
          <w:rFonts w:ascii="Book Antiqua" w:hAnsi="Book Antiqua" w:cs="Times New Roman" w:hint="eastAsia"/>
          <w:sz w:val="24"/>
          <w:szCs w:val="24"/>
          <w:lang w:eastAsia="zh-CN"/>
        </w:rPr>
      </w:pPr>
      <w:r w:rsidRPr="00993B79">
        <w:rPr>
          <w:rFonts w:ascii="Book Antiqua" w:hAnsi="Book Antiqua" w:cs="Times New Roman"/>
          <w:b/>
          <w:sz w:val="24"/>
          <w:szCs w:val="24"/>
        </w:rPr>
        <w:t>URL:</w:t>
      </w:r>
      <w:r w:rsidRPr="007370CD">
        <w:rPr>
          <w:rFonts w:ascii="Book Antiqua" w:hAnsi="Book Antiqua" w:cs="Times New Roman"/>
          <w:sz w:val="24"/>
          <w:szCs w:val="24"/>
        </w:rPr>
        <w:t xml:space="preserve"> https://www.wjgnet.com/1948-5190/full/v12/i8/</w:t>
      </w:r>
      <w:r w:rsidR="00993B79">
        <w:rPr>
          <w:rFonts w:ascii="Book Antiqua" w:hAnsi="Book Antiqua" w:cs="Times New Roman" w:hint="eastAsia"/>
          <w:sz w:val="24"/>
          <w:szCs w:val="24"/>
          <w:lang w:eastAsia="zh-CN"/>
        </w:rPr>
        <w:t>241</w:t>
      </w:r>
      <w:r w:rsidRPr="007370CD">
        <w:rPr>
          <w:rFonts w:ascii="Book Antiqua" w:hAnsi="Book Antiqua" w:cs="Times New Roman"/>
          <w:sz w:val="24"/>
          <w:szCs w:val="24"/>
        </w:rPr>
        <w:t xml:space="preserve">.htm  </w:t>
      </w:r>
    </w:p>
    <w:p w14:paraId="194791AB" w14:textId="7D2D9A7D" w:rsidR="00F67FFB" w:rsidRPr="00C10A48" w:rsidRDefault="007370CD" w:rsidP="00F227A9">
      <w:pPr>
        <w:snapToGrid w:val="0"/>
        <w:spacing w:after="0" w:line="360" w:lineRule="auto"/>
        <w:jc w:val="both"/>
        <w:rPr>
          <w:rFonts w:ascii="Book Antiqua" w:hAnsi="Book Antiqua" w:hint="eastAsia"/>
          <w:b/>
          <w:noProof/>
          <w:sz w:val="24"/>
          <w:szCs w:val="24"/>
          <w:lang w:val="en-US" w:eastAsia="zh-CN"/>
        </w:rPr>
      </w:pPr>
      <w:r w:rsidRPr="00993B79">
        <w:rPr>
          <w:rFonts w:ascii="Book Antiqua" w:hAnsi="Book Antiqua" w:cs="Times New Roman"/>
          <w:b/>
          <w:sz w:val="24"/>
          <w:szCs w:val="24"/>
        </w:rPr>
        <w:t>DOI:</w:t>
      </w:r>
      <w:r w:rsidRPr="007370CD">
        <w:rPr>
          <w:rFonts w:ascii="Book Antiqua" w:hAnsi="Book Antiqua" w:cs="Times New Roman"/>
          <w:sz w:val="24"/>
          <w:szCs w:val="24"/>
        </w:rPr>
        <w:t xml:space="preserve"> https://dx.doi.org/10.4253/wjge.v12.i8.</w:t>
      </w:r>
      <w:r w:rsidR="00993B79">
        <w:rPr>
          <w:rFonts w:ascii="Book Antiqua" w:hAnsi="Book Antiqua" w:cs="Times New Roman" w:hint="eastAsia"/>
          <w:sz w:val="24"/>
          <w:szCs w:val="24"/>
          <w:lang w:eastAsia="zh-CN"/>
        </w:rPr>
        <w:t>241</w:t>
      </w:r>
      <w:bookmarkStart w:id="9" w:name="_GoBack"/>
      <w:bookmarkEnd w:id="9"/>
    </w:p>
    <w:p w14:paraId="2ACAE085" w14:textId="77777777" w:rsidR="00F67FFB" w:rsidRPr="00F67FFB" w:rsidRDefault="00F67FFB" w:rsidP="00F227A9">
      <w:pPr>
        <w:snapToGrid w:val="0"/>
        <w:spacing w:after="0" w:line="360" w:lineRule="auto"/>
        <w:ind w:right="97"/>
        <w:jc w:val="both"/>
        <w:rPr>
          <w:rFonts w:ascii="Book Antiqua" w:hAnsi="Book Antiqua"/>
          <w:noProof/>
          <w:sz w:val="24"/>
          <w:szCs w:val="24"/>
        </w:rPr>
      </w:pPr>
    </w:p>
    <w:p w14:paraId="401DA28C" w14:textId="447FD2FC" w:rsidR="00721E44" w:rsidRPr="00C10A48" w:rsidRDefault="006E3234" w:rsidP="00F227A9">
      <w:pPr>
        <w:snapToGrid w:val="0"/>
        <w:spacing w:after="0" w:line="360" w:lineRule="auto"/>
        <w:ind w:right="97"/>
        <w:jc w:val="both"/>
        <w:rPr>
          <w:rFonts w:ascii="Book Antiqua" w:hAnsi="Book Antiqua"/>
          <w:b/>
          <w:noProof/>
          <w:sz w:val="24"/>
          <w:szCs w:val="24"/>
          <w:lang w:val="en-US"/>
        </w:rPr>
      </w:pPr>
      <w:r w:rsidRPr="00C10A48">
        <w:rPr>
          <w:rFonts w:ascii="Book Antiqua" w:hAnsi="Book Antiqua"/>
          <w:b/>
          <w:noProof/>
          <w:sz w:val="24"/>
          <w:szCs w:val="24"/>
          <w:lang w:val="en-US"/>
        </w:rPr>
        <w:t xml:space="preserve">Core tip: </w:t>
      </w:r>
      <w:r w:rsidR="00AE089F" w:rsidRPr="00C10A48">
        <w:rPr>
          <w:rFonts w:ascii="Book Antiqua" w:hAnsi="Book Antiqua"/>
          <w:noProof/>
          <w:sz w:val="24"/>
          <w:szCs w:val="24"/>
          <w:lang w:val="en-US"/>
        </w:rPr>
        <w:t>Patients with cirrhosis often require elective endoscopic procedures</w:t>
      </w:r>
      <w:r w:rsidR="000A0724" w:rsidRPr="00C10A48">
        <w:rPr>
          <w:rFonts w:ascii="Book Antiqua" w:hAnsi="Book Antiqua"/>
          <w:noProof/>
          <w:sz w:val="24"/>
          <w:szCs w:val="24"/>
          <w:lang w:val="en-US"/>
        </w:rPr>
        <w:t>,</w:t>
      </w:r>
      <w:r w:rsidR="00AE089F" w:rsidRPr="00C10A48">
        <w:rPr>
          <w:rFonts w:ascii="Book Antiqua" w:hAnsi="Book Antiqua"/>
          <w:noProof/>
          <w:sz w:val="24"/>
          <w:szCs w:val="24"/>
          <w:lang w:val="en-US"/>
        </w:rPr>
        <w:t xml:space="preserve"> </w:t>
      </w:r>
      <w:r w:rsidR="000A0724" w:rsidRPr="00C10A48">
        <w:rPr>
          <w:rFonts w:ascii="Book Antiqua" w:hAnsi="Book Antiqua"/>
          <w:noProof/>
          <w:sz w:val="24"/>
          <w:szCs w:val="24"/>
          <w:lang w:val="en-US"/>
        </w:rPr>
        <w:t xml:space="preserve">but choosing an appropriate sedative is challenging. </w:t>
      </w:r>
      <w:r w:rsidR="00AE089F" w:rsidRPr="00C10A48">
        <w:rPr>
          <w:rFonts w:ascii="Book Antiqua" w:hAnsi="Book Antiqua"/>
          <w:noProof/>
          <w:sz w:val="24"/>
          <w:szCs w:val="24"/>
          <w:lang w:val="en-US"/>
        </w:rPr>
        <w:t xml:space="preserve">We </w:t>
      </w:r>
      <w:r w:rsidR="000A0724" w:rsidRPr="00C10A48">
        <w:rPr>
          <w:rFonts w:ascii="Book Antiqua" w:hAnsi="Book Antiqua"/>
          <w:noProof/>
          <w:sz w:val="24"/>
          <w:szCs w:val="24"/>
          <w:lang w:val="en-US"/>
        </w:rPr>
        <w:t xml:space="preserve">performed </w:t>
      </w:r>
      <w:r w:rsidR="00AE089F" w:rsidRPr="00C10A48">
        <w:rPr>
          <w:rFonts w:ascii="Book Antiqua" w:hAnsi="Book Antiqua"/>
          <w:noProof/>
          <w:sz w:val="24"/>
          <w:szCs w:val="24"/>
          <w:lang w:val="en-US"/>
        </w:rPr>
        <w:t xml:space="preserve">a systematic review </w:t>
      </w:r>
      <w:r w:rsidR="000A0724" w:rsidRPr="00C10A48">
        <w:rPr>
          <w:rFonts w:ascii="Book Antiqua" w:hAnsi="Book Antiqua"/>
          <w:noProof/>
          <w:sz w:val="24"/>
          <w:szCs w:val="24"/>
          <w:lang w:val="en-US"/>
        </w:rPr>
        <w:t xml:space="preserve">and </w:t>
      </w:r>
      <w:r w:rsidR="00AE089F" w:rsidRPr="00C10A48">
        <w:rPr>
          <w:rFonts w:ascii="Book Antiqua" w:hAnsi="Book Antiqua"/>
          <w:noProof/>
          <w:sz w:val="24"/>
          <w:szCs w:val="24"/>
          <w:lang w:val="en-US"/>
        </w:rPr>
        <w:t>meta-analysis</w:t>
      </w:r>
      <w:r w:rsidR="000A0724" w:rsidRPr="00C10A48">
        <w:rPr>
          <w:rFonts w:ascii="Book Antiqua" w:hAnsi="Book Antiqua"/>
          <w:noProof/>
          <w:sz w:val="24"/>
          <w:szCs w:val="24"/>
          <w:lang w:val="en-US"/>
        </w:rPr>
        <w:t xml:space="preserve"> of</w:t>
      </w:r>
      <w:r w:rsidR="00AE089F" w:rsidRPr="00C10A48">
        <w:rPr>
          <w:rFonts w:ascii="Book Antiqua" w:hAnsi="Book Antiqua"/>
          <w:noProof/>
          <w:sz w:val="24"/>
          <w:szCs w:val="24"/>
          <w:lang w:val="en-US"/>
        </w:rPr>
        <w:t xml:space="preserve"> </w:t>
      </w:r>
      <w:r w:rsidR="000A0724" w:rsidRPr="00C10A48">
        <w:rPr>
          <w:rFonts w:ascii="Book Antiqua" w:hAnsi="Book Antiqua"/>
          <w:noProof/>
          <w:sz w:val="24"/>
          <w:szCs w:val="24"/>
          <w:lang w:val="en-US"/>
        </w:rPr>
        <w:t xml:space="preserve">randomized controlled trials to </w:t>
      </w:r>
      <w:r w:rsidR="00AE089F" w:rsidRPr="00C10A48">
        <w:rPr>
          <w:rFonts w:ascii="Book Antiqua" w:hAnsi="Book Antiqua"/>
          <w:noProof/>
          <w:sz w:val="24"/>
          <w:szCs w:val="24"/>
          <w:lang w:val="en-US"/>
        </w:rPr>
        <w:t>compare propofol and midazolam for sedation in patients with cirrhosis during elective endoscopic procedures</w:t>
      </w:r>
      <w:r w:rsidR="000A0724" w:rsidRPr="00C10A48">
        <w:rPr>
          <w:rFonts w:ascii="Book Antiqua" w:hAnsi="Book Antiqua"/>
          <w:noProof/>
          <w:sz w:val="24"/>
          <w:szCs w:val="24"/>
          <w:lang w:val="en-US"/>
        </w:rPr>
        <w:t>. We concluded</w:t>
      </w:r>
      <w:r w:rsidR="00AE089F" w:rsidRPr="00C10A48">
        <w:rPr>
          <w:rFonts w:ascii="Book Antiqua" w:hAnsi="Book Antiqua"/>
          <w:noProof/>
          <w:sz w:val="24"/>
          <w:szCs w:val="24"/>
          <w:lang w:val="en-US"/>
        </w:rPr>
        <w:t xml:space="preserve"> </w:t>
      </w:r>
      <w:r w:rsidR="00721E44" w:rsidRPr="00C10A48">
        <w:rPr>
          <w:rFonts w:ascii="Book Antiqua" w:hAnsi="Book Antiqua"/>
          <w:noProof/>
          <w:sz w:val="24"/>
          <w:szCs w:val="24"/>
          <w:lang w:val="en-US"/>
        </w:rPr>
        <w:t xml:space="preserve">propofol has shorter recovery and patient discharge time as compared to midazolam with </w:t>
      </w:r>
      <w:r w:rsidR="001961B6" w:rsidRPr="00C10A48">
        <w:rPr>
          <w:rFonts w:ascii="Book Antiqua" w:hAnsi="Book Antiqua"/>
          <w:noProof/>
          <w:sz w:val="24"/>
          <w:szCs w:val="24"/>
          <w:lang w:val="en-US"/>
        </w:rPr>
        <w:t xml:space="preserve">a </w:t>
      </w:r>
      <w:r w:rsidR="00721E44" w:rsidRPr="00C10A48">
        <w:rPr>
          <w:rFonts w:ascii="Book Antiqua" w:hAnsi="Book Antiqua"/>
          <w:noProof/>
          <w:sz w:val="24"/>
          <w:szCs w:val="24"/>
          <w:lang w:val="en-US"/>
        </w:rPr>
        <w:t>similar rate of adverse events, suggesting</w:t>
      </w:r>
      <w:r w:rsidR="001961B6" w:rsidRPr="00C10A48">
        <w:rPr>
          <w:rFonts w:ascii="Book Antiqua" w:hAnsi="Book Antiqua"/>
          <w:noProof/>
          <w:sz w:val="24"/>
          <w:szCs w:val="24"/>
          <w:lang w:val="en-US"/>
        </w:rPr>
        <w:t xml:space="preserve"> </w:t>
      </w:r>
      <w:r w:rsidR="00721E44" w:rsidRPr="00C10A48">
        <w:rPr>
          <w:rFonts w:ascii="Book Antiqua" w:hAnsi="Book Antiqua"/>
          <w:noProof/>
          <w:sz w:val="24"/>
          <w:szCs w:val="24"/>
          <w:lang w:val="en-US"/>
        </w:rPr>
        <w:t xml:space="preserve">that propofol should be the preferred </w:t>
      </w:r>
      <w:r w:rsidR="00611A3D" w:rsidRPr="00C10A48">
        <w:rPr>
          <w:rFonts w:ascii="Book Antiqua" w:hAnsi="Book Antiqua"/>
          <w:noProof/>
          <w:sz w:val="24"/>
          <w:szCs w:val="24"/>
          <w:lang w:val="en-US"/>
        </w:rPr>
        <w:t>agent</w:t>
      </w:r>
      <w:r w:rsidR="00721E44" w:rsidRPr="00C10A48">
        <w:rPr>
          <w:rFonts w:ascii="Book Antiqua" w:hAnsi="Book Antiqua"/>
          <w:noProof/>
          <w:sz w:val="24"/>
          <w:szCs w:val="24"/>
          <w:lang w:val="en-US"/>
        </w:rPr>
        <w:t xml:space="preserve"> for sedation in patients</w:t>
      </w:r>
      <w:r w:rsidR="001961B6" w:rsidRPr="00C10A48">
        <w:rPr>
          <w:rFonts w:ascii="Book Antiqua" w:hAnsi="Book Antiqua"/>
          <w:noProof/>
          <w:sz w:val="24"/>
          <w:szCs w:val="24"/>
          <w:lang w:val="en-US"/>
        </w:rPr>
        <w:t xml:space="preserve"> with cirrhosis</w:t>
      </w:r>
      <w:r w:rsidR="00721E44" w:rsidRPr="00C10A48">
        <w:rPr>
          <w:rFonts w:ascii="Book Antiqua" w:hAnsi="Book Antiqua"/>
          <w:noProof/>
          <w:sz w:val="24"/>
          <w:szCs w:val="24"/>
          <w:lang w:val="en-US"/>
        </w:rPr>
        <w:t>.</w:t>
      </w:r>
    </w:p>
    <w:p w14:paraId="5E56534C" w14:textId="4BF1AD80" w:rsidR="000A0724" w:rsidRPr="00C10A48" w:rsidRDefault="000A0724" w:rsidP="00F227A9">
      <w:pPr>
        <w:snapToGrid w:val="0"/>
        <w:spacing w:after="0" w:line="360" w:lineRule="auto"/>
        <w:ind w:right="97"/>
        <w:jc w:val="both"/>
        <w:rPr>
          <w:rFonts w:ascii="Book Antiqua" w:hAnsi="Book Antiqua"/>
          <w:b/>
          <w:noProof/>
          <w:sz w:val="24"/>
          <w:szCs w:val="24"/>
          <w:lang w:val="en-US"/>
        </w:rPr>
      </w:pPr>
    </w:p>
    <w:p w14:paraId="73A8DE78" w14:textId="6FE08AFC" w:rsidR="0018055D" w:rsidRPr="00C10A48" w:rsidRDefault="0018055D" w:rsidP="00F227A9">
      <w:pPr>
        <w:snapToGrid w:val="0"/>
        <w:spacing w:after="0" w:line="360" w:lineRule="auto"/>
        <w:rPr>
          <w:rFonts w:ascii="Book Antiqua" w:hAnsi="Book Antiqua"/>
          <w:noProof/>
          <w:sz w:val="24"/>
          <w:szCs w:val="24"/>
          <w:lang w:val="en-US"/>
        </w:rPr>
      </w:pPr>
      <w:r w:rsidRPr="00C10A48">
        <w:rPr>
          <w:rFonts w:ascii="Book Antiqua" w:hAnsi="Book Antiqua"/>
          <w:noProof/>
          <w:sz w:val="24"/>
          <w:szCs w:val="24"/>
          <w:lang w:val="en-US"/>
        </w:rPr>
        <w:lastRenderedPageBreak/>
        <w:br w:type="page"/>
      </w:r>
    </w:p>
    <w:p w14:paraId="1B1E3CF3" w14:textId="59F5456D" w:rsidR="00017EAD" w:rsidRPr="00C10A48" w:rsidRDefault="00017EAD" w:rsidP="00F227A9">
      <w:pPr>
        <w:snapToGrid w:val="0"/>
        <w:spacing w:after="0" w:line="360" w:lineRule="auto"/>
        <w:jc w:val="both"/>
        <w:rPr>
          <w:rFonts w:ascii="Book Antiqua" w:hAnsi="Book Antiqua"/>
          <w:b/>
          <w:sz w:val="24"/>
          <w:szCs w:val="24"/>
          <w:u w:val="single"/>
          <w:lang w:val="en-US"/>
        </w:rPr>
      </w:pPr>
      <w:r w:rsidRPr="00C10A48">
        <w:rPr>
          <w:rFonts w:ascii="Book Antiqua" w:hAnsi="Book Antiqua"/>
          <w:b/>
          <w:sz w:val="24"/>
          <w:szCs w:val="24"/>
          <w:u w:val="single"/>
          <w:lang w:val="en-US"/>
        </w:rPr>
        <w:lastRenderedPageBreak/>
        <w:t>INTRODUCTION</w:t>
      </w:r>
    </w:p>
    <w:p w14:paraId="31A8A041" w14:textId="10B70F17" w:rsidR="002E6770" w:rsidRPr="00C10A48" w:rsidRDefault="002E6770" w:rsidP="00F227A9">
      <w:pPr>
        <w:snapToGrid w:val="0"/>
        <w:spacing w:after="0" w:line="360" w:lineRule="auto"/>
        <w:jc w:val="both"/>
        <w:rPr>
          <w:rFonts w:ascii="Book Antiqua" w:hAnsi="Book Antiqua"/>
          <w:sz w:val="24"/>
          <w:szCs w:val="24"/>
          <w:lang w:val="en-US"/>
        </w:rPr>
      </w:pPr>
      <w:bookmarkStart w:id="10" w:name="_Hlk42796549"/>
      <w:r w:rsidRPr="00C10A48">
        <w:rPr>
          <w:rFonts w:ascii="Book Antiqua" w:hAnsi="Book Antiqua"/>
          <w:sz w:val="24"/>
          <w:szCs w:val="24"/>
          <w:lang w:val="en-US"/>
        </w:rPr>
        <w:t xml:space="preserve">Cirrhosis is an advanced form of fibrosis that affects the liver with the destruction of the organ's lobular and vascular </w:t>
      </w:r>
      <w:proofErr w:type="gramStart"/>
      <w:r w:rsidRPr="00C10A48">
        <w:rPr>
          <w:rFonts w:ascii="Book Antiqua" w:hAnsi="Book Antiqua"/>
          <w:sz w:val="24"/>
          <w:szCs w:val="24"/>
          <w:lang w:val="en-US"/>
        </w:rPr>
        <w:t>architecture</w:t>
      </w:r>
      <w:r w:rsidR="003F349D" w:rsidRPr="00C10A48">
        <w:rPr>
          <w:rFonts w:ascii="Book Antiqua" w:hAnsi="Book Antiqua"/>
          <w:noProof/>
          <w:sz w:val="24"/>
          <w:szCs w:val="24"/>
          <w:vertAlign w:val="superscript"/>
          <w:lang w:val="en-US"/>
        </w:rPr>
        <w:t>[</w:t>
      </w:r>
      <w:proofErr w:type="gramEnd"/>
      <w:r w:rsidR="003F349D" w:rsidRPr="00C10A48">
        <w:rPr>
          <w:rFonts w:ascii="Book Antiqua" w:hAnsi="Book Antiqua"/>
          <w:noProof/>
          <w:sz w:val="24"/>
          <w:szCs w:val="24"/>
          <w:vertAlign w:val="superscript"/>
          <w:lang w:val="en-US"/>
        </w:rPr>
        <w:t>1]</w:t>
      </w:r>
      <w:r w:rsidRPr="00C10A48">
        <w:rPr>
          <w:rFonts w:ascii="Book Antiqua" w:hAnsi="Book Antiqua"/>
          <w:sz w:val="24"/>
          <w:szCs w:val="24"/>
          <w:lang w:val="en-US"/>
        </w:rPr>
        <w:t xml:space="preserve">. The progression of liver disease causes portal hypertension, which can lead to complications such as esophagogastric varices, portal hypertensive gastropathy, and gastric </w:t>
      </w:r>
      <w:proofErr w:type="spellStart"/>
      <w:r w:rsidRPr="00C10A48">
        <w:rPr>
          <w:rFonts w:ascii="Book Antiqua" w:hAnsi="Book Antiqua"/>
          <w:sz w:val="24"/>
          <w:szCs w:val="24"/>
          <w:lang w:val="en-US"/>
        </w:rPr>
        <w:t>antral</w:t>
      </w:r>
      <w:proofErr w:type="spellEnd"/>
      <w:r w:rsidRPr="00C10A48">
        <w:rPr>
          <w:rFonts w:ascii="Book Antiqua" w:hAnsi="Book Antiqua"/>
          <w:sz w:val="24"/>
          <w:szCs w:val="24"/>
          <w:lang w:val="en-US"/>
        </w:rPr>
        <w:t xml:space="preserve"> vascular </w:t>
      </w:r>
      <w:proofErr w:type="spellStart"/>
      <w:r w:rsidRPr="00C10A48">
        <w:rPr>
          <w:rFonts w:ascii="Book Antiqua" w:hAnsi="Book Antiqua"/>
          <w:sz w:val="24"/>
          <w:szCs w:val="24"/>
          <w:lang w:val="en-US"/>
        </w:rPr>
        <w:t>ectasia</w:t>
      </w:r>
      <w:proofErr w:type="spellEnd"/>
      <w:r w:rsidRPr="00C10A48">
        <w:rPr>
          <w:rFonts w:ascii="Book Antiqua" w:hAnsi="Book Antiqua"/>
          <w:sz w:val="24"/>
          <w:szCs w:val="24"/>
          <w:lang w:val="en-US"/>
        </w:rPr>
        <w:t xml:space="preserve"> (GAVE</w:t>
      </w:r>
      <w:proofErr w:type="gramStart"/>
      <w:r w:rsidRPr="00C10A48">
        <w:rPr>
          <w:rFonts w:ascii="Book Antiqua" w:hAnsi="Book Antiqua"/>
          <w:sz w:val="24"/>
          <w:szCs w:val="24"/>
          <w:lang w:val="en-US"/>
        </w:rPr>
        <w:t>)</w:t>
      </w:r>
      <w:r w:rsidR="0024084B" w:rsidRPr="00C10A48">
        <w:rPr>
          <w:rFonts w:ascii="Book Antiqua" w:hAnsi="Book Antiqua"/>
          <w:noProof/>
          <w:sz w:val="24"/>
          <w:szCs w:val="24"/>
          <w:vertAlign w:val="superscript"/>
          <w:lang w:val="en-US"/>
        </w:rPr>
        <w:t>[</w:t>
      </w:r>
      <w:proofErr w:type="gramEnd"/>
      <w:r w:rsidR="0024084B" w:rsidRPr="00C10A48">
        <w:rPr>
          <w:rFonts w:ascii="Book Antiqua" w:hAnsi="Book Antiqua"/>
          <w:noProof/>
          <w:sz w:val="24"/>
          <w:szCs w:val="24"/>
          <w:vertAlign w:val="superscript"/>
          <w:lang w:val="en-US"/>
        </w:rPr>
        <w:t>2–11]</w:t>
      </w:r>
      <w:r w:rsidR="003F349D" w:rsidRPr="00C10A48">
        <w:rPr>
          <w:rFonts w:ascii="Book Antiqua" w:hAnsi="Book Antiqua"/>
          <w:sz w:val="24"/>
          <w:szCs w:val="24"/>
          <w:lang w:val="en-US"/>
        </w:rPr>
        <w:t xml:space="preserve">. </w:t>
      </w:r>
      <w:r w:rsidRPr="00C10A48">
        <w:rPr>
          <w:rFonts w:ascii="Book Antiqua" w:hAnsi="Book Antiqua"/>
          <w:sz w:val="24"/>
          <w:szCs w:val="24"/>
          <w:lang w:val="en-US"/>
        </w:rPr>
        <w:t xml:space="preserve">These patients often undergo diagnostic or therapeutic upper gastrointestinal endoscopy, and choosing an appropriate sedative is challenging. </w:t>
      </w:r>
      <w:bookmarkEnd w:id="10"/>
      <w:r w:rsidRPr="00C10A48">
        <w:rPr>
          <w:rFonts w:ascii="Book Antiqua" w:hAnsi="Book Antiqua"/>
          <w:sz w:val="24"/>
          <w:szCs w:val="24"/>
          <w:lang w:val="en-US"/>
        </w:rPr>
        <w:t xml:space="preserve">Sedation in this group of patients with underlying liver disease and their complications presents increased risks even when performed by well-trained personnel, mainly due to drug metabolism and interactions, baseline hemodynamics, and increased risk of adverse events. The recommended sedation level for elective endoscopies in patients with cirrhosis is mild to moderate that can be administered by anesthesiologists, </w:t>
      </w:r>
      <w:proofErr w:type="spellStart"/>
      <w:r w:rsidRPr="00C10A48">
        <w:rPr>
          <w:rFonts w:ascii="Book Antiqua" w:hAnsi="Book Antiqua"/>
          <w:sz w:val="24"/>
          <w:szCs w:val="24"/>
          <w:lang w:val="en-US"/>
        </w:rPr>
        <w:t>endoscopists</w:t>
      </w:r>
      <w:proofErr w:type="spellEnd"/>
      <w:r w:rsidRPr="00C10A48">
        <w:rPr>
          <w:rFonts w:ascii="Book Antiqua" w:hAnsi="Book Antiqua"/>
          <w:sz w:val="24"/>
          <w:szCs w:val="24"/>
          <w:lang w:val="en-US"/>
        </w:rPr>
        <w:t xml:space="preserve">, or registered </w:t>
      </w:r>
      <w:proofErr w:type="gramStart"/>
      <w:r w:rsidRPr="00C10A48">
        <w:rPr>
          <w:rFonts w:ascii="Book Antiqua" w:hAnsi="Book Antiqua"/>
          <w:sz w:val="24"/>
          <w:szCs w:val="24"/>
          <w:lang w:val="en-US"/>
        </w:rPr>
        <w:t>nurses</w:t>
      </w:r>
      <w:r w:rsidR="0024084B" w:rsidRPr="00C10A48">
        <w:rPr>
          <w:rFonts w:ascii="Book Antiqua" w:hAnsi="Book Antiqua"/>
          <w:noProof/>
          <w:sz w:val="24"/>
          <w:szCs w:val="24"/>
          <w:vertAlign w:val="superscript"/>
          <w:lang w:val="en-US"/>
        </w:rPr>
        <w:t>[</w:t>
      </w:r>
      <w:proofErr w:type="gramEnd"/>
      <w:r w:rsidR="0024084B" w:rsidRPr="00C10A48">
        <w:rPr>
          <w:rFonts w:ascii="Book Antiqua" w:hAnsi="Book Antiqua"/>
          <w:noProof/>
          <w:sz w:val="24"/>
          <w:szCs w:val="24"/>
          <w:vertAlign w:val="superscript"/>
          <w:lang w:val="en-US"/>
        </w:rPr>
        <w:t>12]</w:t>
      </w:r>
      <w:r w:rsidRPr="00C10A48">
        <w:rPr>
          <w:rFonts w:ascii="Book Antiqua" w:hAnsi="Book Antiqua"/>
          <w:sz w:val="24"/>
          <w:szCs w:val="24"/>
          <w:lang w:val="en-US"/>
        </w:rPr>
        <w:t xml:space="preserve">. </w:t>
      </w:r>
    </w:p>
    <w:p w14:paraId="7214B79C" w14:textId="69B4973A" w:rsidR="0049425C" w:rsidRPr="00C10A48" w:rsidRDefault="002E6770" w:rsidP="00F227A9">
      <w:pPr>
        <w:snapToGrid w:val="0"/>
        <w:spacing w:after="0" w:line="360" w:lineRule="auto"/>
        <w:ind w:firstLineChars="100" w:firstLine="240"/>
        <w:jc w:val="both"/>
        <w:rPr>
          <w:rFonts w:ascii="Book Antiqua" w:hAnsi="Book Antiqua"/>
          <w:sz w:val="24"/>
          <w:szCs w:val="24"/>
          <w:lang w:val="en-US"/>
        </w:rPr>
      </w:pPr>
      <w:r w:rsidRPr="00C10A48">
        <w:rPr>
          <w:rFonts w:ascii="Book Antiqua" w:hAnsi="Book Antiqua"/>
          <w:sz w:val="24"/>
          <w:szCs w:val="24"/>
          <w:lang w:val="en-US"/>
        </w:rPr>
        <w:t xml:space="preserve">The most commonly used sedatives are usually benzodiazepine midazolam and short duration hypnotic agent propofol, while synthetic opioids can be added for their analgesic effect in some cases. Midazolam is the preferred benzodiazepine because of its short induction, recovery time, and amnesic </w:t>
      </w:r>
      <w:proofErr w:type="gramStart"/>
      <w:r w:rsidRPr="00C10A48">
        <w:rPr>
          <w:rFonts w:ascii="Book Antiqua" w:hAnsi="Book Antiqua"/>
          <w:sz w:val="24"/>
          <w:szCs w:val="24"/>
          <w:lang w:val="en-US"/>
        </w:rPr>
        <w:t>properties</w:t>
      </w:r>
      <w:r w:rsidR="0024084B" w:rsidRPr="00C10A48">
        <w:rPr>
          <w:rFonts w:ascii="Book Antiqua" w:hAnsi="Book Antiqua"/>
          <w:noProof/>
          <w:sz w:val="24"/>
          <w:szCs w:val="24"/>
          <w:vertAlign w:val="superscript"/>
          <w:lang w:val="en-US"/>
        </w:rPr>
        <w:t>[</w:t>
      </w:r>
      <w:proofErr w:type="gramEnd"/>
      <w:r w:rsidR="0024084B" w:rsidRPr="00C10A48">
        <w:rPr>
          <w:rFonts w:ascii="Book Antiqua" w:hAnsi="Book Antiqua"/>
          <w:noProof/>
          <w:sz w:val="24"/>
          <w:szCs w:val="24"/>
          <w:vertAlign w:val="superscript"/>
          <w:lang w:val="en-US"/>
        </w:rPr>
        <w:t>13]</w:t>
      </w:r>
      <w:r w:rsidRPr="00C10A48">
        <w:rPr>
          <w:rFonts w:ascii="Book Antiqua" w:hAnsi="Book Antiqua"/>
          <w:sz w:val="24"/>
          <w:szCs w:val="24"/>
          <w:lang w:val="en-US"/>
        </w:rPr>
        <w:t xml:space="preserve">. However, the half-life of midazolam can be prolonged in patients with cirrhosis, and midazolam can trigger encephalopathy in these patients. Propofol does not need dose adjustment in patients with cirrhosis and has a faster onset of action, shorter effect, and faster recovery </w:t>
      </w:r>
      <w:proofErr w:type="gramStart"/>
      <w:r w:rsidRPr="00C10A48">
        <w:rPr>
          <w:rFonts w:ascii="Book Antiqua" w:hAnsi="Book Antiqua"/>
          <w:sz w:val="24"/>
          <w:szCs w:val="24"/>
          <w:lang w:val="en-US"/>
        </w:rPr>
        <w:t>times</w:t>
      </w:r>
      <w:r w:rsidR="0024084B" w:rsidRPr="00C10A48">
        <w:rPr>
          <w:rFonts w:ascii="Book Antiqua" w:hAnsi="Book Antiqua"/>
          <w:noProof/>
          <w:sz w:val="24"/>
          <w:szCs w:val="24"/>
          <w:vertAlign w:val="superscript"/>
          <w:lang w:val="en-US"/>
        </w:rPr>
        <w:t>[</w:t>
      </w:r>
      <w:proofErr w:type="gramEnd"/>
      <w:r w:rsidR="0024084B" w:rsidRPr="00C10A48">
        <w:rPr>
          <w:rFonts w:ascii="Book Antiqua" w:hAnsi="Book Antiqua"/>
          <w:noProof/>
          <w:sz w:val="24"/>
          <w:szCs w:val="24"/>
          <w:vertAlign w:val="superscript"/>
          <w:lang w:val="en-US"/>
        </w:rPr>
        <w:t>13]</w:t>
      </w:r>
      <w:r w:rsidRPr="00C10A48">
        <w:rPr>
          <w:rFonts w:ascii="Book Antiqua" w:hAnsi="Book Antiqua"/>
          <w:sz w:val="24"/>
          <w:szCs w:val="24"/>
          <w:lang w:val="en-US"/>
        </w:rPr>
        <w:t xml:space="preserve">. Many studies have compared propofol with midazolam for sedation in cirrhosis showing variable results. Therefore, </w:t>
      </w:r>
      <w:bookmarkStart w:id="11" w:name="_Hlk42797666"/>
      <w:r w:rsidRPr="00C10A48">
        <w:rPr>
          <w:rFonts w:ascii="Book Antiqua" w:hAnsi="Book Antiqua"/>
          <w:sz w:val="24"/>
          <w:szCs w:val="24"/>
          <w:lang w:val="en-US"/>
        </w:rPr>
        <w:t xml:space="preserve">we aimed to perform a systematic review and meta-analysis of </w:t>
      </w:r>
      <w:r w:rsidR="00B05623" w:rsidRPr="00C10A48">
        <w:rPr>
          <w:rFonts w:ascii="Book Antiqua" w:hAnsi="Book Antiqua"/>
          <w:sz w:val="24"/>
          <w:szCs w:val="24"/>
          <w:lang w:val="en-US"/>
        </w:rPr>
        <w:t>randomized controlled tri</w:t>
      </w:r>
      <w:r w:rsidRPr="00C10A48">
        <w:rPr>
          <w:rFonts w:ascii="Book Antiqua" w:hAnsi="Book Antiqua"/>
          <w:sz w:val="24"/>
          <w:szCs w:val="24"/>
          <w:lang w:val="en-US"/>
        </w:rPr>
        <w:t>als (RCTs) to compare sedation with propofol and midazolam in patients with cirrhosis undergoing elective endoscopy.</w:t>
      </w:r>
    </w:p>
    <w:bookmarkEnd w:id="11"/>
    <w:p w14:paraId="2B190698" w14:textId="77777777" w:rsidR="002E6770" w:rsidRPr="00C10A48" w:rsidRDefault="002E6770" w:rsidP="00F227A9">
      <w:pPr>
        <w:snapToGrid w:val="0"/>
        <w:spacing w:after="0" w:line="360" w:lineRule="auto"/>
        <w:ind w:firstLine="567"/>
        <w:jc w:val="both"/>
        <w:rPr>
          <w:rFonts w:ascii="Book Antiqua" w:hAnsi="Book Antiqua" w:cs="Arial"/>
          <w:sz w:val="24"/>
          <w:szCs w:val="24"/>
          <w:shd w:val="clear" w:color="auto" w:fill="FFFFFF"/>
          <w:lang w:val="en-US"/>
        </w:rPr>
      </w:pPr>
    </w:p>
    <w:p w14:paraId="0722CD22" w14:textId="54F4CBF9" w:rsidR="00B66B4F" w:rsidRPr="00C10A48" w:rsidRDefault="00A57437" w:rsidP="00F227A9">
      <w:pPr>
        <w:snapToGrid w:val="0"/>
        <w:spacing w:after="0" w:line="360" w:lineRule="auto"/>
        <w:jc w:val="both"/>
        <w:rPr>
          <w:rFonts w:ascii="Book Antiqua" w:hAnsi="Book Antiqua" w:cs="Arial"/>
          <w:b/>
          <w:bCs/>
          <w:sz w:val="24"/>
          <w:szCs w:val="24"/>
          <w:u w:val="single"/>
          <w:shd w:val="clear" w:color="auto" w:fill="FFFFFF"/>
          <w:lang w:val="en-US"/>
        </w:rPr>
      </w:pPr>
      <w:r w:rsidRPr="00C10A48">
        <w:rPr>
          <w:rFonts w:ascii="Book Antiqua" w:hAnsi="Book Antiqua" w:cs="Arial"/>
          <w:b/>
          <w:bCs/>
          <w:sz w:val="24"/>
          <w:szCs w:val="24"/>
          <w:u w:val="single"/>
          <w:shd w:val="clear" w:color="auto" w:fill="FFFFFF"/>
          <w:lang w:val="en-US"/>
        </w:rPr>
        <w:t>MATERIALS AND METHODS</w:t>
      </w:r>
    </w:p>
    <w:p w14:paraId="548DDDE2" w14:textId="165A847E" w:rsidR="00B66B4F" w:rsidRPr="00C10A48" w:rsidRDefault="00B713F5" w:rsidP="00F227A9">
      <w:pPr>
        <w:snapToGrid w:val="0"/>
        <w:spacing w:after="0" w:line="360" w:lineRule="auto"/>
        <w:jc w:val="both"/>
        <w:rPr>
          <w:rFonts w:ascii="Book Antiqua" w:hAnsi="Book Antiqua" w:cs="Arial"/>
          <w:b/>
          <w:i/>
          <w:iCs/>
          <w:sz w:val="24"/>
          <w:szCs w:val="24"/>
          <w:shd w:val="clear" w:color="auto" w:fill="FFFFFF"/>
          <w:lang w:val="en-US"/>
        </w:rPr>
      </w:pPr>
      <w:r w:rsidRPr="00C10A48">
        <w:rPr>
          <w:rFonts w:ascii="Book Antiqua" w:hAnsi="Book Antiqua" w:cs="Arial"/>
          <w:b/>
          <w:i/>
          <w:iCs/>
          <w:sz w:val="24"/>
          <w:szCs w:val="24"/>
          <w:shd w:val="clear" w:color="auto" w:fill="FFFFFF"/>
          <w:lang w:val="en-US"/>
        </w:rPr>
        <w:t xml:space="preserve">Protocol </w:t>
      </w:r>
      <w:r w:rsidR="00A57437" w:rsidRPr="00C10A48">
        <w:rPr>
          <w:rFonts w:ascii="Book Antiqua" w:hAnsi="Book Antiqua" w:cs="Arial"/>
          <w:b/>
          <w:i/>
          <w:iCs/>
          <w:sz w:val="24"/>
          <w:szCs w:val="24"/>
          <w:shd w:val="clear" w:color="auto" w:fill="FFFFFF"/>
          <w:lang w:val="en-US"/>
        </w:rPr>
        <w:t>and registration</w:t>
      </w:r>
    </w:p>
    <w:p w14:paraId="7BA06FFA" w14:textId="6212CC78" w:rsidR="006E3234" w:rsidRPr="00C10A48" w:rsidRDefault="003135C1" w:rsidP="00F227A9">
      <w:pPr>
        <w:snapToGrid w:val="0"/>
        <w:spacing w:after="0" w:line="360" w:lineRule="auto"/>
        <w:jc w:val="both"/>
        <w:rPr>
          <w:rFonts w:ascii="Book Antiqua" w:hAnsi="Book Antiqua" w:cs="Arial"/>
          <w:sz w:val="24"/>
          <w:szCs w:val="24"/>
          <w:shd w:val="clear" w:color="auto" w:fill="FFFFFF"/>
          <w:lang w:val="en-US"/>
        </w:rPr>
      </w:pPr>
      <w:r w:rsidRPr="00C10A48">
        <w:rPr>
          <w:rFonts w:ascii="Book Antiqua" w:hAnsi="Book Antiqua" w:cs="Arial"/>
          <w:sz w:val="24"/>
          <w:szCs w:val="24"/>
          <w:shd w:val="clear" w:color="auto" w:fill="FFFFFF"/>
          <w:lang w:val="en-US"/>
        </w:rPr>
        <w:lastRenderedPageBreak/>
        <w:t>This systematic review was carried out in accordance with the Cochrane Handbook for Systematic Reviews of Interventions and Preferred Reporting Items for Systematic Reviews and Meta-analysis (PRISMA). The study was registered by The International Prospective Registry of Continuous Systematic Reviews of the National Institutes of Health Research (PROSPERO), under the code CRD42019137659</w:t>
      </w:r>
      <w:r w:rsidR="00557884" w:rsidRPr="00C10A48">
        <w:rPr>
          <w:rFonts w:ascii="Book Antiqua" w:hAnsi="Book Antiqua" w:cs="Arial"/>
          <w:sz w:val="24"/>
          <w:szCs w:val="24"/>
          <w:shd w:val="clear" w:color="auto" w:fill="FFFFFF"/>
          <w:lang w:val="en-US"/>
        </w:rPr>
        <w:t xml:space="preserve"> and was approved by the Scientific Ethics Committee of the Department of Gastroenterology of the Faculty of Medicine of the University of São Paulo.</w:t>
      </w:r>
    </w:p>
    <w:p w14:paraId="0B24CA01" w14:textId="1D662C8E" w:rsidR="00D02F3F" w:rsidRPr="00C10A48" w:rsidRDefault="00D02F3F" w:rsidP="00F227A9">
      <w:pPr>
        <w:snapToGrid w:val="0"/>
        <w:spacing w:after="0" w:line="360" w:lineRule="auto"/>
        <w:jc w:val="both"/>
        <w:rPr>
          <w:rFonts w:ascii="Book Antiqua" w:hAnsi="Book Antiqua" w:cs="Arial"/>
          <w:sz w:val="24"/>
          <w:szCs w:val="24"/>
          <w:shd w:val="clear" w:color="auto" w:fill="FFFFFF"/>
          <w:lang w:val="en-US"/>
        </w:rPr>
      </w:pPr>
    </w:p>
    <w:p w14:paraId="606D7A19" w14:textId="77777777" w:rsidR="00D02F3F" w:rsidRPr="00C10A48" w:rsidRDefault="00D02F3F" w:rsidP="00F227A9">
      <w:pPr>
        <w:snapToGrid w:val="0"/>
        <w:spacing w:after="0" w:line="360" w:lineRule="auto"/>
        <w:jc w:val="both"/>
        <w:rPr>
          <w:rFonts w:ascii="Book Antiqua" w:hAnsi="Book Antiqua" w:cs="Arial"/>
          <w:b/>
          <w:bCs/>
          <w:i/>
          <w:iCs/>
          <w:sz w:val="24"/>
          <w:szCs w:val="24"/>
          <w:shd w:val="clear" w:color="auto" w:fill="FFFFFF"/>
          <w:lang w:val="en-US"/>
        </w:rPr>
      </w:pPr>
      <w:r w:rsidRPr="00C10A48">
        <w:rPr>
          <w:rFonts w:ascii="Book Antiqua" w:hAnsi="Book Antiqua" w:cs="Arial"/>
          <w:b/>
          <w:bCs/>
          <w:i/>
          <w:iCs/>
          <w:sz w:val="24"/>
          <w:szCs w:val="24"/>
          <w:shd w:val="clear" w:color="auto" w:fill="FFFFFF"/>
          <w:lang w:val="en-US"/>
        </w:rPr>
        <w:t>Information sources and search</w:t>
      </w:r>
    </w:p>
    <w:p w14:paraId="76FEE3B2" w14:textId="3A303C39" w:rsidR="00D02F3F" w:rsidRPr="00C10A48" w:rsidRDefault="00D02F3F" w:rsidP="00F227A9">
      <w:pPr>
        <w:snapToGrid w:val="0"/>
        <w:spacing w:after="0" w:line="360" w:lineRule="auto"/>
        <w:jc w:val="both"/>
        <w:rPr>
          <w:rFonts w:ascii="Book Antiqua" w:hAnsi="Book Antiqua" w:cs="Arial"/>
          <w:sz w:val="24"/>
          <w:szCs w:val="24"/>
          <w:shd w:val="clear" w:color="auto" w:fill="FFFFFF"/>
          <w:lang w:val="en-US"/>
        </w:rPr>
      </w:pPr>
      <w:r w:rsidRPr="00C10A48">
        <w:rPr>
          <w:rFonts w:ascii="Book Antiqua" w:hAnsi="Book Antiqua" w:cs="Arial"/>
          <w:sz w:val="24"/>
          <w:szCs w:val="24"/>
          <w:shd w:val="clear" w:color="auto" w:fill="FFFFFF"/>
          <w:lang w:val="en-US"/>
        </w:rPr>
        <w:t>The search was carried out using MEDLINE (</w:t>
      </w:r>
      <w:proofErr w:type="spellStart"/>
      <w:r w:rsidRPr="00C10A48">
        <w:rPr>
          <w:rFonts w:ascii="Book Antiqua" w:hAnsi="Book Antiqua" w:cs="Arial"/>
          <w:sz w:val="24"/>
          <w:szCs w:val="24"/>
          <w:shd w:val="clear" w:color="auto" w:fill="FFFFFF"/>
          <w:lang w:val="en-US"/>
        </w:rPr>
        <w:t>Pubmed</w:t>
      </w:r>
      <w:proofErr w:type="spellEnd"/>
      <w:r w:rsidRPr="00C10A48">
        <w:rPr>
          <w:rFonts w:ascii="Book Antiqua" w:hAnsi="Book Antiqua" w:cs="Arial"/>
          <w:sz w:val="24"/>
          <w:szCs w:val="24"/>
          <w:shd w:val="clear" w:color="auto" w:fill="FFFFFF"/>
          <w:lang w:val="en-US"/>
        </w:rPr>
        <w:t>); EMBASE; Cochrane Central Register of Randomized Controlled Clinical Trials/CENTRAL; and Latin-American and Caribbean Health Sciences Literature LILACS</w:t>
      </w:r>
      <w:r w:rsidR="00675395" w:rsidRPr="00C10A48">
        <w:rPr>
          <w:rFonts w:ascii="Book Antiqua" w:hAnsi="Book Antiqua" w:cs="Arial"/>
          <w:sz w:val="24"/>
          <w:szCs w:val="24"/>
          <w:shd w:val="clear" w:color="auto" w:fill="FFFFFF"/>
          <w:lang w:val="en-US"/>
        </w:rPr>
        <w:t xml:space="preserve"> electronic databases from their date of inception </w:t>
      </w:r>
      <w:r w:rsidRPr="00C10A48">
        <w:rPr>
          <w:rFonts w:ascii="Book Antiqua" w:hAnsi="Book Antiqua" w:cs="Arial"/>
          <w:sz w:val="24"/>
          <w:szCs w:val="24"/>
          <w:shd w:val="clear" w:color="auto" w:fill="FFFFFF"/>
          <w:lang w:val="en-US"/>
        </w:rPr>
        <w:t>to November 2019</w:t>
      </w:r>
      <w:r w:rsidR="00675395" w:rsidRPr="00C10A48">
        <w:rPr>
          <w:rFonts w:ascii="Book Antiqua" w:hAnsi="Book Antiqua" w:cs="Arial"/>
          <w:sz w:val="24"/>
          <w:szCs w:val="24"/>
          <w:shd w:val="clear" w:color="auto" w:fill="FFFFFF"/>
          <w:lang w:val="en-US"/>
        </w:rPr>
        <w:t xml:space="preserve"> with no language restriction</w:t>
      </w:r>
      <w:r w:rsidRPr="00C10A48">
        <w:rPr>
          <w:rFonts w:ascii="Book Antiqua" w:hAnsi="Book Antiqua" w:cs="Arial"/>
          <w:sz w:val="24"/>
          <w:szCs w:val="24"/>
          <w:shd w:val="clear" w:color="auto" w:fill="FFFFFF"/>
          <w:lang w:val="en-US"/>
        </w:rPr>
        <w:t xml:space="preserve">. </w:t>
      </w:r>
      <w:r w:rsidR="001961B6" w:rsidRPr="00C10A48">
        <w:rPr>
          <w:rFonts w:ascii="Book Antiqua" w:hAnsi="Book Antiqua" w:cs="Arial"/>
          <w:sz w:val="24"/>
          <w:szCs w:val="24"/>
          <w:shd w:val="clear" w:color="auto" w:fill="FFFFFF"/>
          <w:lang w:val="en-US"/>
        </w:rPr>
        <w:t>A g</w:t>
      </w:r>
      <w:r w:rsidRPr="00C10A48">
        <w:rPr>
          <w:rFonts w:ascii="Book Antiqua" w:hAnsi="Book Antiqua" w:cs="Arial"/>
          <w:sz w:val="24"/>
          <w:szCs w:val="24"/>
          <w:shd w:val="clear" w:color="auto" w:fill="FFFFFF"/>
          <w:lang w:val="en-US"/>
        </w:rPr>
        <w:t xml:space="preserve">ray literature </w:t>
      </w:r>
      <w:r w:rsidR="001961B6" w:rsidRPr="00C10A48">
        <w:rPr>
          <w:rFonts w:ascii="Book Antiqua" w:hAnsi="Book Antiqua" w:cs="Arial"/>
          <w:sz w:val="24"/>
          <w:szCs w:val="24"/>
          <w:shd w:val="clear" w:color="auto" w:fill="FFFFFF"/>
          <w:lang w:val="en-US"/>
        </w:rPr>
        <w:t xml:space="preserve">search </w:t>
      </w:r>
      <w:r w:rsidRPr="00C10A48">
        <w:rPr>
          <w:rFonts w:ascii="Book Antiqua" w:hAnsi="Book Antiqua" w:cs="Arial"/>
          <w:sz w:val="24"/>
          <w:szCs w:val="24"/>
          <w:shd w:val="clear" w:color="auto" w:fill="FFFFFF"/>
          <w:lang w:val="en-US"/>
        </w:rPr>
        <w:t xml:space="preserve">was also performed. </w:t>
      </w:r>
      <w:r w:rsidR="00675395" w:rsidRPr="00C10A48">
        <w:rPr>
          <w:rFonts w:ascii="Book Antiqua" w:hAnsi="Book Antiqua" w:cs="Arial"/>
          <w:sz w:val="24"/>
          <w:szCs w:val="24"/>
          <w:shd w:val="clear" w:color="auto" w:fill="FFFFFF"/>
          <w:lang w:val="en-US"/>
        </w:rPr>
        <w:t>The terms used for data</w:t>
      </w:r>
      <w:r w:rsidR="000A0606" w:rsidRPr="00C10A48">
        <w:rPr>
          <w:rFonts w:ascii="Book Antiqua" w:hAnsi="Book Antiqua" w:cs="Arial"/>
          <w:sz w:val="24"/>
          <w:szCs w:val="24"/>
          <w:shd w:val="clear" w:color="auto" w:fill="FFFFFF"/>
          <w:lang w:val="en-US"/>
        </w:rPr>
        <w:t>base</w:t>
      </w:r>
      <w:r w:rsidR="00675395" w:rsidRPr="00C10A48">
        <w:rPr>
          <w:rFonts w:ascii="Book Antiqua" w:hAnsi="Book Antiqua" w:cs="Arial"/>
          <w:sz w:val="24"/>
          <w:szCs w:val="24"/>
          <w:shd w:val="clear" w:color="auto" w:fill="FFFFFF"/>
          <w:lang w:val="en-US"/>
        </w:rPr>
        <w:t xml:space="preserve"> search </w:t>
      </w:r>
      <w:r w:rsidR="000A0606" w:rsidRPr="00C10A48">
        <w:rPr>
          <w:rFonts w:ascii="Book Antiqua" w:hAnsi="Book Antiqua" w:cs="Arial"/>
          <w:sz w:val="24"/>
          <w:szCs w:val="24"/>
          <w:shd w:val="clear" w:color="auto" w:fill="FFFFFF"/>
          <w:lang w:val="en-US"/>
        </w:rPr>
        <w:t>were</w:t>
      </w:r>
      <w:r w:rsidRPr="00C10A48">
        <w:rPr>
          <w:rFonts w:ascii="Book Antiqua" w:hAnsi="Book Antiqua" w:cs="Arial"/>
          <w:sz w:val="24"/>
          <w:szCs w:val="24"/>
          <w:shd w:val="clear" w:color="auto" w:fill="FFFFFF"/>
          <w:lang w:val="en-US"/>
        </w:rPr>
        <w:t xml:space="preserve"> </w:t>
      </w:r>
      <w:r w:rsidR="00F26942" w:rsidRPr="00C10A48">
        <w:rPr>
          <w:rFonts w:ascii="Book Antiqua" w:hAnsi="Book Antiqua" w:cs="Arial"/>
          <w:iCs/>
          <w:sz w:val="24"/>
          <w:szCs w:val="24"/>
          <w:shd w:val="clear" w:color="auto" w:fill="FFFFFF"/>
          <w:lang w:val="en-US"/>
        </w:rPr>
        <w:t>"</w:t>
      </w:r>
      <w:r w:rsidRPr="00C10A48">
        <w:rPr>
          <w:rFonts w:ascii="Book Antiqua" w:hAnsi="Book Antiqua" w:cs="Arial"/>
          <w:iCs/>
          <w:sz w:val="24"/>
          <w:szCs w:val="24"/>
          <w:shd w:val="clear" w:color="auto" w:fill="FFFFFF"/>
          <w:lang w:val="en-US"/>
        </w:rPr>
        <w:t>Sedation OR Sedations OR anesthesia OR Propofol OR Midazolam OR benzodiazepine</w:t>
      </w:r>
      <w:r w:rsidR="00F26942" w:rsidRPr="00C10A48">
        <w:rPr>
          <w:rFonts w:ascii="Book Antiqua" w:hAnsi="Book Antiqua" w:cs="Arial"/>
          <w:iCs/>
          <w:sz w:val="24"/>
          <w:szCs w:val="24"/>
          <w:shd w:val="clear" w:color="auto" w:fill="FFFFFF"/>
          <w:lang w:val="en-US"/>
        </w:rPr>
        <w:t>"</w:t>
      </w:r>
      <w:r w:rsidRPr="00C10A48">
        <w:rPr>
          <w:rFonts w:ascii="Book Antiqua" w:hAnsi="Book Antiqua" w:cs="Arial"/>
          <w:iCs/>
          <w:sz w:val="24"/>
          <w:szCs w:val="24"/>
          <w:shd w:val="clear" w:color="auto" w:fill="FFFFFF"/>
          <w:lang w:val="en-US"/>
        </w:rPr>
        <w:t xml:space="preserve"> AND </w:t>
      </w:r>
      <w:r w:rsidR="00F26942" w:rsidRPr="00C10A48">
        <w:rPr>
          <w:rFonts w:ascii="Book Antiqua" w:hAnsi="Book Antiqua" w:cs="Arial"/>
          <w:iCs/>
          <w:sz w:val="24"/>
          <w:szCs w:val="24"/>
          <w:shd w:val="clear" w:color="auto" w:fill="FFFFFF"/>
          <w:lang w:val="en-US"/>
        </w:rPr>
        <w:t>"</w:t>
      </w:r>
      <w:r w:rsidRPr="00C10A48">
        <w:rPr>
          <w:rFonts w:ascii="Book Antiqua" w:hAnsi="Book Antiqua" w:cs="Arial"/>
          <w:iCs/>
          <w:sz w:val="24"/>
          <w:szCs w:val="24"/>
          <w:shd w:val="clear" w:color="auto" w:fill="FFFFFF"/>
          <w:lang w:val="en-US"/>
        </w:rPr>
        <w:t xml:space="preserve">Endoscopy OR </w:t>
      </w:r>
      <w:r w:rsidR="00D5382E" w:rsidRPr="00C10A48">
        <w:rPr>
          <w:rFonts w:ascii="Book Antiqua" w:hAnsi="Book Antiqua" w:cs="Arial"/>
          <w:iCs/>
          <w:sz w:val="24"/>
          <w:szCs w:val="24"/>
          <w:shd w:val="clear" w:color="auto" w:fill="FFFFFF"/>
          <w:lang w:val="en-US"/>
        </w:rPr>
        <w:t>endoscopic</w:t>
      </w:r>
      <w:r w:rsidRPr="00C10A48">
        <w:rPr>
          <w:rFonts w:ascii="Book Antiqua" w:hAnsi="Book Antiqua" w:cs="Arial"/>
          <w:iCs/>
          <w:sz w:val="24"/>
          <w:szCs w:val="24"/>
          <w:shd w:val="clear" w:color="auto" w:fill="FFFFFF"/>
          <w:lang w:val="en-US"/>
        </w:rPr>
        <w:t xml:space="preserve"> OR </w:t>
      </w:r>
      <w:proofErr w:type="spellStart"/>
      <w:r w:rsidR="00D5382E" w:rsidRPr="00C10A48">
        <w:rPr>
          <w:rFonts w:ascii="Book Antiqua" w:hAnsi="Book Antiqua" w:cs="Arial"/>
          <w:iCs/>
          <w:sz w:val="24"/>
          <w:szCs w:val="24"/>
          <w:shd w:val="clear" w:color="auto" w:fill="FFFFFF"/>
          <w:lang w:val="en-US"/>
        </w:rPr>
        <w:t>panendoscopy</w:t>
      </w:r>
      <w:proofErr w:type="spellEnd"/>
      <w:r w:rsidR="00F26942" w:rsidRPr="00C10A48">
        <w:rPr>
          <w:rFonts w:ascii="Book Antiqua" w:hAnsi="Book Antiqua" w:cs="Arial"/>
          <w:iCs/>
          <w:sz w:val="24"/>
          <w:szCs w:val="24"/>
          <w:shd w:val="clear" w:color="auto" w:fill="FFFFFF"/>
          <w:lang w:val="en-US"/>
        </w:rPr>
        <w:t>"</w:t>
      </w:r>
      <w:r w:rsidRPr="00C10A48">
        <w:rPr>
          <w:rFonts w:ascii="Book Antiqua" w:hAnsi="Book Antiqua" w:cs="Arial"/>
          <w:iCs/>
          <w:sz w:val="24"/>
          <w:szCs w:val="24"/>
          <w:shd w:val="clear" w:color="auto" w:fill="FFFFFF"/>
          <w:lang w:val="en-US"/>
        </w:rPr>
        <w:t xml:space="preserve"> AND </w:t>
      </w:r>
      <w:r w:rsidR="00F26942" w:rsidRPr="00C10A48">
        <w:rPr>
          <w:rFonts w:ascii="Book Antiqua" w:hAnsi="Book Antiqua" w:cs="Arial"/>
          <w:iCs/>
          <w:sz w:val="24"/>
          <w:szCs w:val="24"/>
          <w:shd w:val="clear" w:color="auto" w:fill="FFFFFF"/>
          <w:lang w:val="en-US"/>
        </w:rPr>
        <w:t>"</w:t>
      </w:r>
      <w:r w:rsidRPr="00C10A48">
        <w:rPr>
          <w:rFonts w:ascii="Book Antiqua" w:hAnsi="Book Antiqua" w:cs="Arial"/>
          <w:iCs/>
          <w:sz w:val="24"/>
          <w:szCs w:val="24"/>
          <w:shd w:val="clear" w:color="auto" w:fill="FFFFFF"/>
          <w:lang w:val="en-US"/>
        </w:rPr>
        <w:t xml:space="preserve">Cirrhosis OR </w:t>
      </w:r>
      <w:r w:rsidR="00D5382E" w:rsidRPr="00C10A48">
        <w:rPr>
          <w:rFonts w:ascii="Book Antiqua" w:hAnsi="Book Antiqua" w:cs="Arial"/>
          <w:iCs/>
          <w:sz w:val="24"/>
          <w:szCs w:val="24"/>
          <w:shd w:val="clear" w:color="auto" w:fill="FFFFFF"/>
          <w:lang w:val="en-US"/>
        </w:rPr>
        <w:t>liver</w:t>
      </w:r>
      <w:r w:rsidRPr="00C10A48">
        <w:rPr>
          <w:rFonts w:ascii="Book Antiqua" w:hAnsi="Book Antiqua" w:cs="Arial"/>
          <w:iCs/>
          <w:sz w:val="24"/>
          <w:szCs w:val="24"/>
          <w:shd w:val="clear" w:color="auto" w:fill="FFFFFF"/>
          <w:lang w:val="en-US"/>
        </w:rPr>
        <w:t xml:space="preserve"> OR </w:t>
      </w:r>
      <w:r w:rsidR="00D5382E" w:rsidRPr="00C10A48">
        <w:rPr>
          <w:rFonts w:ascii="Book Antiqua" w:hAnsi="Book Antiqua" w:cs="Arial"/>
          <w:iCs/>
          <w:sz w:val="24"/>
          <w:szCs w:val="24"/>
          <w:shd w:val="clear" w:color="auto" w:fill="FFFFFF"/>
          <w:lang w:val="en-US"/>
        </w:rPr>
        <w:t>hepatic</w:t>
      </w:r>
      <w:r w:rsidR="000A0606" w:rsidRPr="00C10A48">
        <w:rPr>
          <w:rFonts w:ascii="Book Antiqua" w:hAnsi="Book Antiqua" w:cs="Arial"/>
          <w:iCs/>
          <w:sz w:val="24"/>
          <w:szCs w:val="24"/>
          <w:shd w:val="clear" w:color="auto" w:fill="FFFFFF"/>
          <w:lang w:val="en-US"/>
        </w:rPr>
        <w:t>.</w:t>
      </w:r>
      <w:r w:rsidR="00F26942" w:rsidRPr="00C10A48">
        <w:rPr>
          <w:rFonts w:ascii="Book Antiqua" w:hAnsi="Book Antiqua" w:cs="Arial"/>
          <w:iCs/>
          <w:sz w:val="24"/>
          <w:szCs w:val="24"/>
          <w:shd w:val="clear" w:color="auto" w:fill="FFFFFF"/>
          <w:lang w:val="en-US"/>
        </w:rPr>
        <w:t>"</w:t>
      </w:r>
    </w:p>
    <w:p w14:paraId="20CDB9CB" w14:textId="77777777" w:rsidR="003135C1" w:rsidRPr="00C10A48" w:rsidRDefault="003135C1" w:rsidP="00F227A9">
      <w:pPr>
        <w:snapToGrid w:val="0"/>
        <w:spacing w:after="0" w:line="360" w:lineRule="auto"/>
        <w:jc w:val="both"/>
        <w:rPr>
          <w:rFonts w:ascii="Book Antiqua" w:hAnsi="Book Antiqua" w:cs="Arial"/>
          <w:sz w:val="24"/>
          <w:szCs w:val="24"/>
          <w:shd w:val="clear" w:color="auto" w:fill="FFFFFF"/>
          <w:lang w:val="en-US"/>
        </w:rPr>
      </w:pPr>
    </w:p>
    <w:p w14:paraId="60D66F10" w14:textId="29C9D357" w:rsidR="003135C1" w:rsidRPr="00C10A48" w:rsidRDefault="003135C1" w:rsidP="00F227A9">
      <w:pPr>
        <w:snapToGrid w:val="0"/>
        <w:spacing w:after="0" w:line="360" w:lineRule="auto"/>
        <w:jc w:val="both"/>
        <w:rPr>
          <w:rFonts w:ascii="Book Antiqua" w:hAnsi="Book Antiqua" w:cs="Arial"/>
          <w:b/>
          <w:bCs/>
          <w:i/>
          <w:iCs/>
          <w:sz w:val="24"/>
          <w:szCs w:val="24"/>
          <w:shd w:val="clear" w:color="auto" w:fill="FFFFFF"/>
          <w:lang w:val="en-US"/>
        </w:rPr>
      </w:pPr>
      <w:r w:rsidRPr="00C10A48">
        <w:rPr>
          <w:rFonts w:ascii="Book Antiqua" w:hAnsi="Book Antiqua" w:cs="Arial"/>
          <w:b/>
          <w:bCs/>
          <w:i/>
          <w:iCs/>
          <w:sz w:val="24"/>
          <w:szCs w:val="24"/>
          <w:shd w:val="clear" w:color="auto" w:fill="FFFFFF"/>
          <w:lang w:val="en-US"/>
        </w:rPr>
        <w:t>Study selection, eligibility criteria</w:t>
      </w:r>
      <w:r w:rsidR="000A0606" w:rsidRPr="00C10A48">
        <w:rPr>
          <w:rFonts w:ascii="Book Antiqua" w:hAnsi="Book Antiqua" w:cs="Arial"/>
          <w:b/>
          <w:bCs/>
          <w:i/>
          <w:iCs/>
          <w:sz w:val="24"/>
          <w:szCs w:val="24"/>
          <w:shd w:val="clear" w:color="auto" w:fill="FFFFFF"/>
          <w:lang w:val="en-US"/>
        </w:rPr>
        <w:t>,</w:t>
      </w:r>
      <w:r w:rsidR="0018055D" w:rsidRPr="00C10A48">
        <w:rPr>
          <w:rFonts w:ascii="Book Antiqua" w:hAnsi="Book Antiqua" w:cs="Arial"/>
          <w:b/>
          <w:bCs/>
          <w:i/>
          <w:iCs/>
          <w:sz w:val="24"/>
          <w:szCs w:val="24"/>
          <w:shd w:val="clear" w:color="auto" w:fill="FFFFFF"/>
          <w:lang w:val="en-US"/>
        </w:rPr>
        <w:t xml:space="preserve"> and data items</w:t>
      </w:r>
    </w:p>
    <w:p w14:paraId="5BCF6BCE" w14:textId="139D3587" w:rsidR="003135C1" w:rsidRPr="00C10A48" w:rsidRDefault="00F03591" w:rsidP="00F227A9">
      <w:pPr>
        <w:snapToGrid w:val="0"/>
        <w:spacing w:after="0" w:line="360" w:lineRule="auto"/>
        <w:jc w:val="both"/>
        <w:rPr>
          <w:rFonts w:ascii="Book Antiqua" w:hAnsi="Book Antiqua" w:cs="Arial"/>
          <w:sz w:val="24"/>
          <w:szCs w:val="24"/>
          <w:shd w:val="clear" w:color="auto" w:fill="FFFFFF"/>
          <w:lang w:val="en-US"/>
        </w:rPr>
      </w:pPr>
      <w:r w:rsidRPr="00C10A48">
        <w:rPr>
          <w:rFonts w:ascii="Book Antiqua" w:hAnsi="Book Antiqua" w:cs="Arial"/>
          <w:sz w:val="24"/>
          <w:szCs w:val="24"/>
          <w:shd w:val="clear" w:color="auto" w:fill="FFFFFF"/>
          <w:lang w:val="en-US"/>
        </w:rPr>
        <w:t>RCTs comparing</w:t>
      </w:r>
      <w:r w:rsidR="003135C1" w:rsidRPr="00C10A48">
        <w:rPr>
          <w:rFonts w:ascii="Book Antiqua" w:hAnsi="Book Antiqua" w:cs="Arial"/>
          <w:sz w:val="24"/>
          <w:szCs w:val="24"/>
          <w:shd w:val="clear" w:color="auto" w:fill="FFFFFF"/>
          <w:lang w:val="en-US"/>
        </w:rPr>
        <w:t xml:space="preserve"> </w:t>
      </w:r>
      <w:r w:rsidRPr="00C10A48">
        <w:rPr>
          <w:rFonts w:ascii="Book Antiqua" w:hAnsi="Book Antiqua" w:cs="Arial"/>
          <w:sz w:val="24"/>
          <w:szCs w:val="24"/>
          <w:shd w:val="clear" w:color="auto" w:fill="FFFFFF"/>
          <w:lang w:val="en-US"/>
        </w:rPr>
        <w:t xml:space="preserve">propofol and midazolam </w:t>
      </w:r>
      <w:r w:rsidR="003135C1" w:rsidRPr="00C10A48">
        <w:rPr>
          <w:rFonts w:ascii="Book Antiqua" w:hAnsi="Book Antiqua" w:cs="Arial"/>
          <w:sz w:val="24"/>
          <w:szCs w:val="24"/>
          <w:shd w:val="clear" w:color="auto" w:fill="FFFFFF"/>
          <w:lang w:val="en-US"/>
        </w:rPr>
        <w:t xml:space="preserve">for sedation during elective </w:t>
      </w:r>
      <w:bookmarkStart w:id="12" w:name="_Hlk32946867"/>
      <w:r w:rsidR="000A0606" w:rsidRPr="00C10A48">
        <w:rPr>
          <w:rFonts w:ascii="Book Antiqua" w:hAnsi="Book Antiqua" w:cs="Arial"/>
          <w:sz w:val="24"/>
          <w:szCs w:val="24"/>
          <w:shd w:val="clear" w:color="auto" w:fill="FFFFFF"/>
          <w:lang w:val="en-US"/>
        </w:rPr>
        <w:t xml:space="preserve">gastrointestinal </w:t>
      </w:r>
      <w:bookmarkEnd w:id="12"/>
      <w:r w:rsidR="003135C1" w:rsidRPr="00C10A48">
        <w:rPr>
          <w:rFonts w:ascii="Book Antiqua" w:hAnsi="Book Antiqua" w:cs="Arial"/>
          <w:sz w:val="24"/>
          <w:szCs w:val="24"/>
          <w:shd w:val="clear" w:color="auto" w:fill="FFFFFF"/>
          <w:lang w:val="en-US"/>
        </w:rPr>
        <w:t xml:space="preserve">endoscopy in </w:t>
      </w:r>
      <w:r w:rsidRPr="00C10A48">
        <w:rPr>
          <w:rFonts w:ascii="Book Antiqua" w:hAnsi="Book Antiqua" w:cs="Arial"/>
          <w:sz w:val="24"/>
          <w:szCs w:val="24"/>
          <w:shd w:val="clear" w:color="auto" w:fill="FFFFFF"/>
          <w:lang w:val="en-US"/>
        </w:rPr>
        <w:t>patients with cirrhosis</w:t>
      </w:r>
      <w:r w:rsidR="003135C1" w:rsidRPr="00C10A48">
        <w:rPr>
          <w:rFonts w:ascii="Book Antiqua" w:hAnsi="Book Antiqua" w:cs="Arial"/>
          <w:sz w:val="24"/>
          <w:szCs w:val="24"/>
          <w:shd w:val="clear" w:color="auto" w:fill="FFFFFF"/>
          <w:lang w:val="en-US"/>
        </w:rPr>
        <w:t xml:space="preserve"> </w:t>
      </w:r>
      <w:r w:rsidRPr="00C10A48">
        <w:rPr>
          <w:rFonts w:ascii="Book Antiqua" w:hAnsi="Book Antiqua" w:cs="Arial"/>
          <w:sz w:val="24"/>
          <w:szCs w:val="24"/>
          <w:shd w:val="clear" w:color="auto" w:fill="FFFFFF"/>
          <w:lang w:val="en-US"/>
        </w:rPr>
        <w:t xml:space="preserve">more than </w:t>
      </w:r>
      <w:r w:rsidR="003135C1" w:rsidRPr="00C10A48">
        <w:rPr>
          <w:rFonts w:ascii="Book Antiqua" w:hAnsi="Book Antiqua" w:cs="Arial"/>
          <w:sz w:val="24"/>
          <w:szCs w:val="24"/>
          <w:shd w:val="clear" w:color="auto" w:fill="FFFFFF"/>
          <w:lang w:val="en-US"/>
        </w:rPr>
        <w:t>18 years o</w:t>
      </w:r>
      <w:r w:rsidRPr="00C10A48">
        <w:rPr>
          <w:rFonts w:ascii="Book Antiqua" w:hAnsi="Book Antiqua" w:cs="Arial"/>
          <w:sz w:val="24"/>
          <w:szCs w:val="24"/>
          <w:shd w:val="clear" w:color="auto" w:fill="FFFFFF"/>
          <w:lang w:val="en-US"/>
        </w:rPr>
        <w:t>f age</w:t>
      </w:r>
      <w:r w:rsidR="00D5382E" w:rsidRPr="00C10A48">
        <w:rPr>
          <w:rFonts w:ascii="Book Antiqua" w:hAnsi="Book Antiqua" w:cs="Arial"/>
          <w:sz w:val="24"/>
          <w:szCs w:val="24"/>
          <w:shd w:val="clear" w:color="auto" w:fill="FFFFFF"/>
          <w:lang w:val="en-US"/>
        </w:rPr>
        <w:t xml:space="preserve"> were included</w:t>
      </w:r>
      <w:r w:rsidR="003135C1" w:rsidRPr="00C10A48">
        <w:rPr>
          <w:rFonts w:ascii="Book Antiqua" w:hAnsi="Book Antiqua" w:cs="Arial"/>
          <w:sz w:val="24"/>
          <w:szCs w:val="24"/>
          <w:shd w:val="clear" w:color="auto" w:fill="FFFFFF"/>
          <w:lang w:val="en-US"/>
        </w:rPr>
        <w:t xml:space="preserve">. </w:t>
      </w:r>
      <w:r w:rsidR="001961B6" w:rsidRPr="00C10A48">
        <w:rPr>
          <w:rFonts w:ascii="Book Antiqua" w:hAnsi="Book Antiqua" w:cs="Arial"/>
          <w:sz w:val="24"/>
          <w:szCs w:val="24"/>
          <w:shd w:val="clear" w:color="auto" w:fill="FFFFFF"/>
          <w:lang w:val="en-US"/>
        </w:rPr>
        <w:t>Studies were excluded if</w:t>
      </w:r>
      <w:r w:rsidR="00675395" w:rsidRPr="00C10A48">
        <w:rPr>
          <w:rFonts w:ascii="Book Antiqua" w:hAnsi="Book Antiqua" w:cs="Arial"/>
          <w:sz w:val="24"/>
          <w:szCs w:val="24"/>
          <w:shd w:val="clear" w:color="auto" w:fill="FFFFFF"/>
          <w:lang w:val="en-US"/>
        </w:rPr>
        <w:t xml:space="preserve"> </w:t>
      </w:r>
      <w:r w:rsidR="001961B6" w:rsidRPr="00C10A48">
        <w:rPr>
          <w:rFonts w:ascii="Book Antiqua" w:hAnsi="Book Antiqua" w:cs="Arial"/>
          <w:sz w:val="24"/>
          <w:szCs w:val="24"/>
          <w:shd w:val="clear" w:color="auto" w:fill="FFFFFF"/>
          <w:lang w:val="en-US"/>
        </w:rPr>
        <w:t xml:space="preserve">they included patients </w:t>
      </w:r>
      <w:r w:rsidR="003135C1" w:rsidRPr="00C10A48">
        <w:rPr>
          <w:rFonts w:ascii="Book Antiqua" w:hAnsi="Book Antiqua" w:cs="Arial"/>
          <w:sz w:val="24"/>
          <w:szCs w:val="24"/>
          <w:shd w:val="clear" w:color="auto" w:fill="FFFFFF"/>
          <w:lang w:val="en-US"/>
        </w:rPr>
        <w:t>without cirrhosis</w:t>
      </w:r>
      <w:r w:rsidR="001961B6" w:rsidRPr="00C10A48">
        <w:rPr>
          <w:rFonts w:ascii="Book Antiqua" w:hAnsi="Book Antiqua" w:cs="Arial"/>
          <w:sz w:val="24"/>
          <w:szCs w:val="24"/>
          <w:shd w:val="clear" w:color="auto" w:fill="FFFFFF"/>
          <w:lang w:val="en-US"/>
        </w:rPr>
        <w:t>,</w:t>
      </w:r>
      <w:r w:rsidR="003135C1" w:rsidRPr="00C10A48">
        <w:rPr>
          <w:rFonts w:ascii="Book Antiqua" w:hAnsi="Book Antiqua" w:cs="Arial"/>
          <w:sz w:val="24"/>
          <w:szCs w:val="24"/>
          <w:shd w:val="clear" w:color="auto" w:fill="FFFFFF"/>
          <w:lang w:val="en-US"/>
        </w:rPr>
        <w:t xml:space="preserve"> patients with upper gastrointestinal bleeding, decompensated liver disease, neurological or psychiatric diseases; patients who used illicit drugs that could alter their central nervous system; patients that used drugs </w:t>
      </w:r>
      <w:r w:rsidR="001961B6" w:rsidRPr="00C10A48">
        <w:rPr>
          <w:rFonts w:ascii="Book Antiqua" w:hAnsi="Book Antiqua" w:cs="Arial"/>
          <w:sz w:val="24"/>
          <w:szCs w:val="24"/>
          <w:shd w:val="clear" w:color="auto" w:fill="FFFFFF"/>
          <w:lang w:val="en-US"/>
        </w:rPr>
        <w:t xml:space="preserve">such </w:t>
      </w:r>
      <w:r w:rsidR="003135C1" w:rsidRPr="00C10A48">
        <w:rPr>
          <w:rFonts w:ascii="Book Antiqua" w:hAnsi="Book Antiqua" w:cs="Arial"/>
          <w:sz w:val="24"/>
          <w:szCs w:val="24"/>
          <w:shd w:val="clear" w:color="auto" w:fill="FFFFFF"/>
          <w:lang w:val="en-US"/>
        </w:rPr>
        <w:t xml:space="preserve">as benzodiazepines, anti-depressants, antiepileptics, and </w:t>
      </w:r>
      <w:r w:rsidR="001961B6" w:rsidRPr="00C10A48">
        <w:rPr>
          <w:rFonts w:ascii="Book Antiqua" w:hAnsi="Book Antiqua" w:cs="Arial"/>
          <w:sz w:val="24"/>
          <w:szCs w:val="24"/>
          <w:shd w:val="clear" w:color="auto" w:fill="FFFFFF"/>
          <w:lang w:val="en-US"/>
        </w:rPr>
        <w:t xml:space="preserve">patients with </w:t>
      </w:r>
      <w:r w:rsidR="003135C1" w:rsidRPr="00C10A48">
        <w:rPr>
          <w:rFonts w:ascii="Book Antiqua" w:hAnsi="Book Antiqua" w:cs="Arial"/>
          <w:sz w:val="24"/>
          <w:szCs w:val="24"/>
          <w:shd w:val="clear" w:color="auto" w:fill="FFFFFF"/>
          <w:lang w:val="en-US"/>
        </w:rPr>
        <w:t>ASA</w:t>
      </w:r>
      <w:r w:rsidR="001961B6" w:rsidRPr="00C10A48">
        <w:rPr>
          <w:rFonts w:ascii="Book Antiqua" w:hAnsi="Book Antiqua" w:cs="Arial"/>
          <w:sz w:val="24"/>
          <w:szCs w:val="24"/>
          <w:shd w:val="clear" w:color="auto" w:fill="FFFFFF"/>
          <w:lang w:val="en-US"/>
        </w:rPr>
        <w:t xml:space="preserve"> class</w:t>
      </w:r>
      <w:r w:rsidR="003135C1" w:rsidRPr="00C10A48">
        <w:rPr>
          <w:rFonts w:ascii="Book Antiqua" w:hAnsi="Book Antiqua" w:cs="Arial"/>
          <w:sz w:val="24"/>
          <w:szCs w:val="24"/>
          <w:shd w:val="clear" w:color="auto" w:fill="FFFFFF"/>
          <w:lang w:val="en-US"/>
        </w:rPr>
        <w:t xml:space="preserve"> IV-V</w:t>
      </w:r>
      <w:r w:rsidR="001961B6" w:rsidRPr="00C10A48">
        <w:rPr>
          <w:rFonts w:ascii="Book Antiqua" w:hAnsi="Book Antiqua" w:cs="Arial"/>
          <w:sz w:val="24"/>
          <w:szCs w:val="24"/>
          <w:shd w:val="clear" w:color="auto" w:fill="FFFFFF"/>
          <w:lang w:val="en-US"/>
        </w:rPr>
        <w:t xml:space="preserve">. </w:t>
      </w:r>
      <w:r w:rsidR="003135C1" w:rsidRPr="00C10A48">
        <w:rPr>
          <w:rFonts w:ascii="Book Antiqua" w:hAnsi="Book Antiqua" w:cs="Arial"/>
          <w:sz w:val="24"/>
          <w:szCs w:val="24"/>
          <w:shd w:val="clear" w:color="auto" w:fill="FFFFFF"/>
          <w:lang w:val="en-US"/>
        </w:rPr>
        <w:t xml:space="preserve"> </w:t>
      </w:r>
      <w:r w:rsidR="001961B6" w:rsidRPr="00C10A48">
        <w:rPr>
          <w:rFonts w:ascii="Book Antiqua" w:hAnsi="Book Antiqua" w:cs="Arial"/>
          <w:sz w:val="24"/>
          <w:szCs w:val="24"/>
          <w:shd w:val="clear" w:color="auto" w:fill="FFFFFF"/>
          <w:lang w:val="en-US"/>
        </w:rPr>
        <w:t>Case series and s</w:t>
      </w:r>
      <w:r w:rsidR="003135C1" w:rsidRPr="00C10A48">
        <w:rPr>
          <w:rFonts w:ascii="Book Antiqua" w:hAnsi="Book Antiqua" w:cs="Arial"/>
          <w:sz w:val="24"/>
          <w:szCs w:val="24"/>
          <w:shd w:val="clear" w:color="auto" w:fill="FFFFFF"/>
          <w:lang w:val="en-US"/>
        </w:rPr>
        <w:t>tudies that did not provide enough data for outcome analysis</w:t>
      </w:r>
      <w:r w:rsidR="001961B6" w:rsidRPr="00C10A48">
        <w:rPr>
          <w:rFonts w:ascii="Book Antiqua" w:hAnsi="Book Antiqua" w:cs="Arial"/>
          <w:sz w:val="24"/>
          <w:szCs w:val="24"/>
          <w:shd w:val="clear" w:color="auto" w:fill="FFFFFF"/>
          <w:lang w:val="en-US"/>
        </w:rPr>
        <w:t xml:space="preserve"> or </w:t>
      </w:r>
      <w:r w:rsidR="003135C1" w:rsidRPr="00C10A48">
        <w:rPr>
          <w:rFonts w:ascii="Book Antiqua" w:hAnsi="Book Antiqua" w:cs="Arial"/>
          <w:sz w:val="24"/>
          <w:szCs w:val="24"/>
          <w:shd w:val="clear" w:color="auto" w:fill="FFFFFF"/>
          <w:lang w:val="en-US"/>
        </w:rPr>
        <w:t>full text</w:t>
      </w:r>
      <w:r w:rsidR="001961B6" w:rsidRPr="00C10A48">
        <w:rPr>
          <w:rFonts w:ascii="Book Antiqua" w:hAnsi="Book Antiqua" w:cs="Arial"/>
          <w:sz w:val="24"/>
          <w:szCs w:val="24"/>
          <w:shd w:val="clear" w:color="auto" w:fill="FFFFFF"/>
          <w:lang w:val="en-US"/>
        </w:rPr>
        <w:t xml:space="preserve"> were also excluded</w:t>
      </w:r>
      <w:r w:rsidR="003135C1" w:rsidRPr="00C10A48">
        <w:rPr>
          <w:rFonts w:ascii="Book Antiqua" w:hAnsi="Book Antiqua" w:cs="Arial"/>
          <w:sz w:val="24"/>
          <w:szCs w:val="24"/>
          <w:shd w:val="clear" w:color="auto" w:fill="FFFFFF"/>
          <w:lang w:val="en-US"/>
        </w:rPr>
        <w:t>.</w:t>
      </w:r>
      <w:r w:rsidR="00D5382E" w:rsidRPr="00C10A48">
        <w:rPr>
          <w:rFonts w:ascii="Book Antiqua" w:hAnsi="Book Antiqua" w:cs="Arial"/>
          <w:sz w:val="24"/>
          <w:szCs w:val="24"/>
          <w:shd w:val="clear" w:color="auto" w:fill="FFFFFF"/>
          <w:lang w:val="en-US"/>
        </w:rPr>
        <w:t xml:space="preserve"> The outcomes of our study were p</w:t>
      </w:r>
      <w:r w:rsidR="003135C1" w:rsidRPr="00C10A48">
        <w:rPr>
          <w:rFonts w:ascii="Book Antiqua" w:hAnsi="Book Antiqua" w:cs="Arial"/>
          <w:sz w:val="24"/>
          <w:szCs w:val="24"/>
          <w:shd w:val="clear" w:color="auto" w:fill="FFFFFF"/>
          <w:lang w:val="en-US"/>
        </w:rPr>
        <w:t>rocedure time, recovery time, discharge time, and adverse events (bradycardia, hypotension</w:t>
      </w:r>
      <w:r w:rsidR="000A0606" w:rsidRPr="00C10A48">
        <w:rPr>
          <w:rFonts w:ascii="Book Antiqua" w:hAnsi="Book Antiqua" w:cs="Arial"/>
          <w:sz w:val="24"/>
          <w:szCs w:val="24"/>
          <w:shd w:val="clear" w:color="auto" w:fill="FFFFFF"/>
          <w:lang w:val="en-US"/>
        </w:rPr>
        <w:t>,</w:t>
      </w:r>
      <w:r w:rsidR="003135C1" w:rsidRPr="00C10A48">
        <w:rPr>
          <w:rFonts w:ascii="Book Antiqua" w:hAnsi="Book Antiqua" w:cs="Arial"/>
          <w:sz w:val="24"/>
          <w:szCs w:val="24"/>
          <w:shd w:val="clear" w:color="auto" w:fill="FFFFFF"/>
          <w:lang w:val="en-US"/>
        </w:rPr>
        <w:t xml:space="preserve"> and hypoxemia).</w:t>
      </w:r>
    </w:p>
    <w:p w14:paraId="21CE8AA2" w14:textId="77777777" w:rsidR="00882772" w:rsidRPr="00C10A48" w:rsidRDefault="00882772" w:rsidP="00F227A9">
      <w:pPr>
        <w:snapToGrid w:val="0"/>
        <w:spacing w:after="0" w:line="360" w:lineRule="auto"/>
        <w:jc w:val="both"/>
        <w:rPr>
          <w:rFonts w:ascii="Book Antiqua" w:hAnsi="Book Antiqua"/>
          <w:i/>
          <w:iCs/>
          <w:sz w:val="24"/>
          <w:szCs w:val="24"/>
          <w:lang w:val="en-US"/>
        </w:rPr>
      </w:pPr>
    </w:p>
    <w:p w14:paraId="2D8D6D15" w14:textId="5865EA70" w:rsidR="009C4441" w:rsidRPr="00C10A48" w:rsidRDefault="009C4441" w:rsidP="00F227A9">
      <w:pPr>
        <w:snapToGrid w:val="0"/>
        <w:spacing w:after="0" w:line="360" w:lineRule="auto"/>
        <w:jc w:val="both"/>
        <w:rPr>
          <w:rFonts w:ascii="Book Antiqua" w:hAnsi="Book Antiqua" w:cs="Arial"/>
          <w:b/>
          <w:bCs/>
          <w:i/>
          <w:iCs/>
          <w:sz w:val="24"/>
          <w:szCs w:val="24"/>
          <w:shd w:val="clear" w:color="auto" w:fill="FFFFFF"/>
          <w:lang w:val="en-US"/>
        </w:rPr>
      </w:pPr>
      <w:r w:rsidRPr="00C10A48">
        <w:rPr>
          <w:rFonts w:ascii="Book Antiqua" w:hAnsi="Book Antiqua" w:cs="Arial"/>
          <w:b/>
          <w:bCs/>
          <w:i/>
          <w:iCs/>
          <w:sz w:val="24"/>
          <w:szCs w:val="24"/>
          <w:shd w:val="clear" w:color="auto" w:fill="FFFFFF"/>
          <w:lang w:val="en-US"/>
        </w:rPr>
        <w:t>Study selection and data collection process</w:t>
      </w:r>
    </w:p>
    <w:p w14:paraId="6BBB6333" w14:textId="515AB692" w:rsidR="006E3234" w:rsidRPr="00C10A48" w:rsidRDefault="0092213F" w:rsidP="00F227A9">
      <w:pPr>
        <w:snapToGrid w:val="0"/>
        <w:spacing w:after="0" w:line="360" w:lineRule="auto"/>
        <w:jc w:val="both"/>
        <w:rPr>
          <w:rFonts w:ascii="Book Antiqua" w:hAnsi="Book Antiqua" w:cs="Arial"/>
          <w:sz w:val="24"/>
          <w:szCs w:val="24"/>
          <w:shd w:val="clear" w:color="auto" w:fill="FFFFFF"/>
          <w:lang w:val="en-US"/>
        </w:rPr>
      </w:pPr>
      <w:r w:rsidRPr="00C10A48">
        <w:rPr>
          <w:rFonts w:ascii="Book Antiqua" w:hAnsi="Book Antiqua" w:cs="Arial"/>
          <w:sz w:val="24"/>
          <w:szCs w:val="24"/>
          <w:shd w:val="clear" w:color="auto" w:fill="FFFFFF"/>
          <w:lang w:val="en-US"/>
        </w:rPr>
        <w:t>All data were extracted from article texts, tables, and figures with any estimates made based on the presented data and figures. Two investigators independently reviewed each included article, and its eligibility was determined based on predetermined inclusion and exclusion criteria. Any discrepancy resolved by discussion and re</w:t>
      </w:r>
      <w:r w:rsidR="0018055D" w:rsidRPr="00C10A48">
        <w:rPr>
          <w:rFonts w:ascii="Book Antiqua" w:hAnsi="Book Antiqua" w:cs="宋体"/>
          <w:sz w:val="24"/>
          <w:szCs w:val="24"/>
          <w:shd w:val="clear" w:color="auto" w:fill="FFFFFF"/>
          <w:lang w:val="en-US" w:eastAsia="zh-CN"/>
        </w:rPr>
        <w:t>-</w:t>
      </w:r>
      <w:r w:rsidRPr="00C10A48">
        <w:rPr>
          <w:rFonts w:ascii="Book Antiqua" w:hAnsi="Book Antiqua" w:cs="Arial"/>
          <w:sz w:val="24"/>
          <w:szCs w:val="24"/>
          <w:shd w:val="clear" w:color="auto" w:fill="FFFFFF"/>
          <w:lang w:val="en-US"/>
        </w:rPr>
        <w:t xml:space="preserve">evaluation by senior authors. </w:t>
      </w:r>
      <w:r w:rsidR="003135C1" w:rsidRPr="00C10A48">
        <w:rPr>
          <w:rFonts w:ascii="Book Antiqua" w:hAnsi="Book Antiqua" w:cs="Arial"/>
          <w:sz w:val="24"/>
          <w:szCs w:val="24"/>
          <w:shd w:val="clear" w:color="auto" w:fill="FFFFFF"/>
          <w:lang w:val="en-US"/>
        </w:rPr>
        <w:t xml:space="preserve">The following data were collected: </w:t>
      </w:r>
      <w:r w:rsidR="00A90808">
        <w:rPr>
          <w:rFonts w:ascii="Book Antiqua" w:hAnsi="Book Antiqua" w:cs="Arial" w:hint="eastAsia"/>
          <w:sz w:val="24"/>
          <w:szCs w:val="24"/>
          <w:shd w:val="clear" w:color="auto" w:fill="FFFFFF"/>
          <w:lang w:val="en-US" w:eastAsia="zh-CN"/>
        </w:rPr>
        <w:t>S</w:t>
      </w:r>
      <w:r w:rsidR="003135C1" w:rsidRPr="00C10A48">
        <w:rPr>
          <w:rFonts w:ascii="Book Antiqua" w:hAnsi="Book Antiqua" w:cs="Arial"/>
          <w:sz w:val="24"/>
          <w:szCs w:val="24"/>
          <w:shd w:val="clear" w:color="auto" w:fill="FFFFFF"/>
          <w:lang w:val="en-US"/>
        </w:rPr>
        <w:t xml:space="preserve">tudy model, </w:t>
      </w:r>
      <w:r w:rsidR="000A0606" w:rsidRPr="00C10A48">
        <w:rPr>
          <w:rFonts w:ascii="Book Antiqua" w:hAnsi="Book Antiqua" w:cs="Arial"/>
          <w:sz w:val="24"/>
          <w:szCs w:val="24"/>
          <w:shd w:val="clear" w:color="auto" w:fill="FFFFFF"/>
          <w:lang w:val="en-US"/>
        </w:rPr>
        <w:t xml:space="preserve">the </w:t>
      </w:r>
      <w:r w:rsidR="003135C1" w:rsidRPr="00C10A48">
        <w:rPr>
          <w:rFonts w:ascii="Book Antiqua" w:hAnsi="Book Antiqua" w:cs="Arial"/>
          <w:sz w:val="24"/>
          <w:szCs w:val="24"/>
          <w:shd w:val="clear" w:color="auto" w:fill="FFFFFF"/>
          <w:lang w:val="en-US"/>
        </w:rPr>
        <w:t xml:space="preserve">total number of included patients, gender, </w:t>
      </w:r>
      <w:proofErr w:type="gramStart"/>
      <w:r w:rsidR="003135C1" w:rsidRPr="00C10A48">
        <w:rPr>
          <w:rFonts w:ascii="Book Antiqua" w:hAnsi="Book Antiqua" w:cs="Arial"/>
          <w:sz w:val="24"/>
          <w:szCs w:val="24"/>
          <w:shd w:val="clear" w:color="auto" w:fill="FFFFFF"/>
          <w:lang w:val="en-US"/>
        </w:rPr>
        <w:t>age</w:t>
      </w:r>
      <w:proofErr w:type="gramEnd"/>
      <w:r w:rsidR="003135C1" w:rsidRPr="00C10A48">
        <w:rPr>
          <w:rFonts w:ascii="Book Antiqua" w:hAnsi="Book Antiqua" w:cs="Arial"/>
          <w:sz w:val="24"/>
          <w:szCs w:val="24"/>
          <w:shd w:val="clear" w:color="auto" w:fill="FFFFFF"/>
          <w:lang w:val="en-US"/>
        </w:rPr>
        <w:t xml:space="preserve">, etiology of cirrhosis, Child-Turcotte-Pugh score, </w:t>
      </w:r>
      <w:r w:rsidR="000A0606" w:rsidRPr="00C10A48">
        <w:rPr>
          <w:rFonts w:ascii="Book Antiqua" w:hAnsi="Book Antiqua" w:cs="Arial"/>
          <w:sz w:val="24"/>
          <w:szCs w:val="24"/>
          <w:shd w:val="clear" w:color="auto" w:fill="FFFFFF"/>
          <w:lang w:val="en-US"/>
        </w:rPr>
        <w:t xml:space="preserve">and </w:t>
      </w:r>
      <w:r w:rsidR="003135C1" w:rsidRPr="00C10A48">
        <w:rPr>
          <w:rFonts w:ascii="Book Antiqua" w:hAnsi="Book Antiqua" w:cs="Arial"/>
          <w:sz w:val="24"/>
          <w:szCs w:val="24"/>
          <w:shd w:val="clear" w:color="auto" w:fill="FFFFFF"/>
          <w:lang w:val="en-US"/>
        </w:rPr>
        <w:t>adverse events</w:t>
      </w:r>
      <w:r w:rsidR="000A0606" w:rsidRPr="00C10A48">
        <w:rPr>
          <w:rFonts w:ascii="Book Antiqua" w:hAnsi="Book Antiqua" w:cs="Arial"/>
          <w:sz w:val="24"/>
          <w:szCs w:val="24"/>
          <w:shd w:val="clear" w:color="auto" w:fill="FFFFFF"/>
          <w:lang w:val="en-US"/>
        </w:rPr>
        <w:t xml:space="preserve"> related</w:t>
      </w:r>
      <w:r w:rsidR="003135C1" w:rsidRPr="00C10A48">
        <w:rPr>
          <w:rFonts w:ascii="Book Antiqua" w:hAnsi="Book Antiqua" w:cs="Arial"/>
          <w:sz w:val="24"/>
          <w:szCs w:val="24"/>
          <w:shd w:val="clear" w:color="auto" w:fill="FFFFFF"/>
          <w:lang w:val="en-US"/>
        </w:rPr>
        <w:t xml:space="preserve"> to the sedation. </w:t>
      </w:r>
    </w:p>
    <w:p w14:paraId="0ED4E015" w14:textId="77777777" w:rsidR="0092213F" w:rsidRPr="00C10A48" w:rsidRDefault="0092213F" w:rsidP="00F227A9">
      <w:pPr>
        <w:snapToGrid w:val="0"/>
        <w:spacing w:after="0" w:line="360" w:lineRule="auto"/>
        <w:jc w:val="both"/>
        <w:rPr>
          <w:rFonts w:ascii="Book Antiqua" w:hAnsi="Book Antiqua" w:cs="Arial"/>
          <w:sz w:val="24"/>
          <w:szCs w:val="24"/>
          <w:shd w:val="clear" w:color="auto" w:fill="FFFFFF"/>
          <w:lang w:val="en-US"/>
        </w:rPr>
      </w:pPr>
    </w:p>
    <w:p w14:paraId="6B2FB728" w14:textId="77777777" w:rsidR="00DF24DC" w:rsidRPr="00C10A48" w:rsidRDefault="00DF24DC" w:rsidP="00F227A9">
      <w:pPr>
        <w:snapToGrid w:val="0"/>
        <w:spacing w:after="0" w:line="360" w:lineRule="auto"/>
        <w:jc w:val="both"/>
        <w:rPr>
          <w:rFonts w:ascii="Book Antiqua" w:hAnsi="Book Antiqua" w:cs="Arial"/>
          <w:b/>
          <w:bCs/>
          <w:i/>
          <w:iCs/>
          <w:sz w:val="24"/>
          <w:szCs w:val="24"/>
          <w:shd w:val="clear" w:color="auto" w:fill="FFFFFF"/>
          <w:lang w:val="en-US"/>
        </w:rPr>
      </w:pPr>
      <w:r w:rsidRPr="00C10A48">
        <w:rPr>
          <w:rFonts w:ascii="Book Antiqua" w:hAnsi="Book Antiqua" w:cs="Arial"/>
          <w:b/>
          <w:bCs/>
          <w:i/>
          <w:iCs/>
          <w:sz w:val="24"/>
          <w:szCs w:val="24"/>
          <w:shd w:val="clear" w:color="auto" w:fill="FFFFFF"/>
          <w:lang w:val="en-US"/>
        </w:rPr>
        <w:t>Risk of bias in individual studies</w:t>
      </w:r>
    </w:p>
    <w:p w14:paraId="480DE22C" w14:textId="1459A70A" w:rsidR="006E3234" w:rsidRPr="00C10A48" w:rsidRDefault="00882772" w:rsidP="00F227A9">
      <w:pPr>
        <w:snapToGrid w:val="0"/>
        <w:spacing w:after="0" w:line="360" w:lineRule="auto"/>
        <w:jc w:val="both"/>
        <w:rPr>
          <w:rFonts w:ascii="Book Antiqua" w:hAnsi="Book Antiqua" w:cs="Arial"/>
          <w:sz w:val="24"/>
          <w:szCs w:val="24"/>
          <w:shd w:val="clear" w:color="auto" w:fill="FFFFFF"/>
          <w:lang w:val="en-US"/>
        </w:rPr>
      </w:pPr>
      <w:r w:rsidRPr="00C10A48">
        <w:rPr>
          <w:rFonts w:ascii="Book Antiqua" w:hAnsi="Book Antiqua" w:cs="Arial"/>
          <w:sz w:val="24"/>
          <w:szCs w:val="24"/>
          <w:shd w:val="clear" w:color="auto" w:fill="FFFFFF"/>
          <w:lang w:val="en-US"/>
        </w:rPr>
        <w:t>The risk of bias in the studies was assessed using the Revised Cochrane Risk-of-Bias tool for randomized trials (RoB-2). We performed a complete analysis using RoB-2 for each of the outcomes in each selected study. In order to simplify the analysis, we assessed the overall risk of bias for each study using the same domains suggested in RoB-2.</w:t>
      </w:r>
    </w:p>
    <w:p w14:paraId="4E69EDC5" w14:textId="4E005A44" w:rsidR="00882772" w:rsidRPr="00C10A48" w:rsidRDefault="00882772" w:rsidP="00F227A9">
      <w:pPr>
        <w:snapToGrid w:val="0"/>
        <w:spacing w:after="0" w:line="360" w:lineRule="auto"/>
        <w:jc w:val="both"/>
        <w:rPr>
          <w:rFonts w:ascii="Book Antiqua" w:hAnsi="Book Antiqua" w:cs="Arial"/>
          <w:sz w:val="24"/>
          <w:szCs w:val="24"/>
          <w:shd w:val="clear" w:color="auto" w:fill="FFFFFF"/>
          <w:lang w:val="en-US"/>
        </w:rPr>
      </w:pPr>
    </w:p>
    <w:p w14:paraId="7F71897F" w14:textId="77777777" w:rsidR="00882772" w:rsidRPr="00C10A48" w:rsidRDefault="00882772" w:rsidP="00F227A9">
      <w:pPr>
        <w:snapToGrid w:val="0"/>
        <w:spacing w:after="0" w:line="360" w:lineRule="auto"/>
        <w:jc w:val="both"/>
        <w:rPr>
          <w:rFonts w:ascii="Book Antiqua" w:hAnsi="Book Antiqua" w:cs="Arial"/>
          <w:b/>
          <w:i/>
          <w:sz w:val="24"/>
          <w:szCs w:val="24"/>
          <w:shd w:val="clear" w:color="auto" w:fill="FFFFFF"/>
          <w:lang w:val="en-US"/>
        </w:rPr>
      </w:pPr>
      <w:r w:rsidRPr="00C10A48">
        <w:rPr>
          <w:rFonts w:ascii="Book Antiqua" w:hAnsi="Book Antiqua" w:cs="Arial"/>
          <w:b/>
          <w:i/>
          <w:sz w:val="24"/>
          <w:szCs w:val="24"/>
          <w:shd w:val="clear" w:color="auto" w:fill="FFFFFF"/>
          <w:lang w:val="en-US"/>
        </w:rPr>
        <w:t>Risk of bias across studies</w:t>
      </w:r>
    </w:p>
    <w:p w14:paraId="2283B9D6" w14:textId="13A7E0A9" w:rsidR="00557884" w:rsidRPr="00C10A48" w:rsidRDefault="002E6770" w:rsidP="00F227A9">
      <w:pPr>
        <w:snapToGrid w:val="0"/>
        <w:spacing w:after="0" w:line="360" w:lineRule="auto"/>
        <w:jc w:val="both"/>
        <w:rPr>
          <w:rFonts w:ascii="Book Antiqua" w:hAnsi="Book Antiqua" w:cs="Arial"/>
          <w:sz w:val="24"/>
          <w:szCs w:val="24"/>
          <w:shd w:val="clear" w:color="auto" w:fill="FFFFFF"/>
          <w:lang w:val="en-US"/>
        </w:rPr>
      </w:pPr>
      <w:r w:rsidRPr="00C10A48">
        <w:rPr>
          <w:rFonts w:ascii="Book Antiqua" w:hAnsi="Book Antiqua" w:cs="Arial"/>
          <w:sz w:val="24"/>
          <w:szCs w:val="24"/>
          <w:shd w:val="clear" w:color="auto" w:fill="FFFFFF"/>
          <w:lang w:val="en-US"/>
        </w:rPr>
        <w:t>We evaluated the randomized trials using the criteria from Bias Risk Assessment by the Cochrane Collaboration</w:t>
      </w:r>
      <w:r w:rsidR="00F26942" w:rsidRPr="00C10A48">
        <w:rPr>
          <w:rFonts w:ascii="Book Antiqua" w:hAnsi="Book Antiqua" w:cs="Arial"/>
          <w:sz w:val="24"/>
          <w:szCs w:val="24"/>
          <w:shd w:val="clear" w:color="auto" w:fill="FFFFFF"/>
          <w:lang w:val="en-US"/>
        </w:rPr>
        <w:t>'</w:t>
      </w:r>
      <w:r w:rsidRPr="00C10A48">
        <w:rPr>
          <w:rFonts w:ascii="Book Antiqua" w:hAnsi="Book Antiqua" w:cs="Arial"/>
          <w:sz w:val="24"/>
          <w:szCs w:val="24"/>
          <w:shd w:val="clear" w:color="auto" w:fill="FFFFFF"/>
          <w:lang w:val="en-US"/>
        </w:rPr>
        <w:t xml:space="preserve">s tool - ROB2 - Risk of </w:t>
      </w:r>
      <w:proofErr w:type="gramStart"/>
      <w:r w:rsidRPr="00C10A48">
        <w:rPr>
          <w:rFonts w:ascii="Book Antiqua" w:hAnsi="Book Antiqua" w:cs="Arial"/>
          <w:sz w:val="24"/>
          <w:szCs w:val="24"/>
          <w:shd w:val="clear" w:color="auto" w:fill="FFFFFF"/>
          <w:lang w:val="en-US"/>
        </w:rPr>
        <w:t>Bias</w:t>
      </w:r>
      <w:r w:rsidR="0024084B" w:rsidRPr="00C10A48">
        <w:rPr>
          <w:rFonts w:ascii="Book Antiqua" w:hAnsi="Book Antiqua" w:cs="Arial"/>
          <w:noProof/>
          <w:sz w:val="24"/>
          <w:szCs w:val="24"/>
          <w:shd w:val="clear" w:color="auto" w:fill="FFFFFF"/>
          <w:vertAlign w:val="superscript"/>
          <w:lang w:val="en-US"/>
        </w:rPr>
        <w:t>[</w:t>
      </w:r>
      <w:proofErr w:type="gramEnd"/>
      <w:r w:rsidR="0024084B" w:rsidRPr="00C10A48">
        <w:rPr>
          <w:rFonts w:ascii="Book Antiqua" w:hAnsi="Book Antiqua" w:cs="Arial"/>
          <w:noProof/>
          <w:sz w:val="24"/>
          <w:szCs w:val="24"/>
          <w:shd w:val="clear" w:color="auto" w:fill="FFFFFF"/>
          <w:vertAlign w:val="superscript"/>
          <w:lang w:val="en-US"/>
        </w:rPr>
        <w:t>14]</w:t>
      </w:r>
      <w:r w:rsidRPr="00C10A48">
        <w:rPr>
          <w:rFonts w:ascii="Book Antiqua" w:hAnsi="Book Antiqua" w:cs="Arial"/>
          <w:sz w:val="24"/>
          <w:szCs w:val="24"/>
          <w:shd w:val="clear" w:color="auto" w:fill="FFFFFF"/>
          <w:lang w:val="en-US"/>
        </w:rPr>
        <w:t xml:space="preserve">. The tool analyzes the risk of bias by classifying it in five different domains: </w:t>
      </w:r>
      <w:r w:rsidR="00A90808">
        <w:rPr>
          <w:rFonts w:ascii="Book Antiqua" w:hAnsi="Book Antiqua" w:cs="Arial" w:hint="eastAsia"/>
          <w:sz w:val="24"/>
          <w:szCs w:val="24"/>
          <w:shd w:val="clear" w:color="auto" w:fill="FFFFFF"/>
          <w:lang w:val="en-US" w:eastAsia="zh-CN"/>
        </w:rPr>
        <w:t>R</w:t>
      </w:r>
      <w:r w:rsidRPr="00C10A48">
        <w:rPr>
          <w:rFonts w:ascii="Book Antiqua" w:hAnsi="Book Antiqua" w:cs="Arial"/>
          <w:sz w:val="24"/>
          <w:szCs w:val="24"/>
          <w:shd w:val="clear" w:color="auto" w:fill="FFFFFF"/>
          <w:lang w:val="en-US"/>
        </w:rPr>
        <w:t xml:space="preserve">andomization process, deviations in the intention of the intervention, loss of data on outcomes, methods of measuring outcomes, and selection of reported results. The risk of bias for each specific domain is categorized as </w:t>
      </w:r>
      <w:r w:rsidR="00F26942" w:rsidRPr="00C10A48">
        <w:rPr>
          <w:rFonts w:ascii="Book Antiqua" w:hAnsi="Book Antiqua" w:cs="Arial"/>
          <w:sz w:val="24"/>
          <w:szCs w:val="24"/>
          <w:shd w:val="clear" w:color="auto" w:fill="FFFFFF"/>
          <w:lang w:val="en-US"/>
        </w:rPr>
        <w:t>"</w:t>
      </w:r>
      <w:r w:rsidRPr="00C10A48">
        <w:rPr>
          <w:rFonts w:ascii="Book Antiqua" w:hAnsi="Book Antiqua" w:cs="Arial"/>
          <w:sz w:val="24"/>
          <w:szCs w:val="24"/>
          <w:shd w:val="clear" w:color="auto" w:fill="FFFFFF"/>
          <w:lang w:val="en-US"/>
        </w:rPr>
        <w:t>low risk,</w:t>
      </w:r>
      <w:r w:rsidR="00F26942" w:rsidRPr="00C10A48">
        <w:rPr>
          <w:rFonts w:ascii="Book Antiqua" w:hAnsi="Book Antiqua" w:cs="Arial"/>
          <w:sz w:val="24"/>
          <w:szCs w:val="24"/>
          <w:shd w:val="clear" w:color="auto" w:fill="FFFFFF"/>
          <w:lang w:val="en-US"/>
        </w:rPr>
        <w:t>” "</w:t>
      </w:r>
      <w:r w:rsidRPr="00C10A48">
        <w:rPr>
          <w:rFonts w:ascii="Book Antiqua" w:hAnsi="Book Antiqua" w:cs="Arial"/>
          <w:sz w:val="24"/>
          <w:szCs w:val="24"/>
          <w:shd w:val="clear" w:color="auto" w:fill="FFFFFF"/>
          <w:lang w:val="en-US"/>
        </w:rPr>
        <w:t>some concerns,</w:t>
      </w:r>
      <w:r w:rsidR="00F26942" w:rsidRPr="00C10A48">
        <w:rPr>
          <w:rFonts w:ascii="Book Antiqua" w:hAnsi="Book Antiqua" w:cs="Arial"/>
          <w:sz w:val="24"/>
          <w:szCs w:val="24"/>
          <w:shd w:val="clear" w:color="auto" w:fill="FFFFFF"/>
          <w:lang w:val="en-US"/>
        </w:rPr>
        <w:t>"</w:t>
      </w:r>
      <w:r w:rsidRPr="00C10A48">
        <w:rPr>
          <w:rFonts w:ascii="Book Antiqua" w:hAnsi="Book Antiqua" w:cs="Arial"/>
          <w:sz w:val="24"/>
          <w:szCs w:val="24"/>
          <w:shd w:val="clear" w:color="auto" w:fill="FFFFFF"/>
          <w:lang w:val="en-US"/>
        </w:rPr>
        <w:t xml:space="preserve"> or </w:t>
      </w:r>
      <w:r w:rsidR="00F26942" w:rsidRPr="00C10A48">
        <w:rPr>
          <w:rFonts w:ascii="Book Antiqua" w:hAnsi="Book Antiqua" w:cs="Arial"/>
          <w:sz w:val="24"/>
          <w:szCs w:val="24"/>
          <w:shd w:val="clear" w:color="auto" w:fill="FFFFFF"/>
          <w:lang w:val="en-US"/>
        </w:rPr>
        <w:t>"</w:t>
      </w:r>
      <w:r w:rsidRPr="00C10A48">
        <w:rPr>
          <w:rFonts w:ascii="Book Antiqua" w:hAnsi="Book Antiqua" w:cs="Arial"/>
          <w:sz w:val="24"/>
          <w:szCs w:val="24"/>
          <w:shd w:val="clear" w:color="auto" w:fill="FFFFFF"/>
          <w:lang w:val="en-US"/>
        </w:rPr>
        <w:t>high risk</w:t>
      </w:r>
      <w:r w:rsidR="00F26942" w:rsidRPr="00C10A48">
        <w:rPr>
          <w:rFonts w:ascii="Book Antiqua" w:hAnsi="Book Antiqua" w:cs="Arial"/>
          <w:sz w:val="24"/>
          <w:szCs w:val="24"/>
          <w:shd w:val="clear" w:color="auto" w:fill="FFFFFF"/>
          <w:lang w:val="en-US"/>
        </w:rPr>
        <w:t>"</w:t>
      </w:r>
      <w:r w:rsidRPr="00C10A48">
        <w:rPr>
          <w:rFonts w:ascii="Book Antiqua" w:hAnsi="Book Antiqua" w:cs="Arial"/>
          <w:sz w:val="24"/>
          <w:szCs w:val="24"/>
          <w:shd w:val="clear" w:color="auto" w:fill="FFFFFF"/>
          <w:lang w:val="en-US"/>
        </w:rPr>
        <w:t xml:space="preserve"> for each of the outcomes, according to the criteria described in detail in the Cochrane </w:t>
      </w:r>
      <w:proofErr w:type="gramStart"/>
      <w:r w:rsidRPr="00C10A48">
        <w:rPr>
          <w:rFonts w:ascii="Book Antiqua" w:hAnsi="Book Antiqua" w:cs="Arial"/>
          <w:sz w:val="24"/>
          <w:szCs w:val="24"/>
          <w:shd w:val="clear" w:color="auto" w:fill="FFFFFF"/>
          <w:lang w:val="en-US"/>
        </w:rPr>
        <w:t>Handbook</w:t>
      </w:r>
      <w:r w:rsidR="0024084B" w:rsidRPr="00C10A48">
        <w:rPr>
          <w:rFonts w:ascii="Book Antiqua" w:hAnsi="Book Antiqua" w:cs="Arial"/>
          <w:noProof/>
          <w:sz w:val="24"/>
          <w:szCs w:val="24"/>
          <w:shd w:val="clear" w:color="auto" w:fill="FFFFFF"/>
          <w:vertAlign w:val="superscript"/>
          <w:lang w:val="en-US"/>
        </w:rPr>
        <w:t>[</w:t>
      </w:r>
      <w:proofErr w:type="gramEnd"/>
      <w:r w:rsidR="0024084B" w:rsidRPr="00C10A48">
        <w:rPr>
          <w:rFonts w:ascii="Book Antiqua" w:hAnsi="Book Antiqua" w:cs="Arial"/>
          <w:noProof/>
          <w:sz w:val="24"/>
          <w:szCs w:val="24"/>
          <w:shd w:val="clear" w:color="auto" w:fill="FFFFFF"/>
          <w:vertAlign w:val="superscript"/>
          <w:lang w:val="en-US"/>
        </w:rPr>
        <w:t>14]</w:t>
      </w:r>
      <w:r w:rsidR="003F349D" w:rsidRPr="00C10A48">
        <w:rPr>
          <w:rFonts w:ascii="Book Antiqua" w:hAnsi="Book Antiqua" w:cs="Arial"/>
          <w:sz w:val="24"/>
          <w:szCs w:val="24"/>
          <w:shd w:val="clear" w:color="auto" w:fill="FFFFFF"/>
          <w:lang w:val="en-US"/>
        </w:rPr>
        <w:t>.</w:t>
      </w:r>
    </w:p>
    <w:p w14:paraId="0EBF3276" w14:textId="77777777" w:rsidR="002E6770" w:rsidRPr="00C10A48" w:rsidRDefault="002E6770" w:rsidP="00F227A9">
      <w:pPr>
        <w:snapToGrid w:val="0"/>
        <w:spacing w:after="0" w:line="360" w:lineRule="auto"/>
        <w:jc w:val="both"/>
        <w:rPr>
          <w:rFonts w:ascii="Book Antiqua" w:hAnsi="Book Antiqua" w:cs="Arial"/>
          <w:sz w:val="24"/>
          <w:szCs w:val="24"/>
          <w:shd w:val="clear" w:color="auto" w:fill="FFFFFF"/>
          <w:lang w:val="en-US"/>
        </w:rPr>
      </w:pPr>
    </w:p>
    <w:p w14:paraId="66BDD0D4" w14:textId="7F8C8888" w:rsidR="00882772" w:rsidRPr="00C10A48" w:rsidRDefault="006A060D" w:rsidP="00F227A9">
      <w:pPr>
        <w:snapToGrid w:val="0"/>
        <w:spacing w:after="0" w:line="360" w:lineRule="auto"/>
        <w:jc w:val="both"/>
        <w:rPr>
          <w:rFonts w:ascii="Book Antiqua" w:hAnsi="Book Antiqua" w:cs="Arial"/>
          <w:b/>
          <w:bCs/>
          <w:i/>
          <w:iCs/>
          <w:sz w:val="24"/>
          <w:szCs w:val="24"/>
          <w:shd w:val="clear" w:color="auto" w:fill="FFFFFF"/>
          <w:lang w:val="en-US"/>
        </w:rPr>
      </w:pPr>
      <w:r w:rsidRPr="00C10A48">
        <w:rPr>
          <w:rFonts w:ascii="Book Antiqua" w:hAnsi="Book Antiqua" w:cs="Arial"/>
          <w:b/>
          <w:bCs/>
          <w:i/>
          <w:iCs/>
          <w:sz w:val="24"/>
          <w:szCs w:val="24"/>
          <w:shd w:val="clear" w:color="auto" w:fill="FFFFFF"/>
          <w:lang w:val="en-US"/>
        </w:rPr>
        <w:t>Summary measures</w:t>
      </w:r>
      <w:r w:rsidR="00451C64" w:rsidRPr="00C10A48">
        <w:rPr>
          <w:rFonts w:ascii="Book Antiqua" w:hAnsi="Book Antiqua" w:cs="Arial"/>
          <w:b/>
          <w:bCs/>
          <w:i/>
          <w:iCs/>
          <w:sz w:val="24"/>
          <w:szCs w:val="24"/>
          <w:shd w:val="clear" w:color="auto" w:fill="FFFFFF"/>
          <w:lang w:val="en-US"/>
        </w:rPr>
        <w:t xml:space="preserve">, </w:t>
      </w:r>
      <w:r w:rsidRPr="00C10A48">
        <w:rPr>
          <w:rFonts w:ascii="Book Antiqua" w:hAnsi="Book Antiqua" w:cs="Arial"/>
          <w:b/>
          <w:bCs/>
          <w:i/>
          <w:iCs/>
          <w:sz w:val="24"/>
          <w:szCs w:val="24"/>
          <w:shd w:val="clear" w:color="auto" w:fill="FFFFFF"/>
          <w:lang w:val="en-US"/>
        </w:rPr>
        <w:t>synthesis of results</w:t>
      </w:r>
      <w:r w:rsidR="00451C64" w:rsidRPr="00C10A48">
        <w:rPr>
          <w:rFonts w:ascii="Book Antiqua" w:hAnsi="Book Antiqua" w:cs="Arial"/>
          <w:b/>
          <w:bCs/>
          <w:i/>
          <w:iCs/>
          <w:sz w:val="24"/>
          <w:szCs w:val="24"/>
          <w:shd w:val="clear" w:color="auto" w:fill="FFFFFF"/>
          <w:lang w:val="en-US"/>
        </w:rPr>
        <w:t xml:space="preserve"> and data analysis</w:t>
      </w:r>
    </w:p>
    <w:p w14:paraId="69E71780" w14:textId="1BABA50A" w:rsidR="00123841" w:rsidRPr="00C10A48" w:rsidRDefault="00882772" w:rsidP="00F227A9">
      <w:pPr>
        <w:snapToGrid w:val="0"/>
        <w:spacing w:after="0" w:line="360" w:lineRule="auto"/>
        <w:jc w:val="both"/>
        <w:rPr>
          <w:rFonts w:ascii="Book Antiqua" w:hAnsi="Book Antiqua" w:cs="Arial"/>
          <w:b/>
          <w:sz w:val="24"/>
          <w:szCs w:val="24"/>
          <w:shd w:val="clear" w:color="auto" w:fill="FFFFFF"/>
          <w:lang w:val="en-US"/>
        </w:rPr>
      </w:pPr>
      <w:r w:rsidRPr="00C10A48">
        <w:rPr>
          <w:rFonts w:ascii="Book Antiqua" w:hAnsi="Book Antiqua" w:cs="Arial"/>
          <w:b/>
          <w:sz w:val="24"/>
          <w:szCs w:val="24"/>
          <w:shd w:val="clear" w:color="auto" w:fill="FFFFFF"/>
          <w:lang w:val="en-US"/>
        </w:rPr>
        <w:t>GRADE (quality of evidence)</w:t>
      </w:r>
      <w:r w:rsidR="0018055D" w:rsidRPr="00C10A48">
        <w:rPr>
          <w:rFonts w:ascii="Book Antiqua" w:hAnsi="Book Antiqua" w:cs="Arial" w:hint="eastAsia"/>
          <w:b/>
          <w:sz w:val="24"/>
          <w:szCs w:val="24"/>
          <w:shd w:val="clear" w:color="auto" w:fill="FFFFFF"/>
          <w:lang w:val="en-US" w:eastAsia="zh-CN"/>
        </w:rPr>
        <w:t>:</w:t>
      </w:r>
      <w:r w:rsidR="0018055D" w:rsidRPr="00C10A48">
        <w:rPr>
          <w:rFonts w:ascii="Book Antiqua" w:hAnsi="Book Antiqua" w:cs="Arial"/>
          <w:b/>
          <w:sz w:val="24"/>
          <w:szCs w:val="24"/>
          <w:shd w:val="clear" w:color="auto" w:fill="FFFFFF"/>
          <w:lang w:val="en-US" w:eastAsia="zh-CN"/>
        </w:rPr>
        <w:t xml:space="preserve"> </w:t>
      </w:r>
      <w:r w:rsidRPr="00C10A48">
        <w:rPr>
          <w:rFonts w:ascii="Book Antiqua" w:hAnsi="Book Antiqua" w:cs="Arial"/>
          <w:sz w:val="24"/>
          <w:szCs w:val="24"/>
          <w:shd w:val="clear" w:color="auto" w:fill="FFFFFF"/>
          <w:lang w:val="en-US"/>
        </w:rPr>
        <w:t xml:space="preserve">The quality of evidence was assessed </w:t>
      </w:r>
      <w:r w:rsidR="000A0606" w:rsidRPr="00C10A48">
        <w:rPr>
          <w:rFonts w:ascii="Book Antiqua" w:hAnsi="Book Antiqua" w:cs="Arial"/>
          <w:sz w:val="24"/>
          <w:szCs w:val="24"/>
          <w:shd w:val="clear" w:color="auto" w:fill="FFFFFF"/>
          <w:lang w:val="en-US"/>
        </w:rPr>
        <w:t>with</w:t>
      </w:r>
      <w:r w:rsidRPr="00C10A48">
        <w:rPr>
          <w:rFonts w:ascii="Book Antiqua" w:hAnsi="Book Antiqua" w:cs="Arial"/>
          <w:sz w:val="24"/>
          <w:szCs w:val="24"/>
          <w:shd w:val="clear" w:color="auto" w:fill="FFFFFF"/>
          <w:lang w:val="en-US"/>
        </w:rPr>
        <w:t xml:space="preserve"> the objective criteria of GRADE (Grading of Recommendations Assessment, </w:t>
      </w:r>
      <w:r w:rsidRPr="00C10A48">
        <w:rPr>
          <w:rFonts w:ascii="Book Antiqua" w:hAnsi="Book Antiqua" w:cs="Arial"/>
          <w:sz w:val="24"/>
          <w:szCs w:val="24"/>
          <w:shd w:val="clear" w:color="auto" w:fill="FFFFFF"/>
          <w:lang w:val="en-US"/>
        </w:rPr>
        <w:lastRenderedPageBreak/>
        <w:t>Development</w:t>
      </w:r>
      <w:r w:rsidR="0035483A" w:rsidRPr="00C10A48">
        <w:rPr>
          <w:rFonts w:ascii="Book Antiqua" w:hAnsi="Book Antiqua" w:cs="Arial"/>
          <w:sz w:val="24"/>
          <w:szCs w:val="24"/>
          <w:shd w:val="clear" w:color="auto" w:fill="FFFFFF"/>
          <w:lang w:val="en-US"/>
        </w:rPr>
        <w:t>,</w:t>
      </w:r>
      <w:r w:rsidRPr="00C10A48">
        <w:rPr>
          <w:rFonts w:ascii="Book Antiqua" w:hAnsi="Book Antiqua" w:cs="Arial"/>
          <w:sz w:val="24"/>
          <w:szCs w:val="24"/>
          <w:shd w:val="clear" w:color="auto" w:fill="FFFFFF"/>
          <w:lang w:val="en-US"/>
        </w:rPr>
        <w:t xml:space="preserve"> and Evaluation) for each of the pre-specified results and outcomes</w:t>
      </w:r>
      <w:r w:rsidR="000A0606" w:rsidRPr="00C10A48">
        <w:rPr>
          <w:rFonts w:ascii="Book Antiqua" w:hAnsi="Book Antiqua" w:cs="Arial"/>
          <w:sz w:val="24"/>
          <w:szCs w:val="24"/>
          <w:shd w:val="clear" w:color="auto" w:fill="FFFFFF"/>
          <w:lang w:val="en-US"/>
        </w:rPr>
        <w:t xml:space="preserve"> using </w:t>
      </w:r>
      <w:r w:rsidRPr="00C10A48">
        <w:rPr>
          <w:rFonts w:ascii="Book Antiqua" w:hAnsi="Book Antiqua" w:cs="Arial"/>
          <w:sz w:val="24"/>
          <w:szCs w:val="24"/>
          <w:shd w:val="clear" w:color="auto" w:fill="FFFFFF"/>
          <w:lang w:val="en-US"/>
        </w:rPr>
        <w:t xml:space="preserve">the software </w:t>
      </w:r>
      <w:bookmarkStart w:id="13" w:name="_Hlk35082344"/>
      <w:proofErr w:type="spellStart"/>
      <w:r w:rsidRPr="00C10A48">
        <w:rPr>
          <w:rFonts w:ascii="Book Antiqua" w:hAnsi="Book Antiqua" w:cs="Arial"/>
          <w:sz w:val="24"/>
          <w:szCs w:val="24"/>
          <w:shd w:val="clear" w:color="auto" w:fill="FFFFFF"/>
          <w:lang w:val="en-US"/>
        </w:rPr>
        <w:t>GRADEpro</w:t>
      </w:r>
      <w:bookmarkEnd w:id="13"/>
      <w:proofErr w:type="spellEnd"/>
      <w:r w:rsidRPr="00C10A48">
        <w:rPr>
          <w:rFonts w:ascii="Book Antiqua" w:hAnsi="Book Antiqua" w:cs="Arial"/>
          <w:sz w:val="24"/>
          <w:szCs w:val="24"/>
          <w:shd w:val="clear" w:color="auto" w:fill="FFFFFF"/>
          <w:lang w:val="en-US"/>
        </w:rPr>
        <w:t xml:space="preserve"> - Guideline Development Tool (Mc Master University, 2015; Evidence Prime, Inc., Ontario, Canada). GRADE is a tool used to assess </w:t>
      </w:r>
      <w:r w:rsidR="000A0606" w:rsidRPr="00C10A48">
        <w:rPr>
          <w:rFonts w:ascii="Book Antiqua" w:hAnsi="Book Antiqua" w:cs="Arial"/>
          <w:sz w:val="24"/>
          <w:szCs w:val="24"/>
          <w:shd w:val="clear" w:color="auto" w:fill="FFFFFF"/>
          <w:lang w:val="en-US"/>
        </w:rPr>
        <w:t xml:space="preserve">the </w:t>
      </w:r>
      <w:r w:rsidRPr="00C10A48">
        <w:rPr>
          <w:rFonts w:ascii="Book Antiqua" w:hAnsi="Book Antiqua" w:cs="Arial"/>
          <w:sz w:val="24"/>
          <w:szCs w:val="24"/>
          <w:shd w:val="clear" w:color="auto" w:fill="FFFFFF"/>
          <w:lang w:val="en-US"/>
        </w:rPr>
        <w:t>quality of evidence</w:t>
      </w:r>
      <w:r w:rsidR="000A0606" w:rsidRPr="00C10A48">
        <w:rPr>
          <w:rFonts w:ascii="Book Antiqua" w:hAnsi="Book Antiqua" w:cs="Arial"/>
          <w:sz w:val="24"/>
          <w:szCs w:val="24"/>
          <w:shd w:val="clear" w:color="auto" w:fill="FFFFFF"/>
          <w:lang w:val="en-US"/>
        </w:rPr>
        <w:t>-</w:t>
      </w:r>
      <w:r w:rsidRPr="00C10A48">
        <w:rPr>
          <w:rFonts w:ascii="Book Antiqua" w:hAnsi="Book Antiqua" w:cs="Arial"/>
          <w:sz w:val="24"/>
          <w:szCs w:val="24"/>
          <w:shd w:val="clear" w:color="auto" w:fill="FFFFFF"/>
          <w:lang w:val="en-US"/>
        </w:rPr>
        <w:t xml:space="preserve">based on criteria that involve assessing the risk of bias, inconsistency, indirect evidence, imprecision, and publication bias. The evaluation of the risk of bias and the quality of the studies was carried out under the supervision of our statistical analysis team. </w:t>
      </w:r>
    </w:p>
    <w:p w14:paraId="66527CCD" w14:textId="058AC2F5" w:rsidR="0007500E" w:rsidRPr="00C10A48" w:rsidRDefault="0007500E" w:rsidP="00F227A9">
      <w:pPr>
        <w:snapToGrid w:val="0"/>
        <w:spacing w:after="0" w:line="360" w:lineRule="auto"/>
        <w:jc w:val="both"/>
        <w:rPr>
          <w:rFonts w:ascii="Book Antiqua" w:hAnsi="Book Antiqua" w:cs="Arial"/>
          <w:sz w:val="24"/>
          <w:szCs w:val="24"/>
          <w:shd w:val="clear" w:color="auto" w:fill="FFFFFF"/>
          <w:lang w:val="en-US"/>
        </w:rPr>
      </w:pPr>
    </w:p>
    <w:p w14:paraId="0AD4423F" w14:textId="00305BE8" w:rsidR="0007500E" w:rsidRPr="00C10A48" w:rsidRDefault="0007500E" w:rsidP="00F227A9">
      <w:pPr>
        <w:snapToGrid w:val="0"/>
        <w:spacing w:after="0" w:line="360" w:lineRule="auto"/>
        <w:jc w:val="both"/>
        <w:rPr>
          <w:rFonts w:ascii="Book Antiqua" w:hAnsi="Book Antiqua" w:cs="Arial"/>
          <w:b/>
          <w:sz w:val="24"/>
          <w:szCs w:val="24"/>
          <w:shd w:val="clear" w:color="auto" w:fill="FFFFFF"/>
          <w:lang w:val="en-US"/>
        </w:rPr>
      </w:pPr>
      <w:r w:rsidRPr="00C10A48">
        <w:rPr>
          <w:rFonts w:ascii="Book Antiqua" w:hAnsi="Book Antiqua" w:cs="Arial"/>
          <w:b/>
          <w:sz w:val="24"/>
          <w:szCs w:val="24"/>
          <w:shd w:val="clear" w:color="auto" w:fill="FFFFFF"/>
          <w:lang w:val="en-US"/>
        </w:rPr>
        <w:t>Statistical analysis</w:t>
      </w:r>
      <w:r w:rsidR="006D6D4B" w:rsidRPr="00C10A48">
        <w:rPr>
          <w:rFonts w:ascii="Book Antiqua" w:hAnsi="Book Antiqua" w:cs="Arial"/>
          <w:b/>
          <w:sz w:val="24"/>
          <w:szCs w:val="24"/>
          <w:shd w:val="clear" w:color="auto" w:fill="FFFFFF"/>
          <w:lang w:val="en-US"/>
        </w:rPr>
        <w:t xml:space="preserve">: </w:t>
      </w:r>
      <w:r w:rsidR="0071163B" w:rsidRPr="00C10A48">
        <w:rPr>
          <w:rFonts w:ascii="Book Antiqua" w:hAnsi="Book Antiqua" w:cs="Arial"/>
          <w:sz w:val="24"/>
          <w:szCs w:val="24"/>
          <w:shd w:val="clear" w:color="auto" w:fill="FFFFFF"/>
          <w:lang w:val="en-US"/>
        </w:rPr>
        <w:t xml:space="preserve">The metanalysis was performed using </w:t>
      </w:r>
      <w:proofErr w:type="spellStart"/>
      <w:r w:rsidR="0071163B" w:rsidRPr="00C10A48">
        <w:rPr>
          <w:rFonts w:ascii="Book Antiqua" w:hAnsi="Book Antiqua" w:cs="Arial"/>
          <w:sz w:val="24"/>
          <w:szCs w:val="24"/>
          <w:shd w:val="clear" w:color="auto" w:fill="FFFFFF"/>
          <w:lang w:val="en-US"/>
        </w:rPr>
        <w:t>RevMan</w:t>
      </w:r>
      <w:proofErr w:type="spellEnd"/>
      <w:r w:rsidR="0071163B" w:rsidRPr="00C10A48">
        <w:rPr>
          <w:rFonts w:ascii="Book Antiqua" w:hAnsi="Book Antiqua" w:cs="Arial"/>
          <w:sz w:val="24"/>
          <w:szCs w:val="24"/>
          <w:shd w:val="clear" w:color="auto" w:fill="FFFFFF"/>
          <w:lang w:val="en-US"/>
        </w:rPr>
        <w:t xml:space="preserve"> 5 (Review Manager </w:t>
      </w:r>
      <w:proofErr w:type="gramStart"/>
      <w:r w:rsidR="0071163B" w:rsidRPr="00C10A48">
        <w:rPr>
          <w:rFonts w:ascii="Book Antiqua" w:hAnsi="Book Antiqua" w:cs="Arial"/>
          <w:sz w:val="24"/>
          <w:szCs w:val="24"/>
          <w:shd w:val="clear" w:color="auto" w:fill="FFFFFF"/>
          <w:lang w:val="en-US"/>
        </w:rPr>
        <w:t>version</w:t>
      </w:r>
      <w:proofErr w:type="gramEnd"/>
      <w:r w:rsidR="0071163B" w:rsidRPr="00C10A48">
        <w:rPr>
          <w:rFonts w:ascii="Book Antiqua" w:hAnsi="Book Antiqua" w:cs="Arial"/>
          <w:sz w:val="24"/>
          <w:szCs w:val="24"/>
          <w:shd w:val="clear" w:color="auto" w:fill="FFFFFF"/>
          <w:lang w:val="en-US"/>
        </w:rPr>
        <w:t xml:space="preserve"> 5.3.5 - Cochrane Collaboration, Oxford, United Kingdom).  </w:t>
      </w:r>
      <w:r w:rsidRPr="00C10A48">
        <w:rPr>
          <w:rFonts w:ascii="Book Antiqua" w:hAnsi="Book Antiqua" w:cs="Arial"/>
          <w:sz w:val="24"/>
          <w:szCs w:val="24"/>
          <w:shd w:val="clear" w:color="auto" w:fill="FFFFFF"/>
          <w:lang w:val="en-US"/>
        </w:rPr>
        <w:t xml:space="preserve">The risk of difference (RD) </w:t>
      </w:r>
      <w:r w:rsidR="00C34F60" w:rsidRPr="00C10A48">
        <w:rPr>
          <w:rFonts w:ascii="Book Antiqua" w:hAnsi="Book Antiqua" w:cs="Arial"/>
          <w:sz w:val="24"/>
          <w:szCs w:val="24"/>
          <w:shd w:val="clear" w:color="auto" w:fill="FFFFFF"/>
          <w:lang w:val="en-US"/>
        </w:rPr>
        <w:t xml:space="preserve">with a 95% confidence interval (CI) </w:t>
      </w:r>
      <w:r w:rsidRPr="00C10A48">
        <w:rPr>
          <w:rFonts w:ascii="Book Antiqua" w:hAnsi="Book Antiqua" w:cs="Arial"/>
          <w:sz w:val="24"/>
          <w:szCs w:val="24"/>
          <w:shd w:val="clear" w:color="auto" w:fill="FFFFFF"/>
          <w:lang w:val="en-US"/>
        </w:rPr>
        <w:t xml:space="preserve">for dichotomous variables was calculated by using </w:t>
      </w:r>
      <w:r w:rsidR="0035483A" w:rsidRPr="00C10A48">
        <w:rPr>
          <w:rFonts w:ascii="Book Antiqua" w:hAnsi="Book Antiqua" w:cs="Arial"/>
          <w:sz w:val="24"/>
          <w:szCs w:val="24"/>
          <w:shd w:val="clear" w:color="auto" w:fill="FFFFFF"/>
          <w:lang w:val="en-US"/>
        </w:rPr>
        <w:t xml:space="preserve">the </w:t>
      </w:r>
      <w:r w:rsidRPr="00C10A48">
        <w:rPr>
          <w:rFonts w:ascii="Book Antiqua" w:hAnsi="Book Antiqua" w:cs="Arial"/>
          <w:sz w:val="24"/>
          <w:szCs w:val="24"/>
          <w:shd w:val="clear" w:color="auto" w:fill="FFFFFF"/>
          <w:lang w:val="en-US"/>
        </w:rPr>
        <w:t>Mantel-</w:t>
      </w:r>
      <w:proofErr w:type="spellStart"/>
      <w:r w:rsidRPr="00C10A48">
        <w:rPr>
          <w:rFonts w:ascii="Book Antiqua" w:hAnsi="Book Antiqua" w:cs="Arial"/>
          <w:sz w:val="24"/>
          <w:szCs w:val="24"/>
          <w:shd w:val="clear" w:color="auto" w:fill="FFFFFF"/>
          <w:lang w:val="en-US"/>
        </w:rPr>
        <w:t>Haenszel</w:t>
      </w:r>
      <w:proofErr w:type="spellEnd"/>
      <w:r w:rsidRPr="00C10A48">
        <w:rPr>
          <w:rFonts w:ascii="Book Antiqua" w:hAnsi="Book Antiqua" w:cs="Arial"/>
          <w:sz w:val="24"/>
          <w:szCs w:val="24"/>
          <w:shd w:val="clear" w:color="auto" w:fill="FFFFFF"/>
          <w:lang w:val="en-US"/>
        </w:rPr>
        <w:t xml:space="preserve"> Cochran method </w:t>
      </w:r>
      <w:r w:rsidR="000A0606" w:rsidRPr="00C10A48">
        <w:rPr>
          <w:rFonts w:ascii="Book Antiqua" w:hAnsi="Book Antiqua" w:cs="Arial"/>
          <w:sz w:val="24"/>
          <w:szCs w:val="24"/>
          <w:shd w:val="clear" w:color="auto" w:fill="FFFFFF"/>
          <w:lang w:val="en-US"/>
        </w:rPr>
        <w:t>with</w:t>
      </w:r>
      <w:r w:rsidRPr="00C10A48">
        <w:rPr>
          <w:rFonts w:ascii="Book Antiqua" w:hAnsi="Book Antiqua" w:cs="Arial"/>
          <w:sz w:val="24"/>
          <w:szCs w:val="24"/>
          <w:shd w:val="clear" w:color="auto" w:fill="FFFFFF"/>
          <w:lang w:val="en-US"/>
        </w:rPr>
        <w:t xml:space="preserve"> the fixed-effects model. For continuous variables, we calculated the mean difference (MD) </w:t>
      </w:r>
      <w:r w:rsidR="0018055D" w:rsidRPr="00C10A48">
        <w:rPr>
          <w:rFonts w:ascii="Book Antiqua" w:hAnsi="Book Antiqua" w:cs="Arial"/>
          <w:sz w:val="24"/>
          <w:szCs w:val="24"/>
          <w:shd w:val="clear" w:color="auto" w:fill="FFFFFF"/>
          <w:lang w:val="en-US"/>
        </w:rPr>
        <w:t>with 95%</w:t>
      </w:r>
      <w:r w:rsidR="0035483A" w:rsidRPr="00C10A48">
        <w:rPr>
          <w:rFonts w:ascii="Book Antiqua" w:hAnsi="Book Antiqua" w:cs="Arial"/>
          <w:sz w:val="24"/>
          <w:szCs w:val="24"/>
          <w:shd w:val="clear" w:color="auto" w:fill="FFFFFF"/>
          <w:lang w:val="en-US"/>
        </w:rPr>
        <w:t xml:space="preserve">CI using </w:t>
      </w:r>
      <w:r w:rsidRPr="00C10A48">
        <w:rPr>
          <w:rFonts w:ascii="Book Antiqua" w:hAnsi="Book Antiqua" w:cs="Arial"/>
          <w:sz w:val="24"/>
          <w:szCs w:val="24"/>
          <w:shd w:val="clear" w:color="auto" w:fill="FFFFFF"/>
          <w:lang w:val="en-US"/>
        </w:rPr>
        <w:t xml:space="preserve">random effect with inverse variance. The semi-quantitative values were </w:t>
      </w:r>
      <w:r w:rsidR="0035483A" w:rsidRPr="00C10A48">
        <w:rPr>
          <w:rFonts w:ascii="Book Antiqua" w:hAnsi="Book Antiqua" w:cs="Arial"/>
          <w:sz w:val="24"/>
          <w:szCs w:val="24"/>
          <w:shd w:val="clear" w:color="auto" w:fill="FFFFFF"/>
          <w:lang w:val="en-US"/>
        </w:rPr>
        <w:t>reported</w:t>
      </w:r>
      <w:r w:rsidRPr="00C10A48">
        <w:rPr>
          <w:rFonts w:ascii="Book Antiqua" w:hAnsi="Book Antiqua" w:cs="Arial"/>
          <w:sz w:val="24"/>
          <w:szCs w:val="24"/>
          <w:shd w:val="clear" w:color="auto" w:fill="FFFFFF"/>
          <w:lang w:val="en-US"/>
        </w:rPr>
        <w:t xml:space="preserve"> as weighted mean </w:t>
      </w:r>
      <w:r w:rsidR="0035483A" w:rsidRPr="00C10A48">
        <w:rPr>
          <w:rFonts w:ascii="Book Antiqua" w:hAnsi="Book Antiqua" w:cs="Arial"/>
          <w:sz w:val="24"/>
          <w:szCs w:val="24"/>
          <w:shd w:val="clear" w:color="auto" w:fill="FFFFFF"/>
          <w:lang w:val="en-US"/>
        </w:rPr>
        <w:t xml:space="preserve">with standard deviation determined by </w:t>
      </w:r>
      <w:r w:rsidRPr="00C10A48">
        <w:rPr>
          <w:rFonts w:ascii="Book Antiqua" w:hAnsi="Book Antiqua" w:cs="Arial"/>
          <w:sz w:val="24"/>
          <w:szCs w:val="24"/>
          <w:shd w:val="clear" w:color="auto" w:fill="FFFFFF"/>
          <w:lang w:val="en-US"/>
        </w:rPr>
        <w:t xml:space="preserve">the number of patients in each study. </w:t>
      </w:r>
      <w:r w:rsidR="0035483A" w:rsidRPr="00C10A48">
        <w:rPr>
          <w:rFonts w:ascii="Book Antiqua" w:hAnsi="Book Antiqua" w:cs="Arial"/>
          <w:sz w:val="24"/>
          <w:szCs w:val="24"/>
          <w:shd w:val="clear" w:color="auto" w:fill="FFFFFF"/>
          <w:lang w:val="en-US"/>
        </w:rPr>
        <w:t>All estimates were made based on</w:t>
      </w:r>
      <w:r w:rsidRPr="00C10A48">
        <w:rPr>
          <w:rFonts w:ascii="Book Antiqua" w:hAnsi="Book Antiqua" w:cs="Arial"/>
          <w:sz w:val="24"/>
          <w:szCs w:val="24"/>
          <w:shd w:val="clear" w:color="auto" w:fill="FFFFFF"/>
          <w:lang w:val="en-US"/>
        </w:rPr>
        <w:t xml:space="preserve"> </w:t>
      </w:r>
      <w:r w:rsidR="0035483A" w:rsidRPr="00C10A48">
        <w:rPr>
          <w:rFonts w:ascii="Book Antiqua" w:hAnsi="Book Antiqua" w:cs="Arial"/>
          <w:sz w:val="24"/>
          <w:szCs w:val="24"/>
          <w:shd w:val="clear" w:color="auto" w:fill="FFFFFF"/>
          <w:lang w:val="en-US"/>
        </w:rPr>
        <w:t xml:space="preserve">an </w:t>
      </w:r>
      <w:r w:rsidRPr="00C10A48">
        <w:rPr>
          <w:rFonts w:ascii="Book Antiqua" w:hAnsi="Book Antiqua" w:cs="Arial"/>
          <w:sz w:val="24"/>
          <w:szCs w:val="24"/>
          <w:shd w:val="clear" w:color="auto" w:fill="FFFFFF"/>
          <w:lang w:val="en-US"/>
        </w:rPr>
        <w:t xml:space="preserve">intention-to-treat analysis. Heterogeneity values were </w:t>
      </w:r>
      <w:r w:rsidR="0035483A" w:rsidRPr="00C10A48">
        <w:rPr>
          <w:rFonts w:ascii="Book Antiqua" w:hAnsi="Book Antiqua" w:cs="Arial"/>
          <w:sz w:val="24"/>
          <w:szCs w:val="24"/>
          <w:shd w:val="clear" w:color="auto" w:fill="FFFFFF"/>
          <w:lang w:val="en-US"/>
        </w:rPr>
        <w:t xml:space="preserve">estimated </w:t>
      </w:r>
      <w:r w:rsidRPr="00C10A48">
        <w:rPr>
          <w:rFonts w:ascii="Book Antiqua" w:hAnsi="Book Antiqua" w:cs="Arial"/>
          <w:sz w:val="24"/>
          <w:szCs w:val="24"/>
          <w:shd w:val="clear" w:color="auto" w:fill="FFFFFF"/>
          <w:lang w:val="en-US"/>
        </w:rPr>
        <w:t>according to Chi-square (</w:t>
      </w:r>
      <w:r w:rsidR="0018055D" w:rsidRPr="00C10A48">
        <w:rPr>
          <w:rFonts w:ascii="Book Antiqua" w:hAnsi="Book Antiqua" w:cs="Arial"/>
          <w:i/>
          <w:sz w:val="24"/>
          <w:szCs w:val="24"/>
          <w:shd w:val="clear" w:color="auto" w:fill="FFFFFF"/>
          <w:lang w:val="en-US"/>
        </w:rPr>
        <w:t>χ</w:t>
      </w:r>
      <w:r w:rsidRPr="00C10A48">
        <w:rPr>
          <w:rFonts w:ascii="Book Antiqua" w:hAnsi="Book Antiqua" w:cs="Arial"/>
          <w:sz w:val="24"/>
          <w:szCs w:val="24"/>
          <w:shd w:val="clear" w:color="auto" w:fill="FFFFFF"/>
          <w:lang w:val="en-US"/>
        </w:rPr>
        <w:t>²) and Higgins method (</w:t>
      </w:r>
      <w:r w:rsidRPr="00C10A48">
        <w:rPr>
          <w:rFonts w:ascii="Book Antiqua" w:hAnsi="Book Antiqua" w:cs="Arial"/>
          <w:i/>
          <w:sz w:val="24"/>
          <w:szCs w:val="24"/>
          <w:shd w:val="clear" w:color="auto" w:fill="FFFFFF"/>
          <w:lang w:val="en-US"/>
        </w:rPr>
        <w:t>I</w:t>
      </w:r>
      <w:r w:rsidRPr="00C10A48">
        <w:rPr>
          <w:rFonts w:ascii="Book Antiqua" w:hAnsi="Book Antiqua" w:cs="Arial"/>
          <w:sz w:val="24"/>
          <w:szCs w:val="24"/>
          <w:shd w:val="clear" w:color="auto" w:fill="FFFFFF"/>
          <w:lang w:val="en-US"/>
        </w:rPr>
        <w:t xml:space="preserve">²). Heterogeneity values greater than 50% were considered high. </w:t>
      </w:r>
      <w:r w:rsidR="0035483A" w:rsidRPr="00C10A48">
        <w:rPr>
          <w:rFonts w:ascii="Book Antiqua" w:hAnsi="Book Antiqua" w:cs="Arial"/>
          <w:sz w:val="24"/>
          <w:szCs w:val="24"/>
          <w:shd w:val="clear" w:color="auto" w:fill="FFFFFF"/>
          <w:lang w:val="en-US"/>
        </w:rPr>
        <w:t>W</w:t>
      </w:r>
      <w:r w:rsidRPr="00C10A48">
        <w:rPr>
          <w:rFonts w:ascii="Book Antiqua" w:hAnsi="Book Antiqua" w:cs="Arial"/>
          <w:sz w:val="24"/>
          <w:szCs w:val="24"/>
          <w:shd w:val="clear" w:color="auto" w:fill="FFFFFF"/>
          <w:lang w:val="en-US"/>
        </w:rPr>
        <w:t xml:space="preserve">e used the fixed-effects model </w:t>
      </w:r>
      <w:r w:rsidR="0035483A" w:rsidRPr="00C10A48">
        <w:rPr>
          <w:rFonts w:ascii="Book Antiqua" w:hAnsi="Book Antiqua" w:cs="Arial"/>
          <w:sz w:val="24"/>
          <w:szCs w:val="24"/>
          <w:shd w:val="clear" w:color="auto" w:fill="FFFFFF"/>
          <w:lang w:val="en-US"/>
        </w:rPr>
        <w:t>if the</w:t>
      </w:r>
      <w:r w:rsidRPr="00C10A48">
        <w:rPr>
          <w:rFonts w:ascii="Book Antiqua" w:hAnsi="Book Antiqua" w:cs="Arial"/>
          <w:sz w:val="24"/>
          <w:szCs w:val="24"/>
          <w:shd w:val="clear" w:color="auto" w:fill="FFFFFF"/>
          <w:lang w:val="en-US"/>
        </w:rPr>
        <w:t xml:space="preserve"> heterogeneity </w:t>
      </w:r>
      <w:r w:rsidR="0035483A" w:rsidRPr="00C10A48">
        <w:rPr>
          <w:rFonts w:ascii="Book Antiqua" w:hAnsi="Book Antiqua" w:cs="Arial"/>
          <w:sz w:val="24"/>
          <w:szCs w:val="24"/>
          <w:shd w:val="clear" w:color="auto" w:fill="FFFFFF"/>
          <w:lang w:val="en-US"/>
        </w:rPr>
        <w:t>was &lt;</w:t>
      </w:r>
      <w:r w:rsidRPr="00C10A48">
        <w:rPr>
          <w:rFonts w:ascii="Book Antiqua" w:hAnsi="Book Antiqua" w:cs="Arial"/>
          <w:sz w:val="24"/>
          <w:szCs w:val="24"/>
          <w:shd w:val="clear" w:color="auto" w:fill="FFFFFF"/>
          <w:lang w:val="en-US"/>
        </w:rPr>
        <w:t xml:space="preserve"> 50%. Absolute </w:t>
      </w:r>
      <w:proofErr w:type="gramStart"/>
      <w:r w:rsidRPr="00C10A48">
        <w:rPr>
          <w:rFonts w:ascii="Book Antiqua" w:hAnsi="Book Antiqua" w:cs="Arial"/>
          <w:sz w:val="24"/>
          <w:szCs w:val="24"/>
          <w:shd w:val="clear" w:color="auto" w:fill="FFFFFF"/>
          <w:lang w:val="en-US"/>
        </w:rPr>
        <w:t>numbers,</w:t>
      </w:r>
      <w:proofErr w:type="gramEnd"/>
      <w:r w:rsidRPr="00C10A48">
        <w:rPr>
          <w:rFonts w:ascii="Book Antiqua" w:hAnsi="Book Antiqua" w:cs="Arial"/>
          <w:sz w:val="24"/>
          <w:szCs w:val="24"/>
          <w:shd w:val="clear" w:color="auto" w:fill="FFFFFF"/>
          <w:lang w:val="en-US"/>
        </w:rPr>
        <w:t xml:space="preserve"> means, and standard deviations were used for data analysis. </w:t>
      </w:r>
      <w:r w:rsidR="0071163B" w:rsidRPr="00C10A48">
        <w:rPr>
          <w:rFonts w:ascii="Book Antiqua" w:hAnsi="Book Antiqua" w:cs="Arial"/>
          <w:sz w:val="24"/>
          <w:szCs w:val="24"/>
          <w:shd w:val="clear" w:color="auto" w:fill="FFFFFF"/>
          <w:lang w:val="en-US"/>
        </w:rPr>
        <w:t>If the</w:t>
      </w:r>
      <w:r w:rsidRPr="00C10A48">
        <w:rPr>
          <w:rFonts w:ascii="Book Antiqua" w:hAnsi="Book Antiqua" w:cs="Arial"/>
          <w:sz w:val="24"/>
          <w:szCs w:val="24"/>
          <w:shd w:val="clear" w:color="auto" w:fill="FFFFFF"/>
          <w:lang w:val="en-US"/>
        </w:rPr>
        <w:t xml:space="preserve"> means and standard deviations</w:t>
      </w:r>
      <w:r w:rsidR="0071163B" w:rsidRPr="00C10A48">
        <w:rPr>
          <w:rFonts w:ascii="Book Antiqua" w:hAnsi="Book Antiqua" w:cs="Arial"/>
          <w:sz w:val="24"/>
          <w:szCs w:val="24"/>
          <w:shd w:val="clear" w:color="auto" w:fill="FFFFFF"/>
          <w:lang w:val="en-US"/>
        </w:rPr>
        <w:t xml:space="preserve"> were not reported,</w:t>
      </w:r>
      <w:r w:rsidRPr="00C10A48">
        <w:rPr>
          <w:rFonts w:ascii="Book Antiqua" w:hAnsi="Book Antiqua" w:cs="Arial"/>
          <w:sz w:val="24"/>
          <w:szCs w:val="24"/>
          <w:shd w:val="clear" w:color="auto" w:fill="FFFFFF"/>
          <w:lang w:val="en-US"/>
        </w:rPr>
        <w:t xml:space="preserve"> </w:t>
      </w:r>
      <w:r w:rsidR="0071163B" w:rsidRPr="00C10A48">
        <w:rPr>
          <w:rFonts w:ascii="Book Antiqua" w:hAnsi="Book Antiqua" w:cs="Arial"/>
          <w:sz w:val="24"/>
          <w:szCs w:val="24"/>
          <w:shd w:val="clear" w:color="auto" w:fill="FFFFFF"/>
          <w:lang w:val="en-US"/>
        </w:rPr>
        <w:t>they</w:t>
      </w:r>
      <w:r w:rsidRPr="00C10A48">
        <w:rPr>
          <w:rFonts w:ascii="Book Antiqua" w:hAnsi="Book Antiqua" w:cs="Arial"/>
          <w:sz w:val="24"/>
          <w:szCs w:val="24"/>
          <w:shd w:val="clear" w:color="auto" w:fill="FFFFFF"/>
          <w:lang w:val="en-US"/>
        </w:rPr>
        <w:t xml:space="preserve"> w</w:t>
      </w:r>
      <w:r w:rsidR="0071163B" w:rsidRPr="00C10A48">
        <w:rPr>
          <w:rFonts w:ascii="Book Antiqua" w:hAnsi="Book Antiqua" w:cs="Arial"/>
          <w:sz w:val="24"/>
          <w:szCs w:val="24"/>
          <w:shd w:val="clear" w:color="auto" w:fill="FFFFFF"/>
          <w:lang w:val="en-US"/>
        </w:rPr>
        <w:t>ere</w:t>
      </w:r>
      <w:r w:rsidRPr="00C10A48">
        <w:rPr>
          <w:rFonts w:ascii="Book Antiqua" w:hAnsi="Book Antiqua" w:cs="Arial"/>
          <w:sz w:val="24"/>
          <w:szCs w:val="24"/>
          <w:shd w:val="clear" w:color="auto" w:fill="FFFFFF"/>
          <w:lang w:val="en-US"/>
        </w:rPr>
        <w:t xml:space="preserve"> estimated using mathematical formulas (SP </w:t>
      </w:r>
      <w:proofErr w:type="spellStart"/>
      <w:r w:rsidRPr="00C10A48">
        <w:rPr>
          <w:rFonts w:ascii="Book Antiqua" w:hAnsi="Book Antiqua" w:cs="Arial"/>
          <w:sz w:val="24"/>
          <w:szCs w:val="24"/>
          <w:shd w:val="clear" w:color="auto" w:fill="FFFFFF"/>
          <w:lang w:val="en-US"/>
        </w:rPr>
        <w:t>Hozo</w:t>
      </w:r>
      <w:proofErr w:type="spellEnd"/>
      <w:r w:rsidRPr="00C10A48">
        <w:rPr>
          <w:rFonts w:ascii="Book Antiqua" w:hAnsi="Book Antiqua" w:cs="Arial"/>
          <w:sz w:val="24"/>
          <w:szCs w:val="24"/>
          <w:shd w:val="clear" w:color="auto" w:fill="FFFFFF"/>
          <w:lang w:val="en-US"/>
        </w:rPr>
        <w:t xml:space="preserve">, B. </w:t>
      </w:r>
      <w:proofErr w:type="spellStart"/>
      <w:r w:rsidRPr="00C10A48">
        <w:rPr>
          <w:rFonts w:ascii="Book Antiqua" w:hAnsi="Book Antiqua" w:cs="Arial"/>
          <w:sz w:val="24"/>
          <w:szCs w:val="24"/>
          <w:shd w:val="clear" w:color="auto" w:fill="FFFFFF"/>
          <w:lang w:val="en-US"/>
        </w:rPr>
        <w:t>Djulbegovic</w:t>
      </w:r>
      <w:proofErr w:type="spellEnd"/>
      <w:r w:rsidRPr="00C10A48">
        <w:rPr>
          <w:rFonts w:ascii="Book Antiqua" w:hAnsi="Book Antiqua" w:cs="Arial"/>
          <w:sz w:val="24"/>
          <w:szCs w:val="24"/>
          <w:shd w:val="clear" w:color="auto" w:fill="FFFFFF"/>
          <w:lang w:val="en-US"/>
        </w:rPr>
        <w:t xml:space="preserve">, </w:t>
      </w:r>
      <w:proofErr w:type="gramStart"/>
      <w:r w:rsidRPr="00C10A48">
        <w:rPr>
          <w:rFonts w:ascii="Book Antiqua" w:hAnsi="Book Antiqua" w:cs="Arial"/>
          <w:sz w:val="24"/>
          <w:szCs w:val="24"/>
          <w:shd w:val="clear" w:color="auto" w:fill="FFFFFF"/>
          <w:lang w:val="en-US"/>
        </w:rPr>
        <w:t>I</w:t>
      </w:r>
      <w:proofErr w:type="gramEnd"/>
      <w:r w:rsidRPr="00C10A48">
        <w:rPr>
          <w:rFonts w:ascii="Book Antiqua" w:hAnsi="Book Antiqua" w:cs="Arial"/>
          <w:sz w:val="24"/>
          <w:szCs w:val="24"/>
          <w:shd w:val="clear" w:color="auto" w:fill="FFFFFF"/>
          <w:lang w:val="en-US"/>
        </w:rPr>
        <w:t xml:space="preserve">. </w:t>
      </w:r>
      <w:proofErr w:type="spellStart"/>
      <w:r w:rsidRPr="00C10A48">
        <w:rPr>
          <w:rFonts w:ascii="Book Antiqua" w:hAnsi="Book Antiqua" w:cs="Arial"/>
          <w:sz w:val="24"/>
          <w:szCs w:val="24"/>
          <w:shd w:val="clear" w:color="auto" w:fill="FFFFFF"/>
          <w:lang w:val="en-US"/>
        </w:rPr>
        <w:t>Hozo</w:t>
      </w:r>
      <w:proofErr w:type="spellEnd"/>
      <w:r w:rsidRPr="00C10A48">
        <w:rPr>
          <w:rFonts w:ascii="Book Antiqua" w:hAnsi="Book Antiqua" w:cs="Arial"/>
          <w:sz w:val="24"/>
          <w:szCs w:val="24"/>
          <w:shd w:val="clear" w:color="auto" w:fill="FFFFFF"/>
          <w:lang w:val="en-US"/>
        </w:rPr>
        <w:t xml:space="preserve">). </w:t>
      </w:r>
      <w:r w:rsidR="0071163B" w:rsidRPr="00C10A48">
        <w:rPr>
          <w:rFonts w:ascii="Book Antiqua" w:hAnsi="Book Antiqua" w:cs="Arial"/>
          <w:sz w:val="24"/>
          <w:szCs w:val="24"/>
          <w:shd w:val="clear" w:color="auto" w:fill="FFFFFF"/>
          <w:lang w:val="en-US"/>
        </w:rPr>
        <w:t xml:space="preserve">A </w:t>
      </w:r>
      <w:r w:rsidR="0071163B" w:rsidRPr="00C10A48">
        <w:rPr>
          <w:rFonts w:ascii="Book Antiqua" w:hAnsi="Book Antiqua" w:cs="Arial"/>
          <w:i/>
          <w:iCs/>
          <w:caps/>
          <w:sz w:val="24"/>
          <w:szCs w:val="24"/>
          <w:shd w:val="clear" w:color="auto" w:fill="FFFFFF"/>
          <w:lang w:val="en-US"/>
        </w:rPr>
        <w:t>p</w:t>
      </w:r>
      <w:r w:rsidR="0071163B" w:rsidRPr="00C10A48">
        <w:rPr>
          <w:rFonts w:ascii="Book Antiqua" w:hAnsi="Book Antiqua" w:cs="Arial"/>
          <w:sz w:val="24"/>
          <w:szCs w:val="24"/>
          <w:shd w:val="clear" w:color="auto" w:fill="FFFFFF"/>
          <w:lang w:val="en-US"/>
        </w:rPr>
        <w:t xml:space="preserve">-value of less than 0.05 was considered statistically significant. </w:t>
      </w:r>
    </w:p>
    <w:p w14:paraId="0D716B2C" w14:textId="77777777" w:rsidR="00882772" w:rsidRPr="00C10A48" w:rsidRDefault="00882772" w:rsidP="00F227A9">
      <w:pPr>
        <w:snapToGrid w:val="0"/>
        <w:spacing w:after="0" w:line="360" w:lineRule="auto"/>
        <w:jc w:val="both"/>
        <w:rPr>
          <w:rFonts w:ascii="Book Antiqua" w:eastAsia="Times New Roman" w:hAnsi="Book Antiqua" w:cstheme="minorHAnsi"/>
          <w:sz w:val="24"/>
          <w:szCs w:val="24"/>
          <w:lang w:val="en-US" w:eastAsia="pt-BR"/>
        </w:rPr>
      </w:pPr>
    </w:p>
    <w:p w14:paraId="617D7BC4" w14:textId="54FB4E1A" w:rsidR="004D478E" w:rsidRPr="00C10A48" w:rsidRDefault="005626AE" w:rsidP="00F227A9">
      <w:pPr>
        <w:snapToGrid w:val="0"/>
        <w:spacing w:after="0" w:line="360" w:lineRule="auto"/>
        <w:jc w:val="both"/>
        <w:rPr>
          <w:rFonts w:ascii="Book Antiqua" w:eastAsia="Times New Roman" w:hAnsi="Book Antiqua" w:cstheme="minorHAnsi"/>
          <w:b/>
          <w:bCs/>
          <w:sz w:val="24"/>
          <w:szCs w:val="24"/>
          <w:u w:val="single"/>
          <w:lang w:val="en-US" w:eastAsia="pt-BR"/>
        </w:rPr>
      </w:pPr>
      <w:r w:rsidRPr="00C10A48">
        <w:rPr>
          <w:rFonts w:ascii="Book Antiqua" w:eastAsia="Times New Roman" w:hAnsi="Book Antiqua" w:cstheme="minorHAnsi"/>
          <w:b/>
          <w:bCs/>
          <w:sz w:val="24"/>
          <w:szCs w:val="24"/>
          <w:u w:val="single"/>
          <w:lang w:val="en-US" w:eastAsia="pt-BR"/>
        </w:rPr>
        <w:t>RESULTS</w:t>
      </w:r>
    </w:p>
    <w:p w14:paraId="626FEC0A" w14:textId="05B0DB26" w:rsidR="005626AE" w:rsidRPr="00C10A48" w:rsidRDefault="005626AE" w:rsidP="00F227A9">
      <w:pPr>
        <w:snapToGrid w:val="0"/>
        <w:spacing w:after="0" w:line="360" w:lineRule="auto"/>
        <w:jc w:val="both"/>
        <w:rPr>
          <w:rFonts w:ascii="Book Antiqua" w:eastAsia="Times New Roman" w:hAnsi="Book Antiqua" w:cstheme="minorHAnsi"/>
          <w:b/>
          <w:bCs/>
          <w:i/>
          <w:iCs/>
          <w:sz w:val="24"/>
          <w:szCs w:val="24"/>
          <w:lang w:val="en-US" w:eastAsia="pt-BR"/>
        </w:rPr>
      </w:pPr>
      <w:r w:rsidRPr="00C10A48">
        <w:rPr>
          <w:rFonts w:ascii="Book Antiqua" w:eastAsia="Times New Roman" w:hAnsi="Book Antiqua" w:cstheme="minorHAnsi"/>
          <w:b/>
          <w:bCs/>
          <w:i/>
          <w:iCs/>
          <w:sz w:val="24"/>
          <w:szCs w:val="24"/>
          <w:lang w:val="en-US" w:eastAsia="pt-BR"/>
        </w:rPr>
        <w:t>Study selection</w:t>
      </w:r>
    </w:p>
    <w:p w14:paraId="58702AED" w14:textId="72BB49D4" w:rsidR="006D11DF" w:rsidRPr="00C10A48" w:rsidRDefault="002E6770" w:rsidP="00F227A9">
      <w:pPr>
        <w:snapToGrid w:val="0"/>
        <w:spacing w:after="0" w:line="360" w:lineRule="auto"/>
        <w:jc w:val="both"/>
        <w:rPr>
          <w:rFonts w:ascii="Book Antiqua" w:eastAsia="Times New Roman" w:hAnsi="Book Antiqua" w:cstheme="minorHAnsi"/>
          <w:sz w:val="24"/>
          <w:szCs w:val="24"/>
          <w:lang w:val="en-US" w:eastAsia="pt-BR"/>
        </w:rPr>
      </w:pPr>
      <w:r w:rsidRPr="00C10A48">
        <w:rPr>
          <w:rFonts w:ascii="Book Antiqua" w:eastAsia="Times New Roman" w:hAnsi="Book Antiqua" w:cstheme="minorHAnsi"/>
          <w:sz w:val="24"/>
          <w:szCs w:val="24"/>
          <w:lang w:val="en-US" w:eastAsia="pt-BR"/>
        </w:rPr>
        <w:t xml:space="preserve">The initial search identified a total of 3576 citations. After eliminating duplicates, 1601 citations were selected for title and abstract review. Out of these, 54 studies were selected for full-text review. Eleven articles were then selected to examine </w:t>
      </w:r>
      <w:r w:rsidRPr="00C10A48">
        <w:rPr>
          <w:rFonts w:ascii="Book Antiqua" w:eastAsia="Times New Roman" w:hAnsi="Book Antiqua" w:cstheme="minorHAnsi"/>
          <w:sz w:val="24"/>
          <w:szCs w:val="24"/>
          <w:lang w:val="en-US" w:eastAsia="pt-BR"/>
        </w:rPr>
        <w:lastRenderedPageBreak/>
        <w:t xml:space="preserve">for eligibility, out of which 3 were excluded because they were not RCTs. Finally, 8 </w:t>
      </w:r>
      <w:proofErr w:type="gramStart"/>
      <w:r w:rsidRPr="00C10A48">
        <w:rPr>
          <w:rFonts w:ascii="Book Antiqua" w:eastAsia="Times New Roman" w:hAnsi="Book Antiqua" w:cstheme="minorHAnsi"/>
          <w:sz w:val="24"/>
          <w:szCs w:val="24"/>
          <w:lang w:val="en-US" w:eastAsia="pt-BR"/>
        </w:rPr>
        <w:t>studies</w:t>
      </w:r>
      <w:r w:rsidR="0024084B" w:rsidRPr="00C10A48">
        <w:rPr>
          <w:rFonts w:ascii="Book Antiqua" w:eastAsia="Times New Roman" w:hAnsi="Book Antiqua" w:cstheme="minorHAnsi"/>
          <w:noProof/>
          <w:sz w:val="24"/>
          <w:szCs w:val="24"/>
          <w:vertAlign w:val="superscript"/>
          <w:lang w:val="en-US" w:eastAsia="pt-BR"/>
        </w:rPr>
        <w:t>[</w:t>
      </w:r>
      <w:proofErr w:type="gramEnd"/>
      <w:r w:rsidR="0024084B" w:rsidRPr="00C10A48">
        <w:rPr>
          <w:rFonts w:ascii="Book Antiqua" w:eastAsia="Times New Roman" w:hAnsi="Book Antiqua" w:cstheme="minorHAnsi"/>
          <w:noProof/>
          <w:sz w:val="24"/>
          <w:szCs w:val="24"/>
          <w:vertAlign w:val="superscript"/>
          <w:lang w:val="en-US" w:eastAsia="pt-BR"/>
        </w:rPr>
        <w:t>15–22]</w:t>
      </w:r>
      <w:r w:rsidRPr="00C10A48">
        <w:rPr>
          <w:rFonts w:ascii="Book Antiqua" w:eastAsia="Times New Roman" w:hAnsi="Book Antiqua" w:cstheme="minorHAnsi"/>
          <w:sz w:val="24"/>
          <w:szCs w:val="24"/>
          <w:lang w:val="en-US" w:eastAsia="pt-BR"/>
        </w:rPr>
        <w:t xml:space="preserve"> were included in our meta-analysis (Figure 1).</w:t>
      </w:r>
    </w:p>
    <w:p w14:paraId="7C69C111" w14:textId="77777777" w:rsidR="002E6770" w:rsidRPr="00C10A48" w:rsidRDefault="002E6770" w:rsidP="00F227A9">
      <w:pPr>
        <w:snapToGrid w:val="0"/>
        <w:spacing w:after="0" w:line="360" w:lineRule="auto"/>
        <w:jc w:val="both"/>
        <w:rPr>
          <w:rFonts w:ascii="Book Antiqua" w:eastAsia="Times New Roman" w:hAnsi="Book Antiqua" w:cstheme="minorHAnsi"/>
          <w:sz w:val="24"/>
          <w:szCs w:val="24"/>
          <w:lang w:val="en-US" w:eastAsia="pt-BR"/>
        </w:rPr>
      </w:pPr>
    </w:p>
    <w:p w14:paraId="01DBA3BE" w14:textId="77777777" w:rsidR="006E01D2" w:rsidRPr="00C10A48" w:rsidRDefault="006E01D2" w:rsidP="00F227A9">
      <w:pPr>
        <w:snapToGrid w:val="0"/>
        <w:spacing w:after="0" w:line="360" w:lineRule="auto"/>
        <w:jc w:val="both"/>
        <w:rPr>
          <w:rFonts w:ascii="Book Antiqua" w:eastAsia="Times New Roman" w:hAnsi="Book Antiqua" w:cstheme="minorHAnsi"/>
          <w:b/>
          <w:bCs/>
          <w:i/>
          <w:iCs/>
          <w:sz w:val="24"/>
          <w:szCs w:val="24"/>
          <w:lang w:val="en-US" w:eastAsia="pt-BR"/>
        </w:rPr>
      </w:pPr>
      <w:r w:rsidRPr="00C10A48">
        <w:rPr>
          <w:rFonts w:ascii="Book Antiqua" w:eastAsia="Times New Roman" w:hAnsi="Book Antiqua" w:cstheme="minorHAnsi"/>
          <w:b/>
          <w:bCs/>
          <w:i/>
          <w:iCs/>
          <w:sz w:val="24"/>
          <w:szCs w:val="24"/>
          <w:lang w:val="en-US" w:eastAsia="pt-BR"/>
        </w:rPr>
        <w:t>Study characteristics</w:t>
      </w:r>
    </w:p>
    <w:p w14:paraId="63156772" w14:textId="09869DE4" w:rsidR="00213086" w:rsidRPr="00C10A48" w:rsidRDefault="002E6770" w:rsidP="00F227A9">
      <w:pPr>
        <w:snapToGrid w:val="0"/>
        <w:spacing w:after="0" w:line="360" w:lineRule="auto"/>
        <w:jc w:val="both"/>
        <w:rPr>
          <w:rFonts w:ascii="Book Antiqua" w:eastAsia="Times New Roman" w:hAnsi="Book Antiqua" w:cstheme="minorHAnsi"/>
          <w:sz w:val="24"/>
          <w:szCs w:val="24"/>
          <w:lang w:val="en-US" w:eastAsia="pt-BR"/>
        </w:rPr>
      </w:pPr>
      <w:r w:rsidRPr="00C10A48">
        <w:rPr>
          <w:rFonts w:ascii="Book Antiqua" w:eastAsia="Times New Roman" w:hAnsi="Book Antiqua" w:cstheme="minorHAnsi"/>
          <w:sz w:val="24"/>
          <w:szCs w:val="24"/>
          <w:lang w:val="en-US" w:eastAsia="pt-BR"/>
        </w:rPr>
        <w:t xml:space="preserve">Eight </w:t>
      </w:r>
      <w:r w:rsidR="00B05623" w:rsidRPr="00C10A48">
        <w:rPr>
          <w:rFonts w:ascii="Book Antiqua" w:hAnsi="Book Antiqua"/>
          <w:sz w:val="24"/>
          <w:szCs w:val="24"/>
          <w:lang w:val="en-US"/>
        </w:rPr>
        <w:t>RCTs</w:t>
      </w:r>
      <w:r w:rsidRPr="00C10A48">
        <w:rPr>
          <w:rFonts w:ascii="Book Antiqua" w:eastAsia="Times New Roman" w:hAnsi="Book Antiqua" w:cstheme="minorHAnsi"/>
          <w:sz w:val="24"/>
          <w:szCs w:val="24"/>
          <w:lang w:val="en-US" w:eastAsia="pt-BR"/>
        </w:rPr>
        <w:t xml:space="preserve"> with a total of 596 patients were included; 302 in the propofol group and 294 patients in the midazolam group. Individual study characteristics are summarized in Table 1. Four </w:t>
      </w:r>
      <w:proofErr w:type="gramStart"/>
      <w:r w:rsidRPr="00C10A48">
        <w:rPr>
          <w:rFonts w:ascii="Book Antiqua" w:eastAsia="Times New Roman" w:hAnsi="Book Antiqua" w:cstheme="minorHAnsi"/>
          <w:sz w:val="24"/>
          <w:szCs w:val="24"/>
          <w:lang w:val="en-US" w:eastAsia="pt-BR"/>
        </w:rPr>
        <w:t>studies</w:t>
      </w:r>
      <w:r w:rsidR="0024084B" w:rsidRPr="00C10A48">
        <w:rPr>
          <w:rFonts w:ascii="Book Antiqua" w:eastAsia="Times New Roman" w:hAnsi="Book Antiqua" w:cstheme="minorHAnsi"/>
          <w:noProof/>
          <w:sz w:val="24"/>
          <w:szCs w:val="24"/>
          <w:vertAlign w:val="superscript"/>
          <w:lang w:val="en-US" w:eastAsia="pt-BR"/>
        </w:rPr>
        <w:t>[</w:t>
      </w:r>
      <w:proofErr w:type="gramEnd"/>
      <w:r w:rsidR="0024084B" w:rsidRPr="00C10A48">
        <w:rPr>
          <w:rFonts w:ascii="Book Antiqua" w:eastAsia="Times New Roman" w:hAnsi="Book Antiqua" w:cstheme="minorHAnsi"/>
          <w:noProof/>
          <w:sz w:val="24"/>
          <w:szCs w:val="24"/>
          <w:vertAlign w:val="superscript"/>
          <w:lang w:val="en-US" w:eastAsia="pt-BR"/>
        </w:rPr>
        <w:t>15–18]</w:t>
      </w:r>
      <w:r w:rsidRPr="00C10A48">
        <w:rPr>
          <w:rFonts w:ascii="Book Antiqua" w:eastAsia="Times New Roman" w:hAnsi="Book Antiqua" w:cstheme="minorHAnsi"/>
          <w:sz w:val="24"/>
          <w:szCs w:val="24"/>
          <w:lang w:val="en-US" w:eastAsia="pt-BR"/>
        </w:rPr>
        <w:t xml:space="preserve"> used sedation with only propofol or midazolam. The other four </w:t>
      </w:r>
      <w:proofErr w:type="gramStart"/>
      <w:r w:rsidRPr="00C10A48">
        <w:rPr>
          <w:rFonts w:ascii="Book Antiqua" w:eastAsia="Times New Roman" w:hAnsi="Book Antiqua" w:cstheme="minorHAnsi"/>
          <w:sz w:val="24"/>
          <w:szCs w:val="24"/>
          <w:lang w:val="en-US" w:eastAsia="pt-BR"/>
        </w:rPr>
        <w:t>studies</w:t>
      </w:r>
      <w:r w:rsidR="0024084B" w:rsidRPr="00C10A48">
        <w:rPr>
          <w:rFonts w:ascii="Book Antiqua" w:eastAsia="Times New Roman" w:hAnsi="Book Antiqua" w:cstheme="minorHAnsi"/>
          <w:noProof/>
          <w:sz w:val="24"/>
          <w:szCs w:val="24"/>
          <w:vertAlign w:val="superscript"/>
          <w:lang w:val="en-US" w:eastAsia="pt-BR"/>
        </w:rPr>
        <w:t>[</w:t>
      </w:r>
      <w:proofErr w:type="gramEnd"/>
      <w:r w:rsidR="0024084B" w:rsidRPr="00C10A48">
        <w:rPr>
          <w:rFonts w:ascii="Book Antiqua" w:eastAsia="Times New Roman" w:hAnsi="Book Antiqua" w:cstheme="minorHAnsi"/>
          <w:noProof/>
          <w:sz w:val="24"/>
          <w:szCs w:val="24"/>
          <w:vertAlign w:val="superscript"/>
          <w:lang w:val="en-US" w:eastAsia="pt-BR"/>
        </w:rPr>
        <w:t>19–22]</w:t>
      </w:r>
      <w:r w:rsidRPr="00C10A48">
        <w:rPr>
          <w:rFonts w:ascii="Book Antiqua" w:eastAsia="Times New Roman" w:hAnsi="Book Antiqua" w:cstheme="minorHAnsi"/>
          <w:sz w:val="24"/>
          <w:szCs w:val="24"/>
          <w:lang w:val="en-US" w:eastAsia="pt-BR"/>
        </w:rPr>
        <w:t xml:space="preserve"> also used additional medications for sedation, such as opioid analgesic </w:t>
      </w:r>
      <w:proofErr w:type="spellStart"/>
      <w:r w:rsidRPr="00C10A48">
        <w:rPr>
          <w:rFonts w:ascii="Book Antiqua" w:eastAsia="Times New Roman" w:hAnsi="Book Antiqua" w:cstheme="minorHAnsi"/>
          <w:sz w:val="24"/>
          <w:szCs w:val="24"/>
          <w:lang w:val="en-US" w:eastAsia="pt-BR"/>
        </w:rPr>
        <w:t>Pentazocine</w:t>
      </w:r>
      <w:proofErr w:type="spellEnd"/>
      <w:r w:rsidRPr="00C10A48">
        <w:rPr>
          <w:rFonts w:ascii="Book Antiqua" w:eastAsia="Times New Roman" w:hAnsi="Book Antiqua" w:cstheme="minorHAnsi"/>
          <w:sz w:val="24"/>
          <w:szCs w:val="24"/>
          <w:lang w:val="en-US" w:eastAsia="pt-BR"/>
        </w:rPr>
        <w:t xml:space="preserve"> (Watanabe </w:t>
      </w:r>
      <w:r w:rsidR="00036A86" w:rsidRPr="00C10A48">
        <w:rPr>
          <w:rFonts w:ascii="Book Antiqua" w:eastAsia="Times New Roman" w:hAnsi="Book Antiqua" w:cstheme="minorHAnsi"/>
          <w:i/>
          <w:sz w:val="24"/>
          <w:szCs w:val="24"/>
          <w:lang w:val="en-US" w:eastAsia="pt-BR"/>
        </w:rPr>
        <w:t>et al</w:t>
      </w:r>
      <w:r w:rsidR="0024084B" w:rsidRPr="00C10A48">
        <w:rPr>
          <w:rFonts w:ascii="Book Antiqua" w:eastAsia="Times New Roman" w:hAnsi="Book Antiqua" w:cstheme="minorHAnsi"/>
          <w:noProof/>
          <w:sz w:val="24"/>
          <w:szCs w:val="24"/>
          <w:vertAlign w:val="superscript"/>
          <w:lang w:val="en-US" w:eastAsia="pt-BR"/>
        </w:rPr>
        <w:t>[19]</w:t>
      </w:r>
      <w:r w:rsidRPr="00C10A48">
        <w:rPr>
          <w:rFonts w:ascii="Book Antiqua" w:eastAsia="Times New Roman" w:hAnsi="Book Antiqua" w:cstheme="minorHAnsi"/>
          <w:sz w:val="24"/>
          <w:szCs w:val="24"/>
          <w:lang w:val="en-US" w:eastAsia="pt-BR"/>
        </w:rPr>
        <w:t xml:space="preserve">),  fentanyl (Ahmed </w:t>
      </w:r>
      <w:r w:rsidR="00036A86" w:rsidRPr="00C10A48">
        <w:rPr>
          <w:rFonts w:ascii="Book Antiqua" w:eastAsia="Times New Roman" w:hAnsi="Book Antiqua" w:cstheme="minorHAnsi"/>
          <w:i/>
          <w:sz w:val="24"/>
          <w:szCs w:val="24"/>
          <w:lang w:val="en-US" w:eastAsia="pt-BR"/>
        </w:rPr>
        <w:t>et al</w:t>
      </w:r>
      <w:r w:rsidR="0024084B" w:rsidRPr="00C10A48">
        <w:rPr>
          <w:rFonts w:ascii="Book Antiqua" w:eastAsia="Times New Roman" w:hAnsi="Book Antiqua" w:cstheme="minorHAnsi"/>
          <w:noProof/>
          <w:sz w:val="24"/>
          <w:szCs w:val="24"/>
          <w:vertAlign w:val="superscript"/>
          <w:lang w:val="en-US" w:eastAsia="pt-BR"/>
        </w:rPr>
        <w:t>[20]</w:t>
      </w:r>
      <w:r w:rsidRPr="00C10A48">
        <w:rPr>
          <w:rFonts w:ascii="Book Antiqua" w:eastAsia="Times New Roman" w:hAnsi="Book Antiqua" w:cstheme="minorHAnsi"/>
          <w:sz w:val="24"/>
          <w:szCs w:val="24"/>
          <w:lang w:val="en-US" w:eastAsia="pt-BR"/>
        </w:rPr>
        <w:t xml:space="preserve"> and </w:t>
      </w:r>
      <w:proofErr w:type="spellStart"/>
      <w:r w:rsidRPr="00C10A48">
        <w:rPr>
          <w:rFonts w:ascii="Book Antiqua" w:eastAsia="Times New Roman" w:hAnsi="Book Antiqua" w:cstheme="minorHAnsi"/>
          <w:sz w:val="24"/>
          <w:szCs w:val="24"/>
          <w:lang w:val="en-US" w:eastAsia="pt-BR"/>
        </w:rPr>
        <w:t>Correia</w:t>
      </w:r>
      <w:proofErr w:type="spellEnd"/>
      <w:r w:rsidRPr="00C10A48">
        <w:rPr>
          <w:rFonts w:ascii="Book Antiqua" w:eastAsia="Times New Roman" w:hAnsi="Book Antiqua" w:cstheme="minorHAnsi"/>
          <w:sz w:val="24"/>
          <w:szCs w:val="24"/>
          <w:lang w:val="en-US" w:eastAsia="pt-BR"/>
        </w:rPr>
        <w:t xml:space="preserve"> </w:t>
      </w:r>
      <w:r w:rsidR="00036A86" w:rsidRPr="00C10A48">
        <w:rPr>
          <w:rFonts w:ascii="Book Antiqua" w:eastAsia="Times New Roman" w:hAnsi="Book Antiqua" w:cstheme="minorHAnsi"/>
          <w:i/>
          <w:sz w:val="24"/>
          <w:szCs w:val="24"/>
          <w:lang w:val="en-US" w:eastAsia="pt-BR"/>
        </w:rPr>
        <w:t>et al</w:t>
      </w:r>
      <w:r w:rsidR="0024084B" w:rsidRPr="00C10A48">
        <w:rPr>
          <w:rFonts w:ascii="Book Antiqua" w:eastAsia="Times New Roman" w:hAnsi="Book Antiqua" w:cstheme="minorHAnsi"/>
          <w:noProof/>
          <w:sz w:val="24"/>
          <w:szCs w:val="24"/>
          <w:vertAlign w:val="superscript"/>
          <w:lang w:val="en-US" w:eastAsia="pt-BR"/>
        </w:rPr>
        <w:t>[21]</w:t>
      </w:r>
      <w:r w:rsidRPr="00C10A48">
        <w:rPr>
          <w:rFonts w:ascii="Book Antiqua" w:eastAsia="Times New Roman" w:hAnsi="Book Antiqua" w:cstheme="minorHAnsi"/>
          <w:sz w:val="24"/>
          <w:szCs w:val="24"/>
          <w:lang w:val="en-US" w:eastAsia="pt-BR"/>
        </w:rPr>
        <w:t xml:space="preserve">) and </w:t>
      </w:r>
      <w:proofErr w:type="spellStart"/>
      <w:r w:rsidRPr="00C10A48">
        <w:rPr>
          <w:rFonts w:ascii="Book Antiqua" w:eastAsia="Times New Roman" w:hAnsi="Book Antiqua" w:cstheme="minorHAnsi"/>
          <w:sz w:val="24"/>
          <w:szCs w:val="24"/>
          <w:lang w:val="en-US" w:eastAsia="pt-BR"/>
        </w:rPr>
        <w:t>Meperidine</w:t>
      </w:r>
      <w:proofErr w:type="spellEnd"/>
      <w:r w:rsidRPr="00C10A48">
        <w:rPr>
          <w:rFonts w:ascii="Book Antiqua" w:eastAsia="Times New Roman" w:hAnsi="Book Antiqua" w:cstheme="minorHAnsi"/>
          <w:sz w:val="24"/>
          <w:szCs w:val="24"/>
          <w:lang w:val="en-US" w:eastAsia="pt-BR"/>
        </w:rPr>
        <w:t xml:space="preserve"> in th</w:t>
      </w:r>
      <w:r w:rsidR="00036A86" w:rsidRPr="00C10A48">
        <w:rPr>
          <w:rFonts w:ascii="Book Antiqua" w:eastAsia="Times New Roman" w:hAnsi="Book Antiqua" w:cstheme="minorHAnsi"/>
          <w:sz w:val="24"/>
          <w:szCs w:val="24"/>
          <w:lang w:val="en-US" w:eastAsia="pt-BR"/>
        </w:rPr>
        <w:t xml:space="preserve">e midazolam group (Weston </w:t>
      </w:r>
      <w:r w:rsidR="00036A86" w:rsidRPr="00C10A48">
        <w:rPr>
          <w:rFonts w:ascii="Book Antiqua" w:eastAsia="Times New Roman" w:hAnsi="Book Antiqua" w:cstheme="minorHAnsi"/>
          <w:i/>
          <w:sz w:val="24"/>
          <w:szCs w:val="24"/>
          <w:lang w:val="en-US" w:eastAsia="pt-BR"/>
        </w:rPr>
        <w:t>et al</w:t>
      </w:r>
      <w:r w:rsidR="0024084B" w:rsidRPr="00C10A48">
        <w:rPr>
          <w:rFonts w:ascii="Book Antiqua" w:eastAsia="Times New Roman" w:hAnsi="Book Antiqua" w:cstheme="minorHAnsi"/>
          <w:noProof/>
          <w:sz w:val="24"/>
          <w:szCs w:val="24"/>
          <w:vertAlign w:val="superscript"/>
          <w:lang w:val="en-US" w:eastAsia="pt-BR"/>
        </w:rPr>
        <w:t>[22]</w:t>
      </w:r>
      <w:r w:rsidRPr="00C10A48">
        <w:rPr>
          <w:rFonts w:ascii="Book Antiqua" w:eastAsia="Times New Roman" w:hAnsi="Book Antiqua" w:cstheme="minorHAnsi"/>
          <w:sz w:val="24"/>
          <w:szCs w:val="24"/>
          <w:lang w:val="en-US" w:eastAsia="pt-BR"/>
        </w:rPr>
        <w:t>).</w:t>
      </w:r>
    </w:p>
    <w:p w14:paraId="6A41E862" w14:textId="77777777" w:rsidR="002E6770" w:rsidRPr="00C10A48" w:rsidRDefault="002E6770" w:rsidP="00F227A9">
      <w:pPr>
        <w:snapToGrid w:val="0"/>
        <w:spacing w:after="0" w:line="360" w:lineRule="auto"/>
        <w:jc w:val="both"/>
        <w:rPr>
          <w:rFonts w:ascii="Book Antiqua" w:eastAsia="Times New Roman" w:hAnsi="Book Antiqua" w:cstheme="minorHAnsi"/>
          <w:sz w:val="24"/>
          <w:szCs w:val="24"/>
          <w:lang w:val="en-US" w:eastAsia="pt-BR"/>
        </w:rPr>
      </w:pPr>
    </w:p>
    <w:p w14:paraId="02324698" w14:textId="116BA081" w:rsidR="002E6770" w:rsidRPr="00C10A48" w:rsidRDefault="00036A86" w:rsidP="00F227A9">
      <w:pPr>
        <w:snapToGrid w:val="0"/>
        <w:spacing w:after="0" w:line="360" w:lineRule="auto"/>
        <w:jc w:val="both"/>
        <w:rPr>
          <w:rFonts w:ascii="Book Antiqua" w:eastAsia="Times New Roman" w:hAnsi="Book Antiqua" w:cstheme="minorHAnsi"/>
          <w:b/>
          <w:sz w:val="24"/>
          <w:szCs w:val="24"/>
          <w:lang w:val="en-US" w:eastAsia="pt-BR"/>
        </w:rPr>
      </w:pPr>
      <w:r w:rsidRPr="00C10A48">
        <w:rPr>
          <w:rFonts w:ascii="Book Antiqua" w:eastAsia="Times New Roman" w:hAnsi="Book Antiqua" w:cstheme="minorHAnsi"/>
          <w:b/>
          <w:sz w:val="24"/>
          <w:szCs w:val="24"/>
          <w:lang w:val="en-US" w:eastAsia="pt-BR"/>
        </w:rPr>
        <w:t xml:space="preserve">Risk of bias: </w:t>
      </w:r>
      <w:r w:rsidR="002E6770" w:rsidRPr="00C10A48">
        <w:rPr>
          <w:rFonts w:ascii="Book Antiqua" w:eastAsia="Times New Roman" w:hAnsi="Book Antiqua" w:cstheme="minorHAnsi"/>
          <w:sz w:val="24"/>
          <w:szCs w:val="24"/>
          <w:lang w:val="en-US" w:eastAsia="pt-BR"/>
        </w:rPr>
        <w:t xml:space="preserve">Studies by </w:t>
      </w:r>
      <w:proofErr w:type="spellStart"/>
      <w:r w:rsidR="002E6770" w:rsidRPr="00C10A48">
        <w:rPr>
          <w:rFonts w:ascii="Book Antiqua" w:eastAsia="Times New Roman" w:hAnsi="Book Antiqua" w:cstheme="minorHAnsi"/>
          <w:sz w:val="24"/>
          <w:szCs w:val="24"/>
          <w:lang w:val="en-US" w:eastAsia="pt-BR"/>
        </w:rPr>
        <w:t>Yoo</w:t>
      </w:r>
      <w:proofErr w:type="spellEnd"/>
      <w:r w:rsidR="002E6770" w:rsidRPr="00C10A48">
        <w:rPr>
          <w:rFonts w:ascii="Book Antiqua" w:eastAsia="Times New Roman" w:hAnsi="Book Antiqua" w:cstheme="minorHAnsi"/>
          <w:sz w:val="24"/>
          <w:szCs w:val="24"/>
          <w:lang w:val="en-US" w:eastAsia="pt-BR"/>
        </w:rPr>
        <w:t xml:space="preserve"> </w:t>
      </w:r>
      <w:r w:rsidR="00BF76C5" w:rsidRPr="00C10A48">
        <w:rPr>
          <w:rFonts w:ascii="Book Antiqua" w:eastAsia="Times New Roman" w:hAnsi="Book Antiqua" w:cstheme="minorHAnsi"/>
          <w:i/>
          <w:sz w:val="24"/>
          <w:szCs w:val="24"/>
          <w:lang w:val="en-US" w:eastAsia="pt-BR"/>
        </w:rPr>
        <w:t xml:space="preserve">et </w:t>
      </w:r>
      <w:proofErr w:type="gramStart"/>
      <w:r w:rsidR="00BF76C5" w:rsidRPr="00C10A48">
        <w:rPr>
          <w:rFonts w:ascii="Book Antiqua" w:eastAsia="Times New Roman" w:hAnsi="Book Antiqua" w:cstheme="minorHAnsi"/>
          <w:i/>
          <w:sz w:val="24"/>
          <w:szCs w:val="24"/>
          <w:lang w:val="en-US" w:eastAsia="pt-BR"/>
        </w:rPr>
        <w:t>al</w:t>
      </w:r>
      <w:r w:rsidR="0024084B" w:rsidRPr="00C10A48">
        <w:rPr>
          <w:rFonts w:ascii="Book Antiqua" w:eastAsia="Times New Roman" w:hAnsi="Book Antiqua" w:cstheme="minorHAnsi"/>
          <w:noProof/>
          <w:sz w:val="24"/>
          <w:szCs w:val="24"/>
          <w:vertAlign w:val="superscript"/>
          <w:lang w:val="en-US" w:eastAsia="pt-BR"/>
        </w:rPr>
        <w:t>[</w:t>
      </w:r>
      <w:proofErr w:type="gramEnd"/>
      <w:r w:rsidR="0024084B" w:rsidRPr="00C10A48">
        <w:rPr>
          <w:rFonts w:ascii="Book Antiqua" w:eastAsia="Times New Roman" w:hAnsi="Book Antiqua" w:cstheme="minorHAnsi"/>
          <w:noProof/>
          <w:sz w:val="24"/>
          <w:szCs w:val="24"/>
          <w:vertAlign w:val="superscript"/>
          <w:lang w:val="en-US" w:eastAsia="pt-BR"/>
        </w:rPr>
        <w:t>18]</w:t>
      </w:r>
      <w:r w:rsidR="002E6770" w:rsidRPr="00C10A48">
        <w:rPr>
          <w:rFonts w:ascii="Book Antiqua" w:eastAsia="Times New Roman" w:hAnsi="Book Antiqua" w:cstheme="minorHAnsi"/>
          <w:sz w:val="24"/>
          <w:szCs w:val="24"/>
          <w:lang w:val="en-US" w:eastAsia="pt-BR"/>
        </w:rPr>
        <w:t xml:space="preserve">, </w:t>
      </w:r>
      <w:proofErr w:type="spellStart"/>
      <w:r w:rsidR="002E6770" w:rsidRPr="00C10A48">
        <w:rPr>
          <w:rFonts w:ascii="Book Antiqua" w:eastAsia="Times New Roman" w:hAnsi="Book Antiqua" w:cstheme="minorHAnsi"/>
          <w:sz w:val="24"/>
          <w:szCs w:val="24"/>
          <w:lang w:val="en-US" w:eastAsia="pt-BR"/>
        </w:rPr>
        <w:t>Watamabe</w:t>
      </w:r>
      <w:proofErr w:type="spellEnd"/>
      <w:r w:rsidR="002E6770" w:rsidRPr="00C10A48">
        <w:rPr>
          <w:rFonts w:ascii="Book Antiqua" w:eastAsia="Times New Roman" w:hAnsi="Book Antiqua" w:cstheme="minorHAnsi"/>
          <w:sz w:val="24"/>
          <w:szCs w:val="24"/>
          <w:lang w:val="en-US" w:eastAsia="pt-BR"/>
        </w:rPr>
        <w:t xml:space="preserve"> </w:t>
      </w:r>
      <w:r w:rsidR="00BF76C5" w:rsidRPr="00C10A48">
        <w:rPr>
          <w:rFonts w:ascii="Book Antiqua" w:eastAsia="Times New Roman" w:hAnsi="Book Antiqua" w:cstheme="minorHAnsi"/>
          <w:i/>
          <w:sz w:val="24"/>
          <w:szCs w:val="24"/>
          <w:lang w:val="en-US" w:eastAsia="pt-BR"/>
        </w:rPr>
        <w:t>et al</w:t>
      </w:r>
      <w:r w:rsidR="0024084B" w:rsidRPr="00C10A48">
        <w:rPr>
          <w:rFonts w:ascii="Book Antiqua" w:eastAsia="Times New Roman" w:hAnsi="Book Antiqua" w:cstheme="minorHAnsi"/>
          <w:noProof/>
          <w:sz w:val="24"/>
          <w:szCs w:val="24"/>
          <w:vertAlign w:val="superscript"/>
          <w:lang w:val="en-US" w:eastAsia="pt-BR"/>
        </w:rPr>
        <w:t>[19]</w:t>
      </w:r>
      <w:r w:rsidR="002E6770" w:rsidRPr="00C10A48">
        <w:rPr>
          <w:rFonts w:ascii="Book Antiqua" w:eastAsia="Times New Roman" w:hAnsi="Book Antiqua" w:cstheme="minorHAnsi"/>
          <w:sz w:val="24"/>
          <w:szCs w:val="24"/>
          <w:lang w:val="en-US" w:eastAsia="pt-BR"/>
        </w:rPr>
        <w:t xml:space="preserve">, Ahmed </w:t>
      </w:r>
      <w:r w:rsidR="00BF76C5" w:rsidRPr="00C10A48">
        <w:rPr>
          <w:rFonts w:ascii="Book Antiqua" w:eastAsia="Times New Roman" w:hAnsi="Book Antiqua" w:cstheme="minorHAnsi"/>
          <w:i/>
          <w:sz w:val="24"/>
          <w:szCs w:val="24"/>
          <w:lang w:val="en-US" w:eastAsia="pt-BR"/>
        </w:rPr>
        <w:t>et al</w:t>
      </w:r>
      <w:r w:rsidR="0024084B" w:rsidRPr="00C10A48">
        <w:rPr>
          <w:rFonts w:ascii="Book Antiqua" w:eastAsia="Times New Roman" w:hAnsi="Book Antiqua" w:cstheme="minorHAnsi"/>
          <w:noProof/>
          <w:sz w:val="24"/>
          <w:szCs w:val="24"/>
          <w:vertAlign w:val="superscript"/>
          <w:lang w:val="en-US" w:eastAsia="pt-BR"/>
        </w:rPr>
        <w:t>[20]</w:t>
      </w:r>
      <w:r w:rsidR="002E6770" w:rsidRPr="00C10A48">
        <w:rPr>
          <w:rFonts w:ascii="Book Antiqua" w:eastAsia="Times New Roman" w:hAnsi="Book Antiqua" w:cstheme="minorHAnsi"/>
          <w:sz w:val="24"/>
          <w:szCs w:val="24"/>
          <w:lang w:val="en-US" w:eastAsia="pt-BR"/>
        </w:rPr>
        <w:t xml:space="preserve">, </w:t>
      </w:r>
      <w:proofErr w:type="spellStart"/>
      <w:r w:rsidR="002E6770" w:rsidRPr="00C10A48">
        <w:rPr>
          <w:rFonts w:ascii="Book Antiqua" w:eastAsia="Times New Roman" w:hAnsi="Book Antiqua" w:cstheme="minorHAnsi"/>
          <w:sz w:val="24"/>
          <w:szCs w:val="24"/>
          <w:lang w:val="en-US" w:eastAsia="pt-BR"/>
        </w:rPr>
        <w:t>Agrawal</w:t>
      </w:r>
      <w:proofErr w:type="spellEnd"/>
      <w:r w:rsidR="002E6770" w:rsidRPr="00C10A48">
        <w:rPr>
          <w:rFonts w:ascii="Book Antiqua" w:eastAsia="Times New Roman" w:hAnsi="Book Antiqua" w:cstheme="minorHAnsi"/>
          <w:sz w:val="24"/>
          <w:szCs w:val="24"/>
          <w:lang w:val="en-US" w:eastAsia="pt-BR"/>
        </w:rPr>
        <w:t xml:space="preserve"> </w:t>
      </w:r>
      <w:r w:rsidR="00BF76C5" w:rsidRPr="00C10A48">
        <w:rPr>
          <w:rFonts w:ascii="Book Antiqua" w:eastAsia="Times New Roman" w:hAnsi="Book Antiqua" w:cstheme="minorHAnsi"/>
          <w:i/>
          <w:sz w:val="24"/>
          <w:szCs w:val="24"/>
          <w:lang w:val="en-US" w:eastAsia="pt-BR"/>
        </w:rPr>
        <w:t>et al</w:t>
      </w:r>
      <w:r w:rsidR="0024084B" w:rsidRPr="00C10A48">
        <w:rPr>
          <w:rFonts w:ascii="Book Antiqua" w:eastAsia="Times New Roman" w:hAnsi="Book Antiqua" w:cstheme="minorHAnsi"/>
          <w:noProof/>
          <w:sz w:val="24"/>
          <w:szCs w:val="24"/>
          <w:vertAlign w:val="superscript"/>
          <w:lang w:val="en-US" w:eastAsia="pt-BR"/>
        </w:rPr>
        <w:t>[15]</w:t>
      </w:r>
      <w:r w:rsidR="002E6770" w:rsidRPr="00C10A48">
        <w:rPr>
          <w:rFonts w:ascii="Book Antiqua" w:eastAsia="Times New Roman" w:hAnsi="Book Antiqua" w:cstheme="minorHAnsi"/>
          <w:sz w:val="24"/>
          <w:szCs w:val="24"/>
          <w:lang w:val="en-US" w:eastAsia="pt-BR"/>
        </w:rPr>
        <w:t xml:space="preserve">, and </w:t>
      </w:r>
      <w:proofErr w:type="spellStart"/>
      <w:r w:rsidR="002E6770" w:rsidRPr="00C10A48">
        <w:rPr>
          <w:rFonts w:ascii="Book Antiqua" w:eastAsia="Times New Roman" w:hAnsi="Book Antiqua" w:cstheme="minorHAnsi"/>
          <w:sz w:val="24"/>
          <w:szCs w:val="24"/>
          <w:lang w:val="en-US" w:eastAsia="pt-BR"/>
        </w:rPr>
        <w:t>Correia</w:t>
      </w:r>
      <w:proofErr w:type="spellEnd"/>
      <w:r w:rsidR="002E6770" w:rsidRPr="00C10A48">
        <w:rPr>
          <w:rFonts w:ascii="Book Antiqua" w:eastAsia="Times New Roman" w:hAnsi="Book Antiqua" w:cstheme="minorHAnsi"/>
          <w:sz w:val="24"/>
          <w:szCs w:val="24"/>
          <w:lang w:val="en-US" w:eastAsia="pt-BR"/>
        </w:rPr>
        <w:t xml:space="preserve"> </w:t>
      </w:r>
      <w:r w:rsidR="00BF76C5" w:rsidRPr="00C10A48">
        <w:rPr>
          <w:rFonts w:ascii="Book Antiqua" w:eastAsia="Times New Roman" w:hAnsi="Book Antiqua" w:cstheme="minorHAnsi"/>
          <w:i/>
          <w:sz w:val="24"/>
          <w:szCs w:val="24"/>
          <w:lang w:val="en-US" w:eastAsia="pt-BR"/>
        </w:rPr>
        <w:t>et al</w:t>
      </w:r>
      <w:r w:rsidR="0024084B" w:rsidRPr="00C10A48">
        <w:rPr>
          <w:rFonts w:ascii="Book Antiqua" w:eastAsia="Times New Roman" w:hAnsi="Book Antiqua" w:cstheme="minorHAnsi"/>
          <w:noProof/>
          <w:sz w:val="24"/>
          <w:szCs w:val="24"/>
          <w:vertAlign w:val="superscript"/>
          <w:lang w:val="en-US" w:eastAsia="pt-BR"/>
        </w:rPr>
        <w:t>[21]</w:t>
      </w:r>
      <w:r w:rsidR="002E6770" w:rsidRPr="00C10A48">
        <w:rPr>
          <w:rFonts w:ascii="Book Antiqua" w:eastAsia="Times New Roman" w:hAnsi="Book Antiqua" w:cstheme="minorHAnsi"/>
          <w:sz w:val="24"/>
          <w:szCs w:val="24"/>
          <w:lang w:val="en-US" w:eastAsia="pt-BR"/>
        </w:rPr>
        <w:t xml:space="preserve"> were considered low risk when globally assessed per outcome, while the studies by </w:t>
      </w:r>
      <w:proofErr w:type="spellStart"/>
      <w:r w:rsidR="002E6770" w:rsidRPr="00C10A48">
        <w:rPr>
          <w:rFonts w:ascii="Book Antiqua" w:eastAsia="Times New Roman" w:hAnsi="Book Antiqua" w:cstheme="minorHAnsi"/>
          <w:sz w:val="24"/>
          <w:szCs w:val="24"/>
          <w:lang w:val="en-US" w:eastAsia="pt-BR"/>
        </w:rPr>
        <w:t>Khamaysi</w:t>
      </w:r>
      <w:proofErr w:type="spellEnd"/>
      <w:r w:rsidR="002E6770" w:rsidRPr="00C10A48">
        <w:rPr>
          <w:rFonts w:ascii="Book Antiqua" w:eastAsia="Times New Roman" w:hAnsi="Book Antiqua" w:cstheme="minorHAnsi"/>
          <w:sz w:val="24"/>
          <w:szCs w:val="24"/>
          <w:lang w:val="en-US" w:eastAsia="pt-BR"/>
        </w:rPr>
        <w:t xml:space="preserve"> </w:t>
      </w:r>
      <w:r w:rsidR="00F55E4B" w:rsidRPr="00C10A48">
        <w:rPr>
          <w:rFonts w:ascii="Book Antiqua" w:eastAsia="Times New Roman" w:hAnsi="Book Antiqua" w:cstheme="minorHAnsi"/>
          <w:i/>
          <w:sz w:val="24"/>
          <w:szCs w:val="24"/>
          <w:lang w:val="en-US" w:eastAsia="pt-BR"/>
        </w:rPr>
        <w:t>et al</w:t>
      </w:r>
      <w:r w:rsidR="0024084B" w:rsidRPr="00C10A48">
        <w:rPr>
          <w:rFonts w:ascii="Book Antiqua" w:eastAsia="Times New Roman" w:hAnsi="Book Antiqua" w:cstheme="minorHAnsi"/>
          <w:noProof/>
          <w:sz w:val="24"/>
          <w:szCs w:val="24"/>
          <w:vertAlign w:val="superscript"/>
          <w:lang w:val="en-US" w:eastAsia="pt-BR"/>
        </w:rPr>
        <w:t>[16]</w:t>
      </w:r>
      <w:r w:rsidR="002E6770" w:rsidRPr="00C10A48">
        <w:rPr>
          <w:rFonts w:ascii="Book Antiqua" w:eastAsia="Times New Roman" w:hAnsi="Book Antiqua" w:cstheme="minorHAnsi"/>
          <w:sz w:val="24"/>
          <w:szCs w:val="24"/>
          <w:lang w:val="en-US" w:eastAsia="pt-BR"/>
        </w:rPr>
        <w:t xml:space="preserve"> and Weston </w:t>
      </w:r>
      <w:r w:rsidR="00F55E4B" w:rsidRPr="00C10A48">
        <w:rPr>
          <w:rFonts w:ascii="Book Antiqua" w:eastAsia="Times New Roman" w:hAnsi="Book Antiqua" w:cstheme="minorHAnsi"/>
          <w:i/>
          <w:sz w:val="24"/>
          <w:szCs w:val="24"/>
          <w:lang w:val="en-US" w:eastAsia="pt-BR"/>
        </w:rPr>
        <w:t>et al</w:t>
      </w:r>
      <w:r w:rsidR="0024084B" w:rsidRPr="00C10A48">
        <w:rPr>
          <w:rFonts w:ascii="Book Antiqua" w:eastAsia="Times New Roman" w:hAnsi="Book Antiqua" w:cstheme="minorHAnsi"/>
          <w:noProof/>
          <w:sz w:val="24"/>
          <w:szCs w:val="24"/>
          <w:vertAlign w:val="superscript"/>
          <w:lang w:val="en-US" w:eastAsia="pt-BR"/>
        </w:rPr>
        <w:t>[22]</w:t>
      </w:r>
      <w:r w:rsidR="002E6770" w:rsidRPr="00C10A48">
        <w:rPr>
          <w:rFonts w:ascii="Book Antiqua" w:eastAsia="Times New Roman" w:hAnsi="Book Antiqua" w:cstheme="minorHAnsi"/>
          <w:sz w:val="24"/>
          <w:szCs w:val="24"/>
          <w:lang w:val="en-US" w:eastAsia="pt-BR"/>
        </w:rPr>
        <w:t xml:space="preserve"> had some concerns</w:t>
      </w:r>
      <w:r w:rsidR="00F26942" w:rsidRPr="00C10A48">
        <w:rPr>
          <w:rFonts w:ascii="Book Antiqua" w:eastAsia="Times New Roman" w:hAnsi="Book Antiqua" w:cstheme="minorHAnsi"/>
          <w:sz w:val="24"/>
          <w:szCs w:val="24"/>
          <w:lang w:val="en-US" w:eastAsia="pt-BR"/>
        </w:rPr>
        <w:t>,</w:t>
      </w:r>
      <w:r w:rsidR="002E6770" w:rsidRPr="00C10A48">
        <w:rPr>
          <w:rFonts w:ascii="Book Antiqua" w:eastAsia="Times New Roman" w:hAnsi="Book Antiqua" w:cstheme="minorHAnsi"/>
          <w:sz w:val="24"/>
          <w:szCs w:val="24"/>
          <w:lang w:val="en-US" w:eastAsia="pt-BR"/>
        </w:rPr>
        <w:t xml:space="preserve"> and the study by </w:t>
      </w:r>
      <w:proofErr w:type="spellStart"/>
      <w:r w:rsidR="002E6770" w:rsidRPr="00C10A48">
        <w:rPr>
          <w:rFonts w:ascii="Book Antiqua" w:eastAsia="Times New Roman" w:hAnsi="Book Antiqua" w:cstheme="minorHAnsi"/>
          <w:sz w:val="24"/>
          <w:szCs w:val="24"/>
          <w:lang w:val="en-US" w:eastAsia="pt-BR"/>
        </w:rPr>
        <w:t>Riphaus</w:t>
      </w:r>
      <w:proofErr w:type="spellEnd"/>
      <w:r w:rsidR="002E6770" w:rsidRPr="00C10A48">
        <w:rPr>
          <w:rFonts w:ascii="Book Antiqua" w:eastAsia="Times New Roman" w:hAnsi="Book Antiqua" w:cstheme="minorHAnsi"/>
          <w:sz w:val="24"/>
          <w:szCs w:val="24"/>
          <w:lang w:val="en-US" w:eastAsia="pt-BR"/>
        </w:rPr>
        <w:t xml:space="preserve"> </w:t>
      </w:r>
      <w:r w:rsidR="00BF76C5" w:rsidRPr="00C10A48">
        <w:rPr>
          <w:rFonts w:ascii="Book Antiqua" w:eastAsia="Times New Roman" w:hAnsi="Book Antiqua" w:cstheme="minorHAnsi"/>
          <w:i/>
          <w:sz w:val="24"/>
          <w:szCs w:val="24"/>
          <w:lang w:val="en-US" w:eastAsia="pt-BR"/>
        </w:rPr>
        <w:t>et al</w:t>
      </w:r>
      <w:r w:rsidR="0024084B" w:rsidRPr="00C10A48">
        <w:rPr>
          <w:rFonts w:ascii="Book Antiqua" w:eastAsia="Times New Roman" w:hAnsi="Book Antiqua" w:cstheme="minorHAnsi"/>
          <w:noProof/>
          <w:sz w:val="24"/>
          <w:szCs w:val="24"/>
          <w:vertAlign w:val="superscript"/>
          <w:lang w:val="en-US" w:eastAsia="pt-BR"/>
        </w:rPr>
        <w:t>[17]</w:t>
      </w:r>
      <w:r w:rsidR="002E6770" w:rsidRPr="00C10A48">
        <w:rPr>
          <w:rFonts w:ascii="Book Antiqua" w:eastAsia="Times New Roman" w:hAnsi="Book Antiqua" w:cstheme="minorHAnsi"/>
          <w:sz w:val="24"/>
          <w:szCs w:val="24"/>
          <w:lang w:val="en-US" w:eastAsia="pt-BR"/>
        </w:rPr>
        <w:t xml:space="preserve"> had a high risk of bias (Figure 2).</w:t>
      </w:r>
    </w:p>
    <w:p w14:paraId="2A11A2FE" w14:textId="3CB4E141" w:rsidR="00C64130" w:rsidRPr="00C10A48" w:rsidRDefault="00A7632F" w:rsidP="00F227A9">
      <w:pPr>
        <w:snapToGrid w:val="0"/>
        <w:spacing w:after="0" w:line="360" w:lineRule="auto"/>
        <w:jc w:val="both"/>
        <w:rPr>
          <w:rFonts w:ascii="Book Antiqua" w:eastAsia="Times New Roman" w:hAnsi="Book Antiqua" w:cstheme="minorHAnsi"/>
          <w:sz w:val="24"/>
          <w:szCs w:val="24"/>
          <w:lang w:val="en-US" w:eastAsia="pt-BR"/>
        </w:rPr>
      </w:pPr>
      <w:r w:rsidRPr="00C10A48">
        <w:rPr>
          <w:rFonts w:ascii="Book Antiqua" w:eastAsia="Times New Roman" w:hAnsi="Book Antiqua" w:cstheme="minorHAnsi"/>
          <w:sz w:val="24"/>
          <w:szCs w:val="24"/>
          <w:lang w:val="en-US" w:eastAsia="pt-BR"/>
        </w:rPr>
        <w:t xml:space="preserve"> </w:t>
      </w:r>
    </w:p>
    <w:p w14:paraId="501F8CAA" w14:textId="60A886C0" w:rsidR="004D3F90" w:rsidRPr="00C10A48" w:rsidRDefault="00231A13" w:rsidP="00F227A9">
      <w:pPr>
        <w:snapToGrid w:val="0"/>
        <w:spacing w:after="0" w:line="360" w:lineRule="auto"/>
        <w:jc w:val="both"/>
        <w:rPr>
          <w:rFonts w:ascii="Book Antiqua" w:eastAsia="Times New Roman" w:hAnsi="Book Antiqua" w:cstheme="minorHAnsi"/>
          <w:b/>
          <w:bCs/>
          <w:sz w:val="24"/>
          <w:szCs w:val="24"/>
          <w:lang w:val="en-US" w:eastAsia="pt-BR"/>
        </w:rPr>
      </w:pPr>
      <w:proofErr w:type="spellStart"/>
      <w:r w:rsidRPr="00C10A48">
        <w:rPr>
          <w:rFonts w:ascii="Book Antiqua" w:eastAsia="Times New Roman" w:hAnsi="Book Antiqua" w:cstheme="minorHAnsi"/>
          <w:b/>
          <w:bCs/>
          <w:sz w:val="24"/>
          <w:szCs w:val="24"/>
          <w:lang w:val="en-US" w:eastAsia="pt-BR"/>
        </w:rPr>
        <w:t>GRADEpro</w:t>
      </w:r>
      <w:proofErr w:type="spellEnd"/>
      <w:r w:rsidR="00036A86" w:rsidRPr="00C10A48">
        <w:rPr>
          <w:rFonts w:ascii="Book Antiqua" w:eastAsia="DengXian" w:hAnsi="Book Antiqua" w:cstheme="minorHAnsi" w:hint="eastAsia"/>
          <w:b/>
          <w:bCs/>
          <w:sz w:val="24"/>
          <w:szCs w:val="24"/>
          <w:lang w:val="en-US" w:eastAsia="zh-CN"/>
        </w:rPr>
        <w:t>:</w:t>
      </w:r>
      <w:r w:rsidR="00036A86" w:rsidRPr="00C10A48">
        <w:rPr>
          <w:rFonts w:ascii="Book Antiqua" w:eastAsia="DengXian" w:hAnsi="Book Antiqua" w:cstheme="minorHAnsi"/>
          <w:b/>
          <w:bCs/>
          <w:sz w:val="24"/>
          <w:szCs w:val="24"/>
          <w:lang w:val="en-US" w:eastAsia="zh-CN"/>
        </w:rPr>
        <w:t xml:space="preserve"> </w:t>
      </w:r>
      <w:r w:rsidR="0071163B" w:rsidRPr="00C10A48">
        <w:rPr>
          <w:rFonts w:ascii="Book Antiqua" w:eastAsia="Times New Roman" w:hAnsi="Book Antiqua" w:cstheme="minorHAnsi"/>
          <w:sz w:val="24"/>
          <w:szCs w:val="24"/>
          <w:lang w:val="en" w:eastAsia="pt-BR"/>
        </w:rPr>
        <w:t>The estimated outcomes of p</w:t>
      </w:r>
      <w:r w:rsidR="00CE0D04" w:rsidRPr="00C10A48">
        <w:rPr>
          <w:rFonts w:ascii="Book Antiqua" w:eastAsia="Times New Roman" w:hAnsi="Book Antiqua" w:cstheme="minorHAnsi"/>
          <w:sz w:val="24"/>
          <w:szCs w:val="24"/>
          <w:lang w:val="en" w:eastAsia="pt-BR"/>
        </w:rPr>
        <w:t>rocedure</w:t>
      </w:r>
      <w:r w:rsidR="0071163B" w:rsidRPr="00C10A48">
        <w:rPr>
          <w:rFonts w:ascii="Book Antiqua" w:eastAsia="Times New Roman" w:hAnsi="Book Antiqua" w:cstheme="minorHAnsi"/>
          <w:sz w:val="24"/>
          <w:szCs w:val="24"/>
          <w:lang w:val="en" w:eastAsia="pt-BR"/>
        </w:rPr>
        <w:t xml:space="preserve"> time</w:t>
      </w:r>
      <w:r w:rsidR="00CE0D04" w:rsidRPr="00C10A48">
        <w:rPr>
          <w:rFonts w:ascii="Book Antiqua" w:eastAsia="Times New Roman" w:hAnsi="Book Antiqua" w:cstheme="minorHAnsi"/>
          <w:sz w:val="24"/>
          <w:szCs w:val="24"/>
          <w:lang w:val="en" w:eastAsia="pt-BR"/>
        </w:rPr>
        <w:t xml:space="preserve">, </w:t>
      </w:r>
      <w:r w:rsidR="004D3F90" w:rsidRPr="00C10A48">
        <w:rPr>
          <w:rFonts w:ascii="Book Antiqua" w:eastAsia="Times New Roman" w:hAnsi="Book Antiqua" w:cstheme="minorHAnsi"/>
          <w:sz w:val="24"/>
          <w:szCs w:val="24"/>
          <w:lang w:val="en" w:eastAsia="pt-BR"/>
        </w:rPr>
        <w:t xml:space="preserve">recovery time, </w:t>
      </w:r>
      <w:r w:rsidR="00CE0D04" w:rsidRPr="00C10A48">
        <w:rPr>
          <w:rFonts w:ascii="Book Antiqua" w:eastAsia="Times New Roman" w:hAnsi="Book Antiqua" w:cstheme="minorHAnsi"/>
          <w:sz w:val="24"/>
          <w:szCs w:val="24"/>
          <w:lang w:val="en" w:eastAsia="pt-BR"/>
        </w:rPr>
        <w:t>and adverse events showed</w:t>
      </w:r>
      <w:r w:rsidR="0071163B" w:rsidRPr="00C10A48">
        <w:rPr>
          <w:rFonts w:ascii="Book Antiqua" w:eastAsia="Times New Roman" w:hAnsi="Book Antiqua" w:cstheme="minorHAnsi"/>
          <w:sz w:val="24"/>
          <w:szCs w:val="24"/>
          <w:lang w:val="en" w:eastAsia="pt-BR"/>
        </w:rPr>
        <w:t xml:space="preserve"> </w:t>
      </w:r>
      <w:r w:rsidR="00CE0D04" w:rsidRPr="00C10A48">
        <w:rPr>
          <w:rFonts w:ascii="Book Antiqua" w:eastAsia="Times New Roman" w:hAnsi="Book Antiqua" w:cstheme="minorHAnsi"/>
          <w:sz w:val="24"/>
          <w:szCs w:val="24"/>
          <w:lang w:val="en" w:eastAsia="pt-BR"/>
        </w:rPr>
        <w:t>very low quality of evidence</w:t>
      </w:r>
      <w:r w:rsidR="0071163B" w:rsidRPr="00C10A48">
        <w:rPr>
          <w:rFonts w:ascii="Book Antiqua" w:eastAsia="Times New Roman" w:hAnsi="Book Antiqua" w:cstheme="minorHAnsi"/>
          <w:sz w:val="24"/>
          <w:szCs w:val="24"/>
          <w:lang w:val="en" w:eastAsia="pt-BR"/>
        </w:rPr>
        <w:t xml:space="preserve">, and </w:t>
      </w:r>
      <w:r w:rsidR="00CE0D04" w:rsidRPr="00C10A48">
        <w:rPr>
          <w:rFonts w:ascii="Book Antiqua" w:eastAsia="Times New Roman" w:hAnsi="Book Antiqua" w:cstheme="minorHAnsi"/>
          <w:sz w:val="24"/>
          <w:szCs w:val="24"/>
          <w:lang w:val="en" w:eastAsia="pt-BR"/>
        </w:rPr>
        <w:t xml:space="preserve">discharge time showed </w:t>
      </w:r>
      <w:r w:rsidR="004D3F90" w:rsidRPr="00C10A48">
        <w:rPr>
          <w:rFonts w:ascii="Book Antiqua" w:eastAsia="Times New Roman" w:hAnsi="Book Antiqua" w:cstheme="minorHAnsi"/>
          <w:sz w:val="24"/>
          <w:szCs w:val="24"/>
          <w:lang w:val="en" w:eastAsia="pt-BR"/>
        </w:rPr>
        <w:t>low quality of evidence</w:t>
      </w:r>
      <w:r w:rsidR="00CE0D04" w:rsidRPr="00C10A48">
        <w:rPr>
          <w:rFonts w:ascii="Book Antiqua" w:eastAsia="Times New Roman" w:hAnsi="Book Antiqua" w:cstheme="minorHAnsi"/>
          <w:sz w:val="24"/>
          <w:szCs w:val="24"/>
          <w:lang w:val="en" w:eastAsia="pt-BR"/>
        </w:rPr>
        <w:t xml:space="preserve"> (Figure 3)</w:t>
      </w:r>
      <w:r w:rsidR="004D3F90" w:rsidRPr="00C10A48">
        <w:rPr>
          <w:rFonts w:ascii="Book Antiqua" w:eastAsia="Times New Roman" w:hAnsi="Book Antiqua" w:cstheme="minorHAnsi"/>
          <w:sz w:val="24"/>
          <w:szCs w:val="24"/>
          <w:lang w:val="en" w:eastAsia="pt-BR"/>
        </w:rPr>
        <w:t>.</w:t>
      </w:r>
    </w:p>
    <w:p w14:paraId="65643630" w14:textId="77777777" w:rsidR="004D3F90" w:rsidRPr="00C10A48" w:rsidRDefault="004D3F90" w:rsidP="00F227A9">
      <w:pPr>
        <w:snapToGrid w:val="0"/>
        <w:spacing w:after="0" w:line="360" w:lineRule="auto"/>
        <w:jc w:val="both"/>
        <w:rPr>
          <w:rFonts w:ascii="Book Antiqua" w:eastAsia="Times New Roman" w:hAnsi="Book Antiqua" w:cstheme="minorHAnsi"/>
          <w:sz w:val="24"/>
          <w:szCs w:val="24"/>
          <w:lang w:val="en-US" w:eastAsia="pt-BR"/>
        </w:rPr>
      </w:pPr>
    </w:p>
    <w:p w14:paraId="6D35DA18" w14:textId="5B9816F5" w:rsidR="00213086" w:rsidRPr="00C10A48" w:rsidRDefault="00213086" w:rsidP="00F227A9">
      <w:pPr>
        <w:snapToGrid w:val="0"/>
        <w:spacing w:after="0" w:line="360" w:lineRule="auto"/>
        <w:jc w:val="both"/>
        <w:rPr>
          <w:rFonts w:ascii="Book Antiqua" w:eastAsia="Times New Roman" w:hAnsi="Book Antiqua" w:cstheme="minorHAnsi"/>
          <w:b/>
          <w:i/>
          <w:sz w:val="24"/>
          <w:szCs w:val="24"/>
          <w:lang w:val="en-US" w:eastAsia="pt-BR"/>
        </w:rPr>
      </w:pPr>
      <w:r w:rsidRPr="00C10A48">
        <w:rPr>
          <w:rFonts w:ascii="Book Antiqua" w:eastAsia="Times New Roman" w:hAnsi="Book Antiqua" w:cstheme="minorHAnsi"/>
          <w:b/>
          <w:i/>
          <w:sz w:val="24"/>
          <w:szCs w:val="24"/>
          <w:lang w:val="en-US" w:eastAsia="pt-BR"/>
        </w:rPr>
        <w:t>Results of individual studies and synthesis of results</w:t>
      </w:r>
    </w:p>
    <w:p w14:paraId="1523DB75" w14:textId="2513DFAB" w:rsidR="0008191D" w:rsidRPr="00C10A48" w:rsidRDefault="00213086" w:rsidP="00F227A9">
      <w:pPr>
        <w:snapToGrid w:val="0"/>
        <w:spacing w:after="0" w:line="360" w:lineRule="auto"/>
        <w:jc w:val="both"/>
        <w:rPr>
          <w:rFonts w:ascii="Book Antiqua" w:eastAsia="Times New Roman" w:hAnsi="Book Antiqua" w:cstheme="minorHAnsi"/>
          <w:b/>
          <w:sz w:val="24"/>
          <w:szCs w:val="24"/>
          <w:lang w:val="en-US" w:eastAsia="pt-BR"/>
        </w:rPr>
      </w:pPr>
      <w:bookmarkStart w:id="14" w:name="_Hlk31820296"/>
      <w:r w:rsidRPr="00C10A48">
        <w:rPr>
          <w:rFonts w:ascii="Book Antiqua" w:eastAsia="Times New Roman" w:hAnsi="Book Antiqua" w:cstheme="minorHAnsi"/>
          <w:b/>
          <w:sz w:val="24"/>
          <w:szCs w:val="24"/>
          <w:lang w:val="en-US" w:eastAsia="pt-BR"/>
        </w:rPr>
        <w:t>Procedure time</w:t>
      </w:r>
      <w:bookmarkEnd w:id="14"/>
      <w:r w:rsidR="00036A86" w:rsidRPr="00C10A48">
        <w:rPr>
          <w:rFonts w:ascii="Book Antiqua" w:eastAsia="DengXian" w:hAnsi="Book Antiqua" w:cstheme="minorHAnsi" w:hint="eastAsia"/>
          <w:b/>
          <w:sz w:val="24"/>
          <w:szCs w:val="24"/>
          <w:lang w:val="en-US" w:eastAsia="zh-CN"/>
        </w:rPr>
        <w:t>:</w:t>
      </w:r>
      <w:r w:rsidR="00036A86" w:rsidRPr="00C10A48">
        <w:rPr>
          <w:rFonts w:ascii="Book Antiqua" w:eastAsia="DengXian" w:hAnsi="Book Antiqua" w:cstheme="minorHAnsi"/>
          <w:b/>
          <w:sz w:val="24"/>
          <w:szCs w:val="24"/>
          <w:lang w:val="en-US" w:eastAsia="zh-CN"/>
        </w:rPr>
        <w:t xml:space="preserve"> </w:t>
      </w:r>
      <w:r w:rsidR="002E6770" w:rsidRPr="00C10A48">
        <w:rPr>
          <w:rFonts w:ascii="Book Antiqua" w:eastAsia="Times New Roman" w:hAnsi="Book Antiqua" w:cstheme="minorHAnsi"/>
          <w:bCs/>
          <w:sz w:val="24"/>
          <w:szCs w:val="24"/>
          <w:lang w:val="en-US" w:eastAsia="pt-BR"/>
        </w:rPr>
        <w:t xml:space="preserve">Seven </w:t>
      </w:r>
      <w:proofErr w:type="gramStart"/>
      <w:r w:rsidR="002E6770" w:rsidRPr="00C10A48">
        <w:rPr>
          <w:rFonts w:ascii="Book Antiqua" w:eastAsia="Times New Roman" w:hAnsi="Book Antiqua" w:cstheme="minorHAnsi"/>
          <w:bCs/>
          <w:sz w:val="24"/>
          <w:szCs w:val="24"/>
          <w:lang w:val="en-US" w:eastAsia="pt-BR"/>
        </w:rPr>
        <w:t>studies</w:t>
      </w:r>
      <w:r w:rsidR="0024084B" w:rsidRPr="00C10A48">
        <w:rPr>
          <w:rFonts w:ascii="Book Antiqua" w:eastAsia="Times New Roman" w:hAnsi="Book Antiqua" w:cstheme="minorHAnsi"/>
          <w:bCs/>
          <w:noProof/>
          <w:sz w:val="24"/>
          <w:szCs w:val="24"/>
          <w:vertAlign w:val="superscript"/>
          <w:lang w:val="en-US" w:eastAsia="pt-BR"/>
        </w:rPr>
        <w:t>[</w:t>
      </w:r>
      <w:proofErr w:type="gramEnd"/>
      <w:r w:rsidR="0024084B" w:rsidRPr="00C10A48">
        <w:rPr>
          <w:rFonts w:ascii="Book Antiqua" w:eastAsia="Times New Roman" w:hAnsi="Book Antiqua" w:cstheme="minorHAnsi"/>
          <w:bCs/>
          <w:noProof/>
          <w:sz w:val="24"/>
          <w:szCs w:val="24"/>
          <w:vertAlign w:val="superscript"/>
          <w:lang w:val="en-US" w:eastAsia="pt-BR"/>
        </w:rPr>
        <w:t>15–17,19–22]</w:t>
      </w:r>
      <w:r w:rsidR="002E6770" w:rsidRPr="00C10A48">
        <w:rPr>
          <w:rFonts w:ascii="Book Antiqua" w:eastAsia="Times New Roman" w:hAnsi="Book Antiqua" w:cstheme="minorHAnsi"/>
          <w:bCs/>
          <w:sz w:val="24"/>
          <w:szCs w:val="24"/>
          <w:lang w:val="en-US" w:eastAsia="pt-BR"/>
        </w:rPr>
        <w:t xml:space="preserve"> with a total of 556 patients (282 propofol group and 274 midazolam group) reported procedure time. No statistical difference was found between the propofol and midazolam groups (MD: 0.25</w:t>
      </w:r>
      <w:r w:rsidR="001B45FD" w:rsidRPr="00C10A48">
        <w:rPr>
          <w:rFonts w:ascii="Book Antiqua" w:eastAsia="Times New Roman" w:hAnsi="Book Antiqua" w:cstheme="minorHAnsi"/>
          <w:bCs/>
          <w:sz w:val="24"/>
          <w:szCs w:val="24"/>
          <w:lang w:val="en-US" w:eastAsia="pt-BR"/>
        </w:rPr>
        <w:t>, 95%</w:t>
      </w:r>
      <w:r w:rsidR="002E6770" w:rsidRPr="00C10A48">
        <w:rPr>
          <w:rFonts w:ascii="Book Antiqua" w:eastAsia="Times New Roman" w:hAnsi="Book Antiqua" w:cstheme="minorHAnsi"/>
          <w:bCs/>
          <w:sz w:val="24"/>
          <w:szCs w:val="24"/>
          <w:lang w:val="en-US" w:eastAsia="pt-BR"/>
        </w:rPr>
        <w:t xml:space="preserve">CI: -0.64 </w:t>
      </w:r>
      <w:r w:rsidR="001B45FD" w:rsidRPr="00C10A48">
        <w:rPr>
          <w:rFonts w:ascii="Book Antiqua" w:eastAsia="Times New Roman" w:hAnsi="Book Antiqua" w:cstheme="minorHAnsi"/>
          <w:bCs/>
          <w:sz w:val="24"/>
          <w:szCs w:val="24"/>
          <w:lang w:val="en-US" w:eastAsia="pt-BR"/>
        </w:rPr>
        <w:t xml:space="preserve">to </w:t>
      </w:r>
      <w:r w:rsidR="002E6770" w:rsidRPr="00C10A48">
        <w:rPr>
          <w:rFonts w:ascii="Book Antiqua" w:eastAsia="Times New Roman" w:hAnsi="Book Antiqua" w:cstheme="minorHAnsi"/>
          <w:bCs/>
          <w:sz w:val="24"/>
          <w:szCs w:val="24"/>
          <w:lang w:val="en-US" w:eastAsia="pt-BR"/>
        </w:rPr>
        <w:t>1.13</w:t>
      </w:r>
      <w:r w:rsidR="001B45FD" w:rsidRPr="00C10A48">
        <w:rPr>
          <w:rFonts w:ascii="Book Antiqua" w:eastAsia="Times New Roman" w:hAnsi="Book Antiqua" w:cstheme="minorHAnsi"/>
          <w:bCs/>
          <w:sz w:val="24"/>
          <w:szCs w:val="24"/>
          <w:lang w:val="en-US" w:eastAsia="pt-BR"/>
        </w:rPr>
        <w:t xml:space="preserve">, </w:t>
      </w:r>
      <w:r w:rsidR="001B45FD" w:rsidRPr="00C10A48">
        <w:rPr>
          <w:rFonts w:ascii="Book Antiqua" w:eastAsia="Times New Roman" w:hAnsi="Book Antiqua" w:cstheme="minorHAnsi"/>
          <w:i/>
          <w:sz w:val="24"/>
          <w:szCs w:val="24"/>
          <w:lang w:val="en-US" w:eastAsia="pt-BR"/>
        </w:rPr>
        <w:t>P</w:t>
      </w:r>
      <w:r w:rsidR="001B45FD" w:rsidRPr="00C10A48">
        <w:rPr>
          <w:rFonts w:ascii="Book Antiqua" w:eastAsia="Times New Roman" w:hAnsi="Book Antiqua" w:cstheme="minorHAnsi"/>
          <w:bCs/>
          <w:sz w:val="24"/>
          <w:szCs w:val="24"/>
          <w:lang w:val="en-US" w:eastAsia="pt-BR"/>
        </w:rPr>
        <w:t xml:space="preserve"> </w:t>
      </w:r>
      <w:r w:rsidR="002E6770" w:rsidRPr="00C10A48">
        <w:rPr>
          <w:rFonts w:ascii="Book Antiqua" w:eastAsia="Times New Roman" w:hAnsi="Book Antiqua" w:cstheme="minorHAnsi"/>
          <w:bCs/>
          <w:sz w:val="24"/>
          <w:szCs w:val="24"/>
          <w:lang w:val="en-US" w:eastAsia="pt-BR"/>
        </w:rPr>
        <w:t>=</w:t>
      </w:r>
      <w:r w:rsidR="001B45FD" w:rsidRPr="00C10A48">
        <w:rPr>
          <w:rFonts w:ascii="Book Antiqua" w:eastAsia="Times New Roman" w:hAnsi="Book Antiqua" w:cstheme="minorHAnsi"/>
          <w:bCs/>
          <w:sz w:val="24"/>
          <w:szCs w:val="24"/>
          <w:lang w:val="en-US" w:eastAsia="pt-BR"/>
        </w:rPr>
        <w:t xml:space="preserve"> </w:t>
      </w:r>
      <w:r w:rsidR="002E6770" w:rsidRPr="00C10A48">
        <w:rPr>
          <w:rFonts w:ascii="Book Antiqua" w:eastAsia="Times New Roman" w:hAnsi="Book Antiqua" w:cstheme="minorHAnsi"/>
          <w:bCs/>
          <w:sz w:val="24"/>
          <w:szCs w:val="24"/>
          <w:lang w:val="en-US" w:eastAsia="pt-BR"/>
        </w:rPr>
        <w:t>0.59) (Figure 4).</w:t>
      </w:r>
    </w:p>
    <w:p w14:paraId="7B07AC0B" w14:textId="77777777" w:rsidR="002E6770" w:rsidRPr="00C10A48" w:rsidRDefault="002E6770" w:rsidP="00F227A9">
      <w:pPr>
        <w:snapToGrid w:val="0"/>
        <w:spacing w:after="0" w:line="360" w:lineRule="auto"/>
        <w:jc w:val="both"/>
        <w:rPr>
          <w:rFonts w:ascii="Book Antiqua" w:eastAsia="Times New Roman" w:hAnsi="Book Antiqua" w:cstheme="minorHAnsi"/>
          <w:sz w:val="24"/>
          <w:szCs w:val="24"/>
          <w:lang w:val="en-US" w:eastAsia="pt-BR"/>
        </w:rPr>
      </w:pPr>
    </w:p>
    <w:p w14:paraId="42905491" w14:textId="34C31EB0" w:rsidR="0008191D" w:rsidRPr="00C10A48" w:rsidRDefault="00213086" w:rsidP="00F227A9">
      <w:pPr>
        <w:snapToGrid w:val="0"/>
        <w:spacing w:after="0" w:line="360" w:lineRule="auto"/>
        <w:jc w:val="both"/>
        <w:rPr>
          <w:rFonts w:ascii="Book Antiqua" w:eastAsia="Times New Roman" w:hAnsi="Book Antiqua" w:cstheme="minorHAnsi"/>
          <w:b/>
          <w:sz w:val="24"/>
          <w:szCs w:val="24"/>
          <w:lang w:val="en-US" w:eastAsia="pt-BR"/>
        </w:rPr>
      </w:pPr>
      <w:r w:rsidRPr="00C10A48">
        <w:rPr>
          <w:rFonts w:ascii="Book Antiqua" w:eastAsia="Times New Roman" w:hAnsi="Book Antiqua" w:cstheme="minorHAnsi"/>
          <w:b/>
          <w:sz w:val="24"/>
          <w:szCs w:val="24"/>
          <w:lang w:val="en-US" w:eastAsia="pt-BR"/>
        </w:rPr>
        <w:t>Recovery time</w:t>
      </w:r>
      <w:r w:rsidR="00036A86" w:rsidRPr="00C10A48">
        <w:rPr>
          <w:rFonts w:ascii="Book Antiqua" w:eastAsia="DengXian" w:hAnsi="Book Antiqua" w:cstheme="minorHAnsi" w:hint="eastAsia"/>
          <w:b/>
          <w:sz w:val="24"/>
          <w:szCs w:val="24"/>
          <w:lang w:val="en-US" w:eastAsia="zh-CN"/>
        </w:rPr>
        <w:t>:</w:t>
      </w:r>
      <w:r w:rsidR="00036A86" w:rsidRPr="00C10A48">
        <w:rPr>
          <w:rFonts w:ascii="Book Antiqua" w:eastAsia="DengXian" w:hAnsi="Book Antiqua" w:cstheme="minorHAnsi"/>
          <w:b/>
          <w:sz w:val="24"/>
          <w:szCs w:val="24"/>
          <w:lang w:val="en-US" w:eastAsia="zh-CN"/>
        </w:rPr>
        <w:t xml:space="preserve"> </w:t>
      </w:r>
      <w:r w:rsidR="002E6770" w:rsidRPr="00C10A48">
        <w:rPr>
          <w:rFonts w:ascii="Book Antiqua" w:eastAsia="Times New Roman" w:hAnsi="Book Antiqua" w:cstheme="minorHAnsi"/>
          <w:sz w:val="24"/>
          <w:szCs w:val="24"/>
          <w:lang w:val="en-US" w:eastAsia="pt-BR"/>
        </w:rPr>
        <w:t xml:space="preserve">Six </w:t>
      </w:r>
      <w:proofErr w:type="gramStart"/>
      <w:r w:rsidR="002E6770" w:rsidRPr="00C10A48">
        <w:rPr>
          <w:rFonts w:ascii="Book Antiqua" w:eastAsia="Times New Roman" w:hAnsi="Book Antiqua" w:cstheme="minorHAnsi"/>
          <w:sz w:val="24"/>
          <w:szCs w:val="24"/>
          <w:lang w:val="en-US" w:eastAsia="pt-BR"/>
        </w:rPr>
        <w:t>studies</w:t>
      </w:r>
      <w:r w:rsidR="0024084B" w:rsidRPr="00C10A48">
        <w:rPr>
          <w:rFonts w:ascii="Book Antiqua" w:eastAsia="Times New Roman" w:hAnsi="Book Antiqua" w:cstheme="minorHAnsi"/>
          <w:noProof/>
          <w:sz w:val="24"/>
          <w:szCs w:val="24"/>
          <w:vertAlign w:val="superscript"/>
          <w:lang w:val="en-US" w:eastAsia="pt-BR"/>
        </w:rPr>
        <w:t>[</w:t>
      </w:r>
      <w:proofErr w:type="gramEnd"/>
      <w:r w:rsidR="0024084B" w:rsidRPr="00C10A48">
        <w:rPr>
          <w:rFonts w:ascii="Book Antiqua" w:eastAsia="Times New Roman" w:hAnsi="Book Antiqua" w:cstheme="minorHAnsi"/>
          <w:noProof/>
          <w:sz w:val="24"/>
          <w:szCs w:val="24"/>
          <w:vertAlign w:val="superscript"/>
          <w:lang w:val="en-US" w:eastAsia="pt-BR"/>
        </w:rPr>
        <w:t>15–18,20,22]</w:t>
      </w:r>
      <w:r w:rsidR="002E6770" w:rsidRPr="00C10A48">
        <w:rPr>
          <w:rFonts w:ascii="Book Antiqua" w:eastAsia="Times New Roman" w:hAnsi="Book Antiqua" w:cstheme="minorHAnsi"/>
          <w:sz w:val="24"/>
          <w:szCs w:val="24"/>
          <w:lang w:val="en-US" w:eastAsia="pt-BR"/>
        </w:rPr>
        <w:t xml:space="preserve"> with a total of 363 patients (191 in the propofol group and 172 in the midazolam group) reported recovery time after sedation. The recovery time was significantly higher in the midazolam group (MD: -8.19</w:t>
      </w:r>
      <w:r w:rsidR="001B45FD" w:rsidRPr="00C10A48">
        <w:rPr>
          <w:rFonts w:ascii="Book Antiqua" w:eastAsia="Times New Roman" w:hAnsi="Book Antiqua" w:cstheme="minorHAnsi"/>
          <w:sz w:val="24"/>
          <w:szCs w:val="24"/>
          <w:lang w:val="en-US" w:eastAsia="pt-BR"/>
        </w:rPr>
        <w:t>, 95%</w:t>
      </w:r>
      <w:r w:rsidR="002E6770" w:rsidRPr="00C10A48">
        <w:rPr>
          <w:rFonts w:ascii="Book Antiqua" w:eastAsia="Times New Roman" w:hAnsi="Book Antiqua" w:cstheme="minorHAnsi"/>
          <w:sz w:val="24"/>
          <w:szCs w:val="24"/>
          <w:lang w:val="en-US" w:eastAsia="pt-BR"/>
        </w:rPr>
        <w:t xml:space="preserve">CI: -10.59 </w:t>
      </w:r>
      <w:r w:rsidR="001B45FD" w:rsidRPr="00C10A48">
        <w:rPr>
          <w:rFonts w:ascii="Book Antiqua" w:eastAsia="Times New Roman" w:hAnsi="Book Antiqua" w:cstheme="minorHAnsi"/>
          <w:sz w:val="24"/>
          <w:szCs w:val="24"/>
          <w:lang w:val="en-US" w:eastAsia="pt-BR"/>
        </w:rPr>
        <w:t>to</w:t>
      </w:r>
      <w:r w:rsidR="002E6770" w:rsidRPr="00C10A48">
        <w:rPr>
          <w:rFonts w:ascii="Book Antiqua" w:eastAsia="Times New Roman" w:hAnsi="Book Antiqua" w:cstheme="minorHAnsi"/>
          <w:sz w:val="24"/>
          <w:szCs w:val="24"/>
          <w:lang w:val="en-US" w:eastAsia="pt-BR"/>
        </w:rPr>
        <w:t xml:space="preserve"> -5.79</w:t>
      </w:r>
      <w:r w:rsidR="001B45FD" w:rsidRPr="00C10A48">
        <w:rPr>
          <w:rFonts w:ascii="Book Antiqua" w:eastAsia="Times New Roman" w:hAnsi="Book Antiqua" w:cstheme="minorHAnsi"/>
          <w:sz w:val="24"/>
          <w:szCs w:val="24"/>
          <w:lang w:val="en-US" w:eastAsia="pt-BR"/>
        </w:rPr>
        <w:t xml:space="preserve">, </w:t>
      </w:r>
      <w:r w:rsidR="002E6770" w:rsidRPr="00C10A48">
        <w:rPr>
          <w:rFonts w:ascii="Book Antiqua" w:eastAsia="Times New Roman" w:hAnsi="Book Antiqua" w:cstheme="minorHAnsi"/>
          <w:i/>
          <w:sz w:val="24"/>
          <w:szCs w:val="24"/>
          <w:lang w:val="en-US" w:eastAsia="pt-BR"/>
        </w:rPr>
        <w:t>P</w:t>
      </w:r>
      <w:r w:rsidR="001B45FD" w:rsidRPr="00C10A48">
        <w:rPr>
          <w:rFonts w:ascii="Book Antiqua" w:eastAsia="Times New Roman" w:hAnsi="Book Antiqua" w:cstheme="minorHAnsi"/>
          <w:sz w:val="24"/>
          <w:szCs w:val="24"/>
          <w:lang w:val="en-US" w:eastAsia="pt-BR"/>
        </w:rPr>
        <w:t xml:space="preserve"> </w:t>
      </w:r>
      <w:r w:rsidR="002E6770" w:rsidRPr="00C10A48">
        <w:rPr>
          <w:rFonts w:ascii="Book Antiqua" w:eastAsia="Times New Roman" w:hAnsi="Book Antiqua" w:cstheme="minorHAnsi"/>
          <w:sz w:val="24"/>
          <w:szCs w:val="24"/>
          <w:lang w:val="en-US" w:eastAsia="pt-BR"/>
        </w:rPr>
        <w:t>&lt;</w:t>
      </w:r>
      <w:r w:rsidR="001B45FD" w:rsidRPr="00C10A48">
        <w:rPr>
          <w:rFonts w:ascii="Book Antiqua" w:eastAsia="Times New Roman" w:hAnsi="Book Antiqua" w:cstheme="minorHAnsi"/>
          <w:sz w:val="24"/>
          <w:szCs w:val="24"/>
          <w:lang w:val="en-US" w:eastAsia="pt-BR"/>
        </w:rPr>
        <w:t xml:space="preserve"> </w:t>
      </w:r>
      <w:r w:rsidR="002E6770" w:rsidRPr="00C10A48">
        <w:rPr>
          <w:rFonts w:ascii="Book Antiqua" w:eastAsia="Times New Roman" w:hAnsi="Book Antiqua" w:cstheme="minorHAnsi"/>
          <w:sz w:val="24"/>
          <w:szCs w:val="24"/>
          <w:lang w:val="en-US" w:eastAsia="pt-BR"/>
        </w:rPr>
        <w:t>0.00001) (Figure 5).</w:t>
      </w:r>
    </w:p>
    <w:p w14:paraId="7610F703" w14:textId="77777777" w:rsidR="002E6770" w:rsidRPr="00C10A48" w:rsidRDefault="002E6770" w:rsidP="00F227A9">
      <w:pPr>
        <w:snapToGrid w:val="0"/>
        <w:spacing w:after="0" w:line="360" w:lineRule="auto"/>
        <w:jc w:val="both"/>
        <w:rPr>
          <w:rFonts w:ascii="Book Antiqua" w:eastAsia="Times New Roman" w:hAnsi="Book Antiqua" w:cstheme="minorHAnsi"/>
          <w:sz w:val="24"/>
          <w:szCs w:val="24"/>
          <w:lang w:val="en-US" w:eastAsia="pt-BR"/>
        </w:rPr>
      </w:pPr>
    </w:p>
    <w:p w14:paraId="2AF02385" w14:textId="5E4EC6AF" w:rsidR="002C2842" w:rsidRPr="00C10A48" w:rsidRDefault="00213086" w:rsidP="00F227A9">
      <w:pPr>
        <w:snapToGrid w:val="0"/>
        <w:spacing w:after="0" w:line="360" w:lineRule="auto"/>
        <w:jc w:val="both"/>
        <w:rPr>
          <w:rFonts w:ascii="Book Antiqua" w:eastAsia="Times New Roman" w:hAnsi="Book Antiqua" w:cstheme="minorHAnsi"/>
          <w:b/>
          <w:sz w:val="24"/>
          <w:szCs w:val="24"/>
          <w:lang w:val="en-US" w:eastAsia="pt-BR"/>
        </w:rPr>
      </w:pPr>
      <w:r w:rsidRPr="00C10A48">
        <w:rPr>
          <w:rFonts w:ascii="Book Antiqua" w:eastAsia="Times New Roman" w:hAnsi="Book Antiqua" w:cstheme="minorHAnsi"/>
          <w:b/>
          <w:sz w:val="24"/>
          <w:szCs w:val="24"/>
          <w:lang w:val="en-US" w:eastAsia="pt-BR"/>
        </w:rPr>
        <w:t>Discharge time</w:t>
      </w:r>
      <w:r w:rsidR="00036A86" w:rsidRPr="00C10A48">
        <w:rPr>
          <w:rFonts w:ascii="Book Antiqua" w:eastAsia="DengXian" w:hAnsi="Book Antiqua" w:cstheme="minorHAnsi" w:hint="eastAsia"/>
          <w:b/>
          <w:sz w:val="24"/>
          <w:szCs w:val="24"/>
          <w:lang w:val="en-US" w:eastAsia="zh-CN"/>
        </w:rPr>
        <w:t>:</w:t>
      </w:r>
      <w:r w:rsidR="00036A86" w:rsidRPr="00C10A48">
        <w:rPr>
          <w:rFonts w:ascii="Book Antiqua" w:eastAsia="DengXian" w:hAnsi="Book Antiqua" w:cstheme="minorHAnsi"/>
          <w:b/>
          <w:sz w:val="24"/>
          <w:szCs w:val="24"/>
          <w:lang w:val="en-US" w:eastAsia="zh-CN"/>
        </w:rPr>
        <w:t xml:space="preserve"> </w:t>
      </w:r>
      <w:r w:rsidR="002E6770" w:rsidRPr="00C10A48">
        <w:rPr>
          <w:rFonts w:ascii="Book Antiqua" w:eastAsia="Times New Roman" w:hAnsi="Book Antiqua" w:cstheme="minorHAnsi"/>
          <w:sz w:val="24"/>
          <w:szCs w:val="24"/>
          <w:lang w:val="en-US" w:eastAsia="pt-BR"/>
        </w:rPr>
        <w:t xml:space="preserve">Three </w:t>
      </w:r>
      <w:proofErr w:type="gramStart"/>
      <w:r w:rsidR="002E6770" w:rsidRPr="00C10A48">
        <w:rPr>
          <w:rFonts w:ascii="Book Antiqua" w:eastAsia="Times New Roman" w:hAnsi="Book Antiqua" w:cstheme="minorHAnsi"/>
          <w:sz w:val="24"/>
          <w:szCs w:val="24"/>
          <w:lang w:val="en-US" w:eastAsia="pt-BR"/>
        </w:rPr>
        <w:t>studies</w:t>
      </w:r>
      <w:r w:rsidR="0024084B" w:rsidRPr="00C10A48">
        <w:rPr>
          <w:rFonts w:ascii="Book Antiqua" w:eastAsia="Times New Roman" w:hAnsi="Book Antiqua" w:cstheme="minorHAnsi"/>
          <w:noProof/>
          <w:sz w:val="24"/>
          <w:szCs w:val="24"/>
          <w:vertAlign w:val="superscript"/>
          <w:lang w:val="en-US" w:eastAsia="pt-BR"/>
        </w:rPr>
        <w:t>[</w:t>
      </w:r>
      <w:proofErr w:type="gramEnd"/>
      <w:r w:rsidR="0024084B" w:rsidRPr="00C10A48">
        <w:rPr>
          <w:rFonts w:ascii="Book Antiqua" w:eastAsia="Times New Roman" w:hAnsi="Book Antiqua" w:cstheme="minorHAnsi"/>
          <w:noProof/>
          <w:sz w:val="24"/>
          <w:szCs w:val="24"/>
          <w:vertAlign w:val="superscript"/>
          <w:lang w:val="en-US" w:eastAsia="pt-BR"/>
        </w:rPr>
        <w:t>16,20,22]</w:t>
      </w:r>
      <w:r w:rsidR="001C5E01" w:rsidRPr="00C10A48">
        <w:rPr>
          <w:rFonts w:ascii="Book Antiqua" w:eastAsia="Times New Roman" w:hAnsi="Book Antiqua" w:cstheme="minorHAnsi"/>
          <w:sz w:val="24"/>
          <w:szCs w:val="24"/>
          <w:lang w:val="en-US" w:eastAsia="pt-BR"/>
        </w:rPr>
        <w:t xml:space="preserve"> </w:t>
      </w:r>
      <w:r w:rsidR="002E6770" w:rsidRPr="00C10A48">
        <w:rPr>
          <w:rFonts w:ascii="Book Antiqua" w:eastAsia="Times New Roman" w:hAnsi="Book Antiqua" w:cstheme="minorHAnsi"/>
          <w:sz w:val="24"/>
          <w:szCs w:val="24"/>
          <w:lang w:val="en-US" w:eastAsia="pt-BR"/>
        </w:rPr>
        <w:t>with a total of 181 patients (91 in the propofol group and 90 in the midazolam group) reported discharge time after sedation. The discharge was significantly lower in the propofol group compared to midazolam (MD: -8.19</w:t>
      </w:r>
      <w:r w:rsidR="001B45FD" w:rsidRPr="00C10A48">
        <w:rPr>
          <w:rFonts w:ascii="Book Antiqua" w:eastAsia="Times New Roman" w:hAnsi="Book Antiqua" w:cstheme="minorHAnsi"/>
          <w:sz w:val="24"/>
          <w:szCs w:val="24"/>
          <w:lang w:val="en-US" w:eastAsia="pt-BR"/>
        </w:rPr>
        <w:t>, 95%</w:t>
      </w:r>
      <w:r w:rsidR="002E6770" w:rsidRPr="00C10A48">
        <w:rPr>
          <w:rFonts w:ascii="Book Antiqua" w:eastAsia="Times New Roman" w:hAnsi="Book Antiqua" w:cstheme="minorHAnsi"/>
          <w:sz w:val="24"/>
          <w:szCs w:val="24"/>
          <w:lang w:val="en-US" w:eastAsia="pt-BR"/>
        </w:rPr>
        <w:t xml:space="preserve">CI: -10.59 </w:t>
      </w:r>
      <w:r w:rsidR="001B45FD" w:rsidRPr="00C10A48">
        <w:rPr>
          <w:rFonts w:ascii="Book Antiqua" w:eastAsia="Times New Roman" w:hAnsi="Book Antiqua" w:cstheme="minorHAnsi"/>
          <w:sz w:val="24"/>
          <w:szCs w:val="24"/>
          <w:lang w:val="en-US" w:eastAsia="pt-BR"/>
        </w:rPr>
        <w:t>to</w:t>
      </w:r>
      <w:r w:rsidR="002E6770" w:rsidRPr="00C10A48">
        <w:rPr>
          <w:rFonts w:ascii="Book Antiqua" w:eastAsia="Times New Roman" w:hAnsi="Book Antiqua" w:cstheme="minorHAnsi"/>
          <w:sz w:val="24"/>
          <w:szCs w:val="24"/>
          <w:lang w:val="en-US" w:eastAsia="pt-BR"/>
        </w:rPr>
        <w:t xml:space="preserve"> -5.79</w:t>
      </w:r>
      <w:r w:rsidR="001B45FD" w:rsidRPr="00C10A48">
        <w:rPr>
          <w:rFonts w:ascii="Book Antiqua" w:eastAsia="Times New Roman" w:hAnsi="Book Antiqua" w:cstheme="minorHAnsi"/>
          <w:sz w:val="24"/>
          <w:szCs w:val="24"/>
          <w:lang w:val="en-US" w:eastAsia="pt-BR"/>
        </w:rPr>
        <w:t xml:space="preserve">, </w:t>
      </w:r>
      <w:r w:rsidR="001B45FD" w:rsidRPr="00C10A48">
        <w:rPr>
          <w:rFonts w:ascii="Book Antiqua" w:eastAsia="Times New Roman" w:hAnsi="Book Antiqua" w:cstheme="minorHAnsi"/>
          <w:i/>
          <w:sz w:val="24"/>
          <w:szCs w:val="24"/>
          <w:lang w:val="en-US" w:eastAsia="pt-BR"/>
        </w:rPr>
        <w:t>P</w:t>
      </w:r>
      <w:r w:rsidR="002E6770" w:rsidRPr="00C10A48">
        <w:rPr>
          <w:rFonts w:ascii="Book Antiqua" w:eastAsia="Times New Roman" w:hAnsi="Book Antiqua" w:cstheme="minorHAnsi"/>
          <w:sz w:val="24"/>
          <w:szCs w:val="24"/>
          <w:lang w:val="en-US" w:eastAsia="pt-BR"/>
        </w:rPr>
        <w:t xml:space="preserve"> &lt;</w:t>
      </w:r>
      <w:r w:rsidR="001B45FD" w:rsidRPr="00C10A48">
        <w:rPr>
          <w:rFonts w:ascii="Book Antiqua" w:eastAsia="Times New Roman" w:hAnsi="Book Antiqua" w:cstheme="minorHAnsi"/>
          <w:sz w:val="24"/>
          <w:szCs w:val="24"/>
          <w:lang w:val="en-US" w:eastAsia="pt-BR"/>
        </w:rPr>
        <w:t xml:space="preserve"> </w:t>
      </w:r>
      <w:r w:rsidR="002E6770" w:rsidRPr="00C10A48">
        <w:rPr>
          <w:rFonts w:ascii="Book Antiqua" w:eastAsia="Times New Roman" w:hAnsi="Book Antiqua" w:cstheme="minorHAnsi"/>
          <w:sz w:val="24"/>
          <w:szCs w:val="24"/>
          <w:lang w:val="en-US" w:eastAsia="pt-BR"/>
        </w:rPr>
        <w:t xml:space="preserve">0.00001) (Figure 6).  </w:t>
      </w:r>
    </w:p>
    <w:p w14:paraId="43D119A6" w14:textId="77777777" w:rsidR="002E6770" w:rsidRPr="00C10A48" w:rsidRDefault="002E6770" w:rsidP="00F227A9">
      <w:pPr>
        <w:snapToGrid w:val="0"/>
        <w:spacing w:after="0" w:line="360" w:lineRule="auto"/>
        <w:jc w:val="both"/>
        <w:rPr>
          <w:rFonts w:ascii="Book Antiqua" w:eastAsia="Times New Roman" w:hAnsi="Book Antiqua" w:cstheme="minorHAnsi"/>
          <w:sz w:val="24"/>
          <w:szCs w:val="24"/>
          <w:lang w:val="en-US" w:eastAsia="pt-BR"/>
        </w:rPr>
      </w:pPr>
    </w:p>
    <w:p w14:paraId="45AFF0B4" w14:textId="5AF8D279" w:rsidR="002E6770" w:rsidRPr="00C10A48" w:rsidRDefault="00213086" w:rsidP="00F227A9">
      <w:pPr>
        <w:snapToGrid w:val="0"/>
        <w:spacing w:after="0" w:line="360" w:lineRule="auto"/>
        <w:jc w:val="both"/>
        <w:rPr>
          <w:rFonts w:ascii="Book Antiqua" w:eastAsia="Times New Roman" w:hAnsi="Book Antiqua" w:cstheme="minorHAnsi"/>
          <w:b/>
          <w:sz w:val="24"/>
          <w:szCs w:val="24"/>
          <w:lang w:val="en-US" w:eastAsia="pt-BR"/>
        </w:rPr>
      </w:pPr>
      <w:r w:rsidRPr="00C10A48">
        <w:rPr>
          <w:rFonts w:ascii="Book Antiqua" w:eastAsia="Times New Roman" w:hAnsi="Book Antiqua" w:cstheme="minorHAnsi"/>
          <w:b/>
          <w:sz w:val="24"/>
          <w:szCs w:val="24"/>
          <w:lang w:val="en-US" w:eastAsia="pt-BR"/>
        </w:rPr>
        <w:t>Adverse events</w:t>
      </w:r>
      <w:r w:rsidR="00036A86" w:rsidRPr="00C10A48">
        <w:rPr>
          <w:rFonts w:ascii="Book Antiqua" w:eastAsia="DengXian" w:hAnsi="Book Antiqua" w:cstheme="minorHAnsi" w:hint="eastAsia"/>
          <w:b/>
          <w:sz w:val="24"/>
          <w:szCs w:val="24"/>
          <w:lang w:val="en-US" w:eastAsia="zh-CN"/>
        </w:rPr>
        <w:t>:</w:t>
      </w:r>
      <w:r w:rsidR="00036A86" w:rsidRPr="00C10A48">
        <w:rPr>
          <w:rFonts w:ascii="Book Antiqua" w:eastAsia="DengXian" w:hAnsi="Book Antiqua" w:cstheme="minorHAnsi"/>
          <w:b/>
          <w:sz w:val="24"/>
          <w:szCs w:val="24"/>
          <w:lang w:val="en-US" w:eastAsia="zh-CN"/>
        </w:rPr>
        <w:t xml:space="preserve"> </w:t>
      </w:r>
      <w:r w:rsidR="002E6770" w:rsidRPr="00C10A48">
        <w:rPr>
          <w:rFonts w:ascii="Book Antiqua" w:eastAsia="Times New Roman" w:hAnsi="Book Antiqua" w:cstheme="minorHAnsi"/>
          <w:sz w:val="24"/>
          <w:szCs w:val="24"/>
          <w:lang w:val="en-US" w:eastAsia="pt-BR"/>
        </w:rPr>
        <w:t xml:space="preserve">All included </w:t>
      </w:r>
      <w:proofErr w:type="gramStart"/>
      <w:r w:rsidR="002E6770" w:rsidRPr="00C10A48">
        <w:rPr>
          <w:rFonts w:ascii="Book Antiqua" w:eastAsia="Times New Roman" w:hAnsi="Book Antiqua" w:cstheme="minorHAnsi"/>
          <w:sz w:val="24"/>
          <w:szCs w:val="24"/>
          <w:lang w:val="en-US" w:eastAsia="pt-BR"/>
        </w:rPr>
        <w:t>studies</w:t>
      </w:r>
      <w:r w:rsidR="0024084B" w:rsidRPr="00C10A48">
        <w:rPr>
          <w:rFonts w:ascii="Book Antiqua" w:eastAsia="Times New Roman" w:hAnsi="Book Antiqua" w:cstheme="minorHAnsi"/>
          <w:noProof/>
          <w:sz w:val="24"/>
          <w:szCs w:val="24"/>
          <w:vertAlign w:val="superscript"/>
          <w:lang w:val="en-US" w:eastAsia="pt-BR"/>
        </w:rPr>
        <w:t>[</w:t>
      </w:r>
      <w:proofErr w:type="gramEnd"/>
      <w:r w:rsidR="0024084B" w:rsidRPr="00C10A48">
        <w:rPr>
          <w:rFonts w:ascii="Book Antiqua" w:eastAsia="Times New Roman" w:hAnsi="Book Antiqua" w:cstheme="minorHAnsi"/>
          <w:noProof/>
          <w:sz w:val="24"/>
          <w:szCs w:val="24"/>
          <w:vertAlign w:val="superscript"/>
          <w:lang w:val="en-US" w:eastAsia="pt-BR"/>
        </w:rPr>
        <w:t>15–22]</w:t>
      </w:r>
      <w:r w:rsidR="001C5E01" w:rsidRPr="00C10A48">
        <w:rPr>
          <w:rFonts w:ascii="Book Antiqua" w:eastAsia="Times New Roman" w:hAnsi="Book Antiqua" w:cstheme="minorHAnsi"/>
          <w:sz w:val="24"/>
          <w:szCs w:val="24"/>
          <w:lang w:val="en-US" w:eastAsia="pt-BR"/>
        </w:rPr>
        <w:t xml:space="preserve"> </w:t>
      </w:r>
      <w:r w:rsidR="002E6770" w:rsidRPr="00C10A48">
        <w:rPr>
          <w:rFonts w:ascii="Book Antiqua" w:eastAsia="Times New Roman" w:hAnsi="Book Antiqua" w:cstheme="minorHAnsi"/>
          <w:sz w:val="24"/>
          <w:szCs w:val="24"/>
          <w:lang w:val="en-US" w:eastAsia="pt-BR"/>
        </w:rPr>
        <w:t>reported the incidence of adverse events related to sedation during upper gastrointestinal endoscopy (bradycardia, hypotension, and hypoxemia).</w:t>
      </w:r>
    </w:p>
    <w:p w14:paraId="40F9A1C2" w14:textId="7959E0BF" w:rsidR="00400D99" w:rsidRPr="00C10A48" w:rsidRDefault="002E6770" w:rsidP="00F227A9">
      <w:pPr>
        <w:snapToGrid w:val="0"/>
        <w:spacing w:after="0" w:line="360" w:lineRule="auto"/>
        <w:ind w:firstLineChars="100" w:firstLine="240"/>
        <w:jc w:val="both"/>
        <w:rPr>
          <w:rFonts w:ascii="Book Antiqua" w:eastAsia="Times New Roman" w:hAnsi="Book Antiqua" w:cstheme="minorHAnsi"/>
          <w:sz w:val="24"/>
          <w:szCs w:val="24"/>
          <w:lang w:val="en-US" w:eastAsia="pt-BR"/>
        </w:rPr>
      </w:pPr>
      <w:r w:rsidRPr="00C10A48">
        <w:rPr>
          <w:rFonts w:ascii="Book Antiqua" w:eastAsia="Times New Roman" w:hAnsi="Book Antiqua" w:cstheme="minorHAnsi"/>
          <w:sz w:val="24"/>
          <w:szCs w:val="24"/>
          <w:lang w:val="en-US" w:eastAsia="pt-BR"/>
        </w:rPr>
        <w:t>Adverse events were similar in both groups (RD: 0.02</w:t>
      </w:r>
      <w:r w:rsidR="000954B0" w:rsidRPr="00C10A48">
        <w:rPr>
          <w:rFonts w:ascii="Book Antiqua" w:eastAsia="Times New Roman" w:hAnsi="Book Antiqua" w:cstheme="minorHAnsi"/>
          <w:sz w:val="24"/>
          <w:szCs w:val="24"/>
          <w:lang w:val="en-US" w:eastAsia="pt-BR"/>
        </w:rPr>
        <w:t>, 95%</w:t>
      </w:r>
      <w:r w:rsidRPr="00C10A48">
        <w:rPr>
          <w:rFonts w:ascii="Book Antiqua" w:eastAsia="Times New Roman" w:hAnsi="Book Antiqua" w:cstheme="minorHAnsi"/>
          <w:sz w:val="24"/>
          <w:szCs w:val="24"/>
          <w:lang w:val="en-US" w:eastAsia="pt-BR"/>
        </w:rPr>
        <w:t>CI: 0</w:t>
      </w:r>
      <w:r w:rsidR="000954B0" w:rsidRPr="00C10A48">
        <w:rPr>
          <w:rFonts w:ascii="Book Antiqua" w:eastAsia="Times New Roman" w:hAnsi="Book Antiqua" w:cstheme="minorHAnsi"/>
          <w:sz w:val="24"/>
          <w:szCs w:val="24"/>
          <w:lang w:val="en-US" w:eastAsia="pt-BR"/>
        </w:rPr>
        <w:t>-</w:t>
      </w:r>
      <w:r w:rsidRPr="00C10A48">
        <w:rPr>
          <w:rFonts w:ascii="Book Antiqua" w:eastAsia="Times New Roman" w:hAnsi="Book Antiqua" w:cstheme="minorHAnsi"/>
          <w:sz w:val="24"/>
          <w:szCs w:val="24"/>
          <w:lang w:val="en-US" w:eastAsia="pt-BR"/>
        </w:rPr>
        <w:t xml:space="preserve">0.04, </w:t>
      </w:r>
      <w:r w:rsidR="000954B0" w:rsidRPr="00C10A48">
        <w:rPr>
          <w:rFonts w:ascii="Book Antiqua" w:eastAsia="Times New Roman" w:hAnsi="Book Antiqua" w:cstheme="minorHAnsi"/>
          <w:i/>
          <w:sz w:val="24"/>
          <w:szCs w:val="24"/>
          <w:lang w:val="en-US" w:eastAsia="pt-BR"/>
        </w:rPr>
        <w:t>P</w:t>
      </w:r>
      <w:r w:rsidR="000954B0" w:rsidRPr="00C10A48">
        <w:rPr>
          <w:rFonts w:ascii="Book Antiqua" w:eastAsia="Times New Roman" w:hAnsi="Book Antiqua" w:cstheme="minorHAnsi"/>
          <w:sz w:val="24"/>
          <w:szCs w:val="24"/>
          <w:lang w:val="en-US" w:eastAsia="pt-BR"/>
        </w:rPr>
        <w:t xml:space="preserve"> </w:t>
      </w:r>
      <w:r w:rsidRPr="00C10A48">
        <w:rPr>
          <w:rFonts w:ascii="Book Antiqua" w:eastAsia="Times New Roman" w:hAnsi="Book Antiqua" w:cstheme="minorHAnsi"/>
          <w:sz w:val="24"/>
          <w:szCs w:val="24"/>
          <w:lang w:val="en-US" w:eastAsia="pt-BR"/>
        </w:rPr>
        <w:t>=</w:t>
      </w:r>
      <w:r w:rsidR="000954B0" w:rsidRPr="00C10A48">
        <w:rPr>
          <w:rFonts w:ascii="Book Antiqua" w:eastAsia="Times New Roman" w:hAnsi="Book Antiqua" w:cstheme="minorHAnsi"/>
          <w:sz w:val="24"/>
          <w:szCs w:val="24"/>
          <w:lang w:val="en-US" w:eastAsia="pt-BR"/>
        </w:rPr>
        <w:t xml:space="preserve"> </w:t>
      </w:r>
      <w:r w:rsidRPr="00C10A48">
        <w:rPr>
          <w:rFonts w:ascii="Book Antiqua" w:eastAsia="Times New Roman" w:hAnsi="Book Antiqua" w:cstheme="minorHAnsi"/>
          <w:sz w:val="24"/>
          <w:szCs w:val="24"/>
          <w:lang w:val="en-US" w:eastAsia="pt-BR"/>
        </w:rPr>
        <w:t>0.58).  Also, no significant difference was found when comparing each adverse event individually (Figure 7).</w:t>
      </w:r>
    </w:p>
    <w:p w14:paraId="1885D4EF" w14:textId="77777777" w:rsidR="002E6770" w:rsidRPr="00C10A48" w:rsidRDefault="002E6770" w:rsidP="00F227A9">
      <w:pPr>
        <w:snapToGrid w:val="0"/>
        <w:spacing w:after="0" w:line="360" w:lineRule="auto"/>
        <w:jc w:val="both"/>
        <w:rPr>
          <w:rFonts w:ascii="Book Antiqua" w:eastAsia="Times New Roman" w:hAnsi="Book Antiqua" w:cstheme="minorHAnsi"/>
          <w:sz w:val="24"/>
          <w:szCs w:val="24"/>
          <w:lang w:val="en-US" w:eastAsia="pt-BR"/>
        </w:rPr>
      </w:pPr>
    </w:p>
    <w:p w14:paraId="2B558A7F" w14:textId="5A35E4A8" w:rsidR="00D66415" w:rsidRPr="00C10A48" w:rsidRDefault="00213086" w:rsidP="00F227A9">
      <w:pPr>
        <w:snapToGrid w:val="0"/>
        <w:spacing w:after="0" w:line="360" w:lineRule="auto"/>
        <w:jc w:val="both"/>
        <w:rPr>
          <w:rFonts w:ascii="Book Antiqua" w:eastAsia="Times New Roman" w:hAnsi="Book Antiqua" w:cstheme="minorHAnsi"/>
          <w:b/>
          <w:sz w:val="24"/>
          <w:szCs w:val="24"/>
          <w:lang w:val="en-US" w:eastAsia="pt-BR"/>
        </w:rPr>
      </w:pPr>
      <w:proofErr w:type="spellStart"/>
      <w:r w:rsidRPr="00C10A48">
        <w:rPr>
          <w:rFonts w:ascii="Book Antiqua" w:eastAsia="Times New Roman" w:hAnsi="Book Antiqua" w:cstheme="minorHAnsi"/>
          <w:b/>
          <w:sz w:val="24"/>
          <w:szCs w:val="24"/>
          <w:lang w:val="en-US" w:eastAsia="pt-BR"/>
        </w:rPr>
        <w:t>Bradycardia</w:t>
      </w:r>
      <w:proofErr w:type="spellEnd"/>
      <w:r w:rsidR="00036A86" w:rsidRPr="00C10A48">
        <w:rPr>
          <w:rFonts w:ascii="Book Antiqua" w:eastAsia="DengXian" w:hAnsi="Book Antiqua" w:cstheme="minorHAnsi" w:hint="eastAsia"/>
          <w:b/>
          <w:sz w:val="24"/>
          <w:szCs w:val="24"/>
          <w:lang w:val="en-US" w:eastAsia="zh-CN"/>
        </w:rPr>
        <w:t>:</w:t>
      </w:r>
      <w:r w:rsidR="00036A86" w:rsidRPr="00C10A48">
        <w:rPr>
          <w:rFonts w:ascii="Book Antiqua" w:eastAsia="DengXian" w:hAnsi="Book Antiqua" w:cstheme="minorHAnsi"/>
          <w:b/>
          <w:sz w:val="24"/>
          <w:szCs w:val="24"/>
          <w:lang w:val="en-US" w:eastAsia="zh-CN"/>
        </w:rPr>
        <w:t xml:space="preserve"> </w:t>
      </w:r>
      <w:r w:rsidR="002E6770" w:rsidRPr="00C10A48">
        <w:rPr>
          <w:rFonts w:ascii="Book Antiqua" w:eastAsia="Times New Roman" w:hAnsi="Book Antiqua" w:cstheme="minorHAnsi"/>
          <w:sz w:val="24"/>
          <w:szCs w:val="24"/>
          <w:lang w:val="en-US" w:eastAsia="pt-BR"/>
        </w:rPr>
        <w:t xml:space="preserve">Eight </w:t>
      </w:r>
      <w:proofErr w:type="gramStart"/>
      <w:r w:rsidR="002E6770" w:rsidRPr="00C10A48">
        <w:rPr>
          <w:rFonts w:ascii="Book Antiqua" w:eastAsia="Times New Roman" w:hAnsi="Book Antiqua" w:cstheme="minorHAnsi"/>
          <w:sz w:val="24"/>
          <w:szCs w:val="24"/>
          <w:lang w:val="en-US" w:eastAsia="pt-BR"/>
        </w:rPr>
        <w:t>studies</w:t>
      </w:r>
      <w:r w:rsidR="0024084B" w:rsidRPr="00C10A48">
        <w:rPr>
          <w:rFonts w:ascii="Book Antiqua" w:eastAsia="Times New Roman" w:hAnsi="Book Antiqua" w:cstheme="minorHAnsi"/>
          <w:noProof/>
          <w:sz w:val="24"/>
          <w:szCs w:val="24"/>
          <w:vertAlign w:val="superscript"/>
          <w:lang w:val="en-US" w:eastAsia="pt-BR"/>
        </w:rPr>
        <w:t>[</w:t>
      </w:r>
      <w:proofErr w:type="gramEnd"/>
      <w:r w:rsidR="0024084B" w:rsidRPr="00C10A48">
        <w:rPr>
          <w:rFonts w:ascii="Book Antiqua" w:eastAsia="Times New Roman" w:hAnsi="Book Antiqua" w:cstheme="minorHAnsi"/>
          <w:noProof/>
          <w:sz w:val="24"/>
          <w:szCs w:val="24"/>
          <w:vertAlign w:val="superscript"/>
          <w:lang w:val="en-US" w:eastAsia="pt-BR"/>
        </w:rPr>
        <w:t>15–22]</w:t>
      </w:r>
      <w:r w:rsidR="001C5E01" w:rsidRPr="00C10A48">
        <w:rPr>
          <w:rFonts w:ascii="Book Antiqua" w:eastAsia="Times New Roman" w:hAnsi="Book Antiqua" w:cstheme="minorHAnsi"/>
          <w:sz w:val="24"/>
          <w:szCs w:val="24"/>
          <w:lang w:val="en-US" w:eastAsia="pt-BR"/>
        </w:rPr>
        <w:t xml:space="preserve"> </w:t>
      </w:r>
      <w:r w:rsidR="002E6770" w:rsidRPr="00C10A48">
        <w:rPr>
          <w:rFonts w:ascii="Book Antiqua" w:eastAsia="Times New Roman" w:hAnsi="Book Antiqua" w:cstheme="minorHAnsi"/>
          <w:sz w:val="24"/>
          <w:szCs w:val="24"/>
          <w:lang w:val="en-US" w:eastAsia="pt-BR"/>
        </w:rPr>
        <w:t>with a total of 596 patients (302 in the propofol group and 294 in the midazolam group) reported the incidence of bradycardia related to sedation during upper gastrointestinal endoscopy. Increase incidence of bradycardia was seen in patients receiving midazolam for sedation; however, the difference was not statistically significant (RD: 0.03</w:t>
      </w:r>
      <w:r w:rsidR="000954B0" w:rsidRPr="00C10A48">
        <w:rPr>
          <w:rFonts w:ascii="Book Antiqua" w:eastAsia="Times New Roman" w:hAnsi="Book Antiqua" w:cstheme="minorHAnsi"/>
          <w:sz w:val="24"/>
          <w:szCs w:val="24"/>
          <w:lang w:val="en-US" w:eastAsia="pt-BR"/>
        </w:rPr>
        <w:t>, 95%</w:t>
      </w:r>
      <w:r w:rsidR="002E6770" w:rsidRPr="00C10A48">
        <w:rPr>
          <w:rFonts w:ascii="Book Antiqua" w:eastAsia="Times New Roman" w:hAnsi="Book Antiqua" w:cstheme="minorHAnsi"/>
          <w:sz w:val="24"/>
          <w:szCs w:val="24"/>
          <w:lang w:val="en-US" w:eastAsia="pt-BR"/>
        </w:rPr>
        <w:t xml:space="preserve">CI: -0.01 </w:t>
      </w:r>
      <w:r w:rsidR="000954B0" w:rsidRPr="00C10A48">
        <w:rPr>
          <w:rFonts w:ascii="Book Antiqua" w:eastAsia="Times New Roman" w:hAnsi="Book Antiqua" w:cstheme="minorHAnsi"/>
          <w:sz w:val="24"/>
          <w:szCs w:val="24"/>
          <w:lang w:val="en-US" w:eastAsia="pt-BR"/>
        </w:rPr>
        <w:t>to</w:t>
      </w:r>
      <w:r w:rsidR="002E6770" w:rsidRPr="00C10A48">
        <w:rPr>
          <w:rFonts w:ascii="Book Antiqua" w:eastAsia="Times New Roman" w:hAnsi="Book Antiqua" w:cstheme="minorHAnsi"/>
          <w:sz w:val="24"/>
          <w:szCs w:val="24"/>
          <w:lang w:val="en-US" w:eastAsia="pt-BR"/>
        </w:rPr>
        <w:t xml:space="preserve"> 0.07</w:t>
      </w:r>
      <w:r w:rsidR="000954B0" w:rsidRPr="00C10A48">
        <w:rPr>
          <w:rFonts w:ascii="Book Antiqua" w:eastAsia="Times New Roman" w:hAnsi="Book Antiqua" w:cstheme="minorHAnsi"/>
          <w:sz w:val="24"/>
          <w:szCs w:val="24"/>
          <w:lang w:val="en-US" w:eastAsia="pt-BR"/>
        </w:rPr>
        <w:t xml:space="preserve">, </w:t>
      </w:r>
      <w:r w:rsidR="000954B0" w:rsidRPr="00C10A48">
        <w:rPr>
          <w:rFonts w:ascii="Book Antiqua" w:eastAsia="Times New Roman" w:hAnsi="Book Antiqua" w:cstheme="minorHAnsi"/>
          <w:i/>
          <w:sz w:val="24"/>
          <w:szCs w:val="24"/>
          <w:lang w:val="en-US" w:eastAsia="pt-BR"/>
        </w:rPr>
        <w:t>P</w:t>
      </w:r>
      <w:r w:rsidR="000954B0" w:rsidRPr="00C10A48">
        <w:rPr>
          <w:rFonts w:ascii="Book Antiqua" w:eastAsia="Times New Roman" w:hAnsi="Book Antiqua" w:cstheme="minorHAnsi"/>
          <w:sz w:val="24"/>
          <w:szCs w:val="24"/>
          <w:lang w:val="en-US" w:eastAsia="pt-BR"/>
        </w:rPr>
        <w:t xml:space="preserve"> </w:t>
      </w:r>
      <w:r w:rsidR="002E6770" w:rsidRPr="00C10A48">
        <w:rPr>
          <w:rFonts w:ascii="Book Antiqua" w:eastAsia="Times New Roman" w:hAnsi="Book Antiqua" w:cstheme="minorHAnsi"/>
          <w:sz w:val="24"/>
          <w:szCs w:val="24"/>
          <w:lang w:val="en-US" w:eastAsia="pt-BR"/>
        </w:rPr>
        <w:t>=</w:t>
      </w:r>
      <w:r w:rsidR="000954B0" w:rsidRPr="00C10A48">
        <w:rPr>
          <w:rFonts w:ascii="Book Antiqua" w:eastAsia="Times New Roman" w:hAnsi="Book Antiqua" w:cstheme="minorHAnsi"/>
          <w:sz w:val="24"/>
          <w:szCs w:val="24"/>
          <w:lang w:val="en-US" w:eastAsia="pt-BR"/>
        </w:rPr>
        <w:t xml:space="preserve"> </w:t>
      </w:r>
      <w:r w:rsidR="002E6770" w:rsidRPr="00C10A48">
        <w:rPr>
          <w:rFonts w:ascii="Book Antiqua" w:eastAsia="Times New Roman" w:hAnsi="Book Antiqua" w:cstheme="minorHAnsi"/>
          <w:sz w:val="24"/>
          <w:szCs w:val="24"/>
          <w:lang w:val="en-US" w:eastAsia="pt-BR"/>
        </w:rPr>
        <w:t>0.16).</w:t>
      </w:r>
    </w:p>
    <w:p w14:paraId="329E8190" w14:textId="77777777" w:rsidR="002E6770" w:rsidRPr="00C10A48" w:rsidRDefault="002E6770" w:rsidP="00F227A9">
      <w:pPr>
        <w:snapToGrid w:val="0"/>
        <w:spacing w:after="0" w:line="360" w:lineRule="auto"/>
        <w:jc w:val="both"/>
        <w:rPr>
          <w:rFonts w:ascii="Book Antiqua" w:eastAsia="Times New Roman" w:hAnsi="Book Antiqua" w:cstheme="minorHAnsi"/>
          <w:sz w:val="24"/>
          <w:szCs w:val="24"/>
          <w:highlight w:val="yellow"/>
          <w:lang w:val="en-US" w:eastAsia="pt-BR"/>
        </w:rPr>
      </w:pPr>
    </w:p>
    <w:p w14:paraId="3AB0E2DB" w14:textId="2F845704" w:rsidR="00280E95" w:rsidRPr="00C10A48" w:rsidRDefault="00213086" w:rsidP="00F227A9">
      <w:pPr>
        <w:snapToGrid w:val="0"/>
        <w:spacing w:after="0" w:line="360" w:lineRule="auto"/>
        <w:jc w:val="both"/>
        <w:rPr>
          <w:rFonts w:ascii="Book Antiqua" w:eastAsia="Times New Roman" w:hAnsi="Book Antiqua" w:cstheme="minorHAnsi"/>
          <w:sz w:val="24"/>
          <w:szCs w:val="24"/>
          <w:lang w:val="en-US" w:eastAsia="pt-BR"/>
        </w:rPr>
      </w:pPr>
      <w:r w:rsidRPr="00C10A48">
        <w:rPr>
          <w:rFonts w:ascii="Book Antiqua" w:eastAsia="Times New Roman" w:hAnsi="Book Antiqua" w:cstheme="minorHAnsi"/>
          <w:b/>
          <w:sz w:val="24"/>
          <w:szCs w:val="24"/>
          <w:lang w:val="en-US" w:eastAsia="pt-BR"/>
        </w:rPr>
        <w:t>Hypotension</w:t>
      </w:r>
      <w:r w:rsidR="00036A86" w:rsidRPr="00C10A48">
        <w:rPr>
          <w:rFonts w:ascii="Book Antiqua" w:eastAsia="Times New Roman" w:hAnsi="Book Antiqua" w:cstheme="minorHAnsi"/>
          <w:sz w:val="24"/>
          <w:szCs w:val="24"/>
          <w:lang w:val="en-US" w:eastAsia="pt-BR"/>
        </w:rPr>
        <w:t xml:space="preserve">: </w:t>
      </w:r>
      <w:r w:rsidR="002E6770" w:rsidRPr="00C10A48">
        <w:rPr>
          <w:rFonts w:ascii="Book Antiqua" w:eastAsia="Times New Roman" w:hAnsi="Book Antiqua" w:cstheme="minorHAnsi"/>
          <w:sz w:val="24"/>
          <w:szCs w:val="24"/>
          <w:lang w:val="en-US" w:eastAsia="pt-BR"/>
        </w:rPr>
        <w:t xml:space="preserve">All </w:t>
      </w:r>
      <w:proofErr w:type="gramStart"/>
      <w:r w:rsidR="002E6770" w:rsidRPr="00C10A48">
        <w:rPr>
          <w:rFonts w:ascii="Book Antiqua" w:eastAsia="Times New Roman" w:hAnsi="Book Antiqua" w:cstheme="minorHAnsi"/>
          <w:sz w:val="24"/>
          <w:szCs w:val="24"/>
          <w:lang w:val="en-US" w:eastAsia="pt-BR"/>
        </w:rPr>
        <w:t>studies</w:t>
      </w:r>
      <w:r w:rsidR="0024084B" w:rsidRPr="00C10A48">
        <w:rPr>
          <w:rFonts w:ascii="Book Antiqua" w:eastAsia="Times New Roman" w:hAnsi="Book Antiqua" w:cstheme="minorHAnsi"/>
          <w:noProof/>
          <w:sz w:val="24"/>
          <w:szCs w:val="24"/>
          <w:vertAlign w:val="superscript"/>
          <w:lang w:val="en-US" w:eastAsia="pt-BR"/>
        </w:rPr>
        <w:t>[</w:t>
      </w:r>
      <w:proofErr w:type="gramEnd"/>
      <w:r w:rsidR="0024084B" w:rsidRPr="00C10A48">
        <w:rPr>
          <w:rFonts w:ascii="Book Antiqua" w:eastAsia="Times New Roman" w:hAnsi="Book Antiqua" w:cstheme="minorHAnsi"/>
          <w:noProof/>
          <w:sz w:val="24"/>
          <w:szCs w:val="24"/>
          <w:vertAlign w:val="superscript"/>
          <w:lang w:val="en-US" w:eastAsia="pt-BR"/>
        </w:rPr>
        <w:t>15–22]</w:t>
      </w:r>
      <w:r w:rsidR="001C5E01" w:rsidRPr="00C10A48">
        <w:rPr>
          <w:rFonts w:ascii="Book Antiqua" w:eastAsia="Times New Roman" w:hAnsi="Book Antiqua" w:cstheme="minorHAnsi"/>
          <w:sz w:val="24"/>
          <w:szCs w:val="24"/>
          <w:lang w:val="en-US" w:eastAsia="pt-BR"/>
        </w:rPr>
        <w:t xml:space="preserve"> </w:t>
      </w:r>
      <w:r w:rsidR="002E6770" w:rsidRPr="00C10A48">
        <w:rPr>
          <w:rFonts w:ascii="Book Antiqua" w:eastAsia="Times New Roman" w:hAnsi="Book Antiqua" w:cstheme="minorHAnsi"/>
          <w:sz w:val="24"/>
          <w:szCs w:val="24"/>
          <w:lang w:val="en-US" w:eastAsia="pt-BR"/>
        </w:rPr>
        <w:t>reported the incidence of hypotension related to sedation during upper gastrointestinal endoscopy. An increase in the incidence of hypotension was seen with the use of midazolam; however, it was not statistically significant (RD: 0.03</w:t>
      </w:r>
      <w:r w:rsidR="00B11428" w:rsidRPr="00C10A48">
        <w:rPr>
          <w:rFonts w:ascii="Book Antiqua" w:eastAsia="Times New Roman" w:hAnsi="Book Antiqua" w:cstheme="minorHAnsi"/>
          <w:sz w:val="24"/>
          <w:szCs w:val="24"/>
          <w:lang w:val="en-US" w:eastAsia="pt-BR"/>
        </w:rPr>
        <w:t>, 95%</w:t>
      </w:r>
      <w:r w:rsidR="002E6770" w:rsidRPr="00C10A48">
        <w:rPr>
          <w:rFonts w:ascii="Book Antiqua" w:eastAsia="Times New Roman" w:hAnsi="Book Antiqua" w:cstheme="minorHAnsi"/>
          <w:sz w:val="24"/>
          <w:szCs w:val="24"/>
          <w:lang w:val="en-US" w:eastAsia="pt-BR"/>
        </w:rPr>
        <w:t xml:space="preserve">CI: -0.01 </w:t>
      </w:r>
      <w:r w:rsidR="00B11428" w:rsidRPr="00C10A48">
        <w:rPr>
          <w:rFonts w:ascii="Book Antiqua" w:eastAsia="Times New Roman" w:hAnsi="Book Antiqua" w:cstheme="minorHAnsi"/>
          <w:sz w:val="24"/>
          <w:szCs w:val="24"/>
          <w:lang w:val="en-US" w:eastAsia="pt-BR"/>
        </w:rPr>
        <w:t>to</w:t>
      </w:r>
      <w:r w:rsidR="002E6770" w:rsidRPr="00C10A48">
        <w:rPr>
          <w:rFonts w:ascii="Book Antiqua" w:eastAsia="Times New Roman" w:hAnsi="Book Antiqua" w:cstheme="minorHAnsi"/>
          <w:sz w:val="24"/>
          <w:szCs w:val="24"/>
          <w:lang w:val="en-US" w:eastAsia="pt-BR"/>
        </w:rPr>
        <w:t xml:space="preserve"> 0.07</w:t>
      </w:r>
      <w:r w:rsidR="00B11428" w:rsidRPr="00C10A48">
        <w:rPr>
          <w:rFonts w:ascii="Book Antiqua" w:eastAsia="Times New Roman" w:hAnsi="Book Antiqua" w:cstheme="minorHAnsi"/>
          <w:sz w:val="24"/>
          <w:szCs w:val="24"/>
          <w:lang w:val="en-US" w:eastAsia="pt-BR"/>
        </w:rPr>
        <w:t xml:space="preserve">, </w:t>
      </w:r>
      <w:r w:rsidR="00B11428" w:rsidRPr="00C10A48">
        <w:rPr>
          <w:rFonts w:ascii="Book Antiqua" w:eastAsia="Times New Roman" w:hAnsi="Book Antiqua" w:cstheme="minorHAnsi"/>
          <w:i/>
          <w:sz w:val="24"/>
          <w:szCs w:val="24"/>
          <w:lang w:val="en-US" w:eastAsia="pt-BR"/>
        </w:rPr>
        <w:t>P</w:t>
      </w:r>
      <w:r w:rsidR="00B11428" w:rsidRPr="00C10A48">
        <w:rPr>
          <w:rFonts w:ascii="Book Antiqua" w:eastAsia="Times New Roman" w:hAnsi="Book Antiqua" w:cstheme="minorHAnsi"/>
          <w:sz w:val="24"/>
          <w:szCs w:val="24"/>
          <w:lang w:val="en-US" w:eastAsia="pt-BR"/>
        </w:rPr>
        <w:t xml:space="preserve"> </w:t>
      </w:r>
      <w:r w:rsidR="002E6770" w:rsidRPr="00C10A48">
        <w:rPr>
          <w:rFonts w:ascii="Book Antiqua" w:eastAsia="Times New Roman" w:hAnsi="Book Antiqua" w:cstheme="minorHAnsi"/>
          <w:sz w:val="24"/>
          <w:szCs w:val="24"/>
          <w:lang w:val="en-US" w:eastAsia="pt-BR"/>
        </w:rPr>
        <w:t>=</w:t>
      </w:r>
      <w:r w:rsidR="00B11428" w:rsidRPr="00C10A48">
        <w:rPr>
          <w:rFonts w:ascii="Book Antiqua" w:eastAsia="Times New Roman" w:hAnsi="Book Antiqua" w:cstheme="minorHAnsi"/>
          <w:sz w:val="24"/>
          <w:szCs w:val="24"/>
          <w:lang w:val="en-US" w:eastAsia="pt-BR"/>
        </w:rPr>
        <w:t xml:space="preserve"> </w:t>
      </w:r>
      <w:r w:rsidR="002E6770" w:rsidRPr="00C10A48">
        <w:rPr>
          <w:rFonts w:ascii="Book Antiqua" w:eastAsia="Times New Roman" w:hAnsi="Book Antiqua" w:cstheme="minorHAnsi"/>
          <w:sz w:val="24"/>
          <w:szCs w:val="24"/>
          <w:lang w:val="en-US" w:eastAsia="pt-BR"/>
        </w:rPr>
        <w:t>0.17).</w:t>
      </w:r>
    </w:p>
    <w:p w14:paraId="5B398E21" w14:textId="77777777" w:rsidR="002E6770" w:rsidRPr="00C10A48" w:rsidRDefault="002E6770" w:rsidP="00F227A9">
      <w:pPr>
        <w:snapToGrid w:val="0"/>
        <w:spacing w:after="0" w:line="360" w:lineRule="auto"/>
        <w:jc w:val="both"/>
        <w:rPr>
          <w:rFonts w:ascii="Book Antiqua" w:eastAsia="Times New Roman" w:hAnsi="Book Antiqua" w:cstheme="minorHAnsi"/>
          <w:sz w:val="24"/>
          <w:szCs w:val="24"/>
          <w:lang w:val="en-US" w:eastAsia="pt-BR"/>
        </w:rPr>
      </w:pPr>
    </w:p>
    <w:p w14:paraId="27A0507B" w14:textId="52C1EF10" w:rsidR="00213086" w:rsidRPr="00C10A48" w:rsidRDefault="00213086" w:rsidP="00F227A9">
      <w:pPr>
        <w:snapToGrid w:val="0"/>
        <w:spacing w:after="0" w:line="360" w:lineRule="auto"/>
        <w:jc w:val="both"/>
        <w:rPr>
          <w:rFonts w:ascii="Book Antiqua" w:eastAsia="Times New Roman" w:hAnsi="Book Antiqua" w:cstheme="minorHAnsi"/>
          <w:sz w:val="24"/>
          <w:szCs w:val="24"/>
          <w:lang w:val="en-US" w:eastAsia="pt-BR"/>
        </w:rPr>
      </w:pPr>
      <w:r w:rsidRPr="00C10A48">
        <w:rPr>
          <w:rFonts w:ascii="Book Antiqua" w:eastAsia="Times New Roman" w:hAnsi="Book Antiqua" w:cstheme="minorHAnsi"/>
          <w:b/>
          <w:sz w:val="24"/>
          <w:szCs w:val="24"/>
          <w:lang w:val="en-US" w:eastAsia="pt-BR"/>
        </w:rPr>
        <w:t>Hypoxemia</w:t>
      </w:r>
      <w:r w:rsidR="00036A86" w:rsidRPr="00C10A48">
        <w:rPr>
          <w:rFonts w:ascii="Book Antiqua" w:eastAsia="Times New Roman" w:hAnsi="Book Antiqua" w:cstheme="minorHAnsi"/>
          <w:sz w:val="24"/>
          <w:szCs w:val="24"/>
          <w:lang w:val="en-US" w:eastAsia="pt-BR"/>
        </w:rPr>
        <w:t xml:space="preserve">: </w:t>
      </w:r>
      <w:r w:rsidR="002E6770" w:rsidRPr="00C10A48">
        <w:rPr>
          <w:rFonts w:ascii="Book Antiqua" w:eastAsia="Times New Roman" w:hAnsi="Book Antiqua" w:cstheme="minorHAnsi"/>
          <w:sz w:val="24"/>
          <w:szCs w:val="24"/>
          <w:lang w:val="en-US" w:eastAsia="pt-BR"/>
        </w:rPr>
        <w:t xml:space="preserve">All eight </w:t>
      </w:r>
      <w:proofErr w:type="gramStart"/>
      <w:r w:rsidR="002E6770" w:rsidRPr="00C10A48">
        <w:rPr>
          <w:rFonts w:ascii="Book Antiqua" w:eastAsia="Times New Roman" w:hAnsi="Book Antiqua" w:cstheme="minorHAnsi"/>
          <w:sz w:val="24"/>
          <w:szCs w:val="24"/>
          <w:lang w:val="en-US" w:eastAsia="pt-BR"/>
        </w:rPr>
        <w:t>studies</w:t>
      </w:r>
      <w:r w:rsidR="0024084B" w:rsidRPr="00C10A48">
        <w:rPr>
          <w:rFonts w:ascii="Book Antiqua" w:eastAsia="Times New Roman" w:hAnsi="Book Antiqua" w:cstheme="minorHAnsi"/>
          <w:noProof/>
          <w:sz w:val="24"/>
          <w:szCs w:val="24"/>
          <w:vertAlign w:val="superscript"/>
          <w:lang w:val="en-US" w:eastAsia="pt-BR"/>
        </w:rPr>
        <w:t>[</w:t>
      </w:r>
      <w:proofErr w:type="gramEnd"/>
      <w:r w:rsidR="0024084B" w:rsidRPr="00C10A48">
        <w:rPr>
          <w:rFonts w:ascii="Book Antiqua" w:eastAsia="Times New Roman" w:hAnsi="Book Antiqua" w:cstheme="minorHAnsi"/>
          <w:noProof/>
          <w:sz w:val="24"/>
          <w:szCs w:val="24"/>
          <w:vertAlign w:val="superscript"/>
          <w:lang w:val="en-US" w:eastAsia="pt-BR"/>
        </w:rPr>
        <w:t>15–22]</w:t>
      </w:r>
      <w:r w:rsidR="001C5E01" w:rsidRPr="00C10A48">
        <w:rPr>
          <w:rFonts w:ascii="Book Antiqua" w:eastAsia="Times New Roman" w:hAnsi="Book Antiqua" w:cstheme="minorHAnsi"/>
          <w:sz w:val="24"/>
          <w:szCs w:val="24"/>
          <w:lang w:val="en-US" w:eastAsia="pt-BR"/>
        </w:rPr>
        <w:t xml:space="preserve"> </w:t>
      </w:r>
      <w:r w:rsidR="002E6770" w:rsidRPr="00C10A48">
        <w:rPr>
          <w:rFonts w:ascii="Book Antiqua" w:eastAsia="Times New Roman" w:hAnsi="Book Antiqua" w:cstheme="minorHAnsi"/>
          <w:sz w:val="24"/>
          <w:szCs w:val="24"/>
          <w:lang w:val="en-US" w:eastAsia="pt-BR"/>
        </w:rPr>
        <w:t>reported the incidence of hypoxemia related to sedation. No statistically significant difference was found between groups (RD: 0.00</w:t>
      </w:r>
      <w:r w:rsidR="003B7539" w:rsidRPr="00C10A48">
        <w:rPr>
          <w:rFonts w:ascii="Book Antiqua" w:eastAsia="Times New Roman" w:hAnsi="Book Antiqua" w:cstheme="minorHAnsi"/>
          <w:sz w:val="24"/>
          <w:szCs w:val="24"/>
          <w:lang w:val="en-US" w:eastAsia="pt-BR"/>
        </w:rPr>
        <w:t>, 95%</w:t>
      </w:r>
      <w:r w:rsidR="002E6770" w:rsidRPr="00C10A48">
        <w:rPr>
          <w:rFonts w:ascii="Book Antiqua" w:eastAsia="Times New Roman" w:hAnsi="Book Antiqua" w:cstheme="minorHAnsi"/>
          <w:sz w:val="24"/>
          <w:szCs w:val="24"/>
          <w:lang w:val="en-US" w:eastAsia="pt-BR"/>
        </w:rPr>
        <w:t xml:space="preserve">CI: -0.04 </w:t>
      </w:r>
      <w:r w:rsidR="003B7539" w:rsidRPr="00C10A48">
        <w:rPr>
          <w:rFonts w:ascii="Book Antiqua" w:eastAsia="Times New Roman" w:hAnsi="Book Antiqua" w:cstheme="minorHAnsi"/>
          <w:sz w:val="24"/>
          <w:szCs w:val="24"/>
          <w:lang w:val="en-US" w:eastAsia="pt-BR"/>
        </w:rPr>
        <w:t>to</w:t>
      </w:r>
      <w:r w:rsidR="002E6770" w:rsidRPr="00C10A48">
        <w:rPr>
          <w:rFonts w:ascii="Book Antiqua" w:eastAsia="Times New Roman" w:hAnsi="Book Antiqua" w:cstheme="minorHAnsi"/>
          <w:sz w:val="24"/>
          <w:szCs w:val="24"/>
          <w:lang w:val="en-US" w:eastAsia="pt-BR"/>
        </w:rPr>
        <w:t xml:space="preserve"> 0.04</w:t>
      </w:r>
      <w:r w:rsidR="003B7539" w:rsidRPr="00C10A48">
        <w:rPr>
          <w:rFonts w:ascii="Book Antiqua" w:eastAsia="Times New Roman" w:hAnsi="Book Antiqua" w:cstheme="minorHAnsi"/>
          <w:sz w:val="24"/>
          <w:szCs w:val="24"/>
          <w:lang w:val="en-US" w:eastAsia="pt-BR"/>
        </w:rPr>
        <w:t xml:space="preserve">, </w:t>
      </w:r>
      <w:r w:rsidR="003B7539" w:rsidRPr="00C10A48">
        <w:rPr>
          <w:rFonts w:ascii="Book Antiqua" w:eastAsia="Times New Roman" w:hAnsi="Book Antiqua" w:cstheme="minorHAnsi"/>
          <w:i/>
          <w:sz w:val="24"/>
          <w:szCs w:val="24"/>
          <w:lang w:val="en-US" w:eastAsia="pt-BR"/>
        </w:rPr>
        <w:t>P</w:t>
      </w:r>
      <w:r w:rsidR="003B7539" w:rsidRPr="00C10A48">
        <w:rPr>
          <w:rFonts w:ascii="Book Antiqua" w:eastAsia="Times New Roman" w:hAnsi="Book Antiqua" w:cstheme="minorHAnsi"/>
          <w:sz w:val="24"/>
          <w:szCs w:val="24"/>
          <w:lang w:val="en-US" w:eastAsia="pt-BR"/>
        </w:rPr>
        <w:t xml:space="preserve"> </w:t>
      </w:r>
      <w:r w:rsidR="002E6770" w:rsidRPr="00C10A48">
        <w:rPr>
          <w:rFonts w:ascii="Book Antiqua" w:eastAsia="Times New Roman" w:hAnsi="Book Antiqua" w:cstheme="minorHAnsi"/>
          <w:sz w:val="24"/>
          <w:szCs w:val="24"/>
          <w:lang w:val="en-US" w:eastAsia="pt-BR"/>
        </w:rPr>
        <w:t>=</w:t>
      </w:r>
      <w:r w:rsidR="003B7539" w:rsidRPr="00C10A48">
        <w:rPr>
          <w:rFonts w:ascii="Book Antiqua" w:eastAsia="Times New Roman" w:hAnsi="Book Antiqua" w:cstheme="minorHAnsi"/>
          <w:sz w:val="24"/>
          <w:szCs w:val="24"/>
          <w:lang w:val="en-US" w:eastAsia="pt-BR"/>
        </w:rPr>
        <w:t xml:space="preserve"> </w:t>
      </w:r>
      <w:r w:rsidR="002E6770" w:rsidRPr="00C10A48">
        <w:rPr>
          <w:rFonts w:ascii="Book Antiqua" w:eastAsia="Times New Roman" w:hAnsi="Book Antiqua" w:cstheme="minorHAnsi"/>
          <w:sz w:val="24"/>
          <w:szCs w:val="24"/>
          <w:lang w:val="en-US" w:eastAsia="pt-BR"/>
        </w:rPr>
        <w:t>0.93).</w:t>
      </w:r>
    </w:p>
    <w:p w14:paraId="6CF6EA81" w14:textId="77777777" w:rsidR="002E6770" w:rsidRPr="00C10A48" w:rsidRDefault="002E6770" w:rsidP="00F227A9">
      <w:pPr>
        <w:snapToGrid w:val="0"/>
        <w:spacing w:after="0" w:line="360" w:lineRule="auto"/>
        <w:jc w:val="both"/>
        <w:rPr>
          <w:rFonts w:ascii="Book Antiqua" w:eastAsia="Times New Roman" w:hAnsi="Book Antiqua" w:cstheme="minorHAnsi"/>
          <w:sz w:val="24"/>
          <w:szCs w:val="24"/>
          <w:lang w:val="en-US" w:eastAsia="pt-BR"/>
        </w:rPr>
      </w:pPr>
    </w:p>
    <w:p w14:paraId="43BD65C0" w14:textId="3D1BF548" w:rsidR="00280E95" w:rsidRPr="00C10A48" w:rsidRDefault="00D30DB0" w:rsidP="00F227A9">
      <w:pPr>
        <w:snapToGrid w:val="0"/>
        <w:spacing w:after="0" w:line="360" w:lineRule="auto"/>
        <w:jc w:val="both"/>
        <w:rPr>
          <w:rFonts w:ascii="Book Antiqua" w:eastAsia="Times New Roman" w:hAnsi="Book Antiqua" w:cstheme="minorHAnsi"/>
          <w:b/>
          <w:bCs/>
          <w:sz w:val="24"/>
          <w:szCs w:val="24"/>
          <w:u w:val="single"/>
          <w:lang w:val="en-US" w:eastAsia="pt-BR"/>
        </w:rPr>
      </w:pPr>
      <w:r w:rsidRPr="00C10A48">
        <w:rPr>
          <w:rFonts w:ascii="Book Antiqua" w:eastAsia="Times New Roman" w:hAnsi="Book Antiqua" w:cstheme="minorHAnsi"/>
          <w:b/>
          <w:bCs/>
          <w:sz w:val="24"/>
          <w:szCs w:val="24"/>
          <w:u w:val="single"/>
          <w:lang w:val="en-US" w:eastAsia="pt-BR"/>
        </w:rPr>
        <w:t>DISCUSSION</w:t>
      </w:r>
    </w:p>
    <w:p w14:paraId="5AB51C7C" w14:textId="5A246CFF" w:rsidR="00E900E9" w:rsidRPr="00C10A48" w:rsidRDefault="002E6770" w:rsidP="00F227A9">
      <w:pPr>
        <w:snapToGrid w:val="0"/>
        <w:spacing w:after="0" w:line="360" w:lineRule="auto"/>
        <w:jc w:val="both"/>
        <w:rPr>
          <w:rFonts w:ascii="Book Antiqua" w:eastAsia="Times New Roman" w:hAnsi="Book Antiqua" w:cstheme="minorHAnsi"/>
          <w:sz w:val="24"/>
          <w:szCs w:val="24"/>
          <w:lang w:val="en-US" w:eastAsia="pt-BR"/>
        </w:rPr>
      </w:pPr>
      <w:r w:rsidRPr="00C10A48">
        <w:rPr>
          <w:rFonts w:ascii="Book Antiqua" w:eastAsia="Times New Roman" w:hAnsi="Book Antiqua" w:cstheme="minorHAnsi"/>
          <w:sz w:val="24"/>
          <w:szCs w:val="24"/>
          <w:lang w:val="en-US" w:eastAsia="pt-BR"/>
        </w:rPr>
        <w:lastRenderedPageBreak/>
        <w:t xml:space="preserve">Historically endoscopy was performed without sedation, which can be painful and uncomfortable for </w:t>
      </w:r>
      <w:proofErr w:type="gramStart"/>
      <w:r w:rsidRPr="00C10A48">
        <w:rPr>
          <w:rFonts w:ascii="Book Antiqua" w:eastAsia="Times New Roman" w:hAnsi="Book Antiqua" w:cstheme="minorHAnsi"/>
          <w:sz w:val="24"/>
          <w:szCs w:val="24"/>
          <w:lang w:val="en-US" w:eastAsia="pt-BR"/>
        </w:rPr>
        <w:t>patients</w:t>
      </w:r>
      <w:r w:rsidR="0024084B" w:rsidRPr="00C10A48">
        <w:rPr>
          <w:rFonts w:ascii="Book Antiqua" w:eastAsia="Times New Roman" w:hAnsi="Book Antiqua" w:cstheme="minorHAnsi"/>
          <w:noProof/>
          <w:sz w:val="24"/>
          <w:szCs w:val="24"/>
          <w:vertAlign w:val="superscript"/>
          <w:lang w:val="en-US" w:eastAsia="pt-BR"/>
        </w:rPr>
        <w:t>[</w:t>
      </w:r>
      <w:proofErr w:type="gramEnd"/>
      <w:r w:rsidR="0024084B" w:rsidRPr="00C10A48">
        <w:rPr>
          <w:rFonts w:ascii="Book Antiqua" w:eastAsia="Times New Roman" w:hAnsi="Book Antiqua" w:cstheme="minorHAnsi"/>
          <w:noProof/>
          <w:sz w:val="24"/>
          <w:szCs w:val="24"/>
          <w:vertAlign w:val="superscript"/>
          <w:lang w:val="en-US" w:eastAsia="pt-BR"/>
        </w:rPr>
        <w:t>23]</w:t>
      </w:r>
      <w:r w:rsidRPr="00C10A48">
        <w:rPr>
          <w:rFonts w:ascii="Book Antiqua" w:eastAsia="Times New Roman" w:hAnsi="Book Antiqua" w:cstheme="minorHAnsi"/>
          <w:sz w:val="24"/>
          <w:szCs w:val="24"/>
          <w:lang w:val="en-US" w:eastAsia="pt-BR"/>
        </w:rPr>
        <w:t xml:space="preserve">. Over time, the application of topical anesthesia was introduced, and some countries still only use topical anesthesia because of low cost, patient preference, or institutional </w:t>
      </w:r>
      <w:proofErr w:type="gramStart"/>
      <w:r w:rsidRPr="00C10A48">
        <w:rPr>
          <w:rFonts w:ascii="Book Antiqua" w:eastAsia="Times New Roman" w:hAnsi="Book Antiqua" w:cstheme="minorHAnsi"/>
          <w:sz w:val="24"/>
          <w:szCs w:val="24"/>
          <w:lang w:val="en-US" w:eastAsia="pt-BR"/>
        </w:rPr>
        <w:t>availability</w:t>
      </w:r>
      <w:r w:rsidR="0024084B" w:rsidRPr="00C10A48">
        <w:rPr>
          <w:rFonts w:ascii="Book Antiqua" w:eastAsia="Times New Roman" w:hAnsi="Book Antiqua" w:cstheme="minorHAnsi"/>
          <w:noProof/>
          <w:sz w:val="24"/>
          <w:szCs w:val="24"/>
          <w:vertAlign w:val="superscript"/>
          <w:lang w:val="en-US" w:eastAsia="pt-BR"/>
        </w:rPr>
        <w:t>[</w:t>
      </w:r>
      <w:proofErr w:type="gramEnd"/>
      <w:r w:rsidR="0024084B" w:rsidRPr="00C10A48">
        <w:rPr>
          <w:rFonts w:ascii="Book Antiqua" w:eastAsia="Times New Roman" w:hAnsi="Book Antiqua" w:cstheme="minorHAnsi"/>
          <w:noProof/>
          <w:sz w:val="24"/>
          <w:szCs w:val="24"/>
          <w:vertAlign w:val="superscript"/>
          <w:lang w:val="en-US" w:eastAsia="pt-BR"/>
        </w:rPr>
        <w:t>24–26]</w:t>
      </w:r>
      <w:r w:rsidRPr="00C10A48">
        <w:rPr>
          <w:rFonts w:ascii="Book Antiqua" w:eastAsia="Times New Roman" w:hAnsi="Book Antiqua" w:cstheme="minorHAnsi"/>
          <w:sz w:val="24"/>
          <w:szCs w:val="24"/>
          <w:lang w:val="en-US" w:eastAsia="pt-BR"/>
        </w:rPr>
        <w:t xml:space="preserve">. </w:t>
      </w:r>
      <w:bookmarkStart w:id="15" w:name="_Hlk42796937"/>
      <w:r w:rsidRPr="00C10A48">
        <w:rPr>
          <w:rFonts w:ascii="Book Antiqua" w:eastAsia="Times New Roman" w:hAnsi="Book Antiqua" w:cstheme="minorHAnsi"/>
          <w:sz w:val="24"/>
          <w:szCs w:val="24"/>
          <w:lang w:val="en-US" w:eastAsia="pt-BR"/>
        </w:rPr>
        <w:t xml:space="preserve">Administration of analgesics and intravenous sedation during endoscopy was a significant breakthrough worldwide, for both physicians and patients alike because of several advantages such as patient comfort, reduced discharge time, and early recovery after the </w:t>
      </w:r>
      <w:proofErr w:type="gramStart"/>
      <w:r w:rsidRPr="00C10A48">
        <w:rPr>
          <w:rFonts w:ascii="Book Antiqua" w:eastAsia="Times New Roman" w:hAnsi="Book Antiqua" w:cstheme="minorHAnsi"/>
          <w:sz w:val="24"/>
          <w:szCs w:val="24"/>
          <w:lang w:val="en-US" w:eastAsia="pt-BR"/>
        </w:rPr>
        <w:t>procedure</w:t>
      </w:r>
      <w:bookmarkEnd w:id="15"/>
      <w:r w:rsidR="0024084B" w:rsidRPr="00C10A48">
        <w:rPr>
          <w:rFonts w:ascii="Book Antiqua" w:eastAsia="Times New Roman" w:hAnsi="Book Antiqua" w:cstheme="minorHAnsi"/>
          <w:noProof/>
          <w:sz w:val="24"/>
          <w:szCs w:val="24"/>
          <w:vertAlign w:val="superscript"/>
          <w:lang w:val="en-US" w:eastAsia="pt-BR"/>
        </w:rPr>
        <w:t>[</w:t>
      </w:r>
      <w:proofErr w:type="gramEnd"/>
      <w:r w:rsidR="0024084B" w:rsidRPr="00C10A48">
        <w:rPr>
          <w:rFonts w:ascii="Book Antiqua" w:eastAsia="Times New Roman" w:hAnsi="Book Antiqua" w:cstheme="minorHAnsi"/>
          <w:noProof/>
          <w:sz w:val="24"/>
          <w:szCs w:val="24"/>
          <w:vertAlign w:val="superscript"/>
          <w:lang w:val="en-US" w:eastAsia="pt-BR"/>
        </w:rPr>
        <w:t>27–29]</w:t>
      </w:r>
      <w:r w:rsidRPr="00C10A48">
        <w:rPr>
          <w:rFonts w:ascii="Book Antiqua" w:eastAsia="Times New Roman" w:hAnsi="Book Antiqua" w:cstheme="minorHAnsi"/>
          <w:sz w:val="24"/>
          <w:szCs w:val="24"/>
          <w:lang w:val="en-US" w:eastAsia="pt-BR"/>
        </w:rPr>
        <w:t xml:space="preserve">.  These can be used either alone or in combination for a synergetic effect to comfortably perform the procedure while maintaining an adequate level of sedation.  </w:t>
      </w:r>
      <w:bookmarkStart w:id="16" w:name="_Hlk42797055"/>
      <w:r w:rsidRPr="00C10A48">
        <w:rPr>
          <w:rFonts w:ascii="Book Antiqua" w:eastAsia="Times New Roman" w:hAnsi="Book Antiqua" w:cstheme="minorHAnsi"/>
          <w:sz w:val="24"/>
          <w:szCs w:val="24"/>
          <w:lang w:val="en-US" w:eastAsia="pt-BR"/>
        </w:rPr>
        <w:t xml:space="preserve">Sedation in endoscopy is safe when we correctly select, individualize, and optimize the medicine dosage for each type of patient. One of the primary considerations is patient comorbidities, including hepatic dysfunction– which can lead to difficulty in clearance, recirculation, and increased half-life of </w:t>
      </w:r>
      <w:proofErr w:type="gramStart"/>
      <w:r w:rsidRPr="00C10A48">
        <w:rPr>
          <w:rFonts w:ascii="Book Antiqua" w:eastAsia="Times New Roman" w:hAnsi="Book Antiqua" w:cstheme="minorHAnsi"/>
          <w:sz w:val="24"/>
          <w:szCs w:val="24"/>
          <w:lang w:val="en-US" w:eastAsia="pt-BR"/>
        </w:rPr>
        <w:t>drugs</w:t>
      </w:r>
      <w:bookmarkEnd w:id="16"/>
      <w:r w:rsidR="0024084B" w:rsidRPr="00C10A48">
        <w:rPr>
          <w:rFonts w:ascii="Book Antiqua" w:eastAsia="Times New Roman" w:hAnsi="Book Antiqua" w:cstheme="minorHAnsi"/>
          <w:noProof/>
          <w:sz w:val="24"/>
          <w:szCs w:val="24"/>
          <w:vertAlign w:val="superscript"/>
          <w:lang w:val="en-US" w:eastAsia="pt-BR"/>
        </w:rPr>
        <w:t>[</w:t>
      </w:r>
      <w:proofErr w:type="gramEnd"/>
      <w:r w:rsidR="0024084B" w:rsidRPr="00C10A48">
        <w:rPr>
          <w:rFonts w:ascii="Book Antiqua" w:eastAsia="Times New Roman" w:hAnsi="Book Antiqua" w:cstheme="minorHAnsi"/>
          <w:noProof/>
          <w:sz w:val="24"/>
          <w:szCs w:val="24"/>
          <w:vertAlign w:val="superscript"/>
          <w:lang w:val="en-US" w:eastAsia="pt-BR"/>
        </w:rPr>
        <w:t>30–36]</w:t>
      </w:r>
      <w:r w:rsidRPr="00C10A48">
        <w:rPr>
          <w:rFonts w:ascii="Book Antiqua" w:eastAsia="Times New Roman" w:hAnsi="Book Antiqua" w:cstheme="minorHAnsi"/>
          <w:sz w:val="24"/>
          <w:szCs w:val="24"/>
          <w:lang w:val="en-US" w:eastAsia="pt-BR"/>
        </w:rPr>
        <w:t xml:space="preserve">. Sedation during endoscopy in patients with hepatic dysfunction was highlighted in 1975 when benzodiazepine use was compared in patients with and without liver abnormalities. Patients with cirrhosis can have alterations in the metabolism of benzodiazepines, which can result in impaired psychomotor function and increased recovery time; therefore, it was suggested to use benzodiazepines with </w:t>
      </w:r>
      <w:proofErr w:type="gramStart"/>
      <w:r w:rsidRPr="00C10A48">
        <w:rPr>
          <w:rFonts w:ascii="Book Antiqua" w:eastAsia="Times New Roman" w:hAnsi="Book Antiqua" w:cstheme="minorHAnsi"/>
          <w:sz w:val="24"/>
          <w:szCs w:val="24"/>
          <w:lang w:val="en-US" w:eastAsia="pt-BR"/>
        </w:rPr>
        <w:t>caution</w:t>
      </w:r>
      <w:r w:rsidR="0024084B" w:rsidRPr="00C10A48">
        <w:rPr>
          <w:rFonts w:ascii="Book Antiqua" w:eastAsia="Times New Roman" w:hAnsi="Book Antiqua" w:cstheme="minorHAnsi"/>
          <w:noProof/>
          <w:sz w:val="24"/>
          <w:szCs w:val="24"/>
          <w:vertAlign w:val="superscript"/>
          <w:lang w:val="en-US" w:eastAsia="pt-BR"/>
        </w:rPr>
        <w:t>[</w:t>
      </w:r>
      <w:proofErr w:type="gramEnd"/>
      <w:r w:rsidR="0024084B" w:rsidRPr="00C10A48">
        <w:rPr>
          <w:rFonts w:ascii="Book Antiqua" w:eastAsia="Times New Roman" w:hAnsi="Book Antiqua" w:cstheme="minorHAnsi"/>
          <w:noProof/>
          <w:sz w:val="24"/>
          <w:szCs w:val="24"/>
          <w:vertAlign w:val="superscript"/>
          <w:lang w:val="en-US" w:eastAsia="pt-BR"/>
        </w:rPr>
        <w:t>31,37–39]</w:t>
      </w:r>
      <w:r w:rsidRPr="00C10A48">
        <w:rPr>
          <w:rFonts w:ascii="Book Antiqua" w:eastAsia="Times New Roman" w:hAnsi="Book Antiqua" w:cstheme="minorHAnsi"/>
          <w:sz w:val="24"/>
          <w:szCs w:val="24"/>
          <w:lang w:val="en-US" w:eastAsia="pt-BR"/>
        </w:rPr>
        <w:t xml:space="preserve">. Whereas, short-duration hypnotic agent propofol does not need dose adjustment in patients with cirrhosis and has a faster onset of action, shorter effect, and quick recovery </w:t>
      </w:r>
      <w:proofErr w:type="gramStart"/>
      <w:r w:rsidRPr="00C10A48">
        <w:rPr>
          <w:rFonts w:ascii="Book Antiqua" w:eastAsia="Times New Roman" w:hAnsi="Book Antiqua" w:cstheme="minorHAnsi"/>
          <w:sz w:val="24"/>
          <w:szCs w:val="24"/>
          <w:lang w:val="en-US" w:eastAsia="pt-BR"/>
        </w:rPr>
        <w:t>time</w:t>
      </w:r>
      <w:r w:rsidR="0024084B" w:rsidRPr="00C10A48">
        <w:rPr>
          <w:rFonts w:ascii="Book Antiqua" w:eastAsia="Times New Roman" w:hAnsi="Book Antiqua" w:cstheme="minorHAnsi"/>
          <w:noProof/>
          <w:sz w:val="24"/>
          <w:szCs w:val="24"/>
          <w:vertAlign w:val="superscript"/>
          <w:lang w:val="en-US" w:eastAsia="pt-BR"/>
        </w:rPr>
        <w:t>[</w:t>
      </w:r>
      <w:proofErr w:type="gramEnd"/>
      <w:r w:rsidR="0024084B" w:rsidRPr="00C10A48">
        <w:rPr>
          <w:rFonts w:ascii="Book Antiqua" w:eastAsia="Times New Roman" w:hAnsi="Book Antiqua" w:cstheme="minorHAnsi"/>
          <w:noProof/>
          <w:sz w:val="24"/>
          <w:szCs w:val="24"/>
          <w:vertAlign w:val="superscript"/>
          <w:lang w:val="en-US" w:eastAsia="pt-BR"/>
        </w:rPr>
        <w:t>13]</w:t>
      </w:r>
      <w:r w:rsidRPr="00C10A48">
        <w:rPr>
          <w:rFonts w:ascii="Book Antiqua" w:eastAsia="Times New Roman" w:hAnsi="Book Antiqua" w:cstheme="minorHAnsi"/>
          <w:sz w:val="24"/>
          <w:szCs w:val="24"/>
          <w:lang w:val="en-US" w:eastAsia="pt-BR"/>
        </w:rPr>
        <w:t xml:space="preserve">. </w:t>
      </w:r>
    </w:p>
    <w:p w14:paraId="74EAD080" w14:textId="4222BCB3" w:rsidR="002E6770" w:rsidRPr="00C10A48" w:rsidRDefault="002E6770" w:rsidP="00F227A9">
      <w:pPr>
        <w:snapToGrid w:val="0"/>
        <w:spacing w:after="0" w:line="360" w:lineRule="auto"/>
        <w:ind w:firstLineChars="100" w:firstLine="240"/>
        <w:jc w:val="both"/>
        <w:rPr>
          <w:rFonts w:ascii="Book Antiqua" w:eastAsia="Times New Roman" w:hAnsi="Book Antiqua" w:cstheme="minorHAnsi"/>
          <w:sz w:val="24"/>
          <w:szCs w:val="24"/>
          <w:lang w:val="en-US" w:eastAsia="pt-BR"/>
        </w:rPr>
      </w:pPr>
      <w:r w:rsidRPr="00C10A48">
        <w:rPr>
          <w:rFonts w:ascii="Book Antiqua" w:eastAsia="Times New Roman" w:hAnsi="Book Antiqua" w:cstheme="minorHAnsi"/>
          <w:sz w:val="24"/>
          <w:szCs w:val="24"/>
          <w:lang w:val="en-US" w:eastAsia="pt-BR"/>
        </w:rPr>
        <w:t xml:space="preserve">We studied the optimal approach for sedation during an elective upper gastrointestinal endoscopy in patients with cirrhosis. In our analysis, we included 8 </w:t>
      </w:r>
      <w:proofErr w:type="gramStart"/>
      <w:r w:rsidRPr="00C10A48">
        <w:rPr>
          <w:rFonts w:ascii="Book Antiqua" w:eastAsia="Times New Roman" w:hAnsi="Book Antiqua" w:cstheme="minorHAnsi"/>
          <w:sz w:val="24"/>
          <w:szCs w:val="24"/>
          <w:lang w:val="en-US" w:eastAsia="pt-BR"/>
        </w:rPr>
        <w:t>RCTs</w:t>
      </w:r>
      <w:r w:rsidR="0024084B" w:rsidRPr="00C10A48">
        <w:rPr>
          <w:rFonts w:ascii="Book Antiqua" w:eastAsia="Times New Roman" w:hAnsi="Book Antiqua" w:cstheme="minorHAnsi"/>
          <w:noProof/>
          <w:sz w:val="24"/>
          <w:szCs w:val="24"/>
          <w:vertAlign w:val="superscript"/>
          <w:lang w:val="en-US" w:eastAsia="pt-BR"/>
        </w:rPr>
        <w:t>[</w:t>
      </w:r>
      <w:proofErr w:type="gramEnd"/>
      <w:r w:rsidR="0024084B" w:rsidRPr="00C10A48">
        <w:rPr>
          <w:rFonts w:ascii="Book Antiqua" w:eastAsia="Times New Roman" w:hAnsi="Book Antiqua" w:cstheme="minorHAnsi"/>
          <w:noProof/>
          <w:sz w:val="24"/>
          <w:szCs w:val="24"/>
          <w:vertAlign w:val="superscript"/>
          <w:lang w:val="en-US" w:eastAsia="pt-BR"/>
        </w:rPr>
        <w:t>15–22]</w:t>
      </w:r>
      <w:r w:rsidR="00E900E9" w:rsidRPr="00C10A48">
        <w:rPr>
          <w:rFonts w:ascii="Book Antiqua" w:eastAsia="Times New Roman" w:hAnsi="Book Antiqua" w:cstheme="minorHAnsi"/>
          <w:sz w:val="24"/>
          <w:szCs w:val="24"/>
          <w:lang w:val="en-US" w:eastAsia="pt-BR"/>
        </w:rPr>
        <w:t xml:space="preserve"> </w:t>
      </w:r>
      <w:r w:rsidRPr="00C10A48">
        <w:rPr>
          <w:rFonts w:ascii="Book Antiqua" w:eastAsia="Times New Roman" w:hAnsi="Book Antiqua" w:cstheme="minorHAnsi"/>
          <w:sz w:val="24"/>
          <w:szCs w:val="24"/>
          <w:lang w:val="en-US" w:eastAsia="pt-BR"/>
        </w:rPr>
        <w:t xml:space="preserve">all with adequate designs, with a total of 596 patients. Our analysis showed that propofol had a faster recovery and discharge time. However, procedure time and adverse events were similar between propofol and midazolam group. Our results are consistent with the previous metanalysis by Tsai </w:t>
      </w:r>
      <w:r w:rsidR="0023182C" w:rsidRPr="00C10A48">
        <w:rPr>
          <w:rFonts w:ascii="Book Antiqua" w:eastAsia="Times New Roman" w:hAnsi="Book Antiqua" w:cstheme="minorHAnsi"/>
          <w:i/>
          <w:sz w:val="24"/>
          <w:szCs w:val="24"/>
          <w:lang w:val="en-US" w:eastAsia="pt-BR"/>
        </w:rPr>
        <w:t xml:space="preserve">et </w:t>
      </w:r>
      <w:proofErr w:type="gramStart"/>
      <w:r w:rsidR="0023182C" w:rsidRPr="00C10A48">
        <w:rPr>
          <w:rFonts w:ascii="Book Antiqua" w:eastAsia="Times New Roman" w:hAnsi="Book Antiqua" w:cstheme="minorHAnsi"/>
          <w:i/>
          <w:sz w:val="24"/>
          <w:szCs w:val="24"/>
          <w:lang w:val="en-US" w:eastAsia="pt-BR"/>
        </w:rPr>
        <w:t>al</w:t>
      </w:r>
      <w:r w:rsidR="0024084B" w:rsidRPr="00C10A48">
        <w:rPr>
          <w:rFonts w:ascii="Book Antiqua" w:eastAsia="Times New Roman" w:hAnsi="Book Antiqua" w:cstheme="minorHAnsi"/>
          <w:noProof/>
          <w:sz w:val="24"/>
          <w:szCs w:val="24"/>
          <w:vertAlign w:val="superscript"/>
          <w:lang w:val="en-US" w:eastAsia="pt-BR"/>
        </w:rPr>
        <w:t>[</w:t>
      </w:r>
      <w:proofErr w:type="gramEnd"/>
      <w:r w:rsidR="0024084B" w:rsidRPr="00C10A48">
        <w:rPr>
          <w:rFonts w:ascii="Book Antiqua" w:eastAsia="Times New Roman" w:hAnsi="Book Antiqua" w:cstheme="minorHAnsi"/>
          <w:noProof/>
          <w:sz w:val="24"/>
          <w:szCs w:val="24"/>
          <w:vertAlign w:val="superscript"/>
          <w:lang w:val="en-US" w:eastAsia="pt-BR"/>
        </w:rPr>
        <w:t>40]</w:t>
      </w:r>
      <w:r w:rsidRPr="00C10A48">
        <w:rPr>
          <w:rFonts w:ascii="Book Antiqua" w:eastAsia="Times New Roman" w:hAnsi="Book Antiqua" w:cstheme="minorHAnsi"/>
          <w:sz w:val="24"/>
          <w:szCs w:val="24"/>
          <w:lang w:val="en-US" w:eastAsia="pt-BR"/>
        </w:rPr>
        <w:t>; however, we included three more recent RCTs as well.  Despite our study population only composed of patients with liver cirrhosis, our results are similar to a recent</w:t>
      </w:r>
      <w:r w:rsidR="00073A71" w:rsidRPr="00C10A48">
        <w:rPr>
          <w:rFonts w:ascii="Book Antiqua" w:eastAsia="Times New Roman" w:hAnsi="Book Antiqua" w:cstheme="minorHAnsi"/>
          <w:sz w:val="24"/>
          <w:szCs w:val="24"/>
          <w:lang w:val="en-US" w:eastAsia="pt-BR"/>
        </w:rPr>
        <w:t xml:space="preserve"> meta-analysis by Delgado </w:t>
      </w:r>
      <w:r w:rsidR="00073A71" w:rsidRPr="00C10A48">
        <w:rPr>
          <w:rFonts w:ascii="Book Antiqua" w:eastAsia="Times New Roman" w:hAnsi="Book Antiqua" w:cstheme="minorHAnsi"/>
          <w:i/>
          <w:sz w:val="24"/>
          <w:szCs w:val="24"/>
          <w:lang w:val="en-US" w:eastAsia="pt-BR"/>
        </w:rPr>
        <w:t>et al</w:t>
      </w:r>
      <w:r w:rsidR="0024084B" w:rsidRPr="00C10A48">
        <w:rPr>
          <w:rFonts w:ascii="Book Antiqua" w:eastAsia="Times New Roman" w:hAnsi="Book Antiqua" w:cstheme="minorHAnsi"/>
          <w:noProof/>
          <w:sz w:val="24"/>
          <w:szCs w:val="24"/>
          <w:vertAlign w:val="superscript"/>
          <w:lang w:val="en-US" w:eastAsia="pt-BR"/>
        </w:rPr>
        <w:t>[41]</w:t>
      </w:r>
      <w:r w:rsidRPr="00C10A48">
        <w:rPr>
          <w:rFonts w:ascii="Book Antiqua" w:eastAsia="Times New Roman" w:hAnsi="Book Antiqua" w:cstheme="minorHAnsi"/>
          <w:sz w:val="24"/>
          <w:szCs w:val="24"/>
          <w:lang w:val="en-US" w:eastAsia="pt-BR"/>
        </w:rPr>
        <w:t xml:space="preserve"> showing that </w:t>
      </w:r>
      <w:proofErr w:type="spellStart"/>
      <w:r w:rsidRPr="00C10A48">
        <w:rPr>
          <w:rFonts w:ascii="Book Antiqua" w:eastAsia="Times New Roman" w:hAnsi="Book Antiqua" w:cstheme="minorHAnsi"/>
          <w:sz w:val="24"/>
          <w:szCs w:val="24"/>
          <w:lang w:val="en-US" w:eastAsia="pt-BR"/>
        </w:rPr>
        <w:t>propofol</w:t>
      </w:r>
      <w:proofErr w:type="spellEnd"/>
      <w:r w:rsidRPr="00C10A48">
        <w:rPr>
          <w:rFonts w:ascii="Book Antiqua" w:eastAsia="Times New Roman" w:hAnsi="Book Antiqua" w:cstheme="minorHAnsi"/>
          <w:sz w:val="24"/>
          <w:szCs w:val="24"/>
          <w:lang w:val="en-US" w:eastAsia="pt-BR"/>
        </w:rPr>
        <w:t xml:space="preserve"> </w:t>
      </w:r>
      <w:r w:rsidRPr="00C10A48">
        <w:rPr>
          <w:rFonts w:ascii="Book Antiqua" w:eastAsia="Times New Roman" w:hAnsi="Book Antiqua" w:cstheme="minorHAnsi"/>
          <w:sz w:val="24"/>
          <w:szCs w:val="24"/>
          <w:lang w:val="en-US" w:eastAsia="pt-BR"/>
        </w:rPr>
        <w:lastRenderedPageBreak/>
        <w:t xml:space="preserve">to be a better approach during upper GI endoscopy for all patients. The use of propofol for endoscopy in patients with cirrhosis has been increasing; however, one of the limitations for widespread use is that propofol is restricted mostly to anesthesiologists in some </w:t>
      </w:r>
      <w:proofErr w:type="gramStart"/>
      <w:r w:rsidRPr="00C10A48">
        <w:rPr>
          <w:rFonts w:ascii="Book Antiqua" w:eastAsia="Times New Roman" w:hAnsi="Book Antiqua" w:cstheme="minorHAnsi"/>
          <w:sz w:val="24"/>
          <w:szCs w:val="24"/>
          <w:lang w:val="en-US" w:eastAsia="pt-BR"/>
        </w:rPr>
        <w:t>countries</w:t>
      </w:r>
      <w:r w:rsidR="0024084B" w:rsidRPr="00C10A48">
        <w:rPr>
          <w:rFonts w:ascii="Book Antiqua" w:eastAsia="Times New Roman" w:hAnsi="Book Antiqua" w:cstheme="minorHAnsi"/>
          <w:noProof/>
          <w:sz w:val="24"/>
          <w:szCs w:val="24"/>
          <w:vertAlign w:val="superscript"/>
          <w:lang w:val="en-US" w:eastAsia="pt-BR"/>
        </w:rPr>
        <w:t>[</w:t>
      </w:r>
      <w:proofErr w:type="gramEnd"/>
      <w:r w:rsidR="0024084B" w:rsidRPr="00C10A48">
        <w:rPr>
          <w:rFonts w:ascii="Book Antiqua" w:eastAsia="Times New Roman" w:hAnsi="Book Antiqua" w:cstheme="minorHAnsi"/>
          <w:noProof/>
          <w:sz w:val="24"/>
          <w:szCs w:val="24"/>
          <w:vertAlign w:val="superscript"/>
          <w:lang w:val="en-US" w:eastAsia="pt-BR"/>
        </w:rPr>
        <w:t>42–47]</w:t>
      </w:r>
      <w:r w:rsidRPr="00C10A48">
        <w:rPr>
          <w:rFonts w:ascii="Book Antiqua" w:eastAsia="Times New Roman" w:hAnsi="Book Antiqua" w:cstheme="minorHAnsi"/>
          <w:sz w:val="24"/>
          <w:szCs w:val="24"/>
          <w:lang w:val="en-US" w:eastAsia="pt-BR"/>
        </w:rPr>
        <w:t>.</w:t>
      </w:r>
    </w:p>
    <w:p w14:paraId="6F4DC571" w14:textId="624EC421" w:rsidR="002E6770" w:rsidRPr="00C10A48" w:rsidRDefault="002E6770" w:rsidP="00F227A9">
      <w:pPr>
        <w:snapToGrid w:val="0"/>
        <w:spacing w:after="0" w:line="360" w:lineRule="auto"/>
        <w:ind w:firstLineChars="100" w:firstLine="240"/>
        <w:jc w:val="both"/>
        <w:rPr>
          <w:rFonts w:ascii="Book Antiqua" w:eastAsia="Times New Roman" w:hAnsi="Book Antiqua" w:cstheme="minorHAnsi"/>
          <w:sz w:val="24"/>
          <w:szCs w:val="24"/>
          <w:lang w:val="en-US" w:eastAsia="pt-BR"/>
        </w:rPr>
      </w:pPr>
      <w:r w:rsidRPr="00C10A48">
        <w:rPr>
          <w:rFonts w:ascii="Book Antiqua" w:eastAsia="Times New Roman" w:hAnsi="Book Antiqua" w:cstheme="minorHAnsi"/>
          <w:sz w:val="24"/>
          <w:szCs w:val="24"/>
          <w:lang w:val="en-US" w:eastAsia="pt-BR"/>
        </w:rPr>
        <w:t xml:space="preserve">Seven RCTs were </w:t>
      </w:r>
      <w:proofErr w:type="gramStart"/>
      <w:r w:rsidRPr="00C10A48">
        <w:rPr>
          <w:rFonts w:ascii="Book Antiqua" w:eastAsia="Times New Roman" w:hAnsi="Book Antiqua" w:cstheme="minorHAnsi"/>
          <w:sz w:val="24"/>
          <w:szCs w:val="24"/>
          <w:lang w:val="en-US" w:eastAsia="pt-BR"/>
        </w:rPr>
        <w:t>included</w:t>
      </w:r>
      <w:r w:rsidR="0024084B" w:rsidRPr="00C10A48">
        <w:rPr>
          <w:rFonts w:ascii="Book Antiqua" w:eastAsia="Times New Roman" w:hAnsi="Book Antiqua" w:cstheme="minorHAnsi"/>
          <w:noProof/>
          <w:sz w:val="24"/>
          <w:szCs w:val="24"/>
          <w:vertAlign w:val="superscript"/>
          <w:lang w:val="en-US" w:eastAsia="pt-BR"/>
        </w:rPr>
        <w:t>[</w:t>
      </w:r>
      <w:proofErr w:type="gramEnd"/>
      <w:r w:rsidR="0024084B" w:rsidRPr="00C10A48">
        <w:rPr>
          <w:rFonts w:ascii="Book Antiqua" w:eastAsia="Times New Roman" w:hAnsi="Book Antiqua" w:cstheme="minorHAnsi"/>
          <w:noProof/>
          <w:sz w:val="24"/>
          <w:szCs w:val="24"/>
          <w:vertAlign w:val="superscript"/>
          <w:lang w:val="en-US" w:eastAsia="pt-BR"/>
        </w:rPr>
        <w:t>15–17,19–22]</w:t>
      </w:r>
      <w:r w:rsidRPr="00C10A48">
        <w:rPr>
          <w:rFonts w:ascii="Book Antiqua" w:eastAsia="Times New Roman" w:hAnsi="Book Antiqua" w:cstheme="minorHAnsi"/>
          <w:sz w:val="24"/>
          <w:szCs w:val="24"/>
          <w:lang w:val="en-US" w:eastAsia="pt-BR"/>
        </w:rPr>
        <w:t xml:space="preserve"> in our analysis for procedure time, and we found no statistical difference between midazolam and propofol. Five diagnostic and therapeutic procedures </w:t>
      </w:r>
      <w:proofErr w:type="gramStart"/>
      <w:r w:rsidRPr="00C10A48">
        <w:rPr>
          <w:rFonts w:ascii="Book Antiqua" w:eastAsia="Times New Roman" w:hAnsi="Book Antiqua" w:cstheme="minorHAnsi"/>
          <w:sz w:val="24"/>
          <w:szCs w:val="24"/>
          <w:lang w:val="en-US" w:eastAsia="pt-BR"/>
        </w:rPr>
        <w:t>studies</w:t>
      </w:r>
      <w:r w:rsidR="0024084B" w:rsidRPr="00C10A48">
        <w:rPr>
          <w:rFonts w:ascii="Book Antiqua" w:eastAsia="Times New Roman" w:hAnsi="Book Antiqua" w:cstheme="minorHAnsi"/>
          <w:noProof/>
          <w:sz w:val="24"/>
          <w:szCs w:val="24"/>
          <w:vertAlign w:val="superscript"/>
          <w:lang w:val="en-US" w:eastAsia="pt-BR"/>
        </w:rPr>
        <w:t>[</w:t>
      </w:r>
      <w:proofErr w:type="gramEnd"/>
      <w:r w:rsidR="0024084B" w:rsidRPr="00C10A48">
        <w:rPr>
          <w:rFonts w:ascii="Book Antiqua" w:eastAsia="Times New Roman" w:hAnsi="Book Antiqua" w:cstheme="minorHAnsi"/>
          <w:noProof/>
          <w:sz w:val="24"/>
          <w:szCs w:val="24"/>
          <w:vertAlign w:val="superscript"/>
          <w:lang w:val="en-US" w:eastAsia="pt-BR"/>
        </w:rPr>
        <w:t>15–17,20,22]</w:t>
      </w:r>
      <w:r w:rsidRPr="00C10A48">
        <w:rPr>
          <w:rFonts w:ascii="Book Antiqua" w:eastAsia="Times New Roman" w:hAnsi="Book Antiqua" w:cstheme="minorHAnsi"/>
          <w:sz w:val="24"/>
          <w:szCs w:val="24"/>
          <w:lang w:val="en-US" w:eastAsia="pt-BR"/>
        </w:rPr>
        <w:t xml:space="preserve"> showed shorter procedure tie for the midazolam group; however, 2 RCTs</w:t>
      </w:r>
      <w:r w:rsidR="0024084B" w:rsidRPr="00C10A48">
        <w:rPr>
          <w:rFonts w:ascii="Book Antiqua" w:eastAsia="Times New Roman" w:hAnsi="Book Antiqua" w:cstheme="minorHAnsi"/>
          <w:noProof/>
          <w:sz w:val="24"/>
          <w:szCs w:val="24"/>
          <w:vertAlign w:val="superscript"/>
          <w:lang w:val="en-US" w:eastAsia="pt-BR"/>
        </w:rPr>
        <w:t>[19,21]</w:t>
      </w:r>
      <w:r w:rsidRPr="00C10A48">
        <w:rPr>
          <w:rFonts w:ascii="Book Antiqua" w:eastAsia="Times New Roman" w:hAnsi="Book Antiqua" w:cstheme="minorHAnsi"/>
          <w:sz w:val="24"/>
          <w:szCs w:val="24"/>
          <w:lang w:val="en-US" w:eastAsia="pt-BR"/>
        </w:rPr>
        <w:t xml:space="preserve">, including therapeutic procedures, showed shorter procedure time for the propofol group. The study by </w:t>
      </w:r>
      <w:proofErr w:type="spellStart"/>
      <w:r w:rsidRPr="00C10A48">
        <w:rPr>
          <w:rFonts w:ascii="Book Antiqua" w:eastAsia="Times New Roman" w:hAnsi="Book Antiqua" w:cstheme="minorHAnsi"/>
          <w:sz w:val="24"/>
          <w:szCs w:val="24"/>
          <w:lang w:val="en-US" w:eastAsia="pt-BR"/>
        </w:rPr>
        <w:t>Agrawal</w:t>
      </w:r>
      <w:proofErr w:type="spellEnd"/>
      <w:r w:rsidRPr="00C10A48">
        <w:rPr>
          <w:rFonts w:ascii="Book Antiqua" w:eastAsia="Times New Roman" w:hAnsi="Book Antiqua" w:cstheme="minorHAnsi"/>
          <w:sz w:val="24"/>
          <w:szCs w:val="24"/>
          <w:lang w:val="en-US" w:eastAsia="pt-BR"/>
        </w:rPr>
        <w:t xml:space="preserve"> </w:t>
      </w:r>
      <w:r w:rsidR="00073A71" w:rsidRPr="00C10A48">
        <w:rPr>
          <w:rFonts w:ascii="Book Antiqua" w:eastAsia="Times New Roman" w:hAnsi="Book Antiqua" w:cstheme="minorHAnsi"/>
          <w:i/>
          <w:sz w:val="24"/>
          <w:szCs w:val="24"/>
          <w:lang w:val="en-US" w:eastAsia="pt-BR"/>
        </w:rPr>
        <w:t xml:space="preserve">et </w:t>
      </w:r>
      <w:proofErr w:type="gramStart"/>
      <w:r w:rsidR="00073A71" w:rsidRPr="00C10A48">
        <w:rPr>
          <w:rFonts w:ascii="Book Antiqua" w:eastAsia="Times New Roman" w:hAnsi="Book Antiqua" w:cstheme="minorHAnsi"/>
          <w:i/>
          <w:sz w:val="24"/>
          <w:szCs w:val="24"/>
          <w:lang w:val="en-US" w:eastAsia="pt-BR"/>
        </w:rPr>
        <w:t>al</w:t>
      </w:r>
      <w:r w:rsidR="0024084B" w:rsidRPr="00C10A48">
        <w:rPr>
          <w:rFonts w:ascii="Book Antiqua" w:eastAsia="Times New Roman" w:hAnsi="Book Antiqua" w:cstheme="minorHAnsi"/>
          <w:noProof/>
          <w:sz w:val="24"/>
          <w:szCs w:val="24"/>
          <w:vertAlign w:val="superscript"/>
          <w:lang w:val="en-US" w:eastAsia="pt-BR"/>
        </w:rPr>
        <w:t>[</w:t>
      </w:r>
      <w:proofErr w:type="gramEnd"/>
      <w:r w:rsidR="0024084B" w:rsidRPr="00C10A48">
        <w:rPr>
          <w:rFonts w:ascii="Book Antiqua" w:eastAsia="Times New Roman" w:hAnsi="Book Antiqua" w:cstheme="minorHAnsi"/>
          <w:noProof/>
          <w:sz w:val="24"/>
          <w:szCs w:val="24"/>
          <w:vertAlign w:val="superscript"/>
          <w:lang w:val="en-US" w:eastAsia="pt-BR"/>
        </w:rPr>
        <w:t>15]</w:t>
      </w:r>
      <w:r w:rsidRPr="00C10A48">
        <w:rPr>
          <w:rFonts w:ascii="Book Antiqua" w:eastAsia="Times New Roman" w:hAnsi="Book Antiqua" w:cstheme="minorHAnsi"/>
          <w:sz w:val="24"/>
          <w:szCs w:val="24"/>
          <w:lang w:val="en-US" w:eastAsia="pt-BR"/>
        </w:rPr>
        <w:t xml:space="preserve"> also included patients without any sedation and showed a shorter procedure time in the sedation group, likely due to a reduction in the discomfort that patients felt during endoscopy without sedation. All 6 </w:t>
      </w:r>
      <w:proofErr w:type="gramStart"/>
      <w:r w:rsidRPr="00C10A48">
        <w:rPr>
          <w:rFonts w:ascii="Book Antiqua" w:eastAsia="Times New Roman" w:hAnsi="Book Antiqua" w:cstheme="minorHAnsi"/>
          <w:sz w:val="24"/>
          <w:szCs w:val="24"/>
          <w:lang w:val="en-US" w:eastAsia="pt-BR"/>
        </w:rPr>
        <w:t>RCTs</w:t>
      </w:r>
      <w:r w:rsidR="0024084B" w:rsidRPr="00C10A48">
        <w:rPr>
          <w:rFonts w:ascii="Book Antiqua" w:eastAsia="Times New Roman" w:hAnsi="Book Antiqua" w:cstheme="minorHAnsi"/>
          <w:noProof/>
          <w:sz w:val="24"/>
          <w:szCs w:val="24"/>
          <w:vertAlign w:val="superscript"/>
          <w:lang w:val="en-US" w:eastAsia="pt-BR"/>
        </w:rPr>
        <w:t>[</w:t>
      </w:r>
      <w:proofErr w:type="gramEnd"/>
      <w:r w:rsidR="0024084B" w:rsidRPr="00C10A48">
        <w:rPr>
          <w:rFonts w:ascii="Book Antiqua" w:eastAsia="Times New Roman" w:hAnsi="Book Antiqua" w:cstheme="minorHAnsi"/>
          <w:noProof/>
          <w:sz w:val="24"/>
          <w:szCs w:val="24"/>
          <w:vertAlign w:val="superscript"/>
          <w:lang w:val="en-US" w:eastAsia="pt-BR"/>
        </w:rPr>
        <w:t>15–18,20,22]</w:t>
      </w:r>
      <w:r w:rsidRPr="00C10A48">
        <w:rPr>
          <w:rFonts w:ascii="Book Antiqua" w:eastAsia="Times New Roman" w:hAnsi="Book Antiqua" w:cstheme="minorHAnsi"/>
          <w:sz w:val="24"/>
          <w:szCs w:val="24"/>
          <w:lang w:val="en-US" w:eastAsia="pt-BR"/>
        </w:rPr>
        <w:t xml:space="preserve"> evaluating recovery time demonstrated a faster recovery time when using propofol compared to midazolam. Therefore, a statistically significant difference in recovery time was found in the metanalysis favoring the propofol group, although the methods to assess recovery varied slightly in studies. Three </w:t>
      </w:r>
      <w:proofErr w:type="gramStart"/>
      <w:r w:rsidRPr="00C10A48">
        <w:rPr>
          <w:rFonts w:ascii="Book Antiqua" w:eastAsia="Times New Roman" w:hAnsi="Book Antiqua" w:cstheme="minorHAnsi"/>
          <w:sz w:val="24"/>
          <w:szCs w:val="24"/>
          <w:lang w:val="en-US" w:eastAsia="pt-BR"/>
        </w:rPr>
        <w:t>RCTs</w:t>
      </w:r>
      <w:r w:rsidR="0024084B" w:rsidRPr="00C10A48">
        <w:rPr>
          <w:rFonts w:ascii="Book Antiqua" w:eastAsia="Times New Roman" w:hAnsi="Book Antiqua" w:cstheme="minorHAnsi"/>
          <w:noProof/>
          <w:sz w:val="24"/>
          <w:szCs w:val="24"/>
          <w:vertAlign w:val="superscript"/>
          <w:lang w:val="en-US" w:eastAsia="pt-BR"/>
        </w:rPr>
        <w:t>[</w:t>
      </w:r>
      <w:proofErr w:type="gramEnd"/>
      <w:r w:rsidR="0024084B" w:rsidRPr="00C10A48">
        <w:rPr>
          <w:rFonts w:ascii="Book Antiqua" w:eastAsia="Times New Roman" w:hAnsi="Book Antiqua" w:cstheme="minorHAnsi"/>
          <w:noProof/>
          <w:sz w:val="24"/>
          <w:szCs w:val="24"/>
          <w:vertAlign w:val="superscript"/>
          <w:lang w:val="en-US" w:eastAsia="pt-BR"/>
        </w:rPr>
        <w:t>15,16,22]</w:t>
      </w:r>
      <w:r w:rsidRPr="00C10A48">
        <w:rPr>
          <w:rFonts w:ascii="Book Antiqua" w:eastAsia="Times New Roman" w:hAnsi="Book Antiqua" w:cstheme="minorHAnsi"/>
          <w:sz w:val="24"/>
          <w:szCs w:val="24"/>
          <w:lang w:val="en-US" w:eastAsia="pt-BR"/>
        </w:rPr>
        <w:t xml:space="preserve"> used blood pressure and heart rate parameters within 20% of the baseline, oxygen saturation greater than 90% in ambient air, ability to tolerate oral fluids, and bedside support capacity without help or regaining basal function. While </w:t>
      </w:r>
      <w:proofErr w:type="spellStart"/>
      <w:r w:rsidRPr="00C10A48">
        <w:rPr>
          <w:rFonts w:ascii="Book Antiqua" w:eastAsia="Times New Roman" w:hAnsi="Book Antiqua" w:cstheme="minorHAnsi"/>
          <w:sz w:val="24"/>
          <w:szCs w:val="24"/>
          <w:lang w:val="en-US" w:eastAsia="pt-BR"/>
        </w:rPr>
        <w:t>Yoo</w:t>
      </w:r>
      <w:proofErr w:type="spellEnd"/>
      <w:r w:rsidR="00073A71" w:rsidRPr="00C10A48">
        <w:rPr>
          <w:rFonts w:ascii="Book Antiqua" w:eastAsia="Times New Roman" w:hAnsi="Book Antiqua" w:cstheme="minorHAnsi"/>
          <w:i/>
          <w:sz w:val="24"/>
          <w:szCs w:val="24"/>
          <w:lang w:val="en-US" w:eastAsia="pt-BR"/>
        </w:rPr>
        <w:t xml:space="preserve"> et </w:t>
      </w:r>
      <w:proofErr w:type="gramStart"/>
      <w:r w:rsidR="00073A71" w:rsidRPr="00C10A48">
        <w:rPr>
          <w:rFonts w:ascii="Book Antiqua" w:eastAsia="Times New Roman" w:hAnsi="Book Antiqua" w:cstheme="minorHAnsi"/>
          <w:i/>
          <w:sz w:val="24"/>
          <w:szCs w:val="24"/>
          <w:lang w:val="en-US" w:eastAsia="pt-BR"/>
        </w:rPr>
        <w:t>al</w:t>
      </w:r>
      <w:r w:rsidR="0024084B" w:rsidRPr="00C10A48">
        <w:rPr>
          <w:rFonts w:ascii="Book Antiqua" w:eastAsia="Times New Roman" w:hAnsi="Book Antiqua" w:cstheme="minorHAnsi"/>
          <w:noProof/>
          <w:sz w:val="24"/>
          <w:szCs w:val="24"/>
          <w:vertAlign w:val="superscript"/>
          <w:lang w:val="en-US" w:eastAsia="pt-BR"/>
        </w:rPr>
        <w:t>[</w:t>
      </w:r>
      <w:proofErr w:type="gramEnd"/>
      <w:r w:rsidR="0024084B" w:rsidRPr="00C10A48">
        <w:rPr>
          <w:rFonts w:ascii="Book Antiqua" w:eastAsia="Times New Roman" w:hAnsi="Book Antiqua" w:cstheme="minorHAnsi"/>
          <w:noProof/>
          <w:sz w:val="24"/>
          <w:szCs w:val="24"/>
          <w:vertAlign w:val="superscript"/>
          <w:lang w:val="en-US" w:eastAsia="pt-BR"/>
        </w:rPr>
        <w:t>18]</w:t>
      </w:r>
      <w:r w:rsidRPr="00C10A48">
        <w:rPr>
          <w:rFonts w:ascii="Book Antiqua" w:eastAsia="Times New Roman" w:hAnsi="Book Antiqua" w:cstheme="minorHAnsi"/>
          <w:sz w:val="24"/>
          <w:szCs w:val="24"/>
          <w:lang w:val="en-US" w:eastAsia="pt-BR"/>
        </w:rPr>
        <w:t xml:space="preserve"> and Ahmed </w:t>
      </w:r>
      <w:r w:rsidR="00073A71" w:rsidRPr="00C10A48">
        <w:rPr>
          <w:rFonts w:ascii="Book Antiqua" w:eastAsia="Times New Roman" w:hAnsi="Book Antiqua" w:cstheme="minorHAnsi"/>
          <w:i/>
          <w:sz w:val="24"/>
          <w:szCs w:val="24"/>
          <w:lang w:val="en-US" w:eastAsia="pt-BR"/>
        </w:rPr>
        <w:t>et al</w:t>
      </w:r>
      <w:r w:rsidR="0024084B" w:rsidRPr="00C10A48">
        <w:rPr>
          <w:rFonts w:ascii="Book Antiqua" w:eastAsia="Times New Roman" w:hAnsi="Book Antiqua" w:cstheme="minorHAnsi"/>
          <w:noProof/>
          <w:sz w:val="24"/>
          <w:szCs w:val="24"/>
          <w:vertAlign w:val="superscript"/>
          <w:lang w:val="en-US" w:eastAsia="pt-BR"/>
        </w:rPr>
        <w:t>[20]</w:t>
      </w:r>
      <w:r w:rsidRPr="00C10A48">
        <w:rPr>
          <w:rFonts w:ascii="Book Antiqua" w:eastAsia="Times New Roman" w:hAnsi="Book Antiqua" w:cstheme="minorHAnsi"/>
          <w:sz w:val="24"/>
          <w:szCs w:val="24"/>
          <w:lang w:val="en-US" w:eastAsia="pt-BR"/>
        </w:rPr>
        <w:t xml:space="preserve">. </w:t>
      </w:r>
      <w:r w:rsidR="00F26942" w:rsidRPr="00C10A48">
        <w:rPr>
          <w:rFonts w:ascii="Book Antiqua" w:eastAsia="Times New Roman" w:hAnsi="Book Antiqua" w:cstheme="minorHAnsi"/>
          <w:sz w:val="24"/>
          <w:szCs w:val="24"/>
          <w:lang w:val="en-US" w:eastAsia="pt-BR"/>
        </w:rPr>
        <w:t xml:space="preserve"> </w:t>
      </w:r>
      <w:proofErr w:type="gramStart"/>
      <w:r w:rsidR="00F26942" w:rsidRPr="00C10A48">
        <w:rPr>
          <w:rFonts w:ascii="Book Antiqua" w:eastAsia="Times New Roman" w:hAnsi="Book Antiqua" w:cstheme="minorHAnsi"/>
          <w:sz w:val="24"/>
          <w:szCs w:val="24"/>
          <w:lang w:val="en-US" w:eastAsia="pt-BR"/>
        </w:rPr>
        <w:t>evaluated</w:t>
      </w:r>
      <w:proofErr w:type="gramEnd"/>
      <w:r w:rsidRPr="00C10A48">
        <w:rPr>
          <w:rFonts w:ascii="Book Antiqua" w:eastAsia="Times New Roman" w:hAnsi="Book Antiqua" w:cstheme="minorHAnsi"/>
          <w:sz w:val="24"/>
          <w:szCs w:val="24"/>
          <w:lang w:val="en-US" w:eastAsia="pt-BR"/>
        </w:rPr>
        <w:t xml:space="preserve"> patients for recovery using blood pressure, pulse </w:t>
      </w:r>
      <w:proofErr w:type="spellStart"/>
      <w:r w:rsidRPr="00C10A48">
        <w:rPr>
          <w:rFonts w:ascii="Book Antiqua" w:eastAsia="Times New Roman" w:hAnsi="Book Antiqua" w:cstheme="minorHAnsi"/>
          <w:sz w:val="24"/>
          <w:szCs w:val="24"/>
          <w:lang w:val="en-US" w:eastAsia="pt-BR"/>
        </w:rPr>
        <w:t>oxymetry</w:t>
      </w:r>
      <w:proofErr w:type="spellEnd"/>
      <w:r w:rsidRPr="00C10A48">
        <w:rPr>
          <w:rFonts w:ascii="Book Antiqua" w:eastAsia="Times New Roman" w:hAnsi="Book Antiqua" w:cstheme="minorHAnsi"/>
          <w:sz w:val="24"/>
          <w:szCs w:val="24"/>
          <w:lang w:val="en-US" w:eastAsia="pt-BR"/>
        </w:rPr>
        <w:t xml:space="preserve">, and heart rate parameters. Different from other studies, </w:t>
      </w:r>
      <w:proofErr w:type="spellStart"/>
      <w:r w:rsidRPr="00C10A48">
        <w:rPr>
          <w:rFonts w:ascii="Book Antiqua" w:eastAsia="Times New Roman" w:hAnsi="Book Antiqua" w:cstheme="minorHAnsi"/>
          <w:sz w:val="24"/>
          <w:szCs w:val="24"/>
          <w:lang w:val="en-US" w:eastAsia="pt-BR"/>
        </w:rPr>
        <w:t>Riphaus</w:t>
      </w:r>
      <w:proofErr w:type="spellEnd"/>
      <w:r w:rsidRPr="00C10A48">
        <w:rPr>
          <w:rFonts w:ascii="Book Antiqua" w:eastAsia="Times New Roman" w:hAnsi="Book Antiqua" w:cstheme="minorHAnsi"/>
          <w:sz w:val="24"/>
          <w:szCs w:val="24"/>
          <w:lang w:val="en-US" w:eastAsia="pt-BR"/>
        </w:rPr>
        <w:t xml:space="preserve"> </w:t>
      </w:r>
      <w:r w:rsidR="00073A71" w:rsidRPr="00C10A48">
        <w:rPr>
          <w:rFonts w:ascii="Book Antiqua" w:eastAsia="Times New Roman" w:hAnsi="Book Antiqua" w:cstheme="minorHAnsi"/>
          <w:i/>
          <w:sz w:val="24"/>
          <w:szCs w:val="24"/>
          <w:lang w:val="en-US" w:eastAsia="pt-BR"/>
        </w:rPr>
        <w:t>et al</w:t>
      </w:r>
      <w:r w:rsidR="0024084B" w:rsidRPr="00C10A48">
        <w:rPr>
          <w:rFonts w:ascii="Book Antiqua" w:eastAsia="Times New Roman" w:hAnsi="Book Antiqua" w:cstheme="minorHAnsi"/>
          <w:noProof/>
          <w:sz w:val="24"/>
          <w:szCs w:val="24"/>
          <w:vertAlign w:val="superscript"/>
          <w:lang w:val="en-US" w:eastAsia="pt-BR"/>
        </w:rPr>
        <w:t>[17]</w:t>
      </w:r>
      <w:r w:rsidRPr="00C10A48">
        <w:rPr>
          <w:rFonts w:ascii="Book Antiqua" w:eastAsia="Times New Roman" w:hAnsi="Book Antiqua" w:cstheme="minorHAnsi"/>
          <w:sz w:val="24"/>
          <w:szCs w:val="24"/>
          <w:lang w:val="en-US" w:eastAsia="pt-BR"/>
        </w:rPr>
        <w:t xml:space="preserve"> used the post-anesthesia recovery score (PARS) which consists of five parameters </w:t>
      </w:r>
      <w:r w:rsidR="00D55D35" w:rsidRPr="00C10A48">
        <w:rPr>
          <w:rFonts w:ascii="Book Antiqua" w:eastAsia="Times New Roman" w:hAnsi="Book Antiqua" w:cstheme="minorHAnsi"/>
          <w:sz w:val="24"/>
          <w:szCs w:val="24"/>
          <w:lang w:val="en-US" w:eastAsia="pt-BR"/>
        </w:rPr>
        <w:t>(</w:t>
      </w:r>
      <w:r w:rsidRPr="00C10A48">
        <w:rPr>
          <w:rFonts w:ascii="Book Antiqua" w:eastAsia="Times New Roman" w:hAnsi="Book Antiqua" w:cstheme="minorHAnsi"/>
          <w:sz w:val="24"/>
          <w:szCs w:val="24"/>
          <w:lang w:val="en-US" w:eastAsia="pt-BR"/>
        </w:rPr>
        <w:t>1) activity (inability to move the limbs, ability to move two or four limbs with or without command)</w:t>
      </w:r>
      <w:r w:rsidR="00D55D35" w:rsidRPr="00C10A48">
        <w:rPr>
          <w:rFonts w:ascii="Book Antiqua" w:eastAsia="Times New Roman" w:hAnsi="Book Antiqua" w:cstheme="minorHAnsi"/>
          <w:sz w:val="24"/>
          <w:szCs w:val="24"/>
          <w:lang w:val="en-US" w:eastAsia="pt-BR"/>
        </w:rPr>
        <w:t>; (</w:t>
      </w:r>
      <w:r w:rsidRPr="00C10A48">
        <w:rPr>
          <w:rFonts w:ascii="Book Antiqua" w:eastAsia="Times New Roman" w:hAnsi="Book Antiqua" w:cstheme="minorHAnsi"/>
          <w:sz w:val="24"/>
          <w:szCs w:val="24"/>
          <w:lang w:val="en-US" w:eastAsia="pt-BR"/>
        </w:rPr>
        <w:t>2) respiration (evidence of apnea, labored breathing, or normal breathing pattern)</w:t>
      </w:r>
      <w:r w:rsidR="00D55D35" w:rsidRPr="00C10A48">
        <w:rPr>
          <w:rFonts w:ascii="Book Antiqua" w:eastAsia="Times New Roman" w:hAnsi="Book Antiqua" w:cstheme="minorHAnsi"/>
          <w:sz w:val="24"/>
          <w:szCs w:val="24"/>
          <w:lang w:val="en-US" w:eastAsia="pt-BR"/>
        </w:rPr>
        <w:t>;</w:t>
      </w:r>
      <w:r w:rsidRPr="00C10A48">
        <w:rPr>
          <w:rFonts w:ascii="Book Antiqua" w:eastAsia="Times New Roman" w:hAnsi="Book Antiqua" w:cstheme="minorHAnsi"/>
          <w:sz w:val="24"/>
          <w:szCs w:val="24"/>
          <w:lang w:val="en-US" w:eastAsia="pt-BR"/>
        </w:rPr>
        <w:t xml:space="preserve"> </w:t>
      </w:r>
      <w:r w:rsidR="00D55D35" w:rsidRPr="00C10A48">
        <w:rPr>
          <w:rFonts w:ascii="Book Antiqua" w:eastAsia="Times New Roman" w:hAnsi="Book Antiqua" w:cstheme="minorHAnsi"/>
          <w:sz w:val="24"/>
          <w:szCs w:val="24"/>
          <w:lang w:val="en-US" w:eastAsia="pt-BR"/>
        </w:rPr>
        <w:t>(</w:t>
      </w:r>
      <w:r w:rsidRPr="00C10A48">
        <w:rPr>
          <w:rFonts w:ascii="Book Antiqua" w:eastAsia="Times New Roman" w:hAnsi="Book Antiqua" w:cstheme="minorHAnsi"/>
          <w:sz w:val="24"/>
          <w:szCs w:val="24"/>
          <w:lang w:val="en-US" w:eastAsia="pt-BR"/>
        </w:rPr>
        <w:t>3) circulation (blood pressure compared with baseline: ±</w:t>
      </w:r>
      <w:r w:rsidR="00073A71" w:rsidRPr="00C10A48">
        <w:rPr>
          <w:rFonts w:ascii="Book Antiqua" w:eastAsia="Times New Roman" w:hAnsi="Book Antiqua" w:cstheme="minorHAnsi"/>
          <w:sz w:val="24"/>
          <w:szCs w:val="24"/>
          <w:lang w:val="en-US" w:eastAsia="pt-BR"/>
        </w:rPr>
        <w:t xml:space="preserve"> </w:t>
      </w:r>
      <w:r w:rsidRPr="00C10A48">
        <w:rPr>
          <w:rFonts w:ascii="Book Antiqua" w:eastAsia="Times New Roman" w:hAnsi="Book Antiqua" w:cstheme="minorHAnsi"/>
          <w:sz w:val="24"/>
          <w:szCs w:val="24"/>
          <w:lang w:val="en-US" w:eastAsia="pt-BR"/>
        </w:rPr>
        <w:t>50% to baseline, ±</w:t>
      </w:r>
      <w:r w:rsidR="00073A71" w:rsidRPr="00C10A48">
        <w:rPr>
          <w:rFonts w:ascii="Book Antiqua" w:eastAsia="Times New Roman" w:hAnsi="Book Antiqua" w:cstheme="minorHAnsi"/>
          <w:sz w:val="24"/>
          <w:szCs w:val="24"/>
          <w:lang w:val="en-US" w:eastAsia="pt-BR"/>
        </w:rPr>
        <w:t xml:space="preserve"> </w:t>
      </w:r>
      <w:r w:rsidRPr="00C10A48">
        <w:rPr>
          <w:rFonts w:ascii="Book Antiqua" w:eastAsia="Times New Roman" w:hAnsi="Book Antiqua" w:cstheme="minorHAnsi"/>
          <w:sz w:val="24"/>
          <w:szCs w:val="24"/>
          <w:lang w:val="en-US" w:eastAsia="pt-BR"/>
        </w:rPr>
        <w:t>20% to 50% compared to baseline, ±</w:t>
      </w:r>
      <w:r w:rsidR="00D55D35" w:rsidRPr="00C10A48">
        <w:rPr>
          <w:rFonts w:ascii="Book Antiqua" w:eastAsia="Times New Roman" w:hAnsi="Book Antiqua" w:cstheme="minorHAnsi"/>
          <w:sz w:val="24"/>
          <w:szCs w:val="24"/>
          <w:lang w:val="en-US" w:eastAsia="pt-BR"/>
        </w:rPr>
        <w:t xml:space="preserve"> </w:t>
      </w:r>
      <w:r w:rsidRPr="00C10A48">
        <w:rPr>
          <w:rFonts w:ascii="Book Antiqua" w:eastAsia="Times New Roman" w:hAnsi="Book Antiqua" w:cstheme="minorHAnsi"/>
          <w:sz w:val="24"/>
          <w:szCs w:val="24"/>
          <w:lang w:val="en-US" w:eastAsia="pt-BR"/>
        </w:rPr>
        <w:t>20% to baseline)</w:t>
      </w:r>
      <w:r w:rsidR="00D55D35" w:rsidRPr="00C10A48">
        <w:rPr>
          <w:rFonts w:ascii="Book Antiqua" w:eastAsia="Times New Roman" w:hAnsi="Book Antiqua" w:cstheme="minorHAnsi"/>
          <w:sz w:val="24"/>
          <w:szCs w:val="24"/>
          <w:lang w:val="en-US" w:eastAsia="pt-BR"/>
        </w:rPr>
        <w:t>;</w:t>
      </w:r>
      <w:r w:rsidRPr="00C10A48">
        <w:rPr>
          <w:rFonts w:ascii="Book Antiqua" w:eastAsia="Times New Roman" w:hAnsi="Book Antiqua" w:cstheme="minorHAnsi"/>
          <w:sz w:val="24"/>
          <w:szCs w:val="24"/>
          <w:lang w:val="en-US" w:eastAsia="pt-BR"/>
        </w:rPr>
        <w:t xml:space="preserve"> </w:t>
      </w:r>
      <w:r w:rsidR="00D55D35" w:rsidRPr="00C10A48">
        <w:rPr>
          <w:rFonts w:ascii="Book Antiqua" w:eastAsia="Times New Roman" w:hAnsi="Book Antiqua" w:cstheme="minorHAnsi"/>
          <w:sz w:val="24"/>
          <w:szCs w:val="24"/>
          <w:lang w:val="en-US" w:eastAsia="pt-BR"/>
        </w:rPr>
        <w:t>(</w:t>
      </w:r>
      <w:r w:rsidRPr="00C10A48">
        <w:rPr>
          <w:rFonts w:ascii="Book Antiqua" w:eastAsia="Times New Roman" w:hAnsi="Book Antiqua" w:cstheme="minorHAnsi"/>
          <w:sz w:val="24"/>
          <w:szCs w:val="24"/>
          <w:lang w:val="en-US" w:eastAsia="pt-BR"/>
        </w:rPr>
        <w:t>4) consciousness (non-arousable, arousable, or fully awake)</w:t>
      </w:r>
      <w:r w:rsidR="00D55D35" w:rsidRPr="00C10A48">
        <w:rPr>
          <w:rFonts w:ascii="Book Antiqua" w:eastAsia="Times New Roman" w:hAnsi="Book Antiqua" w:cstheme="minorHAnsi"/>
          <w:sz w:val="24"/>
          <w:szCs w:val="24"/>
          <w:lang w:val="en-US" w:eastAsia="pt-BR"/>
        </w:rPr>
        <w:t>;</w:t>
      </w:r>
      <w:r w:rsidRPr="00C10A48">
        <w:rPr>
          <w:rFonts w:ascii="Book Antiqua" w:eastAsia="Times New Roman" w:hAnsi="Book Antiqua" w:cstheme="minorHAnsi"/>
          <w:sz w:val="24"/>
          <w:szCs w:val="24"/>
          <w:lang w:val="en-US" w:eastAsia="pt-BR"/>
        </w:rPr>
        <w:t xml:space="preserve"> and </w:t>
      </w:r>
      <w:r w:rsidR="00D55D35" w:rsidRPr="00C10A48">
        <w:rPr>
          <w:rFonts w:ascii="Book Antiqua" w:eastAsia="Times New Roman" w:hAnsi="Book Antiqua" w:cstheme="minorHAnsi"/>
          <w:sz w:val="24"/>
          <w:szCs w:val="24"/>
          <w:lang w:val="en-US" w:eastAsia="pt-BR"/>
        </w:rPr>
        <w:t>(</w:t>
      </w:r>
      <w:r w:rsidRPr="00C10A48">
        <w:rPr>
          <w:rFonts w:ascii="Book Antiqua" w:eastAsia="Times New Roman" w:hAnsi="Book Antiqua" w:cstheme="minorHAnsi"/>
          <w:sz w:val="24"/>
          <w:szCs w:val="24"/>
          <w:lang w:val="en-US" w:eastAsia="pt-BR"/>
        </w:rPr>
        <w:t xml:space="preserve">5) skin color (cyanotic, pink, or normal). 0, 1 or 2 points are given for each parameter, and complete recovery is indicated by the maximum PARS of 10 points. Our </w:t>
      </w:r>
      <w:proofErr w:type="spellStart"/>
      <w:r w:rsidRPr="00C10A48">
        <w:rPr>
          <w:rFonts w:ascii="Book Antiqua" w:eastAsia="Times New Roman" w:hAnsi="Book Antiqua" w:cstheme="minorHAnsi"/>
          <w:sz w:val="24"/>
          <w:szCs w:val="24"/>
          <w:lang w:val="en-US" w:eastAsia="pt-BR"/>
        </w:rPr>
        <w:t>metanalysis</w:t>
      </w:r>
      <w:proofErr w:type="spellEnd"/>
      <w:r w:rsidRPr="00C10A48">
        <w:rPr>
          <w:rFonts w:ascii="Book Antiqua" w:eastAsia="Times New Roman" w:hAnsi="Book Antiqua" w:cstheme="minorHAnsi"/>
          <w:sz w:val="24"/>
          <w:szCs w:val="24"/>
          <w:lang w:val="en-US" w:eastAsia="pt-BR"/>
        </w:rPr>
        <w:t xml:space="preserve">, including 3 </w:t>
      </w:r>
      <w:proofErr w:type="gramStart"/>
      <w:r w:rsidRPr="00C10A48">
        <w:rPr>
          <w:rFonts w:ascii="Book Antiqua" w:eastAsia="Times New Roman" w:hAnsi="Book Antiqua" w:cstheme="minorHAnsi"/>
          <w:sz w:val="24"/>
          <w:szCs w:val="24"/>
          <w:lang w:val="en-US" w:eastAsia="pt-BR"/>
        </w:rPr>
        <w:t>RCTs</w:t>
      </w:r>
      <w:r w:rsidR="0024084B" w:rsidRPr="00C10A48">
        <w:rPr>
          <w:rFonts w:ascii="Book Antiqua" w:eastAsia="Times New Roman" w:hAnsi="Book Antiqua" w:cstheme="minorHAnsi"/>
          <w:noProof/>
          <w:sz w:val="24"/>
          <w:szCs w:val="24"/>
          <w:vertAlign w:val="superscript"/>
          <w:lang w:val="en-US" w:eastAsia="pt-BR"/>
        </w:rPr>
        <w:t>[</w:t>
      </w:r>
      <w:proofErr w:type="gramEnd"/>
      <w:r w:rsidR="0024084B" w:rsidRPr="00C10A48">
        <w:rPr>
          <w:rFonts w:ascii="Book Antiqua" w:eastAsia="Times New Roman" w:hAnsi="Book Antiqua" w:cstheme="minorHAnsi"/>
          <w:noProof/>
          <w:sz w:val="24"/>
          <w:szCs w:val="24"/>
          <w:vertAlign w:val="superscript"/>
          <w:lang w:val="en-US" w:eastAsia="pt-BR"/>
        </w:rPr>
        <w:t>16,20,22]</w:t>
      </w:r>
      <w:r w:rsidRPr="00C10A48">
        <w:rPr>
          <w:rFonts w:ascii="Book Antiqua" w:eastAsia="Times New Roman" w:hAnsi="Book Antiqua" w:cstheme="minorHAnsi"/>
          <w:sz w:val="24"/>
          <w:szCs w:val="24"/>
          <w:lang w:val="en-US" w:eastAsia="pt-BR"/>
        </w:rPr>
        <w:t xml:space="preserve">, showed that </w:t>
      </w:r>
      <w:proofErr w:type="spellStart"/>
      <w:r w:rsidRPr="00C10A48">
        <w:rPr>
          <w:rFonts w:ascii="Book Antiqua" w:eastAsia="Times New Roman" w:hAnsi="Book Antiqua" w:cstheme="minorHAnsi"/>
          <w:sz w:val="24"/>
          <w:szCs w:val="24"/>
          <w:lang w:val="en-US" w:eastAsia="pt-BR"/>
        </w:rPr>
        <w:t>propofol</w:t>
      </w:r>
      <w:proofErr w:type="spellEnd"/>
      <w:r w:rsidRPr="00C10A48">
        <w:rPr>
          <w:rFonts w:ascii="Book Antiqua" w:eastAsia="Times New Roman" w:hAnsi="Book Antiqua" w:cstheme="minorHAnsi"/>
          <w:sz w:val="24"/>
          <w:szCs w:val="24"/>
          <w:lang w:val="en-US" w:eastAsia="pt-BR"/>
        </w:rPr>
        <w:t xml:space="preserve"> was </w:t>
      </w:r>
      <w:r w:rsidRPr="00C10A48">
        <w:rPr>
          <w:rFonts w:ascii="Book Antiqua" w:eastAsia="Times New Roman" w:hAnsi="Book Antiqua" w:cstheme="minorHAnsi"/>
          <w:sz w:val="24"/>
          <w:szCs w:val="24"/>
          <w:lang w:val="en-US" w:eastAsia="pt-BR"/>
        </w:rPr>
        <w:lastRenderedPageBreak/>
        <w:t xml:space="preserve">associated with a faster discharge time than midazolam. </w:t>
      </w:r>
      <w:proofErr w:type="spellStart"/>
      <w:r w:rsidRPr="00C10A48">
        <w:rPr>
          <w:rFonts w:ascii="Book Antiqua" w:eastAsia="Times New Roman" w:hAnsi="Book Antiqua" w:cstheme="minorHAnsi"/>
          <w:sz w:val="24"/>
          <w:szCs w:val="24"/>
          <w:lang w:val="en-US" w:eastAsia="pt-BR"/>
        </w:rPr>
        <w:t>Khamaysi</w:t>
      </w:r>
      <w:proofErr w:type="spellEnd"/>
      <w:r w:rsidRPr="00C10A48">
        <w:rPr>
          <w:rFonts w:ascii="Book Antiqua" w:eastAsia="Times New Roman" w:hAnsi="Book Antiqua" w:cstheme="minorHAnsi"/>
          <w:sz w:val="24"/>
          <w:szCs w:val="24"/>
          <w:lang w:val="en-US" w:eastAsia="pt-BR"/>
        </w:rPr>
        <w:t xml:space="preserve"> </w:t>
      </w:r>
      <w:r w:rsidR="00686285" w:rsidRPr="00C10A48">
        <w:rPr>
          <w:rFonts w:ascii="Book Antiqua" w:eastAsia="Times New Roman" w:hAnsi="Book Antiqua" w:cstheme="minorHAnsi"/>
          <w:i/>
          <w:sz w:val="24"/>
          <w:szCs w:val="24"/>
          <w:lang w:val="en-US" w:eastAsia="pt-BR"/>
        </w:rPr>
        <w:t xml:space="preserve">et </w:t>
      </w:r>
      <w:proofErr w:type="gramStart"/>
      <w:r w:rsidR="00686285" w:rsidRPr="00C10A48">
        <w:rPr>
          <w:rFonts w:ascii="Book Antiqua" w:eastAsia="Times New Roman" w:hAnsi="Book Antiqua" w:cstheme="minorHAnsi"/>
          <w:i/>
          <w:sz w:val="24"/>
          <w:szCs w:val="24"/>
          <w:lang w:val="en-US" w:eastAsia="pt-BR"/>
        </w:rPr>
        <w:t>al</w:t>
      </w:r>
      <w:r w:rsidR="0024084B" w:rsidRPr="00C10A48">
        <w:rPr>
          <w:rFonts w:ascii="Book Antiqua" w:eastAsia="Times New Roman" w:hAnsi="Book Antiqua" w:cstheme="minorHAnsi"/>
          <w:noProof/>
          <w:sz w:val="24"/>
          <w:szCs w:val="24"/>
          <w:vertAlign w:val="superscript"/>
          <w:lang w:val="en-US" w:eastAsia="pt-BR"/>
        </w:rPr>
        <w:t>[</w:t>
      </w:r>
      <w:proofErr w:type="gramEnd"/>
      <w:r w:rsidR="0024084B" w:rsidRPr="00C10A48">
        <w:rPr>
          <w:rFonts w:ascii="Book Antiqua" w:eastAsia="Times New Roman" w:hAnsi="Book Antiqua" w:cstheme="minorHAnsi"/>
          <w:noProof/>
          <w:sz w:val="24"/>
          <w:szCs w:val="24"/>
          <w:vertAlign w:val="superscript"/>
          <w:lang w:val="en-US" w:eastAsia="pt-BR"/>
        </w:rPr>
        <w:t>16]</w:t>
      </w:r>
      <w:r w:rsidRPr="00C10A48">
        <w:rPr>
          <w:rFonts w:ascii="Book Antiqua" w:eastAsia="Times New Roman" w:hAnsi="Book Antiqua" w:cstheme="minorHAnsi"/>
          <w:sz w:val="24"/>
          <w:szCs w:val="24"/>
          <w:lang w:val="en-US" w:eastAsia="pt-BR"/>
        </w:rPr>
        <w:t xml:space="preserve"> and Weston </w:t>
      </w:r>
      <w:r w:rsidR="0023182C" w:rsidRPr="00C10A48">
        <w:rPr>
          <w:rFonts w:ascii="Book Antiqua" w:eastAsia="Times New Roman" w:hAnsi="Book Antiqua" w:cstheme="minorHAnsi"/>
          <w:i/>
          <w:sz w:val="24"/>
          <w:szCs w:val="24"/>
          <w:lang w:val="en-US" w:eastAsia="pt-BR"/>
        </w:rPr>
        <w:t>et al</w:t>
      </w:r>
      <w:r w:rsidR="0024084B" w:rsidRPr="00C10A48">
        <w:rPr>
          <w:rFonts w:ascii="Book Antiqua" w:eastAsia="Times New Roman" w:hAnsi="Book Antiqua" w:cstheme="minorHAnsi"/>
          <w:noProof/>
          <w:sz w:val="24"/>
          <w:szCs w:val="24"/>
          <w:vertAlign w:val="superscript"/>
          <w:lang w:val="en-US" w:eastAsia="pt-BR"/>
        </w:rPr>
        <w:t>[22]</w:t>
      </w:r>
      <w:r w:rsidRPr="00C10A48">
        <w:rPr>
          <w:rFonts w:ascii="Book Antiqua" w:eastAsia="Times New Roman" w:hAnsi="Book Antiqua" w:cstheme="minorHAnsi"/>
          <w:sz w:val="24"/>
          <w:szCs w:val="24"/>
          <w:lang w:val="en-US" w:eastAsia="pt-BR"/>
        </w:rPr>
        <w:t xml:space="preserve"> showed results favoring </w:t>
      </w:r>
      <w:r w:rsidR="00F26942" w:rsidRPr="00C10A48">
        <w:rPr>
          <w:rFonts w:ascii="Book Antiqua" w:eastAsia="Times New Roman" w:hAnsi="Book Antiqua" w:cstheme="minorHAnsi"/>
          <w:sz w:val="24"/>
          <w:szCs w:val="24"/>
          <w:lang w:val="en-US" w:eastAsia="pt-BR"/>
        </w:rPr>
        <w:t>p</w:t>
      </w:r>
      <w:r w:rsidRPr="00C10A48">
        <w:rPr>
          <w:rFonts w:ascii="Book Antiqua" w:eastAsia="Times New Roman" w:hAnsi="Book Antiqua" w:cstheme="minorHAnsi"/>
          <w:sz w:val="24"/>
          <w:szCs w:val="24"/>
          <w:lang w:val="en-US" w:eastAsia="pt-BR"/>
        </w:rPr>
        <w:t xml:space="preserve">ropofol. While Ahmed </w:t>
      </w:r>
      <w:r w:rsidR="00686285" w:rsidRPr="00C10A48">
        <w:rPr>
          <w:rFonts w:ascii="Book Antiqua" w:eastAsia="Times New Roman" w:hAnsi="Book Antiqua" w:cstheme="minorHAnsi"/>
          <w:i/>
          <w:sz w:val="24"/>
          <w:szCs w:val="24"/>
          <w:lang w:val="en-US" w:eastAsia="pt-BR"/>
        </w:rPr>
        <w:t xml:space="preserve">et </w:t>
      </w:r>
      <w:proofErr w:type="gramStart"/>
      <w:r w:rsidR="00686285" w:rsidRPr="00C10A48">
        <w:rPr>
          <w:rFonts w:ascii="Book Antiqua" w:eastAsia="Times New Roman" w:hAnsi="Book Antiqua" w:cstheme="minorHAnsi"/>
          <w:i/>
          <w:sz w:val="24"/>
          <w:szCs w:val="24"/>
          <w:lang w:val="en-US" w:eastAsia="pt-BR"/>
        </w:rPr>
        <w:t>al</w:t>
      </w:r>
      <w:r w:rsidR="0024084B" w:rsidRPr="00C10A48">
        <w:rPr>
          <w:rFonts w:ascii="Book Antiqua" w:eastAsia="Times New Roman" w:hAnsi="Book Antiqua" w:cstheme="minorHAnsi"/>
          <w:noProof/>
          <w:sz w:val="24"/>
          <w:szCs w:val="24"/>
          <w:vertAlign w:val="superscript"/>
          <w:lang w:val="en-US" w:eastAsia="pt-BR"/>
        </w:rPr>
        <w:t>[</w:t>
      </w:r>
      <w:proofErr w:type="gramEnd"/>
      <w:r w:rsidR="0024084B" w:rsidRPr="00C10A48">
        <w:rPr>
          <w:rFonts w:ascii="Book Antiqua" w:eastAsia="Times New Roman" w:hAnsi="Book Antiqua" w:cstheme="minorHAnsi"/>
          <w:noProof/>
          <w:sz w:val="24"/>
          <w:szCs w:val="24"/>
          <w:vertAlign w:val="superscript"/>
          <w:lang w:val="en-US" w:eastAsia="pt-BR"/>
        </w:rPr>
        <w:t>20]</w:t>
      </w:r>
      <w:r w:rsidRPr="00C10A48">
        <w:rPr>
          <w:rFonts w:ascii="Book Antiqua" w:eastAsia="Times New Roman" w:hAnsi="Book Antiqua" w:cstheme="minorHAnsi"/>
          <w:sz w:val="24"/>
          <w:szCs w:val="24"/>
          <w:lang w:val="en-US" w:eastAsia="pt-BR"/>
        </w:rPr>
        <w:t xml:space="preserve"> showed no difference in discharge time between propofol and midazolam. </w:t>
      </w:r>
    </w:p>
    <w:p w14:paraId="159C8580" w14:textId="41352051" w:rsidR="002E6770" w:rsidRPr="00C10A48" w:rsidRDefault="002E6770" w:rsidP="00F227A9">
      <w:pPr>
        <w:snapToGrid w:val="0"/>
        <w:spacing w:after="0" w:line="360" w:lineRule="auto"/>
        <w:ind w:firstLineChars="100" w:firstLine="240"/>
        <w:jc w:val="both"/>
        <w:rPr>
          <w:rFonts w:ascii="Book Antiqua" w:eastAsia="Times New Roman" w:hAnsi="Book Antiqua" w:cstheme="minorHAnsi"/>
          <w:sz w:val="24"/>
          <w:szCs w:val="24"/>
          <w:lang w:val="en-US" w:eastAsia="pt-BR"/>
        </w:rPr>
      </w:pPr>
      <w:r w:rsidRPr="00C10A48">
        <w:rPr>
          <w:rFonts w:ascii="Book Antiqua" w:eastAsia="Times New Roman" w:hAnsi="Book Antiqua" w:cstheme="minorHAnsi"/>
          <w:sz w:val="24"/>
          <w:szCs w:val="24"/>
          <w:lang w:val="en-US" w:eastAsia="pt-BR"/>
        </w:rPr>
        <w:t xml:space="preserve">Many adverse events in endoscopy are related to sedation. Our study found no statistical difference when comparing adverse events related to the use of propofol and midazolam. Our results were similar to a retrospective </w:t>
      </w:r>
      <w:proofErr w:type="gramStart"/>
      <w:r w:rsidRPr="00C10A48">
        <w:rPr>
          <w:rFonts w:ascii="Book Antiqua" w:eastAsia="Times New Roman" w:hAnsi="Book Antiqua" w:cstheme="minorHAnsi"/>
          <w:sz w:val="24"/>
          <w:szCs w:val="24"/>
          <w:lang w:val="en-US" w:eastAsia="pt-BR"/>
        </w:rPr>
        <w:t>study</w:t>
      </w:r>
      <w:r w:rsidR="0024084B" w:rsidRPr="00C10A48">
        <w:rPr>
          <w:rFonts w:ascii="Book Antiqua" w:eastAsia="Times New Roman" w:hAnsi="Book Antiqua" w:cstheme="minorHAnsi"/>
          <w:noProof/>
          <w:sz w:val="24"/>
          <w:szCs w:val="24"/>
          <w:vertAlign w:val="superscript"/>
          <w:lang w:val="en-US" w:eastAsia="pt-BR"/>
        </w:rPr>
        <w:t>[</w:t>
      </w:r>
      <w:proofErr w:type="gramEnd"/>
      <w:r w:rsidR="0024084B" w:rsidRPr="00C10A48">
        <w:rPr>
          <w:rFonts w:ascii="Book Antiqua" w:eastAsia="Times New Roman" w:hAnsi="Book Antiqua" w:cstheme="minorHAnsi"/>
          <w:noProof/>
          <w:sz w:val="24"/>
          <w:szCs w:val="24"/>
          <w:vertAlign w:val="superscript"/>
          <w:lang w:val="en-US" w:eastAsia="pt-BR"/>
        </w:rPr>
        <w:t>30]</w:t>
      </w:r>
      <w:r w:rsidRPr="00C10A48">
        <w:rPr>
          <w:rFonts w:ascii="Book Antiqua" w:eastAsia="Times New Roman" w:hAnsi="Book Antiqua" w:cstheme="minorHAnsi"/>
          <w:sz w:val="24"/>
          <w:szCs w:val="24"/>
          <w:lang w:val="en-US" w:eastAsia="pt-BR"/>
        </w:rPr>
        <w:t xml:space="preserve"> of 1667 patients with cirrhosis, which showed no difference in adverse events between midazolam plus fentanyl </w:t>
      </w:r>
      <w:r w:rsidR="009E3C6F" w:rsidRPr="00DA4967">
        <w:rPr>
          <w:rFonts w:ascii="Book Antiqua" w:hAnsi="Book Antiqua"/>
          <w:i/>
          <w:noProof/>
          <w:sz w:val="24"/>
          <w:szCs w:val="24"/>
          <w:lang w:val="en-US"/>
        </w:rPr>
        <w:t>vs</w:t>
      </w:r>
      <w:r w:rsidRPr="00C10A48">
        <w:rPr>
          <w:rFonts w:ascii="Book Antiqua" w:eastAsia="Times New Roman" w:hAnsi="Book Antiqua" w:cstheme="minorHAnsi"/>
          <w:sz w:val="24"/>
          <w:szCs w:val="24"/>
          <w:lang w:val="en-US" w:eastAsia="pt-BR"/>
        </w:rPr>
        <w:t xml:space="preserve"> propofol sedation for endoscopy.  Another recent multicenter cross-sectional </w:t>
      </w:r>
      <w:proofErr w:type="gramStart"/>
      <w:r w:rsidRPr="00C10A48">
        <w:rPr>
          <w:rFonts w:ascii="Book Antiqua" w:eastAsia="Times New Roman" w:hAnsi="Book Antiqua" w:cstheme="minorHAnsi"/>
          <w:sz w:val="24"/>
          <w:szCs w:val="24"/>
          <w:lang w:val="en-US" w:eastAsia="pt-BR"/>
        </w:rPr>
        <w:t>study</w:t>
      </w:r>
      <w:r w:rsidR="0024084B" w:rsidRPr="00C10A48">
        <w:rPr>
          <w:rFonts w:ascii="Book Antiqua" w:eastAsia="Times New Roman" w:hAnsi="Book Antiqua" w:cstheme="minorHAnsi"/>
          <w:noProof/>
          <w:sz w:val="24"/>
          <w:szCs w:val="24"/>
          <w:vertAlign w:val="superscript"/>
          <w:lang w:val="en-US" w:eastAsia="pt-BR"/>
        </w:rPr>
        <w:t>[</w:t>
      </w:r>
      <w:proofErr w:type="gramEnd"/>
      <w:r w:rsidR="0024084B" w:rsidRPr="00C10A48">
        <w:rPr>
          <w:rFonts w:ascii="Book Antiqua" w:eastAsia="Times New Roman" w:hAnsi="Book Antiqua" w:cstheme="minorHAnsi"/>
          <w:noProof/>
          <w:sz w:val="24"/>
          <w:szCs w:val="24"/>
          <w:vertAlign w:val="superscript"/>
          <w:lang w:val="en-US" w:eastAsia="pt-BR"/>
        </w:rPr>
        <w:t>48]</w:t>
      </w:r>
      <w:r w:rsidRPr="00C10A48">
        <w:rPr>
          <w:rFonts w:ascii="Book Antiqua" w:eastAsia="Times New Roman" w:hAnsi="Book Antiqua" w:cstheme="minorHAnsi"/>
          <w:sz w:val="24"/>
          <w:szCs w:val="24"/>
          <w:lang w:val="en-US" w:eastAsia="pt-BR"/>
        </w:rPr>
        <w:t xml:space="preserve"> that included 9007 endoscopic procedures in patients with cirrhosis reported that adverse events were infrequent and cardiovascular adverse events were related to unfit patients and those requiring general anesthesia. Cardiopulmonary adverse events in our study were mainly seen in 3 </w:t>
      </w:r>
      <w:proofErr w:type="gramStart"/>
      <w:r w:rsidRPr="00C10A48">
        <w:rPr>
          <w:rFonts w:ascii="Book Antiqua" w:eastAsia="Times New Roman" w:hAnsi="Book Antiqua" w:cstheme="minorHAnsi"/>
          <w:sz w:val="24"/>
          <w:szCs w:val="24"/>
          <w:lang w:val="en-US" w:eastAsia="pt-BR"/>
        </w:rPr>
        <w:t>RCTs</w:t>
      </w:r>
      <w:r w:rsidR="0024084B" w:rsidRPr="00C10A48">
        <w:rPr>
          <w:rFonts w:ascii="Book Antiqua" w:eastAsia="Times New Roman" w:hAnsi="Book Antiqua" w:cstheme="minorHAnsi"/>
          <w:noProof/>
          <w:sz w:val="24"/>
          <w:szCs w:val="24"/>
          <w:vertAlign w:val="superscript"/>
          <w:lang w:val="en-US" w:eastAsia="pt-BR"/>
        </w:rPr>
        <w:t>[</w:t>
      </w:r>
      <w:proofErr w:type="gramEnd"/>
      <w:r w:rsidR="0024084B" w:rsidRPr="00C10A48">
        <w:rPr>
          <w:rFonts w:ascii="Book Antiqua" w:eastAsia="Times New Roman" w:hAnsi="Book Antiqua" w:cstheme="minorHAnsi"/>
          <w:noProof/>
          <w:sz w:val="24"/>
          <w:szCs w:val="24"/>
          <w:vertAlign w:val="superscript"/>
          <w:lang w:val="en-US" w:eastAsia="pt-BR"/>
        </w:rPr>
        <w:t>17,20,21]</w:t>
      </w:r>
      <w:r w:rsidRPr="00C10A48">
        <w:rPr>
          <w:rFonts w:ascii="Book Antiqua" w:eastAsia="Times New Roman" w:hAnsi="Book Antiqua" w:cstheme="minorHAnsi"/>
          <w:sz w:val="24"/>
          <w:szCs w:val="24"/>
          <w:lang w:val="en-US" w:eastAsia="pt-BR"/>
        </w:rPr>
        <w:t xml:space="preserve">, which included endoscopic therapeutic procedures (varices treatment) likely because of the prolonged procedure time and the need for higher sedation dose for patient comfort. Given the significance of cardiopulmonary adverse events with sedation, we further evaluated adverse events like bradycardia, hypotension, and hypoxemia individually. </w:t>
      </w:r>
    </w:p>
    <w:p w14:paraId="30BA464F" w14:textId="1415AC98" w:rsidR="002E6770" w:rsidRPr="00C10A48" w:rsidRDefault="002E6770" w:rsidP="00F227A9">
      <w:pPr>
        <w:snapToGrid w:val="0"/>
        <w:spacing w:after="0" w:line="360" w:lineRule="auto"/>
        <w:ind w:firstLineChars="100" w:firstLine="240"/>
        <w:jc w:val="both"/>
        <w:rPr>
          <w:rFonts w:ascii="Book Antiqua" w:eastAsia="Times New Roman" w:hAnsi="Book Antiqua" w:cstheme="minorHAnsi"/>
          <w:sz w:val="24"/>
          <w:szCs w:val="24"/>
          <w:lang w:val="en-US" w:eastAsia="pt-BR"/>
        </w:rPr>
      </w:pPr>
      <w:r w:rsidRPr="00C10A48">
        <w:rPr>
          <w:rFonts w:ascii="Book Antiqua" w:eastAsia="Times New Roman" w:hAnsi="Book Antiqua" w:cstheme="minorHAnsi"/>
          <w:sz w:val="24"/>
          <w:szCs w:val="24"/>
          <w:lang w:val="en-US" w:eastAsia="pt-BR"/>
        </w:rPr>
        <w:t xml:space="preserve">In our metanalysis, there was no difference in the incidence of bradycardia between propofol and midazolam. Bradycardia was described as a heart rate (HR) &lt; 50 in most </w:t>
      </w:r>
      <w:proofErr w:type="gramStart"/>
      <w:r w:rsidRPr="00C10A48">
        <w:rPr>
          <w:rFonts w:ascii="Book Antiqua" w:eastAsia="Times New Roman" w:hAnsi="Book Antiqua" w:cstheme="minorHAnsi"/>
          <w:sz w:val="24"/>
          <w:szCs w:val="24"/>
          <w:lang w:val="en-US" w:eastAsia="pt-BR"/>
        </w:rPr>
        <w:t>studies</w:t>
      </w:r>
      <w:r w:rsidR="0024084B" w:rsidRPr="00C10A48">
        <w:rPr>
          <w:rFonts w:ascii="Book Antiqua" w:eastAsia="Times New Roman" w:hAnsi="Book Antiqua" w:cstheme="minorHAnsi"/>
          <w:noProof/>
          <w:sz w:val="24"/>
          <w:szCs w:val="24"/>
          <w:vertAlign w:val="superscript"/>
          <w:lang w:val="en-US" w:eastAsia="pt-BR"/>
        </w:rPr>
        <w:t>[</w:t>
      </w:r>
      <w:proofErr w:type="gramEnd"/>
      <w:r w:rsidR="0024084B" w:rsidRPr="00C10A48">
        <w:rPr>
          <w:rFonts w:ascii="Book Antiqua" w:eastAsia="Times New Roman" w:hAnsi="Book Antiqua" w:cstheme="minorHAnsi"/>
          <w:noProof/>
          <w:sz w:val="24"/>
          <w:szCs w:val="24"/>
          <w:vertAlign w:val="superscript"/>
          <w:lang w:val="en-US" w:eastAsia="pt-BR"/>
        </w:rPr>
        <w:t>16,17,20,22]</w:t>
      </w:r>
      <w:r w:rsidRPr="00C10A48">
        <w:rPr>
          <w:rFonts w:ascii="Book Antiqua" w:eastAsia="Times New Roman" w:hAnsi="Book Antiqua" w:cstheme="minorHAnsi"/>
          <w:sz w:val="24"/>
          <w:szCs w:val="24"/>
          <w:lang w:val="en-US" w:eastAsia="pt-BR"/>
        </w:rPr>
        <w:t xml:space="preserve">,  HR &lt; 45 by Watanabe </w:t>
      </w:r>
      <w:r w:rsidR="00686285" w:rsidRPr="00C10A48">
        <w:rPr>
          <w:rFonts w:ascii="Book Antiqua" w:eastAsia="Times New Roman" w:hAnsi="Book Antiqua" w:cstheme="minorHAnsi"/>
          <w:i/>
          <w:sz w:val="24"/>
          <w:szCs w:val="24"/>
          <w:lang w:val="en-US" w:eastAsia="pt-BR"/>
        </w:rPr>
        <w:t>et al</w:t>
      </w:r>
      <w:r w:rsidR="0024084B" w:rsidRPr="00C10A48">
        <w:rPr>
          <w:rFonts w:ascii="Book Antiqua" w:eastAsia="Times New Roman" w:hAnsi="Book Antiqua" w:cstheme="minorHAnsi"/>
          <w:noProof/>
          <w:sz w:val="24"/>
          <w:szCs w:val="24"/>
          <w:vertAlign w:val="superscript"/>
          <w:lang w:val="en-US" w:eastAsia="pt-BR"/>
        </w:rPr>
        <w:t>[19]</w:t>
      </w:r>
      <w:r w:rsidRPr="00C10A48">
        <w:rPr>
          <w:rFonts w:ascii="Book Antiqua" w:eastAsia="Times New Roman" w:hAnsi="Book Antiqua" w:cstheme="minorHAnsi"/>
          <w:sz w:val="24"/>
          <w:szCs w:val="24"/>
          <w:lang w:val="en-US" w:eastAsia="pt-BR"/>
        </w:rPr>
        <w:t>, 25% decrease in initial HR or HR</w:t>
      </w:r>
      <w:r w:rsidR="00686285" w:rsidRPr="00C10A48">
        <w:rPr>
          <w:rFonts w:ascii="Book Antiqua" w:eastAsia="Times New Roman" w:hAnsi="Book Antiqua" w:cstheme="minorHAnsi"/>
          <w:sz w:val="24"/>
          <w:szCs w:val="24"/>
          <w:lang w:val="en-US" w:eastAsia="pt-BR"/>
        </w:rPr>
        <w:t xml:space="preserve"> </w:t>
      </w:r>
      <w:r w:rsidRPr="00C10A48">
        <w:rPr>
          <w:rFonts w:ascii="Book Antiqua" w:eastAsia="Times New Roman" w:hAnsi="Book Antiqua" w:cstheme="minorHAnsi"/>
          <w:sz w:val="24"/>
          <w:szCs w:val="24"/>
          <w:lang w:val="en-US" w:eastAsia="pt-BR"/>
        </w:rPr>
        <w:t>&lt;</w:t>
      </w:r>
      <w:r w:rsidR="00686285" w:rsidRPr="00C10A48">
        <w:rPr>
          <w:rFonts w:ascii="Book Antiqua" w:eastAsia="Times New Roman" w:hAnsi="Book Antiqua" w:cstheme="minorHAnsi"/>
          <w:sz w:val="24"/>
          <w:szCs w:val="24"/>
          <w:lang w:val="en-US" w:eastAsia="pt-BR"/>
        </w:rPr>
        <w:t xml:space="preserve"> </w:t>
      </w:r>
      <w:r w:rsidRPr="00C10A48">
        <w:rPr>
          <w:rFonts w:ascii="Book Antiqua" w:eastAsia="Times New Roman" w:hAnsi="Book Antiqua" w:cstheme="minorHAnsi"/>
          <w:sz w:val="24"/>
          <w:szCs w:val="24"/>
          <w:lang w:val="en-US" w:eastAsia="pt-BR"/>
        </w:rPr>
        <w:t xml:space="preserve">55 </w:t>
      </w:r>
      <w:proofErr w:type="spellStart"/>
      <w:r w:rsidRPr="00C10A48">
        <w:rPr>
          <w:rFonts w:ascii="Book Antiqua" w:eastAsia="Times New Roman" w:hAnsi="Book Antiqua" w:cstheme="minorHAnsi"/>
          <w:sz w:val="24"/>
          <w:szCs w:val="24"/>
          <w:lang w:val="en-US" w:eastAsia="pt-BR"/>
        </w:rPr>
        <w:t>bpm</w:t>
      </w:r>
      <w:proofErr w:type="spellEnd"/>
      <w:r w:rsidRPr="00C10A48">
        <w:rPr>
          <w:rFonts w:ascii="Book Antiqua" w:eastAsia="Times New Roman" w:hAnsi="Book Antiqua" w:cstheme="minorHAnsi"/>
          <w:sz w:val="24"/>
          <w:szCs w:val="24"/>
          <w:lang w:val="en-US" w:eastAsia="pt-BR"/>
        </w:rPr>
        <w:t xml:space="preserve"> by </w:t>
      </w:r>
      <w:proofErr w:type="spellStart"/>
      <w:r w:rsidRPr="00C10A48">
        <w:rPr>
          <w:rFonts w:ascii="Book Antiqua" w:eastAsia="Times New Roman" w:hAnsi="Book Antiqua" w:cstheme="minorHAnsi"/>
          <w:sz w:val="24"/>
          <w:szCs w:val="24"/>
          <w:lang w:val="en-US" w:eastAsia="pt-BR"/>
        </w:rPr>
        <w:t>Correia</w:t>
      </w:r>
      <w:proofErr w:type="spellEnd"/>
      <w:r w:rsidRPr="00C10A48">
        <w:rPr>
          <w:rFonts w:ascii="Book Antiqua" w:eastAsia="Times New Roman" w:hAnsi="Book Antiqua" w:cstheme="minorHAnsi"/>
          <w:sz w:val="24"/>
          <w:szCs w:val="24"/>
          <w:lang w:val="en-US" w:eastAsia="pt-BR"/>
        </w:rPr>
        <w:t xml:space="preserve"> </w:t>
      </w:r>
      <w:r w:rsidR="00686285" w:rsidRPr="00C10A48">
        <w:rPr>
          <w:rFonts w:ascii="Book Antiqua" w:eastAsia="Times New Roman" w:hAnsi="Book Antiqua" w:cstheme="minorHAnsi"/>
          <w:i/>
          <w:sz w:val="24"/>
          <w:szCs w:val="24"/>
          <w:lang w:val="en-US" w:eastAsia="pt-BR"/>
        </w:rPr>
        <w:t>et al</w:t>
      </w:r>
      <w:r w:rsidR="0024084B" w:rsidRPr="00C10A48">
        <w:rPr>
          <w:rFonts w:ascii="Book Antiqua" w:eastAsia="Times New Roman" w:hAnsi="Book Antiqua" w:cstheme="minorHAnsi"/>
          <w:noProof/>
          <w:sz w:val="24"/>
          <w:szCs w:val="24"/>
          <w:vertAlign w:val="superscript"/>
          <w:lang w:val="en-US" w:eastAsia="pt-BR"/>
        </w:rPr>
        <w:t>[21]</w:t>
      </w:r>
      <w:r w:rsidRPr="00C10A48">
        <w:rPr>
          <w:rFonts w:ascii="Book Antiqua" w:eastAsia="Times New Roman" w:hAnsi="Book Antiqua" w:cstheme="minorHAnsi"/>
          <w:sz w:val="24"/>
          <w:szCs w:val="24"/>
          <w:lang w:val="en-US" w:eastAsia="pt-BR"/>
        </w:rPr>
        <w:t xml:space="preserve"> and a 20% decrease in initial HR by </w:t>
      </w:r>
      <w:proofErr w:type="spellStart"/>
      <w:r w:rsidRPr="00C10A48">
        <w:rPr>
          <w:rFonts w:ascii="Book Antiqua" w:eastAsia="Times New Roman" w:hAnsi="Book Antiqua" w:cstheme="minorHAnsi"/>
          <w:sz w:val="24"/>
          <w:szCs w:val="24"/>
          <w:lang w:val="en-US" w:eastAsia="pt-BR"/>
        </w:rPr>
        <w:t>Agrawal</w:t>
      </w:r>
      <w:proofErr w:type="spellEnd"/>
      <w:r w:rsidRPr="00C10A48">
        <w:rPr>
          <w:rFonts w:ascii="Book Antiqua" w:eastAsia="Times New Roman" w:hAnsi="Book Antiqua" w:cstheme="minorHAnsi"/>
          <w:sz w:val="24"/>
          <w:szCs w:val="24"/>
          <w:lang w:val="en-US" w:eastAsia="pt-BR"/>
        </w:rPr>
        <w:t xml:space="preserve"> </w:t>
      </w:r>
      <w:r w:rsidR="00686285" w:rsidRPr="00C10A48">
        <w:rPr>
          <w:rFonts w:ascii="Book Antiqua" w:eastAsia="Times New Roman" w:hAnsi="Book Antiqua" w:cstheme="minorHAnsi"/>
          <w:i/>
          <w:sz w:val="24"/>
          <w:szCs w:val="24"/>
          <w:lang w:val="en-US" w:eastAsia="pt-BR"/>
        </w:rPr>
        <w:t>et al</w:t>
      </w:r>
      <w:r w:rsidR="0024084B" w:rsidRPr="00C10A48">
        <w:rPr>
          <w:rFonts w:ascii="Book Antiqua" w:eastAsia="Times New Roman" w:hAnsi="Book Antiqua" w:cstheme="minorHAnsi"/>
          <w:noProof/>
          <w:sz w:val="24"/>
          <w:szCs w:val="24"/>
          <w:vertAlign w:val="superscript"/>
          <w:lang w:val="en-US" w:eastAsia="pt-BR"/>
        </w:rPr>
        <w:t>[15]</w:t>
      </w:r>
      <w:r w:rsidRPr="00C10A48">
        <w:rPr>
          <w:rFonts w:ascii="Book Antiqua" w:eastAsia="Times New Roman" w:hAnsi="Book Antiqua" w:cstheme="minorHAnsi"/>
          <w:sz w:val="24"/>
          <w:szCs w:val="24"/>
          <w:lang w:val="en-US" w:eastAsia="pt-BR"/>
        </w:rPr>
        <w:t xml:space="preserve"> Patients in only one study (Ahmed </w:t>
      </w:r>
      <w:r w:rsidR="00686285" w:rsidRPr="00C10A48">
        <w:rPr>
          <w:rFonts w:ascii="Book Antiqua" w:eastAsia="Times New Roman" w:hAnsi="Book Antiqua" w:cstheme="minorHAnsi"/>
          <w:i/>
          <w:sz w:val="24"/>
          <w:szCs w:val="24"/>
          <w:lang w:val="en-US" w:eastAsia="pt-BR"/>
        </w:rPr>
        <w:t>et al</w:t>
      </w:r>
      <w:r w:rsidR="0024084B" w:rsidRPr="00C10A48">
        <w:rPr>
          <w:rFonts w:ascii="Book Antiqua" w:eastAsia="Times New Roman" w:hAnsi="Book Antiqua" w:cstheme="minorHAnsi"/>
          <w:noProof/>
          <w:sz w:val="24"/>
          <w:szCs w:val="24"/>
          <w:vertAlign w:val="superscript"/>
          <w:lang w:val="en-US" w:eastAsia="pt-BR"/>
        </w:rPr>
        <w:t>[20]</w:t>
      </w:r>
      <w:r w:rsidRPr="00C10A48">
        <w:rPr>
          <w:rFonts w:ascii="Book Antiqua" w:eastAsia="Times New Roman" w:hAnsi="Book Antiqua" w:cstheme="minorHAnsi"/>
          <w:sz w:val="24"/>
          <w:szCs w:val="24"/>
          <w:lang w:val="en-US" w:eastAsia="pt-BR"/>
        </w:rPr>
        <w:t xml:space="preserve">) were administered atropine 0.3 mg IV to control bradycardia. Hypotension with propofol is well recognized due to a reduction in systemic vascular reduction and depression of myocardial contractility. In our analysis, </w:t>
      </w:r>
      <w:proofErr w:type="spellStart"/>
      <w:r w:rsidRPr="00C10A48">
        <w:rPr>
          <w:rFonts w:ascii="Book Antiqua" w:eastAsia="Times New Roman" w:hAnsi="Book Antiqua" w:cstheme="minorHAnsi"/>
          <w:sz w:val="24"/>
          <w:szCs w:val="24"/>
          <w:lang w:val="en-US" w:eastAsia="pt-BR"/>
        </w:rPr>
        <w:t>Agrawal</w:t>
      </w:r>
      <w:proofErr w:type="spellEnd"/>
      <w:r w:rsidRPr="00C10A48">
        <w:rPr>
          <w:rFonts w:ascii="Book Antiqua" w:eastAsia="Times New Roman" w:hAnsi="Book Antiqua" w:cstheme="minorHAnsi"/>
          <w:sz w:val="24"/>
          <w:szCs w:val="24"/>
          <w:lang w:val="en-US" w:eastAsia="pt-BR"/>
        </w:rPr>
        <w:t xml:space="preserve"> </w:t>
      </w:r>
      <w:r w:rsidR="00686285" w:rsidRPr="00C10A48">
        <w:rPr>
          <w:rFonts w:ascii="Book Antiqua" w:eastAsia="Times New Roman" w:hAnsi="Book Antiqua" w:cstheme="minorHAnsi"/>
          <w:i/>
          <w:sz w:val="24"/>
          <w:szCs w:val="24"/>
          <w:lang w:val="en-US" w:eastAsia="pt-BR"/>
        </w:rPr>
        <w:t xml:space="preserve">et </w:t>
      </w:r>
      <w:proofErr w:type="gramStart"/>
      <w:r w:rsidR="00686285" w:rsidRPr="00C10A48">
        <w:rPr>
          <w:rFonts w:ascii="Book Antiqua" w:eastAsia="Times New Roman" w:hAnsi="Book Antiqua" w:cstheme="minorHAnsi"/>
          <w:i/>
          <w:sz w:val="24"/>
          <w:szCs w:val="24"/>
          <w:lang w:val="en-US" w:eastAsia="pt-BR"/>
        </w:rPr>
        <w:t>al</w:t>
      </w:r>
      <w:r w:rsidR="0024084B" w:rsidRPr="00C10A48">
        <w:rPr>
          <w:rFonts w:ascii="Book Antiqua" w:eastAsia="Times New Roman" w:hAnsi="Book Antiqua" w:cstheme="minorHAnsi"/>
          <w:noProof/>
          <w:sz w:val="24"/>
          <w:szCs w:val="24"/>
          <w:vertAlign w:val="superscript"/>
          <w:lang w:val="en-US" w:eastAsia="pt-BR"/>
        </w:rPr>
        <w:t>[</w:t>
      </w:r>
      <w:proofErr w:type="gramEnd"/>
      <w:r w:rsidR="0024084B" w:rsidRPr="00C10A48">
        <w:rPr>
          <w:rFonts w:ascii="Book Antiqua" w:eastAsia="Times New Roman" w:hAnsi="Book Antiqua" w:cstheme="minorHAnsi"/>
          <w:noProof/>
          <w:sz w:val="24"/>
          <w:szCs w:val="24"/>
          <w:vertAlign w:val="superscript"/>
          <w:lang w:val="en-US" w:eastAsia="pt-BR"/>
        </w:rPr>
        <w:t>15]</w:t>
      </w:r>
      <w:r w:rsidRPr="00C10A48">
        <w:rPr>
          <w:rFonts w:ascii="Book Antiqua" w:eastAsia="Times New Roman" w:hAnsi="Book Antiqua" w:cstheme="minorHAnsi"/>
          <w:sz w:val="24"/>
          <w:szCs w:val="24"/>
          <w:lang w:val="en-US" w:eastAsia="pt-BR"/>
        </w:rPr>
        <w:t xml:space="preserve"> and Weston </w:t>
      </w:r>
      <w:r w:rsidR="00686285" w:rsidRPr="00C10A48">
        <w:rPr>
          <w:rFonts w:ascii="Book Antiqua" w:eastAsia="Times New Roman" w:hAnsi="Book Antiqua" w:cstheme="minorHAnsi"/>
          <w:i/>
          <w:sz w:val="24"/>
          <w:szCs w:val="24"/>
          <w:lang w:val="en-US" w:eastAsia="pt-BR"/>
        </w:rPr>
        <w:t>et al</w:t>
      </w:r>
      <w:r w:rsidR="0024084B" w:rsidRPr="00C10A48">
        <w:rPr>
          <w:rFonts w:ascii="Book Antiqua" w:eastAsia="Times New Roman" w:hAnsi="Book Antiqua" w:cstheme="minorHAnsi"/>
          <w:noProof/>
          <w:sz w:val="24"/>
          <w:szCs w:val="24"/>
          <w:vertAlign w:val="superscript"/>
          <w:lang w:val="en-US" w:eastAsia="pt-BR"/>
        </w:rPr>
        <w:t>[22]</w:t>
      </w:r>
      <w:r w:rsidRPr="00C10A48">
        <w:rPr>
          <w:rFonts w:ascii="Book Antiqua" w:eastAsia="Times New Roman" w:hAnsi="Book Antiqua" w:cstheme="minorHAnsi"/>
          <w:sz w:val="24"/>
          <w:szCs w:val="24"/>
          <w:lang w:val="en-US" w:eastAsia="pt-BR"/>
        </w:rPr>
        <w:t xml:space="preserve"> notably used high doses of propofol, which could potentially result in the development of hypotension.  However, in our analysis, we did not find any difference in the incidence of hypotension between propofol and midazolam. The included studies used various parameters to define hypotension. </w:t>
      </w:r>
      <w:proofErr w:type="spellStart"/>
      <w:r w:rsidRPr="00C10A48">
        <w:rPr>
          <w:rFonts w:ascii="Book Antiqua" w:eastAsia="Times New Roman" w:hAnsi="Book Antiqua" w:cstheme="minorHAnsi"/>
          <w:sz w:val="24"/>
          <w:szCs w:val="24"/>
          <w:lang w:val="en-US" w:eastAsia="pt-BR"/>
        </w:rPr>
        <w:t>Agrawal</w:t>
      </w:r>
      <w:proofErr w:type="spellEnd"/>
      <w:r w:rsidRPr="00C10A48">
        <w:rPr>
          <w:rFonts w:ascii="Book Antiqua" w:eastAsia="Times New Roman" w:hAnsi="Book Antiqua" w:cstheme="minorHAnsi"/>
          <w:sz w:val="24"/>
          <w:szCs w:val="24"/>
          <w:lang w:val="en-US" w:eastAsia="pt-BR"/>
        </w:rPr>
        <w:t xml:space="preserve"> </w:t>
      </w:r>
      <w:r w:rsidR="00686285" w:rsidRPr="00C10A48">
        <w:rPr>
          <w:rFonts w:ascii="Book Antiqua" w:eastAsia="Times New Roman" w:hAnsi="Book Antiqua" w:cstheme="minorHAnsi"/>
          <w:i/>
          <w:sz w:val="24"/>
          <w:szCs w:val="24"/>
          <w:lang w:val="en-US" w:eastAsia="pt-BR"/>
        </w:rPr>
        <w:t>et al</w:t>
      </w:r>
      <w:r w:rsidR="0024084B" w:rsidRPr="00C10A48">
        <w:rPr>
          <w:rFonts w:ascii="Book Antiqua" w:eastAsia="Times New Roman" w:hAnsi="Book Antiqua" w:cstheme="minorHAnsi"/>
          <w:noProof/>
          <w:sz w:val="24"/>
          <w:szCs w:val="24"/>
          <w:vertAlign w:val="superscript"/>
          <w:lang w:val="en-US" w:eastAsia="pt-BR"/>
        </w:rPr>
        <w:t>[15]</w:t>
      </w:r>
      <w:r w:rsidRPr="00C10A48">
        <w:rPr>
          <w:rFonts w:ascii="Book Antiqua" w:eastAsia="Times New Roman" w:hAnsi="Book Antiqua" w:cstheme="minorHAnsi"/>
          <w:sz w:val="24"/>
          <w:szCs w:val="24"/>
          <w:lang w:val="en-US" w:eastAsia="pt-BR"/>
        </w:rPr>
        <w:t xml:space="preserve"> defined a blood pressure &lt;</w:t>
      </w:r>
      <w:r w:rsidR="00686285" w:rsidRPr="00C10A48">
        <w:rPr>
          <w:rFonts w:ascii="Book Antiqua" w:eastAsia="Times New Roman" w:hAnsi="Book Antiqua" w:cstheme="minorHAnsi"/>
          <w:sz w:val="24"/>
          <w:szCs w:val="24"/>
          <w:lang w:val="en-US" w:eastAsia="pt-BR"/>
        </w:rPr>
        <w:t xml:space="preserve"> </w:t>
      </w:r>
      <w:r w:rsidRPr="00C10A48">
        <w:rPr>
          <w:rFonts w:ascii="Book Antiqua" w:eastAsia="Times New Roman" w:hAnsi="Book Antiqua" w:cstheme="minorHAnsi"/>
          <w:sz w:val="24"/>
          <w:szCs w:val="24"/>
          <w:lang w:val="en-US" w:eastAsia="pt-BR"/>
        </w:rPr>
        <w:t>20% of the baseline</w:t>
      </w:r>
      <w:r w:rsidR="00F26942" w:rsidRPr="00C10A48">
        <w:rPr>
          <w:rFonts w:ascii="Book Antiqua" w:eastAsia="Times New Roman" w:hAnsi="Book Antiqua" w:cstheme="minorHAnsi"/>
          <w:sz w:val="24"/>
          <w:szCs w:val="24"/>
          <w:lang w:val="en-US" w:eastAsia="pt-BR"/>
        </w:rPr>
        <w:t>,</w:t>
      </w:r>
      <w:r w:rsidRPr="00C10A48">
        <w:rPr>
          <w:rFonts w:ascii="Book Antiqua" w:eastAsia="Times New Roman" w:hAnsi="Book Antiqua" w:cstheme="minorHAnsi"/>
          <w:sz w:val="24"/>
          <w:szCs w:val="24"/>
          <w:lang w:val="en-US" w:eastAsia="pt-BR"/>
        </w:rPr>
        <w:t xml:space="preserve"> </w:t>
      </w:r>
      <w:r w:rsidRPr="00C10A48">
        <w:rPr>
          <w:rFonts w:ascii="Book Antiqua" w:eastAsia="Times New Roman" w:hAnsi="Book Antiqua" w:cstheme="minorHAnsi"/>
          <w:sz w:val="24"/>
          <w:szCs w:val="24"/>
          <w:lang w:val="en-US" w:eastAsia="pt-BR"/>
        </w:rPr>
        <w:lastRenderedPageBreak/>
        <w:t xml:space="preserve">while </w:t>
      </w:r>
      <w:proofErr w:type="spellStart"/>
      <w:r w:rsidRPr="00C10A48">
        <w:rPr>
          <w:rFonts w:ascii="Book Antiqua" w:eastAsia="Times New Roman" w:hAnsi="Book Antiqua" w:cstheme="minorHAnsi"/>
          <w:sz w:val="24"/>
          <w:szCs w:val="24"/>
          <w:lang w:val="en-US" w:eastAsia="pt-BR"/>
        </w:rPr>
        <w:t>Correia</w:t>
      </w:r>
      <w:proofErr w:type="spellEnd"/>
      <w:r w:rsidRPr="00C10A48">
        <w:rPr>
          <w:rFonts w:ascii="Book Antiqua" w:eastAsia="Times New Roman" w:hAnsi="Book Antiqua" w:cstheme="minorHAnsi"/>
          <w:sz w:val="24"/>
          <w:szCs w:val="24"/>
          <w:lang w:val="en-US" w:eastAsia="pt-BR"/>
        </w:rPr>
        <w:t xml:space="preserve"> </w:t>
      </w:r>
      <w:r w:rsidR="00686285" w:rsidRPr="00C10A48">
        <w:rPr>
          <w:rFonts w:ascii="Book Antiqua" w:eastAsia="Times New Roman" w:hAnsi="Book Antiqua" w:cstheme="minorHAnsi"/>
          <w:i/>
          <w:sz w:val="24"/>
          <w:szCs w:val="24"/>
          <w:lang w:val="en-US" w:eastAsia="pt-BR"/>
        </w:rPr>
        <w:t>et al</w:t>
      </w:r>
      <w:r w:rsidR="0024084B" w:rsidRPr="00C10A48">
        <w:rPr>
          <w:rFonts w:ascii="Book Antiqua" w:eastAsia="Times New Roman" w:hAnsi="Book Antiqua" w:cstheme="minorHAnsi"/>
          <w:noProof/>
          <w:sz w:val="24"/>
          <w:szCs w:val="24"/>
          <w:vertAlign w:val="superscript"/>
          <w:lang w:val="en-US" w:eastAsia="pt-BR"/>
        </w:rPr>
        <w:t>[21]</w:t>
      </w:r>
      <w:r w:rsidR="00775855" w:rsidRPr="00C10A48">
        <w:rPr>
          <w:rFonts w:ascii="Book Antiqua" w:eastAsia="Times New Roman" w:hAnsi="Book Antiqua" w:cstheme="minorHAnsi"/>
          <w:sz w:val="24"/>
          <w:szCs w:val="24"/>
          <w:lang w:val="en-US" w:eastAsia="pt-BR"/>
        </w:rPr>
        <w:t xml:space="preserve"> </w:t>
      </w:r>
      <w:r w:rsidRPr="00C10A48">
        <w:rPr>
          <w:rFonts w:ascii="Book Antiqua" w:eastAsia="Times New Roman" w:hAnsi="Book Antiqua" w:cstheme="minorHAnsi"/>
          <w:sz w:val="24"/>
          <w:szCs w:val="24"/>
          <w:lang w:val="en-US" w:eastAsia="pt-BR"/>
        </w:rPr>
        <w:t>considered a 20% decrease in MAP or a systolic blood pressure &lt;</w:t>
      </w:r>
      <w:r w:rsidR="00686285" w:rsidRPr="00C10A48">
        <w:rPr>
          <w:rFonts w:ascii="Book Antiqua" w:eastAsia="Times New Roman" w:hAnsi="Book Antiqua" w:cstheme="minorHAnsi"/>
          <w:sz w:val="24"/>
          <w:szCs w:val="24"/>
          <w:lang w:val="en-US" w:eastAsia="pt-BR"/>
        </w:rPr>
        <w:t xml:space="preserve"> </w:t>
      </w:r>
      <w:r w:rsidRPr="00C10A48">
        <w:rPr>
          <w:rFonts w:ascii="Book Antiqua" w:eastAsia="Times New Roman" w:hAnsi="Book Antiqua" w:cstheme="minorHAnsi"/>
          <w:sz w:val="24"/>
          <w:szCs w:val="24"/>
          <w:lang w:val="en-US" w:eastAsia="pt-BR"/>
        </w:rPr>
        <w:t>90 mmHg or a diastolic blood pressure &lt;</w:t>
      </w:r>
      <w:r w:rsidR="00686285" w:rsidRPr="00C10A48">
        <w:rPr>
          <w:rFonts w:ascii="Book Antiqua" w:eastAsia="Times New Roman" w:hAnsi="Book Antiqua" w:cstheme="minorHAnsi"/>
          <w:sz w:val="24"/>
          <w:szCs w:val="24"/>
          <w:lang w:val="en-US" w:eastAsia="pt-BR"/>
        </w:rPr>
        <w:t xml:space="preserve"> </w:t>
      </w:r>
      <w:r w:rsidRPr="00C10A48">
        <w:rPr>
          <w:rFonts w:ascii="Book Antiqua" w:eastAsia="Times New Roman" w:hAnsi="Book Antiqua" w:cstheme="minorHAnsi"/>
          <w:sz w:val="24"/>
          <w:szCs w:val="24"/>
          <w:lang w:val="en-US" w:eastAsia="pt-BR"/>
        </w:rPr>
        <w:t xml:space="preserve">50 mmHg as hypotension. </w:t>
      </w:r>
      <w:proofErr w:type="spellStart"/>
      <w:r w:rsidRPr="00C10A48">
        <w:rPr>
          <w:rFonts w:ascii="Book Antiqua" w:eastAsia="Times New Roman" w:hAnsi="Book Antiqua" w:cstheme="minorHAnsi"/>
          <w:sz w:val="24"/>
          <w:szCs w:val="24"/>
          <w:lang w:val="en-US" w:eastAsia="pt-BR"/>
        </w:rPr>
        <w:t>Khamaysi</w:t>
      </w:r>
      <w:proofErr w:type="spellEnd"/>
      <w:r w:rsidRPr="00C10A48">
        <w:rPr>
          <w:rFonts w:ascii="Book Antiqua" w:eastAsia="Times New Roman" w:hAnsi="Book Antiqua" w:cstheme="minorHAnsi"/>
          <w:sz w:val="24"/>
          <w:szCs w:val="24"/>
          <w:lang w:val="en-US" w:eastAsia="pt-BR"/>
        </w:rPr>
        <w:t xml:space="preserve"> </w:t>
      </w:r>
      <w:r w:rsidR="00686285" w:rsidRPr="00C10A48">
        <w:rPr>
          <w:rFonts w:ascii="Book Antiqua" w:eastAsia="Times New Roman" w:hAnsi="Book Antiqua" w:cstheme="minorHAnsi"/>
          <w:i/>
          <w:sz w:val="24"/>
          <w:szCs w:val="24"/>
          <w:lang w:val="en-US" w:eastAsia="pt-BR"/>
        </w:rPr>
        <w:t xml:space="preserve">et </w:t>
      </w:r>
      <w:proofErr w:type="gramStart"/>
      <w:r w:rsidR="00686285" w:rsidRPr="00C10A48">
        <w:rPr>
          <w:rFonts w:ascii="Book Antiqua" w:eastAsia="Times New Roman" w:hAnsi="Book Antiqua" w:cstheme="minorHAnsi"/>
          <w:i/>
          <w:sz w:val="24"/>
          <w:szCs w:val="24"/>
          <w:lang w:val="en-US" w:eastAsia="pt-BR"/>
        </w:rPr>
        <w:t>al</w:t>
      </w:r>
      <w:r w:rsidR="0024084B" w:rsidRPr="00C10A48">
        <w:rPr>
          <w:rFonts w:ascii="Book Antiqua" w:eastAsia="Times New Roman" w:hAnsi="Book Antiqua" w:cstheme="minorHAnsi"/>
          <w:noProof/>
          <w:sz w:val="24"/>
          <w:szCs w:val="24"/>
          <w:vertAlign w:val="superscript"/>
          <w:lang w:val="en-US" w:eastAsia="pt-BR"/>
        </w:rPr>
        <w:t>[</w:t>
      </w:r>
      <w:proofErr w:type="gramEnd"/>
      <w:r w:rsidR="0024084B" w:rsidRPr="00C10A48">
        <w:rPr>
          <w:rFonts w:ascii="Book Antiqua" w:eastAsia="Times New Roman" w:hAnsi="Book Antiqua" w:cstheme="minorHAnsi"/>
          <w:noProof/>
          <w:sz w:val="24"/>
          <w:szCs w:val="24"/>
          <w:vertAlign w:val="superscript"/>
          <w:lang w:val="en-US" w:eastAsia="pt-BR"/>
        </w:rPr>
        <w:t>16]</w:t>
      </w:r>
      <w:r w:rsidRPr="00C10A48">
        <w:rPr>
          <w:rFonts w:ascii="Book Antiqua" w:eastAsia="Times New Roman" w:hAnsi="Book Antiqua" w:cstheme="minorHAnsi"/>
          <w:sz w:val="24"/>
          <w:szCs w:val="24"/>
          <w:lang w:val="en-US" w:eastAsia="pt-BR"/>
        </w:rPr>
        <w:t xml:space="preserve">, </w:t>
      </w:r>
      <w:proofErr w:type="spellStart"/>
      <w:r w:rsidRPr="00C10A48">
        <w:rPr>
          <w:rFonts w:ascii="Book Antiqua" w:eastAsia="Times New Roman" w:hAnsi="Book Antiqua" w:cstheme="minorHAnsi"/>
          <w:sz w:val="24"/>
          <w:szCs w:val="24"/>
          <w:lang w:val="en-US" w:eastAsia="pt-BR"/>
        </w:rPr>
        <w:t>Riphaus</w:t>
      </w:r>
      <w:proofErr w:type="spellEnd"/>
      <w:r w:rsidRPr="00C10A48">
        <w:rPr>
          <w:rFonts w:ascii="Book Antiqua" w:eastAsia="Times New Roman" w:hAnsi="Book Antiqua" w:cstheme="minorHAnsi"/>
          <w:sz w:val="24"/>
          <w:szCs w:val="24"/>
          <w:lang w:val="en-US" w:eastAsia="pt-BR"/>
        </w:rPr>
        <w:t xml:space="preserve"> </w:t>
      </w:r>
      <w:r w:rsidR="00686285" w:rsidRPr="00C10A48">
        <w:rPr>
          <w:rFonts w:ascii="Book Antiqua" w:eastAsia="Times New Roman" w:hAnsi="Book Antiqua" w:cstheme="minorHAnsi"/>
          <w:i/>
          <w:sz w:val="24"/>
          <w:szCs w:val="24"/>
          <w:lang w:val="en-US" w:eastAsia="pt-BR"/>
        </w:rPr>
        <w:t>et al</w:t>
      </w:r>
      <w:r w:rsidR="0024084B" w:rsidRPr="00C10A48">
        <w:rPr>
          <w:rFonts w:ascii="Book Antiqua" w:eastAsia="Times New Roman" w:hAnsi="Book Antiqua" w:cstheme="minorHAnsi"/>
          <w:noProof/>
          <w:sz w:val="24"/>
          <w:szCs w:val="24"/>
          <w:vertAlign w:val="superscript"/>
          <w:lang w:val="en-US" w:eastAsia="pt-BR"/>
        </w:rPr>
        <w:t>[17]</w:t>
      </w:r>
      <w:r w:rsidRPr="00C10A48">
        <w:rPr>
          <w:rFonts w:ascii="Book Antiqua" w:eastAsia="Times New Roman" w:hAnsi="Book Antiqua" w:cstheme="minorHAnsi"/>
          <w:sz w:val="24"/>
          <w:szCs w:val="24"/>
          <w:lang w:val="en-US" w:eastAsia="pt-BR"/>
        </w:rPr>
        <w:t xml:space="preserve">, and Weston </w:t>
      </w:r>
      <w:r w:rsidR="00686285" w:rsidRPr="00C10A48">
        <w:rPr>
          <w:rFonts w:ascii="Book Antiqua" w:eastAsia="Times New Roman" w:hAnsi="Book Antiqua" w:cstheme="minorHAnsi"/>
          <w:i/>
          <w:sz w:val="24"/>
          <w:szCs w:val="24"/>
          <w:lang w:val="en-US" w:eastAsia="pt-BR"/>
        </w:rPr>
        <w:t>et al</w:t>
      </w:r>
      <w:r w:rsidR="0024084B" w:rsidRPr="00C10A48">
        <w:rPr>
          <w:rFonts w:ascii="Book Antiqua" w:eastAsia="Times New Roman" w:hAnsi="Book Antiqua" w:cstheme="minorHAnsi"/>
          <w:noProof/>
          <w:sz w:val="24"/>
          <w:szCs w:val="24"/>
          <w:vertAlign w:val="superscript"/>
          <w:lang w:val="en-US" w:eastAsia="pt-BR"/>
        </w:rPr>
        <w:t>[22]</w:t>
      </w:r>
      <w:r w:rsidRPr="00C10A48">
        <w:rPr>
          <w:rFonts w:ascii="Book Antiqua" w:eastAsia="Times New Roman" w:hAnsi="Book Antiqua" w:cstheme="minorHAnsi"/>
          <w:sz w:val="24"/>
          <w:szCs w:val="24"/>
          <w:lang w:val="en-US" w:eastAsia="pt-BR"/>
        </w:rPr>
        <w:t xml:space="preserve"> considered a systolic blood pressure &lt;</w:t>
      </w:r>
      <w:r w:rsidR="00686285" w:rsidRPr="00C10A48">
        <w:rPr>
          <w:rFonts w:ascii="Book Antiqua" w:eastAsia="Times New Roman" w:hAnsi="Book Antiqua" w:cstheme="minorHAnsi"/>
          <w:sz w:val="24"/>
          <w:szCs w:val="24"/>
          <w:lang w:val="en-US" w:eastAsia="pt-BR"/>
        </w:rPr>
        <w:t xml:space="preserve"> </w:t>
      </w:r>
      <w:r w:rsidRPr="00C10A48">
        <w:rPr>
          <w:rFonts w:ascii="Book Antiqua" w:eastAsia="Times New Roman" w:hAnsi="Book Antiqua" w:cstheme="minorHAnsi"/>
          <w:sz w:val="24"/>
          <w:szCs w:val="24"/>
          <w:lang w:val="en-US" w:eastAsia="pt-BR"/>
        </w:rPr>
        <w:t xml:space="preserve">90 mmHg as hypotension. Ahmed </w:t>
      </w:r>
      <w:r w:rsidR="00B05CFC" w:rsidRPr="00C10A48">
        <w:rPr>
          <w:rFonts w:ascii="Book Antiqua" w:eastAsia="Times New Roman" w:hAnsi="Book Antiqua" w:cstheme="minorHAnsi"/>
          <w:i/>
          <w:sz w:val="24"/>
          <w:szCs w:val="24"/>
          <w:lang w:val="en-US" w:eastAsia="pt-BR"/>
        </w:rPr>
        <w:t xml:space="preserve">et </w:t>
      </w:r>
      <w:proofErr w:type="gramStart"/>
      <w:r w:rsidR="00B05CFC" w:rsidRPr="00C10A48">
        <w:rPr>
          <w:rFonts w:ascii="Book Antiqua" w:eastAsia="Times New Roman" w:hAnsi="Book Antiqua" w:cstheme="minorHAnsi"/>
          <w:i/>
          <w:sz w:val="24"/>
          <w:szCs w:val="24"/>
          <w:lang w:val="en-US" w:eastAsia="pt-BR"/>
        </w:rPr>
        <w:t>al</w:t>
      </w:r>
      <w:r w:rsidR="0024084B" w:rsidRPr="00C10A48">
        <w:rPr>
          <w:rFonts w:ascii="Book Antiqua" w:eastAsia="Times New Roman" w:hAnsi="Book Antiqua" w:cstheme="minorHAnsi"/>
          <w:noProof/>
          <w:sz w:val="24"/>
          <w:szCs w:val="24"/>
          <w:vertAlign w:val="superscript"/>
          <w:lang w:val="en-US" w:eastAsia="pt-BR"/>
        </w:rPr>
        <w:t>[</w:t>
      </w:r>
      <w:proofErr w:type="gramEnd"/>
      <w:r w:rsidR="0024084B" w:rsidRPr="00C10A48">
        <w:rPr>
          <w:rFonts w:ascii="Book Antiqua" w:eastAsia="Times New Roman" w:hAnsi="Book Antiqua" w:cstheme="minorHAnsi"/>
          <w:noProof/>
          <w:sz w:val="24"/>
          <w:szCs w:val="24"/>
          <w:vertAlign w:val="superscript"/>
          <w:lang w:val="en-US" w:eastAsia="pt-BR"/>
        </w:rPr>
        <w:t>20]</w:t>
      </w:r>
      <w:r w:rsidRPr="00C10A48">
        <w:rPr>
          <w:rFonts w:ascii="Book Antiqua" w:eastAsia="Times New Roman" w:hAnsi="Book Antiqua" w:cstheme="minorHAnsi"/>
          <w:sz w:val="24"/>
          <w:szCs w:val="24"/>
          <w:lang w:val="en-US" w:eastAsia="pt-BR"/>
        </w:rPr>
        <w:t xml:space="preserve"> considered a decrease in mean arterial pressure (MAP) of 20 mmHg from baseline as hypotension and administrated ephedrine 10 mg and Ringer's lactate 5 m</w:t>
      </w:r>
      <w:r w:rsidRPr="00C10A48">
        <w:rPr>
          <w:rFonts w:ascii="Book Antiqua" w:eastAsia="Times New Roman" w:hAnsi="Book Antiqua" w:cstheme="minorHAnsi"/>
          <w:caps/>
          <w:sz w:val="24"/>
          <w:szCs w:val="24"/>
          <w:lang w:val="en-US" w:eastAsia="pt-BR"/>
        </w:rPr>
        <w:t>l</w:t>
      </w:r>
      <w:r w:rsidRPr="00C10A48">
        <w:rPr>
          <w:rFonts w:ascii="Book Antiqua" w:eastAsia="Times New Roman" w:hAnsi="Book Antiqua" w:cstheme="minorHAnsi"/>
          <w:sz w:val="24"/>
          <w:szCs w:val="24"/>
          <w:lang w:val="en-US" w:eastAsia="pt-BR"/>
        </w:rPr>
        <w:t>/kg when it occurred. Watanabe</w:t>
      </w:r>
      <w:r w:rsidR="00B05CFC" w:rsidRPr="00C10A48">
        <w:rPr>
          <w:rFonts w:ascii="Book Antiqua" w:eastAsia="Times New Roman" w:hAnsi="Book Antiqua" w:cstheme="minorHAnsi"/>
          <w:i/>
          <w:sz w:val="24"/>
          <w:szCs w:val="24"/>
          <w:lang w:val="en-US" w:eastAsia="pt-BR"/>
        </w:rPr>
        <w:t xml:space="preserve"> et </w:t>
      </w:r>
      <w:proofErr w:type="gramStart"/>
      <w:r w:rsidR="00B05CFC" w:rsidRPr="00C10A48">
        <w:rPr>
          <w:rFonts w:ascii="Book Antiqua" w:eastAsia="Times New Roman" w:hAnsi="Book Antiqua" w:cstheme="minorHAnsi"/>
          <w:i/>
          <w:sz w:val="24"/>
          <w:szCs w:val="24"/>
          <w:lang w:val="en-US" w:eastAsia="pt-BR"/>
        </w:rPr>
        <w:t>al</w:t>
      </w:r>
      <w:r w:rsidR="0024084B" w:rsidRPr="00C10A48">
        <w:rPr>
          <w:rFonts w:ascii="Book Antiqua" w:eastAsia="Times New Roman" w:hAnsi="Book Antiqua" w:cstheme="minorHAnsi"/>
          <w:noProof/>
          <w:sz w:val="24"/>
          <w:szCs w:val="24"/>
          <w:vertAlign w:val="superscript"/>
          <w:lang w:val="en-US" w:eastAsia="pt-BR"/>
        </w:rPr>
        <w:t>[</w:t>
      </w:r>
      <w:proofErr w:type="gramEnd"/>
      <w:r w:rsidR="0024084B" w:rsidRPr="00C10A48">
        <w:rPr>
          <w:rFonts w:ascii="Book Antiqua" w:eastAsia="Times New Roman" w:hAnsi="Book Antiqua" w:cstheme="minorHAnsi"/>
          <w:noProof/>
          <w:sz w:val="24"/>
          <w:szCs w:val="24"/>
          <w:vertAlign w:val="superscript"/>
          <w:lang w:val="en-US" w:eastAsia="pt-BR"/>
        </w:rPr>
        <w:t>19]</w:t>
      </w:r>
      <w:r w:rsidRPr="00C10A48">
        <w:rPr>
          <w:rFonts w:ascii="Book Antiqua" w:eastAsia="Times New Roman" w:hAnsi="Book Antiqua" w:cstheme="minorHAnsi"/>
          <w:sz w:val="24"/>
          <w:szCs w:val="24"/>
          <w:lang w:val="en-US" w:eastAsia="pt-BR"/>
        </w:rPr>
        <w:t xml:space="preserve"> considered a systolic blood pressure &lt;</w:t>
      </w:r>
      <w:r w:rsidR="00B05CFC" w:rsidRPr="00C10A48">
        <w:rPr>
          <w:rFonts w:ascii="Book Antiqua" w:eastAsia="Times New Roman" w:hAnsi="Book Antiqua" w:cstheme="minorHAnsi"/>
          <w:sz w:val="24"/>
          <w:szCs w:val="24"/>
          <w:lang w:val="en-US" w:eastAsia="pt-BR"/>
        </w:rPr>
        <w:t xml:space="preserve"> </w:t>
      </w:r>
      <w:r w:rsidRPr="00C10A48">
        <w:rPr>
          <w:rFonts w:ascii="Book Antiqua" w:eastAsia="Times New Roman" w:hAnsi="Book Antiqua" w:cstheme="minorHAnsi"/>
          <w:sz w:val="24"/>
          <w:szCs w:val="24"/>
          <w:lang w:val="en-US" w:eastAsia="pt-BR"/>
        </w:rPr>
        <w:t xml:space="preserve">80 mmHg as hypotension. Unlike other studies, </w:t>
      </w:r>
      <w:proofErr w:type="spellStart"/>
      <w:r w:rsidRPr="00C10A48">
        <w:rPr>
          <w:rFonts w:ascii="Book Antiqua" w:eastAsia="Times New Roman" w:hAnsi="Book Antiqua" w:cstheme="minorHAnsi"/>
          <w:sz w:val="24"/>
          <w:szCs w:val="24"/>
          <w:lang w:val="en-US" w:eastAsia="pt-BR"/>
        </w:rPr>
        <w:t>Yoo</w:t>
      </w:r>
      <w:proofErr w:type="spellEnd"/>
      <w:r w:rsidRPr="00C10A48">
        <w:rPr>
          <w:rFonts w:ascii="Book Antiqua" w:eastAsia="Times New Roman" w:hAnsi="Book Antiqua" w:cstheme="minorHAnsi"/>
          <w:sz w:val="24"/>
          <w:szCs w:val="24"/>
          <w:lang w:val="en-US" w:eastAsia="pt-BR"/>
        </w:rPr>
        <w:t xml:space="preserve"> </w:t>
      </w:r>
      <w:r w:rsidR="00B05CFC" w:rsidRPr="00C10A48">
        <w:rPr>
          <w:rFonts w:ascii="Book Antiqua" w:eastAsia="Times New Roman" w:hAnsi="Book Antiqua" w:cstheme="minorHAnsi"/>
          <w:i/>
          <w:sz w:val="24"/>
          <w:szCs w:val="24"/>
          <w:lang w:val="en-US" w:eastAsia="pt-BR"/>
        </w:rPr>
        <w:t xml:space="preserve">et </w:t>
      </w:r>
      <w:proofErr w:type="gramStart"/>
      <w:r w:rsidR="00B05CFC" w:rsidRPr="00C10A48">
        <w:rPr>
          <w:rFonts w:ascii="Book Antiqua" w:eastAsia="Times New Roman" w:hAnsi="Book Antiqua" w:cstheme="minorHAnsi"/>
          <w:i/>
          <w:sz w:val="24"/>
          <w:szCs w:val="24"/>
          <w:lang w:val="en-US" w:eastAsia="pt-BR"/>
        </w:rPr>
        <w:t>al</w:t>
      </w:r>
      <w:r w:rsidR="0024084B" w:rsidRPr="00C10A48">
        <w:rPr>
          <w:rFonts w:ascii="Book Antiqua" w:eastAsia="Times New Roman" w:hAnsi="Book Antiqua" w:cstheme="minorHAnsi"/>
          <w:noProof/>
          <w:sz w:val="24"/>
          <w:szCs w:val="24"/>
          <w:vertAlign w:val="superscript"/>
          <w:lang w:val="en-US" w:eastAsia="pt-BR"/>
        </w:rPr>
        <w:t>[</w:t>
      </w:r>
      <w:proofErr w:type="gramEnd"/>
      <w:r w:rsidR="0024084B" w:rsidRPr="00C10A48">
        <w:rPr>
          <w:rFonts w:ascii="Book Antiqua" w:eastAsia="Times New Roman" w:hAnsi="Book Antiqua" w:cstheme="minorHAnsi"/>
          <w:noProof/>
          <w:sz w:val="24"/>
          <w:szCs w:val="24"/>
          <w:vertAlign w:val="superscript"/>
          <w:lang w:val="en-US" w:eastAsia="pt-BR"/>
        </w:rPr>
        <w:t>18]</w:t>
      </w:r>
      <w:r w:rsidRPr="00C10A48">
        <w:rPr>
          <w:rFonts w:ascii="Book Antiqua" w:eastAsia="Times New Roman" w:hAnsi="Book Antiqua" w:cstheme="minorHAnsi"/>
          <w:sz w:val="24"/>
          <w:szCs w:val="24"/>
          <w:lang w:val="en-US" w:eastAsia="pt-BR"/>
        </w:rPr>
        <w:t xml:space="preserve"> did not report any hypotension in both groups. Similarly, there was no difference in the incidence of hypoxemia seen in the propofol and midazolam group, although the definition of hypoxemia varied in studies. In most included </w:t>
      </w:r>
      <w:proofErr w:type="gramStart"/>
      <w:r w:rsidRPr="00C10A48">
        <w:rPr>
          <w:rFonts w:ascii="Book Antiqua" w:eastAsia="Times New Roman" w:hAnsi="Book Antiqua" w:cstheme="minorHAnsi"/>
          <w:sz w:val="24"/>
          <w:szCs w:val="24"/>
          <w:lang w:val="en-US" w:eastAsia="pt-BR"/>
        </w:rPr>
        <w:t>studies</w:t>
      </w:r>
      <w:r w:rsidR="0024084B" w:rsidRPr="00C10A48">
        <w:rPr>
          <w:rFonts w:ascii="Book Antiqua" w:eastAsia="Times New Roman" w:hAnsi="Book Antiqua" w:cstheme="minorHAnsi"/>
          <w:noProof/>
          <w:sz w:val="24"/>
          <w:szCs w:val="24"/>
          <w:vertAlign w:val="superscript"/>
          <w:lang w:val="en-US" w:eastAsia="pt-BR"/>
        </w:rPr>
        <w:t>[</w:t>
      </w:r>
      <w:proofErr w:type="gramEnd"/>
      <w:r w:rsidR="0024084B" w:rsidRPr="00C10A48">
        <w:rPr>
          <w:rFonts w:ascii="Book Antiqua" w:eastAsia="Times New Roman" w:hAnsi="Book Antiqua" w:cstheme="minorHAnsi"/>
          <w:noProof/>
          <w:sz w:val="24"/>
          <w:szCs w:val="24"/>
          <w:vertAlign w:val="superscript"/>
          <w:lang w:val="en-US" w:eastAsia="pt-BR"/>
        </w:rPr>
        <w:t>15–17,19–21]</w:t>
      </w:r>
      <w:r w:rsidRPr="00C10A48">
        <w:rPr>
          <w:rFonts w:ascii="Book Antiqua" w:eastAsia="Times New Roman" w:hAnsi="Book Antiqua" w:cstheme="minorHAnsi"/>
          <w:sz w:val="24"/>
          <w:szCs w:val="24"/>
          <w:lang w:val="en-US" w:eastAsia="pt-BR"/>
        </w:rPr>
        <w:t xml:space="preserve">, hypoxemia was defined as oxygen saturation of less than 90%. Weston </w:t>
      </w:r>
      <w:r w:rsidR="00B05CFC" w:rsidRPr="00C10A48">
        <w:rPr>
          <w:rFonts w:ascii="Book Antiqua" w:eastAsia="Times New Roman" w:hAnsi="Book Antiqua" w:cstheme="minorHAnsi"/>
          <w:i/>
          <w:sz w:val="24"/>
          <w:szCs w:val="24"/>
          <w:lang w:val="en-US" w:eastAsia="pt-BR"/>
        </w:rPr>
        <w:t xml:space="preserve">et </w:t>
      </w:r>
      <w:proofErr w:type="gramStart"/>
      <w:r w:rsidR="00B05CFC" w:rsidRPr="00C10A48">
        <w:rPr>
          <w:rFonts w:ascii="Book Antiqua" w:eastAsia="Times New Roman" w:hAnsi="Book Antiqua" w:cstheme="minorHAnsi"/>
          <w:i/>
          <w:sz w:val="24"/>
          <w:szCs w:val="24"/>
          <w:lang w:val="en-US" w:eastAsia="pt-BR"/>
        </w:rPr>
        <w:t>al</w:t>
      </w:r>
      <w:r w:rsidR="0024084B" w:rsidRPr="00C10A48">
        <w:rPr>
          <w:rFonts w:ascii="Book Antiqua" w:eastAsia="Times New Roman" w:hAnsi="Book Antiqua" w:cstheme="minorHAnsi"/>
          <w:noProof/>
          <w:sz w:val="24"/>
          <w:szCs w:val="24"/>
          <w:vertAlign w:val="superscript"/>
          <w:lang w:val="en-US" w:eastAsia="pt-BR"/>
        </w:rPr>
        <w:t>[</w:t>
      </w:r>
      <w:proofErr w:type="gramEnd"/>
      <w:r w:rsidR="0024084B" w:rsidRPr="00C10A48">
        <w:rPr>
          <w:rFonts w:ascii="Book Antiqua" w:eastAsia="Times New Roman" w:hAnsi="Book Antiqua" w:cstheme="minorHAnsi"/>
          <w:noProof/>
          <w:sz w:val="24"/>
          <w:szCs w:val="24"/>
          <w:vertAlign w:val="superscript"/>
          <w:lang w:val="en-US" w:eastAsia="pt-BR"/>
        </w:rPr>
        <w:t>22]</w:t>
      </w:r>
      <w:r w:rsidRPr="00C10A48">
        <w:rPr>
          <w:rFonts w:ascii="Book Antiqua" w:eastAsia="Times New Roman" w:hAnsi="Book Antiqua" w:cstheme="minorHAnsi"/>
          <w:sz w:val="24"/>
          <w:szCs w:val="24"/>
          <w:lang w:val="en-US" w:eastAsia="pt-BR"/>
        </w:rPr>
        <w:t xml:space="preserve"> considered an oxygen saturation &lt; 85% as hypoxemia and also measured hypoventilation if the respiratory rate was &lt; 8 breaths per minute or by using a capnograph. </w:t>
      </w:r>
      <w:proofErr w:type="spellStart"/>
      <w:r w:rsidRPr="00C10A48">
        <w:rPr>
          <w:rFonts w:ascii="Book Antiqua" w:eastAsia="Times New Roman" w:hAnsi="Book Antiqua" w:cstheme="minorHAnsi"/>
          <w:sz w:val="24"/>
          <w:szCs w:val="24"/>
          <w:lang w:val="en-US" w:eastAsia="pt-BR"/>
        </w:rPr>
        <w:t>Yoo</w:t>
      </w:r>
      <w:proofErr w:type="spellEnd"/>
      <w:r w:rsidRPr="00C10A48">
        <w:rPr>
          <w:rFonts w:ascii="Book Antiqua" w:eastAsia="Times New Roman" w:hAnsi="Book Antiqua" w:cstheme="minorHAnsi"/>
          <w:sz w:val="24"/>
          <w:szCs w:val="24"/>
          <w:lang w:val="en-US" w:eastAsia="pt-BR"/>
        </w:rPr>
        <w:t xml:space="preserve"> </w:t>
      </w:r>
      <w:r w:rsidR="00B05CFC" w:rsidRPr="00C10A48">
        <w:rPr>
          <w:rFonts w:ascii="Book Antiqua" w:eastAsia="Times New Roman" w:hAnsi="Book Antiqua" w:cstheme="minorHAnsi"/>
          <w:i/>
          <w:sz w:val="24"/>
          <w:szCs w:val="24"/>
          <w:lang w:val="en-US" w:eastAsia="pt-BR"/>
        </w:rPr>
        <w:t xml:space="preserve">et </w:t>
      </w:r>
      <w:proofErr w:type="gramStart"/>
      <w:r w:rsidR="00B05CFC" w:rsidRPr="00C10A48">
        <w:rPr>
          <w:rFonts w:ascii="Book Antiqua" w:eastAsia="Times New Roman" w:hAnsi="Book Antiqua" w:cstheme="minorHAnsi"/>
          <w:i/>
          <w:sz w:val="24"/>
          <w:szCs w:val="24"/>
          <w:lang w:val="en-US" w:eastAsia="pt-BR"/>
        </w:rPr>
        <w:t>al</w:t>
      </w:r>
      <w:r w:rsidR="0024084B" w:rsidRPr="00C10A48">
        <w:rPr>
          <w:rFonts w:ascii="Book Antiqua" w:eastAsia="Times New Roman" w:hAnsi="Book Antiqua" w:cstheme="minorHAnsi"/>
          <w:noProof/>
          <w:sz w:val="24"/>
          <w:szCs w:val="24"/>
          <w:vertAlign w:val="superscript"/>
          <w:lang w:val="en-US" w:eastAsia="pt-BR"/>
        </w:rPr>
        <w:t>[</w:t>
      </w:r>
      <w:proofErr w:type="gramEnd"/>
      <w:r w:rsidR="0024084B" w:rsidRPr="00C10A48">
        <w:rPr>
          <w:rFonts w:ascii="Book Antiqua" w:eastAsia="Times New Roman" w:hAnsi="Book Antiqua" w:cstheme="minorHAnsi"/>
          <w:noProof/>
          <w:sz w:val="24"/>
          <w:szCs w:val="24"/>
          <w:vertAlign w:val="superscript"/>
          <w:lang w:val="en-US" w:eastAsia="pt-BR"/>
        </w:rPr>
        <w:t>18]</w:t>
      </w:r>
      <w:r w:rsidRPr="00C10A48">
        <w:rPr>
          <w:rFonts w:ascii="Book Antiqua" w:eastAsia="Times New Roman" w:hAnsi="Book Antiqua" w:cstheme="minorHAnsi"/>
          <w:sz w:val="24"/>
          <w:szCs w:val="24"/>
          <w:lang w:val="en-US" w:eastAsia="pt-BR"/>
        </w:rPr>
        <w:t xml:space="preserve"> did not specify the values for hypoxemia, or if the patients were receiving oxygen. Seven </w:t>
      </w:r>
      <w:proofErr w:type="gramStart"/>
      <w:r w:rsidRPr="00C10A48">
        <w:rPr>
          <w:rFonts w:ascii="Book Antiqua" w:eastAsia="Times New Roman" w:hAnsi="Book Antiqua" w:cstheme="minorHAnsi"/>
          <w:sz w:val="24"/>
          <w:szCs w:val="24"/>
          <w:lang w:val="en-US" w:eastAsia="pt-BR"/>
        </w:rPr>
        <w:t>studies</w:t>
      </w:r>
      <w:r w:rsidR="0024084B" w:rsidRPr="00C10A48">
        <w:rPr>
          <w:rFonts w:ascii="Book Antiqua" w:eastAsia="Times New Roman" w:hAnsi="Book Antiqua" w:cstheme="minorHAnsi"/>
          <w:noProof/>
          <w:sz w:val="24"/>
          <w:szCs w:val="24"/>
          <w:vertAlign w:val="superscript"/>
          <w:lang w:val="en-US" w:eastAsia="pt-BR"/>
        </w:rPr>
        <w:t>[</w:t>
      </w:r>
      <w:proofErr w:type="gramEnd"/>
      <w:r w:rsidR="0024084B" w:rsidRPr="00C10A48">
        <w:rPr>
          <w:rFonts w:ascii="Book Antiqua" w:eastAsia="Times New Roman" w:hAnsi="Book Antiqua" w:cstheme="minorHAnsi"/>
          <w:noProof/>
          <w:sz w:val="24"/>
          <w:szCs w:val="24"/>
          <w:vertAlign w:val="superscript"/>
          <w:lang w:val="en-US" w:eastAsia="pt-BR"/>
        </w:rPr>
        <w:t>15–17,19–22]</w:t>
      </w:r>
      <w:r w:rsidRPr="00C10A48">
        <w:rPr>
          <w:rFonts w:ascii="Book Antiqua" w:eastAsia="Times New Roman" w:hAnsi="Book Antiqua" w:cstheme="minorHAnsi"/>
          <w:sz w:val="24"/>
          <w:szCs w:val="24"/>
          <w:lang w:val="en-US" w:eastAsia="pt-BR"/>
        </w:rPr>
        <w:t xml:space="preserve"> reported the use of oxygen through the nasal cannula at a rate of 2 to 5 </w:t>
      </w:r>
      <w:r w:rsidR="00F86DC3">
        <w:rPr>
          <w:rFonts w:ascii="Book Antiqua" w:eastAsia="DengXian" w:hAnsi="Book Antiqua" w:cstheme="minorHAnsi" w:hint="eastAsia"/>
          <w:sz w:val="24"/>
          <w:szCs w:val="24"/>
          <w:lang w:val="en-US" w:eastAsia="zh-CN"/>
        </w:rPr>
        <w:t>L/</w:t>
      </w:r>
      <w:r w:rsidRPr="00C10A48">
        <w:rPr>
          <w:rFonts w:ascii="Book Antiqua" w:eastAsia="Times New Roman" w:hAnsi="Book Antiqua" w:cstheme="minorHAnsi"/>
          <w:sz w:val="24"/>
          <w:szCs w:val="24"/>
          <w:lang w:val="en-US" w:eastAsia="pt-BR"/>
        </w:rPr>
        <w:t xml:space="preserve">min with an increase if necessary. </w:t>
      </w:r>
    </w:p>
    <w:p w14:paraId="75281120" w14:textId="2DA5C7AC" w:rsidR="002E6770" w:rsidRPr="00C10A48" w:rsidRDefault="002E6770" w:rsidP="00F227A9">
      <w:pPr>
        <w:snapToGrid w:val="0"/>
        <w:spacing w:after="0" w:line="360" w:lineRule="auto"/>
        <w:ind w:firstLineChars="100" w:firstLine="240"/>
        <w:jc w:val="both"/>
        <w:rPr>
          <w:rFonts w:ascii="Book Antiqua" w:eastAsia="Times New Roman" w:hAnsi="Book Antiqua" w:cstheme="minorHAnsi"/>
          <w:sz w:val="24"/>
          <w:szCs w:val="24"/>
          <w:lang w:val="en-US" w:eastAsia="pt-BR"/>
        </w:rPr>
      </w:pPr>
      <w:r w:rsidRPr="00C10A48">
        <w:rPr>
          <w:rFonts w:ascii="Book Antiqua" w:eastAsia="Times New Roman" w:hAnsi="Book Antiqua" w:cstheme="minorHAnsi"/>
          <w:sz w:val="24"/>
          <w:szCs w:val="24"/>
          <w:lang w:val="en-US" w:eastAsia="pt-BR"/>
        </w:rPr>
        <w:t xml:space="preserve">Hepatic encephalopathy is a multifaceted disorder in patients with cirrhosis and more evident in patients with high Child-Turcotte-Pugh and MELD scores. Benzodiazepines can particularly exacerbate hepatic encephalopathy after endoscopy in some </w:t>
      </w:r>
      <w:proofErr w:type="gramStart"/>
      <w:r w:rsidRPr="00C10A48">
        <w:rPr>
          <w:rFonts w:ascii="Book Antiqua" w:eastAsia="Times New Roman" w:hAnsi="Book Antiqua" w:cstheme="minorHAnsi"/>
          <w:sz w:val="24"/>
          <w:szCs w:val="24"/>
          <w:lang w:val="en-US" w:eastAsia="pt-BR"/>
        </w:rPr>
        <w:t>patients</w:t>
      </w:r>
      <w:r w:rsidR="0024084B" w:rsidRPr="00C10A48">
        <w:rPr>
          <w:rFonts w:ascii="Book Antiqua" w:eastAsia="Times New Roman" w:hAnsi="Book Antiqua" w:cstheme="minorHAnsi"/>
          <w:noProof/>
          <w:sz w:val="24"/>
          <w:szCs w:val="24"/>
          <w:vertAlign w:val="superscript"/>
          <w:lang w:val="en-US" w:eastAsia="pt-BR"/>
        </w:rPr>
        <w:t>[</w:t>
      </w:r>
      <w:proofErr w:type="gramEnd"/>
      <w:r w:rsidR="0024084B" w:rsidRPr="00C10A48">
        <w:rPr>
          <w:rFonts w:ascii="Book Antiqua" w:eastAsia="Times New Roman" w:hAnsi="Book Antiqua" w:cstheme="minorHAnsi"/>
          <w:noProof/>
          <w:sz w:val="24"/>
          <w:szCs w:val="24"/>
          <w:vertAlign w:val="superscript"/>
          <w:lang w:val="en-US" w:eastAsia="pt-BR"/>
        </w:rPr>
        <w:t>49,50]</w:t>
      </w:r>
      <w:r w:rsidRPr="00C10A48">
        <w:rPr>
          <w:rFonts w:ascii="Book Antiqua" w:eastAsia="Times New Roman" w:hAnsi="Book Antiqua" w:cstheme="minorHAnsi"/>
          <w:sz w:val="24"/>
          <w:szCs w:val="24"/>
          <w:lang w:val="en-US" w:eastAsia="pt-BR"/>
        </w:rPr>
        <w:t xml:space="preserve">, while the risk of encephalopathy reported with propofol is relatively low. Studies by </w:t>
      </w:r>
      <w:proofErr w:type="spellStart"/>
      <w:r w:rsidRPr="00C10A48">
        <w:rPr>
          <w:rFonts w:ascii="Book Antiqua" w:eastAsia="Times New Roman" w:hAnsi="Book Antiqua" w:cstheme="minorHAnsi"/>
          <w:sz w:val="24"/>
          <w:szCs w:val="24"/>
          <w:lang w:val="en-US" w:eastAsia="pt-BR"/>
        </w:rPr>
        <w:t>Khamaysi</w:t>
      </w:r>
      <w:proofErr w:type="spellEnd"/>
      <w:r w:rsidRPr="00C10A48">
        <w:rPr>
          <w:rFonts w:ascii="Book Antiqua" w:eastAsia="Times New Roman" w:hAnsi="Book Antiqua" w:cstheme="minorHAnsi"/>
          <w:sz w:val="24"/>
          <w:szCs w:val="24"/>
          <w:lang w:val="en-US" w:eastAsia="pt-BR"/>
        </w:rPr>
        <w:t xml:space="preserve"> </w:t>
      </w:r>
      <w:r w:rsidR="00B05CFC" w:rsidRPr="00C10A48">
        <w:rPr>
          <w:rFonts w:ascii="Book Antiqua" w:eastAsia="Times New Roman" w:hAnsi="Book Antiqua" w:cstheme="minorHAnsi"/>
          <w:i/>
          <w:sz w:val="24"/>
          <w:szCs w:val="24"/>
          <w:lang w:val="en-US" w:eastAsia="pt-BR"/>
        </w:rPr>
        <w:t xml:space="preserve">et </w:t>
      </w:r>
      <w:proofErr w:type="gramStart"/>
      <w:r w:rsidR="00B05CFC" w:rsidRPr="00C10A48">
        <w:rPr>
          <w:rFonts w:ascii="Book Antiqua" w:eastAsia="Times New Roman" w:hAnsi="Book Antiqua" w:cstheme="minorHAnsi"/>
          <w:i/>
          <w:sz w:val="24"/>
          <w:szCs w:val="24"/>
          <w:lang w:val="en-US" w:eastAsia="pt-BR"/>
        </w:rPr>
        <w:t>al</w:t>
      </w:r>
      <w:r w:rsidR="0024084B" w:rsidRPr="00C10A48">
        <w:rPr>
          <w:rFonts w:ascii="Book Antiqua" w:eastAsia="Times New Roman" w:hAnsi="Book Antiqua" w:cstheme="minorHAnsi"/>
          <w:noProof/>
          <w:sz w:val="24"/>
          <w:szCs w:val="24"/>
          <w:vertAlign w:val="superscript"/>
          <w:lang w:val="en-US" w:eastAsia="pt-BR"/>
        </w:rPr>
        <w:t>[</w:t>
      </w:r>
      <w:proofErr w:type="gramEnd"/>
      <w:r w:rsidR="0024084B" w:rsidRPr="00C10A48">
        <w:rPr>
          <w:rFonts w:ascii="Book Antiqua" w:eastAsia="Times New Roman" w:hAnsi="Book Antiqua" w:cstheme="minorHAnsi"/>
          <w:noProof/>
          <w:sz w:val="24"/>
          <w:szCs w:val="24"/>
          <w:vertAlign w:val="superscript"/>
          <w:lang w:val="en-US" w:eastAsia="pt-BR"/>
        </w:rPr>
        <w:t>16]</w:t>
      </w:r>
      <w:r w:rsidRPr="00C10A48">
        <w:rPr>
          <w:rFonts w:ascii="Book Antiqua" w:eastAsia="Times New Roman" w:hAnsi="Book Antiqua" w:cstheme="minorHAnsi"/>
          <w:sz w:val="24"/>
          <w:szCs w:val="24"/>
          <w:lang w:val="en-US" w:eastAsia="pt-BR"/>
        </w:rPr>
        <w:t xml:space="preserve">, </w:t>
      </w:r>
      <w:proofErr w:type="spellStart"/>
      <w:r w:rsidRPr="00C10A48">
        <w:rPr>
          <w:rFonts w:ascii="Book Antiqua" w:eastAsia="Times New Roman" w:hAnsi="Book Antiqua" w:cstheme="minorHAnsi"/>
          <w:sz w:val="24"/>
          <w:szCs w:val="24"/>
          <w:lang w:val="en-US" w:eastAsia="pt-BR"/>
        </w:rPr>
        <w:t>Riphaus</w:t>
      </w:r>
      <w:proofErr w:type="spellEnd"/>
      <w:r w:rsidRPr="00C10A48">
        <w:rPr>
          <w:rFonts w:ascii="Book Antiqua" w:eastAsia="Times New Roman" w:hAnsi="Book Antiqua" w:cstheme="minorHAnsi"/>
          <w:sz w:val="24"/>
          <w:szCs w:val="24"/>
          <w:lang w:val="en-US" w:eastAsia="pt-BR"/>
        </w:rPr>
        <w:t xml:space="preserve"> </w:t>
      </w:r>
      <w:r w:rsidR="00B05CFC" w:rsidRPr="00C10A48">
        <w:rPr>
          <w:rFonts w:ascii="Book Antiqua" w:eastAsia="Times New Roman" w:hAnsi="Book Antiqua" w:cstheme="minorHAnsi"/>
          <w:i/>
          <w:sz w:val="24"/>
          <w:szCs w:val="24"/>
          <w:lang w:val="en-US" w:eastAsia="pt-BR"/>
        </w:rPr>
        <w:t>et al</w:t>
      </w:r>
      <w:r w:rsidR="0024084B" w:rsidRPr="00C10A48">
        <w:rPr>
          <w:rFonts w:ascii="Book Antiqua" w:eastAsia="Times New Roman" w:hAnsi="Book Antiqua" w:cstheme="minorHAnsi"/>
          <w:noProof/>
          <w:sz w:val="24"/>
          <w:szCs w:val="24"/>
          <w:vertAlign w:val="superscript"/>
          <w:lang w:val="en-US" w:eastAsia="pt-BR"/>
        </w:rPr>
        <w:t>[17]</w:t>
      </w:r>
      <w:r w:rsidRPr="00C10A48">
        <w:rPr>
          <w:rFonts w:ascii="Book Antiqua" w:eastAsia="Times New Roman" w:hAnsi="Book Antiqua" w:cstheme="minorHAnsi"/>
          <w:sz w:val="24"/>
          <w:szCs w:val="24"/>
          <w:lang w:val="en-US" w:eastAsia="pt-BR"/>
        </w:rPr>
        <w:t xml:space="preserve"> and </w:t>
      </w:r>
      <w:proofErr w:type="spellStart"/>
      <w:r w:rsidRPr="00C10A48">
        <w:rPr>
          <w:rFonts w:ascii="Book Antiqua" w:eastAsia="Times New Roman" w:hAnsi="Book Antiqua" w:cstheme="minorHAnsi"/>
          <w:sz w:val="24"/>
          <w:szCs w:val="24"/>
          <w:lang w:val="en-US" w:eastAsia="pt-BR"/>
        </w:rPr>
        <w:t>Agrawal</w:t>
      </w:r>
      <w:proofErr w:type="spellEnd"/>
      <w:r w:rsidRPr="00C10A48">
        <w:rPr>
          <w:rFonts w:ascii="Book Antiqua" w:eastAsia="Times New Roman" w:hAnsi="Book Antiqua" w:cstheme="minorHAnsi"/>
          <w:sz w:val="24"/>
          <w:szCs w:val="24"/>
          <w:lang w:val="en-US" w:eastAsia="pt-BR"/>
        </w:rPr>
        <w:t xml:space="preserve"> </w:t>
      </w:r>
      <w:r w:rsidR="0023182C" w:rsidRPr="00C10A48">
        <w:rPr>
          <w:rFonts w:ascii="Book Antiqua" w:eastAsia="Times New Roman" w:hAnsi="Book Antiqua" w:cstheme="minorHAnsi"/>
          <w:i/>
          <w:sz w:val="24"/>
          <w:szCs w:val="24"/>
          <w:lang w:val="en-US" w:eastAsia="pt-BR"/>
        </w:rPr>
        <w:t>et al</w:t>
      </w:r>
      <w:r w:rsidR="0024084B" w:rsidRPr="00C10A48">
        <w:rPr>
          <w:rFonts w:ascii="Book Antiqua" w:eastAsia="Times New Roman" w:hAnsi="Book Antiqua" w:cstheme="minorHAnsi"/>
          <w:noProof/>
          <w:sz w:val="24"/>
          <w:szCs w:val="24"/>
          <w:vertAlign w:val="superscript"/>
          <w:lang w:val="en-US" w:eastAsia="pt-BR"/>
        </w:rPr>
        <w:t>[15]</w:t>
      </w:r>
      <w:r w:rsidRPr="00C10A48">
        <w:rPr>
          <w:rFonts w:ascii="Book Antiqua" w:eastAsia="Times New Roman" w:hAnsi="Book Antiqua" w:cstheme="minorHAnsi"/>
          <w:sz w:val="24"/>
          <w:szCs w:val="24"/>
          <w:lang w:val="en-US" w:eastAsia="pt-BR"/>
        </w:rPr>
        <w:t xml:space="preserve"> included in our analysis reported that the risk of exacerbating minimal hepatic encephalopathy was less in the propofol group compared to midazolam. However, studies by Watanabe </w:t>
      </w:r>
      <w:r w:rsidR="00B05CFC" w:rsidRPr="00C10A48">
        <w:rPr>
          <w:rFonts w:ascii="Book Antiqua" w:eastAsia="Times New Roman" w:hAnsi="Book Antiqua" w:cstheme="minorHAnsi"/>
          <w:i/>
          <w:sz w:val="24"/>
          <w:szCs w:val="24"/>
          <w:lang w:val="en-US" w:eastAsia="pt-BR"/>
        </w:rPr>
        <w:t>et al</w:t>
      </w:r>
      <w:r w:rsidR="0024084B" w:rsidRPr="00C10A48">
        <w:rPr>
          <w:rFonts w:ascii="Book Antiqua" w:eastAsia="Times New Roman" w:hAnsi="Book Antiqua" w:cstheme="minorHAnsi"/>
          <w:noProof/>
          <w:sz w:val="24"/>
          <w:szCs w:val="24"/>
          <w:vertAlign w:val="superscript"/>
          <w:lang w:val="en-US" w:eastAsia="pt-BR"/>
        </w:rPr>
        <w:t>[19]</w:t>
      </w:r>
      <w:r w:rsidRPr="00C10A48">
        <w:rPr>
          <w:rFonts w:ascii="Book Antiqua" w:eastAsia="Times New Roman" w:hAnsi="Book Antiqua" w:cstheme="minorHAnsi"/>
          <w:sz w:val="24"/>
          <w:szCs w:val="24"/>
          <w:lang w:val="en-US" w:eastAsia="pt-BR"/>
        </w:rPr>
        <w:t xml:space="preserve"> and </w:t>
      </w:r>
      <w:proofErr w:type="spellStart"/>
      <w:r w:rsidRPr="00C10A48">
        <w:rPr>
          <w:rFonts w:ascii="Book Antiqua" w:eastAsia="Times New Roman" w:hAnsi="Book Antiqua" w:cstheme="minorHAnsi"/>
          <w:sz w:val="24"/>
          <w:szCs w:val="24"/>
          <w:lang w:val="en-US" w:eastAsia="pt-BR"/>
        </w:rPr>
        <w:t>Yoo</w:t>
      </w:r>
      <w:proofErr w:type="spellEnd"/>
      <w:r w:rsidRPr="00C10A48">
        <w:rPr>
          <w:rFonts w:ascii="Book Antiqua" w:eastAsia="Times New Roman" w:hAnsi="Book Antiqua" w:cstheme="minorHAnsi"/>
          <w:sz w:val="24"/>
          <w:szCs w:val="24"/>
          <w:lang w:val="en-US" w:eastAsia="pt-BR"/>
        </w:rPr>
        <w:t xml:space="preserve"> </w:t>
      </w:r>
      <w:r w:rsidR="00B05CFC" w:rsidRPr="00C10A48">
        <w:rPr>
          <w:rFonts w:ascii="Book Antiqua" w:eastAsia="Times New Roman" w:hAnsi="Book Antiqua" w:cstheme="minorHAnsi"/>
          <w:i/>
          <w:sz w:val="24"/>
          <w:szCs w:val="24"/>
          <w:lang w:val="en-US" w:eastAsia="pt-BR"/>
        </w:rPr>
        <w:t>et al</w:t>
      </w:r>
      <w:r w:rsidR="0024084B" w:rsidRPr="00C10A48">
        <w:rPr>
          <w:rFonts w:ascii="Book Antiqua" w:eastAsia="Times New Roman" w:hAnsi="Book Antiqua" w:cstheme="minorHAnsi"/>
          <w:noProof/>
          <w:sz w:val="24"/>
          <w:szCs w:val="24"/>
          <w:vertAlign w:val="superscript"/>
          <w:lang w:val="en-US" w:eastAsia="pt-BR"/>
        </w:rPr>
        <w:t>[18]</w:t>
      </w:r>
      <w:r w:rsidRPr="00C10A48">
        <w:rPr>
          <w:rFonts w:ascii="Book Antiqua" w:eastAsia="Times New Roman" w:hAnsi="Book Antiqua" w:cstheme="minorHAnsi"/>
          <w:sz w:val="24"/>
          <w:szCs w:val="24"/>
          <w:lang w:val="en-US" w:eastAsia="pt-BR"/>
        </w:rPr>
        <w:t xml:space="preserve"> did not present a statistically significant difference in minimal hepatic encephalopathy, with the latter using a software (</w:t>
      </w:r>
      <w:r w:rsidR="00F26942" w:rsidRPr="00C10A48">
        <w:rPr>
          <w:rFonts w:ascii="Book Antiqua" w:eastAsia="Times New Roman" w:hAnsi="Book Antiqua" w:cstheme="minorHAnsi"/>
          <w:sz w:val="24"/>
          <w:szCs w:val="24"/>
          <w:lang w:val="en-US" w:eastAsia="pt-BR"/>
        </w:rPr>
        <w:t>"</w:t>
      </w:r>
      <w:r w:rsidRPr="00C10A48">
        <w:rPr>
          <w:rFonts w:ascii="Book Antiqua" w:eastAsia="Times New Roman" w:hAnsi="Book Antiqua" w:cstheme="minorHAnsi"/>
          <w:sz w:val="24"/>
          <w:szCs w:val="24"/>
          <w:lang w:val="en-US" w:eastAsia="pt-BR"/>
        </w:rPr>
        <w:t>Stroop</w:t>
      </w:r>
      <w:r w:rsidR="00F26942" w:rsidRPr="00C10A48">
        <w:rPr>
          <w:rFonts w:ascii="Book Antiqua" w:eastAsia="Times New Roman" w:hAnsi="Book Antiqua" w:cstheme="minorHAnsi"/>
          <w:sz w:val="24"/>
          <w:szCs w:val="24"/>
          <w:lang w:val="en-US" w:eastAsia="pt-BR"/>
        </w:rPr>
        <w:t>"</w:t>
      </w:r>
      <w:r w:rsidRPr="00C10A48">
        <w:rPr>
          <w:rFonts w:ascii="Book Antiqua" w:eastAsia="Times New Roman" w:hAnsi="Book Antiqua" w:cstheme="minorHAnsi"/>
          <w:sz w:val="24"/>
          <w:szCs w:val="24"/>
          <w:lang w:val="en-US" w:eastAsia="pt-BR"/>
        </w:rPr>
        <w:t xml:space="preserve">) for testing. In our meta-analysis, we could not quantitatively estimate the incidence of hepatic encephalopathy after sedation with propofol or midazolam since it was not uniformly reported. Five </w:t>
      </w:r>
      <w:proofErr w:type="gramStart"/>
      <w:r w:rsidRPr="00C10A48">
        <w:rPr>
          <w:rFonts w:ascii="Book Antiqua" w:eastAsia="Times New Roman" w:hAnsi="Book Antiqua" w:cstheme="minorHAnsi"/>
          <w:sz w:val="24"/>
          <w:szCs w:val="24"/>
          <w:lang w:val="en-US" w:eastAsia="pt-BR"/>
        </w:rPr>
        <w:t>RCTs</w:t>
      </w:r>
      <w:r w:rsidR="0024084B" w:rsidRPr="00C10A48">
        <w:rPr>
          <w:rFonts w:ascii="Book Antiqua" w:eastAsia="Times New Roman" w:hAnsi="Book Antiqua" w:cstheme="minorHAnsi"/>
          <w:noProof/>
          <w:sz w:val="24"/>
          <w:szCs w:val="24"/>
          <w:vertAlign w:val="superscript"/>
          <w:lang w:val="en-US" w:eastAsia="pt-BR"/>
        </w:rPr>
        <w:t>[</w:t>
      </w:r>
      <w:proofErr w:type="gramEnd"/>
      <w:r w:rsidR="0024084B" w:rsidRPr="00C10A48">
        <w:rPr>
          <w:rFonts w:ascii="Book Antiqua" w:eastAsia="Times New Roman" w:hAnsi="Book Antiqua" w:cstheme="minorHAnsi"/>
          <w:noProof/>
          <w:sz w:val="24"/>
          <w:szCs w:val="24"/>
          <w:vertAlign w:val="superscript"/>
          <w:lang w:val="en-US" w:eastAsia="pt-BR"/>
        </w:rPr>
        <w:t>15–19]</w:t>
      </w:r>
      <w:r w:rsidRPr="00C10A48">
        <w:rPr>
          <w:rFonts w:ascii="Book Antiqua" w:eastAsia="Times New Roman" w:hAnsi="Book Antiqua" w:cstheme="minorHAnsi"/>
          <w:sz w:val="24"/>
          <w:szCs w:val="24"/>
          <w:lang w:val="en-US" w:eastAsia="pt-BR"/>
        </w:rPr>
        <w:t xml:space="preserve"> that evaluated change in cognition used </w:t>
      </w:r>
      <w:r w:rsidRPr="00C10A48">
        <w:rPr>
          <w:rFonts w:ascii="Book Antiqua" w:eastAsia="Times New Roman" w:hAnsi="Book Antiqua" w:cstheme="minorHAnsi"/>
          <w:sz w:val="24"/>
          <w:szCs w:val="24"/>
          <w:lang w:val="en-US" w:eastAsia="pt-BR"/>
        </w:rPr>
        <w:lastRenderedPageBreak/>
        <w:t>different tests to assess minimal hepatic encephalopathy prior to and after endoscopy without time standardization.  Some of the tests described in the literature</w:t>
      </w:r>
      <w:r w:rsidR="0024084B" w:rsidRPr="00C10A48">
        <w:rPr>
          <w:rFonts w:ascii="Book Antiqua" w:eastAsia="Times New Roman" w:hAnsi="Book Antiqua" w:cstheme="minorHAnsi"/>
          <w:noProof/>
          <w:sz w:val="24"/>
          <w:szCs w:val="24"/>
          <w:vertAlign w:val="superscript"/>
          <w:lang w:val="en-US" w:eastAsia="pt-BR"/>
        </w:rPr>
        <w:t>[16,17,19]</w:t>
      </w:r>
      <w:r w:rsidRPr="00C10A48">
        <w:rPr>
          <w:rFonts w:ascii="Book Antiqua" w:eastAsia="Times New Roman" w:hAnsi="Book Antiqua" w:cstheme="minorHAnsi"/>
          <w:sz w:val="24"/>
          <w:szCs w:val="24"/>
          <w:lang w:val="en-US" w:eastAsia="pt-BR"/>
        </w:rPr>
        <w:t xml:space="preserve"> to assess hepatic encephalopathy are Number Connection Tests (NCT), test and combination of psychometric</w:t>
      </w:r>
      <w:r w:rsidR="0024084B" w:rsidRPr="00C10A48">
        <w:rPr>
          <w:rFonts w:ascii="Book Antiqua" w:eastAsia="Times New Roman" w:hAnsi="Book Antiqua" w:cstheme="minorHAnsi"/>
          <w:noProof/>
          <w:sz w:val="24"/>
          <w:szCs w:val="24"/>
          <w:vertAlign w:val="superscript"/>
          <w:lang w:val="en-US" w:eastAsia="pt-BR"/>
        </w:rPr>
        <w:t>[15]</w:t>
      </w:r>
      <w:r w:rsidRPr="00C10A48">
        <w:rPr>
          <w:rFonts w:ascii="Book Antiqua" w:eastAsia="Times New Roman" w:hAnsi="Book Antiqua" w:cstheme="minorHAnsi"/>
          <w:sz w:val="24"/>
          <w:szCs w:val="24"/>
          <w:lang w:val="en-US" w:eastAsia="pt-BR"/>
        </w:rPr>
        <w:t xml:space="preserve">, </w:t>
      </w:r>
      <w:proofErr w:type="spellStart"/>
      <w:r w:rsidRPr="00C10A48">
        <w:rPr>
          <w:rFonts w:ascii="Book Antiqua" w:eastAsia="Times New Roman" w:hAnsi="Book Antiqua" w:cstheme="minorHAnsi"/>
          <w:sz w:val="24"/>
          <w:szCs w:val="24"/>
          <w:lang w:val="en-US" w:eastAsia="pt-BR"/>
        </w:rPr>
        <w:t>Portosystemic</w:t>
      </w:r>
      <w:proofErr w:type="spellEnd"/>
      <w:r w:rsidRPr="00C10A48">
        <w:rPr>
          <w:rFonts w:ascii="Book Antiqua" w:eastAsia="Times New Roman" w:hAnsi="Book Antiqua" w:cstheme="minorHAnsi"/>
          <w:sz w:val="24"/>
          <w:szCs w:val="24"/>
          <w:lang w:val="en-US" w:eastAsia="pt-BR"/>
        </w:rPr>
        <w:t xml:space="preserve"> Encephalopathy (PSE)</w:t>
      </w:r>
      <w:r w:rsidR="0024084B" w:rsidRPr="00C10A48">
        <w:rPr>
          <w:rFonts w:ascii="Book Antiqua" w:eastAsia="Times New Roman" w:hAnsi="Book Antiqua" w:cstheme="minorHAnsi"/>
          <w:noProof/>
          <w:sz w:val="24"/>
          <w:szCs w:val="24"/>
          <w:vertAlign w:val="superscript"/>
          <w:lang w:val="en-US" w:eastAsia="pt-BR"/>
        </w:rPr>
        <w:t>[17]</w:t>
      </w:r>
      <w:r w:rsidRPr="00C10A48">
        <w:rPr>
          <w:rFonts w:ascii="Book Antiqua" w:eastAsia="Times New Roman" w:hAnsi="Book Antiqua" w:cstheme="minorHAnsi"/>
          <w:sz w:val="24"/>
          <w:szCs w:val="24"/>
          <w:lang w:val="en-US" w:eastAsia="pt-BR"/>
        </w:rPr>
        <w:t xml:space="preserve"> Psychometric tests and Critical Flicker Frequency (CFF)</w:t>
      </w:r>
      <w:r w:rsidR="0024084B" w:rsidRPr="00C10A48">
        <w:rPr>
          <w:rFonts w:ascii="Book Antiqua" w:eastAsia="Times New Roman" w:hAnsi="Book Antiqua" w:cstheme="minorHAnsi"/>
          <w:noProof/>
          <w:sz w:val="24"/>
          <w:szCs w:val="24"/>
          <w:vertAlign w:val="superscript"/>
          <w:lang w:val="en-US" w:eastAsia="pt-BR"/>
        </w:rPr>
        <w:t>[15]</w:t>
      </w:r>
      <w:r w:rsidRPr="00C10A48">
        <w:rPr>
          <w:rFonts w:ascii="Book Antiqua" w:eastAsia="Times New Roman" w:hAnsi="Book Antiqua" w:cstheme="minorHAnsi"/>
          <w:sz w:val="24"/>
          <w:szCs w:val="24"/>
          <w:lang w:val="en-US" w:eastAsia="pt-BR"/>
        </w:rPr>
        <w:t>, Cognitive Function Score (CFS)</w:t>
      </w:r>
      <w:r w:rsidR="0024084B" w:rsidRPr="00C10A48">
        <w:rPr>
          <w:rFonts w:ascii="Book Antiqua" w:eastAsia="Times New Roman" w:hAnsi="Book Antiqua" w:cstheme="minorHAnsi"/>
          <w:noProof/>
          <w:sz w:val="24"/>
          <w:szCs w:val="24"/>
          <w:vertAlign w:val="superscript"/>
          <w:lang w:val="en-US" w:eastAsia="pt-BR"/>
        </w:rPr>
        <w:t>[16]</w:t>
      </w:r>
      <w:r w:rsidRPr="00C10A48">
        <w:rPr>
          <w:rFonts w:ascii="Book Antiqua" w:eastAsia="Times New Roman" w:hAnsi="Book Antiqua" w:cstheme="minorHAnsi"/>
          <w:sz w:val="24"/>
          <w:szCs w:val="24"/>
          <w:lang w:val="en-US" w:eastAsia="pt-BR"/>
        </w:rPr>
        <w:t>, Digital Symbol Tests (DST)</w:t>
      </w:r>
      <w:r w:rsidR="0024084B" w:rsidRPr="00C10A48">
        <w:rPr>
          <w:rFonts w:ascii="Book Antiqua" w:eastAsia="Times New Roman" w:hAnsi="Book Antiqua" w:cstheme="minorHAnsi"/>
          <w:noProof/>
          <w:sz w:val="24"/>
          <w:szCs w:val="24"/>
          <w:vertAlign w:val="superscript"/>
          <w:lang w:val="en-US" w:eastAsia="pt-BR"/>
        </w:rPr>
        <w:t>[15]</w:t>
      </w:r>
      <w:r w:rsidRPr="00C10A48">
        <w:rPr>
          <w:rFonts w:ascii="Book Antiqua" w:eastAsia="Times New Roman" w:hAnsi="Book Antiqua" w:cstheme="minorHAnsi"/>
          <w:sz w:val="24"/>
          <w:szCs w:val="24"/>
          <w:lang w:val="en-US" w:eastAsia="pt-BR"/>
        </w:rPr>
        <w:t>, Line Tracing Tests (LTT)</w:t>
      </w:r>
      <w:r w:rsidR="0024084B" w:rsidRPr="00C10A48">
        <w:rPr>
          <w:rFonts w:ascii="Book Antiqua" w:eastAsia="Times New Roman" w:hAnsi="Book Antiqua" w:cstheme="minorHAnsi"/>
          <w:noProof/>
          <w:sz w:val="24"/>
          <w:szCs w:val="24"/>
          <w:vertAlign w:val="superscript"/>
          <w:lang w:val="en-US" w:eastAsia="pt-BR"/>
        </w:rPr>
        <w:t>[15]</w:t>
      </w:r>
      <w:r w:rsidRPr="00C10A48">
        <w:rPr>
          <w:rFonts w:ascii="Book Antiqua" w:eastAsia="Times New Roman" w:hAnsi="Book Antiqua" w:cstheme="minorHAnsi"/>
          <w:sz w:val="24"/>
          <w:szCs w:val="24"/>
          <w:lang w:val="en-US" w:eastAsia="pt-BR"/>
        </w:rPr>
        <w:t>, Serial Dotting Tests (SDT)</w:t>
      </w:r>
      <w:r w:rsidR="0024084B" w:rsidRPr="00C10A48">
        <w:rPr>
          <w:rFonts w:ascii="Book Antiqua" w:eastAsia="Times New Roman" w:hAnsi="Book Antiqua" w:cstheme="minorHAnsi"/>
          <w:noProof/>
          <w:sz w:val="24"/>
          <w:szCs w:val="24"/>
          <w:vertAlign w:val="superscript"/>
          <w:lang w:val="en-US" w:eastAsia="pt-BR"/>
        </w:rPr>
        <w:t>[15]</w:t>
      </w:r>
      <w:r w:rsidRPr="00C10A48">
        <w:rPr>
          <w:rFonts w:ascii="Book Antiqua" w:eastAsia="Times New Roman" w:hAnsi="Book Antiqua" w:cstheme="minorHAnsi"/>
          <w:sz w:val="24"/>
          <w:szCs w:val="24"/>
          <w:lang w:val="en-US" w:eastAsia="pt-BR"/>
        </w:rPr>
        <w:t xml:space="preserve">, and a test using the app </w:t>
      </w:r>
      <w:r w:rsidR="00F26942" w:rsidRPr="00C10A48">
        <w:rPr>
          <w:rFonts w:ascii="Book Antiqua" w:eastAsia="Times New Roman" w:hAnsi="Book Antiqua" w:cstheme="minorHAnsi"/>
          <w:sz w:val="24"/>
          <w:szCs w:val="24"/>
          <w:lang w:val="en-US" w:eastAsia="pt-BR"/>
        </w:rPr>
        <w:t>"</w:t>
      </w:r>
      <w:proofErr w:type="spellStart"/>
      <w:r w:rsidRPr="00C10A48">
        <w:rPr>
          <w:rFonts w:ascii="Book Antiqua" w:eastAsia="Times New Roman" w:hAnsi="Book Antiqua" w:cstheme="minorHAnsi"/>
          <w:sz w:val="24"/>
          <w:szCs w:val="24"/>
          <w:lang w:val="en-US" w:eastAsia="pt-BR"/>
        </w:rPr>
        <w:t>Stroop</w:t>
      </w:r>
      <w:proofErr w:type="spellEnd"/>
      <w:r w:rsidR="00F26942" w:rsidRPr="00C10A48">
        <w:rPr>
          <w:rFonts w:ascii="Book Antiqua" w:eastAsia="Times New Roman" w:hAnsi="Book Antiqua" w:cstheme="minorHAnsi"/>
          <w:sz w:val="24"/>
          <w:szCs w:val="24"/>
          <w:lang w:val="en-US" w:eastAsia="pt-BR"/>
        </w:rPr>
        <w:t xml:space="preserve">" </w:t>
      </w:r>
      <w:r w:rsidR="0024084B" w:rsidRPr="00C10A48">
        <w:rPr>
          <w:rFonts w:ascii="Book Antiqua" w:eastAsia="Times New Roman" w:hAnsi="Book Antiqua" w:cstheme="minorHAnsi"/>
          <w:noProof/>
          <w:sz w:val="24"/>
          <w:szCs w:val="24"/>
          <w:vertAlign w:val="superscript"/>
          <w:lang w:val="en-US" w:eastAsia="pt-BR"/>
        </w:rPr>
        <w:t>[18]</w:t>
      </w:r>
      <w:r w:rsidRPr="00C10A48">
        <w:rPr>
          <w:rFonts w:ascii="Book Antiqua" w:eastAsia="Times New Roman" w:hAnsi="Book Antiqua" w:cstheme="minorHAnsi"/>
          <w:sz w:val="24"/>
          <w:szCs w:val="24"/>
          <w:lang w:val="en-US" w:eastAsia="pt-BR"/>
        </w:rPr>
        <w:t xml:space="preserve"> (limitation in patients of advanced age, low education level, and high MELD).  </w:t>
      </w:r>
    </w:p>
    <w:p w14:paraId="03EDDCCC" w14:textId="0F982752" w:rsidR="00B05CFC" w:rsidRPr="00C10A48" w:rsidRDefault="002E6770" w:rsidP="00F227A9">
      <w:pPr>
        <w:snapToGrid w:val="0"/>
        <w:spacing w:after="0" w:line="360" w:lineRule="auto"/>
        <w:ind w:firstLineChars="100" w:firstLine="240"/>
        <w:jc w:val="both"/>
        <w:rPr>
          <w:rFonts w:ascii="Book Antiqua" w:eastAsia="Times New Roman" w:hAnsi="Book Antiqua" w:cstheme="minorHAnsi"/>
          <w:sz w:val="24"/>
          <w:szCs w:val="24"/>
          <w:lang w:val="en-US" w:eastAsia="pt-BR"/>
        </w:rPr>
      </w:pPr>
      <w:r w:rsidRPr="00C10A48">
        <w:rPr>
          <w:rFonts w:ascii="Book Antiqua" w:eastAsia="Times New Roman" w:hAnsi="Book Antiqua" w:cstheme="minorHAnsi"/>
          <w:sz w:val="24"/>
          <w:szCs w:val="24"/>
          <w:lang w:val="en-US" w:eastAsia="pt-BR"/>
        </w:rPr>
        <w:t xml:space="preserve">Despite our rigorous meta-analysis, including only RCTs, our study has several limitations. The quality of our systematic review and meta-analysis is inherently limited by the quality of the included studies. A high degree of statistical heterogeneity was found in some of our estimates. The included studies had patients with different Child-Turcotte-Pugh scores (A-B, B-C, and A-B-C). The doses of sedation used in studies were not consistent. Higher sedation doses of propofol and midazolam were used in the studies by Watanabe </w:t>
      </w:r>
      <w:r w:rsidR="00B05CFC" w:rsidRPr="00C10A48">
        <w:rPr>
          <w:rFonts w:ascii="Book Antiqua" w:eastAsia="Times New Roman" w:hAnsi="Book Antiqua" w:cstheme="minorHAnsi"/>
          <w:i/>
          <w:sz w:val="24"/>
          <w:szCs w:val="24"/>
          <w:lang w:val="en-US" w:eastAsia="pt-BR"/>
        </w:rPr>
        <w:t>et al</w:t>
      </w:r>
      <w:r w:rsidR="0024084B" w:rsidRPr="00C10A48">
        <w:rPr>
          <w:rFonts w:ascii="Book Antiqua" w:eastAsia="Times New Roman" w:hAnsi="Book Antiqua" w:cstheme="minorHAnsi"/>
          <w:noProof/>
          <w:sz w:val="24"/>
          <w:szCs w:val="24"/>
          <w:vertAlign w:val="superscript"/>
          <w:lang w:val="en-US" w:eastAsia="pt-BR"/>
        </w:rPr>
        <w:t>[19]</w:t>
      </w:r>
      <w:r w:rsidRPr="00C10A48">
        <w:rPr>
          <w:rFonts w:ascii="Book Antiqua" w:eastAsia="Times New Roman" w:hAnsi="Book Antiqua" w:cstheme="minorHAnsi"/>
          <w:sz w:val="24"/>
          <w:szCs w:val="24"/>
          <w:lang w:val="en-US" w:eastAsia="pt-BR"/>
        </w:rPr>
        <w:t xml:space="preserve">, Ahmed </w:t>
      </w:r>
      <w:r w:rsidR="00B05CFC" w:rsidRPr="00C10A48">
        <w:rPr>
          <w:rFonts w:ascii="Book Antiqua" w:eastAsia="Times New Roman" w:hAnsi="Book Antiqua" w:cstheme="minorHAnsi"/>
          <w:i/>
          <w:sz w:val="24"/>
          <w:szCs w:val="24"/>
          <w:lang w:val="en-US" w:eastAsia="pt-BR"/>
        </w:rPr>
        <w:t>et al</w:t>
      </w:r>
      <w:r w:rsidR="0024084B" w:rsidRPr="00C10A48">
        <w:rPr>
          <w:rFonts w:ascii="Book Antiqua" w:eastAsia="Times New Roman" w:hAnsi="Book Antiqua" w:cstheme="minorHAnsi"/>
          <w:noProof/>
          <w:sz w:val="24"/>
          <w:szCs w:val="24"/>
          <w:vertAlign w:val="superscript"/>
          <w:lang w:val="en-US" w:eastAsia="pt-BR"/>
        </w:rPr>
        <w:t>[20]</w:t>
      </w:r>
      <w:r w:rsidRPr="00C10A48">
        <w:rPr>
          <w:rFonts w:ascii="Book Antiqua" w:eastAsia="Times New Roman" w:hAnsi="Book Antiqua" w:cstheme="minorHAnsi"/>
          <w:sz w:val="24"/>
          <w:szCs w:val="24"/>
          <w:lang w:val="en-US" w:eastAsia="pt-BR"/>
        </w:rPr>
        <w:t xml:space="preserve">, </w:t>
      </w:r>
      <w:proofErr w:type="spellStart"/>
      <w:r w:rsidRPr="00C10A48">
        <w:rPr>
          <w:rFonts w:ascii="Book Antiqua" w:eastAsia="Times New Roman" w:hAnsi="Book Antiqua" w:cstheme="minorHAnsi"/>
          <w:sz w:val="24"/>
          <w:szCs w:val="24"/>
          <w:lang w:val="en-US" w:eastAsia="pt-BR"/>
        </w:rPr>
        <w:t>Agrawal</w:t>
      </w:r>
      <w:proofErr w:type="spellEnd"/>
      <w:r w:rsidRPr="00C10A48">
        <w:rPr>
          <w:rFonts w:ascii="Book Antiqua" w:eastAsia="Times New Roman" w:hAnsi="Book Antiqua" w:cstheme="minorHAnsi"/>
          <w:sz w:val="24"/>
          <w:szCs w:val="24"/>
          <w:lang w:val="en-US" w:eastAsia="pt-BR"/>
        </w:rPr>
        <w:t xml:space="preserve"> </w:t>
      </w:r>
      <w:r w:rsidR="00B05CFC" w:rsidRPr="00C10A48">
        <w:rPr>
          <w:rFonts w:ascii="Book Antiqua" w:eastAsia="Times New Roman" w:hAnsi="Book Antiqua" w:cstheme="minorHAnsi"/>
          <w:i/>
          <w:sz w:val="24"/>
          <w:szCs w:val="24"/>
          <w:lang w:val="en-US" w:eastAsia="pt-BR"/>
        </w:rPr>
        <w:t>et al</w:t>
      </w:r>
      <w:r w:rsidR="0024084B" w:rsidRPr="00C10A48">
        <w:rPr>
          <w:rFonts w:ascii="Book Antiqua" w:eastAsia="Times New Roman" w:hAnsi="Book Antiqua" w:cstheme="minorHAnsi"/>
          <w:noProof/>
          <w:sz w:val="24"/>
          <w:szCs w:val="24"/>
          <w:vertAlign w:val="superscript"/>
          <w:lang w:val="en-US" w:eastAsia="pt-BR"/>
        </w:rPr>
        <w:t>[15]</w:t>
      </w:r>
      <w:r w:rsidRPr="00C10A48">
        <w:rPr>
          <w:rFonts w:ascii="Book Antiqua" w:eastAsia="Times New Roman" w:hAnsi="Book Antiqua" w:cstheme="minorHAnsi"/>
          <w:sz w:val="24"/>
          <w:szCs w:val="24"/>
          <w:lang w:val="en-US" w:eastAsia="pt-BR"/>
        </w:rPr>
        <w:t xml:space="preserve">, </w:t>
      </w:r>
      <w:proofErr w:type="spellStart"/>
      <w:r w:rsidRPr="00C10A48">
        <w:rPr>
          <w:rFonts w:ascii="Book Antiqua" w:eastAsia="Times New Roman" w:hAnsi="Book Antiqua" w:cstheme="minorHAnsi"/>
          <w:sz w:val="24"/>
          <w:szCs w:val="24"/>
          <w:lang w:val="en-US" w:eastAsia="pt-BR"/>
        </w:rPr>
        <w:t>Correia</w:t>
      </w:r>
      <w:proofErr w:type="spellEnd"/>
      <w:r w:rsidRPr="00C10A48">
        <w:rPr>
          <w:rFonts w:ascii="Book Antiqua" w:eastAsia="Times New Roman" w:hAnsi="Book Antiqua" w:cstheme="minorHAnsi"/>
          <w:sz w:val="24"/>
          <w:szCs w:val="24"/>
          <w:lang w:val="en-US" w:eastAsia="pt-BR"/>
        </w:rPr>
        <w:t xml:space="preserve"> </w:t>
      </w:r>
      <w:r w:rsidR="00B05CFC" w:rsidRPr="00C10A48">
        <w:rPr>
          <w:rFonts w:ascii="Book Antiqua" w:eastAsia="Times New Roman" w:hAnsi="Book Antiqua" w:cstheme="minorHAnsi"/>
          <w:i/>
          <w:sz w:val="24"/>
          <w:szCs w:val="24"/>
          <w:lang w:val="en-US" w:eastAsia="pt-BR"/>
        </w:rPr>
        <w:t>et al</w:t>
      </w:r>
      <w:r w:rsidR="0024084B" w:rsidRPr="00C10A48">
        <w:rPr>
          <w:rFonts w:ascii="Book Antiqua" w:eastAsia="Times New Roman" w:hAnsi="Book Antiqua" w:cstheme="minorHAnsi"/>
          <w:noProof/>
          <w:sz w:val="24"/>
          <w:szCs w:val="24"/>
          <w:vertAlign w:val="superscript"/>
          <w:lang w:val="en-US" w:eastAsia="pt-BR"/>
        </w:rPr>
        <w:t>[21]</w:t>
      </w:r>
      <w:r w:rsidRPr="00C10A48">
        <w:rPr>
          <w:rFonts w:ascii="Book Antiqua" w:eastAsia="Times New Roman" w:hAnsi="Book Antiqua" w:cstheme="minorHAnsi"/>
          <w:sz w:val="24"/>
          <w:szCs w:val="24"/>
          <w:lang w:val="en-US" w:eastAsia="pt-BR"/>
        </w:rPr>
        <w:t xml:space="preserve">, </w:t>
      </w:r>
      <w:proofErr w:type="spellStart"/>
      <w:r w:rsidRPr="00C10A48">
        <w:rPr>
          <w:rFonts w:ascii="Book Antiqua" w:eastAsia="Times New Roman" w:hAnsi="Book Antiqua" w:cstheme="minorHAnsi"/>
          <w:sz w:val="24"/>
          <w:szCs w:val="24"/>
          <w:lang w:val="en-US" w:eastAsia="pt-BR"/>
        </w:rPr>
        <w:t>Khamaysi</w:t>
      </w:r>
      <w:proofErr w:type="spellEnd"/>
      <w:r w:rsidRPr="00C10A48">
        <w:rPr>
          <w:rFonts w:ascii="Book Antiqua" w:eastAsia="Times New Roman" w:hAnsi="Book Antiqua" w:cstheme="minorHAnsi"/>
          <w:sz w:val="24"/>
          <w:szCs w:val="24"/>
          <w:lang w:val="en-US" w:eastAsia="pt-BR"/>
        </w:rPr>
        <w:t xml:space="preserve"> </w:t>
      </w:r>
      <w:r w:rsidR="00B05CFC" w:rsidRPr="00C10A48">
        <w:rPr>
          <w:rFonts w:ascii="Book Antiqua" w:eastAsia="Times New Roman" w:hAnsi="Book Antiqua" w:cstheme="minorHAnsi"/>
          <w:i/>
          <w:sz w:val="24"/>
          <w:szCs w:val="24"/>
          <w:lang w:val="en-US" w:eastAsia="pt-BR"/>
        </w:rPr>
        <w:t>et al</w:t>
      </w:r>
      <w:r w:rsidR="0024084B" w:rsidRPr="00C10A48">
        <w:rPr>
          <w:rFonts w:ascii="Book Antiqua" w:eastAsia="Times New Roman" w:hAnsi="Book Antiqua" w:cstheme="minorHAnsi"/>
          <w:noProof/>
          <w:sz w:val="24"/>
          <w:szCs w:val="24"/>
          <w:vertAlign w:val="superscript"/>
          <w:lang w:val="en-US" w:eastAsia="pt-BR"/>
        </w:rPr>
        <w:t>[16]</w:t>
      </w:r>
      <w:r w:rsidRPr="00C10A48">
        <w:rPr>
          <w:rFonts w:ascii="Book Antiqua" w:eastAsia="Times New Roman" w:hAnsi="Book Antiqua" w:cstheme="minorHAnsi"/>
          <w:sz w:val="24"/>
          <w:szCs w:val="24"/>
          <w:lang w:val="en-US" w:eastAsia="pt-BR"/>
        </w:rPr>
        <w:t xml:space="preserve">, </w:t>
      </w:r>
      <w:proofErr w:type="spellStart"/>
      <w:r w:rsidRPr="00C10A48">
        <w:rPr>
          <w:rFonts w:ascii="Book Antiqua" w:eastAsia="Times New Roman" w:hAnsi="Book Antiqua" w:cstheme="minorHAnsi"/>
          <w:sz w:val="24"/>
          <w:szCs w:val="24"/>
          <w:lang w:val="en-US" w:eastAsia="pt-BR"/>
        </w:rPr>
        <w:t>Riphaus</w:t>
      </w:r>
      <w:proofErr w:type="spellEnd"/>
      <w:r w:rsidRPr="00C10A48">
        <w:rPr>
          <w:rFonts w:ascii="Book Antiqua" w:eastAsia="Times New Roman" w:hAnsi="Book Antiqua" w:cstheme="minorHAnsi"/>
          <w:sz w:val="24"/>
          <w:szCs w:val="24"/>
          <w:lang w:val="en-US" w:eastAsia="pt-BR"/>
        </w:rPr>
        <w:t xml:space="preserve"> </w:t>
      </w:r>
      <w:r w:rsidR="00B05CFC" w:rsidRPr="00C10A48">
        <w:rPr>
          <w:rFonts w:ascii="Book Antiqua" w:eastAsia="Times New Roman" w:hAnsi="Book Antiqua" w:cstheme="minorHAnsi"/>
          <w:i/>
          <w:sz w:val="24"/>
          <w:szCs w:val="24"/>
          <w:lang w:val="en-US" w:eastAsia="pt-BR"/>
        </w:rPr>
        <w:t>et al</w:t>
      </w:r>
      <w:r w:rsidR="0024084B" w:rsidRPr="00C10A48">
        <w:rPr>
          <w:rFonts w:ascii="Book Antiqua" w:eastAsia="Times New Roman" w:hAnsi="Book Antiqua" w:cstheme="minorHAnsi"/>
          <w:noProof/>
          <w:sz w:val="24"/>
          <w:szCs w:val="24"/>
          <w:vertAlign w:val="superscript"/>
          <w:lang w:val="en-US" w:eastAsia="pt-BR"/>
        </w:rPr>
        <w:t>[17]</w:t>
      </w:r>
      <w:r w:rsidRPr="00C10A48">
        <w:rPr>
          <w:rFonts w:ascii="Book Antiqua" w:eastAsia="Times New Roman" w:hAnsi="Book Antiqua" w:cstheme="minorHAnsi"/>
          <w:sz w:val="24"/>
          <w:szCs w:val="24"/>
          <w:lang w:val="en-US" w:eastAsia="pt-BR"/>
        </w:rPr>
        <w:t xml:space="preserve">, and Weston </w:t>
      </w:r>
      <w:r w:rsidR="00B05CFC" w:rsidRPr="00C10A48">
        <w:rPr>
          <w:rFonts w:ascii="Book Antiqua" w:eastAsia="Times New Roman" w:hAnsi="Book Antiqua" w:cstheme="minorHAnsi"/>
          <w:i/>
          <w:sz w:val="24"/>
          <w:szCs w:val="24"/>
          <w:lang w:val="en-US" w:eastAsia="pt-BR"/>
        </w:rPr>
        <w:t>et al</w:t>
      </w:r>
      <w:r w:rsidR="0024084B" w:rsidRPr="00C10A48">
        <w:rPr>
          <w:rFonts w:ascii="Book Antiqua" w:eastAsia="Times New Roman" w:hAnsi="Book Antiqua" w:cstheme="minorHAnsi"/>
          <w:noProof/>
          <w:sz w:val="24"/>
          <w:szCs w:val="24"/>
          <w:vertAlign w:val="superscript"/>
          <w:lang w:val="en-US" w:eastAsia="pt-BR"/>
        </w:rPr>
        <w:t>[22]</w:t>
      </w:r>
      <w:r w:rsidRPr="00C10A48">
        <w:rPr>
          <w:rFonts w:ascii="Book Antiqua" w:eastAsia="Times New Roman" w:hAnsi="Book Antiqua" w:cstheme="minorHAnsi"/>
          <w:sz w:val="24"/>
          <w:szCs w:val="24"/>
          <w:lang w:val="en-US" w:eastAsia="pt-BR"/>
        </w:rPr>
        <w:t xml:space="preserve"> as compared to the doses used in the study by </w:t>
      </w:r>
      <w:proofErr w:type="spellStart"/>
      <w:r w:rsidRPr="00C10A48">
        <w:rPr>
          <w:rFonts w:ascii="Book Antiqua" w:eastAsia="Times New Roman" w:hAnsi="Book Antiqua" w:cstheme="minorHAnsi"/>
          <w:sz w:val="24"/>
          <w:szCs w:val="24"/>
          <w:lang w:val="en-US" w:eastAsia="pt-BR"/>
        </w:rPr>
        <w:t>Yoo</w:t>
      </w:r>
      <w:proofErr w:type="spellEnd"/>
      <w:r w:rsidRPr="00C10A48">
        <w:rPr>
          <w:rFonts w:ascii="Book Antiqua" w:eastAsia="Times New Roman" w:hAnsi="Book Antiqua" w:cstheme="minorHAnsi"/>
          <w:sz w:val="24"/>
          <w:szCs w:val="24"/>
          <w:lang w:val="en-US" w:eastAsia="pt-BR"/>
        </w:rPr>
        <w:t xml:space="preserve"> </w:t>
      </w:r>
      <w:r w:rsidR="00B05CFC" w:rsidRPr="00C10A48">
        <w:rPr>
          <w:rFonts w:ascii="Book Antiqua" w:eastAsia="Times New Roman" w:hAnsi="Book Antiqua" w:cstheme="minorHAnsi"/>
          <w:i/>
          <w:sz w:val="24"/>
          <w:szCs w:val="24"/>
          <w:lang w:val="en-US" w:eastAsia="pt-BR"/>
        </w:rPr>
        <w:t>et al</w:t>
      </w:r>
      <w:r w:rsidR="0024084B" w:rsidRPr="00C10A48">
        <w:rPr>
          <w:rFonts w:ascii="Book Antiqua" w:eastAsia="Times New Roman" w:hAnsi="Book Antiqua" w:cstheme="minorHAnsi"/>
          <w:noProof/>
          <w:sz w:val="24"/>
          <w:szCs w:val="24"/>
          <w:vertAlign w:val="superscript"/>
          <w:lang w:val="en-US" w:eastAsia="pt-BR"/>
        </w:rPr>
        <w:t>[18]</w:t>
      </w:r>
      <w:r w:rsidRPr="00C10A48">
        <w:rPr>
          <w:rFonts w:ascii="Book Antiqua" w:eastAsia="Times New Roman" w:hAnsi="Book Antiqua" w:cstheme="minorHAnsi"/>
          <w:sz w:val="24"/>
          <w:szCs w:val="24"/>
          <w:lang w:val="en-US" w:eastAsia="pt-BR"/>
        </w:rPr>
        <w:t xml:space="preserve">. This variance in doses was likely related to differences in BMI, height, and ethnicity of the patients included in these </w:t>
      </w:r>
      <w:proofErr w:type="gramStart"/>
      <w:r w:rsidRPr="00C10A48">
        <w:rPr>
          <w:rFonts w:ascii="Book Antiqua" w:eastAsia="Times New Roman" w:hAnsi="Book Antiqua" w:cstheme="minorHAnsi"/>
          <w:sz w:val="24"/>
          <w:szCs w:val="24"/>
          <w:lang w:val="en-US" w:eastAsia="pt-BR"/>
        </w:rPr>
        <w:t>studies</w:t>
      </w:r>
      <w:r w:rsidR="0024084B" w:rsidRPr="00C10A48">
        <w:rPr>
          <w:rFonts w:ascii="Book Antiqua" w:eastAsia="Times New Roman" w:hAnsi="Book Antiqua" w:cstheme="minorHAnsi"/>
          <w:noProof/>
          <w:sz w:val="24"/>
          <w:szCs w:val="24"/>
          <w:vertAlign w:val="superscript"/>
          <w:lang w:val="en-US" w:eastAsia="pt-BR"/>
        </w:rPr>
        <w:t>[</w:t>
      </w:r>
      <w:proofErr w:type="gramEnd"/>
      <w:r w:rsidR="0024084B" w:rsidRPr="00C10A48">
        <w:rPr>
          <w:rFonts w:ascii="Book Antiqua" w:eastAsia="Times New Roman" w:hAnsi="Book Antiqua" w:cstheme="minorHAnsi"/>
          <w:noProof/>
          <w:sz w:val="24"/>
          <w:szCs w:val="24"/>
          <w:vertAlign w:val="superscript"/>
          <w:lang w:val="en-US" w:eastAsia="pt-BR"/>
        </w:rPr>
        <w:t>18]</w:t>
      </w:r>
      <w:r w:rsidRPr="00C10A48">
        <w:rPr>
          <w:rFonts w:ascii="Book Antiqua" w:eastAsia="Times New Roman" w:hAnsi="Book Antiqua" w:cstheme="minorHAnsi"/>
          <w:sz w:val="24"/>
          <w:szCs w:val="24"/>
          <w:lang w:val="en-US" w:eastAsia="pt-BR"/>
        </w:rPr>
        <w:t>. Additionally, some studies also used synthetic analgesics. We could not quantitatively estimate the minimal hepatic encephalopathy after sedation since the tests used in the included studies to assess hepatic encephalopathy were not uniform.</w:t>
      </w:r>
    </w:p>
    <w:p w14:paraId="2D256507" w14:textId="573C39D3" w:rsidR="00283445" w:rsidRPr="00C10A48" w:rsidRDefault="00B05CFC" w:rsidP="00F227A9">
      <w:pPr>
        <w:snapToGrid w:val="0"/>
        <w:spacing w:after="0" w:line="360" w:lineRule="auto"/>
        <w:ind w:firstLineChars="100" w:firstLine="240"/>
        <w:jc w:val="both"/>
        <w:rPr>
          <w:rFonts w:ascii="Book Antiqua" w:eastAsia="Times New Roman" w:hAnsi="Book Antiqua" w:cstheme="minorHAnsi"/>
          <w:sz w:val="24"/>
          <w:szCs w:val="24"/>
          <w:lang w:val="en-US" w:eastAsia="pt-BR"/>
        </w:rPr>
      </w:pPr>
      <w:r w:rsidRPr="00C10A48">
        <w:rPr>
          <w:rFonts w:ascii="Book Antiqua" w:hAnsi="Book Antiqua"/>
          <w:sz w:val="24"/>
          <w:szCs w:val="24"/>
          <w:lang w:val="en-US"/>
        </w:rPr>
        <w:t>In c</w:t>
      </w:r>
      <w:r w:rsidR="00AC5D97" w:rsidRPr="00C10A48">
        <w:rPr>
          <w:rFonts w:ascii="Book Antiqua" w:hAnsi="Book Antiqua"/>
          <w:sz w:val="24"/>
          <w:szCs w:val="24"/>
          <w:lang w:val="en-US"/>
        </w:rPr>
        <w:t>onclusion</w:t>
      </w:r>
      <w:r w:rsidRPr="00C10A48">
        <w:rPr>
          <w:rFonts w:ascii="Book Antiqua" w:hAnsi="Book Antiqua"/>
          <w:sz w:val="24"/>
          <w:szCs w:val="24"/>
          <w:lang w:val="en-US"/>
        </w:rPr>
        <w:t>, p</w:t>
      </w:r>
      <w:r w:rsidR="00FA1FAC" w:rsidRPr="00C10A48">
        <w:rPr>
          <w:rFonts w:ascii="Book Antiqua" w:hAnsi="Book Antiqua"/>
          <w:sz w:val="24"/>
          <w:szCs w:val="24"/>
          <w:lang w:val="en-US"/>
        </w:rPr>
        <w:t>ropofol has faster recovery time and a shorter patient discharge time compared with midazolam</w:t>
      </w:r>
      <w:r w:rsidR="00F66CCF" w:rsidRPr="00C10A48">
        <w:rPr>
          <w:rFonts w:ascii="Book Antiqua" w:hAnsi="Book Antiqua"/>
          <w:sz w:val="24"/>
          <w:szCs w:val="24"/>
          <w:lang w:val="en-US"/>
        </w:rPr>
        <w:t xml:space="preserve">, with similar adverse events. Therefore, propofol should be </w:t>
      </w:r>
      <w:r w:rsidR="006D2265" w:rsidRPr="00C10A48">
        <w:rPr>
          <w:rFonts w:ascii="Book Antiqua" w:hAnsi="Book Antiqua"/>
          <w:sz w:val="24"/>
          <w:szCs w:val="24"/>
          <w:lang w:val="en-US"/>
        </w:rPr>
        <w:t>the preferred agent for</w:t>
      </w:r>
      <w:r w:rsidR="00F66CCF" w:rsidRPr="00C10A48">
        <w:rPr>
          <w:rFonts w:ascii="Book Antiqua" w:hAnsi="Book Antiqua"/>
          <w:sz w:val="24"/>
          <w:szCs w:val="24"/>
          <w:lang w:val="en-US"/>
        </w:rPr>
        <w:t xml:space="preserve"> sedation </w:t>
      </w:r>
      <w:r w:rsidR="006D2265" w:rsidRPr="00C10A48">
        <w:rPr>
          <w:rFonts w:ascii="Book Antiqua" w:hAnsi="Book Antiqua"/>
          <w:sz w:val="24"/>
          <w:szCs w:val="24"/>
          <w:lang w:val="en-US"/>
        </w:rPr>
        <w:t>in</w:t>
      </w:r>
      <w:r w:rsidR="00F66CCF" w:rsidRPr="00C10A48">
        <w:rPr>
          <w:rFonts w:ascii="Book Antiqua" w:hAnsi="Book Antiqua"/>
          <w:sz w:val="24"/>
          <w:szCs w:val="24"/>
          <w:lang w:val="en-US"/>
        </w:rPr>
        <w:t xml:space="preserve"> patients with cirrhosis </w:t>
      </w:r>
      <w:r w:rsidR="006D2265" w:rsidRPr="00C10A48">
        <w:rPr>
          <w:rFonts w:ascii="Book Antiqua" w:hAnsi="Book Antiqua"/>
          <w:sz w:val="24"/>
          <w:szCs w:val="24"/>
          <w:lang w:val="en-US"/>
        </w:rPr>
        <w:t xml:space="preserve">undergoing </w:t>
      </w:r>
      <w:r w:rsidR="00F66CCF" w:rsidRPr="00C10A48">
        <w:rPr>
          <w:rFonts w:ascii="Book Antiqua" w:hAnsi="Book Antiqua"/>
          <w:sz w:val="24"/>
          <w:szCs w:val="24"/>
          <w:lang w:val="en-US"/>
        </w:rPr>
        <w:t>upper gastrointestinal endoscopy.</w:t>
      </w:r>
    </w:p>
    <w:p w14:paraId="2A5BC223" w14:textId="77777777" w:rsidR="00283445" w:rsidRPr="00C10A48" w:rsidRDefault="00283445" w:rsidP="00F227A9">
      <w:pPr>
        <w:snapToGrid w:val="0"/>
        <w:spacing w:after="0" w:line="360" w:lineRule="auto"/>
        <w:jc w:val="both"/>
        <w:rPr>
          <w:rFonts w:ascii="Book Antiqua" w:hAnsi="Book Antiqua"/>
          <w:sz w:val="24"/>
          <w:szCs w:val="24"/>
          <w:lang w:val="en-US"/>
        </w:rPr>
      </w:pPr>
    </w:p>
    <w:p w14:paraId="552FC94D" w14:textId="77777777" w:rsidR="00283445" w:rsidRPr="00C10A48" w:rsidRDefault="00283445" w:rsidP="00F227A9">
      <w:pPr>
        <w:snapToGrid w:val="0"/>
        <w:spacing w:after="0" w:line="360" w:lineRule="auto"/>
        <w:jc w:val="both"/>
        <w:rPr>
          <w:rFonts w:ascii="Book Antiqua" w:hAnsi="Book Antiqua"/>
          <w:b/>
          <w:bCs/>
          <w:sz w:val="24"/>
          <w:szCs w:val="24"/>
          <w:u w:val="single"/>
        </w:rPr>
      </w:pPr>
      <w:bookmarkStart w:id="17" w:name="_Hlk42525892"/>
      <w:r w:rsidRPr="00C10A48">
        <w:rPr>
          <w:rFonts w:ascii="Book Antiqua" w:hAnsi="Book Antiqua"/>
          <w:b/>
          <w:bCs/>
          <w:sz w:val="24"/>
          <w:szCs w:val="24"/>
          <w:u w:val="single"/>
        </w:rPr>
        <w:t>ARTICLE HIGHLIGHTS</w:t>
      </w:r>
    </w:p>
    <w:bookmarkEnd w:id="17"/>
    <w:p w14:paraId="36A31732" w14:textId="41BF357B" w:rsidR="00283445" w:rsidRPr="00C10A48" w:rsidRDefault="00283445" w:rsidP="00F227A9">
      <w:pPr>
        <w:snapToGrid w:val="0"/>
        <w:spacing w:after="0" w:line="360" w:lineRule="auto"/>
        <w:jc w:val="both"/>
        <w:rPr>
          <w:rFonts w:ascii="Book Antiqua" w:hAnsi="Book Antiqua"/>
          <w:b/>
          <w:bCs/>
          <w:i/>
          <w:sz w:val="24"/>
          <w:szCs w:val="24"/>
        </w:rPr>
      </w:pPr>
      <w:r w:rsidRPr="00C10A48">
        <w:rPr>
          <w:rFonts w:ascii="Book Antiqua" w:hAnsi="Book Antiqua"/>
          <w:b/>
          <w:bCs/>
          <w:i/>
          <w:sz w:val="24"/>
          <w:szCs w:val="24"/>
        </w:rPr>
        <w:t>R</w:t>
      </w:r>
      <w:r w:rsidR="005B5D96" w:rsidRPr="00C10A48">
        <w:rPr>
          <w:rFonts w:ascii="Book Antiqua" w:hAnsi="Book Antiqua"/>
          <w:b/>
          <w:bCs/>
          <w:i/>
          <w:sz w:val="24"/>
          <w:szCs w:val="24"/>
        </w:rPr>
        <w:t>esearch background</w:t>
      </w:r>
    </w:p>
    <w:p w14:paraId="29BDA944" w14:textId="77777777" w:rsidR="00283445" w:rsidRPr="00C10A48" w:rsidRDefault="00283445" w:rsidP="00F227A9">
      <w:pPr>
        <w:snapToGrid w:val="0"/>
        <w:spacing w:after="0" w:line="360" w:lineRule="auto"/>
        <w:jc w:val="both"/>
        <w:rPr>
          <w:rFonts w:ascii="Book Antiqua" w:hAnsi="Book Antiqua"/>
          <w:bCs/>
          <w:sz w:val="24"/>
          <w:szCs w:val="24"/>
          <w:lang w:val="en-US"/>
        </w:rPr>
      </w:pPr>
      <w:r w:rsidRPr="00C10A48">
        <w:rPr>
          <w:rFonts w:ascii="Book Antiqua" w:hAnsi="Book Antiqua"/>
          <w:bCs/>
          <w:sz w:val="24"/>
          <w:szCs w:val="24"/>
          <w:lang w:val="en-US"/>
        </w:rPr>
        <w:lastRenderedPageBreak/>
        <w:t xml:space="preserve">Administration of analgesics and intravenous sedation during endoscopy in patients with cirrhosis has several advantages such as patient comfort, reduced discharge time, and early recovery after the procedure. However, proper selection of sedative medications is essential because of the risk of complications mainly due to underlying hepatic dysfunction– which can lead to difficulty in clearance, recirculation, and increased half-life of drugs. </w:t>
      </w:r>
    </w:p>
    <w:p w14:paraId="1DD3992A" w14:textId="77777777" w:rsidR="005B5D96" w:rsidRPr="00C10A48" w:rsidRDefault="005B5D96" w:rsidP="00F227A9">
      <w:pPr>
        <w:snapToGrid w:val="0"/>
        <w:spacing w:after="0" w:line="360" w:lineRule="auto"/>
        <w:jc w:val="both"/>
        <w:rPr>
          <w:rFonts w:ascii="Book Antiqua" w:hAnsi="Book Antiqua"/>
          <w:b/>
          <w:bCs/>
          <w:sz w:val="24"/>
          <w:szCs w:val="24"/>
        </w:rPr>
      </w:pPr>
    </w:p>
    <w:p w14:paraId="6C134FD8" w14:textId="6E390DCE" w:rsidR="00283445" w:rsidRPr="00C10A48" w:rsidRDefault="00283445" w:rsidP="00F227A9">
      <w:pPr>
        <w:snapToGrid w:val="0"/>
        <w:spacing w:after="0" w:line="360" w:lineRule="auto"/>
        <w:jc w:val="both"/>
        <w:rPr>
          <w:rFonts w:ascii="Book Antiqua" w:hAnsi="Book Antiqua"/>
          <w:b/>
          <w:bCs/>
          <w:i/>
          <w:sz w:val="24"/>
          <w:szCs w:val="24"/>
        </w:rPr>
      </w:pPr>
      <w:r w:rsidRPr="00C10A48">
        <w:rPr>
          <w:rFonts w:ascii="Book Antiqua" w:hAnsi="Book Antiqua"/>
          <w:b/>
          <w:bCs/>
          <w:i/>
          <w:sz w:val="24"/>
          <w:szCs w:val="24"/>
        </w:rPr>
        <w:t>R</w:t>
      </w:r>
      <w:r w:rsidR="005B5D96" w:rsidRPr="00C10A48">
        <w:rPr>
          <w:rFonts w:ascii="Book Antiqua" w:hAnsi="Book Antiqua"/>
          <w:b/>
          <w:bCs/>
          <w:i/>
          <w:sz w:val="24"/>
          <w:szCs w:val="24"/>
        </w:rPr>
        <w:t>esearch motivation</w:t>
      </w:r>
    </w:p>
    <w:p w14:paraId="3BEB0FE0" w14:textId="77777777" w:rsidR="00283445" w:rsidRPr="00C10A48" w:rsidRDefault="00283445" w:rsidP="00F227A9">
      <w:pPr>
        <w:snapToGrid w:val="0"/>
        <w:spacing w:after="0" w:line="360" w:lineRule="auto"/>
        <w:jc w:val="both"/>
        <w:rPr>
          <w:rFonts w:ascii="Book Antiqua" w:hAnsi="Book Antiqua"/>
          <w:bCs/>
          <w:sz w:val="24"/>
          <w:szCs w:val="24"/>
        </w:rPr>
      </w:pPr>
      <w:r w:rsidRPr="00C10A48">
        <w:rPr>
          <w:rFonts w:ascii="Book Antiqua" w:hAnsi="Book Antiqua"/>
          <w:bCs/>
          <w:sz w:val="24"/>
          <w:szCs w:val="24"/>
          <w:lang w:val="en-US"/>
        </w:rPr>
        <w:t>Many diagnostic or therapeutic upper gastrointestinal endoscopy procedures are often performed in cirrhosis,</w:t>
      </w:r>
      <w:r w:rsidRPr="00C10A48">
        <w:rPr>
          <w:rFonts w:ascii="Book Antiqua" w:hAnsi="Book Antiqua"/>
          <w:bCs/>
          <w:sz w:val="24"/>
          <w:szCs w:val="24"/>
        </w:rPr>
        <w:t xml:space="preserve"> but choosing effective and safe sedative medications can be a real challenge. Therefore, we wanted to compare commonly used sedation protocols in an attempt to understand the best approach. </w:t>
      </w:r>
    </w:p>
    <w:p w14:paraId="105A8A9F" w14:textId="77777777" w:rsidR="005B5D96" w:rsidRPr="00C10A48" w:rsidRDefault="005B5D96" w:rsidP="00F227A9">
      <w:pPr>
        <w:snapToGrid w:val="0"/>
        <w:spacing w:after="0" w:line="360" w:lineRule="auto"/>
        <w:jc w:val="both"/>
        <w:rPr>
          <w:rFonts w:ascii="Book Antiqua" w:hAnsi="Book Antiqua"/>
          <w:b/>
          <w:bCs/>
          <w:sz w:val="24"/>
          <w:szCs w:val="24"/>
        </w:rPr>
      </w:pPr>
    </w:p>
    <w:p w14:paraId="43CCC856" w14:textId="0FD242D4" w:rsidR="00283445" w:rsidRPr="00C10A48" w:rsidRDefault="00283445" w:rsidP="00F227A9">
      <w:pPr>
        <w:snapToGrid w:val="0"/>
        <w:spacing w:after="0" w:line="360" w:lineRule="auto"/>
        <w:jc w:val="both"/>
        <w:rPr>
          <w:rFonts w:ascii="Book Antiqua" w:hAnsi="Book Antiqua"/>
          <w:b/>
          <w:bCs/>
          <w:i/>
          <w:sz w:val="24"/>
          <w:szCs w:val="24"/>
        </w:rPr>
      </w:pPr>
      <w:r w:rsidRPr="00C10A48">
        <w:rPr>
          <w:rFonts w:ascii="Book Antiqua" w:hAnsi="Book Antiqua"/>
          <w:b/>
          <w:bCs/>
          <w:i/>
          <w:sz w:val="24"/>
          <w:szCs w:val="24"/>
        </w:rPr>
        <w:t>R</w:t>
      </w:r>
      <w:r w:rsidR="005B5D96" w:rsidRPr="00C10A48">
        <w:rPr>
          <w:rFonts w:ascii="Book Antiqua" w:hAnsi="Book Antiqua"/>
          <w:b/>
          <w:bCs/>
          <w:i/>
          <w:sz w:val="24"/>
          <w:szCs w:val="24"/>
        </w:rPr>
        <w:t>esearch objectives</w:t>
      </w:r>
    </w:p>
    <w:p w14:paraId="222E5B6B" w14:textId="77777777" w:rsidR="00283445" w:rsidRPr="00C10A48" w:rsidRDefault="00283445" w:rsidP="00F227A9">
      <w:pPr>
        <w:snapToGrid w:val="0"/>
        <w:spacing w:after="0" w:line="360" w:lineRule="auto"/>
        <w:jc w:val="both"/>
        <w:rPr>
          <w:rFonts w:ascii="Book Antiqua" w:hAnsi="Book Antiqua"/>
          <w:bCs/>
          <w:sz w:val="24"/>
          <w:szCs w:val="24"/>
          <w:lang w:val="en-US"/>
        </w:rPr>
      </w:pPr>
      <w:r w:rsidRPr="00C10A48">
        <w:rPr>
          <w:rFonts w:ascii="Book Antiqua" w:hAnsi="Book Antiqua"/>
          <w:bCs/>
          <w:sz w:val="24"/>
          <w:szCs w:val="24"/>
          <w:lang w:val="en-US"/>
        </w:rPr>
        <w:t xml:space="preserve">To perform a systematic review and meta-analysis of Randomized Controlled </w:t>
      </w:r>
      <w:proofErr w:type="gramStart"/>
      <w:r w:rsidRPr="00C10A48">
        <w:rPr>
          <w:rFonts w:ascii="Book Antiqua" w:hAnsi="Book Antiqua"/>
          <w:bCs/>
          <w:sz w:val="24"/>
          <w:szCs w:val="24"/>
          <w:lang w:val="en-US"/>
        </w:rPr>
        <w:t>Trials comparing</w:t>
      </w:r>
      <w:proofErr w:type="gramEnd"/>
      <w:r w:rsidRPr="00C10A48">
        <w:rPr>
          <w:rFonts w:ascii="Book Antiqua" w:hAnsi="Book Antiqua"/>
          <w:bCs/>
          <w:sz w:val="24"/>
          <w:szCs w:val="24"/>
          <w:lang w:val="en-US"/>
        </w:rPr>
        <w:t xml:space="preserve"> sedation with propofol and midazolam in patients with cirrhosis undergoing elective endoscopy.</w:t>
      </w:r>
    </w:p>
    <w:p w14:paraId="6775D8FB" w14:textId="77777777" w:rsidR="00283445" w:rsidRPr="00C10A48" w:rsidRDefault="00283445" w:rsidP="00F227A9">
      <w:pPr>
        <w:snapToGrid w:val="0"/>
        <w:spacing w:after="0" w:line="360" w:lineRule="auto"/>
        <w:jc w:val="both"/>
        <w:rPr>
          <w:rFonts w:ascii="Book Antiqua" w:hAnsi="Book Antiqua"/>
          <w:bCs/>
          <w:sz w:val="24"/>
          <w:szCs w:val="24"/>
        </w:rPr>
      </w:pPr>
    </w:p>
    <w:p w14:paraId="2F120F78" w14:textId="09F2A89A" w:rsidR="00283445" w:rsidRPr="00C10A48" w:rsidRDefault="00283445" w:rsidP="00F227A9">
      <w:pPr>
        <w:snapToGrid w:val="0"/>
        <w:spacing w:after="0" w:line="360" w:lineRule="auto"/>
        <w:jc w:val="both"/>
        <w:rPr>
          <w:rFonts w:ascii="Book Antiqua" w:hAnsi="Book Antiqua"/>
          <w:b/>
          <w:bCs/>
          <w:i/>
          <w:sz w:val="24"/>
          <w:szCs w:val="24"/>
        </w:rPr>
      </w:pPr>
      <w:r w:rsidRPr="00C10A48">
        <w:rPr>
          <w:rFonts w:ascii="Book Antiqua" w:hAnsi="Book Antiqua"/>
          <w:b/>
          <w:bCs/>
          <w:i/>
          <w:sz w:val="24"/>
          <w:szCs w:val="24"/>
        </w:rPr>
        <w:t>R</w:t>
      </w:r>
      <w:r w:rsidR="005B5D96" w:rsidRPr="00C10A48">
        <w:rPr>
          <w:rFonts w:ascii="Book Antiqua" w:hAnsi="Book Antiqua"/>
          <w:b/>
          <w:bCs/>
          <w:i/>
          <w:sz w:val="24"/>
          <w:szCs w:val="24"/>
        </w:rPr>
        <w:t>esearch methods</w:t>
      </w:r>
    </w:p>
    <w:p w14:paraId="62E832DA" w14:textId="77777777" w:rsidR="00283445" w:rsidRPr="00C10A48" w:rsidRDefault="00283445" w:rsidP="00F227A9">
      <w:pPr>
        <w:snapToGrid w:val="0"/>
        <w:spacing w:after="0" w:line="360" w:lineRule="auto"/>
        <w:jc w:val="both"/>
        <w:rPr>
          <w:rFonts w:ascii="Book Antiqua" w:hAnsi="Book Antiqua"/>
          <w:bCs/>
          <w:sz w:val="24"/>
          <w:szCs w:val="24"/>
          <w:lang w:val="en-US"/>
        </w:rPr>
      </w:pPr>
      <w:r w:rsidRPr="00C10A48">
        <w:rPr>
          <w:rFonts w:ascii="Book Antiqua" w:hAnsi="Book Antiqua"/>
          <w:bCs/>
          <w:sz w:val="24"/>
          <w:szCs w:val="24"/>
          <w:lang w:val="en-US"/>
        </w:rPr>
        <w:t xml:space="preserve">We performed a systematic review and meta-analysis using the PRISMA guidelines. Electronic searches were performed using MEDLINE, EMBASE, Central Cochrane, LILACS databases. Only randomized control trials (RCTs) were included. The outcomes studied were procedure time, recovery time, discharge time, and adverse events (bradycardia, hypotension, and hypoxemia). </w:t>
      </w:r>
    </w:p>
    <w:p w14:paraId="00F3C13F" w14:textId="77777777" w:rsidR="00283445" w:rsidRPr="00C10A48" w:rsidRDefault="00283445" w:rsidP="00F227A9">
      <w:pPr>
        <w:snapToGrid w:val="0"/>
        <w:spacing w:after="0" w:line="360" w:lineRule="auto"/>
        <w:jc w:val="both"/>
        <w:rPr>
          <w:rFonts w:ascii="Book Antiqua" w:hAnsi="Book Antiqua"/>
          <w:b/>
          <w:bCs/>
          <w:sz w:val="24"/>
          <w:szCs w:val="24"/>
        </w:rPr>
      </w:pPr>
    </w:p>
    <w:p w14:paraId="22493E84" w14:textId="134E3E41" w:rsidR="00283445" w:rsidRPr="00C10A48" w:rsidRDefault="00283445" w:rsidP="00F227A9">
      <w:pPr>
        <w:snapToGrid w:val="0"/>
        <w:spacing w:after="0" w:line="360" w:lineRule="auto"/>
        <w:jc w:val="both"/>
        <w:rPr>
          <w:rFonts w:ascii="Book Antiqua" w:hAnsi="Book Antiqua"/>
          <w:b/>
          <w:bCs/>
          <w:i/>
          <w:sz w:val="24"/>
          <w:szCs w:val="24"/>
        </w:rPr>
      </w:pPr>
      <w:r w:rsidRPr="00C10A48">
        <w:rPr>
          <w:rFonts w:ascii="Book Antiqua" w:hAnsi="Book Antiqua"/>
          <w:b/>
          <w:bCs/>
          <w:i/>
          <w:sz w:val="24"/>
          <w:szCs w:val="24"/>
        </w:rPr>
        <w:t>R</w:t>
      </w:r>
      <w:r w:rsidR="005B5D96" w:rsidRPr="00C10A48">
        <w:rPr>
          <w:rFonts w:ascii="Book Antiqua" w:hAnsi="Book Antiqua"/>
          <w:b/>
          <w:bCs/>
          <w:i/>
          <w:sz w:val="24"/>
          <w:szCs w:val="24"/>
        </w:rPr>
        <w:t>esearch results</w:t>
      </w:r>
    </w:p>
    <w:p w14:paraId="6EF0235F" w14:textId="1957F2F5" w:rsidR="00283445" w:rsidRPr="00C10A48" w:rsidRDefault="00283445" w:rsidP="00F227A9">
      <w:pPr>
        <w:snapToGrid w:val="0"/>
        <w:spacing w:after="0" w:line="360" w:lineRule="auto"/>
        <w:jc w:val="both"/>
        <w:rPr>
          <w:rFonts w:ascii="Book Antiqua" w:hAnsi="Book Antiqua"/>
          <w:bCs/>
          <w:sz w:val="24"/>
          <w:szCs w:val="24"/>
          <w:lang w:val="en-US"/>
        </w:rPr>
      </w:pPr>
      <w:r w:rsidRPr="00C10A48">
        <w:rPr>
          <w:rFonts w:ascii="Book Antiqua" w:hAnsi="Book Antiqua"/>
          <w:bCs/>
          <w:sz w:val="24"/>
          <w:szCs w:val="24"/>
        </w:rPr>
        <w:t>Eight randomized clinical trials</w:t>
      </w:r>
      <w:r w:rsidR="00586002">
        <w:rPr>
          <w:rFonts w:ascii="Book Antiqua" w:hAnsi="Book Antiqua" w:hint="eastAsia"/>
          <w:bCs/>
          <w:sz w:val="24"/>
          <w:szCs w:val="24"/>
          <w:lang w:eastAsia="zh-CN"/>
        </w:rPr>
        <w:t xml:space="preserve"> </w:t>
      </w:r>
      <w:r w:rsidRPr="00C10A48">
        <w:rPr>
          <w:rFonts w:ascii="Book Antiqua" w:hAnsi="Book Antiqua"/>
          <w:bCs/>
          <w:sz w:val="24"/>
          <w:szCs w:val="24"/>
        </w:rPr>
        <w:t xml:space="preserve">were included in the final analysis with a total of 596 patients, of whom 302 belonged to the propofol group and 294 to the midazolam group. </w:t>
      </w:r>
      <w:r w:rsidRPr="00C10A48">
        <w:rPr>
          <w:rFonts w:ascii="Book Antiqua" w:hAnsi="Book Antiqua"/>
          <w:bCs/>
          <w:sz w:val="24"/>
          <w:szCs w:val="24"/>
          <w:lang w:val="en-US"/>
        </w:rPr>
        <w:t xml:space="preserve">Procedure time was similar between midazolam and propofol groups; however, the recovery time and discharge time were </w:t>
      </w:r>
      <w:r w:rsidRPr="00C10A48">
        <w:rPr>
          <w:rFonts w:ascii="Book Antiqua" w:hAnsi="Book Antiqua"/>
          <w:bCs/>
          <w:sz w:val="24"/>
          <w:szCs w:val="24"/>
          <w:lang w:val="en-US"/>
        </w:rPr>
        <w:lastRenderedPageBreak/>
        <w:t>significantly less in the propofol group. Adverse events were similar in both groups, and no significant difference was found in rates of bradycardia, hypotension, and hypoxemia.</w:t>
      </w:r>
    </w:p>
    <w:p w14:paraId="0D89DB8E" w14:textId="77777777" w:rsidR="00283445" w:rsidRPr="00C10A48" w:rsidRDefault="00283445" w:rsidP="00F227A9">
      <w:pPr>
        <w:snapToGrid w:val="0"/>
        <w:spacing w:after="0" w:line="360" w:lineRule="auto"/>
        <w:jc w:val="both"/>
        <w:rPr>
          <w:rFonts w:ascii="Book Antiqua" w:hAnsi="Book Antiqua"/>
          <w:bCs/>
          <w:sz w:val="24"/>
          <w:szCs w:val="24"/>
          <w:lang w:val="en-US"/>
        </w:rPr>
      </w:pPr>
    </w:p>
    <w:p w14:paraId="7CB87EF8" w14:textId="788A987C" w:rsidR="00283445" w:rsidRPr="00C10A48" w:rsidRDefault="00283445" w:rsidP="00F227A9">
      <w:pPr>
        <w:snapToGrid w:val="0"/>
        <w:spacing w:after="0" w:line="360" w:lineRule="auto"/>
        <w:jc w:val="both"/>
        <w:rPr>
          <w:rFonts w:ascii="Book Antiqua" w:hAnsi="Book Antiqua"/>
          <w:b/>
          <w:bCs/>
          <w:i/>
          <w:sz w:val="24"/>
          <w:szCs w:val="24"/>
        </w:rPr>
      </w:pPr>
      <w:r w:rsidRPr="00C10A48">
        <w:rPr>
          <w:rFonts w:ascii="Book Antiqua" w:hAnsi="Book Antiqua"/>
          <w:b/>
          <w:bCs/>
          <w:i/>
          <w:sz w:val="24"/>
          <w:szCs w:val="24"/>
        </w:rPr>
        <w:t>R</w:t>
      </w:r>
      <w:r w:rsidR="005B5D96" w:rsidRPr="00C10A48">
        <w:rPr>
          <w:rFonts w:ascii="Book Antiqua" w:hAnsi="Book Antiqua"/>
          <w:b/>
          <w:bCs/>
          <w:i/>
          <w:sz w:val="24"/>
          <w:szCs w:val="24"/>
        </w:rPr>
        <w:t>esearch conclusions</w:t>
      </w:r>
    </w:p>
    <w:p w14:paraId="4CEBECA0" w14:textId="77777777" w:rsidR="00283445" w:rsidRPr="00C10A48" w:rsidRDefault="00283445" w:rsidP="00F227A9">
      <w:pPr>
        <w:snapToGrid w:val="0"/>
        <w:spacing w:after="0" w:line="360" w:lineRule="auto"/>
        <w:jc w:val="both"/>
        <w:rPr>
          <w:rFonts w:ascii="Book Antiqua" w:hAnsi="Book Antiqua"/>
          <w:bCs/>
          <w:sz w:val="24"/>
          <w:szCs w:val="24"/>
          <w:lang w:val="en-US"/>
        </w:rPr>
      </w:pPr>
      <w:r w:rsidRPr="00C10A48">
        <w:rPr>
          <w:rFonts w:ascii="Book Antiqua" w:hAnsi="Book Antiqua"/>
          <w:bCs/>
          <w:sz w:val="24"/>
          <w:szCs w:val="24"/>
          <w:lang w:val="en-US"/>
        </w:rPr>
        <w:t>Our study showed that propofol has shorter recovery and patient discharge time as compared to midazolam with a similar rate of adverse events. These results suggest that propofol should be the preferred agent for sedation in patients with cirrhosis.</w:t>
      </w:r>
    </w:p>
    <w:p w14:paraId="7808CC59" w14:textId="77777777" w:rsidR="005B5D96" w:rsidRPr="00C10A48" w:rsidRDefault="005B5D96" w:rsidP="00F227A9">
      <w:pPr>
        <w:snapToGrid w:val="0"/>
        <w:spacing w:after="0" w:line="360" w:lineRule="auto"/>
        <w:jc w:val="both"/>
        <w:rPr>
          <w:rFonts w:ascii="Book Antiqua" w:hAnsi="Book Antiqua"/>
          <w:b/>
          <w:bCs/>
          <w:sz w:val="24"/>
          <w:szCs w:val="24"/>
          <w:lang w:val="en-US"/>
        </w:rPr>
      </w:pPr>
    </w:p>
    <w:p w14:paraId="11E18BC5" w14:textId="1421419E" w:rsidR="00283445" w:rsidRPr="00C10A48" w:rsidRDefault="00283445" w:rsidP="00F227A9">
      <w:pPr>
        <w:snapToGrid w:val="0"/>
        <w:spacing w:after="0" w:line="360" w:lineRule="auto"/>
        <w:jc w:val="both"/>
        <w:rPr>
          <w:rFonts w:ascii="Book Antiqua" w:hAnsi="Book Antiqua"/>
          <w:b/>
          <w:bCs/>
          <w:i/>
          <w:sz w:val="24"/>
          <w:szCs w:val="24"/>
        </w:rPr>
      </w:pPr>
      <w:r w:rsidRPr="00C10A48">
        <w:rPr>
          <w:rFonts w:ascii="Book Antiqua" w:hAnsi="Book Antiqua"/>
          <w:b/>
          <w:bCs/>
          <w:i/>
          <w:sz w:val="24"/>
          <w:szCs w:val="24"/>
        </w:rPr>
        <w:t>R</w:t>
      </w:r>
      <w:r w:rsidR="005B5D96" w:rsidRPr="00C10A48">
        <w:rPr>
          <w:rFonts w:ascii="Book Antiqua" w:hAnsi="Book Antiqua"/>
          <w:b/>
          <w:bCs/>
          <w:i/>
          <w:sz w:val="24"/>
          <w:szCs w:val="24"/>
        </w:rPr>
        <w:t>esearch perspectives</w:t>
      </w:r>
    </w:p>
    <w:p w14:paraId="14BBCFA6" w14:textId="77777777" w:rsidR="00283445" w:rsidRPr="00C10A48" w:rsidRDefault="00283445" w:rsidP="00F227A9">
      <w:pPr>
        <w:snapToGrid w:val="0"/>
        <w:spacing w:after="0" w:line="360" w:lineRule="auto"/>
        <w:jc w:val="both"/>
        <w:rPr>
          <w:rFonts w:ascii="Book Antiqua" w:hAnsi="Book Antiqua"/>
          <w:bCs/>
          <w:sz w:val="24"/>
          <w:szCs w:val="24"/>
        </w:rPr>
      </w:pPr>
      <w:r w:rsidRPr="00C10A48">
        <w:rPr>
          <w:rFonts w:ascii="Book Antiqua" w:hAnsi="Book Antiqua"/>
          <w:bCs/>
          <w:sz w:val="24"/>
          <w:szCs w:val="24"/>
        </w:rPr>
        <w:t xml:space="preserve">Sedation medications used during endoscopy can differ in outcomes in patients with cirrhosis. Randomized control trials comparing outcomes and adverse events of multiple sedation protocols in patients with cirrhosis should be carried out in the future. </w:t>
      </w:r>
    </w:p>
    <w:p w14:paraId="739F4971" w14:textId="77777777" w:rsidR="00283445" w:rsidRPr="00C10A48" w:rsidRDefault="00283445" w:rsidP="00F227A9">
      <w:pPr>
        <w:snapToGrid w:val="0"/>
        <w:spacing w:after="0" w:line="360" w:lineRule="auto"/>
        <w:jc w:val="both"/>
        <w:rPr>
          <w:rFonts w:ascii="Book Antiqua" w:hAnsi="Book Antiqua"/>
          <w:sz w:val="24"/>
          <w:szCs w:val="24"/>
          <w:lang w:val="en-US"/>
        </w:rPr>
      </w:pPr>
    </w:p>
    <w:p w14:paraId="4435AF79" w14:textId="0291A3C1" w:rsidR="009F7FA3" w:rsidRPr="00C10A48" w:rsidRDefault="009F7FA3" w:rsidP="00F227A9">
      <w:pPr>
        <w:snapToGrid w:val="0"/>
        <w:spacing w:after="0" w:line="360" w:lineRule="auto"/>
        <w:jc w:val="both"/>
        <w:rPr>
          <w:rFonts w:ascii="Book Antiqua" w:hAnsi="Book Antiqua"/>
          <w:b/>
          <w:bCs/>
          <w:sz w:val="24"/>
          <w:szCs w:val="24"/>
          <w:lang w:val="en-US"/>
        </w:rPr>
      </w:pPr>
      <w:r w:rsidRPr="00C10A48">
        <w:rPr>
          <w:rFonts w:ascii="Book Antiqua" w:hAnsi="Book Antiqua"/>
          <w:b/>
          <w:bCs/>
          <w:sz w:val="24"/>
          <w:szCs w:val="24"/>
          <w:lang w:val="en-US"/>
        </w:rPr>
        <w:t>REFERENCES</w:t>
      </w:r>
    </w:p>
    <w:p w14:paraId="1463C69D"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1 </w:t>
      </w:r>
      <w:r w:rsidRPr="0039437F">
        <w:rPr>
          <w:rFonts w:ascii="Book Antiqua" w:hAnsi="Book Antiqua" w:cs="Times New Roman"/>
          <w:b/>
          <w:kern w:val="2"/>
          <w:sz w:val="24"/>
          <w:szCs w:val="24"/>
          <w:lang w:val="en-US" w:eastAsia="zh-CN"/>
        </w:rPr>
        <w:t>Anthony PP</w:t>
      </w:r>
      <w:r w:rsidRPr="0039437F">
        <w:rPr>
          <w:rFonts w:ascii="Book Antiqua" w:hAnsi="Book Antiqua" w:cs="Times New Roman"/>
          <w:kern w:val="2"/>
          <w:sz w:val="24"/>
          <w:szCs w:val="24"/>
          <w:lang w:val="en-US" w:eastAsia="zh-CN"/>
        </w:rPr>
        <w:t xml:space="preserve">, Ishak KG, Nayak NC, </w:t>
      </w:r>
      <w:proofErr w:type="spellStart"/>
      <w:r w:rsidRPr="0039437F">
        <w:rPr>
          <w:rFonts w:ascii="Book Antiqua" w:hAnsi="Book Antiqua" w:cs="Times New Roman"/>
          <w:kern w:val="2"/>
          <w:sz w:val="24"/>
          <w:szCs w:val="24"/>
          <w:lang w:val="en-US" w:eastAsia="zh-CN"/>
        </w:rPr>
        <w:t>Poulsen</w:t>
      </w:r>
      <w:proofErr w:type="spellEnd"/>
      <w:r w:rsidRPr="0039437F">
        <w:rPr>
          <w:rFonts w:ascii="Book Antiqua" w:hAnsi="Book Antiqua" w:cs="Times New Roman"/>
          <w:kern w:val="2"/>
          <w:sz w:val="24"/>
          <w:szCs w:val="24"/>
          <w:lang w:val="en-US" w:eastAsia="zh-CN"/>
        </w:rPr>
        <w:t xml:space="preserve"> HE, </w:t>
      </w:r>
      <w:proofErr w:type="spellStart"/>
      <w:r w:rsidRPr="0039437F">
        <w:rPr>
          <w:rFonts w:ascii="Book Antiqua" w:hAnsi="Book Antiqua" w:cs="Times New Roman"/>
          <w:kern w:val="2"/>
          <w:sz w:val="24"/>
          <w:szCs w:val="24"/>
          <w:lang w:val="en-US" w:eastAsia="zh-CN"/>
        </w:rPr>
        <w:t>Scheuer</w:t>
      </w:r>
      <w:proofErr w:type="spellEnd"/>
      <w:r w:rsidRPr="0039437F">
        <w:rPr>
          <w:rFonts w:ascii="Book Antiqua" w:hAnsi="Book Antiqua" w:cs="Times New Roman"/>
          <w:kern w:val="2"/>
          <w:sz w:val="24"/>
          <w:szCs w:val="24"/>
          <w:lang w:val="en-US" w:eastAsia="zh-CN"/>
        </w:rPr>
        <w:t xml:space="preserve"> PJ, </w:t>
      </w:r>
      <w:proofErr w:type="spellStart"/>
      <w:r w:rsidRPr="0039437F">
        <w:rPr>
          <w:rFonts w:ascii="Book Antiqua" w:hAnsi="Book Antiqua" w:cs="Times New Roman"/>
          <w:kern w:val="2"/>
          <w:sz w:val="24"/>
          <w:szCs w:val="24"/>
          <w:lang w:val="en-US" w:eastAsia="zh-CN"/>
        </w:rPr>
        <w:t>Sobin</w:t>
      </w:r>
      <w:proofErr w:type="spellEnd"/>
      <w:r w:rsidRPr="0039437F">
        <w:rPr>
          <w:rFonts w:ascii="Book Antiqua" w:hAnsi="Book Antiqua" w:cs="Times New Roman"/>
          <w:kern w:val="2"/>
          <w:sz w:val="24"/>
          <w:szCs w:val="24"/>
          <w:lang w:val="en-US" w:eastAsia="zh-CN"/>
        </w:rPr>
        <w:t xml:space="preserve"> LH. </w:t>
      </w:r>
      <w:proofErr w:type="gramStart"/>
      <w:r w:rsidRPr="0039437F">
        <w:rPr>
          <w:rFonts w:ascii="Book Antiqua" w:hAnsi="Book Antiqua" w:cs="Times New Roman"/>
          <w:kern w:val="2"/>
          <w:sz w:val="24"/>
          <w:szCs w:val="24"/>
          <w:lang w:val="en-US" w:eastAsia="zh-CN"/>
        </w:rPr>
        <w:t>The morphology of cirrhosis.</w:t>
      </w:r>
      <w:proofErr w:type="gramEnd"/>
      <w:r w:rsidRPr="0039437F">
        <w:rPr>
          <w:rFonts w:ascii="Book Antiqua" w:hAnsi="Book Antiqua" w:cs="Times New Roman"/>
          <w:kern w:val="2"/>
          <w:sz w:val="24"/>
          <w:szCs w:val="24"/>
          <w:lang w:val="en-US" w:eastAsia="zh-CN"/>
        </w:rPr>
        <w:t xml:space="preserve"> </w:t>
      </w:r>
      <w:proofErr w:type="gramStart"/>
      <w:r w:rsidRPr="0039437F">
        <w:rPr>
          <w:rFonts w:ascii="Book Antiqua" w:hAnsi="Book Antiqua" w:cs="Times New Roman"/>
          <w:kern w:val="2"/>
          <w:sz w:val="24"/>
          <w:szCs w:val="24"/>
          <w:lang w:val="en-US" w:eastAsia="zh-CN"/>
        </w:rPr>
        <w:t>Recommendations on definition, nomenclature, and classification by a working group sponsored by the World Health Organization.</w:t>
      </w:r>
      <w:proofErr w:type="gramEnd"/>
      <w:r w:rsidRPr="0039437F">
        <w:rPr>
          <w:rFonts w:ascii="Book Antiqua" w:hAnsi="Book Antiqua" w:cs="Times New Roman"/>
          <w:kern w:val="2"/>
          <w:sz w:val="24"/>
          <w:szCs w:val="24"/>
          <w:lang w:val="en-US" w:eastAsia="zh-CN"/>
        </w:rPr>
        <w:t xml:space="preserve"> </w:t>
      </w:r>
      <w:r w:rsidRPr="0039437F">
        <w:rPr>
          <w:rFonts w:ascii="Book Antiqua" w:hAnsi="Book Antiqua" w:cs="Times New Roman"/>
          <w:i/>
          <w:kern w:val="2"/>
          <w:sz w:val="24"/>
          <w:szCs w:val="24"/>
          <w:lang w:val="en-US" w:eastAsia="zh-CN"/>
        </w:rPr>
        <w:t xml:space="preserve">J </w:t>
      </w:r>
      <w:proofErr w:type="spellStart"/>
      <w:r w:rsidRPr="0039437F">
        <w:rPr>
          <w:rFonts w:ascii="Book Antiqua" w:hAnsi="Book Antiqua" w:cs="Times New Roman"/>
          <w:i/>
          <w:kern w:val="2"/>
          <w:sz w:val="24"/>
          <w:szCs w:val="24"/>
          <w:lang w:val="en-US" w:eastAsia="zh-CN"/>
        </w:rPr>
        <w:t>Clin</w:t>
      </w:r>
      <w:proofErr w:type="spellEnd"/>
      <w:r w:rsidRPr="0039437F">
        <w:rPr>
          <w:rFonts w:ascii="Book Antiqua" w:hAnsi="Book Antiqua" w:cs="Times New Roman"/>
          <w:i/>
          <w:kern w:val="2"/>
          <w:sz w:val="24"/>
          <w:szCs w:val="24"/>
          <w:lang w:val="en-US" w:eastAsia="zh-CN"/>
        </w:rPr>
        <w:t xml:space="preserve"> </w:t>
      </w:r>
      <w:proofErr w:type="spellStart"/>
      <w:r w:rsidRPr="0039437F">
        <w:rPr>
          <w:rFonts w:ascii="Book Antiqua" w:hAnsi="Book Antiqua" w:cs="Times New Roman"/>
          <w:i/>
          <w:kern w:val="2"/>
          <w:sz w:val="24"/>
          <w:szCs w:val="24"/>
          <w:lang w:val="en-US" w:eastAsia="zh-CN"/>
        </w:rPr>
        <w:t>Pathol</w:t>
      </w:r>
      <w:proofErr w:type="spellEnd"/>
      <w:r w:rsidRPr="0039437F">
        <w:rPr>
          <w:rFonts w:ascii="Book Antiqua" w:hAnsi="Book Antiqua" w:cs="Times New Roman"/>
          <w:kern w:val="2"/>
          <w:sz w:val="24"/>
          <w:szCs w:val="24"/>
          <w:lang w:val="en-US" w:eastAsia="zh-CN"/>
        </w:rPr>
        <w:t xml:space="preserve"> 1978; </w:t>
      </w:r>
      <w:r w:rsidRPr="0039437F">
        <w:rPr>
          <w:rFonts w:ascii="Book Antiqua" w:hAnsi="Book Antiqua" w:cs="Times New Roman"/>
          <w:b/>
          <w:kern w:val="2"/>
          <w:sz w:val="24"/>
          <w:szCs w:val="24"/>
          <w:lang w:val="en-US" w:eastAsia="zh-CN"/>
        </w:rPr>
        <w:t>31</w:t>
      </w:r>
      <w:r w:rsidRPr="0039437F">
        <w:rPr>
          <w:rFonts w:ascii="Book Antiqua" w:hAnsi="Book Antiqua" w:cs="Times New Roman"/>
          <w:kern w:val="2"/>
          <w:sz w:val="24"/>
          <w:szCs w:val="24"/>
          <w:lang w:val="en-US" w:eastAsia="zh-CN"/>
        </w:rPr>
        <w:t>: 395-414 [PMID: 649765 DOI: 10.1136/jcp.31.5.395]</w:t>
      </w:r>
    </w:p>
    <w:p w14:paraId="52C74150"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2 </w:t>
      </w:r>
      <w:r w:rsidRPr="0039437F">
        <w:rPr>
          <w:rFonts w:ascii="Book Antiqua" w:hAnsi="Book Antiqua" w:cs="Times New Roman"/>
          <w:b/>
          <w:kern w:val="2"/>
          <w:sz w:val="24"/>
          <w:szCs w:val="24"/>
          <w:lang w:val="en-US" w:eastAsia="zh-CN"/>
        </w:rPr>
        <w:t xml:space="preserve">American </w:t>
      </w:r>
      <w:proofErr w:type="gramStart"/>
      <w:r w:rsidRPr="0039437F">
        <w:rPr>
          <w:rFonts w:ascii="Book Antiqua" w:hAnsi="Book Antiqua" w:cs="Times New Roman"/>
          <w:b/>
          <w:kern w:val="2"/>
          <w:sz w:val="24"/>
          <w:szCs w:val="24"/>
          <w:lang w:val="en-US" w:eastAsia="zh-CN"/>
        </w:rPr>
        <w:t>Association</w:t>
      </w:r>
      <w:proofErr w:type="gramEnd"/>
      <w:r w:rsidRPr="0039437F">
        <w:rPr>
          <w:rFonts w:ascii="Book Antiqua" w:hAnsi="Book Antiqua" w:cs="Times New Roman"/>
          <w:b/>
          <w:kern w:val="2"/>
          <w:sz w:val="24"/>
          <w:szCs w:val="24"/>
          <w:lang w:val="en-US" w:eastAsia="zh-CN"/>
        </w:rPr>
        <w:t xml:space="preserve"> for the Study of Liver Diseases</w:t>
      </w:r>
      <w:r w:rsidRPr="0039437F">
        <w:rPr>
          <w:rFonts w:ascii="Book Antiqua" w:hAnsi="Book Antiqua" w:cs="Times New Roman"/>
          <w:kern w:val="2"/>
          <w:sz w:val="24"/>
          <w:szCs w:val="24"/>
          <w:lang w:val="en-US" w:eastAsia="zh-CN"/>
        </w:rPr>
        <w:t xml:space="preserve">; European Association for the Study of the Liver. Hepatic encephalopathy in chronic liver disease: 2014 practice guideline by the European Association for the Study of the Liver and the American Association for the Study of Liver Diseases. </w:t>
      </w:r>
      <w:r w:rsidRPr="0039437F">
        <w:rPr>
          <w:rFonts w:ascii="Book Antiqua" w:hAnsi="Book Antiqua" w:cs="Times New Roman"/>
          <w:i/>
          <w:kern w:val="2"/>
          <w:sz w:val="24"/>
          <w:szCs w:val="24"/>
          <w:lang w:val="en-US" w:eastAsia="zh-CN"/>
        </w:rPr>
        <w:t xml:space="preserve">J </w:t>
      </w:r>
      <w:proofErr w:type="spellStart"/>
      <w:r w:rsidRPr="0039437F">
        <w:rPr>
          <w:rFonts w:ascii="Book Antiqua" w:hAnsi="Book Antiqua" w:cs="Times New Roman"/>
          <w:i/>
          <w:kern w:val="2"/>
          <w:sz w:val="24"/>
          <w:szCs w:val="24"/>
          <w:lang w:val="en-US" w:eastAsia="zh-CN"/>
        </w:rPr>
        <w:t>Hepatol</w:t>
      </w:r>
      <w:proofErr w:type="spellEnd"/>
      <w:r w:rsidRPr="0039437F">
        <w:rPr>
          <w:rFonts w:ascii="Book Antiqua" w:hAnsi="Book Antiqua" w:cs="Times New Roman"/>
          <w:kern w:val="2"/>
          <w:sz w:val="24"/>
          <w:szCs w:val="24"/>
          <w:lang w:val="en-US" w:eastAsia="zh-CN"/>
        </w:rPr>
        <w:t xml:space="preserve"> 2014; </w:t>
      </w:r>
      <w:r w:rsidRPr="0039437F">
        <w:rPr>
          <w:rFonts w:ascii="Book Antiqua" w:hAnsi="Book Antiqua" w:cs="Times New Roman"/>
          <w:b/>
          <w:kern w:val="2"/>
          <w:sz w:val="24"/>
          <w:szCs w:val="24"/>
          <w:lang w:val="en-US" w:eastAsia="zh-CN"/>
        </w:rPr>
        <w:t>61</w:t>
      </w:r>
      <w:r w:rsidRPr="0039437F">
        <w:rPr>
          <w:rFonts w:ascii="Book Antiqua" w:hAnsi="Book Antiqua" w:cs="Times New Roman"/>
          <w:kern w:val="2"/>
          <w:sz w:val="24"/>
          <w:szCs w:val="24"/>
          <w:lang w:val="en-US" w:eastAsia="zh-CN"/>
        </w:rPr>
        <w:t>: 642-659 [PMID: 25015420 DOI: 10.1016/j.jhep.2014.05.042]</w:t>
      </w:r>
    </w:p>
    <w:p w14:paraId="41217074"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3 </w:t>
      </w:r>
      <w:proofErr w:type="spellStart"/>
      <w:r w:rsidRPr="0039437F">
        <w:rPr>
          <w:rFonts w:ascii="Book Antiqua" w:hAnsi="Book Antiqua" w:cs="Times New Roman"/>
          <w:b/>
          <w:kern w:val="2"/>
          <w:sz w:val="24"/>
          <w:szCs w:val="24"/>
          <w:lang w:val="en-US" w:eastAsia="zh-CN"/>
        </w:rPr>
        <w:t>Lôbo</w:t>
      </w:r>
      <w:proofErr w:type="spellEnd"/>
      <w:r w:rsidRPr="0039437F">
        <w:rPr>
          <w:rFonts w:ascii="Book Antiqua" w:hAnsi="Book Antiqua" w:cs="Times New Roman"/>
          <w:b/>
          <w:kern w:val="2"/>
          <w:sz w:val="24"/>
          <w:szCs w:val="24"/>
          <w:lang w:val="en-US" w:eastAsia="zh-CN"/>
        </w:rPr>
        <w:t xml:space="preserve"> MR de A,</w:t>
      </w:r>
      <w:r w:rsidRPr="0039437F">
        <w:rPr>
          <w:rFonts w:ascii="Book Antiqua" w:hAnsi="Book Antiqua" w:cs="Times New Roman"/>
          <w:kern w:val="2"/>
          <w:sz w:val="24"/>
          <w:szCs w:val="24"/>
          <w:lang w:val="en-US" w:eastAsia="zh-CN"/>
        </w:rPr>
        <w:t xml:space="preserve">  Chaves DM, DE </w:t>
      </w:r>
      <w:proofErr w:type="spellStart"/>
      <w:r w:rsidRPr="0039437F">
        <w:rPr>
          <w:rFonts w:ascii="Book Antiqua" w:hAnsi="Book Antiqua" w:cs="Times New Roman"/>
          <w:kern w:val="2"/>
          <w:sz w:val="24"/>
          <w:szCs w:val="24"/>
          <w:lang w:val="en-US" w:eastAsia="zh-CN"/>
        </w:rPr>
        <w:t>Moura</w:t>
      </w:r>
      <w:proofErr w:type="spellEnd"/>
      <w:r w:rsidRPr="0039437F">
        <w:rPr>
          <w:rFonts w:ascii="Book Antiqua" w:hAnsi="Book Antiqua" w:cs="Times New Roman"/>
          <w:kern w:val="2"/>
          <w:sz w:val="24"/>
          <w:szCs w:val="24"/>
          <w:lang w:val="en-US" w:eastAsia="zh-CN"/>
        </w:rPr>
        <w:t xml:space="preserve"> DTH, </w:t>
      </w:r>
      <w:proofErr w:type="spellStart"/>
      <w:r w:rsidRPr="0039437F">
        <w:rPr>
          <w:rFonts w:ascii="Book Antiqua" w:hAnsi="Book Antiqua" w:cs="Times New Roman"/>
          <w:kern w:val="2"/>
          <w:sz w:val="24"/>
          <w:szCs w:val="24"/>
          <w:lang w:val="en-US" w:eastAsia="zh-CN"/>
        </w:rPr>
        <w:t>Ribeiro</w:t>
      </w:r>
      <w:proofErr w:type="spellEnd"/>
      <w:r w:rsidRPr="0039437F">
        <w:rPr>
          <w:rFonts w:ascii="Book Antiqua" w:hAnsi="Book Antiqua" w:cs="Times New Roman"/>
          <w:kern w:val="2"/>
          <w:sz w:val="24"/>
          <w:szCs w:val="24"/>
          <w:lang w:val="en-US" w:eastAsia="zh-CN"/>
        </w:rPr>
        <w:t xml:space="preserve"> IB, </w:t>
      </w:r>
      <w:proofErr w:type="spellStart"/>
      <w:r w:rsidRPr="0039437F">
        <w:rPr>
          <w:rFonts w:ascii="Book Antiqua" w:hAnsi="Book Antiqua" w:cs="Times New Roman"/>
          <w:kern w:val="2"/>
          <w:sz w:val="24"/>
          <w:szCs w:val="24"/>
          <w:lang w:val="en-US" w:eastAsia="zh-CN"/>
        </w:rPr>
        <w:t>Ikari</w:t>
      </w:r>
      <w:proofErr w:type="spellEnd"/>
      <w:r w:rsidRPr="0039437F">
        <w:rPr>
          <w:rFonts w:ascii="Book Antiqua" w:hAnsi="Book Antiqua" w:cs="Times New Roman"/>
          <w:kern w:val="2"/>
          <w:sz w:val="24"/>
          <w:szCs w:val="24"/>
          <w:lang w:val="en-US" w:eastAsia="zh-CN"/>
        </w:rPr>
        <w:t xml:space="preserve"> E, DE </w:t>
      </w:r>
      <w:proofErr w:type="spellStart"/>
      <w:r w:rsidRPr="0039437F">
        <w:rPr>
          <w:rFonts w:ascii="Book Antiqua" w:hAnsi="Book Antiqua" w:cs="Times New Roman"/>
          <w:kern w:val="2"/>
          <w:sz w:val="24"/>
          <w:szCs w:val="24"/>
          <w:lang w:val="en-US" w:eastAsia="zh-CN"/>
        </w:rPr>
        <w:t>Moura</w:t>
      </w:r>
      <w:proofErr w:type="spellEnd"/>
      <w:r w:rsidRPr="0039437F">
        <w:rPr>
          <w:rFonts w:ascii="Book Antiqua" w:hAnsi="Book Antiqua" w:cs="Times New Roman"/>
          <w:kern w:val="2"/>
          <w:sz w:val="24"/>
          <w:szCs w:val="24"/>
          <w:lang w:val="en-US" w:eastAsia="zh-CN"/>
        </w:rPr>
        <w:t xml:space="preserve"> EGH. Safety and efficacy of </w:t>
      </w:r>
      <w:r w:rsidRPr="0039437F">
        <w:rPr>
          <w:rFonts w:ascii="Book Antiqua" w:hAnsi="Book Antiqua" w:cs="Times New Roman"/>
          <w:caps/>
          <w:kern w:val="2"/>
          <w:sz w:val="24"/>
          <w:szCs w:val="24"/>
          <w:lang w:val="en-US" w:eastAsia="zh-CN"/>
        </w:rPr>
        <w:t>eus-</w:t>
      </w:r>
      <w:r w:rsidRPr="0039437F">
        <w:rPr>
          <w:rFonts w:ascii="Book Antiqua" w:hAnsi="Book Antiqua" w:cs="Times New Roman"/>
          <w:kern w:val="2"/>
          <w:sz w:val="24"/>
          <w:szCs w:val="24"/>
          <w:lang w:val="en-US" w:eastAsia="zh-CN"/>
        </w:rPr>
        <w:t xml:space="preserve">guided coil plus cyanoacrylate versus conventional cyanoacrylate technique in the treatment of gastric varices: a randomized controlled trial. </w:t>
      </w:r>
      <w:proofErr w:type="spellStart"/>
      <w:r w:rsidRPr="0039437F">
        <w:rPr>
          <w:rFonts w:ascii="Book Antiqua" w:hAnsi="Book Antiqua" w:cs="Times New Roman"/>
          <w:i/>
          <w:kern w:val="2"/>
          <w:sz w:val="24"/>
          <w:szCs w:val="24"/>
          <w:lang w:val="en-US" w:eastAsia="zh-CN"/>
        </w:rPr>
        <w:t>Arq</w:t>
      </w:r>
      <w:proofErr w:type="spellEnd"/>
      <w:r w:rsidRPr="0039437F">
        <w:rPr>
          <w:rFonts w:ascii="Book Antiqua" w:hAnsi="Book Antiqua" w:cs="Times New Roman"/>
          <w:i/>
          <w:kern w:val="2"/>
          <w:sz w:val="24"/>
          <w:szCs w:val="24"/>
          <w:lang w:val="en-US" w:eastAsia="zh-CN"/>
        </w:rPr>
        <w:t xml:space="preserve"> </w:t>
      </w:r>
      <w:proofErr w:type="spellStart"/>
      <w:r w:rsidRPr="0039437F">
        <w:rPr>
          <w:rFonts w:ascii="Book Antiqua" w:hAnsi="Book Antiqua" w:cs="Times New Roman"/>
          <w:i/>
          <w:kern w:val="2"/>
          <w:sz w:val="24"/>
          <w:szCs w:val="24"/>
          <w:lang w:val="en-US" w:eastAsia="zh-CN"/>
        </w:rPr>
        <w:t>Gastroenterol</w:t>
      </w:r>
      <w:proofErr w:type="spellEnd"/>
      <w:r w:rsidRPr="0039437F">
        <w:rPr>
          <w:rFonts w:ascii="Book Antiqua" w:hAnsi="Book Antiqua" w:cs="Times New Roman"/>
          <w:kern w:val="2"/>
          <w:sz w:val="24"/>
          <w:szCs w:val="24"/>
          <w:lang w:val="en-US" w:eastAsia="zh-CN"/>
        </w:rPr>
        <w:t xml:space="preserve"> 2019; </w:t>
      </w:r>
      <w:r w:rsidRPr="0039437F">
        <w:rPr>
          <w:rFonts w:ascii="Book Antiqua" w:hAnsi="Book Antiqua" w:cs="Times New Roman"/>
          <w:b/>
          <w:kern w:val="2"/>
          <w:sz w:val="24"/>
          <w:szCs w:val="24"/>
          <w:lang w:val="en-US" w:eastAsia="zh-CN"/>
        </w:rPr>
        <w:t>56</w:t>
      </w:r>
      <w:r w:rsidRPr="0039437F">
        <w:rPr>
          <w:rFonts w:ascii="Book Antiqua" w:hAnsi="Book Antiqua" w:cs="Times New Roman"/>
          <w:kern w:val="2"/>
          <w:sz w:val="24"/>
          <w:szCs w:val="24"/>
          <w:lang w:val="en-US" w:eastAsia="zh-CN"/>
        </w:rPr>
        <w:t>: 99-105 [PMID: 31141079 DOI: 10.1590/S0004-2803.201900000-08]</w:t>
      </w:r>
    </w:p>
    <w:p w14:paraId="3AE3FC8A"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proofErr w:type="gramStart"/>
      <w:r w:rsidRPr="0039437F">
        <w:rPr>
          <w:rFonts w:ascii="Book Antiqua" w:hAnsi="Book Antiqua" w:cs="Times New Roman"/>
          <w:kern w:val="2"/>
          <w:sz w:val="24"/>
          <w:szCs w:val="24"/>
          <w:lang w:val="en-US" w:eastAsia="zh-CN"/>
        </w:rPr>
        <w:lastRenderedPageBreak/>
        <w:t xml:space="preserve">4 </w:t>
      </w:r>
      <w:r w:rsidRPr="0039437F">
        <w:rPr>
          <w:rFonts w:ascii="Book Antiqua" w:hAnsi="Book Antiqua" w:cs="Times New Roman"/>
          <w:b/>
          <w:kern w:val="2"/>
          <w:sz w:val="24"/>
          <w:szCs w:val="24"/>
          <w:lang w:val="en-US" w:eastAsia="zh-CN"/>
        </w:rPr>
        <w:t>Runyon BA</w:t>
      </w:r>
      <w:r w:rsidRPr="0039437F">
        <w:rPr>
          <w:rFonts w:ascii="Book Antiqua" w:hAnsi="Book Antiqua" w:cs="Times New Roman"/>
          <w:kern w:val="2"/>
          <w:sz w:val="24"/>
          <w:szCs w:val="24"/>
          <w:lang w:val="en-US" w:eastAsia="zh-CN"/>
        </w:rPr>
        <w:t>; AASLD Practice Guidelines Committee.</w:t>
      </w:r>
      <w:proofErr w:type="gramEnd"/>
      <w:r w:rsidRPr="0039437F">
        <w:rPr>
          <w:rFonts w:ascii="Book Antiqua" w:hAnsi="Book Antiqua" w:cs="Times New Roman"/>
          <w:kern w:val="2"/>
          <w:sz w:val="24"/>
          <w:szCs w:val="24"/>
          <w:lang w:val="en-US" w:eastAsia="zh-CN"/>
        </w:rPr>
        <w:t xml:space="preserve"> Management of adult patients with ascites due to cirrhosis: an update. </w:t>
      </w:r>
      <w:r w:rsidRPr="0039437F">
        <w:rPr>
          <w:rFonts w:ascii="Book Antiqua" w:hAnsi="Book Antiqua" w:cs="Times New Roman"/>
          <w:i/>
          <w:kern w:val="2"/>
          <w:sz w:val="24"/>
          <w:szCs w:val="24"/>
          <w:lang w:val="en-US" w:eastAsia="zh-CN"/>
        </w:rPr>
        <w:t>Hepatology</w:t>
      </w:r>
      <w:r w:rsidRPr="0039437F">
        <w:rPr>
          <w:rFonts w:ascii="Book Antiqua" w:hAnsi="Book Antiqua" w:cs="Times New Roman"/>
          <w:kern w:val="2"/>
          <w:sz w:val="24"/>
          <w:szCs w:val="24"/>
          <w:lang w:val="en-US" w:eastAsia="zh-CN"/>
        </w:rPr>
        <w:t xml:space="preserve"> 2009; </w:t>
      </w:r>
      <w:r w:rsidRPr="0039437F">
        <w:rPr>
          <w:rFonts w:ascii="Book Antiqua" w:hAnsi="Book Antiqua" w:cs="Times New Roman"/>
          <w:b/>
          <w:kern w:val="2"/>
          <w:sz w:val="24"/>
          <w:szCs w:val="24"/>
          <w:lang w:val="en-US" w:eastAsia="zh-CN"/>
        </w:rPr>
        <w:t>49</w:t>
      </w:r>
      <w:r w:rsidRPr="0039437F">
        <w:rPr>
          <w:rFonts w:ascii="Book Antiqua" w:hAnsi="Book Antiqua" w:cs="Times New Roman"/>
          <w:kern w:val="2"/>
          <w:sz w:val="24"/>
          <w:szCs w:val="24"/>
          <w:lang w:val="en-US" w:eastAsia="zh-CN"/>
        </w:rPr>
        <w:t>: 2087-2107 [PMID: 19475696 DOI: 10.1002/hep.22853]</w:t>
      </w:r>
    </w:p>
    <w:p w14:paraId="575C1146"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5 </w:t>
      </w:r>
      <w:r w:rsidRPr="0039437F">
        <w:rPr>
          <w:rFonts w:ascii="Book Antiqua" w:hAnsi="Book Antiqua" w:cs="Times New Roman"/>
          <w:b/>
          <w:kern w:val="2"/>
          <w:sz w:val="24"/>
          <w:szCs w:val="24"/>
          <w:lang w:val="en-US" w:eastAsia="zh-CN"/>
        </w:rPr>
        <w:t>Garg H</w:t>
      </w:r>
      <w:r w:rsidRPr="0039437F">
        <w:rPr>
          <w:rFonts w:ascii="Book Antiqua" w:hAnsi="Book Antiqua" w:cs="Times New Roman"/>
          <w:kern w:val="2"/>
          <w:sz w:val="24"/>
          <w:szCs w:val="24"/>
          <w:lang w:val="en-US" w:eastAsia="zh-CN"/>
        </w:rPr>
        <w:t xml:space="preserve">, Gupta S, </w:t>
      </w:r>
      <w:proofErr w:type="spellStart"/>
      <w:r w:rsidRPr="0039437F">
        <w:rPr>
          <w:rFonts w:ascii="Book Antiqua" w:hAnsi="Book Antiqua" w:cs="Times New Roman"/>
          <w:kern w:val="2"/>
          <w:sz w:val="24"/>
          <w:szCs w:val="24"/>
          <w:lang w:val="en-US" w:eastAsia="zh-CN"/>
        </w:rPr>
        <w:t>Anand</w:t>
      </w:r>
      <w:proofErr w:type="spellEnd"/>
      <w:r w:rsidRPr="0039437F">
        <w:rPr>
          <w:rFonts w:ascii="Book Antiqua" w:hAnsi="Book Antiqua" w:cs="Times New Roman"/>
          <w:kern w:val="2"/>
          <w:sz w:val="24"/>
          <w:szCs w:val="24"/>
          <w:lang w:val="en-US" w:eastAsia="zh-CN"/>
        </w:rPr>
        <w:t xml:space="preserve"> AC, </w:t>
      </w:r>
      <w:proofErr w:type="spellStart"/>
      <w:r w:rsidRPr="0039437F">
        <w:rPr>
          <w:rFonts w:ascii="Book Antiqua" w:hAnsi="Book Antiqua" w:cs="Times New Roman"/>
          <w:kern w:val="2"/>
          <w:sz w:val="24"/>
          <w:szCs w:val="24"/>
          <w:lang w:val="en-US" w:eastAsia="zh-CN"/>
        </w:rPr>
        <w:t>Broor</w:t>
      </w:r>
      <w:proofErr w:type="spellEnd"/>
      <w:r w:rsidRPr="0039437F">
        <w:rPr>
          <w:rFonts w:ascii="Book Antiqua" w:hAnsi="Book Antiqua" w:cs="Times New Roman"/>
          <w:kern w:val="2"/>
          <w:sz w:val="24"/>
          <w:szCs w:val="24"/>
          <w:lang w:val="en-US" w:eastAsia="zh-CN"/>
        </w:rPr>
        <w:t xml:space="preserve"> SL. Portal hypertensive gastropathy and gastric antral vascular ectasia. </w:t>
      </w:r>
      <w:r w:rsidRPr="0039437F">
        <w:rPr>
          <w:rFonts w:ascii="Book Antiqua" w:hAnsi="Book Antiqua" w:cs="Times New Roman"/>
          <w:i/>
          <w:kern w:val="2"/>
          <w:sz w:val="24"/>
          <w:szCs w:val="24"/>
          <w:lang w:val="en-US" w:eastAsia="zh-CN"/>
        </w:rPr>
        <w:t>Indian J Gastroenterol</w:t>
      </w:r>
      <w:r w:rsidRPr="0039437F">
        <w:rPr>
          <w:rFonts w:ascii="Book Antiqua" w:hAnsi="Book Antiqua" w:cs="Times New Roman"/>
          <w:kern w:val="2"/>
          <w:sz w:val="24"/>
          <w:szCs w:val="24"/>
          <w:lang w:val="en-US" w:eastAsia="zh-CN"/>
        </w:rPr>
        <w:t xml:space="preserve"> 2015; </w:t>
      </w:r>
      <w:r w:rsidRPr="0039437F">
        <w:rPr>
          <w:rFonts w:ascii="Book Antiqua" w:hAnsi="Book Antiqua" w:cs="Times New Roman"/>
          <w:b/>
          <w:kern w:val="2"/>
          <w:sz w:val="24"/>
          <w:szCs w:val="24"/>
          <w:lang w:val="en-US" w:eastAsia="zh-CN"/>
        </w:rPr>
        <w:t>34</w:t>
      </w:r>
      <w:r w:rsidRPr="0039437F">
        <w:rPr>
          <w:rFonts w:ascii="Book Antiqua" w:hAnsi="Book Antiqua" w:cs="Times New Roman"/>
          <w:kern w:val="2"/>
          <w:sz w:val="24"/>
          <w:szCs w:val="24"/>
          <w:lang w:val="en-US" w:eastAsia="zh-CN"/>
        </w:rPr>
        <w:t>: 351-358 [PMID: 26564121 DOI: 10.1007/s12664-015-0605-0]</w:t>
      </w:r>
    </w:p>
    <w:p w14:paraId="020F8DCA"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6 </w:t>
      </w:r>
      <w:r w:rsidRPr="0039437F">
        <w:rPr>
          <w:rFonts w:ascii="Book Antiqua" w:hAnsi="Book Antiqua" w:cs="Times New Roman"/>
          <w:b/>
          <w:kern w:val="2"/>
          <w:sz w:val="24"/>
          <w:szCs w:val="24"/>
          <w:lang w:val="en-US" w:eastAsia="zh-CN"/>
        </w:rPr>
        <w:t>de Moura DTH</w:t>
      </w:r>
      <w:r w:rsidRPr="0039437F">
        <w:rPr>
          <w:rFonts w:ascii="Book Antiqua" w:hAnsi="Book Antiqua" w:cs="Times New Roman"/>
          <w:kern w:val="2"/>
          <w:sz w:val="24"/>
          <w:szCs w:val="24"/>
          <w:lang w:val="en-US" w:eastAsia="zh-CN"/>
        </w:rPr>
        <w:t xml:space="preserve">, McCarty TR, </w:t>
      </w:r>
      <w:proofErr w:type="spellStart"/>
      <w:r w:rsidRPr="0039437F">
        <w:rPr>
          <w:rFonts w:ascii="Book Antiqua" w:hAnsi="Book Antiqua" w:cs="Times New Roman"/>
          <w:kern w:val="2"/>
          <w:sz w:val="24"/>
          <w:szCs w:val="24"/>
          <w:lang w:val="en-US" w:eastAsia="zh-CN"/>
        </w:rPr>
        <w:t>Jirapinyo</w:t>
      </w:r>
      <w:proofErr w:type="spellEnd"/>
      <w:r w:rsidRPr="0039437F">
        <w:rPr>
          <w:rFonts w:ascii="Book Antiqua" w:hAnsi="Book Antiqua" w:cs="Times New Roman"/>
          <w:kern w:val="2"/>
          <w:sz w:val="24"/>
          <w:szCs w:val="24"/>
          <w:lang w:val="en-US" w:eastAsia="zh-CN"/>
        </w:rPr>
        <w:t xml:space="preserve"> P, </w:t>
      </w:r>
      <w:proofErr w:type="spellStart"/>
      <w:r w:rsidRPr="0039437F">
        <w:rPr>
          <w:rFonts w:ascii="Book Antiqua" w:hAnsi="Book Antiqua" w:cs="Times New Roman"/>
          <w:kern w:val="2"/>
          <w:sz w:val="24"/>
          <w:szCs w:val="24"/>
          <w:lang w:val="en-US" w:eastAsia="zh-CN"/>
        </w:rPr>
        <w:t>Ribeiro</w:t>
      </w:r>
      <w:proofErr w:type="spellEnd"/>
      <w:r w:rsidRPr="0039437F">
        <w:rPr>
          <w:rFonts w:ascii="Book Antiqua" w:hAnsi="Book Antiqua" w:cs="Times New Roman"/>
          <w:kern w:val="2"/>
          <w:sz w:val="24"/>
          <w:szCs w:val="24"/>
          <w:lang w:val="en-US" w:eastAsia="zh-CN"/>
        </w:rPr>
        <w:t xml:space="preserve"> IB, </w:t>
      </w:r>
      <w:proofErr w:type="spellStart"/>
      <w:r w:rsidRPr="0039437F">
        <w:rPr>
          <w:rFonts w:ascii="Book Antiqua" w:hAnsi="Book Antiqua" w:cs="Times New Roman"/>
          <w:kern w:val="2"/>
          <w:sz w:val="24"/>
          <w:szCs w:val="24"/>
          <w:lang w:val="en-US" w:eastAsia="zh-CN"/>
        </w:rPr>
        <w:t>Hathorn</w:t>
      </w:r>
      <w:proofErr w:type="spellEnd"/>
      <w:r w:rsidRPr="0039437F">
        <w:rPr>
          <w:rFonts w:ascii="Book Antiqua" w:hAnsi="Book Antiqua" w:cs="Times New Roman"/>
          <w:kern w:val="2"/>
          <w:sz w:val="24"/>
          <w:szCs w:val="24"/>
          <w:lang w:val="en-US" w:eastAsia="zh-CN"/>
        </w:rPr>
        <w:t xml:space="preserve"> KE, </w:t>
      </w:r>
      <w:proofErr w:type="spellStart"/>
      <w:r w:rsidRPr="0039437F">
        <w:rPr>
          <w:rFonts w:ascii="Book Antiqua" w:hAnsi="Book Antiqua" w:cs="Times New Roman"/>
          <w:kern w:val="2"/>
          <w:sz w:val="24"/>
          <w:szCs w:val="24"/>
          <w:lang w:val="en-US" w:eastAsia="zh-CN"/>
        </w:rPr>
        <w:t>Madruga-Neto</w:t>
      </w:r>
      <w:proofErr w:type="spellEnd"/>
      <w:r w:rsidRPr="0039437F">
        <w:rPr>
          <w:rFonts w:ascii="Book Antiqua" w:hAnsi="Book Antiqua" w:cs="Times New Roman"/>
          <w:kern w:val="2"/>
          <w:sz w:val="24"/>
          <w:szCs w:val="24"/>
          <w:lang w:val="en-US" w:eastAsia="zh-CN"/>
        </w:rPr>
        <w:t xml:space="preserve"> AC, Lee LS, Thompson CC. Evaluation of endoscopic ultrasound fine-needle aspiration versus fine-needle biopsy and impact of rapid on-site evaluation for pancreatic masses. </w:t>
      </w:r>
      <w:proofErr w:type="spellStart"/>
      <w:r w:rsidRPr="0039437F">
        <w:rPr>
          <w:rFonts w:ascii="Book Antiqua" w:hAnsi="Book Antiqua" w:cs="Times New Roman"/>
          <w:i/>
          <w:kern w:val="2"/>
          <w:sz w:val="24"/>
          <w:szCs w:val="24"/>
          <w:lang w:val="en-US" w:eastAsia="zh-CN"/>
        </w:rPr>
        <w:t>Endosc</w:t>
      </w:r>
      <w:proofErr w:type="spellEnd"/>
      <w:r w:rsidRPr="0039437F">
        <w:rPr>
          <w:rFonts w:ascii="Book Antiqua" w:hAnsi="Book Antiqua" w:cs="Times New Roman"/>
          <w:i/>
          <w:kern w:val="2"/>
          <w:sz w:val="24"/>
          <w:szCs w:val="24"/>
          <w:lang w:val="en-US" w:eastAsia="zh-CN"/>
        </w:rPr>
        <w:t xml:space="preserve"> </w:t>
      </w:r>
      <w:proofErr w:type="spellStart"/>
      <w:r w:rsidRPr="0039437F">
        <w:rPr>
          <w:rFonts w:ascii="Book Antiqua" w:hAnsi="Book Antiqua" w:cs="Times New Roman"/>
          <w:i/>
          <w:kern w:val="2"/>
          <w:sz w:val="24"/>
          <w:szCs w:val="24"/>
          <w:lang w:val="en-US" w:eastAsia="zh-CN"/>
        </w:rPr>
        <w:t>Int</w:t>
      </w:r>
      <w:proofErr w:type="spellEnd"/>
      <w:r w:rsidRPr="0039437F">
        <w:rPr>
          <w:rFonts w:ascii="Book Antiqua" w:hAnsi="Book Antiqua" w:cs="Times New Roman"/>
          <w:i/>
          <w:kern w:val="2"/>
          <w:sz w:val="24"/>
          <w:szCs w:val="24"/>
          <w:lang w:val="en-US" w:eastAsia="zh-CN"/>
        </w:rPr>
        <w:t xml:space="preserve"> Open</w:t>
      </w:r>
      <w:r w:rsidRPr="0039437F">
        <w:rPr>
          <w:rFonts w:ascii="Book Antiqua" w:hAnsi="Book Antiqua" w:cs="Times New Roman"/>
          <w:kern w:val="2"/>
          <w:sz w:val="24"/>
          <w:szCs w:val="24"/>
          <w:lang w:val="en-US" w:eastAsia="zh-CN"/>
        </w:rPr>
        <w:t xml:space="preserve"> 2020; </w:t>
      </w:r>
      <w:r w:rsidRPr="0039437F">
        <w:rPr>
          <w:rFonts w:ascii="Book Antiqua" w:hAnsi="Book Antiqua" w:cs="Times New Roman"/>
          <w:b/>
          <w:kern w:val="2"/>
          <w:sz w:val="24"/>
          <w:szCs w:val="24"/>
          <w:lang w:val="en-US" w:eastAsia="zh-CN"/>
        </w:rPr>
        <w:t>8</w:t>
      </w:r>
      <w:r w:rsidRPr="0039437F">
        <w:rPr>
          <w:rFonts w:ascii="Book Antiqua" w:hAnsi="Book Antiqua" w:cs="Times New Roman"/>
          <w:kern w:val="2"/>
          <w:sz w:val="24"/>
          <w:szCs w:val="24"/>
          <w:lang w:val="en-US" w:eastAsia="zh-CN"/>
        </w:rPr>
        <w:t>: E738-E747 [PMID: 32490158 DOI: 10.1055/a-1122-8674]</w:t>
      </w:r>
    </w:p>
    <w:p w14:paraId="29BF2C51"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7 </w:t>
      </w:r>
      <w:r w:rsidRPr="0039437F">
        <w:rPr>
          <w:rFonts w:ascii="Book Antiqua" w:hAnsi="Book Antiqua" w:cs="Times New Roman"/>
          <w:b/>
          <w:kern w:val="2"/>
          <w:sz w:val="24"/>
          <w:szCs w:val="24"/>
          <w:lang w:val="en-US" w:eastAsia="zh-CN"/>
        </w:rPr>
        <w:t xml:space="preserve">de </w:t>
      </w:r>
      <w:proofErr w:type="spellStart"/>
      <w:r w:rsidRPr="0039437F">
        <w:rPr>
          <w:rFonts w:ascii="Book Antiqua" w:hAnsi="Book Antiqua" w:cs="Times New Roman"/>
          <w:b/>
          <w:kern w:val="2"/>
          <w:sz w:val="24"/>
          <w:szCs w:val="24"/>
          <w:lang w:val="en-US" w:eastAsia="zh-CN"/>
        </w:rPr>
        <w:t>Rezende</w:t>
      </w:r>
      <w:proofErr w:type="spellEnd"/>
      <w:r w:rsidRPr="0039437F">
        <w:rPr>
          <w:rFonts w:ascii="Book Antiqua" w:hAnsi="Book Antiqua" w:cs="Times New Roman"/>
          <w:b/>
          <w:kern w:val="2"/>
          <w:sz w:val="24"/>
          <w:szCs w:val="24"/>
          <w:lang w:val="en-US" w:eastAsia="zh-CN"/>
        </w:rPr>
        <w:t xml:space="preserve"> DT</w:t>
      </w:r>
      <w:r w:rsidRPr="0039437F">
        <w:rPr>
          <w:rFonts w:ascii="Book Antiqua" w:hAnsi="Book Antiqua" w:cs="Times New Roman"/>
          <w:kern w:val="2"/>
          <w:sz w:val="24"/>
          <w:szCs w:val="24"/>
          <w:lang w:val="en-US" w:eastAsia="zh-CN"/>
        </w:rPr>
        <w:t xml:space="preserve">, </w:t>
      </w:r>
      <w:proofErr w:type="spellStart"/>
      <w:r w:rsidRPr="0039437F">
        <w:rPr>
          <w:rFonts w:ascii="Book Antiqua" w:hAnsi="Book Antiqua" w:cs="Times New Roman"/>
          <w:kern w:val="2"/>
          <w:sz w:val="24"/>
          <w:szCs w:val="24"/>
          <w:lang w:val="en-US" w:eastAsia="zh-CN"/>
        </w:rPr>
        <w:t>Brunaldi</w:t>
      </w:r>
      <w:proofErr w:type="spellEnd"/>
      <w:r w:rsidRPr="0039437F">
        <w:rPr>
          <w:rFonts w:ascii="Book Antiqua" w:hAnsi="Book Antiqua" w:cs="Times New Roman"/>
          <w:kern w:val="2"/>
          <w:sz w:val="24"/>
          <w:szCs w:val="24"/>
          <w:lang w:val="en-US" w:eastAsia="zh-CN"/>
        </w:rPr>
        <w:t xml:space="preserve"> VO, Bernardo WM, </w:t>
      </w:r>
      <w:proofErr w:type="spellStart"/>
      <w:r w:rsidRPr="0039437F">
        <w:rPr>
          <w:rFonts w:ascii="Book Antiqua" w:hAnsi="Book Antiqua" w:cs="Times New Roman"/>
          <w:kern w:val="2"/>
          <w:sz w:val="24"/>
          <w:szCs w:val="24"/>
          <w:lang w:val="en-US" w:eastAsia="zh-CN"/>
        </w:rPr>
        <w:t>Ribeiro</w:t>
      </w:r>
      <w:proofErr w:type="spellEnd"/>
      <w:r w:rsidRPr="0039437F">
        <w:rPr>
          <w:rFonts w:ascii="Book Antiqua" w:hAnsi="Book Antiqua" w:cs="Times New Roman"/>
          <w:kern w:val="2"/>
          <w:sz w:val="24"/>
          <w:szCs w:val="24"/>
          <w:lang w:val="en-US" w:eastAsia="zh-CN"/>
        </w:rPr>
        <w:t xml:space="preserve"> IB, </w:t>
      </w:r>
      <w:proofErr w:type="spellStart"/>
      <w:r w:rsidRPr="0039437F">
        <w:rPr>
          <w:rFonts w:ascii="Book Antiqua" w:hAnsi="Book Antiqua" w:cs="Times New Roman"/>
          <w:kern w:val="2"/>
          <w:sz w:val="24"/>
          <w:szCs w:val="24"/>
          <w:lang w:val="en-US" w:eastAsia="zh-CN"/>
        </w:rPr>
        <w:t>Mota</w:t>
      </w:r>
      <w:proofErr w:type="spellEnd"/>
      <w:r w:rsidRPr="0039437F">
        <w:rPr>
          <w:rFonts w:ascii="Book Antiqua" w:hAnsi="Book Antiqua" w:cs="Times New Roman"/>
          <w:kern w:val="2"/>
          <w:sz w:val="24"/>
          <w:szCs w:val="24"/>
          <w:lang w:val="en-US" w:eastAsia="zh-CN"/>
        </w:rPr>
        <w:t xml:space="preserve"> RCL, </w:t>
      </w:r>
      <w:proofErr w:type="spellStart"/>
      <w:r w:rsidRPr="0039437F">
        <w:rPr>
          <w:rFonts w:ascii="Book Antiqua" w:hAnsi="Book Antiqua" w:cs="Times New Roman"/>
          <w:kern w:val="2"/>
          <w:sz w:val="24"/>
          <w:szCs w:val="24"/>
          <w:lang w:val="en-US" w:eastAsia="zh-CN"/>
        </w:rPr>
        <w:t>Baracat</w:t>
      </w:r>
      <w:proofErr w:type="spellEnd"/>
      <w:r w:rsidRPr="0039437F">
        <w:rPr>
          <w:rFonts w:ascii="Book Antiqua" w:hAnsi="Book Antiqua" w:cs="Times New Roman"/>
          <w:kern w:val="2"/>
          <w:sz w:val="24"/>
          <w:szCs w:val="24"/>
          <w:lang w:val="en-US" w:eastAsia="zh-CN"/>
        </w:rPr>
        <w:t xml:space="preserve"> FI, de </w:t>
      </w:r>
      <w:proofErr w:type="spellStart"/>
      <w:r w:rsidRPr="0039437F">
        <w:rPr>
          <w:rFonts w:ascii="Book Antiqua" w:hAnsi="Book Antiqua" w:cs="Times New Roman"/>
          <w:kern w:val="2"/>
          <w:sz w:val="24"/>
          <w:szCs w:val="24"/>
          <w:lang w:val="en-US" w:eastAsia="zh-CN"/>
        </w:rPr>
        <w:t>Moura</w:t>
      </w:r>
      <w:proofErr w:type="spellEnd"/>
      <w:r w:rsidRPr="0039437F">
        <w:rPr>
          <w:rFonts w:ascii="Book Antiqua" w:hAnsi="Book Antiqua" w:cs="Times New Roman"/>
          <w:kern w:val="2"/>
          <w:sz w:val="24"/>
          <w:szCs w:val="24"/>
          <w:lang w:val="en-US" w:eastAsia="zh-CN"/>
        </w:rPr>
        <w:t xml:space="preserve"> DTH, </w:t>
      </w:r>
      <w:proofErr w:type="spellStart"/>
      <w:r w:rsidRPr="0039437F">
        <w:rPr>
          <w:rFonts w:ascii="Book Antiqua" w:hAnsi="Book Antiqua" w:cs="Times New Roman"/>
          <w:kern w:val="2"/>
          <w:sz w:val="24"/>
          <w:szCs w:val="24"/>
          <w:lang w:val="en-US" w:eastAsia="zh-CN"/>
        </w:rPr>
        <w:t>Baracat</w:t>
      </w:r>
      <w:proofErr w:type="spellEnd"/>
      <w:r w:rsidRPr="0039437F">
        <w:rPr>
          <w:rFonts w:ascii="Book Antiqua" w:hAnsi="Book Antiqua" w:cs="Times New Roman"/>
          <w:kern w:val="2"/>
          <w:sz w:val="24"/>
          <w:szCs w:val="24"/>
          <w:lang w:val="en-US" w:eastAsia="zh-CN"/>
        </w:rPr>
        <w:t xml:space="preserve"> R, </w:t>
      </w:r>
      <w:proofErr w:type="spellStart"/>
      <w:r w:rsidRPr="0039437F">
        <w:rPr>
          <w:rFonts w:ascii="Book Antiqua" w:hAnsi="Book Antiqua" w:cs="Times New Roman"/>
          <w:kern w:val="2"/>
          <w:sz w:val="24"/>
          <w:szCs w:val="24"/>
          <w:lang w:val="en-US" w:eastAsia="zh-CN"/>
        </w:rPr>
        <w:t>Matuguma</w:t>
      </w:r>
      <w:proofErr w:type="spellEnd"/>
      <w:r w:rsidRPr="0039437F">
        <w:rPr>
          <w:rFonts w:ascii="Book Antiqua" w:hAnsi="Book Antiqua" w:cs="Times New Roman"/>
          <w:kern w:val="2"/>
          <w:sz w:val="24"/>
          <w:szCs w:val="24"/>
          <w:lang w:val="en-US" w:eastAsia="zh-CN"/>
        </w:rPr>
        <w:t xml:space="preserve"> SE, de Moura EGH. Use of hemostatic powder in treatment of upper gastrointestinal bleeding: a systematic review and meta-analysis. </w:t>
      </w:r>
      <w:proofErr w:type="spellStart"/>
      <w:r w:rsidRPr="0039437F">
        <w:rPr>
          <w:rFonts w:ascii="Book Antiqua" w:hAnsi="Book Antiqua" w:cs="Times New Roman"/>
          <w:i/>
          <w:kern w:val="2"/>
          <w:sz w:val="24"/>
          <w:szCs w:val="24"/>
          <w:lang w:val="en-US" w:eastAsia="zh-CN"/>
        </w:rPr>
        <w:t>Endosc</w:t>
      </w:r>
      <w:proofErr w:type="spellEnd"/>
      <w:r w:rsidRPr="0039437F">
        <w:rPr>
          <w:rFonts w:ascii="Book Antiqua" w:hAnsi="Book Antiqua" w:cs="Times New Roman"/>
          <w:i/>
          <w:kern w:val="2"/>
          <w:sz w:val="24"/>
          <w:szCs w:val="24"/>
          <w:lang w:val="en-US" w:eastAsia="zh-CN"/>
        </w:rPr>
        <w:t xml:space="preserve"> </w:t>
      </w:r>
      <w:proofErr w:type="spellStart"/>
      <w:r w:rsidRPr="0039437F">
        <w:rPr>
          <w:rFonts w:ascii="Book Antiqua" w:hAnsi="Book Antiqua" w:cs="Times New Roman"/>
          <w:i/>
          <w:kern w:val="2"/>
          <w:sz w:val="24"/>
          <w:szCs w:val="24"/>
          <w:lang w:val="en-US" w:eastAsia="zh-CN"/>
        </w:rPr>
        <w:t>Int</w:t>
      </w:r>
      <w:proofErr w:type="spellEnd"/>
      <w:r w:rsidRPr="0039437F">
        <w:rPr>
          <w:rFonts w:ascii="Book Antiqua" w:hAnsi="Book Antiqua" w:cs="Times New Roman"/>
          <w:i/>
          <w:kern w:val="2"/>
          <w:sz w:val="24"/>
          <w:szCs w:val="24"/>
          <w:lang w:val="en-US" w:eastAsia="zh-CN"/>
        </w:rPr>
        <w:t xml:space="preserve"> Open</w:t>
      </w:r>
      <w:r w:rsidRPr="0039437F">
        <w:rPr>
          <w:rFonts w:ascii="Book Antiqua" w:hAnsi="Book Antiqua" w:cs="Times New Roman"/>
          <w:kern w:val="2"/>
          <w:sz w:val="24"/>
          <w:szCs w:val="24"/>
          <w:lang w:val="en-US" w:eastAsia="zh-CN"/>
        </w:rPr>
        <w:t xml:space="preserve"> 2019; </w:t>
      </w:r>
      <w:r w:rsidRPr="0039437F">
        <w:rPr>
          <w:rFonts w:ascii="Book Antiqua" w:hAnsi="Book Antiqua" w:cs="Times New Roman"/>
          <w:b/>
          <w:kern w:val="2"/>
          <w:sz w:val="24"/>
          <w:szCs w:val="24"/>
          <w:lang w:val="en-US" w:eastAsia="zh-CN"/>
        </w:rPr>
        <w:t>7</w:t>
      </w:r>
      <w:r w:rsidRPr="0039437F">
        <w:rPr>
          <w:rFonts w:ascii="Book Antiqua" w:hAnsi="Book Antiqua" w:cs="Times New Roman"/>
          <w:kern w:val="2"/>
          <w:sz w:val="24"/>
          <w:szCs w:val="24"/>
          <w:lang w:val="en-US" w:eastAsia="zh-CN"/>
        </w:rPr>
        <w:t>: E1704-E1713 [PMID: 31803822 DOI: 10.1055/a-0977-2897]</w:t>
      </w:r>
    </w:p>
    <w:p w14:paraId="2613E02B"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8 </w:t>
      </w:r>
      <w:r w:rsidRPr="0039437F">
        <w:rPr>
          <w:rFonts w:ascii="Book Antiqua" w:hAnsi="Book Antiqua" w:cs="Times New Roman"/>
          <w:b/>
          <w:kern w:val="2"/>
          <w:sz w:val="24"/>
          <w:szCs w:val="24"/>
          <w:lang w:val="en-US" w:eastAsia="zh-CN"/>
        </w:rPr>
        <w:t>Luz GO</w:t>
      </w:r>
      <w:r w:rsidRPr="0039437F">
        <w:rPr>
          <w:rFonts w:ascii="Book Antiqua" w:hAnsi="Book Antiqua" w:cs="Times New Roman"/>
          <w:kern w:val="2"/>
          <w:sz w:val="24"/>
          <w:szCs w:val="24"/>
          <w:lang w:val="en-US" w:eastAsia="zh-CN"/>
        </w:rPr>
        <w:t xml:space="preserve">, </w:t>
      </w:r>
      <w:proofErr w:type="spellStart"/>
      <w:r w:rsidRPr="0039437F">
        <w:rPr>
          <w:rFonts w:ascii="Book Antiqua" w:hAnsi="Book Antiqua" w:cs="Times New Roman"/>
          <w:kern w:val="2"/>
          <w:sz w:val="24"/>
          <w:szCs w:val="24"/>
          <w:lang w:val="en-US" w:eastAsia="zh-CN"/>
        </w:rPr>
        <w:t>Matuguma</w:t>
      </w:r>
      <w:proofErr w:type="spellEnd"/>
      <w:r w:rsidRPr="0039437F">
        <w:rPr>
          <w:rFonts w:ascii="Book Antiqua" w:hAnsi="Book Antiqua" w:cs="Times New Roman"/>
          <w:kern w:val="2"/>
          <w:sz w:val="24"/>
          <w:szCs w:val="24"/>
          <w:lang w:val="en-US" w:eastAsia="zh-CN"/>
        </w:rPr>
        <w:t xml:space="preserve"> SE, </w:t>
      </w:r>
      <w:proofErr w:type="spellStart"/>
      <w:r w:rsidRPr="0039437F">
        <w:rPr>
          <w:rFonts w:ascii="Book Antiqua" w:hAnsi="Book Antiqua" w:cs="Times New Roman"/>
          <w:kern w:val="2"/>
          <w:sz w:val="24"/>
          <w:szCs w:val="24"/>
          <w:lang w:val="en-US" w:eastAsia="zh-CN"/>
        </w:rPr>
        <w:t>Madruga</w:t>
      </w:r>
      <w:proofErr w:type="spellEnd"/>
      <w:r w:rsidRPr="0039437F">
        <w:rPr>
          <w:rFonts w:ascii="Book Antiqua" w:hAnsi="Book Antiqua" w:cs="Times New Roman"/>
          <w:kern w:val="2"/>
          <w:sz w:val="24"/>
          <w:szCs w:val="24"/>
          <w:lang w:val="en-US" w:eastAsia="zh-CN"/>
        </w:rPr>
        <w:t xml:space="preserve"> </w:t>
      </w:r>
      <w:proofErr w:type="spellStart"/>
      <w:r w:rsidRPr="0039437F">
        <w:rPr>
          <w:rFonts w:ascii="Book Antiqua" w:hAnsi="Book Antiqua" w:cs="Times New Roman"/>
          <w:kern w:val="2"/>
          <w:sz w:val="24"/>
          <w:szCs w:val="24"/>
          <w:lang w:val="en-US" w:eastAsia="zh-CN"/>
        </w:rPr>
        <w:t>Neto</w:t>
      </w:r>
      <w:proofErr w:type="spellEnd"/>
      <w:r w:rsidRPr="0039437F">
        <w:rPr>
          <w:rFonts w:ascii="Book Antiqua" w:hAnsi="Book Antiqua" w:cs="Times New Roman"/>
          <w:kern w:val="2"/>
          <w:sz w:val="24"/>
          <w:szCs w:val="24"/>
          <w:lang w:val="en-US" w:eastAsia="zh-CN"/>
        </w:rPr>
        <w:t xml:space="preserve"> AC, Ribeiro IB, Dal Bello F, de Moura DTH, de Moura EGH. </w:t>
      </w:r>
      <w:proofErr w:type="gramStart"/>
      <w:r w:rsidRPr="0039437F">
        <w:rPr>
          <w:rFonts w:ascii="Book Antiqua" w:hAnsi="Book Antiqua" w:cs="Times New Roman"/>
          <w:kern w:val="2"/>
          <w:sz w:val="24"/>
          <w:szCs w:val="24"/>
          <w:lang w:val="en-US" w:eastAsia="zh-CN"/>
        </w:rPr>
        <w:t>A novel technique in the management of refractory variceal bleeding.</w:t>
      </w:r>
      <w:proofErr w:type="gramEnd"/>
      <w:r w:rsidRPr="0039437F">
        <w:rPr>
          <w:rFonts w:ascii="Book Antiqua" w:hAnsi="Book Antiqua" w:cs="Times New Roman"/>
          <w:kern w:val="2"/>
          <w:sz w:val="24"/>
          <w:szCs w:val="24"/>
          <w:lang w:val="en-US" w:eastAsia="zh-CN"/>
        </w:rPr>
        <w:t xml:space="preserve"> </w:t>
      </w:r>
      <w:r w:rsidRPr="0039437F">
        <w:rPr>
          <w:rFonts w:ascii="Book Antiqua" w:hAnsi="Book Antiqua" w:cs="Times New Roman"/>
          <w:i/>
          <w:kern w:val="2"/>
          <w:sz w:val="24"/>
          <w:szCs w:val="24"/>
          <w:lang w:val="en-US" w:eastAsia="zh-CN"/>
        </w:rPr>
        <w:t>Endoscopy</w:t>
      </w:r>
      <w:r w:rsidRPr="0039437F">
        <w:rPr>
          <w:rFonts w:ascii="Book Antiqua" w:hAnsi="Book Antiqua" w:cs="Times New Roman"/>
          <w:kern w:val="2"/>
          <w:sz w:val="24"/>
          <w:szCs w:val="24"/>
          <w:lang w:val="en-US" w:eastAsia="zh-CN"/>
        </w:rPr>
        <w:t xml:space="preserve"> 2020; </w:t>
      </w:r>
      <w:r w:rsidRPr="0039437F">
        <w:rPr>
          <w:rFonts w:ascii="Book Antiqua" w:hAnsi="Book Antiqua" w:cs="Times New Roman"/>
          <w:b/>
          <w:kern w:val="2"/>
          <w:sz w:val="24"/>
          <w:szCs w:val="24"/>
          <w:lang w:val="en-US" w:eastAsia="zh-CN"/>
        </w:rPr>
        <w:t>52</w:t>
      </w:r>
      <w:r w:rsidRPr="0039437F">
        <w:rPr>
          <w:rFonts w:ascii="Book Antiqua" w:hAnsi="Book Antiqua" w:cs="Times New Roman"/>
          <w:kern w:val="2"/>
          <w:sz w:val="24"/>
          <w:szCs w:val="24"/>
          <w:lang w:val="en-US" w:eastAsia="zh-CN"/>
        </w:rPr>
        <w:t>: 310-311 [PMID: 31731318 DOI: 10.1055/a-1027-6241]</w:t>
      </w:r>
    </w:p>
    <w:p w14:paraId="638B99B3"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9 </w:t>
      </w:r>
      <w:r w:rsidRPr="0039437F">
        <w:rPr>
          <w:rFonts w:ascii="Book Antiqua" w:hAnsi="Book Antiqua" w:cs="Times New Roman"/>
          <w:b/>
          <w:kern w:val="2"/>
          <w:sz w:val="24"/>
          <w:szCs w:val="24"/>
          <w:lang w:val="en-US" w:eastAsia="zh-CN"/>
        </w:rPr>
        <w:t>de Moura DTH</w:t>
      </w:r>
      <w:r w:rsidRPr="0039437F">
        <w:rPr>
          <w:rFonts w:ascii="Book Antiqua" w:hAnsi="Book Antiqua" w:cs="Times New Roman"/>
          <w:kern w:val="2"/>
          <w:sz w:val="24"/>
          <w:szCs w:val="24"/>
          <w:lang w:val="en-US" w:eastAsia="zh-CN"/>
        </w:rPr>
        <w:t xml:space="preserve">, do Monte Junior ES, </w:t>
      </w:r>
      <w:proofErr w:type="spellStart"/>
      <w:r w:rsidRPr="0039437F">
        <w:rPr>
          <w:rFonts w:ascii="Book Antiqua" w:hAnsi="Book Antiqua" w:cs="Times New Roman"/>
          <w:kern w:val="2"/>
          <w:sz w:val="24"/>
          <w:szCs w:val="24"/>
          <w:lang w:val="en-US" w:eastAsia="zh-CN"/>
        </w:rPr>
        <w:t>Hathorn</w:t>
      </w:r>
      <w:proofErr w:type="spellEnd"/>
      <w:r w:rsidRPr="0039437F">
        <w:rPr>
          <w:rFonts w:ascii="Book Antiqua" w:hAnsi="Book Antiqua" w:cs="Times New Roman"/>
          <w:kern w:val="2"/>
          <w:sz w:val="24"/>
          <w:szCs w:val="24"/>
          <w:lang w:val="en-US" w:eastAsia="zh-CN"/>
        </w:rPr>
        <w:t xml:space="preserve"> KE, </w:t>
      </w:r>
      <w:proofErr w:type="spellStart"/>
      <w:r w:rsidRPr="0039437F">
        <w:rPr>
          <w:rFonts w:ascii="Book Antiqua" w:hAnsi="Book Antiqua" w:cs="Times New Roman"/>
          <w:kern w:val="2"/>
          <w:sz w:val="24"/>
          <w:szCs w:val="24"/>
          <w:lang w:val="en-US" w:eastAsia="zh-CN"/>
        </w:rPr>
        <w:t>Ribeiro</w:t>
      </w:r>
      <w:proofErr w:type="spellEnd"/>
      <w:r w:rsidRPr="0039437F">
        <w:rPr>
          <w:rFonts w:ascii="Book Antiqua" w:hAnsi="Book Antiqua" w:cs="Times New Roman"/>
          <w:kern w:val="2"/>
          <w:sz w:val="24"/>
          <w:szCs w:val="24"/>
          <w:lang w:val="en-US" w:eastAsia="zh-CN"/>
        </w:rPr>
        <w:t xml:space="preserve"> IB, de Medeiros FS, Thompson CC, de Moura EGH. </w:t>
      </w:r>
      <w:proofErr w:type="gramStart"/>
      <w:r w:rsidRPr="0039437F">
        <w:rPr>
          <w:rFonts w:ascii="Book Antiqua" w:hAnsi="Book Antiqua" w:cs="Times New Roman"/>
          <w:kern w:val="2"/>
          <w:sz w:val="24"/>
          <w:szCs w:val="24"/>
          <w:lang w:val="en-US" w:eastAsia="zh-CN"/>
        </w:rPr>
        <w:t>The use of novel modified endoscopic vacuum therapies in the management of a transmural rectal wall defect.</w:t>
      </w:r>
      <w:proofErr w:type="gramEnd"/>
      <w:r w:rsidRPr="0039437F">
        <w:rPr>
          <w:rFonts w:ascii="Book Antiqua" w:hAnsi="Book Antiqua" w:cs="Times New Roman"/>
          <w:kern w:val="2"/>
          <w:sz w:val="24"/>
          <w:szCs w:val="24"/>
          <w:lang w:val="en-US" w:eastAsia="zh-CN"/>
        </w:rPr>
        <w:t xml:space="preserve"> </w:t>
      </w:r>
      <w:r w:rsidRPr="0039437F">
        <w:rPr>
          <w:rFonts w:ascii="Book Antiqua" w:hAnsi="Book Antiqua" w:cs="Times New Roman"/>
          <w:i/>
          <w:kern w:val="2"/>
          <w:sz w:val="24"/>
          <w:szCs w:val="24"/>
          <w:lang w:val="en-US" w:eastAsia="zh-CN"/>
        </w:rPr>
        <w:t>Endoscopy</w:t>
      </w:r>
      <w:r w:rsidRPr="0039437F">
        <w:rPr>
          <w:rFonts w:ascii="Book Antiqua" w:hAnsi="Book Antiqua" w:cs="Times New Roman"/>
          <w:kern w:val="2"/>
          <w:sz w:val="24"/>
          <w:szCs w:val="24"/>
          <w:lang w:val="en-US" w:eastAsia="zh-CN"/>
        </w:rPr>
        <w:t xml:space="preserve"> 2020; Online ahead of print [PMID: 32483781 DOI: 10.1055/a-1173-7727]</w:t>
      </w:r>
    </w:p>
    <w:p w14:paraId="7D945E30"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10 </w:t>
      </w:r>
      <w:r w:rsidRPr="0039437F">
        <w:rPr>
          <w:rFonts w:ascii="Book Antiqua" w:hAnsi="Book Antiqua" w:cs="Times New Roman"/>
          <w:b/>
          <w:kern w:val="2"/>
          <w:sz w:val="24"/>
          <w:szCs w:val="24"/>
          <w:lang w:val="en-US" w:eastAsia="zh-CN"/>
        </w:rPr>
        <w:t>Brito HP</w:t>
      </w:r>
      <w:r w:rsidRPr="0039437F">
        <w:rPr>
          <w:rFonts w:ascii="Book Antiqua" w:hAnsi="Book Antiqua" w:cs="Times New Roman"/>
          <w:kern w:val="2"/>
          <w:sz w:val="24"/>
          <w:szCs w:val="24"/>
          <w:lang w:val="en-US" w:eastAsia="zh-CN"/>
        </w:rPr>
        <w:t xml:space="preserve">, Ribeiro IB, de Moura DTH, Bernardo WM, Chaves DM, Kuga R, </w:t>
      </w:r>
      <w:proofErr w:type="spellStart"/>
      <w:r w:rsidRPr="0039437F">
        <w:rPr>
          <w:rFonts w:ascii="Book Antiqua" w:hAnsi="Book Antiqua" w:cs="Times New Roman"/>
          <w:kern w:val="2"/>
          <w:sz w:val="24"/>
          <w:szCs w:val="24"/>
          <w:lang w:val="en-US" w:eastAsia="zh-CN"/>
        </w:rPr>
        <w:t>Maahs</w:t>
      </w:r>
      <w:proofErr w:type="spellEnd"/>
      <w:r w:rsidRPr="0039437F">
        <w:rPr>
          <w:rFonts w:ascii="Book Antiqua" w:hAnsi="Book Antiqua" w:cs="Times New Roman"/>
          <w:kern w:val="2"/>
          <w:sz w:val="24"/>
          <w:szCs w:val="24"/>
          <w:lang w:val="en-US" w:eastAsia="zh-CN"/>
        </w:rPr>
        <w:t xml:space="preserve"> ED, Ishida RK, de Moura ETH, de Moura EGH. Video capsule endoscopy </w:t>
      </w:r>
      <w:proofErr w:type="spellStart"/>
      <w:r w:rsidRPr="0039437F">
        <w:rPr>
          <w:rFonts w:ascii="Book Antiqua" w:hAnsi="Book Antiqua" w:cs="Times New Roman"/>
          <w:i/>
          <w:kern w:val="2"/>
          <w:sz w:val="24"/>
          <w:szCs w:val="24"/>
          <w:lang w:val="en-US" w:eastAsia="zh-CN"/>
        </w:rPr>
        <w:t>vs</w:t>
      </w:r>
      <w:proofErr w:type="spellEnd"/>
      <w:r w:rsidRPr="0039437F">
        <w:rPr>
          <w:rFonts w:ascii="Book Antiqua" w:hAnsi="Book Antiqua" w:cs="Times New Roman"/>
          <w:kern w:val="2"/>
          <w:sz w:val="24"/>
          <w:szCs w:val="24"/>
          <w:lang w:val="en-US" w:eastAsia="zh-CN"/>
        </w:rPr>
        <w:t xml:space="preserve"> double-balloon </w:t>
      </w:r>
      <w:proofErr w:type="spellStart"/>
      <w:r w:rsidRPr="0039437F">
        <w:rPr>
          <w:rFonts w:ascii="Book Antiqua" w:hAnsi="Book Antiqua" w:cs="Times New Roman"/>
          <w:kern w:val="2"/>
          <w:sz w:val="24"/>
          <w:szCs w:val="24"/>
          <w:lang w:val="en-US" w:eastAsia="zh-CN"/>
        </w:rPr>
        <w:t>enteroscopy</w:t>
      </w:r>
      <w:proofErr w:type="spellEnd"/>
      <w:r w:rsidRPr="0039437F">
        <w:rPr>
          <w:rFonts w:ascii="Book Antiqua" w:hAnsi="Book Antiqua" w:cs="Times New Roman"/>
          <w:kern w:val="2"/>
          <w:sz w:val="24"/>
          <w:szCs w:val="24"/>
          <w:lang w:val="en-US" w:eastAsia="zh-CN"/>
        </w:rPr>
        <w:t xml:space="preserve"> in the diagnosis of small bowel bleeding: A systematic review and meta-analysis. </w:t>
      </w:r>
      <w:r w:rsidRPr="0039437F">
        <w:rPr>
          <w:rFonts w:ascii="Book Antiqua" w:hAnsi="Book Antiqua" w:cs="Times New Roman"/>
          <w:i/>
          <w:kern w:val="2"/>
          <w:sz w:val="24"/>
          <w:szCs w:val="24"/>
          <w:lang w:val="en-US" w:eastAsia="zh-CN"/>
        </w:rPr>
        <w:t xml:space="preserve">World J </w:t>
      </w:r>
      <w:proofErr w:type="spellStart"/>
      <w:r w:rsidRPr="0039437F">
        <w:rPr>
          <w:rFonts w:ascii="Book Antiqua" w:hAnsi="Book Antiqua" w:cs="Times New Roman"/>
          <w:i/>
          <w:kern w:val="2"/>
          <w:sz w:val="24"/>
          <w:szCs w:val="24"/>
          <w:lang w:val="en-US" w:eastAsia="zh-CN"/>
        </w:rPr>
        <w:t>Gastrointest</w:t>
      </w:r>
      <w:proofErr w:type="spellEnd"/>
      <w:r w:rsidRPr="0039437F">
        <w:rPr>
          <w:rFonts w:ascii="Book Antiqua" w:hAnsi="Book Antiqua" w:cs="Times New Roman"/>
          <w:i/>
          <w:kern w:val="2"/>
          <w:sz w:val="24"/>
          <w:szCs w:val="24"/>
          <w:lang w:val="en-US" w:eastAsia="zh-CN"/>
        </w:rPr>
        <w:t xml:space="preserve"> </w:t>
      </w:r>
      <w:proofErr w:type="spellStart"/>
      <w:r w:rsidRPr="0039437F">
        <w:rPr>
          <w:rFonts w:ascii="Book Antiqua" w:hAnsi="Book Antiqua" w:cs="Times New Roman"/>
          <w:i/>
          <w:kern w:val="2"/>
          <w:sz w:val="24"/>
          <w:szCs w:val="24"/>
          <w:lang w:val="en-US" w:eastAsia="zh-CN"/>
        </w:rPr>
        <w:t>Endosc</w:t>
      </w:r>
      <w:proofErr w:type="spellEnd"/>
      <w:r w:rsidRPr="0039437F">
        <w:rPr>
          <w:rFonts w:ascii="Book Antiqua" w:hAnsi="Book Antiqua" w:cs="Times New Roman"/>
          <w:kern w:val="2"/>
          <w:sz w:val="24"/>
          <w:szCs w:val="24"/>
          <w:lang w:val="en-US" w:eastAsia="zh-CN"/>
        </w:rPr>
        <w:t xml:space="preserve"> 2018; </w:t>
      </w:r>
      <w:r w:rsidRPr="0039437F">
        <w:rPr>
          <w:rFonts w:ascii="Book Antiqua" w:hAnsi="Book Antiqua" w:cs="Times New Roman"/>
          <w:b/>
          <w:kern w:val="2"/>
          <w:sz w:val="24"/>
          <w:szCs w:val="24"/>
          <w:lang w:val="en-US" w:eastAsia="zh-CN"/>
        </w:rPr>
        <w:t>10</w:t>
      </w:r>
      <w:r w:rsidRPr="0039437F">
        <w:rPr>
          <w:rFonts w:ascii="Book Antiqua" w:hAnsi="Book Antiqua" w:cs="Times New Roman"/>
          <w:kern w:val="2"/>
          <w:sz w:val="24"/>
          <w:szCs w:val="24"/>
          <w:lang w:val="en-US" w:eastAsia="zh-CN"/>
        </w:rPr>
        <w:t>: 400-421 [PMID: 30631404 DOI: 10.4253/wjge.v10.i12.400]</w:t>
      </w:r>
    </w:p>
    <w:p w14:paraId="3FEE426F"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11 </w:t>
      </w:r>
      <w:proofErr w:type="spellStart"/>
      <w:r w:rsidRPr="0039437F">
        <w:rPr>
          <w:rFonts w:ascii="Book Antiqua" w:hAnsi="Book Antiqua" w:cs="Times New Roman"/>
          <w:b/>
          <w:kern w:val="2"/>
          <w:sz w:val="24"/>
          <w:szCs w:val="24"/>
          <w:lang w:val="en-US" w:eastAsia="zh-CN"/>
        </w:rPr>
        <w:t>Ribeiro</w:t>
      </w:r>
      <w:proofErr w:type="spellEnd"/>
      <w:r w:rsidRPr="0039437F">
        <w:rPr>
          <w:rFonts w:ascii="Book Antiqua" w:hAnsi="Book Antiqua" w:cs="Times New Roman"/>
          <w:b/>
          <w:kern w:val="2"/>
          <w:sz w:val="24"/>
          <w:szCs w:val="24"/>
          <w:lang w:val="en-US" w:eastAsia="zh-CN"/>
        </w:rPr>
        <w:t xml:space="preserve"> IB</w:t>
      </w:r>
      <w:r w:rsidRPr="0039437F">
        <w:rPr>
          <w:rFonts w:ascii="Book Antiqua" w:hAnsi="Book Antiqua" w:cs="Times New Roman"/>
          <w:kern w:val="2"/>
          <w:sz w:val="24"/>
          <w:szCs w:val="24"/>
          <w:lang w:val="en-US" w:eastAsia="zh-CN"/>
        </w:rPr>
        <w:t xml:space="preserve">, </w:t>
      </w:r>
      <w:proofErr w:type="spellStart"/>
      <w:r w:rsidRPr="0039437F">
        <w:rPr>
          <w:rFonts w:ascii="Book Antiqua" w:hAnsi="Book Antiqua" w:cs="Times New Roman"/>
          <w:kern w:val="2"/>
          <w:sz w:val="24"/>
          <w:szCs w:val="24"/>
          <w:lang w:val="en-US" w:eastAsia="zh-CN"/>
        </w:rPr>
        <w:t>Rezende</w:t>
      </w:r>
      <w:proofErr w:type="spellEnd"/>
      <w:r w:rsidRPr="0039437F">
        <w:rPr>
          <w:rFonts w:ascii="Book Antiqua" w:hAnsi="Book Antiqua" w:cs="Times New Roman"/>
          <w:kern w:val="2"/>
          <w:sz w:val="24"/>
          <w:szCs w:val="24"/>
          <w:lang w:val="en-US" w:eastAsia="zh-CN"/>
        </w:rPr>
        <w:t xml:space="preserve"> DT, </w:t>
      </w:r>
      <w:proofErr w:type="spellStart"/>
      <w:r w:rsidRPr="0039437F">
        <w:rPr>
          <w:rFonts w:ascii="Book Antiqua" w:hAnsi="Book Antiqua" w:cs="Times New Roman"/>
          <w:kern w:val="2"/>
          <w:sz w:val="24"/>
          <w:szCs w:val="24"/>
          <w:lang w:val="en-US" w:eastAsia="zh-CN"/>
        </w:rPr>
        <w:t>Madruga</w:t>
      </w:r>
      <w:proofErr w:type="spellEnd"/>
      <w:r w:rsidRPr="0039437F">
        <w:rPr>
          <w:rFonts w:ascii="Book Antiqua" w:hAnsi="Book Antiqua" w:cs="Times New Roman"/>
          <w:kern w:val="2"/>
          <w:sz w:val="24"/>
          <w:szCs w:val="24"/>
          <w:lang w:val="en-US" w:eastAsia="zh-CN"/>
        </w:rPr>
        <w:t xml:space="preserve"> </w:t>
      </w:r>
      <w:proofErr w:type="spellStart"/>
      <w:r w:rsidRPr="0039437F">
        <w:rPr>
          <w:rFonts w:ascii="Book Antiqua" w:hAnsi="Book Antiqua" w:cs="Times New Roman"/>
          <w:kern w:val="2"/>
          <w:sz w:val="24"/>
          <w:szCs w:val="24"/>
          <w:lang w:val="en-US" w:eastAsia="zh-CN"/>
        </w:rPr>
        <w:t>Neto</w:t>
      </w:r>
      <w:proofErr w:type="spellEnd"/>
      <w:r w:rsidRPr="0039437F">
        <w:rPr>
          <w:rFonts w:ascii="Book Antiqua" w:hAnsi="Book Antiqua" w:cs="Times New Roman"/>
          <w:kern w:val="2"/>
          <w:sz w:val="24"/>
          <w:szCs w:val="24"/>
          <w:lang w:val="en-US" w:eastAsia="zh-CN"/>
        </w:rPr>
        <w:t xml:space="preserve"> AC, Ide E, </w:t>
      </w:r>
      <w:proofErr w:type="spellStart"/>
      <w:r w:rsidRPr="0039437F">
        <w:rPr>
          <w:rFonts w:ascii="Book Antiqua" w:hAnsi="Book Antiqua" w:cs="Times New Roman"/>
          <w:kern w:val="2"/>
          <w:sz w:val="24"/>
          <w:szCs w:val="24"/>
          <w:lang w:val="en-US" w:eastAsia="zh-CN"/>
        </w:rPr>
        <w:t>Furuya</w:t>
      </w:r>
      <w:proofErr w:type="spellEnd"/>
      <w:r w:rsidRPr="0039437F">
        <w:rPr>
          <w:rFonts w:ascii="Book Antiqua" w:hAnsi="Book Antiqua" w:cs="Times New Roman"/>
          <w:kern w:val="2"/>
          <w:sz w:val="24"/>
          <w:szCs w:val="24"/>
          <w:lang w:val="en-US" w:eastAsia="zh-CN"/>
        </w:rPr>
        <w:t xml:space="preserve"> CK, De </w:t>
      </w:r>
      <w:proofErr w:type="spellStart"/>
      <w:r w:rsidRPr="0039437F">
        <w:rPr>
          <w:rFonts w:ascii="Book Antiqua" w:hAnsi="Book Antiqua" w:cs="Times New Roman"/>
          <w:kern w:val="2"/>
          <w:sz w:val="24"/>
          <w:szCs w:val="24"/>
          <w:lang w:val="en-US" w:eastAsia="zh-CN"/>
        </w:rPr>
        <w:t>Moura</w:t>
      </w:r>
      <w:proofErr w:type="spellEnd"/>
      <w:r w:rsidRPr="0039437F">
        <w:rPr>
          <w:rFonts w:ascii="Book Antiqua" w:hAnsi="Book Antiqua" w:cs="Times New Roman"/>
          <w:kern w:val="2"/>
          <w:sz w:val="24"/>
          <w:szCs w:val="24"/>
          <w:lang w:val="en-US" w:eastAsia="zh-CN"/>
        </w:rPr>
        <w:t xml:space="preserve"> DTH, De Moura EGH. </w:t>
      </w:r>
      <w:proofErr w:type="gramStart"/>
      <w:r w:rsidRPr="0039437F">
        <w:rPr>
          <w:rFonts w:ascii="Book Antiqua" w:hAnsi="Book Antiqua" w:cs="Times New Roman"/>
          <w:kern w:val="2"/>
          <w:sz w:val="24"/>
          <w:szCs w:val="24"/>
          <w:lang w:val="en-US" w:eastAsia="zh-CN"/>
        </w:rPr>
        <w:t xml:space="preserve">Endoscopic dual therapy for giant peptic ulcer </w:t>
      </w:r>
      <w:r w:rsidRPr="0039437F">
        <w:rPr>
          <w:rFonts w:ascii="Book Antiqua" w:hAnsi="Book Antiqua" w:cs="Times New Roman"/>
          <w:kern w:val="2"/>
          <w:sz w:val="24"/>
          <w:szCs w:val="24"/>
          <w:lang w:val="en-US" w:eastAsia="zh-CN"/>
        </w:rPr>
        <w:lastRenderedPageBreak/>
        <w:t>hemorrhage.</w:t>
      </w:r>
      <w:proofErr w:type="gramEnd"/>
      <w:r w:rsidRPr="0039437F">
        <w:rPr>
          <w:rFonts w:ascii="Book Antiqua" w:hAnsi="Book Antiqua" w:cs="Times New Roman"/>
          <w:kern w:val="2"/>
          <w:sz w:val="24"/>
          <w:szCs w:val="24"/>
          <w:lang w:val="en-US" w:eastAsia="zh-CN"/>
        </w:rPr>
        <w:t xml:space="preserve"> </w:t>
      </w:r>
      <w:r w:rsidRPr="0039437F">
        <w:rPr>
          <w:rFonts w:ascii="Book Antiqua" w:hAnsi="Book Antiqua" w:cs="Times New Roman"/>
          <w:i/>
          <w:kern w:val="2"/>
          <w:sz w:val="24"/>
          <w:szCs w:val="24"/>
          <w:lang w:val="en-US" w:eastAsia="zh-CN"/>
        </w:rPr>
        <w:t>Endoscopy</w:t>
      </w:r>
      <w:r w:rsidRPr="0039437F">
        <w:rPr>
          <w:rFonts w:ascii="Book Antiqua" w:hAnsi="Book Antiqua" w:cs="Times New Roman"/>
          <w:kern w:val="2"/>
          <w:sz w:val="24"/>
          <w:szCs w:val="24"/>
          <w:lang w:val="en-US" w:eastAsia="zh-CN"/>
        </w:rPr>
        <w:t xml:space="preserve"> 2018; </w:t>
      </w:r>
      <w:r w:rsidRPr="0039437F">
        <w:rPr>
          <w:rFonts w:ascii="Book Antiqua" w:hAnsi="Book Antiqua" w:cs="Times New Roman"/>
          <w:b/>
          <w:kern w:val="2"/>
          <w:sz w:val="24"/>
          <w:szCs w:val="24"/>
          <w:lang w:val="en-US" w:eastAsia="zh-CN"/>
        </w:rPr>
        <w:t>50</w:t>
      </w:r>
      <w:r w:rsidRPr="0039437F">
        <w:rPr>
          <w:rFonts w:ascii="Book Antiqua" w:hAnsi="Book Antiqua" w:cs="Times New Roman"/>
          <w:kern w:val="2"/>
          <w:sz w:val="24"/>
          <w:szCs w:val="24"/>
          <w:lang w:val="en-US" w:eastAsia="zh-CN"/>
        </w:rPr>
        <w:t>: E316-E317 [PMID: 30107634 DOI: 10.1055/a-0665-4142]</w:t>
      </w:r>
    </w:p>
    <w:p w14:paraId="327784DA"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proofErr w:type="gramStart"/>
      <w:r w:rsidRPr="0039437F">
        <w:rPr>
          <w:rFonts w:ascii="Book Antiqua" w:hAnsi="Book Antiqua" w:cs="Times New Roman"/>
          <w:kern w:val="2"/>
          <w:sz w:val="24"/>
          <w:szCs w:val="24"/>
          <w:lang w:val="en-US" w:eastAsia="zh-CN"/>
        </w:rPr>
        <w:t xml:space="preserve">12 </w:t>
      </w:r>
      <w:proofErr w:type="spellStart"/>
      <w:r w:rsidRPr="0039437F">
        <w:rPr>
          <w:rFonts w:ascii="Book Antiqua" w:hAnsi="Book Antiqua" w:cs="Times New Roman"/>
          <w:b/>
          <w:kern w:val="2"/>
          <w:sz w:val="24"/>
          <w:szCs w:val="24"/>
          <w:lang w:val="en-US" w:eastAsia="zh-CN"/>
        </w:rPr>
        <w:t>Amornyotin</w:t>
      </w:r>
      <w:proofErr w:type="spellEnd"/>
      <w:r w:rsidRPr="0039437F">
        <w:rPr>
          <w:rFonts w:ascii="Book Antiqua" w:hAnsi="Book Antiqua" w:cs="Times New Roman"/>
          <w:b/>
          <w:kern w:val="2"/>
          <w:sz w:val="24"/>
          <w:szCs w:val="24"/>
          <w:lang w:val="en-US" w:eastAsia="zh-CN"/>
        </w:rPr>
        <w:t xml:space="preserve"> S</w:t>
      </w:r>
      <w:r w:rsidRPr="0039437F">
        <w:rPr>
          <w:rFonts w:ascii="Book Antiqua" w:hAnsi="Book Antiqua" w:cs="Times New Roman"/>
          <w:kern w:val="2"/>
          <w:sz w:val="24"/>
          <w:szCs w:val="24"/>
          <w:lang w:val="en-US" w:eastAsia="zh-CN"/>
        </w:rPr>
        <w:t>. Registered nurse-administered sedation for gastrointestinal endoscopic procedure.</w:t>
      </w:r>
      <w:proofErr w:type="gramEnd"/>
      <w:r w:rsidRPr="0039437F">
        <w:rPr>
          <w:rFonts w:ascii="Book Antiqua" w:hAnsi="Book Antiqua" w:cs="Times New Roman"/>
          <w:kern w:val="2"/>
          <w:sz w:val="24"/>
          <w:szCs w:val="24"/>
          <w:lang w:val="en-US" w:eastAsia="zh-CN"/>
        </w:rPr>
        <w:t xml:space="preserve"> </w:t>
      </w:r>
      <w:r w:rsidRPr="0039437F">
        <w:rPr>
          <w:rFonts w:ascii="Book Antiqua" w:hAnsi="Book Antiqua" w:cs="Times New Roman"/>
          <w:i/>
          <w:kern w:val="2"/>
          <w:sz w:val="24"/>
          <w:szCs w:val="24"/>
          <w:lang w:val="en-US" w:eastAsia="zh-CN"/>
        </w:rPr>
        <w:t xml:space="preserve">World J </w:t>
      </w:r>
      <w:proofErr w:type="spellStart"/>
      <w:r w:rsidRPr="0039437F">
        <w:rPr>
          <w:rFonts w:ascii="Book Antiqua" w:hAnsi="Book Antiqua" w:cs="Times New Roman"/>
          <w:i/>
          <w:kern w:val="2"/>
          <w:sz w:val="24"/>
          <w:szCs w:val="24"/>
          <w:lang w:val="en-US" w:eastAsia="zh-CN"/>
        </w:rPr>
        <w:t>Gastrointest</w:t>
      </w:r>
      <w:proofErr w:type="spellEnd"/>
      <w:r w:rsidRPr="0039437F">
        <w:rPr>
          <w:rFonts w:ascii="Book Antiqua" w:hAnsi="Book Antiqua" w:cs="Times New Roman"/>
          <w:i/>
          <w:kern w:val="2"/>
          <w:sz w:val="24"/>
          <w:szCs w:val="24"/>
          <w:lang w:val="en-US" w:eastAsia="zh-CN"/>
        </w:rPr>
        <w:t xml:space="preserve"> </w:t>
      </w:r>
      <w:proofErr w:type="spellStart"/>
      <w:r w:rsidRPr="0039437F">
        <w:rPr>
          <w:rFonts w:ascii="Book Antiqua" w:hAnsi="Book Antiqua" w:cs="Times New Roman"/>
          <w:i/>
          <w:kern w:val="2"/>
          <w:sz w:val="24"/>
          <w:szCs w:val="24"/>
          <w:lang w:val="en-US" w:eastAsia="zh-CN"/>
        </w:rPr>
        <w:t>Endosc</w:t>
      </w:r>
      <w:proofErr w:type="spellEnd"/>
      <w:r w:rsidRPr="0039437F">
        <w:rPr>
          <w:rFonts w:ascii="Book Antiqua" w:hAnsi="Book Antiqua" w:cs="Times New Roman"/>
          <w:kern w:val="2"/>
          <w:sz w:val="24"/>
          <w:szCs w:val="24"/>
          <w:lang w:val="en-US" w:eastAsia="zh-CN"/>
        </w:rPr>
        <w:t xml:space="preserve"> 2015; </w:t>
      </w:r>
      <w:r w:rsidRPr="0039437F">
        <w:rPr>
          <w:rFonts w:ascii="Book Antiqua" w:hAnsi="Book Antiqua" w:cs="Times New Roman"/>
          <w:b/>
          <w:kern w:val="2"/>
          <w:sz w:val="24"/>
          <w:szCs w:val="24"/>
          <w:lang w:val="en-US" w:eastAsia="zh-CN"/>
        </w:rPr>
        <w:t>7</w:t>
      </w:r>
      <w:r w:rsidRPr="0039437F">
        <w:rPr>
          <w:rFonts w:ascii="Book Antiqua" w:hAnsi="Book Antiqua" w:cs="Times New Roman"/>
          <w:kern w:val="2"/>
          <w:sz w:val="24"/>
          <w:szCs w:val="24"/>
          <w:lang w:val="en-US" w:eastAsia="zh-CN"/>
        </w:rPr>
        <w:t>: 769-776 [PMID: 26191341 DOI: 10.4253/wjge.v7.i8.769]</w:t>
      </w:r>
    </w:p>
    <w:p w14:paraId="2E306195"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13 </w:t>
      </w:r>
      <w:proofErr w:type="spellStart"/>
      <w:r w:rsidRPr="0039437F">
        <w:rPr>
          <w:rFonts w:ascii="Book Antiqua" w:hAnsi="Book Antiqua" w:cs="Times New Roman"/>
          <w:b/>
          <w:kern w:val="2"/>
          <w:sz w:val="24"/>
          <w:szCs w:val="24"/>
          <w:lang w:val="en-US" w:eastAsia="zh-CN"/>
        </w:rPr>
        <w:t>Edelson</w:t>
      </w:r>
      <w:proofErr w:type="spellEnd"/>
      <w:r w:rsidRPr="0039437F">
        <w:rPr>
          <w:rFonts w:ascii="Book Antiqua" w:hAnsi="Book Antiqua" w:cs="Times New Roman"/>
          <w:b/>
          <w:kern w:val="2"/>
          <w:sz w:val="24"/>
          <w:szCs w:val="24"/>
          <w:lang w:val="en-US" w:eastAsia="zh-CN"/>
        </w:rPr>
        <w:t xml:space="preserve"> JC</w:t>
      </w:r>
      <w:r w:rsidRPr="0039437F">
        <w:rPr>
          <w:rFonts w:ascii="Book Antiqua" w:hAnsi="Book Antiqua" w:cs="Times New Roman"/>
          <w:kern w:val="2"/>
          <w:sz w:val="24"/>
          <w:szCs w:val="24"/>
          <w:lang w:val="en-US" w:eastAsia="zh-CN"/>
        </w:rPr>
        <w:t xml:space="preserve">, </w:t>
      </w:r>
      <w:proofErr w:type="spellStart"/>
      <w:r w:rsidRPr="0039437F">
        <w:rPr>
          <w:rFonts w:ascii="Book Antiqua" w:hAnsi="Book Antiqua" w:cs="Times New Roman"/>
          <w:kern w:val="2"/>
          <w:sz w:val="24"/>
          <w:szCs w:val="24"/>
          <w:lang w:val="en-US" w:eastAsia="zh-CN"/>
        </w:rPr>
        <w:t>Rockey</w:t>
      </w:r>
      <w:proofErr w:type="spellEnd"/>
      <w:r w:rsidRPr="0039437F">
        <w:rPr>
          <w:rFonts w:ascii="Book Antiqua" w:hAnsi="Book Antiqua" w:cs="Times New Roman"/>
          <w:kern w:val="2"/>
          <w:sz w:val="24"/>
          <w:szCs w:val="24"/>
          <w:lang w:val="en-US" w:eastAsia="zh-CN"/>
        </w:rPr>
        <w:t xml:space="preserve"> DC. Endoscopic Sedation of the Patient </w:t>
      </w:r>
      <w:proofErr w:type="gramStart"/>
      <w:r w:rsidRPr="0039437F">
        <w:rPr>
          <w:rFonts w:ascii="Book Antiqua" w:hAnsi="Book Antiqua" w:cs="Times New Roman"/>
          <w:kern w:val="2"/>
          <w:sz w:val="24"/>
          <w:szCs w:val="24"/>
          <w:lang w:val="en-US" w:eastAsia="zh-CN"/>
        </w:rPr>
        <w:t>With</w:t>
      </w:r>
      <w:proofErr w:type="gramEnd"/>
      <w:r w:rsidRPr="0039437F">
        <w:rPr>
          <w:rFonts w:ascii="Book Antiqua" w:hAnsi="Book Antiqua" w:cs="Times New Roman"/>
          <w:kern w:val="2"/>
          <w:sz w:val="24"/>
          <w:szCs w:val="24"/>
          <w:lang w:val="en-US" w:eastAsia="zh-CN"/>
        </w:rPr>
        <w:t xml:space="preserve"> Cirrhosis. </w:t>
      </w:r>
      <w:proofErr w:type="spellStart"/>
      <w:r w:rsidRPr="0039437F">
        <w:rPr>
          <w:rFonts w:ascii="Book Antiqua" w:hAnsi="Book Antiqua" w:cs="Times New Roman"/>
          <w:i/>
          <w:kern w:val="2"/>
          <w:sz w:val="24"/>
          <w:szCs w:val="24"/>
          <w:lang w:val="en-US" w:eastAsia="zh-CN"/>
        </w:rPr>
        <w:t>Clin</w:t>
      </w:r>
      <w:proofErr w:type="spellEnd"/>
      <w:r w:rsidRPr="0039437F">
        <w:rPr>
          <w:rFonts w:ascii="Book Antiqua" w:hAnsi="Book Antiqua" w:cs="Times New Roman"/>
          <w:i/>
          <w:kern w:val="2"/>
          <w:sz w:val="24"/>
          <w:szCs w:val="24"/>
          <w:lang w:val="en-US" w:eastAsia="zh-CN"/>
        </w:rPr>
        <w:t xml:space="preserve"> Liver Dis (Hoboken)</w:t>
      </w:r>
      <w:r w:rsidRPr="0039437F">
        <w:rPr>
          <w:rFonts w:ascii="Book Antiqua" w:hAnsi="Book Antiqua" w:cs="Times New Roman"/>
          <w:kern w:val="2"/>
          <w:sz w:val="24"/>
          <w:szCs w:val="24"/>
          <w:lang w:val="en-US" w:eastAsia="zh-CN"/>
        </w:rPr>
        <w:t xml:space="preserve"> 2018; </w:t>
      </w:r>
      <w:r w:rsidRPr="0039437F">
        <w:rPr>
          <w:rFonts w:ascii="Book Antiqua" w:hAnsi="Book Antiqua" w:cs="Times New Roman"/>
          <w:b/>
          <w:kern w:val="2"/>
          <w:sz w:val="24"/>
          <w:szCs w:val="24"/>
          <w:lang w:val="en-US" w:eastAsia="zh-CN"/>
        </w:rPr>
        <w:t>12</w:t>
      </w:r>
      <w:r w:rsidRPr="0039437F">
        <w:rPr>
          <w:rFonts w:ascii="Book Antiqua" w:hAnsi="Book Antiqua" w:cs="Times New Roman"/>
          <w:kern w:val="2"/>
          <w:sz w:val="24"/>
          <w:szCs w:val="24"/>
          <w:lang w:val="en-US" w:eastAsia="zh-CN"/>
        </w:rPr>
        <w:t>: 165-169 [PMID: 30988936 DOI: 10.1002/cld.762]</w:t>
      </w:r>
    </w:p>
    <w:p w14:paraId="111C686C"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proofErr w:type="gramStart"/>
      <w:r w:rsidRPr="00A90808">
        <w:rPr>
          <w:rFonts w:ascii="Book Antiqua" w:hAnsi="Book Antiqua" w:cs="Times New Roman"/>
          <w:kern w:val="2"/>
          <w:sz w:val="24"/>
          <w:szCs w:val="24"/>
          <w:lang w:val="en-US" w:eastAsia="zh-CN"/>
        </w:rPr>
        <w:t xml:space="preserve">14 </w:t>
      </w:r>
      <w:r w:rsidRPr="00A90808">
        <w:rPr>
          <w:rFonts w:ascii="Book Antiqua" w:hAnsi="Book Antiqua" w:cs="Times New Roman"/>
          <w:b/>
          <w:kern w:val="2"/>
          <w:sz w:val="24"/>
          <w:szCs w:val="24"/>
          <w:lang w:val="en-US" w:eastAsia="zh-CN"/>
        </w:rPr>
        <w:t>Cochrane</w:t>
      </w:r>
      <w:r w:rsidRPr="00A90808">
        <w:rPr>
          <w:rFonts w:ascii="Book Antiqua" w:hAnsi="Book Antiqua" w:cs="Times New Roman"/>
          <w:kern w:val="2"/>
          <w:sz w:val="24"/>
          <w:szCs w:val="24"/>
          <w:lang w:val="en-US" w:eastAsia="zh-CN"/>
        </w:rPr>
        <w:t>.</w:t>
      </w:r>
      <w:proofErr w:type="gramEnd"/>
      <w:r w:rsidRPr="00A90808">
        <w:rPr>
          <w:rFonts w:ascii="Book Antiqua" w:hAnsi="Book Antiqua" w:cs="Times New Roman"/>
          <w:kern w:val="2"/>
          <w:sz w:val="24"/>
          <w:szCs w:val="24"/>
          <w:lang w:val="en-US" w:eastAsia="zh-CN"/>
        </w:rPr>
        <w:t xml:space="preserve"> </w:t>
      </w:r>
      <w:proofErr w:type="gramStart"/>
      <w:r w:rsidRPr="00A90808">
        <w:rPr>
          <w:rFonts w:ascii="Book Antiqua" w:hAnsi="Book Antiqua" w:cs="Times New Roman"/>
          <w:kern w:val="2"/>
          <w:sz w:val="24"/>
          <w:szCs w:val="24"/>
          <w:lang w:val="en-US" w:eastAsia="zh-CN"/>
        </w:rPr>
        <w:t>Cochrane Handbook for Systematic Reviews of Interventions version 6.0 (updated July 2019) [Internet].</w:t>
      </w:r>
      <w:proofErr w:type="gramEnd"/>
      <w:r w:rsidRPr="00A90808">
        <w:rPr>
          <w:rFonts w:ascii="Book Antiqua" w:hAnsi="Book Antiqua" w:cs="Times New Roman"/>
          <w:kern w:val="2"/>
          <w:sz w:val="24"/>
          <w:szCs w:val="24"/>
          <w:lang w:val="en-US" w:eastAsia="zh-CN"/>
        </w:rPr>
        <w:t xml:space="preserve"> </w:t>
      </w:r>
      <w:proofErr w:type="gramStart"/>
      <w:r w:rsidRPr="00A90808">
        <w:rPr>
          <w:rFonts w:ascii="Book Antiqua" w:hAnsi="Book Antiqua" w:cs="Times New Roman"/>
          <w:kern w:val="2"/>
          <w:sz w:val="24"/>
          <w:szCs w:val="24"/>
          <w:lang w:val="en-US" w:eastAsia="zh-CN"/>
        </w:rPr>
        <w:t>Cochrane; 2019.</w:t>
      </w:r>
      <w:proofErr w:type="gramEnd"/>
      <w:r w:rsidRPr="00A90808">
        <w:rPr>
          <w:rFonts w:ascii="Book Antiqua" w:hAnsi="Book Antiqua" w:cs="Times New Roman"/>
          <w:kern w:val="2"/>
          <w:sz w:val="24"/>
          <w:szCs w:val="24"/>
          <w:lang w:val="en-US" w:eastAsia="zh-CN"/>
        </w:rPr>
        <w:t xml:space="preserve"> Available from: </w:t>
      </w:r>
      <w:hyperlink r:id="rId9" w:history="1">
        <w:r w:rsidRPr="00A90808">
          <w:rPr>
            <w:rFonts w:ascii="Book Antiqua" w:hAnsi="Book Antiqua" w:cs="Times New Roman"/>
            <w:kern w:val="2"/>
            <w:sz w:val="24"/>
            <w:szCs w:val="24"/>
            <w:u w:val="single"/>
            <w:lang w:val="en-US" w:eastAsia="zh-CN"/>
          </w:rPr>
          <w:t>https://training.cochrane.org/handbook</w:t>
        </w:r>
      </w:hyperlink>
      <w:r w:rsidRPr="0039437F">
        <w:rPr>
          <w:rFonts w:ascii="Book Antiqua" w:hAnsi="Book Antiqua" w:cs="Times New Roman"/>
          <w:kern w:val="2"/>
          <w:sz w:val="24"/>
          <w:szCs w:val="24"/>
          <w:lang w:val="en-US" w:eastAsia="zh-CN"/>
        </w:rPr>
        <w:t xml:space="preserve"> </w:t>
      </w:r>
    </w:p>
    <w:p w14:paraId="09DEC22B"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15 </w:t>
      </w:r>
      <w:r w:rsidRPr="0039437F">
        <w:rPr>
          <w:rFonts w:ascii="Book Antiqua" w:hAnsi="Book Antiqua" w:cs="Times New Roman"/>
          <w:b/>
          <w:kern w:val="2"/>
          <w:sz w:val="24"/>
          <w:szCs w:val="24"/>
          <w:lang w:val="en-US" w:eastAsia="zh-CN"/>
        </w:rPr>
        <w:t>Agrawal A</w:t>
      </w:r>
      <w:r w:rsidRPr="0039437F">
        <w:rPr>
          <w:rFonts w:ascii="Book Antiqua" w:hAnsi="Book Antiqua" w:cs="Times New Roman"/>
          <w:kern w:val="2"/>
          <w:sz w:val="24"/>
          <w:szCs w:val="24"/>
          <w:lang w:val="en-US" w:eastAsia="zh-CN"/>
        </w:rPr>
        <w:t xml:space="preserve">, Sharma BC, Sharma P, Uppal R, Sarin SK. Randomized controlled trial for endoscopy with propofol versus midazolam on psychometric tests and critical flicker frequency in people with cirrhosis. </w:t>
      </w:r>
      <w:r w:rsidRPr="0039437F">
        <w:rPr>
          <w:rFonts w:ascii="Book Antiqua" w:hAnsi="Book Antiqua" w:cs="Times New Roman"/>
          <w:i/>
          <w:kern w:val="2"/>
          <w:sz w:val="24"/>
          <w:szCs w:val="24"/>
          <w:lang w:val="en-US" w:eastAsia="zh-CN"/>
        </w:rPr>
        <w:t xml:space="preserve">J </w:t>
      </w:r>
      <w:proofErr w:type="spellStart"/>
      <w:r w:rsidRPr="0039437F">
        <w:rPr>
          <w:rFonts w:ascii="Book Antiqua" w:hAnsi="Book Antiqua" w:cs="Times New Roman"/>
          <w:i/>
          <w:kern w:val="2"/>
          <w:sz w:val="24"/>
          <w:szCs w:val="24"/>
          <w:lang w:val="en-US" w:eastAsia="zh-CN"/>
        </w:rPr>
        <w:t>Gastroenterol</w:t>
      </w:r>
      <w:proofErr w:type="spellEnd"/>
      <w:r w:rsidRPr="0039437F">
        <w:rPr>
          <w:rFonts w:ascii="Book Antiqua" w:hAnsi="Book Antiqua" w:cs="Times New Roman"/>
          <w:i/>
          <w:kern w:val="2"/>
          <w:sz w:val="24"/>
          <w:szCs w:val="24"/>
          <w:lang w:val="en-US" w:eastAsia="zh-CN"/>
        </w:rPr>
        <w:t xml:space="preserve"> </w:t>
      </w:r>
      <w:proofErr w:type="spellStart"/>
      <w:r w:rsidRPr="0039437F">
        <w:rPr>
          <w:rFonts w:ascii="Book Antiqua" w:hAnsi="Book Antiqua" w:cs="Times New Roman"/>
          <w:i/>
          <w:kern w:val="2"/>
          <w:sz w:val="24"/>
          <w:szCs w:val="24"/>
          <w:lang w:val="en-US" w:eastAsia="zh-CN"/>
        </w:rPr>
        <w:t>Hepatol</w:t>
      </w:r>
      <w:proofErr w:type="spellEnd"/>
      <w:r w:rsidRPr="0039437F">
        <w:rPr>
          <w:rFonts w:ascii="Book Antiqua" w:hAnsi="Book Antiqua" w:cs="Times New Roman"/>
          <w:kern w:val="2"/>
          <w:sz w:val="24"/>
          <w:szCs w:val="24"/>
          <w:lang w:val="en-US" w:eastAsia="zh-CN"/>
        </w:rPr>
        <w:t xml:space="preserve"> 2012; </w:t>
      </w:r>
      <w:r w:rsidRPr="0039437F">
        <w:rPr>
          <w:rFonts w:ascii="Book Antiqua" w:hAnsi="Book Antiqua" w:cs="Times New Roman"/>
          <w:b/>
          <w:kern w:val="2"/>
          <w:sz w:val="24"/>
          <w:szCs w:val="24"/>
          <w:lang w:val="en-US" w:eastAsia="zh-CN"/>
        </w:rPr>
        <w:t>27</w:t>
      </w:r>
      <w:r w:rsidRPr="0039437F">
        <w:rPr>
          <w:rFonts w:ascii="Book Antiqua" w:hAnsi="Book Antiqua" w:cs="Times New Roman"/>
          <w:kern w:val="2"/>
          <w:sz w:val="24"/>
          <w:szCs w:val="24"/>
          <w:lang w:val="en-US" w:eastAsia="zh-CN"/>
        </w:rPr>
        <w:t>: 1726-1732 [PMID: 22861074 DOI: 10.1111/j.1440-1746.2012.07231.x]</w:t>
      </w:r>
    </w:p>
    <w:p w14:paraId="41CB914F"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16 </w:t>
      </w:r>
      <w:proofErr w:type="spellStart"/>
      <w:r w:rsidRPr="0039437F">
        <w:rPr>
          <w:rFonts w:ascii="Book Antiqua" w:hAnsi="Book Antiqua" w:cs="Times New Roman"/>
          <w:b/>
          <w:kern w:val="2"/>
          <w:sz w:val="24"/>
          <w:szCs w:val="24"/>
          <w:lang w:val="en-US" w:eastAsia="zh-CN"/>
        </w:rPr>
        <w:t>Khamaysi</w:t>
      </w:r>
      <w:proofErr w:type="spellEnd"/>
      <w:r w:rsidRPr="0039437F">
        <w:rPr>
          <w:rFonts w:ascii="Book Antiqua" w:hAnsi="Book Antiqua" w:cs="Times New Roman"/>
          <w:b/>
          <w:kern w:val="2"/>
          <w:sz w:val="24"/>
          <w:szCs w:val="24"/>
          <w:lang w:val="en-US" w:eastAsia="zh-CN"/>
        </w:rPr>
        <w:t xml:space="preserve"> I</w:t>
      </w:r>
      <w:r w:rsidRPr="0039437F">
        <w:rPr>
          <w:rFonts w:ascii="Book Antiqua" w:hAnsi="Book Antiqua" w:cs="Times New Roman"/>
          <w:kern w:val="2"/>
          <w:sz w:val="24"/>
          <w:szCs w:val="24"/>
          <w:lang w:val="en-US" w:eastAsia="zh-CN"/>
        </w:rPr>
        <w:t xml:space="preserve">, William N, Olga A, Alex I, Vladimir M, Kamal D, </w:t>
      </w:r>
      <w:proofErr w:type="spellStart"/>
      <w:r w:rsidRPr="0039437F">
        <w:rPr>
          <w:rFonts w:ascii="Book Antiqua" w:hAnsi="Book Antiqua" w:cs="Times New Roman"/>
          <w:kern w:val="2"/>
          <w:sz w:val="24"/>
          <w:szCs w:val="24"/>
          <w:lang w:val="en-US" w:eastAsia="zh-CN"/>
        </w:rPr>
        <w:t>Nimer</w:t>
      </w:r>
      <w:proofErr w:type="spellEnd"/>
      <w:r w:rsidRPr="0039437F">
        <w:rPr>
          <w:rFonts w:ascii="Book Antiqua" w:hAnsi="Book Antiqua" w:cs="Times New Roman"/>
          <w:kern w:val="2"/>
          <w:sz w:val="24"/>
          <w:szCs w:val="24"/>
          <w:lang w:val="en-US" w:eastAsia="zh-CN"/>
        </w:rPr>
        <w:t xml:space="preserve"> A. Sub-clinical hepatic encephalopathy in cirrhotic patients is not aggravated by sedation with propofol compared to midazolam: a randomized controlled study. </w:t>
      </w:r>
      <w:r w:rsidRPr="0039437F">
        <w:rPr>
          <w:rFonts w:ascii="Book Antiqua" w:hAnsi="Book Antiqua" w:cs="Times New Roman"/>
          <w:i/>
          <w:kern w:val="2"/>
          <w:sz w:val="24"/>
          <w:szCs w:val="24"/>
          <w:lang w:val="en-US" w:eastAsia="zh-CN"/>
        </w:rPr>
        <w:t xml:space="preserve">J </w:t>
      </w:r>
      <w:proofErr w:type="spellStart"/>
      <w:r w:rsidRPr="0039437F">
        <w:rPr>
          <w:rFonts w:ascii="Book Antiqua" w:hAnsi="Book Antiqua" w:cs="Times New Roman"/>
          <w:i/>
          <w:kern w:val="2"/>
          <w:sz w:val="24"/>
          <w:szCs w:val="24"/>
          <w:lang w:val="en-US" w:eastAsia="zh-CN"/>
        </w:rPr>
        <w:t>Hepatol</w:t>
      </w:r>
      <w:proofErr w:type="spellEnd"/>
      <w:r w:rsidRPr="0039437F">
        <w:rPr>
          <w:rFonts w:ascii="Book Antiqua" w:hAnsi="Book Antiqua" w:cs="Times New Roman"/>
          <w:kern w:val="2"/>
          <w:sz w:val="24"/>
          <w:szCs w:val="24"/>
          <w:lang w:val="en-US" w:eastAsia="zh-CN"/>
        </w:rPr>
        <w:t xml:space="preserve"> 2011; </w:t>
      </w:r>
      <w:r w:rsidRPr="0039437F">
        <w:rPr>
          <w:rFonts w:ascii="Book Antiqua" w:hAnsi="Book Antiqua" w:cs="Times New Roman"/>
          <w:b/>
          <w:kern w:val="2"/>
          <w:sz w:val="24"/>
          <w:szCs w:val="24"/>
          <w:lang w:val="en-US" w:eastAsia="zh-CN"/>
        </w:rPr>
        <w:t>54</w:t>
      </w:r>
      <w:r w:rsidRPr="0039437F">
        <w:rPr>
          <w:rFonts w:ascii="Book Antiqua" w:hAnsi="Book Antiqua" w:cs="Times New Roman"/>
          <w:kern w:val="2"/>
          <w:sz w:val="24"/>
          <w:szCs w:val="24"/>
          <w:lang w:val="en-US" w:eastAsia="zh-CN"/>
        </w:rPr>
        <w:t>: 72-77 [PMID: 20934771 DOI: 10.1016/j.jhep.2010.06.023]</w:t>
      </w:r>
    </w:p>
    <w:p w14:paraId="39926B8D"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17 </w:t>
      </w:r>
      <w:proofErr w:type="spellStart"/>
      <w:r w:rsidRPr="0039437F">
        <w:rPr>
          <w:rFonts w:ascii="Book Antiqua" w:hAnsi="Book Antiqua" w:cs="Times New Roman"/>
          <w:b/>
          <w:kern w:val="2"/>
          <w:sz w:val="24"/>
          <w:szCs w:val="24"/>
          <w:lang w:val="en-US" w:eastAsia="zh-CN"/>
        </w:rPr>
        <w:t>Riphaus</w:t>
      </w:r>
      <w:proofErr w:type="spellEnd"/>
      <w:r w:rsidRPr="0039437F">
        <w:rPr>
          <w:rFonts w:ascii="Book Antiqua" w:hAnsi="Book Antiqua" w:cs="Times New Roman"/>
          <w:b/>
          <w:kern w:val="2"/>
          <w:sz w:val="24"/>
          <w:szCs w:val="24"/>
          <w:lang w:val="en-US" w:eastAsia="zh-CN"/>
        </w:rPr>
        <w:t xml:space="preserve"> A</w:t>
      </w:r>
      <w:r w:rsidRPr="0039437F">
        <w:rPr>
          <w:rFonts w:ascii="Book Antiqua" w:hAnsi="Book Antiqua" w:cs="Times New Roman"/>
          <w:kern w:val="2"/>
          <w:sz w:val="24"/>
          <w:szCs w:val="24"/>
          <w:lang w:val="en-US" w:eastAsia="zh-CN"/>
        </w:rPr>
        <w:t xml:space="preserve">, </w:t>
      </w:r>
      <w:proofErr w:type="spellStart"/>
      <w:r w:rsidRPr="0039437F">
        <w:rPr>
          <w:rFonts w:ascii="Book Antiqua" w:hAnsi="Book Antiqua" w:cs="Times New Roman"/>
          <w:kern w:val="2"/>
          <w:sz w:val="24"/>
          <w:szCs w:val="24"/>
          <w:lang w:val="en-US" w:eastAsia="zh-CN"/>
        </w:rPr>
        <w:t>Lechowicz</w:t>
      </w:r>
      <w:proofErr w:type="spellEnd"/>
      <w:r w:rsidRPr="0039437F">
        <w:rPr>
          <w:rFonts w:ascii="Book Antiqua" w:hAnsi="Book Antiqua" w:cs="Times New Roman"/>
          <w:kern w:val="2"/>
          <w:sz w:val="24"/>
          <w:szCs w:val="24"/>
          <w:lang w:val="en-US" w:eastAsia="zh-CN"/>
        </w:rPr>
        <w:t xml:space="preserve"> I, </w:t>
      </w:r>
      <w:proofErr w:type="spellStart"/>
      <w:r w:rsidRPr="0039437F">
        <w:rPr>
          <w:rFonts w:ascii="Book Antiqua" w:hAnsi="Book Antiqua" w:cs="Times New Roman"/>
          <w:kern w:val="2"/>
          <w:sz w:val="24"/>
          <w:szCs w:val="24"/>
          <w:lang w:val="en-US" w:eastAsia="zh-CN"/>
        </w:rPr>
        <w:t>Frenz</w:t>
      </w:r>
      <w:proofErr w:type="spellEnd"/>
      <w:r w:rsidRPr="0039437F">
        <w:rPr>
          <w:rFonts w:ascii="Book Antiqua" w:hAnsi="Book Antiqua" w:cs="Times New Roman"/>
          <w:kern w:val="2"/>
          <w:sz w:val="24"/>
          <w:szCs w:val="24"/>
          <w:lang w:val="en-US" w:eastAsia="zh-CN"/>
        </w:rPr>
        <w:t xml:space="preserve"> MB, </w:t>
      </w:r>
      <w:proofErr w:type="spellStart"/>
      <w:r w:rsidRPr="0039437F">
        <w:rPr>
          <w:rFonts w:ascii="Book Antiqua" w:hAnsi="Book Antiqua" w:cs="Times New Roman"/>
          <w:kern w:val="2"/>
          <w:sz w:val="24"/>
          <w:szCs w:val="24"/>
          <w:lang w:val="en-US" w:eastAsia="zh-CN"/>
        </w:rPr>
        <w:t>Wehrmann</w:t>
      </w:r>
      <w:proofErr w:type="spellEnd"/>
      <w:r w:rsidRPr="0039437F">
        <w:rPr>
          <w:rFonts w:ascii="Book Antiqua" w:hAnsi="Book Antiqua" w:cs="Times New Roman"/>
          <w:kern w:val="2"/>
          <w:sz w:val="24"/>
          <w:szCs w:val="24"/>
          <w:lang w:val="en-US" w:eastAsia="zh-CN"/>
        </w:rPr>
        <w:t xml:space="preserve"> T. Propofol sedation for upper gastrointestinal endoscopy in patients with liver cirrhosis as an alternative to midazolam to avoid acute deterioration of minimal encephalopathy: a randomized, controlled study. </w:t>
      </w:r>
      <w:proofErr w:type="spellStart"/>
      <w:r w:rsidRPr="0039437F">
        <w:rPr>
          <w:rFonts w:ascii="Book Antiqua" w:hAnsi="Book Antiqua" w:cs="Times New Roman"/>
          <w:i/>
          <w:kern w:val="2"/>
          <w:sz w:val="24"/>
          <w:szCs w:val="24"/>
          <w:lang w:val="en-US" w:eastAsia="zh-CN"/>
        </w:rPr>
        <w:t>Scand</w:t>
      </w:r>
      <w:proofErr w:type="spellEnd"/>
      <w:r w:rsidRPr="0039437F">
        <w:rPr>
          <w:rFonts w:ascii="Book Antiqua" w:hAnsi="Book Antiqua" w:cs="Times New Roman"/>
          <w:i/>
          <w:kern w:val="2"/>
          <w:sz w:val="24"/>
          <w:szCs w:val="24"/>
          <w:lang w:val="en-US" w:eastAsia="zh-CN"/>
        </w:rPr>
        <w:t xml:space="preserve"> J </w:t>
      </w:r>
      <w:proofErr w:type="spellStart"/>
      <w:r w:rsidRPr="0039437F">
        <w:rPr>
          <w:rFonts w:ascii="Book Antiqua" w:hAnsi="Book Antiqua" w:cs="Times New Roman"/>
          <w:i/>
          <w:kern w:val="2"/>
          <w:sz w:val="24"/>
          <w:szCs w:val="24"/>
          <w:lang w:val="en-US" w:eastAsia="zh-CN"/>
        </w:rPr>
        <w:t>Gastroenterol</w:t>
      </w:r>
      <w:proofErr w:type="spellEnd"/>
      <w:r w:rsidRPr="0039437F">
        <w:rPr>
          <w:rFonts w:ascii="Book Antiqua" w:hAnsi="Book Antiqua" w:cs="Times New Roman"/>
          <w:kern w:val="2"/>
          <w:sz w:val="24"/>
          <w:szCs w:val="24"/>
          <w:lang w:val="en-US" w:eastAsia="zh-CN"/>
        </w:rPr>
        <w:t xml:space="preserve"> 2009; </w:t>
      </w:r>
      <w:r w:rsidRPr="0039437F">
        <w:rPr>
          <w:rFonts w:ascii="Book Antiqua" w:hAnsi="Book Antiqua" w:cs="Times New Roman"/>
          <w:b/>
          <w:kern w:val="2"/>
          <w:sz w:val="24"/>
          <w:szCs w:val="24"/>
          <w:lang w:val="en-US" w:eastAsia="zh-CN"/>
        </w:rPr>
        <w:t>44</w:t>
      </w:r>
      <w:r w:rsidRPr="0039437F">
        <w:rPr>
          <w:rFonts w:ascii="Book Antiqua" w:hAnsi="Book Antiqua" w:cs="Times New Roman"/>
          <w:kern w:val="2"/>
          <w:sz w:val="24"/>
          <w:szCs w:val="24"/>
          <w:lang w:val="en-US" w:eastAsia="zh-CN"/>
        </w:rPr>
        <w:t>: 1244-1251 [PMID: 19811337 DOI: 10.1080/00365520903194591]</w:t>
      </w:r>
    </w:p>
    <w:p w14:paraId="4134D09F"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proofErr w:type="gramStart"/>
      <w:r w:rsidRPr="0039437F">
        <w:rPr>
          <w:rFonts w:ascii="Book Antiqua" w:hAnsi="Book Antiqua" w:cs="Times New Roman"/>
          <w:kern w:val="2"/>
          <w:sz w:val="24"/>
          <w:szCs w:val="24"/>
          <w:lang w:val="en-US" w:eastAsia="zh-CN"/>
        </w:rPr>
        <w:t xml:space="preserve">18 </w:t>
      </w:r>
      <w:proofErr w:type="spellStart"/>
      <w:r w:rsidRPr="0039437F">
        <w:rPr>
          <w:rFonts w:ascii="Book Antiqua" w:hAnsi="Book Antiqua" w:cs="Times New Roman"/>
          <w:b/>
          <w:kern w:val="2"/>
          <w:sz w:val="24"/>
          <w:szCs w:val="24"/>
          <w:lang w:val="en-US" w:eastAsia="zh-CN"/>
        </w:rPr>
        <w:t>Yoo</w:t>
      </w:r>
      <w:proofErr w:type="spellEnd"/>
      <w:r w:rsidRPr="0039437F">
        <w:rPr>
          <w:rFonts w:ascii="Book Antiqua" w:hAnsi="Book Antiqua" w:cs="Times New Roman"/>
          <w:b/>
          <w:kern w:val="2"/>
          <w:sz w:val="24"/>
          <w:szCs w:val="24"/>
          <w:lang w:val="en-US" w:eastAsia="zh-CN"/>
        </w:rPr>
        <w:t xml:space="preserve"> JJ</w:t>
      </w:r>
      <w:r w:rsidRPr="0039437F">
        <w:rPr>
          <w:rFonts w:ascii="Book Antiqua" w:hAnsi="Book Antiqua" w:cs="Times New Roman"/>
          <w:kern w:val="2"/>
          <w:sz w:val="24"/>
          <w:szCs w:val="24"/>
          <w:lang w:val="en-US" w:eastAsia="zh-CN"/>
        </w:rPr>
        <w:t xml:space="preserve">, </w:t>
      </w:r>
      <w:proofErr w:type="spellStart"/>
      <w:r w:rsidRPr="0039437F">
        <w:rPr>
          <w:rFonts w:ascii="Book Antiqua" w:hAnsi="Book Antiqua" w:cs="Times New Roman"/>
          <w:kern w:val="2"/>
          <w:sz w:val="24"/>
          <w:szCs w:val="24"/>
          <w:lang w:val="en-US" w:eastAsia="zh-CN"/>
        </w:rPr>
        <w:t>Goong</w:t>
      </w:r>
      <w:proofErr w:type="spellEnd"/>
      <w:r w:rsidRPr="0039437F">
        <w:rPr>
          <w:rFonts w:ascii="Book Antiqua" w:hAnsi="Book Antiqua" w:cs="Times New Roman"/>
          <w:kern w:val="2"/>
          <w:sz w:val="24"/>
          <w:szCs w:val="24"/>
          <w:lang w:val="en-US" w:eastAsia="zh-CN"/>
        </w:rPr>
        <w:t xml:space="preserve"> HJ, Moon JE, Kim SG, Kim YS.</w:t>
      </w:r>
      <w:proofErr w:type="gramEnd"/>
      <w:r w:rsidRPr="0039437F">
        <w:rPr>
          <w:rFonts w:ascii="Book Antiqua" w:hAnsi="Book Antiqua" w:cs="Times New Roman"/>
          <w:kern w:val="2"/>
          <w:sz w:val="24"/>
          <w:szCs w:val="24"/>
          <w:lang w:val="en-US" w:eastAsia="zh-CN"/>
        </w:rPr>
        <w:t xml:space="preserve"> Safety profile of sedative endoscopy including cognitive performance in liver cirrhosis: A double-blind randomized controlled trial. </w:t>
      </w:r>
      <w:r w:rsidRPr="0039437F">
        <w:rPr>
          <w:rFonts w:ascii="Book Antiqua" w:hAnsi="Book Antiqua" w:cs="Times New Roman"/>
          <w:i/>
          <w:kern w:val="2"/>
          <w:sz w:val="24"/>
          <w:szCs w:val="24"/>
          <w:lang w:val="en-US" w:eastAsia="zh-CN"/>
        </w:rPr>
        <w:t>Sci Rep</w:t>
      </w:r>
      <w:r w:rsidRPr="0039437F">
        <w:rPr>
          <w:rFonts w:ascii="Book Antiqua" w:hAnsi="Book Antiqua" w:cs="Times New Roman"/>
          <w:kern w:val="2"/>
          <w:sz w:val="24"/>
          <w:szCs w:val="24"/>
          <w:lang w:val="en-US" w:eastAsia="zh-CN"/>
        </w:rPr>
        <w:t xml:space="preserve"> 2019; </w:t>
      </w:r>
      <w:r w:rsidRPr="0039437F">
        <w:rPr>
          <w:rFonts w:ascii="Book Antiqua" w:hAnsi="Book Antiqua" w:cs="Times New Roman"/>
          <w:b/>
          <w:kern w:val="2"/>
          <w:sz w:val="24"/>
          <w:szCs w:val="24"/>
          <w:lang w:val="en-US" w:eastAsia="zh-CN"/>
        </w:rPr>
        <w:t>9</w:t>
      </w:r>
      <w:r w:rsidRPr="0039437F">
        <w:rPr>
          <w:rFonts w:ascii="Book Antiqua" w:hAnsi="Book Antiqua" w:cs="Times New Roman"/>
          <w:kern w:val="2"/>
          <w:sz w:val="24"/>
          <w:szCs w:val="24"/>
          <w:lang w:val="en-US" w:eastAsia="zh-CN"/>
        </w:rPr>
        <w:t>: 16798 [PMID: 31727915 DOI: 10.1038/s41598-019-52897-w]</w:t>
      </w:r>
    </w:p>
    <w:p w14:paraId="223439C8"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19 </w:t>
      </w:r>
      <w:r w:rsidRPr="0039437F">
        <w:rPr>
          <w:rFonts w:ascii="Book Antiqua" w:hAnsi="Book Antiqua" w:cs="Times New Roman"/>
          <w:b/>
          <w:kern w:val="2"/>
          <w:sz w:val="24"/>
          <w:szCs w:val="24"/>
          <w:lang w:val="en-US" w:eastAsia="zh-CN"/>
        </w:rPr>
        <w:t>Watanabe K</w:t>
      </w:r>
      <w:r w:rsidRPr="0039437F">
        <w:rPr>
          <w:rFonts w:ascii="Book Antiqua" w:hAnsi="Book Antiqua" w:cs="Times New Roman"/>
          <w:kern w:val="2"/>
          <w:sz w:val="24"/>
          <w:szCs w:val="24"/>
          <w:lang w:val="en-US" w:eastAsia="zh-CN"/>
        </w:rPr>
        <w:t xml:space="preserve">, </w:t>
      </w:r>
      <w:proofErr w:type="spellStart"/>
      <w:r w:rsidRPr="0039437F">
        <w:rPr>
          <w:rFonts w:ascii="Book Antiqua" w:hAnsi="Book Antiqua" w:cs="Times New Roman"/>
          <w:kern w:val="2"/>
          <w:sz w:val="24"/>
          <w:szCs w:val="24"/>
          <w:lang w:val="en-US" w:eastAsia="zh-CN"/>
        </w:rPr>
        <w:t>Hikichi</w:t>
      </w:r>
      <w:proofErr w:type="spellEnd"/>
      <w:r w:rsidRPr="0039437F">
        <w:rPr>
          <w:rFonts w:ascii="Book Antiqua" w:hAnsi="Book Antiqua" w:cs="Times New Roman"/>
          <w:kern w:val="2"/>
          <w:sz w:val="24"/>
          <w:szCs w:val="24"/>
          <w:lang w:val="en-US" w:eastAsia="zh-CN"/>
        </w:rPr>
        <w:t xml:space="preserve"> T, Takagi T, Suzuki R, Nakamura J, Sugimoto M, Kikuchi H, Konno N, </w:t>
      </w:r>
      <w:proofErr w:type="spellStart"/>
      <w:r w:rsidRPr="0039437F">
        <w:rPr>
          <w:rFonts w:ascii="Book Antiqua" w:hAnsi="Book Antiqua" w:cs="Times New Roman"/>
          <w:kern w:val="2"/>
          <w:sz w:val="24"/>
          <w:szCs w:val="24"/>
          <w:lang w:val="en-US" w:eastAsia="zh-CN"/>
        </w:rPr>
        <w:t>Takasumi</w:t>
      </w:r>
      <w:proofErr w:type="spellEnd"/>
      <w:r w:rsidRPr="0039437F">
        <w:rPr>
          <w:rFonts w:ascii="Book Antiqua" w:hAnsi="Book Antiqua" w:cs="Times New Roman"/>
          <w:kern w:val="2"/>
          <w:sz w:val="24"/>
          <w:szCs w:val="24"/>
          <w:lang w:val="en-US" w:eastAsia="zh-CN"/>
        </w:rPr>
        <w:t xml:space="preserve"> M, Sato Y, Hashimoto M, </w:t>
      </w:r>
      <w:proofErr w:type="spellStart"/>
      <w:r w:rsidRPr="0039437F">
        <w:rPr>
          <w:rFonts w:ascii="Book Antiqua" w:hAnsi="Book Antiqua" w:cs="Times New Roman"/>
          <w:kern w:val="2"/>
          <w:sz w:val="24"/>
          <w:szCs w:val="24"/>
          <w:lang w:val="en-US" w:eastAsia="zh-CN"/>
        </w:rPr>
        <w:t>Irie</w:t>
      </w:r>
      <w:proofErr w:type="spellEnd"/>
      <w:r w:rsidRPr="0039437F">
        <w:rPr>
          <w:rFonts w:ascii="Book Antiqua" w:hAnsi="Book Antiqua" w:cs="Times New Roman"/>
          <w:kern w:val="2"/>
          <w:sz w:val="24"/>
          <w:szCs w:val="24"/>
          <w:lang w:val="en-US" w:eastAsia="zh-CN"/>
        </w:rPr>
        <w:t xml:space="preserve"> H, </w:t>
      </w:r>
      <w:proofErr w:type="spellStart"/>
      <w:r w:rsidRPr="0039437F">
        <w:rPr>
          <w:rFonts w:ascii="Book Antiqua" w:hAnsi="Book Antiqua" w:cs="Times New Roman"/>
          <w:kern w:val="2"/>
          <w:sz w:val="24"/>
          <w:szCs w:val="24"/>
          <w:lang w:val="en-US" w:eastAsia="zh-CN"/>
        </w:rPr>
        <w:t>Obara</w:t>
      </w:r>
      <w:proofErr w:type="spellEnd"/>
      <w:r w:rsidRPr="0039437F">
        <w:rPr>
          <w:rFonts w:ascii="Book Antiqua" w:hAnsi="Book Antiqua" w:cs="Times New Roman"/>
          <w:kern w:val="2"/>
          <w:sz w:val="24"/>
          <w:szCs w:val="24"/>
          <w:lang w:val="en-US" w:eastAsia="zh-CN"/>
        </w:rPr>
        <w:t xml:space="preserve"> K, </w:t>
      </w:r>
      <w:proofErr w:type="spellStart"/>
      <w:r w:rsidRPr="0039437F">
        <w:rPr>
          <w:rFonts w:ascii="Book Antiqua" w:hAnsi="Book Antiqua" w:cs="Times New Roman"/>
          <w:kern w:val="2"/>
          <w:sz w:val="24"/>
          <w:szCs w:val="24"/>
          <w:lang w:val="en-US" w:eastAsia="zh-CN"/>
        </w:rPr>
        <w:t>Ohira</w:t>
      </w:r>
      <w:proofErr w:type="spellEnd"/>
      <w:r w:rsidRPr="0039437F">
        <w:rPr>
          <w:rFonts w:ascii="Book Antiqua" w:hAnsi="Book Antiqua" w:cs="Times New Roman"/>
          <w:kern w:val="2"/>
          <w:sz w:val="24"/>
          <w:szCs w:val="24"/>
          <w:lang w:val="en-US" w:eastAsia="zh-CN"/>
        </w:rPr>
        <w:t xml:space="preserve"> H. Propofol is a more effective and safer sedative agent than midazolam </w:t>
      </w:r>
      <w:r w:rsidRPr="0039437F">
        <w:rPr>
          <w:rFonts w:ascii="Book Antiqua" w:hAnsi="Book Antiqua" w:cs="Times New Roman"/>
          <w:kern w:val="2"/>
          <w:sz w:val="24"/>
          <w:szCs w:val="24"/>
          <w:lang w:val="en-US" w:eastAsia="zh-CN"/>
        </w:rPr>
        <w:lastRenderedPageBreak/>
        <w:t xml:space="preserve">in endoscopic injection sclerotherapy for esophageal varices in patients with liver cirrhosis: a randomized controlled trial. </w:t>
      </w:r>
      <w:r w:rsidRPr="0039437F">
        <w:rPr>
          <w:rFonts w:ascii="Book Antiqua" w:hAnsi="Book Antiqua" w:cs="Times New Roman"/>
          <w:i/>
          <w:kern w:val="2"/>
          <w:sz w:val="24"/>
          <w:szCs w:val="24"/>
          <w:lang w:val="en-US" w:eastAsia="zh-CN"/>
        </w:rPr>
        <w:t>Fukushima J Med Sci</w:t>
      </w:r>
      <w:r w:rsidRPr="0039437F">
        <w:rPr>
          <w:rFonts w:ascii="Book Antiqua" w:hAnsi="Book Antiqua" w:cs="Times New Roman"/>
          <w:kern w:val="2"/>
          <w:sz w:val="24"/>
          <w:szCs w:val="24"/>
          <w:lang w:val="en-US" w:eastAsia="zh-CN"/>
        </w:rPr>
        <w:t xml:space="preserve"> 2018; </w:t>
      </w:r>
      <w:r w:rsidRPr="0039437F">
        <w:rPr>
          <w:rFonts w:ascii="Book Antiqua" w:hAnsi="Book Antiqua" w:cs="Times New Roman"/>
          <w:b/>
          <w:kern w:val="2"/>
          <w:sz w:val="24"/>
          <w:szCs w:val="24"/>
          <w:lang w:val="en-US" w:eastAsia="zh-CN"/>
        </w:rPr>
        <w:t>64</w:t>
      </w:r>
      <w:r w:rsidRPr="0039437F">
        <w:rPr>
          <w:rFonts w:ascii="Book Antiqua" w:hAnsi="Book Antiqua" w:cs="Times New Roman"/>
          <w:kern w:val="2"/>
          <w:sz w:val="24"/>
          <w:szCs w:val="24"/>
          <w:lang w:val="en-US" w:eastAsia="zh-CN"/>
        </w:rPr>
        <w:t>: 133-141 [PMID: 30344206 DOI: 10.5387/fms.2018-21]</w:t>
      </w:r>
    </w:p>
    <w:p w14:paraId="48997536"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20 </w:t>
      </w:r>
      <w:r w:rsidRPr="0039437F">
        <w:rPr>
          <w:rFonts w:ascii="Book Antiqua" w:hAnsi="Book Antiqua" w:cs="Times New Roman"/>
          <w:b/>
          <w:kern w:val="2"/>
          <w:sz w:val="24"/>
          <w:szCs w:val="24"/>
          <w:lang w:val="en-US" w:eastAsia="zh-CN"/>
        </w:rPr>
        <w:t>Ahmed SA</w:t>
      </w:r>
      <w:r w:rsidRPr="0039437F">
        <w:rPr>
          <w:rFonts w:ascii="Book Antiqua" w:hAnsi="Book Antiqua" w:cs="Times New Roman"/>
          <w:kern w:val="2"/>
          <w:sz w:val="24"/>
          <w:szCs w:val="24"/>
          <w:lang w:val="en-US" w:eastAsia="zh-CN"/>
        </w:rPr>
        <w:t xml:space="preserve">, Selim A, Hawash N, </w:t>
      </w:r>
      <w:proofErr w:type="spellStart"/>
      <w:r w:rsidRPr="0039437F">
        <w:rPr>
          <w:rFonts w:ascii="Book Antiqua" w:hAnsi="Book Antiqua" w:cs="Times New Roman"/>
          <w:kern w:val="2"/>
          <w:sz w:val="24"/>
          <w:szCs w:val="24"/>
          <w:lang w:val="en-US" w:eastAsia="zh-CN"/>
        </w:rPr>
        <w:t>Tawfik</w:t>
      </w:r>
      <w:proofErr w:type="spellEnd"/>
      <w:r w:rsidRPr="0039437F">
        <w:rPr>
          <w:rFonts w:ascii="Book Antiqua" w:hAnsi="Book Antiqua" w:cs="Times New Roman"/>
          <w:kern w:val="2"/>
          <w:sz w:val="24"/>
          <w:szCs w:val="24"/>
          <w:lang w:val="en-US" w:eastAsia="zh-CN"/>
        </w:rPr>
        <w:t xml:space="preserve"> AK, </w:t>
      </w:r>
      <w:proofErr w:type="spellStart"/>
      <w:r w:rsidRPr="0039437F">
        <w:rPr>
          <w:rFonts w:ascii="Book Antiqua" w:hAnsi="Book Antiqua" w:cs="Times New Roman"/>
          <w:kern w:val="2"/>
          <w:sz w:val="24"/>
          <w:szCs w:val="24"/>
          <w:lang w:val="en-US" w:eastAsia="zh-CN"/>
        </w:rPr>
        <w:t>Yousef</w:t>
      </w:r>
      <w:proofErr w:type="spellEnd"/>
      <w:r w:rsidRPr="0039437F">
        <w:rPr>
          <w:rFonts w:ascii="Book Antiqua" w:hAnsi="Book Antiqua" w:cs="Times New Roman"/>
          <w:kern w:val="2"/>
          <w:sz w:val="24"/>
          <w:szCs w:val="24"/>
          <w:lang w:val="en-US" w:eastAsia="zh-CN"/>
        </w:rPr>
        <w:t xml:space="preserve"> M, </w:t>
      </w:r>
      <w:proofErr w:type="spellStart"/>
      <w:r w:rsidRPr="0039437F">
        <w:rPr>
          <w:rFonts w:ascii="Book Antiqua" w:hAnsi="Book Antiqua" w:cs="Times New Roman"/>
          <w:kern w:val="2"/>
          <w:sz w:val="24"/>
          <w:szCs w:val="24"/>
          <w:lang w:val="en-US" w:eastAsia="zh-CN"/>
        </w:rPr>
        <w:t>Kobtan</w:t>
      </w:r>
      <w:proofErr w:type="spellEnd"/>
      <w:r w:rsidRPr="0039437F">
        <w:rPr>
          <w:rFonts w:ascii="Book Antiqua" w:hAnsi="Book Antiqua" w:cs="Times New Roman"/>
          <w:kern w:val="2"/>
          <w:sz w:val="24"/>
          <w:szCs w:val="24"/>
          <w:lang w:val="en-US" w:eastAsia="zh-CN"/>
        </w:rPr>
        <w:t xml:space="preserve"> A, </w:t>
      </w:r>
      <w:proofErr w:type="spellStart"/>
      <w:r w:rsidRPr="0039437F">
        <w:rPr>
          <w:rFonts w:ascii="Book Antiqua" w:hAnsi="Book Antiqua" w:cs="Times New Roman"/>
          <w:kern w:val="2"/>
          <w:sz w:val="24"/>
          <w:szCs w:val="24"/>
          <w:lang w:val="en-US" w:eastAsia="zh-CN"/>
        </w:rPr>
        <w:t>Badawi</w:t>
      </w:r>
      <w:proofErr w:type="spellEnd"/>
      <w:r w:rsidRPr="0039437F">
        <w:rPr>
          <w:rFonts w:ascii="Book Antiqua" w:hAnsi="Book Antiqua" w:cs="Times New Roman"/>
          <w:kern w:val="2"/>
          <w:sz w:val="24"/>
          <w:szCs w:val="24"/>
          <w:lang w:val="en-US" w:eastAsia="zh-CN"/>
        </w:rPr>
        <w:t xml:space="preserve"> R, </w:t>
      </w:r>
      <w:proofErr w:type="spellStart"/>
      <w:r w:rsidRPr="0039437F">
        <w:rPr>
          <w:rFonts w:ascii="Book Antiqua" w:hAnsi="Book Antiqua" w:cs="Times New Roman"/>
          <w:kern w:val="2"/>
          <w:sz w:val="24"/>
          <w:szCs w:val="24"/>
          <w:lang w:val="en-US" w:eastAsia="zh-CN"/>
        </w:rPr>
        <w:t>Elnawasany</w:t>
      </w:r>
      <w:proofErr w:type="spellEnd"/>
      <w:r w:rsidRPr="0039437F">
        <w:rPr>
          <w:rFonts w:ascii="Book Antiqua" w:hAnsi="Book Antiqua" w:cs="Times New Roman"/>
          <w:kern w:val="2"/>
          <w:sz w:val="24"/>
          <w:szCs w:val="24"/>
          <w:lang w:val="en-US" w:eastAsia="zh-CN"/>
        </w:rPr>
        <w:t xml:space="preserve"> S, </w:t>
      </w:r>
      <w:proofErr w:type="spellStart"/>
      <w:r w:rsidRPr="0039437F">
        <w:rPr>
          <w:rFonts w:ascii="Book Antiqua" w:hAnsi="Book Antiqua" w:cs="Times New Roman"/>
          <w:kern w:val="2"/>
          <w:sz w:val="24"/>
          <w:szCs w:val="24"/>
          <w:lang w:val="en-US" w:eastAsia="zh-CN"/>
        </w:rPr>
        <w:t>Elkhouly</w:t>
      </w:r>
      <w:proofErr w:type="spellEnd"/>
      <w:r w:rsidRPr="0039437F">
        <w:rPr>
          <w:rFonts w:ascii="Book Antiqua" w:hAnsi="Book Antiqua" w:cs="Times New Roman"/>
          <w:kern w:val="2"/>
          <w:sz w:val="24"/>
          <w:szCs w:val="24"/>
          <w:lang w:val="en-US" w:eastAsia="zh-CN"/>
        </w:rPr>
        <w:t xml:space="preserve"> RA, </w:t>
      </w:r>
      <w:proofErr w:type="spellStart"/>
      <w:r w:rsidRPr="0039437F">
        <w:rPr>
          <w:rFonts w:ascii="Book Antiqua" w:hAnsi="Book Antiqua" w:cs="Times New Roman"/>
          <w:kern w:val="2"/>
          <w:sz w:val="24"/>
          <w:szCs w:val="24"/>
          <w:lang w:val="en-US" w:eastAsia="zh-CN"/>
        </w:rPr>
        <w:t>Hanafy</w:t>
      </w:r>
      <w:proofErr w:type="spellEnd"/>
      <w:r w:rsidRPr="0039437F">
        <w:rPr>
          <w:rFonts w:ascii="Book Antiqua" w:hAnsi="Book Antiqua" w:cs="Times New Roman"/>
          <w:kern w:val="2"/>
          <w:sz w:val="24"/>
          <w:szCs w:val="24"/>
          <w:lang w:val="en-US" w:eastAsia="zh-CN"/>
        </w:rPr>
        <w:t xml:space="preserve"> AS, </w:t>
      </w:r>
      <w:proofErr w:type="spellStart"/>
      <w:r w:rsidRPr="0039437F">
        <w:rPr>
          <w:rFonts w:ascii="Book Antiqua" w:hAnsi="Book Antiqua" w:cs="Times New Roman"/>
          <w:kern w:val="2"/>
          <w:sz w:val="24"/>
          <w:szCs w:val="24"/>
          <w:lang w:val="en-US" w:eastAsia="zh-CN"/>
        </w:rPr>
        <w:t>Rizk</w:t>
      </w:r>
      <w:proofErr w:type="spellEnd"/>
      <w:r w:rsidRPr="0039437F">
        <w:rPr>
          <w:rFonts w:ascii="Book Antiqua" w:hAnsi="Book Antiqua" w:cs="Times New Roman"/>
          <w:kern w:val="2"/>
          <w:sz w:val="24"/>
          <w:szCs w:val="24"/>
          <w:lang w:val="en-US" w:eastAsia="zh-CN"/>
        </w:rPr>
        <w:t xml:space="preserve"> FH, Mansour L, </w:t>
      </w:r>
      <w:proofErr w:type="spellStart"/>
      <w:r w:rsidRPr="0039437F">
        <w:rPr>
          <w:rFonts w:ascii="Book Antiqua" w:hAnsi="Book Antiqua" w:cs="Times New Roman"/>
          <w:kern w:val="2"/>
          <w:sz w:val="24"/>
          <w:szCs w:val="24"/>
          <w:lang w:val="en-US" w:eastAsia="zh-CN"/>
        </w:rPr>
        <w:t>Abd-Elsalam</w:t>
      </w:r>
      <w:proofErr w:type="spellEnd"/>
      <w:r w:rsidRPr="0039437F">
        <w:rPr>
          <w:rFonts w:ascii="Book Antiqua" w:hAnsi="Book Antiqua" w:cs="Times New Roman"/>
          <w:kern w:val="2"/>
          <w:sz w:val="24"/>
          <w:szCs w:val="24"/>
          <w:lang w:val="en-US" w:eastAsia="zh-CN"/>
        </w:rPr>
        <w:t xml:space="preserve"> S. Randomized Controlled Study Comparing Use of Propofol Plus Fentanyl versus Midazolam Plus Fentanyl as Sedation in Diagnostic Endoscopy in Patients with Advanced Liver Disease. </w:t>
      </w:r>
      <w:proofErr w:type="spellStart"/>
      <w:r w:rsidRPr="0039437F">
        <w:rPr>
          <w:rFonts w:ascii="Book Antiqua" w:hAnsi="Book Antiqua" w:cs="Times New Roman"/>
          <w:i/>
          <w:kern w:val="2"/>
          <w:sz w:val="24"/>
          <w:szCs w:val="24"/>
          <w:lang w:val="en-US" w:eastAsia="zh-CN"/>
        </w:rPr>
        <w:t>Int</w:t>
      </w:r>
      <w:proofErr w:type="spellEnd"/>
      <w:r w:rsidRPr="0039437F">
        <w:rPr>
          <w:rFonts w:ascii="Book Antiqua" w:hAnsi="Book Antiqua" w:cs="Times New Roman"/>
          <w:i/>
          <w:kern w:val="2"/>
          <w:sz w:val="24"/>
          <w:szCs w:val="24"/>
          <w:lang w:val="en-US" w:eastAsia="zh-CN"/>
        </w:rPr>
        <w:t xml:space="preserve"> J </w:t>
      </w:r>
      <w:proofErr w:type="spellStart"/>
      <w:r w:rsidRPr="0039437F">
        <w:rPr>
          <w:rFonts w:ascii="Book Antiqua" w:hAnsi="Book Antiqua" w:cs="Times New Roman"/>
          <w:i/>
          <w:kern w:val="2"/>
          <w:sz w:val="24"/>
          <w:szCs w:val="24"/>
          <w:lang w:val="en-US" w:eastAsia="zh-CN"/>
        </w:rPr>
        <w:t>Hepatol</w:t>
      </w:r>
      <w:proofErr w:type="spellEnd"/>
      <w:r w:rsidRPr="0039437F">
        <w:rPr>
          <w:rFonts w:ascii="Book Antiqua" w:hAnsi="Book Antiqua" w:cs="Times New Roman"/>
          <w:kern w:val="2"/>
          <w:sz w:val="24"/>
          <w:szCs w:val="24"/>
          <w:lang w:val="en-US" w:eastAsia="zh-CN"/>
        </w:rPr>
        <w:t xml:space="preserve"> 2017; </w:t>
      </w:r>
      <w:r w:rsidRPr="0039437F">
        <w:rPr>
          <w:rFonts w:ascii="Book Antiqua" w:hAnsi="Book Antiqua" w:cs="Times New Roman"/>
          <w:b/>
          <w:kern w:val="2"/>
          <w:sz w:val="24"/>
          <w:szCs w:val="24"/>
          <w:lang w:val="en-US" w:eastAsia="zh-CN"/>
        </w:rPr>
        <w:t>2017</w:t>
      </w:r>
      <w:r w:rsidRPr="0039437F">
        <w:rPr>
          <w:rFonts w:ascii="Book Antiqua" w:hAnsi="Book Antiqua" w:cs="Times New Roman"/>
          <w:kern w:val="2"/>
          <w:sz w:val="24"/>
          <w:szCs w:val="24"/>
          <w:lang w:val="en-US" w:eastAsia="zh-CN"/>
        </w:rPr>
        <w:t>: 8462756 [PMID: 29312786 DOI: 10.1155/2017/8462756]</w:t>
      </w:r>
    </w:p>
    <w:p w14:paraId="4232845D"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21 </w:t>
      </w:r>
      <w:proofErr w:type="spellStart"/>
      <w:r w:rsidRPr="0039437F">
        <w:rPr>
          <w:rFonts w:ascii="Book Antiqua" w:hAnsi="Book Antiqua" w:cs="Times New Roman"/>
          <w:b/>
          <w:kern w:val="2"/>
          <w:sz w:val="24"/>
          <w:szCs w:val="24"/>
          <w:lang w:val="en-US" w:eastAsia="zh-CN"/>
        </w:rPr>
        <w:t>Correia</w:t>
      </w:r>
      <w:proofErr w:type="spellEnd"/>
      <w:r w:rsidRPr="0039437F">
        <w:rPr>
          <w:rFonts w:ascii="Book Antiqua" w:hAnsi="Book Antiqua" w:cs="Times New Roman"/>
          <w:b/>
          <w:kern w:val="2"/>
          <w:sz w:val="24"/>
          <w:szCs w:val="24"/>
          <w:lang w:val="en-US" w:eastAsia="zh-CN"/>
        </w:rPr>
        <w:t xml:space="preserve"> LM</w:t>
      </w:r>
      <w:r w:rsidRPr="0039437F">
        <w:rPr>
          <w:rFonts w:ascii="Book Antiqua" w:hAnsi="Book Antiqua" w:cs="Times New Roman"/>
          <w:kern w:val="2"/>
          <w:sz w:val="24"/>
          <w:szCs w:val="24"/>
          <w:lang w:val="en-US" w:eastAsia="zh-CN"/>
        </w:rPr>
        <w:t xml:space="preserve">, </w:t>
      </w:r>
      <w:proofErr w:type="spellStart"/>
      <w:r w:rsidRPr="0039437F">
        <w:rPr>
          <w:rFonts w:ascii="Book Antiqua" w:hAnsi="Book Antiqua" w:cs="Times New Roman"/>
          <w:kern w:val="2"/>
          <w:sz w:val="24"/>
          <w:szCs w:val="24"/>
          <w:lang w:val="en-US" w:eastAsia="zh-CN"/>
        </w:rPr>
        <w:t>Bonilha</w:t>
      </w:r>
      <w:proofErr w:type="spellEnd"/>
      <w:r w:rsidRPr="0039437F">
        <w:rPr>
          <w:rFonts w:ascii="Book Antiqua" w:hAnsi="Book Antiqua" w:cs="Times New Roman"/>
          <w:kern w:val="2"/>
          <w:sz w:val="24"/>
          <w:szCs w:val="24"/>
          <w:lang w:val="en-US" w:eastAsia="zh-CN"/>
        </w:rPr>
        <w:t xml:space="preserve"> DQ, Gomes GF, Brito JR, Nakao FS, Lenz L, Rohr MR, Ferrari AP, Libera ED. Sedation during upper GI endoscopy in cirrhotic outpatients: a randomized, controlled trial comparing propofol and fentanyl with midazolam and fentanyl. </w:t>
      </w:r>
      <w:proofErr w:type="spellStart"/>
      <w:r w:rsidRPr="0039437F">
        <w:rPr>
          <w:rFonts w:ascii="Book Antiqua" w:hAnsi="Book Antiqua" w:cs="Times New Roman"/>
          <w:i/>
          <w:kern w:val="2"/>
          <w:sz w:val="24"/>
          <w:szCs w:val="24"/>
          <w:lang w:val="en-US" w:eastAsia="zh-CN"/>
        </w:rPr>
        <w:t>Gastrointest</w:t>
      </w:r>
      <w:proofErr w:type="spellEnd"/>
      <w:r w:rsidRPr="0039437F">
        <w:rPr>
          <w:rFonts w:ascii="Book Antiqua" w:hAnsi="Book Antiqua" w:cs="Times New Roman"/>
          <w:i/>
          <w:kern w:val="2"/>
          <w:sz w:val="24"/>
          <w:szCs w:val="24"/>
          <w:lang w:val="en-US" w:eastAsia="zh-CN"/>
        </w:rPr>
        <w:t xml:space="preserve"> </w:t>
      </w:r>
      <w:proofErr w:type="spellStart"/>
      <w:r w:rsidRPr="0039437F">
        <w:rPr>
          <w:rFonts w:ascii="Book Antiqua" w:hAnsi="Book Antiqua" w:cs="Times New Roman"/>
          <w:i/>
          <w:kern w:val="2"/>
          <w:sz w:val="24"/>
          <w:szCs w:val="24"/>
          <w:lang w:val="en-US" w:eastAsia="zh-CN"/>
        </w:rPr>
        <w:t>Endosc</w:t>
      </w:r>
      <w:proofErr w:type="spellEnd"/>
      <w:r w:rsidRPr="0039437F">
        <w:rPr>
          <w:rFonts w:ascii="Book Antiqua" w:hAnsi="Book Antiqua" w:cs="Times New Roman"/>
          <w:kern w:val="2"/>
          <w:sz w:val="24"/>
          <w:szCs w:val="24"/>
          <w:lang w:val="en-US" w:eastAsia="zh-CN"/>
        </w:rPr>
        <w:t xml:space="preserve"> 2011; </w:t>
      </w:r>
      <w:r w:rsidRPr="0039437F">
        <w:rPr>
          <w:rFonts w:ascii="Book Antiqua" w:hAnsi="Book Antiqua" w:cs="Times New Roman"/>
          <w:b/>
          <w:kern w:val="2"/>
          <w:sz w:val="24"/>
          <w:szCs w:val="24"/>
          <w:lang w:val="en-US" w:eastAsia="zh-CN"/>
        </w:rPr>
        <w:t>73</w:t>
      </w:r>
      <w:r w:rsidRPr="0039437F">
        <w:rPr>
          <w:rFonts w:ascii="Book Antiqua" w:hAnsi="Book Antiqua" w:cs="Times New Roman"/>
          <w:kern w:val="2"/>
          <w:sz w:val="24"/>
          <w:szCs w:val="24"/>
          <w:lang w:val="en-US" w:eastAsia="zh-CN"/>
        </w:rPr>
        <w:t>: 45-51, 51.e1 [PMID: 21184869 DOI: 10.1016/j.gie.2010.09.025]</w:t>
      </w:r>
    </w:p>
    <w:p w14:paraId="270CC545"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22 </w:t>
      </w:r>
      <w:r w:rsidRPr="0039437F">
        <w:rPr>
          <w:rFonts w:ascii="Book Antiqua" w:hAnsi="Book Antiqua" w:cs="Times New Roman"/>
          <w:b/>
          <w:kern w:val="2"/>
          <w:sz w:val="24"/>
          <w:szCs w:val="24"/>
          <w:lang w:val="en-US" w:eastAsia="zh-CN"/>
        </w:rPr>
        <w:t>Weston BR</w:t>
      </w:r>
      <w:r w:rsidRPr="0039437F">
        <w:rPr>
          <w:rFonts w:ascii="Book Antiqua" w:hAnsi="Book Antiqua" w:cs="Times New Roman"/>
          <w:kern w:val="2"/>
          <w:sz w:val="24"/>
          <w:szCs w:val="24"/>
          <w:lang w:val="en-US" w:eastAsia="zh-CN"/>
        </w:rPr>
        <w:t xml:space="preserve">, </w:t>
      </w:r>
      <w:proofErr w:type="spellStart"/>
      <w:r w:rsidRPr="0039437F">
        <w:rPr>
          <w:rFonts w:ascii="Book Antiqua" w:hAnsi="Book Antiqua" w:cs="Times New Roman"/>
          <w:kern w:val="2"/>
          <w:sz w:val="24"/>
          <w:szCs w:val="24"/>
          <w:lang w:val="en-US" w:eastAsia="zh-CN"/>
        </w:rPr>
        <w:t>Chadalawada</w:t>
      </w:r>
      <w:proofErr w:type="spellEnd"/>
      <w:r w:rsidRPr="0039437F">
        <w:rPr>
          <w:rFonts w:ascii="Book Antiqua" w:hAnsi="Book Antiqua" w:cs="Times New Roman"/>
          <w:kern w:val="2"/>
          <w:sz w:val="24"/>
          <w:szCs w:val="24"/>
          <w:lang w:val="en-US" w:eastAsia="zh-CN"/>
        </w:rPr>
        <w:t xml:space="preserve"> V, </w:t>
      </w:r>
      <w:proofErr w:type="spellStart"/>
      <w:r w:rsidRPr="0039437F">
        <w:rPr>
          <w:rFonts w:ascii="Book Antiqua" w:hAnsi="Book Antiqua" w:cs="Times New Roman"/>
          <w:kern w:val="2"/>
          <w:sz w:val="24"/>
          <w:szCs w:val="24"/>
          <w:lang w:val="en-US" w:eastAsia="zh-CN"/>
        </w:rPr>
        <w:t>Chalasani</w:t>
      </w:r>
      <w:proofErr w:type="spellEnd"/>
      <w:r w:rsidRPr="0039437F">
        <w:rPr>
          <w:rFonts w:ascii="Book Antiqua" w:hAnsi="Book Antiqua" w:cs="Times New Roman"/>
          <w:kern w:val="2"/>
          <w:sz w:val="24"/>
          <w:szCs w:val="24"/>
          <w:lang w:val="en-US" w:eastAsia="zh-CN"/>
        </w:rPr>
        <w:t xml:space="preserve"> N, </w:t>
      </w:r>
      <w:proofErr w:type="spellStart"/>
      <w:r w:rsidRPr="0039437F">
        <w:rPr>
          <w:rFonts w:ascii="Book Antiqua" w:hAnsi="Book Antiqua" w:cs="Times New Roman"/>
          <w:kern w:val="2"/>
          <w:sz w:val="24"/>
          <w:szCs w:val="24"/>
          <w:lang w:val="en-US" w:eastAsia="zh-CN"/>
        </w:rPr>
        <w:t>Kwo</w:t>
      </w:r>
      <w:proofErr w:type="spellEnd"/>
      <w:r w:rsidRPr="0039437F">
        <w:rPr>
          <w:rFonts w:ascii="Book Antiqua" w:hAnsi="Book Antiqua" w:cs="Times New Roman"/>
          <w:kern w:val="2"/>
          <w:sz w:val="24"/>
          <w:szCs w:val="24"/>
          <w:lang w:val="en-US" w:eastAsia="zh-CN"/>
        </w:rPr>
        <w:t xml:space="preserve"> P, </w:t>
      </w:r>
      <w:proofErr w:type="spellStart"/>
      <w:r w:rsidRPr="0039437F">
        <w:rPr>
          <w:rFonts w:ascii="Book Antiqua" w:hAnsi="Book Antiqua" w:cs="Times New Roman"/>
          <w:kern w:val="2"/>
          <w:sz w:val="24"/>
          <w:szCs w:val="24"/>
          <w:lang w:val="en-US" w:eastAsia="zh-CN"/>
        </w:rPr>
        <w:t>Overley</w:t>
      </w:r>
      <w:proofErr w:type="spellEnd"/>
      <w:r w:rsidRPr="0039437F">
        <w:rPr>
          <w:rFonts w:ascii="Book Antiqua" w:hAnsi="Book Antiqua" w:cs="Times New Roman"/>
          <w:kern w:val="2"/>
          <w:sz w:val="24"/>
          <w:szCs w:val="24"/>
          <w:lang w:val="en-US" w:eastAsia="zh-CN"/>
        </w:rPr>
        <w:t xml:space="preserve"> CA, </w:t>
      </w:r>
      <w:proofErr w:type="spellStart"/>
      <w:r w:rsidRPr="0039437F">
        <w:rPr>
          <w:rFonts w:ascii="Book Antiqua" w:hAnsi="Book Antiqua" w:cs="Times New Roman"/>
          <w:kern w:val="2"/>
          <w:sz w:val="24"/>
          <w:szCs w:val="24"/>
          <w:lang w:val="en-US" w:eastAsia="zh-CN"/>
        </w:rPr>
        <w:t>Symms</w:t>
      </w:r>
      <w:proofErr w:type="spellEnd"/>
      <w:r w:rsidRPr="0039437F">
        <w:rPr>
          <w:rFonts w:ascii="Book Antiqua" w:hAnsi="Book Antiqua" w:cs="Times New Roman"/>
          <w:kern w:val="2"/>
          <w:sz w:val="24"/>
          <w:szCs w:val="24"/>
          <w:lang w:val="en-US" w:eastAsia="zh-CN"/>
        </w:rPr>
        <w:t xml:space="preserve"> M, </w:t>
      </w:r>
      <w:proofErr w:type="spellStart"/>
      <w:r w:rsidRPr="0039437F">
        <w:rPr>
          <w:rFonts w:ascii="Book Antiqua" w:hAnsi="Book Antiqua" w:cs="Times New Roman"/>
          <w:kern w:val="2"/>
          <w:sz w:val="24"/>
          <w:szCs w:val="24"/>
          <w:lang w:val="en-US" w:eastAsia="zh-CN"/>
        </w:rPr>
        <w:t>Strahl</w:t>
      </w:r>
      <w:proofErr w:type="spellEnd"/>
      <w:r w:rsidRPr="0039437F">
        <w:rPr>
          <w:rFonts w:ascii="Book Antiqua" w:hAnsi="Book Antiqua" w:cs="Times New Roman"/>
          <w:kern w:val="2"/>
          <w:sz w:val="24"/>
          <w:szCs w:val="24"/>
          <w:lang w:val="en-US" w:eastAsia="zh-CN"/>
        </w:rPr>
        <w:t xml:space="preserve"> E, Rex DK. Nurse-administered propofol versus midazolam and meperidine for upper endoscopy in cirrhotic patients. </w:t>
      </w:r>
      <w:r w:rsidRPr="0039437F">
        <w:rPr>
          <w:rFonts w:ascii="Book Antiqua" w:hAnsi="Book Antiqua" w:cs="Times New Roman"/>
          <w:i/>
          <w:kern w:val="2"/>
          <w:sz w:val="24"/>
          <w:szCs w:val="24"/>
          <w:lang w:val="en-US" w:eastAsia="zh-CN"/>
        </w:rPr>
        <w:t>Am J Gastroenterol</w:t>
      </w:r>
      <w:r w:rsidRPr="0039437F">
        <w:rPr>
          <w:rFonts w:ascii="Book Antiqua" w:hAnsi="Book Antiqua" w:cs="Times New Roman"/>
          <w:kern w:val="2"/>
          <w:sz w:val="24"/>
          <w:szCs w:val="24"/>
          <w:lang w:val="en-US" w:eastAsia="zh-CN"/>
        </w:rPr>
        <w:t xml:space="preserve"> 2003; </w:t>
      </w:r>
      <w:r w:rsidRPr="0039437F">
        <w:rPr>
          <w:rFonts w:ascii="Book Antiqua" w:hAnsi="Book Antiqua" w:cs="Times New Roman"/>
          <w:b/>
          <w:kern w:val="2"/>
          <w:sz w:val="24"/>
          <w:szCs w:val="24"/>
          <w:lang w:val="en-US" w:eastAsia="zh-CN"/>
        </w:rPr>
        <w:t>98</w:t>
      </w:r>
      <w:r w:rsidRPr="0039437F">
        <w:rPr>
          <w:rFonts w:ascii="Book Antiqua" w:hAnsi="Book Antiqua" w:cs="Times New Roman"/>
          <w:kern w:val="2"/>
          <w:sz w:val="24"/>
          <w:szCs w:val="24"/>
          <w:lang w:val="en-US" w:eastAsia="zh-CN"/>
        </w:rPr>
        <w:t>: 2440-2447 [PMID: 14638346 DOI: 10.1111/j.1572-0241.2003.08668.x]</w:t>
      </w:r>
    </w:p>
    <w:p w14:paraId="2FF8A79B"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23 </w:t>
      </w:r>
      <w:proofErr w:type="spellStart"/>
      <w:r w:rsidRPr="0039437F">
        <w:rPr>
          <w:rFonts w:ascii="Book Antiqua" w:hAnsi="Book Antiqua" w:cs="Times New Roman"/>
          <w:b/>
          <w:kern w:val="2"/>
          <w:sz w:val="24"/>
          <w:szCs w:val="24"/>
          <w:lang w:val="en-US" w:eastAsia="zh-CN"/>
        </w:rPr>
        <w:t>Modlin</w:t>
      </w:r>
      <w:proofErr w:type="spellEnd"/>
      <w:r w:rsidRPr="0039437F">
        <w:rPr>
          <w:rFonts w:ascii="Book Antiqua" w:hAnsi="Book Antiqua" w:cs="Times New Roman"/>
          <w:b/>
          <w:kern w:val="2"/>
          <w:sz w:val="24"/>
          <w:szCs w:val="24"/>
          <w:lang w:val="en-US" w:eastAsia="zh-CN"/>
        </w:rPr>
        <w:t xml:space="preserve"> IM</w:t>
      </w:r>
      <w:r w:rsidRPr="0039437F">
        <w:rPr>
          <w:rFonts w:ascii="Book Antiqua" w:hAnsi="Book Antiqua" w:cs="Times New Roman"/>
          <w:kern w:val="2"/>
          <w:sz w:val="24"/>
          <w:szCs w:val="24"/>
          <w:lang w:val="en-US" w:eastAsia="zh-CN"/>
        </w:rPr>
        <w:t xml:space="preserve">, Kidd M, Lye KD. </w:t>
      </w:r>
      <w:proofErr w:type="gramStart"/>
      <w:r w:rsidRPr="0039437F">
        <w:rPr>
          <w:rFonts w:ascii="Book Antiqua" w:hAnsi="Book Antiqua" w:cs="Times New Roman"/>
          <w:kern w:val="2"/>
          <w:sz w:val="24"/>
          <w:szCs w:val="24"/>
          <w:lang w:val="en-US" w:eastAsia="zh-CN"/>
        </w:rPr>
        <w:t>From the lumen to the laparoscope.</w:t>
      </w:r>
      <w:proofErr w:type="gramEnd"/>
      <w:r w:rsidRPr="0039437F">
        <w:rPr>
          <w:rFonts w:ascii="Book Antiqua" w:hAnsi="Book Antiqua" w:cs="Times New Roman"/>
          <w:kern w:val="2"/>
          <w:sz w:val="24"/>
          <w:szCs w:val="24"/>
          <w:lang w:val="en-US" w:eastAsia="zh-CN"/>
        </w:rPr>
        <w:t xml:space="preserve"> </w:t>
      </w:r>
      <w:r w:rsidRPr="0039437F">
        <w:rPr>
          <w:rFonts w:ascii="Book Antiqua" w:hAnsi="Book Antiqua" w:cs="Times New Roman"/>
          <w:i/>
          <w:kern w:val="2"/>
          <w:sz w:val="24"/>
          <w:szCs w:val="24"/>
          <w:lang w:val="en-US" w:eastAsia="zh-CN"/>
        </w:rPr>
        <w:t xml:space="preserve">Arch </w:t>
      </w:r>
      <w:proofErr w:type="spellStart"/>
      <w:r w:rsidRPr="0039437F">
        <w:rPr>
          <w:rFonts w:ascii="Book Antiqua" w:hAnsi="Book Antiqua" w:cs="Times New Roman"/>
          <w:i/>
          <w:kern w:val="2"/>
          <w:sz w:val="24"/>
          <w:szCs w:val="24"/>
          <w:lang w:val="en-US" w:eastAsia="zh-CN"/>
        </w:rPr>
        <w:t>Surg</w:t>
      </w:r>
      <w:proofErr w:type="spellEnd"/>
      <w:r w:rsidRPr="0039437F">
        <w:rPr>
          <w:rFonts w:ascii="Book Antiqua" w:hAnsi="Book Antiqua" w:cs="Times New Roman"/>
          <w:kern w:val="2"/>
          <w:sz w:val="24"/>
          <w:szCs w:val="24"/>
          <w:lang w:val="en-US" w:eastAsia="zh-CN"/>
        </w:rPr>
        <w:t xml:space="preserve"> 2004; </w:t>
      </w:r>
      <w:r w:rsidRPr="0039437F">
        <w:rPr>
          <w:rFonts w:ascii="Book Antiqua" w:hAnsi="Book Antiqua" w:cs="Times New Roman"/>
          <w:b/>
          <w:kern w:val="2"/>
          <w:sz w:val="24"/>
          <w:szCs w:val="24"/>
          <w:lang w:val="en-US" w:eastAsia="zh-CN"/>
        </w:rPr>
        <w:t>139</w:t>
      </w:r>
      <w:r w:rsidRPr="0039437F">
        <w:rPr>
          <w:rFonts w:ascii="Book Antiqua" w:hAnsi="Book Antiqua" w:cs="Times New Roman"/>
          <w:kern w:val="2"/>
          <w:sz w:val="24"/>
          <w:szCs w:val="24"/>
          <w:lang w:val="en-US" w:eastAsia="zh-CN"/>
        </w:rPr>
        <w:t>: 1110-1126 [PMID: 15492154 DOI: 10.1001/archsurg.139.10.1110]</w:t>
      </w:r>
    </w:p>
    <w:p w14:paraId="7142C058"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proofErr w:type="gramStart"/>
      <w:r w:rsidRPr="0039437F">
        <w:rPr>
          <w:rFonts w:ascii="Book Antiqua" w:hAnsi="Book Antiqua" w:cs="Times New Roman"/>
          <w:kern w:val="2"/>
          <w:sz w:val="24"/>
          <w:szCs w:val="24"/>
          <w:lang w:val="en-US" w:eastAsia="zh-CN"/>
        </w:rPr>
        <w:t xml:space="preserve">24 </w:t>
      </w:r>
      <w:r w:rsidRPr="0039437F">
        <w:rPr>
          <w:rFonts w:ascii="Book Antiqua" w:hAnsi="Book Antiqua" w:cs="Times New Roman"/>
          <w:b/>
          <w:kern w:val="2"/>
          <w:sz w:val="24"/>
          <w:szCs w:val="24"/>
          <w:lang w:val="en-US" w:eastAsia="zh-CN"/>
        </w:rPr>
        <w:t>Smith JL</w:t>
      </w:r>
      <w:r w:rsidRPr="0039437F">
        <w:rPr>
          <w:rFonts w:ascii="Book Antiqua" w:hAnsi="Book Antiqua" w:cs="Times New Roman"/>
          <w:kern w:val="2"/>
          <w:sz w:val="24"/>
          <w:szCs w:val="24"/>
          <w:lang w:val="en-US" w:eastAsia="zh-CN"/>
        </w:rPr>
        <w:t xml:space="preserve">, </w:t>
      </w:r>
      <w:proofErr w:type="spellStart"/>
      <w:r w:rsidRPr="0039437F">
        <w:rPr>
          <w:rFonts w:ascii="Book Antiqua" w:hAnsi="Book Antiqua" w:cs="Times New Roman"/>
          <w:kern w:val="2"/>
          <w:sz w:val="24"/>
          <w:szCs w:val="24"/>
          <w:lang w:val="en-US" w:eastAsia="zh-CN"/>
        </w:rPr>
        <w:t>Opekun</w:t>
      </w:r>
      <w:proofErr w:type="spellEnd"/>
      <w:r w:rsidRPr="0039437F">
        <w:rPr>
          <w:rFonts w:ascii="Book Antiqua" w:hAnsi="Book Antiqua" w:cs="Times New Roman"/>
          <w:kern w:val="2"/>
          <w:sz w:val="24"/>
          <w:szCs w:val="24"/>
          <w:lang w:val="en-US" w:eastAsia="zh-CN"/>
        </w:rPr>
        <w:t xml:space="preserve"> A, Graham DY. Controlled comparison of topical anesthetic agents in flexible upper gastrointestinal endoscopy.</w:t>
      </w:r>
      <w:proofErr w:type="gramEnd"/>
      <w:r w:rsidRPr="0039437F">
        <w:rPr>
          <w:rFonts w:ascii="Book Antiqua" w:hAnsi="Book Antiqua" w:cs="Times New Roman"/>
          <w:kern w:val="2"/>
          <w:sz w:val="24"/>
          <w:szCs w:val="24"/>
          <w:lang w:val="en-US" w:eastAsia="zh-CN"/>
        </w:rPr>
        <w:t xml:space="preserve"> </w:t>
      </w:r>
      <w:proofErr w:type="spellStart"/>
      <w:r w:rsidRPr="0039437F">
        <w:rPr>
          <w:rFonts w:ascii="Book Antiqua" w:hAnsi="Book Antiqua" w:cs="Times New Roman"/>
          <w:i/>
          <w:kern w:val="2"/>
          <w:sz w:val="24"/>
          <w:szCs w:val="24"/>
          <w:lang w:val="en-US" w:eastAsia="zh-CN"/>
        </w:rPr>
        <w:t>Gastrointest</w:t>
      </w:r>
      <w:proofErr w:type="spellEnd"/>
      <w:r w:rsidRPr="0039437F">
        <w:rPr>
          <w:rFonts w:ascii="Book Antiqua" w:hAnsi="Book Antiqua" w:cs="Times New Roman"/>
          <w:i/>
          <w:kern w:val="2"/>
          <w:sz w:val="24"/>
          <w:szCs w:val="24"/>
          <w:lang w:val="en-US" w:eastAsia="zh-CN"/>
        </w:rPr>
        <w:t xml:space="preserve"> </w:t>
      </w:r>
      <w:proofErr w:type="spellStart"/>
      <w:r w:rsidRPr="0039437F">
        <w:rPr>
          <w:rFonts w:ascii="Book Antiqua" w:hAnsi="Book Antiqua" w:cs="Times New Roman"/>
          <w:i/>
          <w:kern w:val="2"/>
          <w:sz w:val="24"/>
          <w:szCs w:val="24"/>
          <w:lang w:val="en-US" w:eastAsia="zh-CN"/>
        </w:rPr>
        <w:t>Endosc</w:t>
      </w:r>
      <w:proofErr w:type="spellEnd"/>
      <w:r w:rsidRPr="0039437F">
        <w:rPr>
          <w:rFonts w:ascii="Book Antiqua" w:hAnsi="Book Antiqua" w:cs="Times New Roman"/>
          <w:kern w:val="2"/>
          <w:sz w:val="24"/>
          <w:szCs w:val="24"/>
          <w:lang w:val="en-US" w:eastAsia="zh-CN"/>
        </w:rPr>
        <w:t xml:space="preserve"> 1985; </w:t>
      </w:r>
      <w:r w:rsidRPr="0039437F">
        <w:rPr>
          <w:rFonts w:ascii="Book Antiqua" w:hAnsi="Book Antiqua" w:cs="Times New Roman"/>
          <w:b/>
          <w:kern w:val="2"/>
          <w:sz w:val="24"/>
          <w:szCs w:val="24"/>
          <w:lang w:val="en-US" w:eastAsia="zh-CN"/>
        </w:rPr>
        <w:t>31</w:t>
      </w:r>
      <w:r w:rsidRPr="0039437F">
        <w:rPr>
          <w:rFonts w:ascii="Book Antiqua" w:hAnsi="Book Antiqua" w:cs="Times New Roman"/>
          <w:kern w:val="2"/>
          <w:sz w:val="24"/>
          <w:szCs w:val="24"/>
          <w:lang w:val="en-US" w:eastAsia="zh-CN"/>
        </w:rPr>
        <w:t>: 255-258 [PMID: 3875515 DOI: 10.1016/S0016-5107(85)72175-X]</w:t>
      </w:r>
    </w:p>
    <w:p w14:paraId="28D9E469"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25 </w:t>
      </w:r>
      <w:r w:rsidRPr="0039437F">
        <w:rPr>
          <w:rFonts w:ascii="Book Antiqua" w:hAnsi="Book Antiqua" w:cs="Times New Roman"/>
          <w:b/>
          <w:kern w:val="2"/>
          <w:sz w:val="24"/>
          <w:szCs w:val="24"/>
          <w:lang w:val="en-US" w:eastAsia="zh-CN"/>
        </w:rPr>
        <w:t>Froehlich F</w:t>
      </w:r>
      <w:r w:rsidRPr="0039437F">
        <w:rPr>
          <w:rFonts w:ascii="Book Antiqua" w:hAnsi="Book Antiqua" w:cs="Times New Roman"/>
          <w:kern w:val="2"/>
          <w:sz w:val="24"/>
          <w:szCs w:val="24"/>
          <w:lang w:val="en-US" w:eastAsia="zh-CN"/>
        </w:rPr>
        <w:t xml:space="preserve">. Topical pharyngeal </w:t>
      </w:r>
      <w:proofErr w:type="gramStart"/>
      <w:r w:rsidRPr="0039437F">
        <w:rPr>
          <w:rFonts w:ascii="Book Antiqua" w:hAnsi="Book Antiqua" w:cs="Times New Roman"/>
          <w:kern w:val="2"/>
          <w:sz w:val="24"/>
          <w:szCs w:val="24"/>
          <w:lang w:val="en-US" w:eastAsia="zh-CN"/>
        </w:rPr>
        <w:t>anesthesia</w:t>
      </w:r>
      <w:proofErr w:type="gramEnd"/>
      <w:r w:rsidRPr="0039437F">
        <w:rPr>
          <w:rFonts w:ascii="Book Antiqua" w:hAnsi="Book Antiqua" w:cs="Times New Roman"/>
          <w:kern w:val="2"/>
          <w:sz w:val="24"/>
          <w:szCs w:val="24"/>
          <w:lang w:val="en-US" w:eastAsia="zh-CN"/>
        </w:rPr>
        <w:t xml:space="preserve"> during gastroscopy. </w:t>
      </w:r>
      <w:proofErr w:type="spellStart"/>
      <w:r w:rsidRPr="0039437F">
        <w:rPr>
          <w:rFonts w:ascii="Book Antiqua" w:hAnsi="Book Antiqua" w:cs="Times New Roman"/>
          <w:i/>
          <w:kern w:val="2"/>
          <w:sz w:val="24"/>
          <w:szCs w:val="24"/>
          <w:lang w:val="en-US" w:eastAsia="zh-CN"/>
        </w:rPr>
        <w:t>Gastrointest</w:t>
      </w:r>
      <w:proofErr w:type="spellEnd"/>
      <w:r w:rsidRPr="0039437F">
        <w:rPr>
          <w:rFonts w:ascii="Book Antiqua" w:hAnsi="Book Antiqua" w:cs="Times New Roman"/>
          <w:i/>
          <w:kern w:val="2"/>
          <w:sz w:val="24"/>
          <w:szCs w:val="24"/>
          <w:lang w:val="en-US" w:eastAsia="zh-CN"/>
        </w:rPr>
        <w:t xml:space="preserve"> </w:t>
      </w:r>
      <w:proofErr w:type="spellStart"/>
      <w:r w:rsidRPr="0039437F">
        <w:rPr>
          <w:rFonts w:ascii="Book Antiqua" w:hAnsi="Book Antiqua" w:cs="Times New Roman"/>
          <w:i/>
          <w:kern w:val="2"/>
          <w:sz w:val="24"/>
          <w:szCs w:val="24"/>
          <w:lang w:val="en-US" w:eastAsia="zh-CN"/>
        </w:rPr>
        <w:t>Endosc</w:t>
      </w:r>
      <w:proofErr w:type="spellEnd"/>
      <w:r w:rsidRPr="0039437F">
        <w:rPr>
          <w:rFonts w:ascii="Book Antiqua" w:hAnsi="Book Antiqua" w:cs="Times New Roman"/>
          <w:kern w:val="2"/>
          <w:sz w:val="24"/>
          <w:szCs w:val="24"/>
          <w:lang w:val="en-US" w:eastAsia="zh-CN"/>
        </w:rPr>
        <w:t xml:space="preserve"> 2001; </w:t>
      </w:r>
      <w:r w:rsidRPr="0039437F">
        <w:rPr>
          <w:rFonts w:ascii="Book Antiqua" w:hAnsi="Book Antiqua" w:cs="Times New Roman"/>
          <w:b/>
          <w:kern w:val="2"/>
          <w:sz w:val="24"/>
          <w:szCs w:val="24"/>
          <w:lang w:val="en-US" w:eastAsia="zh-CN"/>
        </w:rPr>
        <w:t>54</w:t>
      </w:r>
      <w:r w:rsidRPr="0039437F">
        <w:rPr>
          <w:rFonts w:ascii="Book Antiqua" w:hAnsi="Book Antiqua" w:cs="Times New Roman"/>
          <w:kern w:val="2"/>
          <w:sz w:val="24"/>
          <w:szCs w:val="24"/>
          <w:lang w:val="en-US" w:eastAsia="zh-CN"/>
        </w:rPr>
        <w:t>: 803-804 [PMID: 11726869 DOI: 10.1067/mge.2001.119730]</w:t>
      </w:r>
    </w:p>
    <w:p w14:paraId="4A1C4E1C"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26 </w:t>
      </w:r>
      <w:r w:rsidRPr="0039437F">
        <w:rPr>
          <w:rFonts w:ascii="Book Antiqua" w:hAnsi="Book Antiqua" w:cs="Times New Roman"/>
          <w:b/>
          <w:kern w:val="2"/>
          <w:sz w:val="24"/>
          <w:szCs w:val="24"/>
          <w:lang w:val="en-US" w:eastAsia="zh-CN"/>
        </w:rPr>
        <w:t>Evans LT</w:t>
      </w:r>
      <w:r w:rsidRPr="0039437F">
        <w:rPr>
          <w:rFonts w:ascii="Book Antiqua" w:hAnsi="Book Antiqua" w:cs="Times New Roman"/>
          <w:kern w:val="2"/>
          <w:sz w:val="24"/>
          <w:szCs w:val="24"/>
          <w:lang w:val="en-US" w:eastAsia="zh-CN"/>
        </w:rPr>
        <w:t xml:space="preserve">, </w:t>
      </w:r>
      <w:proofErr w:type="spellStart"/>
      <w:r w:rsidRPr="0039437F">
        <w:rPr>
          <w:rFonts w:ascii="Book Antiqua" w:hAnsi="Book Antiqua" w:cs="Times New Roman"/>
          <w:kern w:val="2"/>
          <w:sz w:val="24"/>
          <w:szCs w:val="24"/>
          <w:lang w:val="en-US" w:eastAsia="zh-CN"/>
        </w:rPr>
        <w:t>Saberi</w:t>
      </w:r>
      <w:proofErr w:type="spellEnd"/>
      <w:r w:rsidRPr="0039437F">
        <w:rPr>
          <w:rFonts w:ascii="Book Antiqua" w:hAnsi="Book Antiqua" w:cs="Times New Roman"/>
          <w:kern w:val="2"/>
          <w:sz w:val="24"/>
          <w:szCs w:val="24"/>
          <w:lang w:val="en-US" w:eastAsia="zh-CN"/>
        </w:rPr>
        <w:t xml:space="preserve"> S, Kim HM, </w:t>
      </w:r>
      <w:proofErr w:type="spellStart"/>
      <w:r w:rsidRPr="0039437F">
        <w:rPr>
          <w:rFonts w:ascii="Book Antiqua" w:hAnsi="Book Antiqua" w:cs="Times New Roman"/>
          <w:kern w:val="2"/>
          <w:sz w:val="24"/>
          <w:szCs w:val="24"/>
          <w:lang w:val="en-US" w:eastAsia="zh-CN"/>
        </w:rPr>
        <w:t>Elta</w:t>
      </w:r>
      <w:proofErr w:type="spellEnd"/>
      <w:r w:rsidRPr="0039437F">
        <w:rPr>
          <w:rFonts w:ascii="Book Antiqua" w:hAnsi="Book Antiqua" w:cs="Times New Roman"/>
          <w:kern w:val="2"/>
          <w:sz w:val="24"/>
          <w:szCs w:val="24"/>
          <w:lang w:val="en-US" w:eastAsia="zh-CN"/>
        </w:rPr>
        <w:t xml:space="preserve"> GH, </w:t>
      </w:r>
      <w:proofErr w:type="spellStart"/>
      <w:r w:rsidRPr="0039437F">
        <w:rPr>
          <w:rFonts w:ascii="Book Antiqua" w:hAnsi="Book Antiqua" w:cs="Times New Roman"/>
          <w:kern w:val="2"/>
          <w:sz w:val="24"/>
          <w:szCs w:val="24"/>
          <w:lang w:val="en-US" w:eastAsia="zh-CN"/>
        </w:rPr>
        <w:t>Schoenfeld</w:t>
      </w:r>
      <w:proofErr w:type="spellEnd"/>
      <w:r w:rsidRPr="0039437F">
        <w:rPr>
          <w:rFonts w:ascii="Book Antiqua" w:hAnsi="Book Antiqua" w:cs="Times New Roman"/>
          <w:kern w:val="2"/>
          <w:sz w:val="24"/>
          <w:szCs w:val="24"/>
          <w:lang w:val="en-US" w:eastAsia="zh-CN"/>
        </w:rPr>
        <w:t xml:space="preserve"> P. Pharyngeal anesthesia during sedated EGDs: is "the spray" beneficial? </w:t>
      </w:r>
      <w:proofErr w:type="gramStart"/>
      <w:r w:rsidRPr="0039437F">
        <w:rPr>
          <w:rFonts w:ascii="Book Antiqua" w:hAnsi="Book Antiqua" w:cs="Times New Roman"/>
          <w:kern w:val="2"/>
          <w:sz w:val="24"/>
          <w:szCs w:val="24"/>
          <w:lang w:val="en-US" w:eastAsia="zh-CN"/>
        </w:rPr>
        <w:t>A meta-analysis and systematic review.</w:t>
      </w:r>
      <w:proofErr w:type="gramEnd"/>
      <w:r w:rsidRPr="0039437F">
        <w:rPr>
          <w:rFonts w:ascii="Book Antiqua" w:hAnsi="Book Antiqua" w:cs="Times New Roman"/>
          <w:kern w:val="2"/>
          <w:sz w:val="24"/>
          <w:szCs w:val="24"/>
          <w:lang w:val="en-US" w:eastAsia="zh-CN"/>
        </w:rPr>
        <w:t xml:space="preserve"> </w:t>
      </w:r>
      <w:proofErr w:type="spellStart"/>
      <w:r w:rsidRPr="0039437F">
        <w:rPr>
          <w:rFonts w:ascii="Book Antiqua" w:hAnsi="Book Antiqua" w:cs="Times New Roman"/>
          <w:i/>
          <w:kern w:val="2"/>
          <w:sz w:val="24"/>
          <w:szCs w:val="24"/>
          <w:lang w:val="en-US" w:eastAsia="zh-CN"/>
        </w:rPr>
        <w:t>Gastrointest</w:t>
      </w:r>
      <w:proofErr w:type="spellEnd"/>
      <w:r w:rsidRPr="0039437F">
        <w:rPr>
          <w:rFonts w:ascii="Book Antiqua" w:hAnsi="Book Antiqua" w:cs="Times New Roman"/>
          <w:i/>
          <w:kern w:val="2"/>
          <w:sz w:val="24"/>
          <w:szCs w:val="24"/>
          <w:lang w:val="en-US" w:eastAsia="zh-CN"/>
        </w:rPr>
        <w:t xml:space="preserve"> </w:t>
      </w:r>
      <w:proofErr w:type="spellStart"/>
      <w:r w:rsidRPr="0039437F">
        <w:rPr>
          <w:rFonts w:ascii="Book Antiqua" w:hAnsi="Book Antiqua" w:cs="Times New Roman"/>
          <w:i/>
          <w:kern w:val="2"/>
          <w:sz w:val="24"/>
          <w:szCs w:val="24"/>
          <w:lang w:val="en-US" w:eastAsia="zh-CN"/>
        </w:rPr>
        <w:t>Endosc</w:t>
      </w:r>
      <w:proofErr w:type="spellEnd"/>
      <w:r w:rsidRPr="0039437F">
        <w:rPr>
          <w:rFonts w:ascii="Book Antiqua" w:hAnsi="Book Antiqua" w:cs="Times New Roman"/>
          <w:kern w:val="2"/>
          <w:sz w:val="24"/>
          <w:szCs w:val="24"/>
          <w:lang w:val="en-US" w:eastAsia="zh-CN"/>
        </w:rPr>
        <w:t xml:space="preserve"> 2006; </w:t>
      </w:r>
      <w:r w:rsidRPr="0039437F">
        <w:rPr>
          <w:rFonts w:ascii="Book Antiqua" w:hAnsi="Book Antiqua" w:cs="Times New Roman"/>
          <w:b/>
          <w:kern w:val="2"/>
          <w:sz w:val="24"/>
          <w:szCs w:val="24"/>
          <w:lang w:val="en-US" w:eastAsia="zh-CN"/>
        </w:rPr>
        <w:t>63</w:t>
      </w:r>
      <w:r w:rsidRPr="0039437F">
        <w:rPr>
          <w:rFonts w:ascii="Book Antiqua" w:hAnsi="Book Antiqua" w:cs="Times New Roman"/>
          <w:kern w:val="2"/>
          <w:sz w:val="24"/>
          <w:szCs w:val="24"/>
          <w:lang w:val="en-US" w:eastAsia="zh-CN"/>
        </w:rPr>
        <w:t>: 761-766 [PMID: 16650534 DOI: 10.1016/j.gie.2005.11.059]</w:t>
      </w:r>
    </w:p>
    <w:p w14:paraId="3AED6A54"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27 </w:t>
      </w:r>
      <w:r w:rsidRPr="0039437F">
        <w:rPr>
          <w:rFonts w:ascii="Book Antiqua" w:hAnsi="Book Antiqua" w:cs="Times New Roman"/>
          <w:b/>
          <w:kern w:val="2"/>
          <w:sz w:val="24"/>
          <w:szCs w:val="24"/>
          <w:lang w:val="en-US" w:eastAsia="zh-CN"/>
        </w:rPr>
        <w:t>Hoare AM</w:t>
      </w:r>
      <w:r w:rsidRPr="0039437F">
        <w:rPr>
          <w:rFonts w:ascii="Book Antiqua" w:hAnsi="Book Antiqua" w:cs="Times New Roman"/>
          <w:kern w:val="2"/>
          <w:sz w:val="24"/>
          <w:szCs w:val="24"/>
          <w:lang w:val="en-US" w:eastAsia="zh-CN"/>
        </w:rPr>
        <w:t xml:space="preserve">, Hawkins CF. Upper gastrointestinal endoscopy with and without sedation: patients' opinions. </w:t>
      </w:r>
      <w:r w:rsidRPr="0039437F">
        <w:rPr>
          <w:rFonts w:ascii="Book Antiqua" w:hAnsi="Book Antiqua" w:cs="Times New Roman"/>
          <w:i/>
          <w:kern w:val="2"/>
          <w:sz w:val="24"/>
          <w:szCs w:val="24"/>
          <w:lang w:val="en-US" w:eastAsia="zh-CN"/>
        </w:rPr>
        <w:t>Br Med J</w:t>
      </w:r>
      <w:r w:rsidRPr="0039437F">
        <w:rPr>
          <w:rFonts w:ascii="Book Antiqua" w:hAnsi="Book Antiqua" w:cs="Times New Roman"/>
          <w:kern w:val="2"/>
          <w:sz w:val="24"/>
          <w:szCs w:val="24"/>
          <w:lang w:val="en-US" w:eastAsia="zh-CN"/>
        </w:rPr>
        <w:t xml:space="preserve"> 1976; </w:t>
      </w:r>
      <w:r w:rsidRPr="0039437F">
        <w:rPr>
          <w:rFonts w:ascii="Book Antiqua" w:hAnsi="Book Antiqua" w:cs="Times New Roman"/>
          <w:b/>
          <w:kern w:val="2"/>
          <w:sz w:val="24"/>
          <w:szCs w:val="24"/>
          <w:lang w:val="en-US" w:eastAsia="zh-CN"/>
        </w:rPr>
        <w:t>2</w:t>
      </w:r>
      <w:r w:rsidRPr="0039437F">
        <w:rPr>
          <w:rFonts w:ascii="Book Antiqua" w:hAnsi="Book Antiqua" w:cs="Times New Roman"/>
          <w:kern w:val="2"/>
          <w:sz w:val="24"/>
          <w:szCs w:val="24"/>
          <w:lang w:val="en-US" w:eastAsia="zh-CN"/>
        </w:rPr>
        <w:t xml:space="preserve">: 20 [PMID: 938881 DOI: </w:t>
      </w:r>
      <w:r w:rsidRPr="0039437F">
        <w:rPr>
          <w:rFonts w:ascii="Book Antiqua" w:hAnsi="Book Antiqua" w:cs="Times New Roman"/>
          <w:kern w:val="2"/>
          <w:sz w:val="24"/>
          <w:szCs w:val="24"/>
          <w:lang w:val="en-US" w:eastAsia="zh-CN"/>
        </w:rPr>
        <w:lastRenderedPageBreak/>
        <w:t>10.1136/bmj.2.6026.20]</w:t>
      </w:r>
    </w:p>
    <w:p w14:paraId="4114F068"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28 </w:t>
      </w:r>
      <w:r w:rsidRPr="0039437F">
        <w:rPr>
          <w:rFonts w:ascii="Book Antiqua" w:hAnsi="Book Antiqua" w:cs="Times New Roman"/>
          <w:b/>
          <w:kern w:val="2"/>
          <w:sz w:val="24"/>
          <w:szCs w:val="24"/>
          <w:lang w:val="en-US" w:eastAsia="zh-CN"/>
        </w:rPr>
        <w:t>Reed WD</w:t>
      </w:r>
      <w:r w:rsidRPr="0039437F">
        <w:rPr>
          <w:rFonts w:ascii="Book Antiqua" w:hAnsi="Book Antiqua" w:cs="Times New Roman"/>
          <w:kern w:val="2"/>
          <w:sz w:val="24"/>
          <w:szCs w:val="24"/>
          <w:lang w:val="en-US" w:eastAsia="zh-CN"/>
        </w:rPr>
        <w:t xml:space="preserve">, Hopkins BE, </w:t>
      </w:r>
      <w:proofErr w:type="spellStart"/>
      <w:r w:rsidRPr="0039437F">
        <w:rPr>
          <w:rFonts w:ascii="Book Antiqua" w:hAnsi="Book Antiqua" w:cs="Times New Roman"/>
          <w:kern w:val="2"/>
          <w:sz w:val="24"/>
          <w:szCs w:val="24"/>
          <w:lang w:val="en-US" w:eastAsia="zh-CN"/>
        </w:rPr>
        <w:t>Joske</w:t>
      </w:r>
      <w:proofErr w:type="spellEnd"/>
      <w:r w:rsidRPr="0039437F">
        <w:rPr>
          <w:rFonts w:ascii="Book Antiqua" w:hAnsi="Book Antiqua" w:cs="Times New Roman"/>
          <w:kern w:val="2"/>
          <w:sz w:val="24"/>
          <w:szCs w:val="24"/>
          <w:lang w:val="en-US" w:eastAsia="zh-CN"/>
        </w:rPr>
        <w:t xml:space="preserve"> RA, Laurence BH. </w:t>
      </w:r>
      <w:proofErr w:type="gramStart"/>
      <w:r w:rsidRPr="0039437F">
        <w:rPr>
          <w:rFonts w:ascii="Book Antiqua" w:hAnsi="Book Antiqua" w:cs="Times New Roman"/>
          <w:kern w:val="2"/>
          <w:sz w:val="24"/>
          <w:szCs w:val="24"/>
          <w:lang w:val="en-US" w:eastAsia="zh-CN"/>
        </w:rPr>
        <w:t xml:space="preserve">A comparative study of conventional premedication (pethidine, promethazine, and atropine) and </w:t>
      </w:r>
      <w:proofErr w:type="spellStart"/>
      <w:r w:rsidRPr="0039437F">
        <w:rPr>
          <w:rFonts w:ascii="Book Antiqua" w:hAnsi="Book Antiqua" w:cs="Times New Roman"/>
          <w:kern w:val="2"/>
          <w:sz w:val="24"/>
          <w:szCs w:val="24"/>
          <w:lang w:val="en-US" w:eastAsia="zh-CN"/>
        </w:rPr>
        <w:t>neuroleptanalgesia</w:t>
      </w:r>
      <w:proofErr w:type="spellEnd"/>
      <w:r w:rsidRPr="0039437F">
        <w:rPr>
          <w:rFonts w:ascii="Book Antiqua" w:hAnsi="Book Antiqua" w:cs="Times New Roman"/>
          <w:kern w:val="2"/>
          <w:sz w:val="24"/>
          <w:szCs w:val="24"/>
          <w:lang w:val="en-US" w:eastAsia="zh-CN"/>
        </w:rPr>
        <w:t xml:space="preserve"> (</w:t>
      </w:r>
      <w:proofErr w:type="spellStart"/>
      <w:r w:rsidRPr="0039437F">
        <w:rPr>
          <w:rFonts w:ascii="Book Antiqua" w:hAnsi="Book Antiqua" w:cs="Times New Roman"/>
          <w:kern w:val="2"/>
          <w:sz w:val="24"/>
          <w:szCs w:val="24"/>
          <w:lang w:val="en-US" w:eastAsia="zh-CN"/>
        </w:rPr>
        <w:t>droperidol</w:t>
      </w:r>
      <w:proofErr w:type="spellEnd"/>
      <w:r w:rsidRPr="0039437F">
        <w:rPr>
          <w:rFonts w:ascii="Book Antiqua" w:hAnsi="Book Antiqua" w:cs="Times New Roman"/>
          <w:kern w:val="2"/>
          <w:sz w:val="24"/>
          <w:szCs w:val="24"/>
          <w:lang w:val="en-US" w:eastAsia="zh-CN"/>
        </w:rPr>
        <w:t xml:space="preserve"> and </w:t>
      </w:r>
      <w:proofErr w:type="spellStart"/>
      <w:r w:rsidRPr="0039437F">
        <w:rPr>
          <w:rFonts w:ascii="Book Antiqua" w:hAnsi="Book Antiqua" w:cs="Times New Roman"/>
          <w:kern w:val="2"/>
          <w:sz w:val="24"/>
          <w:szCs w:val="24"/>
          <w:lang w:val="en-US" w:eastAsia="zh-CN"/>
        </w:rPr>
        <w:t>phenoperidine</w:t>
      </w:r>
      <w:proofErr w:type="spellEnd"/>
      <w:r w:rsidRPr="0039437F">
        <w:rPr>
          <w:rFonts w:ascii="Book Antiqua" w:hAnsi="Book Antiqua" w:cs="Times New Roman"/>
          <w:kern w:val="2"/>
          <w:sz w:val="24"/>
          <w:szCs w:val="24"/>
          <w:lang w:val="en-US" w:eastAsia="zh-CN"/>
        </w:rPr>
        <w:t xml:space="preserve">) for </w:t>
      </w:r>
      <w:proofErr w:type="spellStart"/>
      <w:r w:rsidRPr="0039437F">
        <w:rPr>
          <w:rFonts w:ascii="Book Antiqua" w:hAnsi="Book Antiqua" w:cs="Times New Roman"/>
          <w:kern w:val="2"/>
          <w:sz w:val="24"/>
          <w:szCs w:val="24"/>
          <w:lang w:val="en-US" w:eastAsia="zh-CN"/>
        </w:rPr>
        <w:t>peroral</w:t>
      </w:r>
      <w:proofErr w:type="spellEnd"/>
      <w:r w:rsidRPr="0039437F">
        <w:rPr>
          <w:rFonts w:ascii="Book Antiqua" w:hAnsi="Book Antiqua" w:cs="Times New Roman"/>
          <w:kern w:val="2"/>
          <w:sz w:val="24"/>
          <w:szCs w:val="24"/>
          <w:lang w:val="en-US" w:eastAsia="zh-CN"/>
        </w:rPr>
        <w:t xml:space="preserve"> endoscopy.</w:t>
      </w:r>
      <w:proofErr w:type="gramEnd"/>
      <w:r w:rsidRPr="0039437F">
        <w:rPr>
          <w:rFonts w:ascii="Book Antiqua" w:hAnsi="Book Antiqua" w:cs="Times New Roman"/>
          <w:kern w:val="2"/>
          <w:sz w:val="24"/>
          <w:szCs w:val="24"/>
          <w:lang w:val="en-US" w:eastAsia="zh-CN"/>
        </w:rPr>
        <w:t xml:space="preserve"> </w:t>
      </w:r>
      <w:r w:rsidRPr="0039437F">
        <w:rPr>
          <w:rFonts w:ascii="Book Antiqua" w:hAnsi="Book Antiqua" w:cs="Times New Roman"/>
          <w:i/>
          <w:kern w:val="2"/>
          <w:sz w:val="24"/>
          <w:szCs w:val="24"/>
          <w:lang w:val="en-US" w:eastAsia="zh-CN"/>
        </w:rPr>
        <w:t>Gut</w:t>
      </w:r>
      <w:r w:rsidRPr="0039437F">
        <w:rPr>
          <w:rFonts w:ascii="Book Antiqua" w:hAnsi="Book Antiqua" w:cs="Times New Roman"/>
          <w:kern w:val="2"/>
          <w:sz w:val="24"/>
          <w:szCs w:val="24"/>
          <w:lang w:val="en-US" w:eastAsia="zh-CN"/>
        </w:rPr>
        <w:t xml:space="preserve"> 1971; </w:t>
      </w:r>
      <w:r w:rsidRPr="0039437F">
        <w:rPr>
          <w:rFonts w:ascii="Book Antiqua" w:hAnsi="Book Antiqua" w:cs="Times New Roman"/>
          <w:b/>
          <w:kern w:val="2"/>
          <w:sz w:val="24"/>
          <w:szCs w:val="24"/>
          <w:lang w:val="en-US" w:eastAsia="zh-CN"/>
        </w:rPr>
        <w:t>12</w:t>
      </w:r>
      <w:r w:rsidRPr="0039437F">
        <w:rPr>
          <w:rFonts w:ascii="Book Antiqua" w:hAnsi="Book Antiqua" w:cs="Times New Roman"/>
          <w:kern w:val="2"/>
          <w:sz w:val="24"/>
          <w:szCs w:val="24"/>
          <w:lang w:val="en-US" w:eastAsia="zh-CN"/>
        </w:rPr>
        <w:t>: 736-738 [PMID: 4938522 DOI: 10.1136/gut.12.9.736]</w:t>
      </w:r>
    </w:p>
    <w:p w14:paraId="5B57A217" w14:textId="0CD3790C"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proofErr w:type="gramStart"/>
      <w:r w:rsidRPr="0039437F">
        <w:rPr>
          <w:rFonts w:ascii="Book Antiqua" w:hAnsi="Book Antiqua" w:cs="Times New Roman"/>
          <w:kern w:val="2"/>
          <w:sz w:val="24"/>
          <w:szCs w:val="24"/>
          <w:lang w:val="en-US" w:eastAsia="zh-CN"/>
        </w:rPr>
        <w:t xml:space="preserve">29 </w:t>
      </w:r>
      <w:r w:rsidR="00A57EBD" w:rsidRPr="0039437F">
        <w:rPr>
          <w:rFonts w:ascii="Book Antiqua" w:hAnsi="Book Antiqua" w:cs="Times New Roman"/>
          <w:b/>
          <w:kern w:val="2"/>
          <w:sz w:val="24"/>
          <w:szCs w:val="24"/>
          <w:lang w:val="en-US" w:eastAsia="zh-CN"/>
        </w:rPr>
        <w:t xml:space="preserve">Findlay </w:t>
      </w:r>
      <w:r w:rsidRPr="0039437F">
        <w:rPr>
          <w:rFonts w:ascii="Book Antiqua" w:hAnsi="Book Antiqua" w:cs="Times New Roman"/>
          <w:b/>
          <w:kern w:val="2"/>
          <w:sz w:val="24"/>
          <w:szCs w:val="24"/>
          <w:lang w:val="en-US" w:eastAsia="zh-CN"/>
        </w:rPr>
        <w:t>CW Jr</w:t>
      </w:r>
      <w:r w:rsidRPr="0039437F">
        <w:rPr>
          <w:rFonts w:ascii="Book Antiqua" w:hAnsi="Book Antiqua" w:cs="Times New Roman"/>
          <w:kern w:val="2"/>
          <w:sz w:val="24"/>
          <w:szCs w:val="24"/>
          <w:lang w:val="en-US" w:eastAsia="zh-CN"/>
        </w:rPr>
        <w:t>.</w:t>
      </w:r>
      <w:proofErr w:type="gramEnd"/>
      <w:r w:rsidRPr="0039437F">
        <w:rPr>
          <w:rFonts w:ascii="Book Antiqua" w:hAnsi="Book Antiqua" w:cs="Times New Roman"/>
          <w:kern w:val="2"/>
          <w:sz w:val="24"/>
          <w:szCs w:val="24"/>
          <w:lang w:val="en-US" w:eastAsia="zh-CN"/>
        </w:rPr>
        <w:t xml:space="preserve"> </w:t>
      </w:r>
      <w:proofErr w:type="gramStart"/>
      <w:r w:rsidRPr="0039437F">
        <w:rPr>
          <w:rFonts w:ascii="Book Antiqua" w:hAnsi="Book Antiqua" w:cs="Times New Roman"/>
          <w:kern w:val="2"/>
          <w:sz w:val="24"/>
          <w:szCs w:val="24"/>
          <w:lang w:val="en-US" w:eastAsia="zh-CN"/>
        </w:rPr>
        <w:t xml:space="preserve">The value of promethazine hydrochloride in preparing patients for </w:t>
      </w:r>
      <w:proofErr w:type="spellStart"/>
      <w:r w:rsidRPr="0039437F">
        <w:rPr>
          <w:rFonts w:ascii="Book Antiqua" w:hAnsi="Book Antiqua" w:cs="Times New Roman"/>
          <w:kern w:val="2"/>
          <w:sz w:val="24"/>
          <w:szCs w:val="24"/>
          <w:lang w:val="en-US" w:eastAsia="zh-CN"/>
        </w:rPr>
        <w:t>peroral</w:t>
      </w:r>
      <w:proofErr w:type="spellEnd"/>
      <w:r w:rsidRPr="0039437F">
        <w:rPr>
          <w:rFonts w:ascii="Book Antiqua" w:hAnsi="Book Antiqua" w:cs="Times New Roman"/>
          <w:kern w:val="2"/>
          <w:sz w:val="24"/>
          <w:szCs w:val="24"/>
          <w:lang w:val="en-US" w:eastAsia="zh-CN"/>
        </w:rPr>
        <w:t xml:space="preserve"> endoscopy.</w:t>
      </w:r>
      <w:proofErr w:type="gramEnd"/>
      <w:r w:rsidRPr="0039437F">
        <w:rPr>
          <w:rFonts w:ascii="Book Antiqua" w:hAnsi="Book Antiqua" w:cs="Times New Roman"/>
          <w:kern w:val="2"/>
          <w:sz w:val="24"/>
          <w:szCs w:val="24"/>
          <w:lang w:val="en-US" w:eastAsia="zh-CN"/>
        </w:rPr>
        <w:t xml:space="preserve"> </w:t>
      </w:r>
      <w:r w:rsidRPr="0039437F">
        <w:rPr>
          <w:rFonts w:ascii="Book Antiqua" w:hAnsi="Book Antiqua" w:cs="Times New Roman"/>
          <w:i/>
          <w:kern w:val="2"/>
          <w:sz w:val="24"/>
          <w:szCs w:val="24"/>
          <w:lang w:val="en-US" w:eastAsia="zh-CN"/>
        </w:rPr>
        <w:t>Am Rev Respir Dis</w:t>
      </w:r>
      <w:r w:rsidRPr="0039437F">
        <w:rPr>
          <w:rFonts w:ascii="Book Antiqua" w:hAnsi="Book Antiqua" w:cs="Times New Roman"/>
          <w:kern w:val="2"/>
          <w:sz w:val="24"/>
          <w:szCs w:val="24"/>
          <w:lang w:val="en-US" w:eastAsia="zh-CN"/>
        </w:rPr>
        <w:t xml:space="preserve"> 1962; </w:t>
      </w:r>
      <w:r w:rsidRPr="0039437F">
        <w:rPr>
          <w:rFonts w:ascii="Book Antiqua" w:hAnsi="Book Antiqua" w:cs="Times New Roman"/>
          <w:b/>
          <w:kern w:val="2"/>
          <w:sz w:val="24"/>
          <w:szCs w:val="24"/>
          <w:lang w:val="en-US" w:eastAsia="zh-CN"/>
        </w:rPr>
        <w:t>86</w:t>
      </w:r>
      <w:r w:rsidRPr="0039437F">
        <w:rPr>
          <w:rFonts w:ascii="Book Antiqua" w:hAnsi="Book Antiqua" w:cs="Times New Roman"/>
          <w:kern w:val="2"/>
          <w:sz w:val="24"/>
          <w:szCs w:val="24"/>
          <w:lang w:val="en-US" w:eastAsia="zh-CN"/>
        </w:rPr>
        <w:t>: 272-274 [PMID: 13892917 DOI: 10.1164/arrd.1962.86.2.272]</w:t>
      </w:r>
    </w:p>
    <w:p w14:paraId="4BF2442A"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proofErr w:type="gramStart"/>
      <w:r w:rsidRPr="0039437F">
        <w:rPr>
          <w:rFonts w:ascii="Book Antiqua" w:hAnsi="Book Antiqua" w:cs="Times New Roman"/>
          <w:kern w:val="2"/>
          <w:sz w:val="24"/>
          <w:szCs w:val="24"/>
          <w:lang w:val="en-US" w:eastAsia="zh-CN"/>
        </w:rPr>
        <w:t xml:space="preserve">30 </w:t>
      </w:r>
      <w:r w:rsidRPr="0039437F">
        <w:rPr>
          <w:rFonts w:ascii="Book Antiqua" w:hAnsi="Book Antiqua" w:cs="Times New Roman"/>
          <w:b/>
          <w:kern w:val="2"/>
          <w:sz w:val="24"/>
          <w:szCs w:val="24"/>
          <w:lang w:val="en-US" w:eastAsia="zh-CN"/>
        </w:rPr>
        <w:t>Edelson J</w:t>
      </w:r>
      <w:r w:rsidRPr="0039437F">
        <w:rPr>
          <w:rFonts w:ascii="Book Antiqua" w:hAnsi="Book Antiqua" w:cs="Times New Roman"/>
          <w:kern w:val="2"/>
          <w:sz w:val="24"/>
          <w:szCs w:val="24"/>
          <w:lang w:val="en-US" w:eastAsia="zh-CN"/>
        </w:rPr>
        <w:t xml:space="preserve">, Suarez AL, Zhang J, </w:t>
      </w:r>
      <w:proofErr w:type="spellStart"/>
      <w:r w:rsidRPr="0039437F">
        <w:rPr>
          <w:rFonts w:ascii="Book Antiqua" w:hAnsi="Book Antiqua" w:cs="Times New Roman"/>
          <w:kern w:val="2"/>
          <w:sz w:val="24"/>
          <w:szCs w:val="24"/>
          <w:lang w:val="en-US" w:eastAsia="zh-CN"/>
        </w:rPr>
        <w:t>Rockey</w:t>
      </w:r>
      <w:proofErr w:type="spellEnd"/>
      <w:r w:rsidRPr="0039437F">
        <w:rPr>
          <w:rFonts w:ascii="Book Antiqua" w:hAnsi="Book Antiqua" w:cs="Times New Roman"/>
          <w:kern w:val="2"/>
          <w:sz w:val="24"/>
          <w:szCs w:val="24"/>
          <w:lang w:val="en-US" w:eastAsia="zh-CN"/>
        </w:rPr>
        <w:t xml:space="preserve"> DC.</w:t>
      </w:r>
      <w:proofErr w:type="gramEnd"/>
      <w:r w:rsidRPr="0039437F">
        <w:rPr>
          <w:rFonts w:ascii="Book Antiqua" w:hAnsi="Book Antiqua" w:cs="Times New Roman"/>
          <w:kern w:val="2"/>
          <w:sz w:val="24"/>
          <w:szCs w:val="24"/>
          <w:lang w:val="en-US" w:eastAsia="zh-CN"/>
        </w:rPr>
        <w:t xml:space="preserve"> Sedation </w:t>
      </w:r>
      <w:proofErr w:type="gramStart"/>
      <w:r w:rsidRPr="0039437F">
        <w:rPr>
          <w:rFonts w:ascii="Book Antiqua" w:hAnsi="Book Antiqua" w:cs="Times New Roman"/>
          <w:kern w:val="2"/>
          <w:sz w:val="24"/>
          <w:szCs w:val="24"/>
          <w:lang w:val="en-US" w:eastAsia="zh-CN"/>
        </w:rPr>
        <w:t>During</w:t>
      </w:r>
      <w:proofErr w:type="gramEnd"/>
      <w:r w:rsidRPr="0039437F">
        <w:rPr>
          <w:rFonts w:ascii="Book Antiqua" w:hAnsi="Book Antiqua" w:cs="Times New Roman"/>
          <w:kern w:val="2"/>
          <w:sz w:val="24"/>
          <w:szCs w:val="24"/>
          <w:lang w:val="en-US" w:eastAsia="zh-CN"/>
        </w:rPr>
        <w:t xml:space="preserve"> Endoscopy in Patients with Cirrhosis: Safety and Predictors of Adverse Events. </w:t>
      </w:r>
      <w:r w:rsidRPr="0039437F">
        <w:rPr>
          <w:rFonts w:ascii="Book Antiqua" w:hAnsi="Book Antiqua" w:cs="Times New Roman"/>
          <w:i/>
          <w:kern w:val="2"/>
          <w:sz w:val="24"/>
          <w:szCs w:val="24"/>
          <w:lang w:val="en-US" w:eastAsia="zh-CN"/>
        </w:rPr>
        <w:t>Dig Dis Sci</w:t>
      </w:r>
      <w:r w:rsidRPr="0039437F">
        <w:rPr>
          <w:rFonts w:ascii="Book Antiqua" w:hAnsi="Book Antiqua" w:cs="Times New Roman"/>
          <w:kern w:val="2"/>
          <w:sz w:val="24"/>
          <w:szCs w:val="24"/>
          <w:lang w:val="en-US" w:eastAsia="zh-CN"/>
        </w:rPr>
        <w:t xml:space="preserve"> 2020; </w:t>
      </w:r>
      <w:r w:rsidRPr="0039437F">
        <w:rPr>
          <w:rFonts w:ascii="Book Antiqua" w:hAnsi="Book Antiqua" w:cs="Times New Roman"/>
          <w:b/>
          <w:kern w:val="2"/>
          <w:sz w:val="24"/>
          <w:szCs w:val="24"/>
          <w:lang w:val="en-US" w:eastAsia="zh-CN"/>
        </w:rPr>
        <w:t>65</w:t>
      </w:r>
      <w:r w:rsidRPr="0039437F">
        <w:rPr>
          <w:rFonts w:ascii="Book Antiqua" w:hAnsi="Book Antiqua" w:cs="Times New Roman"/>
          <w:kern w:val="2"/>
          <w:sz w:val="24"/>
          <w:szCs w:val="24"/>
          <w:lang w:val="en-US" w:eastAsia="zh-CN"/>
        </w:rPr>
        <w:t>: 1258-1265 [PMID: 31605279 DOI: 10.1007/s10620-019-05845-7]</w:t>
      </w:r>
    </w:p>
    <w:p w14:paraId="282DEA1B"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31 </w:t>
      </w:r>
      <w:proofErr w:type="spellStart"/>
      <w:r w:rsidRPr="0039437F">
        <w:rPr>
          <w:rFonts w:ascii="Book Antiqua" w:hAnsi="Book Antiqua" w:cs="Times New Roman"/>
          <w:b/>
          <w:kern w:val="2"/>
          <w:sz w:val="24"/>
          <w:szCs w:val="24"/>
          <w:lang w:val="en-US" w:eastAsia="zh-CN"/>
        </w:rPr>
        <w:t>MacGilchrist</w:t>
      </w:r>
      <w:proofErr w:type="spellEnd"/>
      <w:r w:rsidRPr="0039437F">
        <w:rPr>
          <w:rFonts w:ascii="Book Antiqua" w:hAnsi="Book Antiqua" w:cs="Times New Roman"/>
          <w:b/>
          <w:kern w:val="2"/>
          <w:sz w:val="24"/>
          <w:szCs w:val="24"/>
          <w:lang w:val="en-US" w:eastAsia="zh-CN"/>
        </w:rPr>
        <w:t xml:space="preserve"> AJ</w:t>
      </w:r>
      <w:r w:rsidRPr="0039437F">
        <w:rPr>
          <w:rFonts w:ascii="Book Antiqua" w:hAnsi="Book Antiqua" w:cs="Times New Roman"/>
          <w:kern w:val="2"/>
          <w:sz w:val="24"/>
          <w:szCs w:val="24"/>
          <w:lang w:val="en-US" w:eastAsia="zh-CN"/>
        </w:rPr>
        <w:t xml:space="preserve">, </w:t>
      </w:r>
      <w:proofErr w:type="spellStart"/>
      <w:r w:rsidRPr="0039437F">
        <w:rPr>
          <w:rFonts w:ascii="Book Antiqua" w:hAnsi="Book Antiqua" w:cs="Times New Roman"/>
          <w:kern w:val="2"/>
          <w:sz w:val="24"/>
          <w:szCs w:val="24"/>
          <w:lang w:val="en-US" w:eastAsia="zh-CN"/>
        </w:rPr>
        <w:t>Birnie</w:t>
      </w:r>
      <w:proofErr w:type="spellEnd"/>
      <w:r w:rsidRPr="0039437F">
        <w:rPr>
          <w:rFonts w:ascii="Book Antiqua" w:hAnsi="Book Antiqua" w:cs="Times New Roman"/>
          <w:kern w:val="2"/>
          <w:sz w:val="24"/>
          <w:szCs w:val="24"/>
          <w:lang w:val="en-US" w:eastAsia="zh-CN"/>
        </w:rPr>
        <w:t xml:space="preserve"> GG, Cook A, Scobie G, Murray T, Watkinson G, Brodie MJ. </w:t>
      </w:r>
      <w:proofErr w:type="gramStart"/>
      <w:r w:rsidRPr="0039437F">
        <w:rPr>
          <w:rFonts w:ascii="Book Antiqua" w:hAnsi="Book Antiqua" w:cs="Times New Roman"/>
          <w:kern w:val="2"/>
          <w:sz w:val="24"/>
          <w:szCs w:val="24"/>
          <w:lang w:val="en-US" w:eastAsia="zh-CN"/>
        </w:rPr>
        <w:t>Pharmacokinetics and pharmacodynamics of intravenous midazolam in patients with severe alcoholic cirrhosis.</w:t>
      </w:r>
      <w:proofErr w:type="gramEnd"/>
      <w:r w:rsidRPr="0039437F">
        <w:rPr>
          <w:rFonts w:ascii="Book Antiqua" w:hAnsi="Book Antiqua" w:cs="Times New Roman"/>
          <w:kern w:val="2"/>
          <w:sz w:val="24"/>
          <w:szCs w:val="24"/>
          <w:lang w:val="en-US" w:eastAsia="zh-CN"/>
        </w:rPr>
        <w:t xml:space="preserve"> </w:t>
      </w:r>
      <w:r w:rsidRPr="0039437F">
        <w:rPr>
          <w:rFonts w:ascii="Book Antiqua" w:hAnsi="Book Antiqua" w:cs="Times New Roman"/>
          <w:i/>
          <w:kern w:val="2"/>
          <w:sz w:val="24"/>
          <w:szCs w:val="24"/>
          <w:lang w:val="en-US" w:eastAsia="zh-CN"/>
        </w:rPr>
        <w:t>Gut</w:t>
      </w:r>
      <w:r w:rsidRPr="0039437F">
        <w:rPr>
          <w:rFonts w:ascii="Book Antiqua" w:hAnsi="Book Antiqua" w:cs="Times New Roman"/>
          <w:kern w:val="2"/>
          <w:sz w:val="24"/>
          <w:szCs w:val="24"/>
          <w:lang w:val="en-US" w:eastAsia="zh-CN"/>
        </w:rPr>
        <w:t xml:space="preserve"> 1986; </w:t>
      </w:r>
      <w:r w:rsidRPr="0039437F">
        <w:rPr>
          <w:rFonts w:ascii="Book Antiqua" w:hAnsi="Book Antiqua" w:cs="Times New Roman"/>
          <w:b/>
          <w:kern w:val="2"/>
          <w:sz w:val="24"/>
          <w:szCs w:val="24"/>
          <w:lang w:val="en-US" w:eastAsia="zh-CN"/>
        </w:rPr>
        <w:t>27</w:t>
      </w:r>
      <w:r w:rsidRPr="0039437F">
        <w:rPr>
          <w:rFonts w:ascii="Book Antiqua" w:hAnsi="Book Antiqua" w:cs="Times New Roman"/>
          <w:kern w:val="2"/>
          <w:sz w:val="24"/>
          <w:szCs w:val="24"/>
          <w:lang w:val="en-US" w:eastAsia="zh-CN"/>
        </w:rPr>
        <w:t>: 190-195 [PMID: 2936661 DOI: 10.1136/gut.27.2.190]</w:t>
      </w:r>
    </w:p>
    <w:p w14:paraId="047AE867"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32 </w:t>
      </w:r>
      <w:r w:rsidRPr="0039437F">
        <w:rPr>
          <w:rFonts w:ascii="Book Antiqua" w:hAnsi="Book Antiqua" w:cs="Times New Roman"/>
          <w:b/>
          <w:kern w:val="2"/>
          <w:sz w:val="24"/>
          <w:szCs w:val="24"/>
          <w:lang w:val="en-US" w:eastAsia="zh-CN"/>
        </w:rPr>
        <w:t>Schilling D</w:t>
      </w:r>
      <w:r w:rsidRPr="0039437F">
        <w:rPr>
          <w:rFonts w:ascii="Book Antiqua" w:hAnsi="Book Antiqua" w:cs="Times New Roman"/>
          <w:kern w:val="2"/>
          <w:sz w:val="24"/>
          <w:szCs w:val="24"/>
          <w:lang w:val="en-US" w:eastAsia="zh-CN"/>
        </w:rPr>
        <w:t xml:space="preserve">, Rosenbaum A, </w:t>
      </w:r>
      <w:proofErr w:type="spellStart"/>
      <w:r w:rsidRPr="0039437F">
        <w:rPr>
          <w:rFonts w:ascii="Book Antiqua" w:hAnsi="Book Antiqua" w:cs="Times New Roman"/>
          <w:kern w:val="2"/>
          <w:sz w:val="24"/>
          <w:szCs w:val="24"/>
          <w:lang w:val="en-US" w:eastAsia="zh-CN"/>
        </w:rPr>
        <w:t>Schweizer</w:t>
      </w:r>
      <w:proofErr w:type="spellEnd"/>
      <w:r w:rsidRPr="0039437F">
        <w:rPr>
          <w:rFonts w:ascii="Book Antiqua" w:hAnsi="Book Antiqua" w:cs="Times New Roman"/>
          <w:kern w:val="2"/>
          <w:sz w:val="24"/>
          <w:szCs w:val="24"/>
          <w:lang w:val="en-US" w:eastAsia="zh-CN"/>
        </w:rPr>
        <w:t xml:space="preserve"> S, Richter H, </w:t>
      </w:r>
      <w:proofErr w:type="spellStart"/>
      <w:r w:rsidRPr="0039437F">
        <w:rPr>
          <w:rFonts w:ascii="Book Antiqua" w:hAnsi="Book Antiqua" w:cs="Times New Roman"/>
          <w:kern w:val="2"/>
          <w:sz w:val="24"/>
          <w:szCs w:val="24"/>
          <w:lang w:val="en-US" w:eastAsia="zh-CN"/>
        </w:rPr>
        <w:t>Rumstadt</w:t>
      </w:r>
      <w:proofErr w:type="spellEnd"/>
      <w:r w:rsidRPr="0039437F">
        <w:rPr>
          <w:rFonts w:ascii="Book Antiqua" w:hAnsi="Book Antiqua" w:cs="Times New Roman"/>
          <w:kern w:val="2"/>
          <w:sz w:val="24"/>
          <w:szCs w:val="24"/>
          <w:lang w:val="en-US" w:eastAsia="zh-CN"/>
        </w:rPr>
        <w:t xml:space="preserve"> B. Sedation with propofol for interventional endoscopy by trained nurses in high-risk octogenarians: a prospective, randomized, controlled study. </w:t>
      </w:r>
      <w:r w:rsidRPr="0039437F">
        <w:rPr>
          <w:rFonts w:ascii="Book Antiqua" w:hAnsi="Book Antiqua" w:cs="Times New Roman"/>
          <w:i/>
          <w:kern w:val="2"/>
          <w:sz w:val="24"/>
          <w:szCs w:val="24"/>
          <w:lang w:val="en-US" w:eastAsia="zh-CN"/>
        </w:rPr>
        <w:t>Endoscopy</w:t>
      </w:r>
      <w:r w:rsidRPr="0039437F">
        <w:rPr>
          <w:rFonts w:ascii="Book Antiqua" w:hAnsi="Book Antiqua" w:cs="Times New Roman"/>
          <w:kern w:val="2"/>
          <w:sz w:val="24"/>
          <w:szCs w:val="24"/>
          <w:lang w:val="en-US" w:eastAsia="zh-CN"/>
        </w:rPr>
        <w:t xml:space="preserve"> 2009; </w:t>
      </w:r>
      <w:r w:rsidRPr="0039437F">
        <w:rPr>
          <w:rFonts w:ascii="Book Antiqua" w:hAnsi="Book Antiqua" w:cs="Times New Roman"/>
          <w:b/>
          <w:kern w:val="2"/>
          <w:sz w:val="24"/>
          <w:szCs w:val="24"/>
          <w:lang w:val="en-US" w:eastAsia="zh-CN"/>
        </w:rPr>
        <w:t>41</w:t>
      </w:r>
      <w:r w:rsidRPr="0039437F">
        <w:rPr>
          <w:rFonts w:ascii="Book Antiqua" w:hAnsi="Book Antiqua" w:cs="Times New Roman"/>
          <w:kern w:val="2"/>
          <w:sz w:val="24"/>
          <w:szCs w:val="24"/>
          <w:lang w:val="en-US" w:eastAsia="zh-CN"/>
        </w:rPr>
        <w:t>: 295-298 [PMID: 19340730 DOI: 10.1055/s-0028-1119671]</w:t>
      </w:r>
    </w:p>
    <w:p w14:paraId="7A325BAE"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33 </w:t>
      </w:r>
      <w:proofErr w:type="spellStart"/>
      <w:r w:rsidRPr="0039437F">
        <w:rPr>
          <w:rFonts w:ascii="Book Antiqua" w:hAnsi="Book Antiqua" w:cs="Times New Roman"/>
          <w:b/>
          <w:kern w:val="2"/>
          <w:sz w:val="24"/>
          <w:szCs w:val="24"/>
          <w:lang w:val="en-US" w:eastAsia="zh-CN"/>
        </w:rPr>
        <w:t>Heuss</w:t>
      </w:r>
      <w:proofErr w:type="spellEnd"/>
      <w:r w:rsidRPr="0039437F">
        <w:rPr>
          <w:rFonts w:ascii="Book Antiqua" w:hAnsi="Book Antiqua" w:cs="Times New Roman"/>
          <w:b/>
          <w:kern w:val="2"/>
          <w:sz w:val="24"/>
          <w:szCs w:val="24"/>
          <w:lang w:val="en-US" w:eastAsia="zh-CN"/>
        </w:rPr>
        <w:t xml:space="preserve"> LT</w:t>
      </w:r>
      <w:r w:rsidRPr="0039437F">
        <w:rPr>
          <w:rFonts w:ascii="Book Antiqua" w:hAnsi="Book Antiqua" w:cs="Times New Roman"/>
          <w:kern w:val="2"/>
          <w:sz w:val="24"/>
          <w:szCs w:val="24"/>
          <w:lang w:val="en-US" w:eastAsia="zh-CN"/>
        </w:rPr>
        <w:t xml:space="preserve">, </w:t>
      </w:r>
      <w:proofErr w:type="spellStart"/>
      <w:r w:rsidRPr="0039437F">
        <w:rPr>
          <w:rFonts w:ascii="Book Antiqua" w:hAnsi="Book Antiqua" w:cs="Times New Roman"/>
          <w:kern w:val="2"/>
          <w:sz w:val="24"/>
          <w:szCs w:val="24"/>
          <w:lang w:val="en-US" w:eastAsia="zh-CN"/>
        </w:rPr>
        <w:t>Schnieper</w:t>
      </w:r>
      <w:proofErr w:type="spellEnd"/>
      <w:r w:rsidRPr="0039437F">
        <w:rPr>
          <w:rFonts w:ascii="Book Antiqua" w:hAnsi="Book Antiqua" w:cs="Times New Roman"/>
          <w:kern w:val="2"/>
          <w:sz w:val="24"/>
          <w:szCs w:val="24"/>
          <w:lang w:val="en-US" w:eastAsia="zh-CN"/>
        </w:rPr>
        <w:t xml:space="preserve"> P, </w:t>
      </w:r>
      <w:proofErr w:type="spellStart"/>
      <w:r w:rsidRPr="0039437F">
        <w:rPr>
          <w:rFonts w:ascii="Book Antiqua" w:hAnsi="Book Antiqua" w:cs="Times New Roman"/>
          <w:kern w:val="2"/>
          <w:sz w:val="24"/>
          <w:szCs w:val="24"/>
          <w:lang w:val="en-US" w:eastAsia="zh-CN"/>
        </w:rPr>
        <w:t>Drewe</w:t>
      </w:r>
      <w:proofErr w:type="spellEnd"/>
      <w:r w:rsidRPr="0039437F">
        <w:rPr>
          <w:rFonts w:ascii="Book Antiqua" w:hAnsi="Book Antiqua" w:cs="Times New Roman"/>
          <w:kern w:val="2"/>
          <w:sz w:val="24"/>
          <w:szCs w:val="24"/>
          <w:lang w:val="en-US" w:eastAsia="zh-CN"/>
        </w:rPr>
        <w:t xml:space="preserve"> J, </w:t>
      </w:r>
      <w:proofErr w:type="spellStart"/>
      <w:r w:rsidRPr="0039437F">
        <w:rPr>
          <w:rFonts w:ascii="Book Antiqua" w:hAnsi="Book Antiqua" w:cs="Times New Roman"/>
          <w:kern w:val="2"/>
          <w:sz w:val="24"/>
          <w:szCs w:val="24"/>
          <w:lang w:val="en-US" w:eastAsia="zh-CN"/>
        </w:rPr>
        <w:t>Pflimlin</w:t>
      </w:r>
      <w:proofErr w:type="spellEnd"/>
      <w:r w:rsidRPr="0039437F">
        <w:rPr>
          <w:rFonts w:ascii="Book Antiqua" w:hAnsi="Book Antiqua" w:cs="Times New Roman"/>
          <w:kern w:val="2"/>
          <w:sz w:val="24"/>
          <w:szCs w:val="24"/>
          <w:lang w:val="en-US" w:eastAsia="zh-CN"/>
        </w:rPr>
        <w:t xml:space="preserve"> E, </w:t>
      </w:r>
      <w:proofErr w:type="spellStart"/>
      <w:r w:rsidRPr="0039437F">
        <w:rPr>
          <w:rFonts w:ascii="Book Antiqua" w:hAnsi="Book Antiqua" w:cs="Times New Roman"/>
          <w:kern w:val="2"/>
          <w:sz w:val="24"/>
          <w:szCs w:val="24"/>
          <w:lang w:val="en-US" w:eastAsia="zh-CN"/>
        </w:rPr>
        <w:t>Beglinger</w:t>
      </w:r>
      <w:proofErr w:type="spellEnd"/>
      <w:r w:rsidRPr="0039437F">
        <w:rPr>
          <w:rFonts w:ascii="Book Antiqua" w:hAnsi="Book Antiqua" w:cs="Times New Roman"/>
          <w:kern w:val="2"/>
          <w:sz w:val="24"/>
          <w:szCs w:val="24"/>
          <w:lang w:val="en-US" w:eastAsia="zh-CN"/>
        </w:rPr>
        <w:t xml:space="preserve"> C. Conscious sedation with propofol in elderly patients: a prospective evaluation. </w:t>
      </w:r>
      <w:r w:rsidRPr="0039437F">
        <w:rPr>
          <w:rFonts w:ascii="Book Antiqua" w:hAnsi="Book Antiqua" w:cs="Times New Roman"/>
          <w:i/>
          <w:kern w:val="2"/>
          <w:sz w:val="24"/>
          <w:szCs w:val="24"/>
          <w:lang w:val="en-US" w:eastAsia="zh-CN"/>
        </w:rPr>
        <w:t xml:space="preserve">Aliment </w:t>
      </w:r>
      <w:proofErr w:type="spellStart"/>
      <w:r w:rsidRPr="0039437F">
        <w:rPr>
          <w:rFonts w:ascii="Book Antiqua" w:hAnsi="Book Antiqua" w:cs="Times New Roman"/>
          <w:i/>
          <w:kern w:val="2"/>
          <w:sz w:val="24"/>
          <w:szCs w:val="24"/>
          <w:lang w:val="en-US" w:eastAsia="zh-CN"/>
        </w:rPr>
        <w:t>Pharmacol</w:t>
      </w:r>
      <w:proofErr w:type="spellEnd"/>
      <w:r w:rsidRPr="0039437F">
        <w:rPr>
          <w:rFonts w:ascii="Book Antiqua" w:hAnsi="Book Antiqua" w:cs="Times New Roman"/>
          <w:i/>
          <w:kern w:val="2"/>
          <w:sz w:val="24"/>
          <w:szCs w:val="24"/>
          <w:lang w:val="en-US" w:eastAsia="zh-CN"/>
        </w:rPr>
        <w:t xml:space="preserve"> </w:t>
      </w:r>
      <w:proofErr w:type="spellStart"/>
      <w:r w:rsidRPr="0039437F">
        <w:rPr>
          <w:rFonts w:ascii="Book Antiqua" w:hAnsi="Book Antiqua" w:cs="Times New Roman"/>
          <w:i/>
          <w:kern w:val="2"/>
          <w:sz w:val="24"/>
          <w:szCs w:val="24"/>
          <w:lang w:val="en-US" w:eastAsia="zh-CN"/>
        </w:rPr>
        <w:t>Ther</w:t>
      </w:r>
      <w:proofErr w:type="spellEnd"/>
      <w:r w:rsidRPr="0039437F">
        <w:rPr>
          <w:rFonts w:ascii="Book Antiqua" w:hAnsi="Book Antiqua" w:cs="Times New Roman"/>
          <w:kern w:val="2"/>
          <w:sz w:val="24"/>
          <w:szCs w:val="24"/>
          <w:lang w:val="en-US" w:eastAsia="zh-CN"/>
        </w:rPr>
        <w:t xml:space="preserve"> 2003; </w:t>
      </w:r>
      <w:r w:rsidRPr="0039437F">
        <w:rPr>
          <w:rFonts w:ascii="Book Antiqua" w:hAnsi="Book Antiqua" w:cs="Times New Roman"/>
          <w:b/>
          <w:kern w:val="2"/>
          <w:sz w:val="24"/>
          <w:szCs w:val="24"/>
          <w:lang w:val="en-US" w:eastAsia="zh-CN"/>
        </w:rPr>
        <w:t>17</w:t>
      </w:r>
      <w:r w:rsidRPr="0039437F">
        <w:rPr>
          <w:rFonts w:ascii="Book Antiqua" w:hAnsi="Book Antiqua" w:cs="Times New Roman"/>
          <w:kern w:val="2"/>
          <w:sz w:val="24"/>
          <w:szCs w:val="24"/>
          <w:lang w:val="en-US" w:eastAsia="zh-CN"/>
        </w:rPr>
        <w:t>: 1493-1501 [PMID: 12823151 DOI: 10.1046/j.1365-2036.2003.01608.x]</w:t>
      </w:r>
    </w:p>
    <w:p w14:paraId="78F41F1D"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34 </w:t>
      </w:r>
      <w:proofErr w:type="spellStart"/>
      <w:r w:rsidRPr="0039437F">
        <w:rPr>
          <w:rFonts w:ascii="Book Antiqua" w:hAnsi="Book Antiqua" w:cs="Times New Roman"/>
          <w:b/>
          <w:kern w:val="2"/>
          <w:sz w:val="24"/>
          <w:szCs w:val="24"/>
          <w:lang w:val="en-US" w:eastAsia="zh-CN"/>
        </w:rPr>
        <w:t>Razavi</w:t>
      </w:r>
      <w:proofErr w:type="spellEnd"/>
      <w:r w:rsidRPr="0039437F">
        <w:rPr>
          <w:rFonts w:ascii="Book Antiqua" w:hAnsi="Book Antiqua" w:cs="Times New Roman"/>
          <w:b/>
          <w:kern w:val="2"/>
          <w:sz w:val="24"/>
          <w:szCs w:val="24"/>
          <w:lang w:val="en-US" w:eastAsia="zh-CN"/>
        </w:rPr>
        <w:t xml:space="preserve"> F</w:t>
      </w:r>
      <w:r w:rsidRPr="0039437F">
        <w:rPr>
          <w:rFonts w:ascii="Book Antiqua" w:hAnsi="Book Antiqua" w:cs="Times New Roman"/>
          <w:kern w:val="2"/>
          <w:sz w:val="24"/>
          <w:szCs w:val="24"/>
          <w:lang w:val="en-US" w:eastAsia="zh-CN"/>
        </w:rPr>
        <w:t xml:space="preserve">, Gross S, Katz S. Endoscopy in the elderly: risks, benefits, and yield of common endoscopic procedures. </w:t>
      </w:r>
      <w:proofErr w:type="spellStart"/>
      <w:r w:rsidRPr="0039437F">
        <w:rPr>
          <w:rFonts w:ascii="Book Antiqua" w:hAnsi="Book Antiqua" w:cs="Times New Roman"/>
          <w:i/>
          <w:kern w:val="2"/>
          <w:sz w:val="24"/>
          <w:szCs w:val="24"/>
          <w:lang w:val="en-US" w:eastAsia="zh-CN"/>
        </w:rPr>
        <w:t>Clin</w:t>
      </w:r>
      <w:proofErr w:type="spellEnd"/>
      <w:r w:rsidRPr="0039437F">
        <w:rPr>
          <w:rFonts w:ascii="Book Antiqua" w:hAnsi="Book Antiqua" w:cs="Times New Roman"/>
          <w:i/>
          <w:kern w:val="2"/>
          <w:sz w:val="24"/>
          <w:szCs w:val="24"/>
          <w:lang w:val="en-US" w:eastAsia="zh-CN"/>
        </w:rPr>
        <w:t xml:space="preserve"> </w:t>
      </w:r>
      <w:proofErr w:type="spellStart"/>
      <w:r w:rsidRPr="0039437F">
        <w:rPr>
          <w:rFonts w:ascii="Book Antiqua" w:hAnsi="Book Antiqua" w:cs="Times New Roman"/>
          <w:i/>
          <w:kern w:val="2"/>
          <w:sz w:val="24"/>
          <w:szCs w:val="24"/>
          <w:lang w:val="en-US" w:eastAsia="zh-CN"/>
        </w:rPr>
        <w:t>Geriatr</w:t>
      </w:r>
      <w:proofErr w:type="spellEnd"/>
      <w:r w:rsidRPr="0039437F">
        <w:rPr>
          <w:rFonts w:ascii="Book Antiqua" w:hAnsi="Book Antiqua" w:cs="Times New Roman"/>
          <w:i/>
          <w:kern w:val="2"/>
          <w:sz w:val="24"/>
          <w:szCs w:val="24"/>
          <w:lang w:val="en-US" w:eastAsia="zh-CN"/>
        </w:rPr>
        <w:t xml:space="preserve"> Med</w:t>
      </w:r>
      <w:r w:rsidRPr="0039437F">
        <w:rPr>
          <w:rFonts w:ascii="Book Antiqua" w:hAnsi="Book Antiqua" w:cs="Times New Roman"/>
          <w:kern w:val="2"/>
          <w:sz w:val="24"/>
          <w:szCs w:val="24"/>
          <w:lang w:val="en-US" w:eastAsia="zh-CN"/>
        </w:rPr>
        <w:t xml:space="preserve"> 2014; </w:t>
      </w:r>
      <w:r w:rsidRPr="0039437F">
        <w:rPr>
          <w:rFonts w:ascii="Book Antiqua" w:hAnsi="Book Antiqua" w:cs="Times New Roman"/>
          <w:b/>
          <w:kern w:val="2"/>
          <w:sz w:val="24"/>
          <w:szCs w:val="24"/>
          <w:lang w:val="en-US" w:eastAsia="zh-CN"/>
        </w:rPr>
        <w:t>30</w:t>
      </w:r>
      <w:r w:rsidRPr="0039437F">
        <w:rPr>
          <w:rFonts w:ascii="Book Antiqua" w:hAnsi="Book Antiqua" w:cs="Times New Roman"/>
          <w:kern w:val="2"/>
          <w:sz w:val="24"/>
          <w:szCs w:val="24"/>
          <w:lang w:val="en-US" w:eastAsia="zh-CN"/>
        </w:rPr>
        <w:t>: 133-147 [PMID: 24267608 DOI: 10.1016/j.cger.2013.10.010]</w:t>
      </w:r>
    </w:p>
    <w:p w14:paraId="485A93F2"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35 </w:t>
      </w:r>
      <w:r w:rsidRPr="0039437F">
        <w:rPr>
          <w:rFonts w:ascii="Book Antiqua" w:hAnsi="Book Antiqua" w:cs="Times New Roman"/>
          <w:b/>
          <w:kern w:val="2"/>
          <w:sz w:val="24"/>
          <w:szCs w:val="24"/>
          <w:lang w:val="en-US" w:eastAsia="zh-CN"/>
        </w:rPr>
        <w:t>Cohen LB</w:t>
      </w:r>
      <w:r w:rsidRPr="0039437F">
        <w:rPr>
          <w:rFonts w:ascii="Book Antiqua" w:hAnsi="Book Antiqua" w:cs="Times New Roman"/>
          <w:kern w:val="2"/>
          <w:sz w:val="24"/>
          <w:szCs w:val="24"/>
          <w:lang w:val="en-US" w:eastAsia="zh-CN"/>
        </w:rPr>
        <w:t xml:space="preserve">, </w:t>
      </w:r>
      <w:proofErr w:type="spellStart"/>
      <w:r w:rsidRPr="0039437F">
        <w:rPr>
          <w:rFonts w:ascii="Book Antiqua" w:hAnsi="Book Antiqua" w:cs="Times New Roman"/>
          <w:kern w:val="2"/>
          <w:sz w:val="24"/>
          <w:szCs w:val="24"/>
          <w:lang w:val="en-US" w:eastAsia="zh-CN"/>
        </w:rPr>
        <w:t>Delegge</w:t>
      </w:r>
      <w:proofErr w:type="spellEnd"/>
      <w:r w:rsidRPr="0039437F">
        <w:rPr>
          <w:rFonts w:ascii="Book Antiqua" w:hAnsi="Book Antiqua" w:cs="Times New Roman"/>
          <w:kern w:val="2"/>
          <w:sz w:val="24"/>
          <w:szCs w:val="24"/>
          <w:lang w:val="en-US" w:eastAsia="zh-CN"/>
        </w:rPr>
        <w:t xml:space="preserve"> MH, </w:t>
      </w:r>
      <w:proofErr w:type="spellStart"/>
      <w:r w:rsidRPr="0039437F">
        <w:rPr>
          <w:rFonts w:ascii="Book Antiqua" w:hAnsi="Book Antiqua" w:cs="Times New Roman"/>
          <w:kern w:val="2"/>
          <w:sz w:val="24"/>
          <w:szCs w:val="24"/>
          <w:lang w:val="en-US" w:eastAsia="zh-CN"/>
        </w:rPr>
        <w:t>Aisenberg</w:t>
      </w:r>
      <w:proofErr w:type="spellEnd"/>
      <w:r w:rsidRPr="0039437F">
        <w:rPr>
          <w:rFonts w:ascii="Book Antiqua" w:hAnsi="Book Antiqua" w:cs="Times New Roman"/>
          <w:kern w:val="2"/>
          <w:sz w:val="24"/>
          <w:szCs w:val="24"/>
          <w:lang w:val="en-US" w:eastAsia="zh-CN"/>
        </w:rPr>
        <w:t xml:space="preserve"> J, Brill JV, </w:t>
      </w:r>
      <w:proofErr w:type="spellStart"/>
      <w:r w:rsidRPr="0039437F">
        <w:rPr>
          <w:rFonts w:ascii="Book Antiqua" w:hAnsi="Book Antiqua" w:cs="Times New Roman"/>
          <w:kern w:val="2"/>
          <w:sz w:val="24"/>
          <w:szCs w:val="24"/>
          <w:lang w:val="en-US" w:eastAsia="zh-CN"/>
        </w:rPr>
        <w:t>Inadomi</w:t>
      </w:r>
      <w:proofErr w:type="spellEnd"/>
      <w:r w:rsidRPr="0039437F">
        <w:rPr>
          <w:rFonts w:ascii="Book Antiqua" w:hAnsi="Book Antiqua" w:cs="Times New Roman"/>
          <w:kern w:val="2"/>
          <w:sz w:val="24"/>
          <w:szCs w:val="24"/>
          <w:lang w:val="en-US" w:eastAsia="zh-CN"/>
        </w:rPr>
        <w:t xml:space="preserve"> JM, </w:t>
      </w:r>
      <w:proofErr w:type="spellStart"/>
      <w:r w:rsidRPr="0039437F">
        <w:rPr>
          <w:rFonts w:ascii="Book Antiqua" w:hAnsi="Book Antiqua" w:cs="Times New Roman"/>
          <w:kern w:val="2"/>
          <w:sz w:val="24"/>
          <w:szCs w:val="24"/>
          <w:lang w:val="en-US" w:eastAsia="zh-CN"/>
        </w:rPr>
        <w:t>Kochman</w:t>
      </w:r>
      <w:proofErr w:type="spellEnd"/>
      <w:r w:rsidRPr="0039437F">
        <w:rPr>
          <w:rFonts w:ascii="Book Antiqua" w:hAnsi="Book Antiqua" w:cs="Times New Roman"/>
          <w:kern w:val="2"/>
          <w:sz w:val="24"/>
          <w:szCs w:val="24"/>
          <w:lang w:val="en-US" w:eastAsia="zh-CN"/>
        </w:rPr>
        <w:t xml:space="preserve"> ML, </w:t>
      </w:r>
      <w:proofErr w:type="spellStart"/>
      <w:r w:rsidRPr="0039437F">
        <w:rPr>
          <w:rFonts w:ascii="Book Antiqua" w:hAnsi="Book Antiqua" w:cs="Times New Roman"/>
          <w:kern w:val="2"/>
          <w:sz w:val="24"/>
          <w:szCs w:val="24"/>
          <w:lang w:val="en-US" w:eastAsia="zh-CN"/>
        </w:rPr>
        <w:t>Piorkowski</w:t>
      </w:r>
      <w:proofErr w:type="spellEnd"/>
      <w:r w:rsidRPr="0039437F">
        <w:rPr>
          <w:rFonts w:ascii="Book Antiqua" w:hAnsi="Book Antiqua" w:cs="Times New Roman"/>
          <w:kern w:val="2"/>
          <w:sz w:val="24"/>
          <w:szCs w:val="24"/>
          <w:lang w:val="en-US" w:eastAsia="zh-CN"/>
        </w:rPr>
        <w:t xml:space="preserve"> JD </w:t>
      </w:r>
      <w:proofErr w:type="spellStart"/>
      <w:r w:rsidRPr="0039437F">
        <w:rPr>
          <w:rFonts w:ascii="Book Antiqua" w:hAnsi="Book Antiqua" w:cs="Times New Roman"/>
          <w:kern w:val="2"/>
          <w:sz w:val="24"/>
          <w:szCs w:val="24"/>
          <w:lang w:val="en-US" w:eastAsia="zh-CN"/>
        </w:rPr>
        <w:t>Jr</w:t>
      </w:r>
      <w:proofErr w:type="spellEnd"/>
      <w:r w:rsidRPr="0039437F">
        <w:rPr>
          <w:rFonts w:ascii="Book Antiqua" w:hAnsi="Book Antiqua" w:cs="Times New Roman"/>
          <w:kern w:val="2"/>
          <w:sz w:val="24"/>
          <w:szCs w:val="24"/>
          <w:lang w:val="en-US" w:eastAsia="zh-CN"/>
        </w:rPr>
        <w:t xml:space="preserve">; AGA Institute. </w:t>
      </w:r>
      <w:proofErr w:type="gramStart"/>
      <w:r w:rsidRPr="0039437F">
        <w:rPr>
          <w:rFonts w:ascii="Book Antiqua" w:hAnsi="Book Antiqua" w:cs="Times New Roman"/>
          <w:kern w:val="2"/>
          <w:sz w:val="24"/>
          <w:szCs w:val="24"/>
          <w:lang w:val="en-US" w:eastAsia="zh-CN"/>
        </w:rPr>
        <w:t>AGA Institute review of endoscopic sedation.</w:t>
      </w:r>
      <w:proofErr w:type="gramEnd"/>
      <w:r w:rsidRPr="0039437F">
        <w:rPr>
          <w:rFonts w:ascii="Book Antiqua" w:hAnsi="Book Antiqua" w:cs="Times New Roman"/>
          <w:kern w:val="2"/>
          <w:sz w:val="24"/>
          <w:szCs w:val="24"/>
          <w:lang w:val="en-US" w:eastAsia="zh-CN"/>
        </w:rPr>
        <w:t xml:space="preserve"> </w:t>
      </w:r>
      <w:r w:rsidRPr="0039437F">
        <w:rPr>
          <w:rFonts w:ascii="Book Antiqua" w:hAnsi="Book Antiqua" w:cs="Times New Roman"/>
          <w:i/>
          <w:kern w:val="2"/>
          <w:sz w:val="24"/>
          <w:szCs w:val="24"/>
          <w:lang w:val="en-US" w:eastAsia="zh-CN"/>
        </w:rPr>
        <w:t>Gastroenterology</w:t>
      </w:r>
      <w:r w:rsidRPr="0039437F">
        <w:rPr>
          <w:rFonts w:ascii="Book Antiqua" w:hAnsi="Book Antiqua" w:cs="Times New Roman"/>
          <w:kern w:val="2"/>
          <w:sz w:val="24"/>
          <w:szCs w:val="24"/>
          <w:lang w:val="en-US" w:eastAsia="zh-CN"/>
        </w:rPr>
        <w:t xml:space="preserve"> 2007; </w:t>
      </w:r>
      <w:r w:rsidRPr="0039437F">
        <w:rPr>
          <w:rFonts w:ascii="Book Antiqua" w:hAnsi="Book Antiqua" w:cs="Times New Roman"/>
          <w:b/>
          <w:kern w:val="2"/>
          <w:sz w:val="24"/>
          <w:szCs w:val="24"/>
          <w:lang w:val="en-US" w:eastAsia="zh-CN"/>
        </w:rPr>
        <w:t>133</w:t>
      </w:r>
      <w:r w:rsidRPr="0039437F">
        <w:rPr>
          <w:rFonts w:ascii="Book Antiqua" w:hAnsi="Book Antiqua" w:cs="Times New Roman"/>
          <w:kern w:val="2"/>
          <w:sz w:val="24"/>
          <w:szCs w:val="24"/>
          <w:lang w:val="en-US" w:eastAsia="zh-CN"/>
        </w:rPr>
        <w:t>: 675-701 [PMID: 17681185 DOI: 10.1053/j.gastro.2007.06.002]</w:t>
      </w:r>
    </w:p>
    <w:p w14:paraId="55EA80DB"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36 </w:t>
      </w:r>
      <w:r w:rsidRPr="0039437F">
        <w:rPr>
          <w:rFonts w:ascii="Book Antiqua" w:hAnsi="Book Antiqua" w:cs="Times New Roman"/>
          <w:b/>
          <w:kern w:val="2"/>
          <w:sz w:val="24"/>
          <w:szCs w:val="24"/>
          <w:lang w:val="en-US" w:eastAsia="zh-CN"/>
        </w:rPr>
        <w:t>Bell GD</w:t>
      </w:r>
      <w:r w:rsidRPr="0039437F">
        <w:rPr>
          <w:rFonts w:ascii="Book Antiqua" w:hAnsi="Book Antiqua" w:cs="Times New Roman"/>
          <w:kern w:val="2"/>
          <w:sz w:val="24"/>
          <w:szCs w:val="24"/>
          <w:lang w:val="en-US" w:eastAsia="zh-CN"/>
        </w:rPr>
        <w:t xml:space="preserve">, </w:t>
      </w:r>
      <w:proofErr w:type="spellStart"/>
      <w:r w:rsidRPr="0039437F">
        <w:rPr>
          <w:rFonts w:ascii="Book Antiqua" w:hAnsi="Book Antiqua" w:cs="Times New Roman"/>
          <w:kern w:val="2"/>
          <w:sz w:val="24"/>
          <w:szCs w:val="24"/>
          <w:lang w:val="en-US" w:eastAsia="zh-CN"/>
        </w:rPr>
        <w:t>Spickett</w:t>
      </w:r>
      <w:proofErr w:type="spellEnd"/>
      <w:r w:rsidRPr="0039437F">
        <w:rPr>
          <w:rFonts w:ascii="Book Antiqua" w:hAnsi="Book Antiqua" w:cs="Times New Roman"/>
          <w:kern w:val="2"/>
          <w:sz w:val="24"/>
          <w:szCs w:val="24"/>
          <w:lang w:val="en-US" w:eastAsia="zh-CN"/>
        </w:rPr>
        <w:t xml:space="preserve"> GP, Reeve PA, </w:t>
      </w:r>
      <w:proofErr w:type="spellStart"/>
      <w:r w:rsidRPr="0039437F">
        <w:rPr>
          <w:rFonts w:ascii="Book Antiqua" w:hAnsi="Book Antiqua" w:cs="Times New Roman"/>
          <w:kern w:val="2"/>
          <w:sz w:val="24"/>
          <w:szCs w:val="24"/>
          <w:lang w:val="en-US" w:eastAsia="zh-CN"/>
        </w:rPr>
        <w:t>Morden</w:t>
      </w:r>
      <w:proofErr w:type="spellEnd"/>
      <w:r w:rsidRPr="0039437F">
        <w:rPr>
          <w:rFonts w:ascii="Book Antiqua" w:hAnsi="Book Antiqua" w:cs="Times New Roman"/>
          <w:kern w:val="2"/>
          <w:sz w:val="24"/>
          <w:szCs w:val="24"/>
          <w:lang w:val="en-US" w:eastAsia="zh-CN"/>
        </w:rPr>
        <w:t xml:space="preserve"> A, Logan RF. Intravenous midazolam for upper gastrointestinal endoscopy: a study of 800 consecutive </w:t>
      </w:r>
      <w:r w:rsidRPr="0039437F">
        <w:rPr>
          <w:rFonts w:ascii="Book Antiqua" w:hAnsi="Book Antiqua" w:cs="Times New Roman"/>
          <w:kern w:val="2"/>
          <w:sz w:val="24"/>
          <w:szCs w:val="24"/>
          <w:lang w:val="en-US" w:eastAsia="zh-CN"/>
        </w:rPr>
        <w:lastRenderedPageBreak/>
        <w:t xml:space="preserve">cases relating dose to age and sex of patient. </w:t>
      </w:r>
      <w:r w:rsidRPr="0039437F">
        <w:rPr>
          <w:rFonts w:ascii="Book Antiqua" w:hAnsi="Book Antiqua" w:cs="Times New Roman"/>
          <w:i/>
          <w:kern w:val="2"/>
          <w:sz w:val="24"/>
          <w:szCs w:val="24"/>
          <w:lang w:val="en-US" w:eastAsia="zh-CN"/>
        </w:rPr>
        <w:t xml:space="preserve">Br J </w:t>
      </w:r>
      <w:proofErr w:type="spellStart"/>
      <w:r w:rsidRPr="0039437F">
        <w:rPr>
          <w:rFonts w:ascii="Book Antiqua" w:hAnsi="Book Antiqua" w:cs="Times New Roman"/>
          <w:i/>
          <w:kern w:val="2"/>
          <w:sz w:val="24"/>
          <w:szCs w:val="24"/>
          <w:lang w:val="en-US" w:eastAsia="zh-CN"/>
        </w:rPr>
        <w:t>Clin</w:t>
      </w:r>
      <w:proofErr w:type="spellEnd"/>
      <w:r w:rsidRPr="0039437F">
        <w:rPr>
          <w:rFonts w:ascii="Book Antiqua" w:hAnsi="Book Antiqua" w:cs="Times New Roman"/>
          <w:i/>
          <w:kern w:val="2"/>
          <w:sz w:val="24"/>
          <w:szCs w:val="24"/>
          <w:lang w:val="en-US" w:eastAsia="zh-CN"/>
        </w:rPr>
        <w:t xml:space="preserve"> </w:t>
      </w:r>
      <w:proofErr w:type="spellStart"/>
      <w:r w:rsidRPr="0039437F">
        <w:rPr>
          <w:rFonts w:ascii="Book Antiqua" w:hAnsi="Book Antiqua" w:cs="Times New Roman"/>
          <w:i/>
          <w:kern w:val="2"/>
          <w:sz w:val="24"/>
          <w:szCs w:val="24"/>
          <w:lang w:val="en-US" w:eastAsia="zh-CN"/>
        </w:rPr>
        <w:t>Pharmacol</w:t>
      </w:r>
      <w:proofErr w:type="spellEnd"/>
      <w:r w:rsidRPr="0039437F">
        <w:rPr>
          <w:rFonts w:ascii="Book Antiqua" w:hAnsi="Book Antiqua" w:cs="Times New Roman"/>
          <w:kern w:val="2"/>
          <w:sz w:val="24"/>
          <w:szCs w:val="24"/>
          <w:lang w:val="en-US" w:eastAsia="zh-CN"/>
        </w:rPr>
        <w:t xml:space="preserve"> 1987; </w:t>
      </w:r>
      <w:r w:rsidRPr="0039437F">
        <w:rPr>
          <w:rFonts w:ascii="Book Antiqua" w:hAnsi="Book Antiqua" w:cs="Times New Roman"/>
          <w:b/>
          <w:kern w:val="2"/>
          <w:sz w:val="24"/>
          <w:szCs w:val="24"/>
          <w:lang w:val="en-US" w:eastAsia="zh-CN"/>
        </w:rPr>
        <w:t>23</w:t>
      </w:r>
      <w:r w:rsidRPr="0039437F">
        <w:rPr>
          <w:rFonts w:ascii="Book Antiqua" w:hAnsi="Book Antiqua" w:cs="Times New Roman"/>
          <w:kern w:val="2"/>
          <w:sz w:val="24"/>
          <w:szCs w:val="24"/>
          <w:lang w:val="en-US" w:eastAsia="zh-CN"/>
        </w:rPr>
        <w:t>: 241-243 [PMID: 3828200 DOI: 10.1111/j.1365-2125.1987.tb03037.x]</w:t>
      </w:r>
    </w:p>
    <w:p w14:paraId="205E3883"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37 </w:t>
      </w:r>
      <w:r w:rsidRPr="0039437F">
        <w:rPr>
          <w:rFonts w:ascii="Book Antiqua" w:hAnsi="Book Antiqua" w:cs="Times New Roman"/>
          <w:b/>
          <w:kern w:val="2"/>
          <w:sz w:val="24"/>
          <w:szCs w:val="24"/>
          <w:lang w:val="en-US" w:eastAsia="zh-CN"/>
        </w:rPr>
        <w:t>Klotz U</w:t>
      </w:r>
      <w:r w:rsidRPr="0039437F">
        <w:rPr>
          <w:rFonts w:ascii="Book Antiqua" w:hAnsi="Book Antiqua" w:cs="Times New Roman"/>
          <w:kern w:val="2"/>
          <w:sz w:val="24"/>
          <w:szCs w:val="24"/>
          <w:lang w:val="en-US" w:eastAsia="zh-CN"/>
        </w:rPr>
        <w:t xml:space="preserve">, Avant GR, </w:t>
      </w:r>
      <w:proofErr w:type="spellStart"/>
      <w:r w:rsidRPr="0039437F">
        <w:rPr>
          <w:rFonts w:ascii="Book Antiqua" w:hAnsi="Book Antiqua" w:cs="Times New Roman"/>
          <w:kern w:val="2"/>
          <w:sz w:val="24"/>
          <w:szCs w:val="24"/>
          <w:lang w:val="en-US" w:eastAsia="zh-CN"/>
        </w:rPr>
        <w:t>Hoyumpa</w:t>
      </w:r>
      <w:proofErr w:type="spellEnd"/>
      <w:r w:rsidRPr="0039437F">
        <w:rPr>
          <w:rFonts w:ascii="Book Antiqua" w:hAnsi="Book Antiqua" w:cs="Times New Roman"/>
          <w:kern w:val="2"/>
          <w:sz w:val="24"/>
          <w:szCs w:val="24"/>
          <w:lang w:val="en-US" w:eastAsia="zh-CN"/>
        </w:rPr>
        <w:t xml:space="preserve"> A, </w:t>
      </w:r>
      <w:proofErr w:type="spellStart"/>
      <w:r w:rsidRPr="0039437F">
        <w:rPr>
          <w:rFonts w:ascii="Book Antiqua" w:hAnsi="Book Antiqua" w:cs="Times New Roman"/>
          <w:kern w:val="2"/>
          <w:sz w:val="24"/>
          <w:szCs w:val="24"/>
          <w:lang w:val="en-US" w:eastAsia="zh-CN"/>
        </w:rPr>
        <w:t>Schenker</w:t>
      </w:r>
      <w:proofErr w:type="spellEnd"/>
      <w:r w:rsidRPr="0039437F">
        <w:rPr>
          <w:rFonts w:ascii="Book Antiqua" w:hAnsi="Book Antiqua" w:cs="Times New Roman"/>
          <w:kern w:val="2"/>
          <w:sz w:val="24"/>
          <w:szCs w:val="24"/>
          <w:lang w:val="en-US" w:eastAsia="zh-CN"/>
        </w:rPr>
        <w:t xml:space="preserve"> S, Wilkinson GR. </w:t>
      </w:r>
      <w:proofErr w:type="gramStart"/>
      <w:r w:rsidRPr="0039437F">
        <w:rPr>
          <w:rFonts w:ascii="Book Antiqua" w:hAnsi="Book Antiqua" w:cs="Times New Roman"/>
          <w:kern w:val="2"/>
          <w:sz w:val="24"/>
          <w:szCs w:val="24"/>
          <w:lang w:val="en-US" w:eastAsia="zh-CN"/>
        </w:rPr>
        <w:t>The effects of age and liver disease on the disposition and elimination of diazepam in adult man.</w:t>
      </w:r>
      <w:proofErr w:type="gramEnd"/>
      <w:r w:rsidRPr="0039437F">
        <w:rPr>
          <w:rFonts w:ascii="Book Antiqua" w:hAnsi="Book Antiqua" w:cs="Times New Roman"/>
          <w:kern w:val="2"/>
          <w:sz w:val="24"/>
          <w:szCs w:val="24"/>
          <w:lang w:val="en-US" w:eastAsia="zh-CN"/>
        </w:rPr>
        <w:t xml:space="preserve"> </w:t>
      </w:r>
      <w:r w:rsidRPr="0039437F">
        <w:rPr>
          <w:rFonts w:ascii="Book Antiqua" w:hAnsi="Book Antiqua" w:cs="Times New Roman"/>
          <w:i/>
          <w:kern w:val="2"/>
          <w:sz w:val="24"/>
          <w:szCs w:val="24"/>
          <w:lang w:val="en-US" w:eastAsia="zh-CN"/>
        </w:rPr>
        <w:t xml:space="preserve">J </w:t>
      </w:r>
      <w:proofErr w:type="spellStart"/>
      <w:r w:rsidRPr="0039437F">
        <w:rPr>
          <w:rFonts w:ascii="Book Antiqua" w:hAnsi="Book Antiqua" w:cs="Times New Roman"/>
          <w:i/>
          <w:kern w:val="2"/>
          <w:sz w:val="24"/>
          <w:szCs w:val="24"/>
          <w:lang w:val="en-US" w:eastAsia="zh-CN"/>
        </w:rPr>
        <w:t>Clin</w:t>
      </w:r>
      <w:proofErr w:type="spellEnd"/>
      <w:r w:rsidRPr="0039437F">
        <w:rPr>
          <w:rFonts w:ascii="Book Antiqua" w:hAnsi="Book Antiqua" w:cs="Times New Roman"/>
          <w:i/>
          <w:kern w:val="2"/>
          <w:sz w:val="24"/>
          <w:szCs w:val="24"/>
          <w:lang w:val="en-US" w:eastAsia="zh-CN"/>
        </w:rPr>
        <w:t xml:space="preserve"> Invest</w:t>
      </w:r>
      <w:r w:rsidRPr="0039437F">
        <w:rPr>
          <w:rFonts w:ascii="Book Antiqua" w:hAnsi="Book Antiqua" w:cs="Times New Roman"/>
          <w:kern w:val="2"/>
          <w:sz w:val="24"/>
          <w:szCs w:val="24"/>
          <w:lang w:val="en-US" w:eastAsia="zh-CN"/>
        </w:rPr>
        <w:t xml:space="preserve"> 1975; </w:t>
      </w:r>
      <w:r w:rsidRPr="0039437F">
        <w:rPr>
          <w:rFonts w:ascii="Book Antiqua" w:hAnsi="Book Antiqua" w:cs="Times New Roman"/>
          <w:b/>
          <w:kern w:val="2"/>
          <w:sz w:val="24"/>
          <w:szCs w:val="24"/>
          <w:lang w:val="en-US" w:eastAsia="zh-CN"/>
        </w:rPr>
        <w:t>55</w:t>
      </w:r>
      <w:r w:rsidRPr="0039437F">
        <w:rPr>
          <w:rFonts w:ascii="Book Antiqua" w:hAnsi="Book Antiqua" w:cs="Times New Roman"/>
          <w:kern w:val="2"/>
          <w:sz w:val="24"/>
          <w:szCs w:val="24"/>
          <w:lang w:val="en-US" w:eastAsia="zh-CN"/>
        </w:rPr>
        <w:t>: 347-359 [PMID: 1127104 DOI: 10.1172/JCI107938]</w:t>
      </w:r>
    </w:p>
    <w:p w14:paraId="59AAC318"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38 </w:t>
      </w:r>
      <w:proofErr w:type="spellStart"/>
      <w:r w:rsidRPr="0039437F">
        <w:rPr>
          <w:rFonts w:ascii="Book Antiqua" w:hAnsi="Book Antiqua" w:cs="Times New Roman"/>
          <w:b/>
          <w:kern w:val="2"/>
          <w:sz w:val="24"/>
          <w:szCs w:val="24"/>
          <w:lang w:val="en-US" w:eastAsia="zh-CN"/>
        </w:rPr>
        <w:t>Hamdy</w:t>
      </w:r>
      <w:proofErr w:type="spellEnd"/>
      <w:r w:rsidRPr="0039437F">
        <w:rPr>
          <w:rFonts w:ascii="Book Antiqua" w:hAnsi="Book Antiqua" w:cs="Times New Roman"/>
          <w:b/>
          <w:kern w:val="2"/>
          <w:sz w:val="24"/>
          <w:szCs w:val="24"/>
          <w:lang w:val="en-US" w:eastAsia="zh-CN"/>
        </w:rPr>
        <w:t xml:space="preserve"> NA</w:t>
      </w:r>
      <w:r w:rsidRPr="0039437F">
        <w:rPr>
          <w:rFonts w:ascii="Book Antiqua" w:hAnsi="Book Antiqua" w:cs="Times New Roman"/>
          <w:kern w:val="2"/>
          <w:sz w:val="24"/>
          <w:szCs w:val="24"/>
          <w:lang w:val="en-US" w:eastAsia="zh-CN"/>
        </w:rPr>
        <w:t xml:space="preserve">, Kennedy HJ, Nicholl J, Triger DR. Sedation for gastroscopy: a comparative study of midazolam and </w:t>
      </w:r>
      <w:proofErr w:type="spellStart"/>
      <w:r w:rsidRPr="0039437F">
        <w:rPr>
          <w:rFonts w:ascii="Book Antiqua" w:hAnsi="Book Antiqua" w:cs="Times New Roman"/>
          <w:kern w:val="2"/>
          <w:sz w:val="24"/>
          <w:szCs w:val="24"/>
          <w:lang w:val="en-US" w:eastAsia="zh-CN"/>
        </w:rPr>
        <w:t>Diazemuls</w:t>
      </w:r>
      <w:proofErr w:type="spellEnd"/>
      <w:r w:rsidRPr="0039437F">
        <w:rPr>
          <w:rFonts w:ascii="Book Antiqua" w:hAnsi="Book Antiqua" w:cs="Times New Roman"/>
          <w:kern w:val="2"/>
          <w:sz w:val="24"/>
          <w:szCs w:val="24"/>
          <w:lang w:val="en-US" w:eastAsia="zh-CN"/>
        </w:rPr>
        <w:t xml:space="preserve"> in patients with and without cirrhosis. </w:t>
      </w:r>
      <w:r w:rsidRPr="0039437F">
        <w:rPr>
          <w:rFonts w:ascii="Book Antiqua" w:hAnsi="Book Antiqua" w:cs="Times New Roman"/>
          <w:i/>
          <w:kern w:val="2"/>
          <w:sz w:val="24"/>
          <w:szCs w:val="24"/>
          <w:lang w:val="en-US" w:eastAsia="zh-CN"/>
        </w:rPr>
        <w:t xml:space="preserve">Br J </w:t>
      </w:r>
      <w:proofErr w:type="spellStart"/>
      <w:r w:rsidRPr="0039437F">
        <w:rPr>
          <w:rFonts w:ascii="Book Antiqua" w:hAnsi="Book Antiqua" w:cs="Times New Roman"/>
          <w:i/>
          <w:kern w:val="2"/>
          <w:sz w:val="24"/>
          <w:szCs w:val="24"/>
          <w:lang w:val="en-US" w:eastAsia="zh-CN"/>
        </w:rPr>
        <w:t>Clin</w:t>
      </w:r>
      <w:proofErr w:type="spellEnd"/>
      <w:r w:rsidRPr="0039437F">
        <w:rPr>
          <w:rFonts w:ascii="Book Antiqua" w:hAnsi="Book Antiqua" w:cs="Times New Roman"/>
          <w:i/>
          <w:kern w:val="2"/>
          <w:sz w:val="24"/>
          <w:szCs w:val="24"/>
          <w:lang w:val="en-US" w:eastAsia="zh-CN"/>
        </w:rPr>
        <w:t xml:space="preserve"> </w:t>
      </w:r>
      <w:proofErr w:type="spellStart"/>
      <w:r w:rsidRPr="0039437F">
        <w:rPr>
          <w:rFonts w:ascii="Book Antiqua" w:hAnsi="Book Antiqua" w:cs="Times New Roman"/>
          <w:i/>
          <w:kern w:val="2"/>
          <w:sz w:val="24"/>
          <w:szCs w:val="24"/>
          <w:lang w:val="en-US" w:eastAsia="zh-CN"/>
        </w:rPr>
        <w:t>Pharmacol</w:t>
      </w:r>
      <w:proofErr w:type="spellEnd"/>
      <w:r w:rsidRPr="0039437F">
        <w:rPr>
          <w:rFonts w:ascii="Book Antiqua" w:hAnsi="Book Antiqua" w:cs="Times New Roman"/>
          <w:kern w:val="2"/>
          <w:sz w:val="24"/>
          <w:szCs w:val="24"/>
          <w:lang w:val="en-US" w:eastAsia="zh-CN"/>
        </w:rPr>
        <w:t xml:space="preserve"> 1986; </w:t>
      </w:r>
      <w:r w:rsidRPr="0039437F">
        <w:rPr>
          <w:rFonts w:ascii="Book Antiqua" w:hAnsi="Book Antiqua" w:cs="Times New Roman"/>
          <w:b/>
          <w:kern w:val="2"/>
          <w:sz w:val="24"/>
          <w:szCs w:val="24"/>
          <w:lang w:val="en-US" w:eastAsia="zh-CN"/>
        </w:rPr>
        <w:t>22</w:t>
      </w:r>
      <w:r w:rsidRPr="0039437F">
        <w:rPr>
          <w:rFonts w:ascii="Book Antiqua" w:hAnsi="Book Antiqua" w:cs="Times New Roman"/>
          <w:kern w:val="2"/>
          <w:sz w:val="24"/>
          <w:szCs w:val="24"/>
          <w:lang w:val="en-US" w:eastAsia="zh-CN"/>
        </w:rPr>
        <w:t>: 643-647 [PMID: 3552010 DOI: 10.1111/j.1365-2125.1986.tb02952.x]</w:t>
      </w:r>
    </w:p>
    <w:p w14:paraId="070B50D4"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39 </w:t>
      </w:r>
      <w:proofErr w:type="spellStart"/>
      <w:r w:rsidRPr="0039437F">
        <w:rPr>
          <w:rFonts w:ascii="Book Antiqua" w:hAnsi="Book Antiqua" w:cs="Times New Roman"/>
          <w:b/>
          <w:kern w:val="2"/>
          <w:sz w:val="24"/>
          <w:szCs w:val="24"/>
          <w:lang w:val="en-US" w:eastAsia="zh-CN"/>
        </w:rPr>
        <w:t>Haq</w:t>
      </w:r>
      <w:proofErr w:type="spellEnd"/>
      <w:r w:rsidRPr="0039437F">
        <w:rPr>
          <w:rFonts w:ascii="Book Antiqua" w:hAnsi="Book Antiqua" w:cs="Times New Roman"/>
          <w:b/>
          <w:kern w:val="2"/>
          <w:sz w:val="24"/>
          <w:szCs w:val="24"/>
          <w:lang w:val="en-US" w:eastAsia="zh-CN"/>
        </w:rPr>
        <w:t xml:space="preserve"> MM</w:t>
      </w:r>
      <w:r w:rsidRPr="0039437F">
        <w:rPr>
          <w:rFonts w:ascii="Book Antiqua" w:hAnsi="Book Antiqua" w:cs="Times New Roman"/>
          <w:kern w:val="2"/>
          <w:sz w:val="24"/>
          <w:szCs w:val="24"/>
          <w:lang w:val="en-US" w:eastAsia="zh-CN"/>
        </w:rPr>
        <w:t xml:space="preserve">, Faisal N, Khalil A, </w:t>
      </w:r>
      <w:proofErr w:type="spellStart"/>
      <w:r w:rsidRPr="0039437F">
        <w:rPr>
          <w:rFonts w:ascii="Book Antiqua" w:hAnsi="Book Antiqua" w:cs="Times New Roman"/>
          <w:kern w:val="2"/>
          <w:sz w:val="24"/>
          <w:szCs w:val="24"/>
          <w:lang w:val="en-US" w:eastAsia="zh-CN"/>
        </w:rPr>
        <w:t>Haqqi</w:t>
      </w:r>
      <w:proofErr w:type="spellEnd"/>
      <w:r w:rsidRPr="0039437F">
        <w:rPr>
          <w:rFonts w:ascii="Book Antiqua" w:hAnsi="Book Antiqua" w:cs="Times New Roman"/>
          <w:kern w:val="2"/>
          <w:sz w:val="24"/>
          <w:szCs w:val="24"/>
          <w:lang w:val="en-US" w:eastAsia="zh-CN"/>
        </w:rPr>
        <w:t xml:space="preserve"> SA, </w:t>
      </w:r>
      <w:proofErr w:type="spellStart"/>
      <w:r w:rsidRPr="0039437F">
        <w:rPr>
          <w:rFonts w:ascii="Book Antiqua" w:hAnsi="Book Antiqua" w:cs="Times New Roman"/>
          <w:kern w:val="2"/>
          <w:sz w:val="24"/>
          <w:szCs w:val="24"/>
          <w:lang w:val="en-US" w:eastAsia="zh-CN"/>
        </w:rPr>
        <w:t>Shaikh</w:t>
      </w:r>
      <w:proofErr w:type="spellEnd"/>
      <w:r w:rsidRPr="0039437F">
        <w:rPr>
          <w:rFonts w:ascii="Book Antiqua" w:hAnsi="Book Antiqua" w:cs="Times New Roman"/>
          <w:kern w:val="2"/>
          <w:sz w:val="24"/>
          <w:szCs w:val="24"/>
          <w:lang w:val="en-US" w:eastAsia="zh-CN"/>
        </w:rPr>
        <w:t xml:space="preserve"> H, </w:t>
      </w:r>
      <w:proofErr w:type="spellStart"/>
      <w:r w:rsidRPr="0039437F">
        <w:rPr>
          <w:rFonts w:ascii="Book Antiqua" w:hAnsi="Book Antiqua" w:cs="Times New Roman"/>
          <w:kern w:val="2"/>
          <w:sz w:val="24"/>
          <w:szCs w:val="24"/>
          <w:lang w:val="en-US" w:eastAsia="zh-CN"/>
        </w:rPr>
        <w:t>Arain</w:t>
      </w:r>
      <w:proofErr w:type="spellEnd"/>
      <w:r w:rsidRPr="0039437F">
        <w:rPr>
          <w:rFonts w:ascii="Book Antiqua" w:hAnsi="Book Antiqua" w:cs="Times New Roman"/>
          <w:kern w:val="2"/>
          <w:sz w:val="24"/>
          <w:szCs w:val="24"/>
          <w:lang w:val="en-US" w:eastAsia="zh-CN"/>
        </w:rPr>
        <w:t xml:space="preserve"> N. Midazolam for sedation during diagnostic or therapeutic upper gastrointestinal endoscopy in cirrhotic patients. </w:t>
      </w:r>
      <w:proofErr w:type="spellStart"/>
      <w:r w:rsidRPr="0039437F">
        <w:rPr>
          <w:rFonts w:ascii="Book Antiqua" w:hAnsi="Book Antiqua" w:cs="Times New Roman"/>
          <w:i/>
          <w:kern w:val="2"/>
          <w:sz w:val="24"/>
          <w:szCs w:val="24"/>
          <w:lang w:val="en-US" w:eastAsia="zh-CN"/>
        </w:rPr>
        <w:t>Eur</w:t>
      </w:r>
      <w:proofErr w:type="spellEnd"/>
      <w:r w:rsidRPr="0039437F">
        <w:rPr>
          <w:rFonts w:ascii="Book Antiqua" w:hAnsi="Book Antiqua" w:cs="Times New Roman"/>
          <w:i/>
          <w:kern w:val="2"/>
          <w:sz w:val="24"/>
          <w:szCs w:val="24"/>
          <w:lang w:val="en-US" w:eastAsia="zh-CN"/>
        </w:rPr>
        <w:t xml:space="preserve"> J </w:t>
      </w:r>
      <w:proofErr w:type="spellStart"/>
      <w:r w:rsidRPr="0039437F">
        <w:rPr>
          <w:rFonts w:ascii="Book Antiqua" w:hAnsi="Book Antiqua" w:cs="Times New Roman"/>
          <w:i/>
          <w:kern w:val="2"/>
          <w:sz w:val="24"/>
          <w:szCs w:val="24"/>
          <w:lang w:val="en-US" w:eastAsia="zh-CN"/>
        </w:rPr>
        <w:t>Gastroenterol</w:t>
      </w:r>
      <w:proofErr w:type="spellEnd"/>
      <w:r w:rsidRPr="0039437F">
        <w:rPr>
          <w:rFonts w:ascii="Book Antiqua" w:hAnsi="Book Antiqua" w:cs="Times New Roman"/>
          <w:i/>
          <w:kern w:val="2"/>
          <w:sz w:val="24"/>
          <w:szCs w:val="24"/>
          <w:lang w:val="en-US" w:eastAsia="zh-CN"/>
        </w:rPr>
        <w:t xml:space="preserve"> </w:t>
      </w:r>
      <w:proofErr w:type="spellStart"/>
      <w:r w:rsidRPr="0039437F">
        <w:rPr>
          <w:rFonts w:ascii="Book Antiqua" w:hAnsi="Book Antiqua" w:cs="Times New Roman"/>
          <w:i/>
          <w:kern w:val="2"/>
          <w:sz w:val="24"/>
          <w:szCs w:val="24"/>
          <w:lang w:val="en-US" w:eastAsia="zh-CN"/>
        </w:rPr>
        <w:t>Hepatol</w:t>
      </w:r>
      <w:proofErr w:type="spellEnd"/>
      <w:r w:rsidRPr="0039437F">
        <w:rPr>
          <w:rFonts w:ascii="Book Antiqua" w:hAnsi="Book Antiqua" w:cs="Times New Roman"/>
          <w:kern w:val="2"/>
          <w:sz w:val="24"/>
          <w:szCs w:val="24"/>
          <w:lang w:val="en-US" w:eastAsia="zh-CN"/>
        </w:rPr>
        <w:t xml:space="preserve"> 2012; </w:t>
      </w:r>
      <w:r w:rsidRPr="0039437F">
        <w:rPr>
          <w:rFonts w:ascii="Book Antiqua" w:hAnsi="Book Antiqua" w:cs="Times New Roman"/>
          <w:b/>
          <w:kern w:val="2"/>
          <w:sz w:val="24"/>
          <w:szCs w:val="24"/>
          <w:lang w:val="en-US" w:eastAsia="zh-CN"/>
        </w:rPr>
        <w:t>24</w:t>
      </w:r>
      <w:r w:rsidRPr="0039437F">
        <w:rPr>
          <w:rFonts w:ascii="Book Antiqua" w:hAnsi="Book Antiqua" w:cs="Times New Roman"/>
          <w:kern w:val="2"/>
          <w:sz w:val="24"/>
          <w:szCs w:val="24"/>
          <w:lang w:val="en-US" w:eastAsia="zh-CN"/>
        </w:rPr>
        <w:t>: 1214-1218 [PMID: 22786572 DOI: 10.1097/MEG.0b013e328356ae49]</w:t>
      </w:r>
    </w:p>
    <w:p w14:paraId="58289813"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40 </w:t>
      </w:r>
      <w:r w:rsidRPr="0039437F">
        <w:rPr>
          <w:rFonts w:ascii="Book Antiqua" w:hAnsi="Book Antiqua" w:cs="Times New Roman"/>
          <w:b/>
          <w:kern w:val="2"/>
          <w:sz w:val="24"/>
          <w:szCs w:val="24"/>
          <w:lang w:val="en-US" w:eastAsia="zh-CN"/>
        </w:rPr>
        <w:t>Tsai HC</w:t>
      </w:r>
      <w:r w:rsidRPr="0039437F">
        <w:rPr>
          <w:rFonts w:ascii="Book Antiqua" w:hAnsi="Book Antiqua" w:cs="Times New Roman"/>
          <w:kern w:val="2"/>
          <w:sz w:val="24"/>
          <w:szCs w:val="24"/>
          <w:lang w:val="en-US" w:eastAsia="zh-CN"/>
        </w:rPr>
        <w:t xml:space="preserve">, Lin YC, </w:t>
      </w:r>
      <w:proofErr w:type="spellStart"/>
      <w:proofErr w:type="gramStart"/>
      <w:r w:rsidRPr="0039437F">
        <w:rPr>
          <w:rFonts w:ascii="Book Antiqua" w:hAnsi="Book Antiqua" w:cs="Times New Roman"/>
          <w:kern w:val="2"/>
          <w:sz w:val="24"/>
          <w:szCs w:val="24"/>
          <w:lang w:val="en-US" w:eastAsia="zh-CN"/>
        </w:rPr>
        <w:t>Ko</w:t>
      </w:r>
      <w:proofErr w:type="spellEnd"/>
      <w:proofErr w:type="gramEnd"/>
      <w:r w:rsidRPr="0039437F">
        <w:rPr>
          <w:rFonts w:ascii="Book Antiqua" w:hAnsi="Book Antiqua" w:cs="Times New Roman"/>
          <w:kern w:val="2"/>
          <w:sz w:val="24"/>
          <w:szCs w:val="24"/>
          <w:lang w:val="en-US" w:eastAsia="zh-CN"/>
        </w:rPr>
        <w:t xml:space="preserve"> CL, Lou HY, Chen TL, Tam KW, Chen CY. Propofol versus midazolam for upper gastrointestinal endoscopy in cirrhotic patients: a meta-analysis of randomized controlled trials. </w:t>
      </w:r>
      <w:proofErr w:type="spellStart"/>
      <w:r w:rsidRPr="0039437F">
        <w:rPr>
          <w:rFonts w:ascii="Book Antiqua" w:hAnsi="Book Antiqua" w:cs="Times New Roman"/>
          <w:i/>
          <w:kern w:val="2"/>
          <w:sz w:val="24"/>
          <w:szCs w:val="24"/>
          <w:lang w:val="en-US" w:eastAsia="zh-CN"/>
        </w:rPr>
        <w:t>PLoS</w:t>
      </w:r>
      <w:proofErr w:type="spellEnd"/>
      <w:r w:rsidRPr="0039437F">
        <w:rPr>
          <w:rFonts w:ascii="Book Antiqua" w:hAnsi="Book Antiqua" w:cs="Times New Roman"/>
          <w:i/>
          <w:kern w:val="2"/>
          <w:sz w:val="24"/>
          <w:szCs w:val="24"/>
          <w:lang w:val="en-US" w:eastAsia="zh-CN"/>
        </w:rPr>
        <w:t xml:space="preserve"> One</w:t>
      </w:r>
      <w:r w:rsidRPr="0039437F">
        <w:rPr>
          <w:rFonts w:ascii="Book Antiqua" w:hAnsi="Book Antiqua" w:cs="Times New Roman"/>
          <w:kern w:val="2"/>
          <w:sz w:val="24"/>
          <w:szCs w:val="24"/>
          <w:lang w:val="en-US" w:eastAsia="zh-CN"/>
        </w:rPr>
        <w:t xml:space="preserve"> 2015; </w:t>
      </w:r>
      <w:r w:rsidRPr="0039437F">
        <w:rPr>
          <w:rFonts w:ascii="Book Antiqua" w:hAnsi="Book Antiqua" w:cs="Times New Roman"/>
          <w:b/>
          <w:kern w:val="2"/>
          <w:sz w:val="24"/>
          <w:szCs w:val="24"/>
          <w:lang w:val="en-US" w:eastAsia="zh-CN"/>
        </w:rPr>
        <w:t>10</w:t>
      </w:r>
      <w:r w:rsidRPr="0039437F">
        <w:rPr>
          <w:rFonts w:ascii="Book Antiqua" w:hAnsi="Book Antiqua" w:cs="Times New Roman"/>
          <w:kern w:val="2"/>
          <w:sz w:val="24"/>
          <w:szCs w:val="24"/>
          <w:lang w:val="en-US" w:eastAsia="zh-CN"/>
        </w:rPr>
        <w:t>: e0117585 [PMID: 25646815 DOI: 10.1371/journal.pone.0117585]</w:t>
      </w:r>
    </w:p>
    <w:p w14:paraId="285F008C"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proofErr w:type="gramStart"/>
      <w:r w:rsidRPr="0039437F">
        <w:rPr>
          <w:rFonts w:ascii="Book Antiqua" w:hAnsi="Book Antiqua" w:cs="Times New Roman"/>
          <w:kern w:val="2"/>
          <w:sz w:val="24"/>
          <w:szCs w:val="24"/>
          <w:lang w:val="en-US" w:eastAsia="zh-CN"/>
        </w:rPr>
        <w:t xml:space="preserve">41 </w:t>
      </w:r>
      <w:r w:rsidRPr="0039437F">
        <w:rPr>
          <w:rFonts w:ascii="Book Antiqua" w:hAnsi="Book Antiqua" w:cs="Times New Roman"/>
          <w:b/>
          <w:kern w:val="2"/>
          <w:sz w:val="24"/>
          <w:szCs w:val="24"/>
          <w:lang w:val="en-US" w:eastAsia="zh-CN"/>
        </w:rPr>
        <w:t>Delgado AAA</w:t>
      </w:r>
      <w:r w:rsidRPr="0039437F">
        <w:rPr>
          <w:rFonts w:ascii="Book Antiqua" w:hAnsi="Book Antiqua" w:cs="Times New Roman"/>
          <w:kern w:val="2"/>
          <w:sz w:val="24"/>
          <w:szCs w:val="24"/>
          <w:lang w:val="en-US" w:eastAsia="zh-CN"/>
        </w:rPr>
        <w:t xml:space="preserve">, de </w:t>
      </w:r>
      <w:proofErr w:type="spellStart"/>
      <w:r w:rsidRPr="0039437F">
        <w:rPr>
          <w:rFonts w:ascii="Book Antiqua" w:hAnsi="Book Antiqua" w:cs="Times New Roman"/>
          <w:kern w:val="2"/>
          <w:sz w:val="24"/>
          <w:szCs w:val="24"/>
          <w:lang w:val="en-US" w:eastAsia="zh-CN"/>
        </w:rPr>
        <w:t>Moura</w:t>
      </w:r>
      <w:proofErr w:type="spellEnd"/>
      <w:r w:rsidRPr="0039437F">
        <w:rPr>
          <w:rFonts w:ascii="Book Antiqua" w:hAnsi="Book Antiqua" w:cs="Times New Roman"/>
          <w:kern w:val="2"/>
          <w:sz w:val="24"/>
          <w:szCs w:val="24"/>
          <w:lang w:val="en-US" w:eastAsia="zh-CN"/>
        </w:rPr>
        <w:t xml:space="preserve"> DTH, </w:t>
      </w:r>
      <w:proofErr w:type="spellStart"/>
      <w:r w:rsidRPr="0039437F">
        <w:rPr>
          <w:rFonts w:ascii="Book Antiqua" w:hAnsi="Book Antiqua" w:cs="Times New Roman"/>
          <w:kern w:val="2"/>
          <w:sz w:val="24"/>
          <w:szCs w:val="24"/>
          <w:lang w:val="en-US" w:eastAsia="zh-CN"/>
        </w:rPr>
        <w:t>Ribeiro</w:t>
      </w:r>
      <w:proofErr w:type="spellEnd"/>
      <w:r w:rsidRPr="0039437F">
        <w:rPr>
          <w:rFonts w:ascii="Book Antiqua" w:hAnsi="Book Antiqua" w:cs="Times New Roman"/>
          <w:kern w:val="2"/>
          <w:sz w:val="24"/>
          <w:szCs w:val="24"/>
          <w:lang w:val="en-US" w:eastAsia="zh-CN"/>
        </w:rPr>
        <w:t xml:space="preserve"> IB, </w:t>
      </w:r>
      <w:proofErr w:type="spellStart"/>
      <w:r w:rsidRPr="0039437F">
        <w:rPr>
          <w:rFonts w:ascii="Book Antiqua" w:hAnsi="Book Antiqua" w:cs="Times New Roman"/>
          <w:kern w:val="2"/>
          <w:sz w:val="24"/>
          <w:szCs w:val="24"/>
          <w:lang w:val="en-US" w:eastAsia="zh-CN"/>
        </w:rPr>
        <w:t>Bazarbashi</w:t>
      </w:r>
      <w:proofErr w:type="spellEnd"/>
      <w:r w:rsidRPr="0039437F">
        <w:rPr>
          <w:rFonts w:ascii="Book Antiqua" w:hAnsi="Book Antiqua" w:cs="Times New Roman"/>
          <w:kern w:val="2"/>
          <w:sz w:val="24"/>
          <w:szCs w:val="24"/>
          <w:lang w:val="en-US" w:eastAsia="zh-CN"/>
        </w:rPr>
        <w:t xml:space="preserve"> AN, Dos Santos MEL, Bernardo WM, de Moura EGH.</w:t>
      </w:r>
      <w:proofErr w:type="gramEnd"/>
      <w:r w:rsidRPr="0039437F">
        <w:rPr>
          <w:rFonts w:ascii="Book Antiqua" w:hAnsi="Book Antiqua" w:cs="Times New Roman"/>
          <w:kern w:val="2"/>
          <w:sz w:val="24"/>
          <w:szCs w:val="24"/>
          <w:lang w:val="en-US" w:eastAsia="zh-CN"/>
        </w:rPr>
        <w:t xml:space="preserve"> Propofol </w:t>
      </w:r>
      <w:r w:rsidRPr="0039437F">
        <w:rPr>
          <w:rFonts w:ascii="Book Antiqua" w:hAnsi="Book Antiqua" w:cs="Times New Roman"/>
          <w:i/>
          <w:kern w:val="2"/>
          <w:sz w:val="24"/>
          <w:szCs w:val="24"/>
          <w:lang w:val="en-US" w:eastAsia="zh-CN"/>
        </w:rPr>
        <w:t>vs</w:t>
      </w:r>
      <w:r w:rsidRPr="0039437F">
        <w:rPr>
          <w:rFonts w:ascii="Book Antiqua" w:hAnsi="Book Antiqua" w:cs="Times New Roman"/>
          <w:kern w:val="2"/>
          <w:sz w:val="24"/>
          <w:szCs w:val="24"/>
          <w:lang w:val="en-US" w:eastAsia="zh-CN"/>
        </w:rPr>
        <w:t xml:space="preserve"> traditional sedatives for sedation in endoscopy: A systematic review and meta-analysis. </w:t>
      </w:r>
      <w:r w:rsidRPr="0039437F">
        <w:rPr>
          <w:rFonts w:ascii="Book Antiqua" w:hAnsi="Book Antiqua" w:cs="Times New Roman"/>
          <w:i/>
          <w:kern w:val="2"/>
          <w:sz w:val="24"/>
          <w:szCs w:val="24"/>
          <w:lang w:val="en-US" w:eastAsia="zh-CN"/>
        </w:rPr>
        <w:t xml:space="preserve">World J </w:t>
      </w:r>
      <w:proofErr w:type="spellStart"/>
      <w:r w:rsidRPr="0039437F">
        <w:rPr>
          <w:rFonts w:ascii="Book Antiqua" w:hAnsi="Book Antiqua" w:cs="Times New Roman"/>
          <w:i/>
          <w:kern w:val="2"/>
          <w:sz w:val="24"/>
          <w:szCs w:val="24"/>
          <w:lang w:val="en-US" w:eastAsia="zh-CN"/>
        </w:rPr>
        <w:t>Gastrointest</w:t>
      </w:r>
      <w:proofErr w:type="spellEnd"/>
      <w:r w:rsidRPr="0039437F">
        <w:rPr>
          <w:rFonts w:ascii="Book Antiqua" w:hAnsi="Book Antiqua" w:cs="Times New Roman"/>
          <w:i/>
          <w:kern w:val="2"/>
          <w:sz w:val="24"/>
          <w:szCs w:val="24"/>
          <w:lang w:val="en-US" w:eastAsia="zh-CN"/>
        </w:rPr>
        <w:t xml:space="preserve"> </w:t>
      </w:r>
      <w:proofErr w:type="spellStart"/>
      <w:r w:rsidRPr="0039437F">
        <w:rPr>
          <w:rFonts w:ascii="Book Antiqua" w:hAnsi="Book Antiqua" w:cs="Times New Roman"/>
          <w:i/>
          <w:kern w:val="2"/>
          <w:sz w:val="24"/>
          <w:szCs w:val="24"/>
          <w:lang w:val="en-US" w:eastAsia="zh-CN"/>
        </w:rPr>
        <w:t>Endosc</w:t>
      </w:r>
      <w:proofErr w:type="spellEnd"/>
      <w:r w:rsidRPr="0039437F">
        <w:rPr>
          <w:rFonts w:ascii="Book Antiqua" w:hAnsi="Book Antiqua" w:cs="Times New Roman"/>
          <w:kern w:val="2"/>
          <w:sz w:val="24"/>
          <w:szCs w:val="24"/>
          <w:lang w:val="en-US" w:eastAsia="zh-CN"/>
        </w:rPr>
        <w:t xml:space="preserve"> 2019; </w:t>
      </w:r>
      <w:r w:rsidRPr="0039437F">
        <w:rPr>
          <w:rFonts w:ascii="Book Antiqua" w:hAnsi="Book Antiqua" w:cs="Times New Roman"/>
          <w:b/>
          <w:kern w:val="2"/>
          <w:sz w:val="24"/>
          <w:szCs w:val="24"/>
          <w:lang w:val="en-US" w:eastAsia="zh-CN"/>
        </w:rPr>
        <w:t>11</w:t>
      </w:r>
      <w:r w:rsidRPr="0039437F">
        <w:rPr>
          <w:rFonts w:ascii="Book Antiqua" w:hAnsi="Book Antiqua" w:cs="Times New Roman"/>
          <w:kern w:val="2"/>
          <w:sz w:val="24"/>
          <w:szCs w:val="24"/>
          <w:lang w:val="en-US" w:eastAsia="zh-CN"/>
        </w:rPr>
        <w:t>: 573-588 [PMID: 31839876 DOI: 10.4253/wjge.v11.i12.573]</w:t>
      </w:r>
    </w:p>
    <w:p w14:paraId="5FA4C70F"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42 </w:t>
      </w:r>
      <w:proofErr w:type="spellStart"/>
      <w:r w:rsidRPr="0039437F">
        <w:rPr>
          <w:rFonts w:ascii="Book Antiqua" w:hAnsi="Book Antiqua" w:cs="Times New Roman"/>
          <w:b/>
          <w:kern w:val="2"/>
          <w:sz w:val="24"/>
          <w:szCs w:val="24"/>
          <w:lang w:val="en-US" w:eastAsia="zh-CN"/>
        </w:rPr>
        <w:t>Amorós</w:t>
      </w:r>
      <w:proofErr w:type="spellEnd"/>
      <w:r w:rsidRPr="0039437F">
        <w:rPr>
          <w:rFonts w:ascii="Book Antiqua" w:hAnsi="Book Antiqua" w:cs="Times New Roman"/>
          <w:b/>
          <w:kern w:val="2"/>
          <w:sz w:val="24"/>
          <w:szCs w:val="24"/>
          <w:lang w:val="en-US" w:eastAsia="zh-CN"/>
        </w:rPr>
        <w:t xml:space="preserve"> A</w:t>
      </w:r>
      <w:r w:rsidRPr="0039437F">
        <w:rPr>
          <w:rFonts w:ascii="Book Antiqua" w:hAnsi="Book Antiqua" w:cs="Times New Roman"/>
          <w:kern w:val="2"/>
          <w:sz w:val="24"/>
          <w:szCs w:val="24"/>
          <w:lang w:val="en-US" w:eastAsia="zh-CN"/>
        </w:rPr>
        <w:t xml:space="preserve">, </w:t>
      </w:r>
      <w:proofErr w:type="spellStart"/>
      <w:r w:rsidRPr="0039437F">
        <w:rPr>
          <w:rFonts w:ascii="Book Antiqua" w:hAnsi="Book Antiqua" w:cs="Times New Roman"/>
          <w:kern w:val="2"/>
          <w:sz w:val="24"/>
          <w:szCs w:val="24"/>
          <w:lang w:val="en-US" w:eastAsia="zh-CN"/>
        </w:rPr>
        <w:t>Aparicio</w:t>
      </w:r>
      <w:proofErr w:type="spellEnd"/>
      <w:r w:rsidRPr="0039437F">
        <w:rPr>
          <w:rFonts w:ascii="Book Antiqua" w:hAnsi="Book Antiqua" w:cs="Times New Roman"/>
          <w:kern w:val="2"/>
          <w:sz w:val="24"/>
          <w:szCs w:val="24"/>
          <w:lang w:val="en-US" w:eastAsia="zh-CN"/>
        </w:rPr>
        <w:t xml:space="preserve"> JR, </w:t>
      </w:r>
      <w:proofErr w:type="spellStart"/>
      <w:r w:rsidRPr="0039437F">
        <w:rPr>
          <w:rFonts w:ascii="Book Antiqua" w:hAnsi="Book Antiqua" w:cs="Times New Roman"/>
          <w:kern w:val="2"/>
          <w:sz w:val="24"/>
          <w:szCs w:val="24"/>
          <w:lang w:val="en-US" w:eastAsia="zh-CN"/>
        </w:rPr>
        <w:t>Garmendia</w:t>
      </w:r>
      <w:proofErr w:type="spellEnd"/>
      <w:r w:rsidRPr="0039437F">
        <w:rPr>
          <w:rFonts w:ascii="Book Antiqua" w:hAnsi="Book Antiqua" w:cs="Times New Roman"/>
          <w:kern w:val="2"/>
          <w:sz w:val="24"/>
          <w:szCs w:val="24"/>
          <w:lang w:val="en-US" w:eastAsia="zh-CN"/>
        </w:rPr>
        <w:t xml:space="preserve"> M, </w:t>
      </w:r>
      <w:proofErr w:type="spellStart"/>
      <w:r w:rsidRPr="0039437F">
        <w:rPr>
          <w:rFonts w:ascii="Book Antiqua" w:hAnsi="Book Antiqua" w:cs="Times New Roman"/>
          <w:kern w:val="2"/>
          <w:sz w:val="24"/>
          <w:szCs w:val="24"/>
          <w:lang w:val="en-US" w:eastAsia="zh-CN"/>
        </w:rPr>
        <w:t>Casellas</w:t>
      </w:r>
      <w:proofErr w:type="spellEnd"/>
      <w:r w:rsidRPr="0039437F">
        <w:rPr>
          <w:rFonts w:ascii="Book Antiqua" w:hAnsi="Book Antiqua" w:cs="Times New Roman"/>
          <w:kern w:val="2"/>
          <w:sz w:val="24"/>
          <w:szCs w:val="24"/>
          <w:lang w:val="en-US" w:eastAsia="zh-CN"/>
        </w:rPr>
        <w:t xml:space="preserve"> JA, </w:t>
      </w:r>
      <w:proofErr w:type="spellStart"/>
      <w:r w:rsidRPr="0039437F">
        <w:rPr>
          <w:rFonts w:ascii="Book Antiqua" w:hAnsi="Book Antiqua" w:cs="Times New Roman"/>
          <w:kern w:val="2"/>
          <w:sz w:val="24"/>
          <w:szCs w:val="24"/>
          <w:lang w:val="en-US" w:eastAsia="zh-CN"/>
        </w:rPr>
        <w:t>Martínez</w:t>
      </w:r>
      <w:proofErr w:type="spellEnd"/>
      <w:r w:rsidRPr="0039437F">
        <w:rPr>
          <w:rFonts w:ascii="Book Antiqua" w:hAnsi="Book Antiqua" w:cs="Times New Roman"/>
          <w:kern w:val="2"/>
          <w:sz w:val="24"/>
          <w:szCs w:val="24"/>
          <w:lang w:val="en-US" w:eastAsia="zh-CN"/>
        </w:rPr>
        <w:t xml:space="preserve"> J, </w:t>
      </w:r>
      <w:proofErr w:type="spellStart"/>
      <w:r w:rsidRPr="0039437F">
        <w:rPr>
          <w:rFonts w:ascii="Book Antiqua" w:hAnsi="Book Antiqua" w:cs="Times New Roman"/>
          <w:kern w:val="2"/>
          <w:sz w:val="24"/>
          <w:szCs w:val="24"/>
          <w:lang w:val="en-US" w:eastAsia="zh-CN"/>
        </w:rPr>
        <w:t>Jover</w:t>
      </w:r>
      <w:proofErr w:type="spellEnd"/>
      <w:r w:rsidRPr="0039437F">
        <w:rPr>
          <w:rFonts w:ascii="Book Antiqua" w:hAnsi="Book Antiqua" w:cs="Times New Roman"/>
          <w:kern w:val="2"/>
          <w:sz w:val="24"/>
          <w:szCs w:val="24"/>
          <w:lang w:val="en-US" w:eastAsia="zh-CN"/>
        </w:rPr>
        <w:t xml:space="preserve"> R. Deep sedation with propofol does not precipitate hepatic encephalopathy during elective upper endoscopy. </w:t>
      </w:r>
      <w:proofErr w:type="spellStart"/>
      <w:r w:rsidRPr="0039437F">
        <w:rPr>
          <w:rFonts w:ascii="Book Antiqua" w:hAnsi="Book Antiqua" w:cs="Times New Roman"/>
          <w:i/>
          <w:kern w:val="2"/>
          <w:sz w:val="24"/>
          <w:szCs w:val="24"/>
          <w:lang w:val="en-US" w:eastAsia="zh-CN"/>
        </w:rPr>
        <w:t>Gastrointest</w:t>
      </w:r>
      <w:proofErr w:type="spellEnd"/>
      <w:r w:rsidRPr="0039437F">
        <w:rPr>
          <w:rFonts w:ascii="Book Antiqua" w:hAnsi="Book Antiqua" w:cs="Times New Roman"/>
          <w:i/>
          <w:kern w:val="2"/>
          <w:sz w:val="24"/>
          <w:szCs w:val="24"/>
          <w:lang w:val="en-US" w:eastAsia="zh-CN"/>
        </w:rPr>
        <w:t xml:space="preserve"> </w:t>
      </w:r>
      <w:proofErr w:type="spellStart"/>
      <w:r w:rsidRPr="0039437F">
        <w:rPr>
          <w:rFonts w:ascii="Book Antiqua" w:hAnsi="Book Antiqua" w:cs="Times New Roman"/>
          <w:i/>
          <w:kern w:val="2"/>
          <w:sz w:val="24"/>
          <w:szCs w:val="24"/>
          <w:lang w:val="en-US" w:eastAsia="zh-CN"/>
        </w:rPr>
        <w:t>Endosc</w:t>
      </w:r>
      <w:proofErr w:type="spellEnd"/>
      <w:r w:rsidRPr="0039437F">
        <w:rPr>
          <w:rFonts w:ascii="Book Antiqua" w:hAnsi="Book Antiqua" w:cs="Times New Roman"/>
          <w:kern w:val="2"/>
          <w:sz w:val="24"/>
          <w:szCs w:val="24"/>
          <w:lang w:val="en-US" w:eastAsia="zh-CN"/>
        </w:rPr>
        <w:t xml:space="preserve"> 2009; </w:t>
      </w:r>
      <w:r w:rsidRPr="0039437F">
        <w:rPr>
          <w:rFonts w:ascii="Book Antiqua" w:hAnsi="Book Antiqua" w:cs="Times New Roman"/>
          <w:b/>
          <w:kern w:val="2"/>
          <w:sz w:val="24"/>
          <w:szCs w:val="24"/>
          <w:lang w:val="en-US" w:eastAsia="zh-CN"/>
        </w:rPr>
        <w:t>70</w:t>
      </w:r>
      <w:r w:rsidRPr="0039437F">
        <w:rPr>
          <w:rFonts w:ascii="Book Antiqua" w:hAnsi="Book Antiqua" w:cs="Times New Roman"/>
          <w:kern w:val="2"/>
          <w:sz w:val="24"/>
          <w:szCs w:val="24"/>
          <w:lang w:val="en-US" w:eastAsia="zh-CN"/>
        </w:rPr>
        <w:t>: 262-268 [PMID: 19394004 DOI: 10.1016/j.gie.2008.10.038]</w:t>
      </w:r>
    </w:p>
    <w:p w14:paraId="4F75803C"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proofErr w:type="gramStart"/>
      <w:r w:rsidRPr="0039437F">
        <w:rPr>
          <w:rFonts w:ascii="Book Antiqua" w:hAnsi="Book Antiqua" w:cs="Times New Roman"/>
          <w:kern w:val="2"/>
          <w:sz w:val="24"/>
          <w:szCs w:val="24"/>
          <w:lang w:val="en-US" w:eastAsia="zh-CN"/>
        </w:rPr>
        <w:t xml:space="preserve">43 </w:t>
      </w:r>
      <w:proofErr w:type="spellStart"/>
      <w:r w:rsidRPr="0039437F">
        <w:rPr>
          <w:rFonts w:ascii="Book Antiqua" w:hAnsi="Book Antiqua" w:cs="Times New Roman"/>
          <w:b/>
          <w:kern w:val="2"/>
          <w:sz w:val="24"/>
          <w:szCs w:val="24"/>
          <w:lang w:val="en-US" w:eastAsia="zh-CN"/>
        </w:rPr>
        <w:t>Thuluvath</w:t>
      </w:r>
      <w:proofErr w:type="spellEnd"/>
      <w:r w:rsidRPr="0039437F">
        <w:rPr>
          <w:rFonts w:ascii="Book Antiqua" w:hAnsi="Book Antiqua" w:cs="Times New Roman"/>
          <w:b/>
          <w:kern w:val="2"/>
          <w:sz w:val="24"/>
          <w:szCs w:val="24"/>
          <w:lang w:val="en-US" w:eastAsia="zh-CN"/>
        </w:rPr>
        <w:t xml:space="preserve"> PJ</w:t>
      </w:r>
      <w:r w:rsidRPr="0039437F">
        <w:rPr>
          <w:rFonts w:ascii="Book Antiqua" w:hAnsi="Book Antiqua" w:cs="Times New Roman"/>
          <w:kern w:val="2"/>
          <w:sz w:val="24"/>
          <w:szCs w:val="24"/>
          <w:lang w:val="en-US" w:eastAsia="zh-CN"/>
        </w:rPr>
        <w:t>.</w:t>
      </w:r>
      <w:proofErr w:type="gramEnd"/>
      <w:r w:rsidRPr="0039437F">
        <w:rPr>
          <w:rFonts w:ascii="Book Antiqua" w:hAnsi="Book Antiqua" w:cs="Times New Roman"/>
          <w:kern w:val="2"/>
          <w:sz w:val="24"/>
          <w:szCs w:val="24"/>
          <w:lang w:val="en-US" w:eastAsia="zh-CN"/>
        </w:rPr>
        <w:t xml:space="preserve"> Toward safer sedation in patients with cirrhosis: have we done enough? </w:t>
      </w:r>
      <w:proofErr w:type="spellStart"/>
      <w:r w:rsidRPr="0039437F">
        <w:rPr>
          <w:rFonts w:ascii="Book Antiqua" w:hAnsi="Book Antiqua" w:cs="Times New Roman"/>
          <w:i/>
          <w:kern w:val="2"/>
          <w:sz w:val="24"/>
          <w:szCs w:val="24"/>
          <w:lang w:val="en-US" w:eastAsia="zh-CN"/>
        </w:rPr>
        <w:t>Gastrointest</w:t>
      </w:r>
      <w:proofErr w:type="spellEnd"/>
      <w:r w:rsidRPr="0039437F">
        <w:rPr>
          <w:rFonts w:ascii="Book Antiqua" w:hAnsi="Book Antiqua" w:cs="Times New Roman"/>
          <w:i/>
          <w:kern w:val="2"/>
          <w:sz w:val="24"/>
          <w:szCs w:val="24"/>
          <w:lang w:val="en-US" w:eastAsia="zh-CN"/>
        </w:rPr>
        <w:t xml:space="preserve"> </w:t>
      </w:r>
      <w:proofErr w:type="spellStart"/>
      <w:r w:rsidRPr="0039437F">
        <w:rPr>
          <w:rFonts w:ascii="Book Antiqua" w:hAnsi="Book Antiqua" w:cs="Times New Roman"/>
          <w:i/>
          <w:kern w:val="2"/>
          <w:sz w:val="24"/>
          <w:szCs w:val="24"/>
          <w:lang w:val="en-US" w:eastAsia="zh-CN"/>
        </w:rPr>
        <w:t>Endosc</w:t>
      </w:r>
      <w:proofErr w:type="spellEnd"/>
      <w:r w:rsidRPr="0039437F">
        <w:rPr>
          <w:rFonts w:ascii="Book Antiqua" w:hAnsi="Book Antiqua" w:cs="Times New Roman"/>
          <w:kern w:val="2"/>
          <w:sz w:val="24"/>
          <w:szCs w:val="24"/>
          <w:lang w:val="en-US" w:eastAsia="zh-CN"/>
        </w:rPr>
        <w:t xml:space="preserve"> 2009; </w:t>
      </w:r>
      <w:r w:rsidRPr="0039437F">
        <w:rPr>
          <w:rFonts w:ascii="Book Antiqua" w:hAnsi="Book Antiqua" w:cs="Times New Roman"/>
          <w:b/>
          <w:kern w:val="2"/>
          <w:sz w:val="24"/>
          <w:szCs w:val="24"/>
          <w:lang w:val="en-US" w:eastAsia="zh-CN"/>
        </w:rPr>
        <w:t>70</w:t>
      </w:r>
      <w:r w:rsidRPr="0039437F">
        <w:rPr>
          <w:rFonts w:ascii="Book Antiqua" w:hAnsi="Book Antiqua" w:cs="Times New Roman"/>
          <w:kern w:val="2"/>
          <w:sz w:val="24"/>
          <w:szCs w:val="24"/>
          <w:lang w:val="en-US" w:eastAsia="zh-CN"/>
        </w:rPr>
        <w:t>: 269-271 [PMID: 19631803 DOI: 10.1016/j.gie.2009.01.029]</w:t>
      </w:r>
    </w:p>
    <w:p w14:paraId="69C56C50"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44 </w:t>
      </w:r>
      <w:r w:rsidRPr="0039437F">
        <w:rPr>
          <w:rFonts w:ascii="Book Antiqua" w:hAnsi="Book Antiqua" w:cs="Times New Roman"/>
          <w:b/>
          <w:kern w:val="2"/>
          <w:sz w:val="24"/>
          <w:szCs w:val="24"/>
          <w:lang w:val="en-US" w:eastAsia="zh-CN"/>
        </w:rPr>
        <w:t>Sharma P</w:t>
      </w:r>
      <w:r w:rsidRPr="0039437F">
        <w:rPr>
          <w:rFonts w:ascii="Book Antiqua" w:hAnsi="Book Antiqua" w:cs="Times New Roman"/>
          <w:kern w:val="2"/>
          <w:sz w:val="24"/>
          <w:szCs w:val="24"/>
          <w:lang w:val="en-US" w:eastAsia="zh-CN"/>
        </w:rPr>
        <w:t xml:space="preserve">, Singh S, Sharma BC, Kumar M, Garg H, Kumar A, Sarin SK. Propofol sedation during endoscopy in patients with cirrhosis, and utility of psychometric tests and critical flicker frequency in assessment of recovery from </w:t>
      </w:r>
      <w:r w:rsidRPr="0039437F">
        <w:rPr>
          <w:rFonts w:ascii="Book Antiqua" w:hAnsi="Book Antiqua" w:cs="Times New Roman"/>
          <w:kern w:val="2"/>
          <w:sz w:val="24"/>
          <w:szCs w:val="24"/>
          <w:lang w:val="en-US" w:eastAsia="zh-CN"/>
        </w:rPr>
        <w:lastRenderedPageBreak/>
        <w:t xml:space="preserve">sedation. </w:t>
      </w:r>
      <w:r w:rsidRPr="0039437F">
        <w:rPr>
          <w:rFonts w:ascii="Book Antiqua" w:hAnsi="Book Antiqua" w:cs="Times New Roman"/>
          <w:i/>
          <w:kern w:val="2"/>
          <w:sz w:val="24"/>
          <w:szCs w:val="24"/>
          <w:lang w:val="en-US" w:eastAsia="zh-CN"/>
        </w:rPr>
        <w:t>Endoscopy</w:t>
      </w:r>
      <w:r w:rsidRPr="0039437F">
        <w:rPr>
          <w:rFonts w:ascii="Book Antiqua" w:hAnsi="Book Antiqua" w:cs="Times New Roman"/>
          <w:kern w:val="2"/>
          <w:sz w:val="24"/>
          <w:szCs w:val="24"/>
          <w:lang w:val="en-US" w:eastAsia="zh-CN"/>
        </w:rPr>
        <w:t xml:space="preserve"> 2011; </w:t>
      </w:r>
      <w:r w:rsidRPr="0039437F">
        <w:rPr>
          <w:rFonts w:ascii="Book Antiqua" w:hAnsi="Book Antiqua" w:cs="Times New Roman"/>
          <w:b/>
          <w:kern w:val="2"/>
          <w:sz w:val="24"/>
          <w:szCs w:val="24"/>
          <w:lang w:val="en-US" w:eastAsia="zh-CN"/>
        </w:rPr>
        <w:t>43</w:t>
      </w:r>
      <w:r w:rsidRPr="0039437F">
        <w:rPr>
          <w:rFonts w:ascii="Book Antiqua" w:hAnsi="Book Antiqua" w:cs="Times New Roman"/>
          <w:kern w:val="2"/>
          <w:sz w:val="24"/>
          <w:szCs w:val="24"/>
          <w:lang w:val="en-US" w:eastAsia="zh-CN"/>
        </w:rPr>
        <w:t>: 400-405 [PMID: 21547878 DOI: 10.1055/s-0030-1256182]</w:t>
      </w:r>
    </w:p>
    <w:p w14:paraId="55D93631"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45 </w:t>
      </w:r>
      <w:r w:rsidRPr="0039437F">
        <w:rPr>
          <w:rFonts w:ascii="Book Antiqua" w:hAnsi="Book Antiqua" w:cs="Times New Roman"/>
          <w:b/>
          <w:kern w:val="2"/>
          <w:sz w:val="24"/>
          <w:szCs w:val="24"/>
          <w:lang w:val="en-US" w:eastAsia="zh-CN"/>
        </w:rPr>
        <w:t>Tanaka N</w:t>
      </w:r>
      <w:r w:rsidRPr="0039437F">
        <w:rPr>
          <w:rFonts w:ascii="Book Antiqua" w:hAnsi="Book Antiqua" w:cs="Times New Roman"/>
          <w:kern w:val="2"/>
          <w:sz w:val="24"/>
          <w:szCs w:val="24"/>
          <w:lang w:val="en-US" w:eastAsia="zh-CN"/>
        </w:rPr>
        <w:t xml:space="preserve">, Horiuchi A, Nakayama Y, </w:t>
      </w:r>
      <w:proofErr w:type="spellStart"/>
      <w:r w:rsidRPr="0039437F">
        <w:rPr>
          <w:rFonts w:ascii="Book Antiqua" w:hAnsi="Book Antiqua" w:cs="Times New Roman"/>
          <w:kern w:val="2"/>
          <w:sz w:val="24"/>
          <w:szCs w:val="24"/>
          <w:lang w:val="en-US" w:eastAsia="zh-CN"/>
        </w:rPr>
        <w:t>Katsuyama</w:t>
      </w:r>
      <w:proofErr w:type="spellEnd"/>
      <w:r w:rsidRPr="0039437F">
        <w:rPr>
          <w:rFonts w:ascii="Book Antiqua" w:hAnsi="Book Antiqua" w:cs="Times New Roman"/>
          <w:kern w:val="2"/>
          <w:sz w:val="24"/>
          <w:szCs w:val="24"/>
          <w:lang w:val="en-US" w:eastAsia="zh-CN"/>
        </w:rPr>
        <w:t xml:space="preserve"> Y, </w:t>
      </w:r>
      <w:proofErr w:type="spellStart"/>
      <w:r w:rsidRPr="0039437F">
        <w:rPr>
          <w:rFonts w:ascii="Book Antiqua" w:hAnsi="Book Antiqua" w:cs="Times New Roman"/>
          <w:kern w:val="2"/>
          <w:sz w:val="24"/>
          <w:szCs w:val="24"/>
          <w:lang w:val="en-US" w:eastAsia="zh-CN"/>
        </w:rPr>
        <w:t>Isobe</w:t>
      </w:r>
      <w:proofErr w:type="spellEnd"/>
      <w:r w:rsidRPr="0039437F">
        <w:rPr>
          <w:rFonts w:ascii="Book Antiqua" w:hAnsi="Book Antiqua" w:cs="Times New Roman"/>
          <w:kern w:val="2"/>
          <w:sz w:val="24"/>
          <w:szCs w:val="24"/>
          <w:lang w:val="en-US" w:eastAsia="zh-CN"/>
        </w:rPr>
        <w:t xml:space="preserve"> M, Aoyama T, Tanaka E, </w:t>
      </w:r>
      <w:proofErr w:type="spellStart"/>
      <w:r w:rsidRPr="0039437F">
        <w:rPr>
          <w:rFonts w:ascii="Book Antiqua" w:hAnsi="Book Antiqua" w:cs="Times New Roman"/>
          <w:kern w:val="2"/>
          <w:sz w:val="24"/>
          <w:szCs w:val="24"/>
          <w:lang w:val="en-US" w:eastAsia="zh-CN"/>
        </w:rPr>
        <w:t>Ohmori</w:t>
      </w:r>
      <w:proofErr w:type="spellEnd"/>
      <w:r w:rsidRPr="0039437F">
        <w:rPr>
          <w:rFonts w:ascii="Book Antiqua" w:hAnsi="Book Antiqua" w:cs="Times New Roman"/>
          <w:kern w:val="2"/>
          <w:sz w:val="24"/>
          <w:szCs w:val="24"/>
          <w:lang w:val="en-US" w:eastAsia="zh-CN"/>
        </w:rPr>
        <w:t xml:space="preserve"> S. Safety and effectiveness of low-dose propofol sedation during and after esophagogastroduodenoscopy in child A and B cirrhotic patients. </w:t>
      </w:r>
      <w:r w:rsidRPr="0039437F">
        <w:rPr>
          <w:rFonts w:ascii="Book Antiqua" w:hAnsi="Book Antiqua" w:cs="Times New Roman"/>
          <w:i/>
          <w:kern w:val="2"/>
          <w:sz w:val="24"/>
          <w:szCs w:val="24"/>
          <w:lang w:val="en-US" w:eastAsia="zh-CN"/>
        </w:rPr>
        <w:t>Dig Dis Sci</w:t>
      </w:r>
      <w:r w:rsidRPr="0039437F">
        <w:rPr>
          <w:rFonts w:ascii="Book Antiqua" w:hAnsi="Book Antiqua" w:cs="Times New Roman"/>
          <w:kern w:val="2"/>
          <w:sz w:val="24"/>
          <w:szCs w:val="24"/>
          <w:lang w:val="en-US" w:eastAsia="zh-CN"/>
        </w:rPr>
        <w:t xml:space="preserve"> 2013; </w:t>
      </w:r>
      <w:r w:rsidRPr="0039437F">
        <w:rPr>
          <w:rFonts w:ascii="Book Antiqua" w:hAnsi="Book Antiqua" w:cs="Times New Roman"/>
          <w:b/>
          <w:kern w:val="2"/>
          <w:sz w:val="24"/>
          <w:szCs w:val="24"/>
          <w:lang w:val="en-US" w:eastAsia="zh-CN"/>
        </w:rPr>
        <w:t>58</w:t>
      </w:r>
      <w:r w:rsidRPr="0039437F">
        <w:rPr>
          <w:rFonts w:ascii="Book Antiqua" w:hAnsi="Book Antiqua" w:cs="Times New Roman"/>
          <w:kern w:val="2"/>
          <w:sz w:val="24"/>
          <w:szCs w:val="24"/>
          <w:lang w:val="en-US" w:eastAsia="zh-CN"/>
        </w:rPr>
        <w:t>: 1383-1389 [PMID: 23179158 DOI: 10.1007/s10620-012-2483-y]</w:t>
      </w:r>
    </w:p>
    <w:p w14:paraId="0900DCAE"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46 </w:t>
      </w:r>
      <w:proofErr w:type="spellStart"/>
      <w:r w:rsidRPr="0039437F">
        <w:rPr>
          <w:rFonts w:ascii="Book Antiqua" w:hAnsi="Book Antiqua" w:cs="Times New Roman"/>
          <w:b/>
          <w:kern w:val="2"/>
          <w:sz w:val="24"/>
          <w:szCs w:val="24"/>
          <w:lang w:val="en-US" w:eastAsia="zh-CN"/>
        </w:rPr>
        <w:t>Suh</w:t>
      </w:r>
      <w:proofErr w:type="spellEnd"/>
      <w:r w:rsidRPr="0039437F">
        <w:rPr>
          <w:rFonts w:ascii="Book Antiqua" w:hAnsi="Book Antiqua" w:cs="Times New Roman"/>
          <w:b/>
          <w:kern w:val="2"/>
          <w:sz w:val="24"/>
          <w:szCs w:val="24"/>
          <w:lang w:val="en-US" w:eastAsia="zh-CN"/>
        </w:rPr>
        <w:t xml:space="preserve"> SJ</w:t>
      </w:r>
      <w:r w:rsidRPr="0039437F">
        <w:rPr>
          <w:rFonts w:ascii="Book Antiqua" w:hAnsi="Book Antiqua" w:cs="Times New Roman"/>
          <w:kern w:val="2"/>
          <w:sz w:val="24"/>
          <w:szCs w:val="24"/>
          <w:lang w:val="en-US" w:eastAsia="zh-CN"/>
        </w:rPr>
        <w:t xml:space="preserve">, </w:t>
      </w:r>
      <w:proofErr w:type="spellStart"/>
      <w:r w:rsidRPr="0039437F">
        <w:rPr>
          <w:rFonts w:ascii="Book Antiqua" w:hAnsi="Book Antiqua" w:cs="Times New Roman"/>
          <w:kern w:val="2"/>
          <w:sz w:val="24"/>
          <w:szCs w:val="24"/>
          <w:lang w:val="en-US" w:eastAsia="zh-CN"/>
        </w:rPr>
        <w:t>Yim</w:t>
      </w:r>
      <w:proofErr w:type="spellEnd"/>
      <w:r w:rsidRPr="0039437F">
        <w:rPr>
          <w:rFonts w:ascii="Book Antiqua" w:hAnsi="Book Antiqua" w:cs="Times New Roman"/>
          <w:kern w:val="2"/>
          <w:sz w:val="24"/>
          <w:szCs w:val="24"/>
          <w:lang w:val="en-US" w:eastAsia="zh-CN"/>
        </w:rPr>
        <w:t xml:space="preserve"> HJ, Yoon EL, Lee BJ, Hyun JJ, Jung SW, Koo JS, Kim JH, Kim KJ, </w:t>
      </w:r>
      <w:proofErr w:type="spellStart"/>
      <w:r w:rsidRPr="0039437F">
        <w:rPr>
          <w:rFonts w:ascii="Book Antiqua" w:hAnsi="Book Antiqua" w:cs="Times New Roman"/>
          <w:kern w:val="2"/>
          <w:sz w:val="24"/>
          <w:szCs w:val="24"/>
          <w:lang w:val="en-US" w:eastAsia="zh-CN"/>
        </w:rPr>
        <w:t>Choung</w:t>
      </w:r>
      <w:proofErr w:type="spellEnd"/>
      <w:r w:rsidRPr="0039437F">
        <w:rPr>
          <w:rFonts w:ascii="Book Antiqua" w:hAnsi="Book Antiqua" w:cs="Times New Roman"/>
          <w:kern w:val="2"/>
          <w:sz w:val="24"/>
          <w:szCs w:val="24"/>
          <w:lang w:val="en-US" w:eastAsia="zh-CN"/>
        </w:rPr>
        <w:t xml:space="preserve"> RS, </w:t>
      </w:r>
      <w:proofErr w:type="spellStart"/>
      <w:r w:rsidRPr="0039437F">
        <w:rPr>
          <w:rFonts w:ascii="Book Antiqua" w:hAnsi="Book Antiqua" w:cs="Times New Roman"/>
          <w:kern w:val="2"/>
          <w:sz w:val="24"/>
          <w:szCs w:val="24"/>
          <w:lang w:val="en-US" w:eastAsia="zh-CN"/>
        </w:rPr>
        <w:t>Seo</w:t>
      </w:r>
      <w:proofErr w:type="spellEnd"/>
      <w:r w:rsidRPr="0039437F">
        <w:rPr>
          <w:rFonts w:ascii="Book Antiqua" w:hAnsi="Book Antiqua" w:cs="Times New Roman"/>
          <w:kern w:val="2"/>
          <w:sz w:val="24"/>
          <w:szCs w:val="24"/>
          <w:lang w:val="en-US" w:eastAsia="zh-CN"/>
        </w:rPr>
        <w:t xml:space="preserve"> YS, </w:t>
      </w:r>
      <w:proofErr w:type="spellStart"/>
      <w:r w:rsidRPr="0039437F">
        <w:rPr>
          <w:rFonts w:ascii="Book Antiqua" w:hAnsi="Book Antiqua" w:cs="Times New Roman"/>
          <w:kern w:val="2"/>
          <w:sz w:val="24"/>
          <w:szCs w:val="24"/>
          <w:lang w:val="en-US" w:eastAsia="zh-CN"/>
        </w:rPr>
        <w:t>Yeon</w:t>
      </w:r>
      <w:proofErr w:type="spellEnd"/>
      <w:r w:rsidRPr="0039437F">
        <w:rPr>
          <w:rFonts w:ascii="Book Antiqua" w:hAnsi="Book Antiqua" w:cs="Times New Roman"/>
          <w:kern w:val="2"/>
          <w:sz w:val="24"/>
          <w:szCs w:val="24"/>
          <w:lang w:val="en-US" w:eastAsia="zh-CN"/>
        </w:rPr>
        <w:t xml:space="preserve"> JE, Um SH, Byun KS, Lee SW, Choi JH, Ryu HS. Is propofol safe when administered to cirrhotic patients during sedative endoscopy? </w:t>
      </w:r>
      <w:r w:rsidRPr="0039437F">
        <w:rPr>
          <w:rFonts w:ascii="Book Antiqua" w:hAnsi="Book Antiqua" w:cs="Times New Roman"/>
          <w:i/>
          <w:kern w:val="2"/>
          <w:sz w:val="24"/>
          <w:szCs w:val="24"/>
          <w:lang w:val="en-US" w:eastAsia="zh-CN"/>
        </w:rPr>
        <w:t>Korean J Intern Med</w:t>
      </w:r>
      <w:r w:rsidRPr="0039437F">
        <w:rPr>
          <w:rFonts w:ascii="Book Antiqua" w:hAnsi="Book Antiqua" w:cs="Times New Roman"/>
          <w:kern w:val="2"/>
          <w:sz w:val="24"/>
          <w:szCs w:val="24"/>
          <w:lang w:val="en-US" w:eastAsia="zh-CN"/>
        </w:rPr>
        <w:t xml:space="preserve"> 2014; </w:t>
      </w:r>
      <w:r w:rsidRPr="0039437F">
        <w:rPr>
          <w:rFonts w:ascii="Book Antiqua" w:hAnsi="Book Antiqua" w:cs="Times New Roman"/>
          <w:b/>
          <w:kern w:val="2"/>
          <w:sz w:val="24"/>
          <w:szCs w:val="24"/>
          <w:lang w:val="en-US" w:eastAsia="zh-CN"/>
        </w:rPr>
        <w:t>29</w:t>
      </w:r>
      <w:r w:rsidRPr="0039437F">
        <w:rPr>
          <w:rFonts w:ascii="Book Antiqua" w:hAnsi="Book Antiqua" w:cs="Times New Roman"/>
          <w:kern w:val="2"/>
          <w:sz w:val="24"/>
          <w:szCs w:val="24"/>
          <w:lang w:val="en-US" w:eastAsia="zh-CN"/>
        </w:rPr>
        <w:t>: 57-65 [PMID: 24574834 DOI: 10.3904/kjim.2014.29.1.57]</w:t>
      </w:r>
    </w:p>
    <w:p w14:paraId="011EC1C0"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47 </w:t>
      </w:r>
      <w:proofErr w:type="spellStart"/>
      <w:r w:rsidRPr="0039437F">
        <w:rPr>
          <w:rFonts w:ascii="Book Antiqua" w:hAnsi="Book Antiqua" w:cs="Times New Roman"/>
          <w:b/>
          <w:kern w:val="2"/>
          <w:sz w:val="24"/>
          <w:szCs w:val="24"/>
          <w:lang w:val="en-US" w:eastAsia="zh-CN"/>
        </w:rPr>
        <w:t>Wahab</w:t>
      </w:r>
      <w:proofErr w:type="spellEnd"/>
      <w:r w:rsidRPr="0039437F">
        <w:rPr>
          <w:rFonts w:ascii="Book Antiqua" w:hAnsi="Book Antiqua" w:cs="Times New Roman"/>
          <w:b/>
          <w:kern w:val="2"/>
          <w:sz w:val="24"/>
          <w:szCs w:val="24"/>
          <w:lang w:val="en-US" w:eastAsia="zh-CN"/>
        </w:rPr>
        <w:t xml:space="preserve"> EA</w:t>
      </w:r>
      <w:r w:rsidRPr="0039437F">
        <w:rPr>
          <w:rFonts w:ascii="Book Antiqua" w:hAnsi="Book Antiqua" w:cs="Times New Roman"/>
          <w:kern w:val="2"/>
          <w:sz w:val="24"/>
          <w:szCs w:val="24"/>
          <w:lang w:val="en-US" w:eastAsia="zh-CN"/>
        </w:rPr>
        <w:t xml:space="preserve">, </w:t>
      </w:r>
      <w:proofErr w:type="spellStart"/>
      <w:r w:rsidRPr="0039437F">
        <w:rPr>
          <w:rFonts w:ascii="Book Antiqua" w:hAnsi="Book Antiqua" w:cs="Times New Roman"/>
          <w:kern w:val="2"/>
          <w:sz w:val="24"/>
          <w:szCs w:val="24"/>
          <w:lang w:val="en-US" w:eastAsia="zh-CN"/>
        </w:rPr>
        <w:t>Hamed</w:t>
      </w:r>
      <w:proofErr w:type="spellEnd"/>
      <w:r w:rsidRPr="0039437F">
        <w:rPr>
          <w:rFonts w:ascii="Book Antiqua" w:hAnsi="Book Antiqua" w:cs="Times New Roman"/>
          <w:kern w:val="2"/>
          <w:sz w:val="24"/>
          <w:szCs w:val="24"/>
          <w:lang w:val="en-US" w:eastAsia="zh-CN"/>
        </w:rPr>
        <w:t xml:space="preserve"> EF, Ahmad HS, Abdel </w:t>
      </w:r>
      <w:proofErr w:type="spellStart"/>
      <w:r w:rsidRPr="0039437F">
        <w:rPr>
          <w:rFonts w:ascii="Book Antiqua" w:hAnsi="Book Antiqua" w:cs="Times New Roman"/>
          <w:kern w:val="2"/>
          <w:sz w:val="24"/>
          <w:szCs w:val="24"/>
          <w:lang w:val="en-US" w:eastAsia="zh-CN"/>
        </w:rPr>
        <w:t>Monem</w:t>
      </w:r>
      <w:proofErr w:type="spellEnd"/>
      <w:r w:rsidRPr="0039437F">
        <w:rPr>
          <w:rFonts w:ascii="Book Antiqua" w:hAnsi="Book Antiqua" w:cs="Times New Roman"/>
          <w:kern w:val="2"/>
          <w:sz w:val="24"/>
          <w:szCs w:val="24"/>
          <w:lang w:val="en-US" w:eastAsia="zh-CN"/>
        </w:rPr>
        <w:t xml:space="preserve"> SM, </w:t>
      </w:r>
      <w:proofErr w:type="spellStart"/>
      <w:r w:rsidRPr="0039437F">
        <w:rPr>
          <w:rFonts w:ascii="Book Antiqua" w:hAnsi="Book Antiqua" w:cs="Times New Roman"/>
          <w:kern w:val="2"/>
          <w:sz w:val="24"/>
          <w:szCs w:val="24"/>
          <w:lang w:val="en-US" w:eastAsia="zh-CN"/>
        </w:rPr>
        <w:t>Fathy</w:t>
      </w:r>
      <w:proofErr w:type="spellEnd"/>
      <w:r w:rsidRPr="0039437F">
        <w:rPr>
          <w:rFonts w:ascii="Book Antiqua" w:hAnsi="Book Antiqua" w:cs="Times New Roman"/>
          <w:kern w:val="2"/>
          <w:sz w:val="24"/>
          <w:szCs w:val="24"/>
          <w:lang w:val="en-US" w:eastAsia="zh-CN"/>
        </w:rPr>
        <w:t xml:space="preserve"> T. Conscious sedation using propofol </w:t>
      </w:r>
      <w:r w:rsidRPr="0039437F">
        <w:rPr>
          <w:rFonts w:ascii="Book Antiqua" w:hAnsi="Book Antiqua" w:cs="Times New Roman"/>
          <w:i/>
          <w:kern w:val="2"/>
          <w:sz w:val="24"/>
          <w:szCs w:val="24"/>
          <w:lang w:val="en-US" w:eastAsia="zh-CN"/>
        </w:rPr>
        <w:t>versus</w:t>
      </w:r>
      <w:r w:rsidRPr="0039437F">
        <w:rPr>
          <w:rFonts w:ascii="Book Antiqua" w:hAnsi="Book Antiqua" w:cs="Times New Roman"/>
          <w:kern w:val="2"/>
          <w:sz w:val="24"/>
          <w:szCs w:val="24"/>
          <w:lang w:val="en-US" w:eastAsia="zh-CN"/>
        </w:rPr>
        <w:t xml:space="preserve"> midazolam in cirrhotic patients during upper GI endoscopy: A comparative study. </w:t>
      </w:r>
      <w:r w:rsidRPr="0039437F">
        <w:rPr>
          <w:rFonts w:ascii="Book Antiqua" w:hAnsi="Book Antiqua" w:cs="Times New Roman"/>
          <w:i/>
          <w:kern w:val="2"/>
          <w:sz w:val="24"/>
          <w:szCs w:val="24"/>
          <w:lang w:val="en-US" w:eastAsia="zh-CN"/>
        </w:rPr>
        <w:t>JGH Open</w:t>
      </w:r>
      <w:r w:rsidRPr="0039437F">
        <w:rPr>
          <w:rFonts w:ascii="Book Antiqua" w:hAnsi="Book Antiqua" w:cs="Times New Roman"/>
          <w:kern w:val="2"/>
          <w:sz w:val="24"/>
          <w:szCs w:val="24"/>
          <w:lang w:val="en-US" w:eastAsia="zh-CN"/>
        </w:rPr>
        <w:t xml:space="preserve"> 2019; </w:t>
      </w:r>
      <w:r w:rsidRPr="0039437F">
        <w:rPr>
          <w:rFonts w:ascii="Book Antiqua" w:hAnsi="Book Antiqua" w:cs="Times New Roman"/>
          <w:b/>
          <w:kern w:val="2"/>
          <w:sz w:val="24"/>
          <w:szCs w:val="24"/>
          <w:lang w:val="en-US" w:eastAsia="zh-CN"/>
        </w:rPr>
        <w:t>3</w:t>
      </w:r>
      <w:r w:rsidRPr="0039437F">
        <w:rPr>
          <w:rFonts w:ascii="Book Antiqua" w:hAnsi="Book Antiqua" w:cs="Times New Roman"/>
          <w:kern w:val="2"/>
          <w:sz w:val="24"/>
          <w:szCs w:val="24"/>
          <w:lang w:val="en-US" w:eastAsia="zh-CN"/>
        </w:rPr>
        <w:t>: 25-31 [PMID: 30834337 DOI: 10.1002/jgh3.12098]</w:t>
      </w:r>
    </w:p>
    <w:p w14:paraId="13FBA19E" w14:textId="1DF0D443"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proofErr w:type="gramStart"/>
      <w:r w:rsidRPr="0039437F">
        <w:rPr>
          <w:rFonts w:ascii="Book Antiqua" w:hAnsi="Book Antiqua" w:cs="Times New Roman"/>
          <w:kern w:val="2"/>
          <w:sz w:val="24"/>
          <w:szCs w:val="24"/>
          <w:lang w:val="en-US" w:eastAsia="zh-CN"/>
        </w:rPr>
        <w:t xml:space="preserve">48 </w:t>
      </w:r>
      <w:r w:rsidRPr="0039437F">
        <w:rPr>
          <w:rFonts w:ascii="Book Antiqua" w:hAnsi="Book Antiqua" w:cs="Times New Roman"/>
          <w:b/>
          <w:kern w:val="2"/>
          <w:sz w:val="24"/>
          <w:szCs w:val="24"/>
          <w:lang w:val="en-US" w:eastAsia="zh-CN"/>
        </w:rPr>
        <w:t>Lieber SR</w:t>
      </w:r>
      <w:r w:rsidRPr="0039437F">
        <w:rPr>
          <w:rFonts w:ascii="Book Antiqua" w:hAnsi="Book Antiqua" w:cs="Times New Roman"/>
          <w:kern w:val="2"/>
          <w:sz w:val="24"/>
          <w:szCs w:val="24"/>
          <w:lang w:val="en-US" w:eastAsia="zh-CN"/>
        </w:rPr>
        <w:t xml:space="preserve">, Heller BJ, Howard CW, Sandler RS, Crockett S, </w:t>
      </w:r>
      <w:proofErr w:type="spellStart"/>
      <w:r w:rsidRPr="0039437F">
        <w:rPr>
          <w:rFonts w:ascii="Book Antiqua" w:hAnsi="Book Antiqua" w:cs="Times New Roman"/>
          <w:kern w:val="2"/>
          <w:sz w:val="24"/>
          <w:szCs w:val="24"/>
          <w:lang w:val="en-US" w:eastAsia="zh-CN"/>
        </w:rPr>
        <w:t>Barritt</w:t>
      </w:r>
      <w:proofErr w:type="spellEnd"/>
      <w:r w:rsidRPr="0039437F">
        <w:rPr>
          <w:rFonts w:ascii="Book Antiqua" w:hAnsi="Book Antiqua" w:cs="Times New Roman"/>
          <w:kern w:val="2"/>
          <w:sz w:val="24"/>
          <w:szCs w:val="24"/>
          <w:lang w:val="en-US" w:eastAsia="zh-CN"/>
        </w:rPr>
        <w:t xml:space="preserve"> AS.</w:t>
      </w:r>
      <w:proofErr w:type="gramEnd"/>
      <w:r w:rsidRPr="0039437F">
        <w:rPr>
          <w:rFonts w:ascii="Book Antiqua" w:hAnsi="Book Antiqua" w:cs="Times New Roman"/>
          <w:kern w:val="2"/>
          <w:sz w:val="24"/>
          <w:szCs w:val="24"/>
          <w:lang w:val="en-US" w:eastAsia="zh-CN"/>
        </w:rPr>
        <w:t xml:space="preserve"> Complications Associated with Anesthesia Services in Endoscopic Procedures Among Patients with Cirrhosis. </w:t>
      </w:r>
      <w:r w:rsidRPr="0039437F">
        <w:rPr>
          <w:rFonts w:ascii="Book Antiqua" w:hAnsi="Book Antiqua" w:cs="Times New Roman"/>
          <w:i/>
          <w:kern w:val="2"/>
          <w:sz w:val="24"/>
          <w:szCs w:val="24"/>
          <w:lang w:val="en-US" w:eastAsia="zh-CN"/>
        </w:rPr>
        <w:t>Hepatology</w:t>
      </w:r>
      <w:r w:rsidRPr="0039437F">
        <w:rPr>
          <w:rFonts w:ascii="Book Antiqua" w:hAnsi="Book Antiqua" w:cs="Times New Roman"/>
          <w:kern w:val="2"/>
          <w:sz w:val="24"/>
          <w:szCs w:val="24"/>
          <w:lang w:val="en-US" w:eastAsia="zh-CN"/>
        </w:rPr>
        <w:t xml:space="preserve"> 2020; </w:t>
      </w:r>
      <w:r w:rsidR="00DA4967" w:rsidRPr="00DA4967">
        <w:rPr>
          <w:rFonts w:ascii="Book Antiqua" w:hAnsi="Book Antiqua" w:cs="Times New Roman"/>
          <w:kern w:val="2"/>
          <w:sz w:val="24"/>
          <w:szCs w:val="24"/>
          <w:lang w:val="en-US" w:eastAsia="zh-CN"/>
        </w:rPr>
        <w:t>Online ahead of prin</w:t>
      </w:r>
      <w:r w:rsidR="002B3BB2">
        <w:rPr>
          <w:rFonts w:ascii="Book Antiqua" w:hAnsi="Book Antiqua" w:cs="Times New Roman"/>
          <w:kern w:val="2"/>
          <w:sz w:val="24"/>
          <w:szCs w:val="24"/>
          <w:lang w:val="en-US" w:eastAsia="zh-CN"/>
        </w:rPr>
        <w:t xml:space="preserve">t </w:t>
      </w:r>
      <w:r w:rsidRPr="0039437F">
        <w:rPr>
          <w:rFonts w:ascii="Book Antiqua" w:hAnsi="Book Antiqua" w:cs="Times New Roman"/>
          <w:kern w:val="2"/>
          <w:sz w:val="24"/>
          <w:szCs w:val="24"/>
          <w:lang w:val="en-US" w:eastAsia="zh-CN"/>
        </w:rPr>
        <w:t>[PMID: 32153048 DOI: 10.1002/hep.31224]</w:t>
      </w:r>
    </w:p>
    <w:p w14:paraId="3773ED16"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49 </w:t>
      </w:r>
      <w:proofErr w:type="spellStart"/>
      <w:r w:rsidRPr="0039437F">
        <w:rPr>
          <w:rFonts w:ascii="Book Antiqua" w:hAnsi="Book Antiqua" w:cs="Times New Roman"/>
          <w:b/>
          <w:kern w:val="2"/>
          <w:sz w:val="24"/>
          <w:szCs w:val="24"/>
          <w:lang w:val="en-US" w:eastAsia="zh-CN"/>
        </w:rPr>
        <w:t>Assy</w:t>
      </w:r>
      <w:proofErr w:type="spellEnd"/>
      <w:r w:rsidRPr="0039437F">
        <w:rPr>
          <w:rFonts w:ascii="Book Antiqua" w:hAnsi="Book Antiqua" w:cs="Times New Roman"/>
          <w:b/>
          <w:kern w:val="2"/>
          <w:sz w:val="24"/>
          <w:szCs w:val="24"/>
          <w:lang w:val="en-US" w:eastAsia="zh-CN"/>
        </w:rPr>
        <w:t xml:space="preserve"> N</w:t>
      </w:r>
      <w:r w:rsidRPr="0039437F">
        <w:rPr>
          <w:rFonts w:ascii="Book Antiqua" w:hAnsi="Book Antiqua" w:cs="Times New Roman"/>
          <w:kern w:val="2"/>
          <w:sz w:val="24"/>
          <w:szCs w:val="24"/>
          <w:lang w:val="en-US" w:eastAsia="zh-CN"/>
        </w:rPr>
        <w:t xml:space="preserve">, Rosser BG, Grahame GR, </w:t>
      </w:r>
      <w:proofErr w:type="spellStart"/>
      <w:r w:rsidRPr="0039437F">
        <w:rPr>
          <w:rFonts w:ascii="Book Antiqua" w:hAnsi="Book Antiqua" w:cs="Times New Roman"/>
          <w:kern w:val="2"/>
          <w:sz w:val="24"/>
          <w:szCs w:val="24"/>
          <w:lang w:val="en-US" w:eastAsia="zh-CN"/>
        </w:rPr>
        <w:t>Minuk</w:t>
      </w:r>
      <w:proofErr w:type="spellEnd"/>
      <w:r w:rsidRPr="0039437F">
        <w:rPr>
          <w:rFonts w:ascii="Book Antiqua" w:hAnsi="Book Antiqua" w:cs="Times New Roman"/>
          <w:kern w:val="2"/>
          <w:sz w:val="24"/>
          <w:szCs w:val="24"/>
          <w:lang w:val="en-US" w:eastAsia="zh-CN"/>
        </w:rPr>
        <w:t xml:space="preserve"> GY. </w:t>
      </w:r>
      <w:proofErr w:type="gramStart"/>
      <w:r w:rsidRPr="0039437F">
        <w:rPr>
          <w:rFonts w:ascii="Book Antiqua" w:hAnsi="Book Antiqua" w:cs="Times New Roman"/>
          <w:kern w:val="2"/>
          <w:sz w:val="24"/>
          <w:szCs w:val="24"/>
          <w:lang w:val="en-US" w:eastAsia="zh-CN"/>
        </w:rPr>
        <w:t>Risk of sedation for upper GI endoscopy exacerbating subclinical hepatic encephalopathy in patients with cirrhosis.</w:t>
      </w:r>
      <w:proofErr w:type="gramEnd"/>
      <w:r w:rsidRPr="0039437F">
        <w:rPr>
          <w:rFonts w:ascii="Book Antiqua" w:hAnsi="Book Antiqua" w:cs="Times New Roman"/>
          <w:kern w:val="2"/>
          <w:sz w:val="24"/>
          <w:szCs w:val="24"/>
          <w:lang w:val="en-US" w:eastAsia="zh-CN"/>
        </w:rPr>
        <w:t xml:space="preserve"> </w:t>
      </w:r>
      <w:proofErr w:type="spellStart"/>
      <w:r w:rsidRPr="0039437F">
        <w:rPr>
          <w:rFonts w:ascii="Book Antiqua" w:hAnsi="Book Antiqua" w:cs="Times New Roman"/>
          <w:i/>
          <w:kern w:val="2"/>
          <w:sz w:val="24"/>
          <w:szCs w:val="24"/>
          <w:lang w:val="en-US" w:eastAsia="zh-CN"/>
        </w:rPr>
        <w:t>Gastrointest</w:t>
      </w:r>
      <w:proofErr w:type="spellEnd"/>
      <w:r w:rsidRPr="0039437F">
        <w:rPr>
          <w:rFonts w:ascii="Book Antiqua" w:hAnsi="Book Antiqua" w:cs="Times New Roman"/>
          <w:i/>
          <w:kern w:val="2"/>
          <w:sz w:val="24"/>
          <w:szCs w:val="24"/>
          <w:lang w:val="en-US" w:eastAsia="zh-CN"/>
        </w:rPr>
        <w:t xml:space="preserve"> </w:t>
      </w:r>
      <w:proofErr w:type="spellStart"/>
      <w:r w:rsidRPr="0039437F">
        <w:rPr>
          <w:rFonts w:ascii="Book Antiqua" w:hAnsi="Book Antiqua" w:cs="Times New Roman"/>
          <w:i/>
          <w:kern w:val="2"/>
          <w:sz w:val="24"/>
          <w:szCs w:val="24"/>
          <w:lang w:val="en-US" w:eastAsia="zh-CN"/>
        </w:rPr>
        <w:t>Endosc</w:t>
      </w:r>
      <w:proofErr w:type="spellEnd"/>
      <w:r w:rsidRPr="0039437F">
        <w:rPr>
          <w:rFonts w:ascii="Book Antiqua" w:hAnsi="Book Antiqua" w:cs="Times New Roman"/>
          <w:kern w:val="2"/>
          <w:sz w:val="24"/>
          <w:szCs w:val="24"/>
          <w:lang w:val="en-US" w:eastAsia="zh-CN"/>
        </w:rPr>
        <w:t xml:space="preserve"> 1999; </w:t>
      </w:r>
      <w:r w:rsidRPr="0039437F">
        <w:rPr>
          <w:rFonts w:ascii="Book Antiqua" w:hAnsi="Book Antiqua" w:cs="Times New Roman"/>
          <w:b/>
          <w:kern w:val="2"/>
          <w:sz w:val="24"/>
          <w:szCs w:val="24"/>
          <w:lang w:val="en-US" w:eastAsia="zh-CN"/>
        </w:rPr>
        <w:t>49</w:t>
      </w:r>
      <w:r w:rsidRPr="0039437F">
        <w:rPr>
          <w:rFonts w:ascii="Book Antiqua" w:hAnsi="Book Antiqua" w:cs="Times New Roman"/>
          <w:kern w:val="2"/>
          <w:sz w:val="24"/>
          <w:szCs w:val="24"/>
          <w:lang w:val="en-US" w:eastAsia="zh-CN"/>
        </w:rPr>
        <w:t>: 690-694 [PMID: 10343210 DOI: 10.1016/S0016-5107(99)70283-X]</w:t>
      </w:r>
    </w:p>
    <w:p w14:paraId="755B3D4B" w14:textId="77777777" w:rsidR="0039437F" w:rsidRPr="0039437F" w:rsidRDefault="0039437F" w:rsidP="00F227A9">
      <w:pPr>
        <w:widowControl w:val="0"/>
        <w:snapToGrid w:val="0"/>
        <w:spacing w:after="0" w:line="360" w:lineRule="auto"/>
        <w:jc w:val="both"/>
        <w:rPr>
          <w:rFonts w:ascii="Book Antiqua" w:hAnsi="Book Antiqua" w:cs="Times New Roman"/>
          <w:kern w:val="2"/>
          <w:sz w:val="24"/>
          <w:szCs w:val="24"/>
          <w:lang w:val="en-US" w:eastAsia="zh-CN"/>
        </w:rPr>
      </w:pPr>
      <w:r w:rsidRPr="0039437F">
        <w:rPr>
          <w:rFonts w:ascii="Book Antiqua" w:hAnsi="Book Antiqua" w:cs="Times New Roman"/>
          <w:kern w:val="2"/>
          <w:sz w:val="24"/>
          <w:szCs w:val="24"/>
          <w:lang w:val="en-US" w:eastAsia="zh-CN"/>
        </w:rPr>
        <w:t xml:space="preserve">50 </w:t>
      </w:r>
      <w:proofErr w:type="spellStart"/>
      <w:r w:rsidRPr="0039437F">
        <w:rPr>
          <w:rFonts w:ascii="Book Antiqua" w:hAnsi="Book Antiqua" w:cs="Times New Roman"/>
          <w:b/>
          <w:kern w:val="2"/>
          <w:sz w:val="24"/>
          <w:szCs w:val="24"/>
          <w:lang w:val="en-US" w:eastAsia="zh-CN"/>
        </w:rPr>
        <w:t>Vasudevan</w:t>
      </w:r>
      <w:proofErr w:type="spellEnd"/>
      <w:r w:rsidRPr="0039437F">
        <w:rPr>
          <w:rFonts w:ascii="Book Antiqua" w:hAnsi="Book Antiqua" w:cs="Times New Roman"/>
          <w:b/>
          <w:kern w:val="2"/>
          <w:sz w:val="24"/>
          <w:szCs w:val="24"/>
          <w:lang w:val="en-US" w:eastAsia="zh-CN"/>
        </w:rPr>
        <w:t xml:space="preserve"> AE</w:t>
      </w:r>
      <w:r w:rsidRPr="0039437F">
        <w:rPr>
          <w:rFonts w:ascii="Book Antiqua" w:hAnsi="Book Antiqua" w:cs="Times New Roman"/>
          <w:kern w:val="2"/>
          <w:sz w:val="24"/>
          <w:szCs w:val="24"/>
          <w:lang w:val="en-US" w:eastAsia="zh-CN"/>
        </w:rPr>
        <w:t xml:space="preserve">, </w:t>
      </w:r>
      <w:proofErr w:type="spellStart"/>
      <w:r w:rsidRPr="0039437F">
        <w:rPr>
          <w:rFonts w:ascii="Book Antiqua" w:hAnsi="Book Antiqua" w:cs="Times New Roman"/>
          <w:kern w:val="2"/>
          <w:sz w:val="24"/>
          <w:szCs w:val="24"/>
          <w:lang w:val="en-US" w:eastAsia="zh-CN"/>
        </w:rPr>
        <w:t>Goh</w:t>
      </w:r>
      <w:proofErr w:type="spellEnd"/>
      <w:r w:rsidRPr="0039437F">
        <w:rPr>
          <w:rFonts w:ascii="Book Antiqua" w:hAnsi="Book Antiqua" w:cs="Times New Roman"/>
          <w:kern w:val="2"/>
          <w:sz w:val="24"/>
          <w:szCs w:val="24"/>
          <w:lang w:val="en-US" w:eastAsia="zh-CN"/>
        </w:rPr>
        <w:t xml:space="preserve"> KL, </w:t>
      </w:r>
      <w:proofErr w:type="spellStart"/>
      <w:r w:rsidRPr="0039437F">
        <w:rPr>
          <w:rFonts w:ascii="Book Antiqua" w:hAnsi="Book Antiqua" w:cs="Times New Roman"/>
          <w:kern w:val="2"/>
          <w:sz w:val="24"/>
          <w:szCs w:val="24"/>
          <w:lang w:val="en-US" w:eastAsia="zh-CN"/>
        </w:rPr>
        <w:t>Bulgiba</w:t>
      </w:r>
      <w:proofErr w:type="spellEnd"/>
      <w:r w:rsidRPr="0039437F">
        <w:rPr>
          <w:rFonts w:ascii="Book Antiqua" w:hAnsi="Book Antiqua" w:cs="Times New Roman"/>
          <w:kern w:val="2"/>
          <w:sz w:val="24"/>
          <w:szCs w:val="24"/>
          <w:lang w:val="en-US" w:eastAsia="zh-CN"/>
        </w:rPr>
        <w:t xml:space="preserve"> AM. </w:t>
      </w:r>
      <w:proofErr w:type="gramStart"/>
      <w:r w:rsidRPr="0039437F">
        <w:rPr>
          <w:rFonts w:ascii="Book Antiqua" w:hAnsi="Book Antiqua" w:cs="Times New Roman"/>
          <w:kern w:val="2"/>
          <w:sz w:val="24"/>
          <w:szCs w:val="24"/>
          <w:lang w:val="en-US" w:eastAsia="zh-CN"/>
        </w:rPr>
        <w:t>Impairment of psychomotor responses after conscious sedation in cirrhotic patients undergoing therapeutic upper GI endoscopy.</w:t>
      </w:r>
      <w:proofErr w:type="gramEnd"/>
      <w:r w:rsidRPr="0039437F">
        <w:rPr>
          <w:rFonts w:ascii="Book Antiqua" w:hAnsi="Book Antiqua" w:cs="Times New Roman"/>
          <w:kern w:val="2"/>
          <w:sz w:val="24"/>
          <w:szCs w:val="24"/>
          <w:lang w:val="en-US" w:eastAsia="zh-CN"/>
        </w:rPr>
        <w:t xml:space="preserve"> </w:t>
      </w:r>
      <w:r w:rsidRPr="0039437F">
        <w:rPr>
          <w:rFonts w:ascii="Book Antiqua" w:hAnsi="Book Antiqua" w:cs="Times New Roman"/>
          <w:i/>
          <w:kern w:val="2"/>
          <w:sz w:val="24"/>
          <w:szCs w:val="24"/>
          <w:lang w:val="en-US" w:eastAsia="zh-CN"/>
        </w:rPr>
        <w:t>Am J Gastroenterol</w:t>
      </w:r>
      <w:r w:rsidRPr="0039437F">
        <w:rPr>
          <w:rFonts w:ascii="Book Antiqua" w:hAnsi="Book Antiqua" w:cs="Times New Roman"/>
          <w:kern w:val="2"/>
          <w:sz w:val="24"/>
          <w:szCs w:val="24"/>
          <w:lang w:val="en-US" w:eastAsia="zh-CN"/>
        </w:rPr>
        <w:t xml:space="preserve"> 2002; </w:t>
      </w:r>
      <w:r w:rsidRPr="0039437F">
        <w:rPr>
          <w:rFonts w:ascii="Book Antiqua" w:hAnsi="Book Antiqua" w:cs="Times New Roman"/>
          <w:b/>
          <w:kern w:val="2"/>
          <w:sz w:val="24"/>
          <w:szCs w:val="24"/>
          <w:lang w:val="en-US" w:eastAsia="zh-CN"/>
        </w:rPr>
        <w:t>97</w:t>
      </w:r>
      <w:r w:rsidRPr="0039437F">
        <w:rPr>
          <w:rFonts w:ascii="Book Antiqua" w:hAnsi="Book Antiqua" w:cs="Times New Roman"/>
          <w:kern w:val="2"/>
          <w:sz w:val="24"/>
          <w:szCs w:val="24"/>
          <w:lang w:val="en-US" w:eastAsia="zh-CN"/>
        </w:rPr>
        <w:t>: 1717-1721 [PMID: 12135024 DOI: 10.1111/j.1572-0241.2002.05831.x]</w:t>
      </w:r>
    </w:p>
    <w:p w14:paraId="587A902A" w14:textId="22EC5BBB" w:rsidR="00C20CED" w:rsidRPr="00C10A48" w:rsidRDefault="00C20CED" w:rsidP="00F227A9">
      <w:pPr>
        <w:widowControl w:val="0"/>
        <w:autoSpaceDE w:val="0"/>
        <w:autoSpaceDN w:val="0"/>
        <w:adjustRightInd w:val="0"/>
        <w:snapToGrid w:val="0"/>
        <w:spacing w:after="0" w:line="360" w:lineRule="auto"/>
        <w:ind w:left="640" w:hanging="640"/>
        <w:jc w:val="both"/>
        <w:rPr>
          <w:rFonts w:ascii="Book Antiqua" w:hAnsi="Book Antiqua"/>
          <w:b/>
          <w:bCs/>
          <w:sz w:val="24"/>
          <w:szCs w:val="24"/>
          <w:lang w:val="en-US"/>
        </w:rPr>
      </w:pPr>
    </w:p>
    <w:p w14:paraId="01B8A559" w14:textId="50826227" w:rsidR="005067E8" w:rsidRPr="00C10A48" w:rsidRDefault="005067E8" w:rsidP="00F227A9">
      <w:pPr>
        <w:snapToGrid w:val="0"/>
        <w:spacing w:after="0" w:line="360" w:lineRule="auto"/>
        <w:rPr>
          <w:rFonts w:ascii="Book Antiqua" w:hAnsi="Book Antiqua"/>
          <w:b/>
          <w:bCs/>
          <w:sz w:val="24"/>
          <w:szCs w:val="24"/>
          <w:lang w:val="en-US"/>
        </w:rPr>
      </w:pPr>
      <w:r w:rsidRPr="00C10A48">
        <w:rPr>
          <w:rFonts w:ascii="Book Antiqua" w:hAnsi="Book Antiqua"/>
          <w:b/>
          <w:bCs/>
          <w:sz w:val="24"/>
          <w:szCs w:val="24"/>
          <w:lang w:val="en-US"/>
        </w:rPr>
        <w:br w:type="page"/>
      </w:r>
    </w:p>
    <w:p w14:paraId="645AE08D" w14:textId="6EE0F916" w:rsidR="005067E8" w:rsidRPr="00C10A48" w:rsidRDefault="00AC24C9" w:rsidP="00F227A9">
      <w:pPr>
        <w:snapToGrid w:val="0"/>
        <w:spacing w:after="0" w:line="360" w:lineRule="auto"/>
        <w:jc w:val="both"/>
        <w:rPr>
          <w:rStyle w:val="fontstyle01"/>
          <w:rFonts w:ascii="Book Antiqua" w:hAnsi="Book Antiqua"/>
          <w:b/>
          <w:noProof/>
          <w:color w:val="auto"/>
          <w:sz w:val="24"/>
          <w:szCs w:val="24"/>
          <w:lang w:val="en-US"/>
        </w:rPr>
      </w:pPr>
      <w:r w:rsidRPr="00C10A48">
        <w:rPr>
          <w:rStyle w:val="fontstyle01"/>
          <w:rFonts w:ascii="Book Antiqua" w:hAnsi="Book Antiqua"/>
          <w:b/>
          <w:noProof/>
          <w:color w:val="auto"/>
          <w:sz w:val="24"/>
          <w:szCs w:val="24"/>
          <w:lang w:val="en-US"/>
        </w:rPr>
        <w:lastRenderedPageBreak/>
        <w:t>Footnotes</w:t>
      </w:r>
    </w:p>
    <w:p w14:paraId="4C2B0F59" w14:textId="77777777" w:rsidR="005067E8" w:rsidRPr="00C10A48" w:rsidRDefault="005067E8" w:rsidP="00F227A9">
      <w:pPr>
        <w:snapToGrid w:val="0"/>
        <w:spacing w:after="0" w:line="360" w:lineRule="auto"/>
        <w:jc w:val="both"/>
        <w:rPr>
          <w:rStyle w:val="fontstyle31"/>
          <w:noProof/>
          <w:color w:val="auto"/>
          <w:lang w:val="en-US"/>
        </w:rPr>
      </w:pPr>
      <w:r w:rsidRPr="00C10A48">
        <w:rPr>
          <w:rStyle w:val="fontstyle01"/>
          <w:rFonts w:ascii="Book Antiqua" w:hAnsi="Book Antiqua"/>
          <w:b/>
          <w:noProof/>
          <w:color w:val="auto"/>
          <w:sz w:val="24"/>
          <w:szCs w:val="24"/>
          <w:lang w:val="en-US"/>
        </w:rPr>
        <w:t xml:space="preserve">Conflict-of-interest statement: </w:t>
      </w:r>
      <w:r w:rsidRPr="00C10A48">
        <w:rPr>
          <w:rStyle w:val="fontstyle31"/>
          <w:noProof/>
          <w:color w:val="auto"/>
          <w:lang w:val="en-US"/>
        </w:rPr>
        <w:t>The authors deny any conflict of interest.</w:t>
      </w:r>
    </w:p>
    <w:p w14:paraId="2AF8B229" w14:textId="77777777" w:rsidR="005067E8" w:rsidRPr="00C10A48" w:rsidRDefault="005067E8" w:rsidP="00F227A9">
      <w:pPr>
        <w:snapToGrid w:val="0"/>
        <w:spacing w:after="0" w:line="360" w:lineRule="auto"/>
        <w:jc w:val="both"/>
        <w:rPr>
          <w:rFonts w:ascii="Book Antiqua" w:hAnsi="Book Antiqua"/>
          <w:b/>
          <w:noProof/>
          <w:sz w:val="24"/>
          <w:szCs w:val="24"/>
          <w:lang w:val="en-US"/>
        </w:rPr>
      </w:pPr>
    </w:p>
    <w:p w14:paraId="08C7F2DF" w14:textId="77777777" w:rsidR="00AC24C9" w:rsidRPr="00C10A48" w:rsidRDefault="00AC24C9" w:rsidP="00F227A9">
      <w:pPr>
        <w:widowControl w:val="0"/>
        <w:autoSpaceDE w:val="0"/>
        <w:autoSpaceDN w:val="0"/>
        <w:adjustRightInd w:val="0"/>
        <w:snapToGrid w:val="0"/>
        <w:spacing w:after="0" w:line="360" w:lineRule="auto"/>
        <w:jc w:val="both"/>
        <w:rPr>
          <w:rFonts w:ascii="Book Antiqua" w:hAnsi="Book Antiqua"/>
          <w:noProof/>
          <w:sz w:val="24"/>
          <w:szCs w:val="24"/>
          <w:lang w:val="en-US"/>
        </w:rPr>
      </w:pPr>
      <w:r w:rsidRPr="00C10A48">
        <w:rPr>
          <w:rFonts w:ascii="Book Antiqua" w:hAnsi="Book Antiqua"/>
          <w:b/>
          <w:noProof/>
          <w:sz w:val="24"/>
          <w:szCs w:val="24"/>
          <w:lang w:val="en-US"/>
        </w:rPr>
        <w:t>PRISMA 2009 Checklist statement</w:t>
      </w:r>
      <w:r w:rsidRPr="00C10A48">
        <w:rPr>
          <w:rFonts w:ascii="Book Antiqua" w:hAnsi="Book Antiqua"/>
          <w:b/>
          <w:bCs/>
          <w:iCs/>
          <w:noProof/>
          <w:sz w:val="24"/>
          <w:szCs w:val="24"/>
          <w:lang w:val="en-US"/>
        </w:rPr>
        <w:t>:</w:t>
      </w:r>
      <w:r w:rsidRPr="00C10A48">
        <w:rPr>
          <w:rFonts w:ascii="Book Antiqua" w:hAnsi="Book Antiqua"/>
          <w:noProof/>
          <w:sz w:val="24"/>
          <w:szCs w:val="24"/>
          <w:lang w:val="en-US"/>
        </w:rPr>
        <w:t xml:space="preserve"> The authors have read the PRISMA 2009 Checklist, and the manuscript was prepared and revised in accordance with this checklist.</w:t>
      </w:r>
    </w:p>
    <w:p w14:paraId="34FC3FDF" w14:textId="77777777" w:rsidR="00F62CF0" w:rsidRPr="00C10A48" w:rsidRDefault="00F62CF0" w:rsidP="00F227A9">
      <w:pPr>
        <w:widowControl w:val="0"/>
        <w:autoSpaceDE w:val="0"/>
        <w:autoSpaceDN w:val="0"/>
        <w:adjustRightInd w:val="0"/>
        <w:snapToGrid w:val="0"/>
        <w:spacing w:after="0" w:line="360" w:lineRule="auto"/>
        <w:ind w:left="640" w:hanging="640"/>
        <w:jc w:val="both"/>
        <w:rPr>
          <w:rFonts w:ascii="Book Antiqua" w:hAnsi="Book Antiqua"/>
          <w:b/>
          <w:bCs/>
          <w:sz w:val="24"/>
          <w:szCs w:val="24"/>
        </w:rPr>
      </w:pPr>
    </w:p>
    <w:p w14:paraId="2A04B25F" w14:textId="77777777" w:rsidR="0088409A" w:rsidRPr="0088409A" w:rsidRDefault="0088409A" w:rsidP="00F227A9">
      <w:pPr>
        <w:widowControl w:val="0"/>
        <w:adjustRightInd w:val="0"/>
        <w:snapToGrid w:val="0"/>
        <w:spacing w:after="0" w:line="360" w:lineRule="auto"/>
        <w:jc w:val="both"/>
        <w:rPr>
          <w:rFonts w:ascii="Book Antiqua" w:hAnsi="Book Antiqua" w:cs="Times New Roman"/>
          <w:kern w:val="2"/>
          <w:sz w:val="24"/>
          <w:szCs w:val="24"/>
          <w:lang w:val="en-US" w:eastAsia="zh-CN"/>
        </w:rPr>
      </w:pPr>
      <w:r w:rsidRPr="0088409A">
        <w:rPr>
          <w:rFonts w:ascii="Book Antiqua" w:hAnsi="Book Antiqua" w:cs="Times New Roman"/>
          <w:b/>
          <w:kern w:val="2"/>
          <w:sz w:val="24"/>
          <w:szCs w:val="24"/>
          <w:lang w:val="en-US" w:eastAsia="zh-CN"/>
        </w:rPr>
        <w:t>Open-Access:</w:t>
      </w:r>
      <w:r w:rsidRPr="0088409A">
        <w:rPr>
          <w:rFonts w:ascii="Book Antiqua" w:hAnsi="Book Antiqua" w:cs="Times New Roman"/>
          <w:kern w:val="2"/>
          <w:sz w:val="24"/>
          <w:szCs w:val="24"/>
          <w:lang w:val="en-US" w:eastAsia="zh-CN"/>
        </w:rPr>
        <w:t xml:space="preserve"> This article is an open-access article that was selected by an in-house editor and fully peer-reviewed by external reviewers. It is distributed in accordance with the Creative Commons Attribution </w:t>
      </w:r>
      <w:proofErr w:type="spellStart"/>
      <w:r w:rsidRPr="0088409A">
        <w:rPr>
          <w:rFonts w:ascii="Book Antiqua" w:hAnsi="Book Antiqua" w:cs="Times New Roman"/>
          <w:kern w:val="2"/>
          <w:sz w:val="24"/>
          <w:szCs w:val="24"/>
          <w:lang w:val="en-US" w:eastAsia="zh-CN"/>
        </w:rPr>
        <w:t>NonCommercial</w:t>
      </w:r>
      <w:proofErr w:type="spellEnd"/>
      <w:r w:rsidRPr="0088409A">
        <w:rPr>
          <w:rFonts w:ascii="Book Antiqua" w:hAnsi="Book Antiqua" w:cs="Times New Roman"/>
          <w:kern w:val="2"/>
          <w:sz w:val="24"/>
          <w:szCs w:val="24"/>
          <w:lang w:val="en-US" w:eastAsia="zh-CN"/>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13BAA8D" w14:textId="77777777" w:rsidR="0088409A" w:rsidRPr="0088409A" w:rsidRDefault="0088409A" w:rsidP="00F227A9">
      <w:pPr>
        <w:adjustRightInd w:val="0"/>
        <w:snapToGrid w:val="0"/>
        <w:spacing w:after="0" w:line="360" w:lineRule="auto"/>
        <w:jc w:val="both"/>
        <w:rPr>
          <w:rFonts w:ascii="Book Antiqua" w:hAnsi="Book Antiqua" w:cs="Times New Roman"/>
          <w:sz w:val="24"/>
          <w:szCs w:val="24"/>
          <w:lang w:val="en-US" w:eastAsia="zh-CN"/>
        </w:rPr>
      </w:pPr>
    </w:p>
    <w:p w14:paraId="390A9400" w14:textId="4FE280D8" w:rsidR="0088409A" w:rsidRPr="0088409A" w:rsidRDefault="0088409A" w:rsidP="00F227A9">
      <w:pPr>
        <w:adjustRightInd w:val="0"/>
        <w:snapToGrid w:val="0"/>
        <w:spacing w:after="0" w:line="360" w:lineRule="auto"/>
        <w:jc w:val="both"/>
        <w:rPr>
          <w:rFonts w:ascii="Book Antiqua" w:hAnsi="Book Antiqua" w:cs="Times New Roman"/>
          <w:bCs/>
          <w:sz w:val="24"/>
          <w:szCs w:val="24"/>
          <w:lang w:val="fr-FR" w:eastAsia="pl-PL"/>
        </w:rPr>
      </w:pPr>
      <w:r w:rsidRPr="0088409A">
        <w:rPr>
          <w:rFonts w:ascii="Book Antiqua" w:hAnsi="Book Antiqua" w:cs="Times New Roman"/>
          <w:b/>
          <w:bCs/>
          <w:sz w:val="24"/>
          <w:szCs w:val="24"/>
          <w:lang w:val="fr-FR" w:eastAsia="pl-PL"/>
        </w:rPr>
        <w:t>Manuscript source:</w:t>
      </w:r>
      <w:r w:rsidRPr="0088409A">
        <w:rPr>
          <w:rFonts w:ascii="Book Antiqua" w:hAnsi="Book Antiqua" w:cs="Times New Roman"/>
          <w:b/>
          <w:bCs/>
          <w:sz w:val="24"/>
          <w:szCs w:val="24"/>
          <w:lang w:val="fr-FR" w:eastAsia="zh-CN"/>
        </w:rPr>
        <w:t xml:space="preserve"> </w:t>
      </w:r>
      <w:r w:rsidR="00B50363" w:rsidRPr="00C10A48">
        <w:rPr>
          <w:rFonts w:ascii="Book Antiqua" w:hAnsi="Book Antiqua" w:cs="Times New Roman"/>
          <w:bCs/>
          <w:sz w:val="24"/>
          <w:szCs w:val="24"/>
          <w:lang w:val="fr-FR" w:eastAsia="pl-PL"/>
        </w:rPr>
        <w:t>Invited</w:t>
      </w:r>
      <w:r w:rsidRPr="0088409A">
        <w:rPr>
          <w:rFonts w:ascii="Book Antiqua" w:hAnsi="Book Antiqua" w:cs="Times New Roman"/>
          <w:bCs/>
          <w:sz w:val="24"/>
          <w:szCs w:val="24"/>
          <w:lang w:val="fr-FR" w:eastAsia="pl-PL"/>
        </w:rPr>
        <w:t> manuscript</w:t>
      </w:r>
    </w:p>
    <w:p w14:paraId="65DCA75A" w14:textId="77777777" w:rsidR="0088409A" w:rsidRPr="0088409A" w:rsidRDefault="0088409A" w:rsidP="00F227A9">
      <w:pPr>
        <w:adjustRightInd w:val="0"/>
        <w:snapToGrid w:val="0"/>
        <w:spacing w:after="0" w:line="360" w:lineRule="auto"/>
        <w:jc w:val="both"/>
        <w:rPr>
          <w:rFonts w:ascii="Book Antiqua" w:hAnsi="Book Antiqua" w:cs="Times New Roman"/>
          <w:b/>
          <w:bCs/>
          <w:sz w:val="24"/>
          <w:szCs w:val="24"/>
          <w:lang w:val="fr-FR" w:eastAsia="zh-CN"/>
        </w:rPr>
      </w:pPr>
    </w:p>
    <w:p w14:paraId="5D0D225A" w14:textId="58F45523" w:rsidR="0088409A" w:rsidRPr="0088409A" w:rsidRDefault="0088409A" w:rsidP="00F227A9">
      <w:pPr>
        <w:adjustRightInd w:val="0"/>
        <w:snapToGrid w:val="0"/>
        <w:spacing w:after="0" w:line="360" w:lineRule="auto"/>
        <w:jc w:val="both"/>
        <w:rPr>
          <w:rFonts w:ascii="Book Antiqua" w:hAnsi="Book Antiqua" w:cs="Times New Roman"/>
          <w:b/>
          <w:sz w:val="24"/>
          <w:szCs w:val="24"/>
          <w:lang w:val="en-US" w:eastAsia="zh-CN"/>
        </w:rPr>
      </w:pPr>
      <w:r w:rsidRPr="0088409A">
        <w:rPr>
          <w:rFonts w:ascii="Book Antiqua" w:hAnsi="Book Antiqua" w:cs="Times New Roman"/>
          <w:b/>
          <w:sz w:val="24"/>
          <w:szCs w:val="24"/>
          <w:lang w:val="en-US"/>
        </w:rPr>
        <w:t>Peer-review started:</w:t>
      </w:r>
      <w:r w:rsidRPr="0088409A">
        <w:rPr>
          <w:rFonts w:ascii="Book Antiqua" w:hAnsi="Book Antiqua" w:cs="Times New Roman"/>
          <w:b/>
          <w:sz w:val="24"/>
          <w:szCs w:val="24"/>
          <w:lang w:val="en-US" w:eastAsia="zh-CN"/>
        </w:rPr>
        <w:t xml:space="preserve"> </w:t>
      </w:r>
      <w:r w:rsidR="00B50363" w:rsidRPr="00C10A48">
        <w:rPr>
          <w:rFonts w:ascii="Book Antiqua" w:hAnsi="Book Antiqua" w:cs="Times New Roman"/>
          <w:sz w:val="24"/>
          <w:szCs w:val="24"/>
          <w:lang w:val="en-US" w:eastAsia="zh-CN"/>
        </w:rPr>
        <w:t>March</w:t>
      </w:r>
      <w:r w:rsidRPr="0088409A">
        <w:rPr>
          <w:rFonts w:ascii="Book Antiqua" w:hAnsi="Book Antiqua" w:cs="Times New Roman"/>
          <w:sz w:val="24"/>
          <w:szCs w:val="24"/>
          <w:lang w:val="en-US" w:eastAsia="zh-CN"/>
        </w:rPr>
        <w:t xml:space="preserve"> </w:t>
      </w:r>
      <w:r w:rsidR="00B50363" w:rsidRPr="00C10A48">
        <w:rPr>
          <w:rFonts w:ascii="Book Antiqua" w:hAnsi="Book Antiqua" w:cs="Times New Roman"/>
          <w:sz w:val="24"/>
          <w:szCs w:val="24"/>
          <w:lang w:val="en-US" w:eastAsia="zh-CN"/>
        </w:rPr>
        <w:t>3</w:t>
      </w:r>
      <w:r w:rsidRPr="0088409A">
        <w:rPr>
          <w:rFonts w:ascii="Book Antiqua" w:hAnsi="Book Antiqua" w:cs="Times New Roman"/>
          <w:sz w:val="24"/>
          <w:szCs w:val="24"/>
          <w:lang w:val="en-US" w:eastAsia="zh-CN"/>
        </w:rPr>
        <w:t>1, 2020</w:t>
      </w:r>
    </w:p>
    <w:p w14:paraId="5BEBBDCC" w14:textId="7AA27C8D" w:rsidR="0088409A" w:rsidRPr="0088409A" w:rsidRDefault="0088409A" w:rsidP="00F227A9">
      <w:pPr>
        <w:adjustRightInd w:val="0"/>
        <w:snapToGrid w:val="0"/>
        <w:spacing w:after="0" w:line="360" w:lineRule="auto"/>
        <w:jc w:val="both"/>
        <w:rPr>
          <w:rFonts w:ascii="Book Antiqua" w:hAnsi="Book Antiqua" w:cs="Times New Roman"/>
          <w:b/>
          <w:sz w:val="24"/>
          <w:szCs w:val="24"/>
          <w:lang w:val="en-US" w:eastAsia="zh-CN"/>
        </w:rPr>
      </w:pPr>
      <w:r w:rsidRPr="0088409A">
        <w:rPr>
          <w:rFonts w:ascii="Book Antiqua" w:hAnsi="Book Antiqua" w:cs="Times New Roman"/>
          <w:b/>
          <w:sz w:val="24"/>
          <w:szCs w:val="24"/>
          <w:lang w:val="en-US"/>
        </w:rPr>
        <w:t>First decision:</w:t>
      </w:r>
      <w:r w:rsidRPr="0088409A">
        <w:rPr>
          <w:rFonts w:ascii="Book Antiqua" w:hAnsi="Book Antiqua" w:cs="Times New Roman"/>
          <w:b/>
          <w:sz w:val="24"/>
          <w:szCs w:val="24"/>
          <w:lang w:val="en-US" w:eastAsia="zh-CN"/>
        </w:rPr>
        <w:t xml:space="preserve"> </w:t>
      </w:r>
      <w:r w:rsidR="00B50363" w:rsidRPr="00C10A48">
        <w:rPr>
          <w:rFonts w:ascii="Book Antiqua" w:hAnsi="Book Antiqua" w:cs="Times New Roman"/>
          <w:sz w:val="24"/>
          <w:szCs w:val="24"/>
          <w:lang w:val="en-US" w:eastAsia="zh-CN"/>
        </w:rPr>
        <w:t>June</w:t>
      </w:r>
      <w:r w:rsidRPr="0088409A">
        <w:rPr>
          <w:rFonts w:ascii="Book Antiqua" w:hAnsi="Book Antiqua" w:cs="Times New Roman"/>
          <w:sz w:val="24"/>
          <w:szCs w:val="24"/>
          <w:lang w:val="en-US" w:eastAsia="zh-CN"/>
        </w:rPr>
        <w:t xml:space="preserve"> </w:t>
      </w:r>
      <w:r w:rsidR="00B50363" w:rsidRPr="00C10A48">
        <w:rPr>
          <w:rFonts w:ascii="Book Antiqua" w:hAnsi="Book Antiqua" w:cs="Times New Roman"/>
          <w:sz w:val="24"/>
          <w:szCs w:val="24"/>
          <w:lang w:val="en-US" w:eastAsia="zh-CN"/>
        </w:rPr>
        <w:t>7</w:t>
      </w:r>
      <w:r w:rsidRPr="0088409A">
        <w:rPr>
          <w:rFonts w:ascii="Book Antiqua" w:hAnsi="Book Antiqua" w:cs="Times New Roman"/>
          <w:sz w:val="24"/>
          <w:szCs w:val="24"/>
          <w:lang w:val="en-US" w:eastAsia="zh-CN"/>
        </w:rPr>
        <w:t>, 2020</w:t>
      </w:r>
    </w:p>
    <w:p w14:paraId="7DDD128C" w14:textId="1FC24B74" w:rsidR="0088409A" w:rsidRPr="0088409A" w:rsidRDefault="0088409A" w:rsidP="00F227A9">
      <w:pPr>
        <w:adjustRightInd w:val="0"/>
        <w:snapToGrid w:val="0"/>
        <w:spacing w:after="0" w:line="360" w:lineRule="auto"/>
        <w:rPr>
          <w:rFonts w:ascii="Book Antiqua" w:hAnsi="Book Antiqua" w:cs="Times New Roman"/>
          <w:b/>
          <w:sz w:val="24"/>
          <w:szCs w:val="24"/>
          <w:lang w:val="en-US" w:eastAsia="zh-CN"/>
        </w:rPr>
      </w:pPr>
      <w:r w:rsidRPr="0088409A">
        <w:rPr>
          <w:rFonts w:ascii="Book Antiqua" w:hAnsi="Book Antiqua" w:cs="Times New Roman"/>
          <w:b/>
          <w:sz w:val="24"/>
          <w:szCs w:val="24"/>
          <w:lang w:val="en-US"/>
        </w:rPr>
        <w:t>Article in press:</w:t>
      </w:r>
      <w:r w:rsidR="00BB7A0C" w:rsidRPr="00BB7A0C">
        <w:rPr>
          <w:rFonts w:ascii="Book Antiqua" w:hAnsi="Book Antiqua" w:cs="Times New Roman"/>
          <w:sz w:val="24"/>
          <w:szCs w:val="24"/>
          <w:lang w:val="en-US" w:eastAsia="zh-CN"/>
        </w:rPr>
        <w:t xml:space="preserve"> </w:t>
      </w:r>
      <w:r w:rsidR="00BB7A0C" w:rsidRPr="00A57EBD">
        <w:rPr>
          <w:rFonts w:ascii="Book Antiqua" w:hAnsi="Book Antiqua" w:cs="Times New Roman"/>
          <w:sz w:val="24"/>
          <w:szCs w:val="24"/>
          <w:lang w:val="en-US" w:eastAsia="zh-CN"/>
        </w:rPr>
        <w:t>July 18, 2020</w:t>
      </w:r>
    </w:p>
    <w:p w14:paraId="251D8417" w14:textId="77777777" w:rsidR="0088409A" w:rsidRPr="0088409A" w:rsidRDefault="0088409A" w:rsidP="00F227A9">
      <w:pPr>
        <w:adjustRightInd w:val="0"/>
        <w:snapToGrid w:val="0"/>
        <w:spacing w:after="0" w:line="360" w:lineRule="auto"/>
        <w:rPr>
          <w:rFonts w:ascii="Book Antiqua" w:hAnsi="Book Antiqua" w:cs="Times New Roman"/>
          <w:b/>
          <w:sz w:val="24"/>
          <w:szCs w:val="24"/>
          <w:lang w:val="en-US" w:eastAsia="zh-CN"/>
        </w:rPr>
      </w:pPr>
    </w:p>
    <w:p w14:paraId="78612A50" w14:textId="77777777" w:rsidR="0088409A" w:rsidRPr="0088409A" w:rsidRDefault="0088409A" w:rsidP="00F227A9">
      <w:pPr>
        <w:widowControl w:val="0"/>
        <w:adjustRightInd w:val="0"/>
        <w:snapToGrid w:val="0"/>
        <w:spacing w:after="0" w:line="360" w:lineRule="auto"/>
        <w:jc w:val="both"/>
        <w:rPr>
          <w:rFonts w:ascii="Book Antiqua" w:eastAsia="微软雅黑" w:hAnsi="Book Antiqua" w:cs="Times New Roman"/>
          <w:sz w:val="24"/>
          <w:szCs w:val="24"/>
          <w:lang w:val="fr-FR" w:eastAsia="zh-CN"/>
        </w:rPr>
      </w:pPr>
      <w:r w:rsidRPr="0088409A">
        <w:rPr>
          <w:rFonts w:ascii="Book Antiqua" w:hAnsi="Book Antiqua" w:cs="Times New Roman"/>
          <w:b/>
          <w:sz w:val="24"/>
          <w:szCs w:val="24"/>
          <w:lang w:val="fr-FR" w:eastAsia="zh-CN"/>
        </w:rPr>
        <w:t xml:space="preserve">Specialty type: </w:t>
      </w:r>
      <w:r w:rsidRPr="0088409A">
        <w:rPr>
          <w:rFonts w:ascii="Book Antiqua" w:eastAsia="微软雅黑" w:hAnsi="Book Antiqua" w:cs="Times New Roman"/>
          <w:sz w:val="24"/>
          <w:szCs w:val="24"/>
          <w:lang w:val="fr-FR" w:eastAsia="zh-CN"/>
        </w:rPr>
        <w:t>Gastroenterology and hepatology</w:t>
      </w:r>
    </w:p>
    <w:p w14:paraId="42A13599" w14:textId="1DAB36F5" w:rsidR="0088409A" w:rsidRPr="0088409A" w:rsidRDefault="0088409A" w:rsidP="00F227A9">
      <w:pPr>
        <w:widowControl w:val="0"/>
        <w:adjustRightInd w:val="0"/>
        <w:snapToGrid w:val="0"/>
        <w:spacing w:after="0" w:line="360" w:lineRule="auto"/>
        <w:jc w:val="both"/>
        <w:rPr>
          <w:rFonts w:ascii="Book Antiqua" w:hAnsi="Book Antiqua" w:cs="Times New Roman"/>
          <w:b/>
          <w:sz w:val="24"/>
          <w:szCs w:val="24"/>
          <w:lang w:val="fr-FR" w:eastAsia="zh-CN"/>
        </w:rPr>
      </w:pPr>
      <w:r w:rsidRPr="0088409A">
        <w:rPr>
          <w:rFonts w:ascii="Book Antiqua" w:hAnsi="Book Antiqua" w:cs="Times New Roman"/>
          <w:b/>
          <w:sz w:val="24"/>
          <w:szCs w:val="24"/>
          <w:lang w:val="fr-FR" w:eastAsia="zh-CN"/>
        </w:rPr>
        <w:t xml:space="preserve">Country/Territory of origin: </w:t>
      </w:r>
      <w:r w:rsidR="003B4DDD" w:rsidRPr="00C10A48">
        <w:rPr>
          <w:rFonts w:ascii="Book Antiqua" w:hAnsi="Book Antiqua" w:cs="Times New Roman"/>
          <w:sz w:val="24"/>
          <w:szCs w:val="24"/>
          <w:lang w:val="en-US" w:eastAsia="zh-CN"/>
        </w:rPr>
        <w:t>Brazil</w:t>
      </w:r>
    </w:p>
    <w:p w14:paraId="3D921635" w14:textId="77777777" w:rsidR="0088409A" w:rsidRPr="0088409A" w:rsidRDefault="0088409A" w:rsidP="00F227A9">
      <w:pPr>
        <w:widowControl w:val="0"/>
        <w:adjustRightInd w:val="0"/>
        <w:snapToGrid w:val="0"/>
        <w:spacing w:after="0" w:line="360" w:lineRule="auto"/>
        <w:jc w:val="both"/>
        <w:rPr>
          <w:rFonts w:ascii="Book Antiqua" w:hAnsi="Book Antiqua" w:cs="Times New Roman"/>
          <w:b/>
          <w:sz w:val="24"/>
          <w:szCs w:val="24"/>
          <w:lang w:val="fr-FR" w:eastAsia="zh-CN"/>
        </w:rPr>
      </w:pPr>
      <w:r w:rsidRPr="0088409A">
        <w:rPr>
          <w:rFonts w:ascii="Book Antiqua" w:hAnsi="Book Antiqua" w:cs="Times New Roman"/>
          <w:b/>
          <w:sz w:val="24"/>
          <w:szCs w:val="24"/>
          <w:lang w:val="fr-FR" w:eastAsia="zh-CN"/>
        </w:rPr>
        <w:t>Peer-review report’s scientific quality classification</w:t>
      </w:r>
    </w:p>
    <w:p w14:paraId="286AD11D" w14:textId="77777777" w:rsidR="0088409A" w:rsidRPr="0088409A" w:rsidRDefault="0088409A" w:rsidP="00F227A9">
      <w:pPr>
        <w:widowControl w:val="0"/>
        <w:adjustRightInd w:val="0"/>
        <w:snapToGrid w:val="0"/>
        <w:spacing w:after="0" w:line="360" w:lineRule="auto"/>
        <w:jc w:val="both"/>
        <w:rPr>
          <w:rFonts w:ascii="Book Antiqua" w:hAnsi="Book Antiqua" w:cs="Times New Roman"/>
          <w:sz w:val="24"/>
          <w:szCs w:val="24"/>
          <w:lang w:val="fr-FR" w:eastAsia="zh-CN"/>
        </w:rPr>
      </w:pPr>
      <w:r w:rsidRPr="0088409A">
        <w:rPr>
          <w:rFonts w:ascii="Book Antiqua" w:hAnsi="Book Antiqua" w:cs="Times New Roman"/>
          <w:sz w:val="24"/>
          <w:szCs w:val="24"/>
          <w:lang w:val="fr-FR" w:eastAsia="zh-CN"/>
        </w:rPr>
        <w:t>Grade A (Excellent): 0</w:t>
      </w:r>
    </w:p>
    <w:p w14:paraId="24E5018E" w14:textId="77777777" w:rsidR="0088409A" w:rsidRPr="0088409A" w:rsidRDefault="0088409A" w:rsidP="00F227A9">
      <w:pPr>
        <w:widowControl w:val="0"/>
        <w:adjustRightInd w:val="0"/>
        <w:snapToGrid w:val="0"/>
        <w:spacing w:after="0" w:line="360" w:lineRule="auto"/>
        <w:jc w:val="both"/>
        <w:rPr>
          <w:rFonts w:ascii="Book Antiqua" w:hAnsi="Book Antiqua" w:cs="Times New Roman"/>
          <w:sz w:val="24"/>
          <w:szCs w:val="24"/>
          <w:lang w:val="fr-FR" w:eastAsia="zh-CN"/>
        </w:rPr>
      </w:pPr>
      <w:r w:rsidRPr="0088409A">
        <w:rPr>
          <w:rFonts w:ascii="Book Antiqua" w:hAnsi="Book Antiqua" w:cs="Times New Roman"/>
          <w:sz w:val="24"/>
          <w:szCs w:val="24"/>
          <w:lang w:val="fr-FR" w:eastAsia="zh-CN"/>
        </w:rPr>
        <w:t>Grade B (Very good): B</w:t>
      </w:r>
    </w:p>
    <w:p w14:paraId="00796B06" w14:textId="3F1BB97D" w:rsidR="0088409A" w:rsidRPr="0088409A" w:rsidRDefault="0088409A" w:rsidP="00F227A9">
      <w:pPr>
        <w:widowControl w:val="0"/>
        <w:adjustRightInd w:val="0"/>
        <w:snapToGrid w:val="0"/>
        <w:spacing w:after="0" w:line="360" w:lineRule="auto"/>
        <w:jc w:val="both"/>
        <w:rPr>
          <w:rFonts w:ascii="Book Antiqua" w:hAnsi="Book Antiqua" w:cs="Times New Roman"/>
          <w:sz w:val="24"/>
          <w:szCs w:val="24"/>
          <w:lang w:val="fr-FR" w:eastAsia="zh-CN"/>
        </w:rPr>
      </w:pPr>
      <w:r w:rsidRPr="0088409A">
        <w:rPr>
          <w:rFonts w:ascii="Book Antiqua" w:hAnsi="Book Antiqua" w:cs="Times New Roman"/>
          <w:sz w:val="24"/>
          <w:szCs w:val="24"/>
          <w:lang w:val="fr-FR" w:eastAsia="zh-CN"/>
        </w:rPr>
        <w:t xml:space="preserve">Grade C (Good): </w:t>
      </w:r>
      <w:r w:rsidR="00E71870" w:rsidRPr="00C10A48">
        <w:rPr>
          <w:rFonts w:ascii="Book Antiqua" w:hAnsi="Book Antiqua" w:cs="Times New Roman"/>
          <w:sz w:val="24"/>
          <w:szCs w:val="24"/>
          <w:lang w:val="fr-FR" w:eastAsia="zh-CN"/>
        </w:rPr>
        <w:t>C</w:t>
      </w:r>
    </w:p>
    <w:p w14:paraId="4D0B6EC4" w14:textId="77777777" w:rsidR="0088409A" w:rsidRPr="0088409A" w:rsidRDefault="0088409A" w:rsidP="00F227A9">
      <w:pPr>
        <w:widowControl w:val="0"/>
        <w:adjustRightInd w:val="0"/>
        <w:snapToGrid w:val="0"/>
        <w:spacing w:after="0" w:line="360" w:lineRule="auto"/>
        <w:jc w:val="both"/>
        <w:rPr>
          <w:rFonts w:ascii="Book Antiqua" w:hAnsi="Book Antiqua" w:cs="Times New Roman"/>
          <w:sz w:val="24"/>
          <w:szCs w:val="24"/>
          <w:lang w:val="fr-FR" w:eastAsia="zh-CN"/>
        </w:rPr>
      </w:pPr>
      <w:r w:rsidRPr="0088409A">
        <w:rPr>
          <w:rFonts w:ascii="Book Antiqua" w:hAnsi="Book Antiqua" w:cs="Times New Roman"/>
          <w:sz w:val="24"/>
          <w:szCs w:val="24"/>
          <w:lang w:val="fr-FR" w:eastAsia="zh-CN"/>
        </w:rPr>
        <w:t>Grade D (Fair): 0</w:t>
      </w:r>
    </w:p>
    <w:p w14:paraId="4AA527C6" w14:textId="77777777" w:rsidR="0088409A" w:rsidRPr="0088409A" w:rsidRDefault="0088409A" w:rsidP="00F227A9">
      <w:pPr>
        <w:widowControl w:val="0"/>
        <w:adjustRightInd w:val="0"/>
        <w:snapToGrid w:val="0"/>
        <w:spacing w:after="0" w:line="360" w:lineRule="auto"/>
        <w:jc w:val="both"/>
        <w:rPr>
          <w:rFonts w:ascii="Book Antiqua" w:eastAsia="DengXian" w:hAnsi="Book Antiqua" w:cs="Times New Roman"/>
          <w:kern w:val="2"/>
          <w:sz w:val="24"/>
          <w:szCs w:val="24"/>
          <w:lang w:val="hu-HU" w:eastAsia="zh-CN"/>
        </w:rPr>
      </w:pPr>
      <w:r w:rsidRPr="0088409A">
        <w:rPr>
          <w:rFonts w:ascii="Book Antiqua" w:hAnsi="Book Antiqua" w:cs="Times New Roman"/>
          <w:sz w:val="24"/>
          <w:szCs w:val="24"/>
          <w:lang w:val="fr-FR" w:eastAsia="zh-CN"/>
        </w:rPr>
        <w:t>Grade E (Poor): 0</w:t>
      </w:r>
    </w:p>
    <w:p w14:paraId="3CF3C2AD" w14:textId="77777777" w:rsidR="0088409A" w:rsidRPr="0088409A" w:rsidRDefault="0088409A" w:rsidP="00F227A9">
      <w:pPr>
        <w:adjustRightInd w:val="0"/>
        <w:snapToGrid w:val="0"/>
        <w:spacing w:after="0" w:line="360" w:lineRule="auto"/>
        <w:ind w:right="361"/>
        <w:rPr>
          <w:rFonts w:ascii="Book Antiqua" w:hAnsi="Book Antiqua" w:cs="Times New Roman"/>
          <w:sz w:val="24"/>
          <w:szCs w:val="24"/>
          <w:lang w:val="en-US" w:eastAsia="zh-CN"/>
        </w:rPr>
      </w:pPr>
    </w:p>
    <w:p w14:paraId="08E019CD" w14:textId="43CFAA7A" w:rsidR="0024084B" w:rsidRDefault="0088409A" w:rsidP="00F227A9">
      <w:pPr>
        <w:adjustRightInd w:val="0"/>
        <w:snapToGrid w:val="0"/>
        <w:spacing w:after="0" w:line="360" w:lineRule="auto"/>
        <w:ind w:right="361"/>
        <w:rPr>
          <w:rFonts w:ascii="Book Antiqua" w:hAnsi="Book Antiqua" w:cs="Times New Roman"/>
          <w:bCs/>
          <w:sz w:val="24"/>
          <w:szCs w:val="24"/>
          <w:lang w:val="en-US" w:eastAsia="zh-CN"/>
        </w:rPr>
      </w:pPr>
      <w:r w:rsidRPr="0088409A">
        <w:rPr>
          <w:rFonts w:ascii="Book Antiqua" w:hAnsi="Book Antiqua" w:cs="Times New Roman"/>
          <w:b/>
          <w:sz w:val="24"/>
          <w:szCs w:val="24"/>
          <w:lang w:val="en-US"/>
        </w:rPr>
        <w:lastRenderedPageBreak/>
        <w:t>P-Reviewer</w:t>
      </w:r>
      <w:r w:rsidRPr="0088409A">
        <w:rPr>
          <w:rFonts w:ascii="Book Antiqua" w:hAnsi="Book Antiqua" w:cs="Times New Roman"/>
          <w:b/>
          <w:sz w:val="24"/>
          <w:szCs w:val="24"/>
          <w:lang w:val="en-US" w:eastAsia="zh-CN"/>
        </w:rPr>
        <w:t>:</w:t>
      </w:r>
      <w:r w:rsidRPr="0088409A">
        <w:rPr>
          <w:rFonts w:ascii="Book Antiqua" w:hAnsi="Book Antiqua" w:cs="Times New Roman"/>
          <w:bCs/>
          <w:sz w:val="24"/>
          <w:szCs w:val="24"/>
          <w:lang w:val="en-US"/>
        </w:rPr>
        <w:t xml:space="preserve">  </w:t>
      </w:r>
      <w:r w:rsidR="00E71870" w:rsidRPr="00C10A48">
        <w:rPr>
          <w:rFonts w:ascii="Book Antiqua" w:hAnsi="Book Antiqua" w:cs="Times New Roman"/>
          <w:bCs/>
          <w:caps/>
          <w:sz w:val="24"/>
          <w:szCs w:val="24"/>
          <w:lang w:val="en-US"/>
        </w:rPr>
        <w:t>l</w:t>
      </w:r>
      <w:r w:rsidR="00E71870" w:rsidRPr="00C10A48">
        <w:rPr>
          <w:rFonts w:ascii="Book Antiqua" w:hAnsi="Book Antiqua" w:cs="Times New Roman"/>
          <w:bCs/>
          <w:sz w:val="24"/>
          <w:szCs w:val="24"/>
          <w:lang w:val="en-US"/>
        </w:rPr>
        <w:t xml:space="preserve">ei JJ, Shen ZY </w:t>
      </w:r>
      <w:r w:rsidRPr="0088409A">
        <w:rPr>
          <w:rFonts w:ascii="Book Antiqua" w:hAnsi="Book Antiqua" w:cs="Times New Roman"/>
          <w:b/>
          <w:bCs/>
          <w:sz w:val="24"/>
          <w:szCs w:val="24"/>
          <w:lang w:val="en-US"/>
        </w:rPr>
        <w:t>S-Editor</w:t>
      </w:r>
      <w:r w:rsidRPr="0088409A">
        <w:rPr>
          <w:rFonts w:ascii="Book Antiqua" w:hAnsi="Book Antiqua" w:cs="Times New Roman"/>
          <w:b/>
          <w:bCs/>
          <w:sz w:val="24"/>
          <w:szCs w:val="24"/>
          <w:lang w:val="en-US" w:eastAsia="zh-CN"/>
        </w:rPr>
        <w:t>:</w:t>
      </w:r>
      <w:r w:rsidRPr="0088409A">
        <w:rPr>
          <w:rFonts w:ascii="Book Antiqua" w:hAnsi="Book Antiqua" w:cs="Times New Roman"/>
          <w:bCs/>
          <w:sz w:val="24"/>
          <w:szCs w:val="24"/>
          <w:lang w:val="en-US"/>
        </w:rPr>
        <w:t xml:space="preserve"> </w:t>
      </w:r>
      <w:r w:rsidRPr="0088409A">
        <w:rPr>
          <w:rFonts w:ascii="Book Antiqua" w:hAnsi="Book Antiqua" w:cs="Times New Roman"/>
          <w:bCs/>
          <w:sz w:val="24"/>
          <w:szCs w:val="24"/>
          <w:lang w:val="en-US" w:eastAsia="zh-CN"/>
        </w:rPr>
        <w:t>Gong ZM</w:t>
      </w:r>
      <w:r w:rsidRPr="0088409A">
        <w:rPr>
          <w:rFonts w:ascii="Book Antiqua" w:hAnsi="Book Antiqua" w:cs="Times New Roman"/>
          <w:b/>
          <w:bCs/>
          <w:sz w:val="24"/>
          <w:szCs w:val="24"/>
          <w:lang w:val="en-US"/>
        </w:rPr>
        <w:t xml:space="preserve"> L-Editor</w:t>
      </w:r>
      <w:r w:rsidRPr="0088409A">
        <w:rPr>
          <w:rFonts w:ascii="Book Antiqua" w:hAnsi="Book Antiqua" w:cs="Times New Roman"/>
          <w:b/>
          <w:bCs/>
          <w:sz w:val="24"/>
          <w:szCs w:val="24"/>
          <w:lang w:val="en-US" w:eastAsia="zh-CN"/>
        </w:rPr>
        <w:t>:</w:t>
      </w:r>
      <w:r w:rsidRPr="0088409A">
        <w:rPr>
          <w:rFonts w:ascii="Book Antiqua" w:hAnsi="Book Antiqua" w:cs="Times New Roman"/>
          <w:b/>
          <w:bCs/>
          <w:sz w:val="24"/>
          <w:szCs w:val="24"/>
          <w:lang w:val="en-US"/>
        </w:rPr>
        <w:t xml:space="preserve"> </w:t>
      </w:r>
      <w:r w:rsidR="00BB7A0C" w:rsidRPr="00BB7A0C">
        <w:rPr>
          <w:rFonts w:ascii="Book Antiqua" w:hAnsi="Book Antiqua" w:cs="Times New Roman" w:hint="eastAsia"/>
          <w:bCs/>
          <w:sz w:val="24"/>
          <w:szCs w:val="24"/>
          <w:lang w:val="en-US" w:eastAsia="zh-CN"/>
        </w:rPr>
        <w:t>A</w:t>
      </w:r>
      <w:r w:rsidR="00BB7A0C" w:rsidRPr="00BB7A0C">
        <w:rPr>
          <w:rFonts w:ascii="Book Antiqua" w:hAnsi="Book Antiqua" w:cs="Times New Roman" w:hint="eastAsia"/>
          <w:b/>
          <w:bCs/>
          <w:sz w:val="24"/>
          <w:szCs w:val="24"/>
          <w:lang w:val="en-US" w:eastAsia="zh-CN"/>
        </w:rPr>
        <w:t xml:space="preserve"> </w:t>
      </w:r>
      <w:r w:rsidR="00BB7A0C" w:rsidRPr="00BB7A0C">
        <w:rPr>
          <w:rFonts w:ascii="Book Antiqua" w:hAnsi="Book Antiqua" w:cs="Times New Roman"/>
          <w:b/>
          <w:bCs/>
          <w:sz w:val="24"/>
          <w:szCs w:val="24"/>
          <w:lang w:val="en-US"/>
        </w:rPr>
        <w:t>E-Editor</w:t>
      </w:r>
      <w:r w:rsidR="00BB7A0C" w:rsidRPr="00BB7A0C">
        <w:rPr>
          <w:rFonts w:ascii="Book Antiqua" w:hAnsi="Book Antiqua" w:cs="Times New Roman"/>
          <w:b/>
          <w:bCs/>
          <w:sz w:val="24"/>
          <w:szCs w:val="24"/>
          <w:lang w:val="en-US" w:eastAsia="zh-CN"/>
        </w:rPr>
        <w:t>:</w:t>
      </w:r>
      <w:r w:rsidR="00BB7A0C" w:rsidRPr="00BB7A0C">
        <w:rPr>
          <w:rFonts w:ascii="Book Antiqua" w:hAnsi="Book Antiqua" w:cs="Times New Roman" w:hint="eastAsia"/>
          <w:b/>
          <w:bCs/>
          <w:sz w:val="24"/>
          <w:szCs w:val="24"/>
          <w:lang w:val="en-US" w:eastAsia="zh-CN"/>
        </w:rPr>
        <w:t xml:space="preserve"> </w:t>
      </w:r>
      <w:r w:rsidR="00BB7A0C" w:rsidRPr="00BB7A0C">
        <w:rPr>
          <w:rFonts w:ascii="Book Antiqua" w:hAnsi="Book Antiqua" w:cs="Times New Roman" w:hint="eastAsia"/>
          <w:bCs/>
          <w:sz w:val="24"/>
          <w:szCs w:val="24"/>
          <w:lang w:val="en-US" w:eastAsia="zh-CN"/>
        </w:rPr>
        <w:t>Wang LL</w:t>
      </w:r>
    </w:p>
    <w:p w14:paraId="6562F220" w14:textId="77777777" w:rsidR="003F6DAD" w:rsidRDefault="003F6DAD" w:rsidP="00F227A9">
      <w:pPr>
        <w:adjustRightInd w:val="0"/>
        <w:snapToGrid w:val="0"/>
        <w:spacing w:after="0" w:line="360" w:lineRule="auto"/>
        <w:ind w:right="361"/>
        <w:rPr>
          <w:rFonts w:ascii="Book Antiqua" w:hAnsi="Book Antiqua" w:cs="Times New Roman"/>
          <w:bCs/>
          <w:sz w:val="24"/>
          <w:szCs w:val="24"/>
          <w:lang w:val="en-US" w:eastAsia="zh-CN"/>
        </w:rPr>
      </w:pPr>
    </w:p>
    <w:p w14:paraId="1FEF94B6" w14:textId="77777777" w:rsidR="003F6DAD" w:rsidRPr="00C10A48" w:rsidRDefault="003F6DAD" w:rsidP="00F227A9">
      <w:pPr>
        <w:adjustRightInd w:val="0"/>
        <w:snapToGrid w:val="0"/>
        <w:spacing w:after="0" w:line="360" w:lineRule="auto"/>
        <w:ind w:right="361"/>
        <w:rPr>
          <w:rFonts w:ascii="Book Antiqua" w:hAnsi="Book Antiqua" w:cs="Times New Roman"/>
          <w:b/>
          <w:bCs/>
          <w:sz w:val="24"/>
          <w:szCs w:val="24"/>
          <w:lang w:val="en-US" w:eastAsia="zh-CN"/>
        </w:rPr>
      </w:pPr>
    </w:p>
    <w:p w14:paraId="2D5F5465" w14:textId="77777777" w:rsidR="00AD4743" w:rsidRPr="00AD4743" w:rsidRDefault="00AD4743" w:rsidP="00AD4743">
      <w:pPr>
        <w:widowControl w:val="0"/>
        <w:autoSpaceDE w:val="0"/>
        <w:autoSpaceDN w:val="0"/>
        <w:adjustRightInd w:val="0"/>
        <w:snapToGrid w:val="0"/>
        <w:spacing w:after="0" w:line="360" w:lineRule="auto"/>
        <w:jc w:val="both"/>
        <w:rPr>
          <w:rFonts w:ascii="Book Antiqua" w:hAnsi="Book Antiqua"/>
          <w:b/>
          <w:bCs/>
          <w:sz w:val="24"/>
          <w:szCs w:val="24"/>
          <w:lang w:val="en-US"/>
        </w:rPr>
      </w:pPr>
      <w:r w:rsidRPr="00AD4743">
        <w:rPr>
          <w:rFonts w:ascii="Book Antiqua" w:hAnsi="Book Antiqua"/>
          <w:b/>
          <w:bCs/>
          <w:sz w:val="24"/>
          <w:szCs w:val="24"/>
          <w:lang w:val="en-US"/>
        </w:rPr>
        <w:t>Figure Legends</w:t>
      </w:r>
    </w:p>
    <w:p w14:paraId="7E03E03D" w14:textId="4EC16532" w:rsidR="005067E8" w:rsidRPr="00C10A48" w:rsidRDefault="00773C86" w:rsidP="00F227A9">
      <w:pPr>
        <w:widowControl w:val="0"/>
        <w:autoSpaceDE w:val="0"/>
        <w:autoSpaceDN w:val="0"/>
        <w:adjustRightInd w:val="0"/>
        <w:snapToGrid w:val="0"/>
        <w:spacing w:after="0" w:line="360" w:lineRule="auto"/>
        <w:jc w:val="both"/>
        <w:rPr>
          <w:rFonts w:ascii="Book Antiqua" w:hAnsi="Book Antiqua"/>
          <w:b/>
          <w:bCs/>
          <w:sz w:val="24"/>
          <w:szCs w:val="24"/>
          <w:lang w:val="en-US"/>
        </w:rPr>
      </w:pPr>
      <w:r>
        <w:rPr>
          <w:noProof/>
          <w:lang w:val="en-US" w:eastAsia="zh-CN"/>
        </w:rPr>
        <w:drawing>
          <wp:inline distT="0" distB="0" distL="0" distR="0" wp14:anchorId="6C53FFB6" wp14:editId="61E76AFD">
            <wp:extent cx="6144074" cy="5907819"/>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49231" cy="5912778"/>
                    </a:xfrm>
                    <a:prstGeom prst="rect">
                      <a:avLst/>
                    </a:prstGeom>
                  </pic:spPr>
                </pic:pic>
              </a:graphicData>
            </a:graphic>
          </wp:inline>
        </w:drawing>
      </w:r>
    </w:p>
    <w:p w14:paraId="047DD133" w14:textId="75FF2486" w:rsidR="00773C86" w:rsidRDefault="00BC4E72" w:rsidP="00130F9D">
      <w:pPr>
        <w:tabs>
          <w:tab w:val="center" w:pos="4252"/>
        </w:tabs>
        <w:snapToGrid w:val="0"/>
        <w:spacing w:after="0" w:line="360" w:lineRule="auto"/>
        <w:jc w:val="both"/>
        <w:rPr>
          <w:rFonts w:ascii="Book Antiqua" w:eastAsia="Times New Roman" w:hAnsi="Book Antiqua" w:cs="Times New Roman"/>
          <w:sz w:val="24"/>
          <w:szCs w:val="24"/>
          <w:shd w:val="clear" w:color="auto" w:fill="FFFFFF"/>
          <w:lang w:val="en-US" w:eastAsia="pt-BR"/>
        </w:rPr>
      </w:pPr>
      <w:r w:rsidRPr="00CA15A2">
        <w:rPr>
          <w:rFonts w:ascii="Book Antiqua" w:hAnsi="Book Antiqua" w:cs="Times New Roman"/>
          <w:b/>
          <w:bCs/>
          <w:sz w:val="24"/>
          <w:szCs w:val="24"/>
          <w:lang w:val="en-US"/>
        </w:rPr>
        <w:t>Figure 1</w:t>
      </w:r>
      <w:r w:rsidR="00773C86" w:rsidRPr="00CA15A2">
        <w:rPr>
          <w:rFonts w:ascii="Book Antiqua" w:hAnsi="Book Antiqua" w:cs="Times New Roman"/>
          <w:b/>
          <w:bCs/>
          <w:sz w:val="24"/>
          <w:szCs w:val="24"/>
          <w:lang w:val="en-US"/>
        </w:rPr>
        <w:t xml:space="preserve"> </w:t>
      </w:r>
      <w:r w:rsidRPr="00CA15A2">
        <w:rPr>
          <w:rFonts w:ascii="Book Antiqua" w:hAnsi="Book Antiqua" w:cs="Times New Roman"/>
          <w:b/>
          <w:bCs/>
          <w:sz w:val="24"/>
          <w:szCs w:val="24"/>
          <w:lang w:val="en-US"/>
        </w:rPr>
        <w:t xml:space="preserve">Flow chart </w:t>
      </w:r>
      <w:r w:rsidR="00815409" w:rsidRPr="00CA15A2">
        <w:rPr>
          <w:rFonts w:ascii="Book Antiqua" w:hAnsi="Book Antiqua" w:cs="Times New Roman"/>
          <w:b/>
          <w:bCs/>
          <w:sz w:val="24"/>
          <w:szCs w:val="24"/>
          <w:lang w:val="en-US"/>
        </w:rPr>
        <w:t>of</w:t>
      </w:r>
      <w:r w:rsidRPr="00CA15A2">
        <w:rPr>
          <w:rFonts w:ascii="Book Antiqua" w:hAnsi="Book Antiqua" w:cs="Times New Roman"/>
          <w:b/>
          <w:bCs/>
          <w:sz w:val="24"/>
          <w:szCs w:val="24"/>
          <w:lang w:val="en-US"/>
        </w:rPr>
        <w:t xml:space="preserve"> study selection. </w:t>
      </w:r>
      <w:r w:rsidRPr="00C10A48">
        <w:rPr>
          <w:rFonts w:ascii="Book Antiqua" w:hAnsi="Book Antiqua" w:cs="Times New Roman"/>
          <w:bCs/>
          <w:sz w:val="24"/>
          <w:szCs w:val="24"/>
          <w:lang w:val="en-US"/>
        </w:rPr>
        <w:t xml:space="preserve">Cochrane CENTRAL: Cochrane Central Register of Controlled Trials; </w:t>
      </w:r>
      <w:r w:rsidRPr="00C10A48">
        <w:rPr>
          <w:rFonts w:ascii="Book Antiqua" w:eastAsia="Times New Roman" w:hAnsi="Book Antiqua" w:cs="Times New Roman"/>
          <w:sz w:val="24"/>
          <w:szCs w:val="24"/>
          <w:shd w:val="clear" w:color="auto" w:fill="FFFFFF"/>
          <w:lang w:val="en-US" w:eastAsia="pt-BR"/>
        </w:rPr>
        <w:t xml:space="preserve">Propofol </w:t>
      </w:r>
      <w:r w:rsidR="009E3C6F" w:rsidRPr="009E3C6F">
        <w:rPr>
          <w:rFonts w:ascii="Book Antiqua" w:eastAsia="Times New Roman" w:hAnsi="Book Antiqua" w:cs="Times New Roman"/>
          <w:i/>
          <w:sz w:val="24"/>
          <w:szCs w:val="24"/>
          <w:shd w:val="clear" w:color="auto" w:fill="FFFFFF"/>
          <w:lang w:val="en-US" w:eastAsia="pt-BR"/>
        </w:rPr>
        <w:t>vs</w:t>
      </w:r>
      <w:r w:rsidRPr="00C10A48">
        <w:rPr>
          <w:rFonts w:ascii="Book Antiqua" w:eastAsia="Times New Roman" w:hAnsi="Book Antiqua" w:cs="Times New Roman"/>
          <w:sz w:val="24"/>
          <w:szCs w:val="24"/>
          <w:shd w:val="clear" w:color="auto" w:fill="FFFFFF"/>
          <w:lang w:val="en-US" w:eastAsia="pt-BR"/>
        </w:rPr>
        <w:t xml:space="preserve"> midazolam sedation for elective endoscopy in patients with cirrhosis.</w:t>
      </w:r>
    </w:p>
    <w:p w14:paraId="1D3F1A95" w14:textId="77777777" w:rsidR="00773C86" w:rsidRDefault="00773C86" w:rsidP="00F227A9">
      <w:pPr>
        <w:snapToGrid w:val="0"/>
        <w:spacing w:after="0" w:line="360" w:lineRule="auto"/>
        <w:rPr>
          <w:rFonts w:ascii="Book Antiqua" w:eastAsia="Times New Roman" w:hAnsi="Book Antiqua" w:cs="Times New Roman"/>
          <w:sz w:val="24"/>
          <w:szCs w:val="24"/>
          <w:shd w:val="clear" w:color="auto" w:fill="FFFFFF"/>
          <w:lang w:val="en-US" w:eastAsia="pt-BR"/>
        </w:rPr>
      </w:pPr>
      <w:r>
        <w:rPr>
          <w:rFonts w:ascii="Book Antiqua" w:eastAsia="Times New Roman" w:hAnsi="Book Antiqua" w:cs="Times New Roman"/>
          <w:sz w:val="24"/>
          <w:szCs w:val="24"/>
          <w:shd w:val="clear" w:color="auto" w:fill="FFFFFF"/>
          <w:lang w:val="en-US" w:eastAsia="pt-BR"/>
        </w:rPr>
        <w:br w:type="page"/>
      </w:r>
    </w:p>
    <w:p w14:paraId="2EFF5AD2" w14:textId="6DC6D9CB" w:rsidR="00BC4E72" w:rsidRDefault="00D949EF" w:rsidP="00F227A9">
      <w:pPr>
        <w:tabs>
          <w:tab w:val="center" w:pos="4252"/>
        </w:tabs>
        <w:snapToGrid w:val="0"/>
        <w:spacing w:after="0" w:line="360" w:lineRule="auto"/>
        <w:rPr>
          <w:rFonts w:ascii="Book Antiqua" w:hAnsi="Book Antiqua" w:cs="Times New Roman"/>
          <w:noProof/>
          <w:sz w:val="24"/>
          <w:szCs w:val="24"/>
          <w:lang w:val="en-US" w:eastAsia="zh-CN"/>
        </w:rPr>
      </w:pPr>
      <w:r w:rsidRPr="00C10A48">
        <w:rPr>
          <w:rFonts w:ascii="Book Antiqua" w:hAnsi="Book Antiqua" w:cs="Times New Roman"/>
          <w:noProof/>
          <w:sz w:val="24"/>
          <w:szCs w:val="24"/>
          <w:lang w:val="en-US" w:eastAsia="zh-CN"/>
        </w:rPr>
        <w:lastRenderedPageBreak/>
        <w:drawing>
          <wp:inline distT="0" distB="0" distL="0" distR="0" wp14:anchorId="009E1FC2" wp14:editId="5FB9B0C4">
            <wp:extent cx="5255813" cy="3985123"/>
            <wp:effectExtent l="0" t="0" r="254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5761" cy="3992666"/>
                    </a:xfrm>
                    <a:prstGeom prst="rect">
                      <a:avLst/>
                    </a:prstGeom>
                    <a:noFill/>
                    <a:ln>
                      <a:noFill/>
                    </a:ln>
                  </pic:spPr>
                </pic:pic>
              </a:graphicData>
            </a:graphic>
          </wp:inline>
        </w:drawing>
      </w:r>
    </w:p>
    <w:p w14:paraId="4CF66025" w14:textId="1330699F" w:rsidR="007D4AC3" w:rsidRDefault="00F308F3" w:rsidP="00F227A9">
      <w:pPr>
        <w:tabs>
          <w:tab w:val="left" w:pos="1425"/>
        </w:tabs>
        <w:snapToGrid w:val="0"/>
        <w:spacing w:after="0" w:line="360" w:lineRule="auto"/>
        <w:rPr>
          <w:rFonts w:ascii="Book Antiqua" w:hAnsi="Book Antiqua" w:cs="Times New Roman"/>
          <w:b/>
          <w:sz w:val="24"/>
          <w:szCs w:val="24"/>
          <w:shd w:val="clear" w:color="auto" w:fill="FFFFFF"/>
          <w:lang w:val="en-US"/>
        </w:rPr>
      </w:pPr>
      <w:r w:rsidRPr="009469C0">
        <w:rPr>
          <w:rFonts w:ascii="Book Antiqua" w:hAnsi="Book Antiqua" w:cs="Times New Roman"/>
          <w:b/>
          <w:bCs/>
          <w:sz w:val="24"/>
          <w:szCs w:val="24"/>
          <w:lang w:val="en-US"/>
        </w:rPr>
        <w:t>Figure 2</w:t>
      </w:r>
      <w:r w:rsidR="009469C0" w:rsidRPr="009469C0">
        <w:rPr>
          <w:rFonts w:ascii="Book Antiqua" w:hAnsi="Book Antiqua" w:cs="Times New Roman"/>
          <w:b/>
          <w:bCs/>
          <w:sz w:val="24"/>
          <w:szCs w:val="24"/>
          <w:lang w:val="en-US"/>
        </w:rPr>
        <w:t xml:space="preserve"> </w:t>
      </w:r>
      <w:r w:rsidRPr="009469C0">
        <w:rPr>
          <w:rFonts w:ascii="Book Antiqua" w:hAnsi="Book Antiqua" w:cs="Times New Roman"/>
          <w:b/>
          <w:sz w:val="24"/>
          <w:szCs w:val="24"/>
          <w:lang w:val="en-US"/>
        </w:rPr>
        <w:t>Overall r</w:t>
      </w:r>
      <w:r w:rsidRPr="009469C0">
        <w:rPr>
          <w:rFonts w:ascii="Book Antiqua" w:hAnsi="Book Antiqua" w:cs="Times New Roman"/>
          <w:b/>
          <w:sz w:val="24"/>
          <w:szCs w:val="24"/>
          <w:shd w:val="clear" w:color="auto" w:fill="FFFFFF"/>
          <w:lang w:val="en-US"/>
        </w:rPr>
        <w:t>isk of bias.</w:t>
      </w:r>
    </w:p>
    <w:p w14:paraId="4350BF58" w14:textId="77777777" w:rsidR="007D4AC3" w:rsidRDefault="007D4AC3" w:rsidP="00F227A9">
      <w:pPr>
        <w:snapToGrid w:val="0"/>
        <w:spacing w:after="0" w:line="360" w:lineRule="auto"/>
        <w:rPr>
          <w:rFonts w:ascii="Book Antiqua" w:hAnsi="Book Antiqua" w:cs="Times New Roman"/>
          <w:b/>
          <w:sz w:val="24"/>
          <w:szCs w:val="24"/>
          <w:shd w:val="clear" w:color="auto" w:fill="FFFFFF"/>
          <w:lang w:val="en-US"/>
        </w:rPr>
      </w:pPr>
      <w:r>
        <w:rPr>
          <w:rFonts w:ascii="Book Antiqua" w:hAnsi="Book Antiqua" w:cs="Times New Roman"/>
          <w:b/>
          <w:sz w:val="24"/>
          <w:szCs w:val="24"/>
          <w:shd w:val="clear" w:color="auto" w:fill="FFFFFF"/>
          <w:lang w:val="en-US"/>
        </w:rPr>
        <w:br w:type="page"/>
      </w:r>
    </w:p>
    <w:p w14:paraId="0FB0F840" w14:textId="60EEB4FF" w:rsidR="009469C0" w:rsidRDefault="0027710F" w:rsidP="00F227A9">
      <w:pPr>
        <w:tabs>
          <w:tab w:val="left" w:pos="1425"/>
        </w:tabs>
        <w:snapToGrid w:val="0"/>
        <w:spacing w:after="0" w:line="360" w:lineRule="auto"/>
        <w:rPr>
          <w:rFonts w:ascii="Book Antiqua" w:hAnsi="Book Antiqua" w:cs="Times New Roman"/>
          <w:b/>
          <w:sz w:val="24"/>
          <w:szCs w:val="24"/>
          <w:shd w:val="clear" w:color="auto" w:fill="FFFFFF"/>
          <w:lang w:val="en-US" w:eastAsia="zh-CN"/>
        </w:rPr>
      </w:pPr>
      <w:r>
        <w:rPr>
          <w:noProof/>
          <w:lang w:val="en-US" w:eastAsia="zh-CN"/>
        </w:rPr>
        <w:lastRenderedPageBreak/>
        <w:drawing>
          <wp:inline distT="0" distB="0" distL="0" distR="0" wp14:anchorId="40A28902" wp14:editId="1638FF68">
            <wp:extent cx="5400040" cy="6223635"/>
            <wp:effectExtent l="0" t="0" r="0" b="571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40" cy="6223635"/>
                    </a:xfrm>
                    <a:prstGeom prst="rect">
                      <a:avLst/>
                    </a:prstGeom>
                  </pic:spPr>
                </pic:pic>
              </a:graphicData>
            </a:graphic>
          </wp:inline>
        </w:drawing>
      </w:r>
    </w:p>
    <w:p w14:paraId="570FFB00" w14:textId="07A25EB7" w:rsidR="007D4AC3" w:rsidRPr="00DF31EE" w:rsidRDefault="007D4AC3" w:rsidP="00F227A9">
      <w:pPr>
        <w:tabs>
          <w:tab w:val="center" w:pos="4252"/>
        </w:tabs>
        <w:snapToGrid w:val="0"/>
        <w:spacing w:after="0" w:line="360" w:lineRule="auto"/>
        <w:jc w:val="both"/>
        <w:rPr>
          <w:rFonts w:ascii="Book Antiqua" w:hAnsi="Book Antiqua" w:cs="Times New Roman"/>
          <w:bCs/>
          <w:sz w:val="24"/>
          <w:szCs w:val="24"/>
          <w:lang w:val="en-US"/>
        </w:rPr>
      </w:pPr>
      <w:r w:rsidRPr="008944FF">
        <w:rPr>
          <w:rFonts w:ascii="Book Antiqua" w:hAnsi="Book Antiqua" w:cs="Times New Roman"/>
          <w:b/>
          <w:bCs/>
          <w:sz w:val="24"/>
          <w:szCs w:val="24"/>
          <w:lang w:val="en-US"/>
        </w:rPr>
        <w:t xml:space="preserve">Figure 3 </w:t>
      </w:r>
      <w:proofErr w:type="spellStart"/>
      <w:r w:rsidRPr="008944FF">
        <w:rPr>
          <w:rFonts w:ascii="Book Antiqua" w:hAnsi="Book Antiqua" w:cs="Times New Roman"/>
          <w:b/>
          <w:bCs/>
          <w:sz w:val="24"/>
          <w:szCs w:val="24"/>
          <w:lang w:val="en-US"/>
        </w:rPr>
        <w:t>GRADEpro</w:t>
      </w:r>
      <w:proofErr w:type="spellEnd"/>
      <w:r w:rsidRPr="008944FF">
        <w:rPr>
          <w:rFonts w:ascii="Book Antiqua" w:hAnsi="Book Antiqua" w:cs="Times New Roman"/>
          <w:b/>
          <w:bCs/>
          <w:sz w:val="24"/>
          <w:szCs w:val="24"/>
          <w:lang w:val="en-US"/>
        </w:rPr>
        <w:t>.</w:t>
      </w:r>
      <w:r w:rsidRPr="00C10A48">
        <w:rPr>
          <w:rFonts w:ascii="Book Antiqua" w:hAnsi="Book Antiqua" w:cs="Times New Roman"/>
          <w:bCs/>
          <w:sz w:val="24"/>
          <w:szCs w:val="24"/>
          <w:lang w:val="en-US"/>
        </w:rPr>
        <w:t xml:space="preserve"> </w:t>
      </w:r>
      <w:proofErr w:type="gramStart"/>
      <w:r w:rsidRPr="00C10A48">
        <w:rPr>
          <w:rFonts w:ascii="Book Antiqua" w:hAnsi="Book Antiqua" w:cs="Times New Roman"/>
          <w:bCs/>
          <w:sz w:val="24"/>
          <w:szCs w:val="24"/>
          <w:lang w:val="en-US"/>
        </w:rPr>
        <w:t xml:space="preserve">Propofol </w:t>
      </w:r>
      <w:r w:rsidRPr="009E3C6F">
        <w:rPr>
          <w:rFonts w:ascii="Book Antiqua" w:eastAsia="Times New Roman" w:hAnsi="Book Antiqua" w:cs="Times New Roman"/>
          <w:i/>
          <w:sz w:val="24"/>
          <w:szCs w:val="24"/>
          <w:shd w:val="clear" w:color="auto" w:fill="FFFFFF"/>
          <w:lang w:val="en-US" w:eastAsia="pt-BR"/>
        </w:rPr>
        <w:t>vs</w:t>
      </w:r>
      <w:r w:rsidRPr="00C10A48">
        <w:rPr>
          <w:rFonts w:ascii="Book Antiqua" w:hAnsi="Book Antiqua" w:cs="Times New Roman"/>
          <w:bCs/>
          <w:sz w:val="24"/>
          <w:szCs w:val="24"/>
          <w:lang w:val="en-US"/>
        </w:rPr>
        <w:t xml:space="preserve"> midazolam sedation for elective endoscopy in patients with cirrhosis.</w:t>
      </w:r>
      <w:proofErr w:type="gramEnd"/>
      <w:r w:rsidRPr="00C10A48">
        <w:rPr>
          <w:rFonts w:ascii="Book Antiqua" w:hAnsi="Book Antiqua" w:cs="Times New Roman"/>
          <w:bCs/>
          <w:sz w:val="24"/>
          <w:szCs w:val="24"/>
          <w:lang w:val="en-US"/>
        </w:rPr>
        <w:t xml:space="preserve"> </w:t>
      </w:r>
      <w:r w:rsidRPr="009F346A">
        <w:rPr>
          <w:rFonts w:ascii="Book Antiqua" w:hAnsi="Book Antiqua" w:cs="Times New Roman"/>
          <w:bCs/>
          <w:caps/>
          <w:sz w:val="24"/>
          <w:szCs w:val="24"/>
          <w:lang w:val="en-US"/>
        </w:rPr>
        <w:t>a</w:t>
      </w:r>
      <w:r w:rsidRPr="00C10A48">
        <w:rPr>
          <w:rFonts w:ascii="Book Antiqua" w:hAnsi="Book Antiqua" w:cs="Times New Roman"/>
          <w:bCs/>
          <w:sz w:val="24"/>
          <w:szCs w:val="24"/>
          <w:lang w:val="en-US"/>
        </w:rPr>
        <w:t xml:space="preserve"> systematic review and meta-analysis of randomized controlled trials</w:t>
      </w:r>
      <w:r>
        <w:rPr>
          <w:rFonts w:ascii="Book Antiqua" w:hAnsi="Book Antiqua" w:cs="Times New Roman"/>
          <w:bCs/>
          <w:sz w:val="24"/>
          <w:szCs w:val="24"/>
          <w:lang w:val="en-US"/>
        </w:rPr>
        <w:t>.</w:t>
      </w:r>
      <w:r w:rsidR="00DF31EE">
        <w:rPr>
          <w:rFonts w:ascii="Book Antiqua" w:hAnsi="Book Antiqua" w:cs="Times New Roman"/>
          <w:bCs/>
          <w:sz w:val="24"/>
          <w:szCs w:val="24"/>
          <w:lang w:val="en-US"/>
        </w:rPr>
        <w:t xml:space="preserve"> </w:t>
      </w:r>
      <w:proofErr w:type="spellStart"/>
      <w:proofErr w:type="gramStart"/>
      <w:r w:rsidR="00DF31EE" w:rsidRPr="00DF31EE">
        <w:rPr>
          <w:rFonts w:ascii="Book Antiqua" w:hAnsi="Book Antiqua" w:cs="Times New Roman"/>
          <w:bCs/>
          <w:sz w:val="24"/>
          <w:szCs w:val="24"/>
          <w:vertAlign w:val="superscript"/>
          <w:lang w:val="en-US"/>
        </w:rPr>
        <w:t>a</w:t>
      </w:r>
      <w:r w:rsidR="00DF31EE" w:rsidRPr="00DF31EE">
        <w:rPr>
          <w:rFonts w:ascii="Book Antiqua" w:hAnsi="Book Antiqua" w:cs="Times New Roman"/>
          <w:bCs/>
          <w:sz w:val="24"/>
          <w:szCs w:val="24"/>
          <w:lang w:val="en-US"/>
        </w:rPr>
        <w:t>Riphaus</w:t>
      </w:r>
      <w:proofErr w:type="spellEnd"/>
      <w:proofErr w:type="gramEnd"/>
      <w:r w:rsidR="00DF31EE" w:rsidRPr="00DF31EE">
        <w:rPr>
          <w:rFonts w:ascii="Book Antiqua" w:hAnsi="Book Antiqua" w:cs="Times New Roman"/>
          <w:bCs/>
          <w:sz w:val="24"/>
          <w:szCs w:val="24"/>
          <w:lang w:val="en-US"/>
        </w:rPr>
        <w:t xml:space="preserve"> A, 2009 risk of bias high. </w:t>
      </w:r>
      <w:proofErr w:type="spellStart"/>
      <w:r w:rsidR="00DF31EE" w:rsidRPr="00DF31EE">
        <w:rPr>
          <w:rFonts w:ascii="Book Antiqua" w:hAnsi="Book Antiqua" w:cs="Times New Roman"/>
          <w:bCs/>
          <w:sz w:val="24"/>
          <w:szCs w:val="24"/>
          <w:lang w:val="en-US"/>
        </w:rPr>
        <w:t>Khamaysi</w:t>
      </w:r>
      <w:proofErr w:type="spellEnd"/>
      <w:r w:rsidR="00DF31EE" w:rsidRPr="00DF31EE">
        <w:rPr>
          <w:rFonts w:ascii="Book Antiqua" w:hAnsi="Book Antiqua" w:cs="Times New Roman"/>
          <w:bCs/>
          <w:sz w:val="24"/>
          <w:szCs w:val="24"/>
          <w:lang w:val="en-US"/>
        </w:rPr>
        <w:t xml:space="preserve">, 2011 and </w:t>
      </w:r>
      <w:r w:rsidR="00DF31EE">
        <w:rPr>
          <w:rFonts w:ascii="Book Antiqua" w:hAnsi="Book Antiqua" w:cs="Times New Roman"/>
          <w:bCs/>
          <w:sz w:val="24"/>
          <w:szCs w:val="24"/>
          <w:lang w:val="en-US"/>
        </w:rPr>
        <w:t xml:space="preserve">Weston BR. 2003 some concerns. </w:t>
      </w:r>
      <w:proofErr w:type="spellStart"/>
      <w:proofErr w:type="gramStart"/>
      <w:r w:rsidR="00DF31EE" w:rsidRPr="00DF31EE">
        <w:rPr>
          <w:rFonts w:ascii="Book Antiqua" w:hAnsi="Book Antiqua" w:cs="Times New Roman"/>
          <w:bCs/>
          <w:sz w:val="24"/>
          <w:szCs w:val="24"/>
          <w:vertAlign w:val="superscript"/>
          <w:lang w:val="en-US"/>
        </w:rPr>
        <w:t>b</w:t>
      </w:r>
      <w:r w:rsidR="00DF31EE">
        <w:rPr>
          <w:rFonts w:ascii="Book Antiqua" w:hAnsi="Book Antiqua" w:cs="Times New Roman"/>
          <w:bCs/>
          <w:sz w:val="24"/>
          <w:szCs w:val="24"/>
          <w:lang w:val="en-US"/>
        </w:rPr>
        <w:t>High</w:t>
      </w:r>
      <w:proofErr w:type="spellEnd"/>
      <w:proofErr w:type="gramEnd"/>
      <w:r w:rsidR="00DF31EE">
        <w:rPr>
          <w:rFonts w:ascii="Book Antiqua" w:hAnsi="Book Antiqua" w:cs="Times New Roman"/>
          <w:bCs/>
          <w:sz w:val="24"/>
          <w:szCs w:val="24"/>
          <w:lang w:val="en-US"/>
        </w:rPr>
        <w:t xml:space="preserve"> heterogeneity. </w:t>
      </w:r>
      <w:proofErr w:type="spellStart"/>
      <w:proofErr w:type="gramStart"/>
      <w:r w:rsidR="00DF31EE" w:rsidRPr="00DF31EE">
        <w:rPr>
          <w:rFonts w:ascii="Book Antiqua" w:hAnsi="Book Antiqua" w:cs="Times New Roman"/>
          <w:bCs/>
          <w:sz w:val="24"/>
          <w:szCs w:val="24"/>
          <w:vertAlign w:val="superscript"/>
          <w:lang w:val="en-US"/>
        </w:rPr>
        <w:t>c</w:t>
      </w:r>
      <w:r w:rsidR="00DF31EE">
        <w:rPr>
          <w:rFonts w:ascii="Book Antiqua" w:hAnsi="Book Antiqua" w:cs="Times New Roman"/>
          <w:bCs/>
          <w:sz w:val="24"/>
          <w:szCs w:val="24"/>
          <w:lang w:val="en-US"/>
        </w:rPr>
        <w:t>Non</w:t>
      </w:r>
      <w:proofErr w:type="spellEnd"/>
      <w:proofErr w:type="gramEnd"/>
      <w:r w:rsidR="00DF31EE">
        <w:rPr>
          <w:rFonts w:ascii="Book Antiqua" w:hAnsi="Book Antiqua" w:cs="Times New Roman"/>
          <w:bCs/>
          <w:sz w:val="24"/>
          <w:szCs w:val="24"/>
          <w:lang w:val="en-US"/>
        </w:rPr>
        <w:t xml:space="preserve"> significant difference. </w:t>
      </w:r>
      <w:proofErr w:type="spellStart"/>
      <w:proofErr w:type="gramStart"/>
      <w:r w:rsidR="00DF31EE" w:rsidRPr="00DF31EE">
        <w:rPr>
          <w:rFonts w:ascii="Book Antiqua" w:hAnsi="Book Antiqua" w:cs="Times New Roman"/>
          <w:bCs/>
          <w:sz w:val="24"/>
          <w:szCs w:val="24"/>
          <w:vertAlign w:val="superscript"/>
          <w:lang w:val="en-US"/>
        </w:rPr>
        <w:t>d</w:t>
      </w:r>
      <w:r w:rsidR="00DF31EE" w:rsidRPr="00DF31EE">
        <w:rPr>
          <w:rFonts w:ascii="Book Antiqua" w:hAnsi="Book Antiqua" w:cs="Times New Roman"/>
          <w:bCs/>
          <w:sz w:val="24"/>
          <w:szCs w:val="24"/>
          <w:lang w:val="en-US"/>
        </w:rPr>
        <w:t>Riphaus</w:t>
      </w:r>
      <w:proofErr w:type="spellEnd"/>
      <w:proofErr w:type="gramEnd"/>
      <w:r w:rsidR="00DF31EE" w:rsidRPr="00DF31EE">
        <w:rPr>
          <w:rFonts w:ascii="Book Antiqua" w:hAnsi="Book Antiqua" w:cs="Times New Roman"/>
          <w:bCs/>
          <w:sz w:val="24"/>
          <w:szCs w:val="24"/>
          <w:lang w:val="en-US"/>
        </w:rPr>
        <w:t xml:space="preserve"> A 2009, Risk of bias high. </w:t>
      </w:r>
      <w:proofErr w:type="spellStart"/>
      <w:r w:rsidR="00DF31EE" w:rsidRPr="00DF31EE">
        <w:rPr>
          <w:rFonts w:ascii="Book Antiqua" w:hAnsi="Book Antiqua" w:cs="Times New Roman"/>
          <w:bCs/>
          <w:sz w:val="24"/>
          <w:szCs w:val="24"/>
          <w:lang w:val="en-US"/>
        </w:rPr>
        <w:t>Khamaysi</w:t>
      </w:r>
      <w:proofErr w:type="spellEnd"/>
      <w:r w:rsidR="00DF31EE" w:rsidRPr="00DF31EE">
        <w:rPr>
          <w:rFonts w:ascii="Book Antiqua" w:hAnsi="Book Antiqua" w:cs="Times New Roman"/>
          <w:bCs/>
          <w:sz w:val="24"/>
          <w:szCs w:val="24"/>
          <w:lang w:val="en-US"/>
        </w:rPr>
        <w:t xml:space="preserve">, 2011 and Weston BR. </w:t>
      </w:r>
      <w:r w:rsidR="00DF31EE">
        <w:rPr>
          <w:rFonts w:ascii="Book Antiqua" w:hAnsi="Book Antiqua" w:cs="Times New Roman"/>
          <w:bCs/>
          <w:sz w:val="24"/>
          <w:szCs w:val="24"/>
          <w:lang w:val="en-US"/>
        </w:rPr>
        <w:t xml:space="preserve">2003, risk bias some concerns. </w:t>
      </w:r>
      <w:proofErr w:type="spellStart"/>
      <w:proofErr w:type="gramStart"/>
      <w:r w:rsidR="00DF31EE" w:rsidRPr="00DF31EE">
        <w:rPr>
          <w:rFonts w:ascii="Book Antiqua" w:hAnsi="Book Antiqua" w:cs="Times New Roman"/>
          <w:bCs/>
          <w:sz w:val="24"/>
          <w:szCs w:val="24"/>
          <w:vertAlign w:val="superscript"/>
          <w:lang w:val="en-US"/>
        </w:rPr>
        <w:t>e</w:t>
      </w:r>
      <w:r w:rsidR="00DF31EE" w:rsidRPr="00DF31EE">
        <w:rPr>
          <w:rFonts w:ascii="Book Antiqua" w:hAnsi="Book Antiqua" w:cs="Times New Roman"/>
          <w:bCs/>
          <w:sz w:val="24"/>
          <w:szCs w:val="24"/>
          <w:lang w:val="en-US"/>
        </w:rPr>
        <w:t>Khamaysi</w:t>
      </w:r>
      <w:proofErr w:type="spellEnd"/>
      <w:proofErr w:type="gramEnd"/>
      <w:r w:rsidR="00DF31EE" w:rsidRPr="00DF31EE">
        <w:rPr>
          <w:rFonts w:ascii="Book Antiqua" w:hAnsi="Book Antiqua" w:cs="Times New Roman"/>
          <w:bCs/>
          <w:sz w:val="24"/>
          <w:szCs w:val="24"/>
          <w:lang w:val="en-US"/>
        </w:rPr>
        <w:t>, 2011 and Weston BR. 200</w:t>
      </w:r>
      <w:r w:rsidR="00DF31EE">
        <w:rPr>
          <w:rFonts w:ascii="Book Antiqua" w:hAnsi="Book Antiqua" w:cs="Times New Roman"/>
          <w:bCs/>
          <w:sz w:val="24"/>
          <w:szCs w:val="24"/>
          <w:lang w:val="en-US"/>
        </w:rPr>
        <w:t xml:space="preserve">3, Risk of bias some concerns. </w:t>
      </w:r>
      <w:proofErr w:type="spellStart"/>
      <w:proofErr w:type="gramStart"/>
      <w:r w:rsidR="00DF31EE" w:rsidRPr="00DF31EE">
        <w:rPr>
          <w:rFonts w:ascii="Book Antiqua" w:hAnsi="Book Antiqua" w:cs="Times New Roman"/>
          <w:bCs/>
          <w:sz w:val="24"/>
          <w:szCs w:val="24"/>
          <w:vertAlign w:val="superscript"/>
          <w:lang w:val="en-US"/>
        </w:rPr>
        <w:t>f</w:t>
      </w:r>
      <w:r w:rsidR="00DF31EE" w:rsidRPr="00DF31EE">
        <w:rPr>
          <w:rFonts w:ascii="Book Antiqua" w:hAnsi="Book Antiqua" w:cs="Times New Roman"/>
          <w:bCs/>
          <w:sz w:val="24"/>
          <w:szCs w:val="24"/>
          <w:lang w:val="en-US"/>
        </w:rPr>
        <w:t>Riphaus</w:t>
      </w:r>
      <w:proofErr w:type="spellEnd"/>
      <w:proofErr w:type="gramEnd"/>
      <w:r w:rsidR="00DF31EE" w:rsidRPr="00DF31EE">
        <w:rPr>
          <w:rFonts w:ascii="Book Antiqua" w:hAnsi="Book Antiqua" w:cs="Times New Roman"/>
          <w:bCs/>
          <w:sz w:val="24"/>
          <w:szCs w:val="24"/>
          <w:lang w:val="en-US"/>
        </w:rPr>
        <w:t xml:space="preserve"> A, 2009 risk of bias high in (Bradycardia, Hypotension and Hypoxemia).</w:t>
      </w:r>
      <w:r w:rsidR="003248EE">
        <w:rPr>
          <w:rFonts w:ascii="Book Antiqua" w:hAnsi="Book Antiqua" w:cs="Times New Roman"/>
          <w:bCs/>
          <w:sz w:val="24"/>
          <w:szCs w:val="24"/>
          <w:lang w:val="en-US"/>
        </w:rPr>
        <w:t xml:space="preserve"> </w:t>
      </w:r>
      <w:r w:rsidR="003248EE" w:rsidRPr="00DF31EE">
        <w:rPr>
          <w:rFonts w:ascii="Book Antiqua" w:hAnsi="Book Antiqua" w:cs="Times New Roman"/>
          <w:bCs/>
          <w:sz w:val="24"/>
          <w:szCs w:val="24"/>
          <w:lang w:val="en-US"/>
        </w:rPr>
        <w:t>CI: Confidenc</w:t>
      </w:r>
      <w:r w:rsidR="003248EE">
        <w:rPr>
          <w:rFonts w:ascii="Book Antiqua" w:hAnsi="Book Antiqua" w:cs="Times New Roman"/>
          <w:bCs/>
          <w:sz w:val="24"/>
          <w:szCs w:val="24"/>
          <w:lang w:val="en-US"/>
        </w:rPr>
        <w:t>e interval; MD: Mean difference.</w:t>
      </w:r>
    </w:p>
    <w:p w14:paraId="601BA3EC" w14:textId="77777777" w:rsidR="008F0D01" w:rsidRPr="00470B88" w:rsidRDefault="008F0D01" w:rsidP="00F227A9">
      <w:pPr>
        <w:tabs>
          <w:tab w:val="left" w:pos="1425"/>
        </w:tabs>
        <w:snapToGrid w:val="0"/>
        <w:spacing w:after="0" w:line="360" w:lineRule="auto"/>
        <w:rPr>
          <w:rFonts w:ascii="Book Antiqua" w:hAnsi="Book Antiqua" w:cs="Times New Roman"/>
          <w:b/>
          <w:sz w:val="24"/>
          <w:szCs w:val="24"/>
          <w:shd w:val="clear" w:color="auto" w:fill="FFFFFF"/>
          <w:lang w:val="en-US" w:eastAsia="zh-CN"/>
        </w:rPr>
      </w:pPr>
    </w:p>
    <w:p w14:paraId="18920B38" w14:textId="77777777" w:rsidR="00C02787" w:rsidRDefault="00C02787" w:rsidP="00F227A9">
      <w:pPr>
        <w:snapToGrid w:val="0"/>
        <w:spacing w:after="0" w:line="360" w:lineRule="auto"/>
        <w:jc w:val="both"/>
        <w:rPr>
          <w:rFonts w:ascii="Book Antiqua" w:hAnsi="Book Antiqua" w:cs="Times New Roman"/>
          <w:b/>
          <w:bCs/>
          <w:sz w:val="24"/>
          <w:szCs w:val="24"/>
          <w:lang w:val="en-US"/>
        </w:rPr>
      </w:pPr>
      <w:r w:rsidRPr="00C10A48">
        <w:rPr>
          <w:rFonts w:ascii="Book Antiqua" w:hAnsi="Book Antiqua" w:cs="Times New Roman"/>
          <w:noProof/>
          <w:sz w:val="24"/>
          <w:szCs w:val="24"/>
          <w:lang w:val="en-US" w:eastAsia="zh-CN"/>
        </w:rPr>
        <w:lastRenderedPageBreak/>
        <w:drawing>
          <wp:inline distT="0" distB="0" distL="0" distR="0" wp14:anchorId="1E41CE8B" wp14:editId="78A763D8">
            <wp:extent cx="5430597" cy="1455089"/>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9747" cy="1481656"/>
                    </a:xfrm>
                    <a:prstGeom prst="rect">
                      <a:avLst/>
                    </a:prstGeom>
                    <a:noFill/>
                    <a:ln>
                      <a:noFill/>
                    </a:ln>
                  </pic:spPr>
                </pic:pic>
              </a:graphicData>
            </a:graphic>
          </wp:inline>
        </w:drawing>
      </w:r>
    </w:p>
    <w:p w14:paraId="35C51BC4" w14:textId="77777777" w:rsidR="00C02787" w:rsidRDefault="00C02787" w:rsidP="00F227A9">
      <w:pPr>
        <w:snapToGrid w:val="0"/>
        <w:spacing w:after="0" w:line="360" w:lineRule="auto"/>
        <w:jc w:val="both"/>
        <w:rPr>
          <w:rFonts w:ascii="Book Antiqua" w:hAnsi="Book Antiqua" w:cs="Times New Roman"/>
          <w:b/>
          <w:sz w:val="24"/>
          <w:szCs w:val="24"/>
          <w:lang w:val="en-US"/>
        </w:rPr>
      </w:pPr>
      <w:proofErr w:type="gramStart"/>
      <w:r w:rsidRPr="009469C0">
        <w:rPr>
          <w:rFonts w:ascii="Book Antiqua" w:hAnsi="Book Antiqua" w:cs="Times New Roman"/>
          <w:b/>
          <w:bCs/>
          <w:sz w:val="24"/>
          <w:szCs w:val="24"/>
          <w:lang w:val="en-US"/>
        </w:rPr>
        <w:t>Figure 4</w:t>
      </w:r>
      <w:bookmarkStart w:id="18" w:name="_Hlk36489544"/>
      <w:r w:rsidRPr="009469C0">
        <w:rPr>
          <w:rFonts w:ascii="Book Antiqua" w:hAnsi="Book Antiqua" w:cs="Times New Roman"/>
          <w:b/>
          <w:bCs/>
          <w:sz w:val="24"/>
          <w:szCs w:val="24"/>
          <w:lang w:val="en-US"/>
        </w:rPr>
        <w:t xml:space="preserve"> </w:t>
      </w:r>
      <w:r w:rsidRPr="009469C0">
        <w:rPr>
          <w:rFonts w:ascii="Book Antiqua" w:hAnsi="Book Antiqua" w:cs="Times New Roman"/>
          <w:b/>
          <w:sz w:val="24"/>
          <w:szCs w:val="24"/>
          <w:lang w:val="en-US"/>
        </w:rPr>
        <w:t xml:space="preserve">Forest plot comparing procedure time between propofol and midazolam group </w:t>
      </w:r>
      <w:bookmarkStart w:id="19" w:name="_Hlk36490827"/>
      <w:r w:rsidRPr="009469C0">
        <w:rPr>
          <w:rFonts w:ascii="Book Antiqua" w:hAnsi="Book Antiqua" w:cs="Times New Roman"/>
          <w:b/>
          <w:sz w:val="24"/>
          <w:szCs w:val="24"/>
          <w:lang w:val="en-US"/>
        </w:rPr>
        <w:t>for sedation during elective upper gastrointestinal endoscopy in patients with cirrhosis</w:t>
      </w:r>
      <w:bookmarkEnd w:id="19"/>
      <w:r w:rsidRPr="009469C0">
        <w:rPr>
          <w:rFonts w:ascii="Book Antiqua" w:hAnsi="Book Antiqua" w:cs="Times New Roman"/>
          <w:b/>
          <w:sz w:val="24"/>
          <w:szCs w:val="24"/>
          <w:lang w:val="en-US"/>
        </w:rPr>
        <w:t>.</w:t>
      </w:r>
      <w:bookmarkEnd w:id="18"/>
      <w:proofErr w:type="gramEnd"/>
      <w:r w:rsidRPr="009469C0">
        <w:rPr>
          <w:rFonts w:ascii="Book Antiqua" w:hAnsi="Book Antiqua" w:cs="Times New Roman"/>
          <w:b/>
          <w:sz w:val="24"/>
          <w:szCs w:val="24"/>
          <w:lang w:val="en-US"/>
        </w:rPr>
        <w:t xml:space="preserve"> </w:t>
      </w:r>
    </w:p>
    <w:p w14:paraId="48AE5260" w14:textId="77777777" w:rsidR="00C02787" w:rsidRDefault="00C02787" w:rsidP="00F227A9">
      <w:pPr>
        <w:snapToGrid w:val="0"/>
        <w:spacing w:after="0" w:line="360" w:lineRule="auto"/>
        <w:jc w:val="both"/>
        <w:rPr>
          <w:rFonts w:ascii="Book Antiqua" w:hAnsi="Book Antiqua" w:cs="Times New Roman"/>
          <w:b/>
          <w:sz w:val="24"/>
          <w:szCs w:val="24"/>
          <w:lang w:val="en-US"/>
        </w:rPr>
      </w:pPr>
    </w:p>
    <w:p w14:paraId="4B820B9A" w14:textId="77777777" w:rsidR="00C02787" w:rsidRDefault="00C02787" w:rsidP="00F227A9">
      <w:pPr>
        <w:snapToGrid w:val="0"/>
        <w:spacing w:after="0" w:line="360" w:lineRule="auto"/>
        <w:jc w:val="both"/>
        <w:rPr>
          <w:rFonts w:ascii="Book Antiqua" w:hAnsi="Book Antiqua" w:cs="Times New Roman"/>
          <w:b/>
          <w:bCs/>
          <w:sz w:val="24"/>
          <w:szCs w:val="24"/>
          <w:lang w:val="en-US"/>
        </w:rPr>
      </w:pPr>
      <w:r w:rsidRPr="00C10A48">
        <w:rPr>
          <w:rFonts w:ascii="Book Antiqua" w:hAnsi="Book Antiqua" w:cs="Times New Roman"/>
          <w:b/>
          <w:bCs/>
          <w:noProof/>
          <w:sz w:val="24"/>
          <w:szCs w:val="24"/>
          <w:lang w:val="en-US" w:eastAsia="zh-CN"/>
        </w:rPr>
        <w:drawing>
          <wp:inline distT="0" distB="0" distL="0" distR="0" wp14:anchorId="4BC256A6" wp14:editId="54BFEF20">
            <wp:extent cx="5413985" cy="1315547"/>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3687" cy="1332484"/>
                    </a:xfrm>
                    <a:prstGeom prst="rect">
                      <a:avLst/>
                    </a:prstGeom>
                    <a:noFill/>
                    <a:ln>
                      <a:noFill/>
                    </a:ln>
                  </pic:spPr>
                </pic:pic>
              </a:graphicData>
            </a:graphic>
          </wp:inline>
        </w:drawing>
      </w:r>
    </w:p>
    <w:p w14:paraId="5703E704" w14:textId="77777777" w:rsidR="00C02787" w:rsidRPr="00120B75" w:rsidRDefault="00C02787" w:rsidP="00F227A9">
      <w:pPr>
        <w:snapToGrid w:val="0"/>
        <w:spacing w:after="0" w:line="360" w:lineRule="auto"/>
        <w:jc w:val="both"/>
        <w:rPr>
          <w:rFonts w:ascii="Book Antiqua" w:hAnsi="Book Antiqua" w:cs="Times New Roman"/>
          <w:b/>
          <w:sz w:val="24"/>
          <w:szCs w:val="24"/>
          <w:lang w:val="en-US"/>
        </w:rPr>
      </w:pPr>
      <w:proofErr w:type="gramStart"/>
      <w:r w:rsidRPr="00120B75">
        <w:rPr>
          <w:rFonts w:ascii="Book Antiqua" w:hAnsi="Book Antiqua" w:cs="Times New Roman"/>
          <w:b/>
          <w:bCs/>
          <w:sz w:val="24"/>
          <w:szCs w:val="24"/>
          <w:lang w:val="en-US"/>
        </w:rPr>
        <w:t xml:space="preserve">Figure 5 </w:t>
      </w:r>
      <w:r w:rsidRPr="00120B75">
        <w:rPr>
          <w:rFonts w:ascii="Book Antiqua" w:hAnsi="Book Antiqua" w:cs="Times New Roman"/>
          <w:b/>
          <w:sz w:val="24"/>
          <w:szCs w:val="24"/>
          <w:lang w:val="en-US"/>
        </w:rPr>
        <w:t>Forest plot comparing recovery time between propofol and midazolam group for sedation during elective upper gastrointestinal endoscopy in patients with cirrhosis.</w:t>
      </w:r>
      <w:proofErr w:type="gramEnd"/>
      <w:r w:rsidRPr="00120B75">
        <w:rPr>
          <w:rFonts w:ascii="Book Antiqua" w:hAnsi="Book Antiqua" w:cs="Times New Roman"/>
          <w:b/>
          <w:sz w:val="24"/>
          <w:szCs w:val="24"/>
          <w:lang w:val="en-US"/>
        </w:rPr>
        <w:t xml:space="preserve"> </w:t>
      </w:r>
    </w:p>
    <w:p w14:paraId="7932BBDA" w14:textId="77777777" w:rsidR="00C02787" w:rsidRPr="00C02787" w:rsidRDefault="00C02787" w:rsidP="00F227A9">
      <w:pPr>
        <w:tabs>
          <w:tab w:val="left" w:pos="1425"/>
        </w:tabs>
        <w:snapToGrid w:val="0"/>
        <w:spacing w:after="0" w:line="360" w:lineRule="auto"/>
        <w:rPr>
          <w:rFonts w:ascii="Book Antiqua" w:hAnsi="Book Antiqua" w:cs="Times New Roman"/>
          <w:b/>
          <w:sz w:val="24"/>
          <w:szCs w:val="24"/>
          <w:shd w:val="clear" w:color="auto" w:fill="FFFFFF"/>
          <w:lang w:val="en-US" w:eastAsia="zh-CN"/>
        </w:rPr>
      </w:pPr>
    </w:p>
    <w:p w14:paraId="57F47BCA" w14:textId="77777777" w:rsidR="00C02787" w:rsidRDefault="00C02787" w:rsidP="00F227A9">
      <w:pPr>
        <w:snapToGrid w:val="0"/>
        <w:spacing w:after="0" w:line="360" w:lineRule="auto"/>
        <w:jc w:val="both"/>
        <w:rPr>
          <w:rFonts w:ascii="Book Antiqua" w:hAnsi="Book Antiqua" w:cs="Times New Roman"/>
          <w:b/>
          <w:bCs/>
          <w:sz w:val="24"/>
          <w:szCs w:val="24"/>
          <w:lang w:val="en-US"/>
        </w:rPr>
      </w:pPr>
      <w:r w:rsidRPr="00C10A48">
        <w:rPr>
          <w:rFonts w:ascii="Book Antiqua" w:hAnsi="Book Antiqua" w:cs="Times New Roman"/>
          <w:b/>
          <w:bCs/>
          <w:noProof/>
          <w:sz w:val="24"/>
          <w:szCs w:val="24"/>
          <w:lang w:val="en-US" w:eastAsia="zh-CN"/>
        </w:rPr>
        <w:drawing>
          <wp:inline distT="0" distB="0" distL="0" distR="0" wp14:anchorId="2B0C2AD3" wp14:editId="18B1ADD5">
            <wp:extent cx="5422792" cy="1005384"/>
            <wp:effectExtent l="0" t="0" r="6985" b="444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06140" cy="1020837"/>
                    </a:xfrm>
                    <a:prstGeom prst="rect">
                      <a:avLst/>
                    </a:prstGeom>
                    <a:noFill/>
                    <a:ln>
                      <a:noFill/>
                    </a:ln>
                  </pic:spPr>
                </pic:pic>
              </a:graphicData>
            </a:graphic>
          </wp:inline>
        </w:drawing>
      </w:r>
    </w:p>
    <w:p w14:paraId="593DDFE7" w14:textId="77777777" w:rsidR="00C02787" w:rsidRPr="00120B75" w:rsidRDefault="00C02787" w:rsidP="00F227A9">
      <w:pPr>
        <w:snapToGrid w:val="0"/>
        <w:spacing w:after="0" w:line="360" w:lineRule="auto"/>
        <w:jc w:val="both"/>
        <w:rPr>
          <w:rFonts w:ascii="Book Antiqua" w:hAnsi="Book Antiqua" w:cs="Times New Roman"/>
          <w:b/>
          <w:sz w:val="24"/>
          <w:szCs w:val="24"/>
          <w:lang w:val="en-US"/>
        </w:rPr>
      </w:pPr>
      <w:proofErr w:type="gramStart"/>
      <w:r w:rsidRPr="00120B75">
        <w:rPr>
          <w:rFonts w:ascii="Book Antiqua" w:hAnsi="Book Antiqua" w:cs="Times New Roman"/>
          <w:b/>
          <w:bCs/>
          <w:sz w:val="24"/>
          <w:szCs w:val="24"/>
          <w:lang w:val="en-US"/>
        </w:rPr>
        <w:t xml:space="preserve">Figure 6 </w:t>
      </w:r>
      <w:r w:rsidRPr="00120B75">
        <w:rPr>
          <w:rFonts w:ascii="Book Antiqua" w:hAnsi="Book Antiqua" w:cs="Times New Roman"/>
          <w:b/>
          <w:sz w:val="24"/>
          <w:szCs w:val="24"/>
          <w:lang w:val="en-US"/>
        </w:rPr>
        <w:t>Forest plot comparing discharge time between propofol and midazolam group for sedation during elective upper gastrointestinal endoscopy in patients with cirrhosis.</w:t>
      </w:r>
      <w:proofErr w:type="gramEnd"/>
    </w:p>
    <w:p w14:paraId="35C393DC" w14:textId="77777777" w:rsidR="00C02787" w:rsidRDefault="00C02787" w:rsidP="00F227A9">
      <w:pPr>
        <w:snapToGrid w:val="0"/>
        <w:spacing w:after="0" w:line="360" w:lineRule="auto"/>
        <w:rPr>
          <w:rFonts w:ascii="Book Antiqua" w:hAnsi="Book Antiqua" w:cs="Times New Roman"/>
          <w:b/>
          <w:bCs/>
          <w:sz w:val="24"/>
          <w:szCs w:val="24"/>
          <w:lang w:val="en-US"/>
        </w:rPr>
      </w:pPr>
      <w:r>
        <w:rPr>
          <w:rFonts w:ascii="Book Antiqua" w:hAnsi="Book Antiqua" w:cs="Times New Roman"/>
          <w:b/>
          <w:bCs/>
          <w:sz w:val="24"/>
          <w:szCs w:val="24"/>
          <w:lang w:val="en-US"/>
        </w:rPr>
        <w:br w:type="page"/>
      </w:r>
    </w:p>
    <w:p w14:paraId="75B52D8E" w14:textId="77777777" w:rsidR="00C02787" w:rsidRDefault="00C02787" w:rsidP="00F227A9">
      <w:pPr>
        <w:snapToGrid w:val="0"/>
        <w:spacing w:after="0" w:line="360" w:lineRule="auto"/>
        <w:jc w:val="both"/>
        <w:rPr>
          <w:rFonts w:ascii="Book Antiqua" w:hAnsi="Book Antiqua" w:cs="Times New Roman"/>
          <w:b/>
          <w:bCs/>
          <w:sz w:val="24"/>
          <w:szCs w:val="24"/>
          <w:lang w:val="en-US"/>
        </w:rPr>
      </w:pPr>
      <w:r w:rsidRPr="00C10A48">
        <w:rPr>
          <w:rFonts w:ascii="Book Antiqua" w:hAnsi="Book Antiqua" w:cs="Times New Roman"/>
          <w:noProof/>
          <w:sz w:val="24"/>
          <w:szCs w:val="24"/>
          <w:lang w:val="en-US" w:eastAsia="zh-CN"/>
        </w:rPr>
        <w:lastRenderedPageBreak/>
        <w:drawing>
          <wp:inline distT="0" distB="0" distL="0" distR="0" wp14:anchorId="4A3B3E3D" wp14:editId="5DCF989A">
            <wp:extent cx="5400040" cy="540004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5400040"/>
                    </a:xfrm>
                    <a:prstGeom prst="rect">
                      <a:avLst/>
                    </a:prstGeom>
                    <a:noFill/>
                    <a:ln>
                      <a:noFill/>
                    </a:ln>
                  </pic:spPr>
                </pic:pic>
              </a:graphicData>
            </a:graphic>
          </wp:inline>
        </w:drawing>
      </w:r>
    </w:p>
    <w:p w14:paraId="42A18A16" w14:textId="77777777" w:rsidR="00C02787" w:rsidRPr="00346363" w:rsidRDefault="00C02787" w:rsidP="00F227A9">
      <w:pPr>
        <w:snapToGrid w:val="0"/>
        <w:spacing w:after="0" w:line="360" w:lineRule="auto"/>
        <w:jc w:val="both"/>
        <w:rPr>
          <w:rFonts w:ascii="Book Antiqua" w:hAnsi="Book Antiqua" w:cs="Times New Roman"/>
          <w:b/>
          <w:sz w:val="24"/>
          <w:szCs w:val="24"/>
          <w:lang w:val="en-US"/>
        </w:rPr>
      </w:pPr>
      <w:r w:rsidRPr="00346363">
        <w:rPr>
          <w:rFonts w:ascii="Book Antiqua" w:hAnsi="Book Antiqua" w:cs="Times New Roman"/>
          <w:b/>
          <w:bCs/>
          <w:sz w:val="24"/>
          <w:szCs w:val="24"/>
          <w:lang w:val="en-US"/>
        </w:rPr>
        <w:t xml:space="preserve">Figure 7 </w:t>
      </w:r>
      <w:r w:rsidRPr="00346363">
        <w:rPr>
          <w:rFonts w:ascii="Book Antiqua" w:hAnsi="Book Antiqua" w:cs="Times New Roman"/>
          <w:b/>
          <w:sz w:val="24"/>
          <w:szCs w:val="24"/>
          <w:lang w:val="en-US"/>
        </w:rPr>
        <w:t>Forest plot comparing adverse events between propofol and midazolam group for sedation during elective upper gastrointestinal endoscopy in patients with cirrhosis.</w:t>
      </w:r>
    </w:p>
    <w:p w14:paraId="62457491" w14:textId="77777777" w:rsidR="00C02787" w:rsidRPr="00C02787" w:rsidRDefault="00C02787" w:rsidP="00F227A9">
      <w:pPr>
        <w:tabs>
          <w:tab w:val="left" w:pos="1425"/>
        </w:tabs>
        <w:snapToGrid w:val="0"/>
        <w:spacing w:after="0" w:line="360" w:lineRule="auto"/>
        <w:rPr>
          <w:rFonts w:ascii="Book Antiqua" w:hAnsi="Book Antiqua" w:cs="Times New Roman"/>
          <w:b/>
          <w:sz w:val="24"/>
          <w:szCs w:val="24"/>
          <w:shd w:val="clear" w:color="auto" w:fill="FFFFFF"/>
          <w:lang w:val="en-US" w:eastAsia="zh-CN"/>
        </w:rPr>
        <w:sectPr w:rsidR="00C02787" w:rsidRPr="00C02787" w:rsidSect="003E7EDB">
          <w:footerReference w:type="even" r:id="rId17"/>
          <w:footerReference w:type="default" r:id="rId18"/>
          <w:pgSz w:w="11906" w:h="16838"/>
          <w:pgMar w:top="1417" w:right="1701" w:bottom="1417" w:left="1701" w:header="708" w:footer="708" w:gutter="0"/>
          <w:cols w:space="708"/>
          <w:docGrid w:linePitch="360"/>
        </w:sectPr>
      </w:pPr>
    </w:p>
    <w:p w14:paraId="06213BF2" w14:textId="64F45AB9" w:rsidR="005F2ADF" w:rsidRPr="005F2ADF" w:rsidRDefault="005F2ADF" w:rsidP="00F227A9">
      <w:pPr>
        <w:snapToGrid w:val="0"/>
        <w:spacing w:after="0" w:line="360" w:lineRule="auto"/>
        <w:jc w:val="both"/>
        <w:rPr>
          <w:rFonts w:ascii="Book Antiqua" w:eastAsia="Times New Roman" w:hAnsi="Book Antiqua" w:cs="Times New Roman"/>
          <w:b/>
          <w:sz w:val="24"/>
          <w:szCs w:val="24"/>
          <w:lang w:val="en-US" w:eastAsia="pt-BR"/>
        </w:rPr>
      </w:pPr>
      <w:r w:rsidRPr="005F2ADF">
        <w:rPr>
          <w:rFonts w:ascii="Book Antiqua" w:eastAsia="Times New Roman" w:hAnsi="Book Antiqua" w:cs="Times New Roman"/>
          <w:b/>
          <w:bCs/>
          <w:sz w:val="24"/>
          <w:szCs w:val="24"/>
          <w:lang w:val="en-US" w:eastAsia="pt-BR"/>
        </w:rPr>
        <w:lastRenderedPageBreak/>
        <w:t xml:space="preserve">Table 1 </w:t>
      </w:r>
      <w:r w:rsidRPr="005F2ADF">
        <w:rPr>
          <w:rFonts w:ascii="Book Antiqua" w:eastAsia="Times New Roman" w:hAnsi="Book Antiqua" w:cs="Times New Roman"/>
          <w:b/>
          <w:sz w:val="24"/>
          <w:szCs w:val="24"/>
          <w:lang w:val="en-US" w:eastAsia="pt-BR"/>
        </w:rPr>
        <w:t>Characteristics of included studies</w:t>
      </w:r>
    </w:p>
    <w:tbl>
      <w:tblPr>
        <w:tblW w:w="13745"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1838"/>
        <w:gridCol w:w="1418"/>
        <w:gridCol w:w="3260"/>
        <w:gridCol w:w="2268"/>
        <w:gridCol w:w="4961"/>
      </w:tblGrid>
      <w:tr w:rsidR="005F2ADF" w:rsidRPr="00C10A48" w14:paraId="5A19C4B5" w14:textId="77777777" w:rsidTr="00CA3AF2">
        <w:trPr>
          <w:trHeight w:val="900"/>
        </w:trPr>
        <w:tc>
          <w:tcPr>
            <w:tcW w:w="1838" w:type="dxa"/>
            <w:tcBorders>
              <w:top w:val="single" w:sz="4" w:space="0" w:color="auto"/>
              <w:bottom w:val="single" w:sz="4" w:space="0" w:color="auto"/>
            </w:tcBorders>
            <w:shd w:val="clear" w:color="auto" w:fill="auto"/>
            <w:vAlign w:val="center"/>
            <w:hideMark/>
          </w:tcPr>
          <w:p w14:paraId="0F62E4B5" w14:textId="02F92CDD" w:rsidR="005F2ADF" w:rsidRPr="00C10A48" w:rsidRDefault="003D6C33" w:rsidP="00F227A9">
            <w:pPr>
              <w:snapToGrid w:val="0"/>
              <w:spacing w:after="0" w:line="360" w:lineRule="auto"/>
              <w:jc w:val="both"/>
              <w:rPr>
                <w:rFonts w:ascii="Book Antiqua" w:eastAsia="Times New Roman" w:hAnsi="Book Antiqua" w:cs="Times New Roman"/>
                <w:b/>
                <w:bCs/>
                <w:sz w:val="24"/>
                <w:szCs w:val="24"/>
                <w:lang w:val="en-US" w:eastAsia="es-EC"/>
              </w:rPr>
            </w:pPr>
            <w:r>
              <w:rPr>
                <w:rFonts w:ascii="Book Antiqua" w:eastAsia="Times New Roman" w:hAnsi="Book Antiqua" w:cs="Times New Roman"/>
                <w:b/>
                <w:bCs/>
                <w:sz w:val="24"/>
                <w:szCs w:val="24"/>
                <w:lang w:val="en-US" w:eastAsia="es-EC"/>
              </w:rPr>
              <w:t>Ref.</w:t>
            </w:r>
          </w:p>
        </w:tc>
        <w:tc>
          <w:tcPr>
            <w:tcW w:w="1418" w:type="dxa"/>
            <w:tcBorders>
              <w:top w:val="single" w:sz="4" w:space="0" w:color="auto"/>
              <w:bottom w:val="single" w:sz="4" w:space="0" w:color="auto"/>
            </w:tcBorders>
            <w:shd w:val="clear" w:color="auto" w:fill="auto"/>
            <w:vAlign w:val="center"/>
            <w:hideMark/>
          </w:tcPr>
          <w:p w14:paraId="5FECBBE9" w14:textId="77777777" w:rsidR="005F2ADF" w:rsidRPr="00C10A48" w:rsidRDefault="005F2ADF" w:rsidP="00F227A9">
            <w:pPr>
              <w:snapToGrid w:val="0"/>
              <w:spacing w:after="0" w:line="360" w:lineRule="auto"/>
              <w:jc w:val="both"/>
              <w:rPr>
                <w:rFonts w:ascii="Book Antiqua" w:eastAsia="Times New Roman" w:hAnsi="Book Antiqua" w:cs="Times New Roman"/>
                <w:b/>
                <w:bCs/>
                <w:sz w:val="24"/>
                <w:szCs w:val="24"/>
                <w:lang w:val="en-US" w:eastAsia="es-EC"/>
              </w:rPr>
            </w:pPr>
            <w:r w:rsidRPr="00C10A48">
              <w:rPr>
                <w:rFonts w:ascii="Book Antiqua" w:eastAsia="Times New Roman" w:hAnsi="Book Antiqua" w:cs="Times New Roman"/>
                <w:b/>
                <w:bCs/>
                <w:sz w:val="24"/>
                <w:szCs w:val="24"/>
                <w:lang w:val="en-US" w:eastAsia="es-EC"/>
              </w:rPr>
              <w:t>Study type</w:t>
            </w:r>
          </w:p>
        </w:tc>
        <w:tc>
          <w:tcPr>
            <w:tcW w:w="3260" w:type="dxa"/>
            <w:tcBorders>
              <w:top w:val="single" w:sz="4" w:space="0" w:color="auto"/>
              <w:bottom w:val="single" w:sz="4" w:space="0" w:color="auto"/>
            </w:tcBorders>
            <w:shd w:val="clear" w:color="auto" w:fill="auto"/>
            <w:vAlign w:val="center"/>
            <w:hideMark/>
          </w:tcPr>
          <w:p w14:paraId="17F1B06A" w14:textId="3E38E0AC" w:rsidR="005F2ADF" w:rsidRPr="00C10A48" w:rsidRDefault="005F2ADF" w:rsidP="00F227A9">
            <w:pPr>
              <w:snapToGrid w:val="0"/>
              <w:spacing w:after="0" w:line="360" w:lineRule="auto"/>
              <w:rPr>
                <w:rFonts w:ascii="Book Antiqua" w:eastAsia="Times New Roman" w:hAnsi="Book Antiqua" w:cs="Times New Roman"/>
                <w:b/>
                <w:bCs/>
                <w:sz w:val="24"/>
                <w:szCs w:val="24"/>
                <w:lang w:val="en-US" w:eastAsia="es-EC"/>
              </w:rPr>
            </w:pPr>
            <w:r w:rsidRPr="00C10A48">
              <w:rPr>
                <w:rFonts w:ascii="Book Antiqua" w:eastAsia="Times New Roman" w:hAnsi="Book Antiqua" w:cs="Times New Roman"/>
                <w:b/>
                <w:bCs/>
                <w:sz w:val="24"/>
                <w:szCs w:val="24"/>
                <w:lang w:val="en-US" w:eastAsia="es-EC"/>
              </w:rPr>
              <w:t xml:space="preserve"> Inclusion criteria and </w:t>
            </w:r>
            <w:r w:rsidR="003D6C33" w:rsidRPr="00C10A48">
              <w:rPr>
                <w:rFonts w:ascii="Book Antiqua" w:eastAsia="Times New Roman" w:hAnsi="Book Antiqua" w:cs="Times New Roman"/>
                <w:b/>
                <w:bCs/>
                <w:sz w:val="24"/>
                <w:szCs w:val="24"/>
                <w:lang w:val="en-US" w:eastAsia="es-EC"/>
              </w:rPr>
              <w:t>o</w:t>
            </w:r>
            <w:r w:rsidRPr="00C10A48">
              <w:rPr>
                <w:rFonts w:ascii="Book Antiqua" w:eastAsia="Times New Roman" w:hAnsi="Book Antiqua" w:cs="Times New Roman"/>
                <w:b/>
                <w:bCs/>
                <w:sz w:val="24"/>
                <w:szCs w:val="24"/>
                <w:lang w:val="en-US" w:eastAsia="es-EC"/>
              </w:rPr>
              <w:t xml:space="preserve">utcomes </w:t>
            </w:r>
          </w:p>
        </w:tc>
        <w:tc>
          <w:tcPr>
            <w:tcW w:w="2268" w:type="dxa"/>
            <w:tcBorders>
              <w:top w:val="single" w:sz="4" w:space="0" w:color="auto"/>
              <w:bottom w:val="single" w:sz="4" w:space="0" w:color="auto"/>
            </w:tcBorders>
            <w:shd w:val="clear" w:color="auto" w:fill="auto"/>
            <w:vAlign w:val="center"/>
            <w:hideMark/>
          </w:tcPr>
          <w:p w14:paraId="2E099306" w14:textId="77777777" w:rsidR="005F2ADF" w:rsidRPr="00C10A48" w:rsidRDefault="005F2ADF" w:rsidP="00F227A9">
            <w:pPr>
              <w:snapToGrid w:val="0"/>
              <w:spacing w:after="0" w:line="360" w:lineRule="auto"/>
              <w:jc w:val="both"/>
              <w:rPr>
                <w:rFonts w:ascii="Book Antiqua" w:eastAsia="Times New Roman" w:hAnsi="Book Antiqua" w:cs="Times New Roman"/>
                <w:b/>
                <w:bCs/>
                <w:sz w:val="24"/>
                <w:szCs w:val="24"/>
                <w:lang w:val="en-US" w:eastAsia="es-EC"/>
              </w:rPr>
            </w:pPr>
            <w:r w:rsidRPr="00C10A48">
              <w:rPr>
                <w:rFonts w:ascii="Book Antiqua" w:eastAsia="Times New Roman" w:hAnsi="Book Antiqua" w:cs="Times New Roman"/>
                <w:b/>
                <w:bCs/>
                <w:sz w:val="24"/>
                <w:szCs w:val="24"/>
                <w:lang w:val="en-US" w:eastAsia="es-EC"/>
              </w:rPr>
              <w:t>Medication</w:t>
            </w:r>
          </w:p>
        </w:tc>
        <w:tc>
          <w:tcPr>
            <w:tcW w:w="4961" w:type="dxa"/>
            <w:tcBorders>
              <w:top w:val="single" w:sz="4" w:space="0" w:color="auto"/>
              <w:bottom w:val="single" w:sz="4" w:space="0" w:color="auto"/>
            </w:tcBorders>
            <w:shd w:val="clear" w:color="auto" w:fill="auto"/>
            <w:vAlign w:val="center"/>
            <w:hideMark/>
          </w:tcPr>
          <w:p w14:paraId="405A0FB7" w14:textId="77777777" w:rsidR="005F2ADF" w:rsidRPr="00C10A48" w:rsidRDefault="005F2ADF" w:rsidP="00F227A9">
            <w:pPr>
              <w:snapToGrid w:val="0"/>
              <w:spacing w:after="0" w:line="360" w:lineRule="auto"/>
              <w:jc w:val="both"/>
              <w:rPr>
                <w:rFonts w:ascii="Book Antiqua" w:eastAsia="Times New Roman" w:hAnsi="Book Antiqua" w:cs="Times New Roman"/>
                <w:b/>
                <w:bCs/>
                <w:sz w:val="24"/>
                <w:szCs w:val="24"/>
                <w:lang w:val="en-US" w:eastAsia="es-EC"/>
              </w:rPr>
            </w:pPr>
            <w:r w:rsidRPr="00C10A48">
              <w:rPr>
                <w:rFonts w:ascii="Book Antiqua" w:eastAsia="Times New Roman" w:hAnsi="Book Antiqua" w:cs="Times New Roman"/>
                <w:b/>
                <w:bCs/>
                <w:sz w:val="24"/>
                <w:szCs w:val="24"/>
                <w:lang w:val="en-US" w:eastAsia="es-EC"/>
              </w:rPr>
              <w:t>Intervention</w:t>
            </w:r>
          </w:p>
        </w:tc>
      </w:tr>
      <w:tr w:rsidR="005F2ADF" w:rsidRPr="00C10A48" w14:paraId="12D4D8E2" w14:textId="77777777" w:rsidTr="00CA3AF2">
        <w:trPr>
          <w:trHeight w:val="750"/>
        </w:trPr>
        <w:tc>
          <w:tcPr>
            <w:tcW w:w="1838" w:type="dxa"/>
            <w:vMerge w:val="restart"/>
            <w:tcBorders>
              <w:top w:val="single" w:sz="4" w:space="0" w:color="auto"/>
            </w:tcBorders>
            <w:shd w:val="clear" w:color="auto" w:fill="auto"/>
            <w:vAlign w:val="center"/>
            <w:hideMark/>
          </w:tcPr>
          <w:p w14:paraId="299C3CCE" w14:textId="219FC45E" w:rsidR="005F2ADF" w:rsidRPr="00C10A48" w:rsidRDefault="005F2ADF" w:rsidP="00F227A9">
            <w:pPr>
              <w:snapToGrid w:val="0"/>
              <w:spacing w:after="0" w:line="360" w:lineRule="auto"/>
              <w:jc w:val="center"/>
              <w:rPr>
                <w:rFonts w:ascii="Book Antiqua" w:eastAsia="Times New Roman" w:hAnsi="Book Antiqua" w:cs="Times New Roman"/>
                <w:sz w:val="24"/>
                <w:szCs w:val="24"/>
                <w:lang w:val="en-US" w:eastAsia="es-EC"/>
              </w:rPr>
            </w:pPr>
            <w:proofErr w:type="spellStart"/>
            <w:r w:rsidRPr="00C10A48">
              <w:rPr>
                <w:rFonts w:ascii="Book Antiqua" w:eastAsia="Times New Roman" w:hAnsi="Book Antiqua" w:cs="Times New Roman"/>
                <w:sz w:val="24"/>
                <w:szCs w:val="24"/>
                <w:lang w:val="en-US" w:eastAsia="es-EC"/>
              </w:rPr>
              <w:t>Yoo</w:t>
            </w:r>
            <w:proofErr w:type="spellEnd"/>
            <w:r w:rsidRPr="00C10A48">
              <w:rPr>
                <w:rFonts w:ascii="Book Antiqua" w:eastAsia="Times New Roman" w:hAnsi="Book Antiqua" w:cs="Times New Roman"/>
                <w:sz w:val="24"/>
                <w:szCs w:val="24"/>
                <w:lang w:val="en-US" w:eastAsia="es-EC"/>
              </w:rPr>
              <w:t xml:space="preserve"> </w:t>
            </w:r>
            <w:r w:rsidR="00C736D0" w:rsidRPr="00C736D0">
              <w:rPr>
                <w:rFonts w:ascii="Book Antiqua" w:eastAsia="Times New Roman" w:hAnsi="Book Antiqua" w:cs="Times New Roman"/>
                <w:i/>
                <w:sz w:val="24"/>
                <w:szCs w:val="24"/>
                <w:lang w:val="en-US" w:eastAsia="es-EC"/>
              </w:rPr>
              <w:t>et al</w:t>
            </w:r>
            <w:r w:rsidRPr="00C10A48">
              <w:rPr>
                <w:rFonts w:ascii="Book Antiqua" w:eastAsia="Times New Roman" w:hAnsi="Book Antiqua" w:cs="Times New Roman"/>
                <w:noProof/>
                <w:sz w:val="24"/>
                <w:szCs w:val="24"/>
                <w:vertAlign w:val="superscript"/>
                <w:lang w:val="en-US" w:eastAsia="es-EC"/>
              </w:rPr>
              <w:t>[18]</w:t>
            </w:r>
            <w:r w:rsidR="00C736D0">
              <w:rPr>
                <w:rFonts w:ascii="Book Antiqua" w:eastAsia="Times New Roman" w:hAnsi="Book Antiqua" w:cs="Times New Roman"/>
                <w:sz w:val="24"/>
                <w:szCs w:val="24"/>
                <w:lang w:val="en-US" w:eastAsia="es-EC"/>
              </w:rPr>
              <w:t>,</w:t>
            </w:r>
            <w:r w:rsidR="00A050AA">
              <w:rPr>
                <w:rFonts w:ascii="Book Antiqua" w:eastAsia="Times New Roman" w:hAnsi="Book Antiqua" w:cs="Times New Roman"/>
                <w:sz w:val="24"/>
                <w:szCs w:val="24"/>
                <w:lang w:val="en-US" w:eastAsia="es-EC"/>
              </w:rPr>
              <w:t xml:space="preserve"> 2019</w:t>
            </w:r>
            <w:r w:rsidR="00406F49">
              <w:rPr>
                <w:rFonts w:ascii="Book Antiqua" w:eastAsia="Times New Roman" w:hAnsi="Book Antiqua" w:cs="Times New Roman"/>
                <w:sz w:val="24"/>
                <w:szCs w:val="24"/>
                <w:lang w:val="en-US" w:eastAsia="es-EC"/>
              </w:rPr>
              <w:t xml:space="preserve">, </w:t>
            </w:r>
            <w:r w:rsidR="00A050AA">
              <w:rPr>
                <w:rFonts w:ascii="Book Antiqua" w:eastAsia="Times New Roman" w:hAnsi="Book Antiqua" w:cs="Times New Roman"/>
                <w:sz w:val="24"/>
                <w:szCs w:val="24"/>
                <w:lang w:val="en-US" w:eastAsia="es-EC"/>
              </w:rPr>
              <w:t xml:space="preserve">South </w:t>
            </w:r>
            <w:r w:rsidRPr="00C10A48">
              <w:rPr>
                <w:rFonts w:ascii="Book Antiqua" w:eastAsia="Times New Roman" w:hAnsi="Book Antiqua" w:cs="Times New Roman"/>
                <w:sz w:val="24"/>
                <w:szCs w:val="24"/>
                <w:lang w:val="en-US" w:eastAsia="es-EC"/>
              </w:rPr>
              <w:t>Korea</w:t>
            </w:r>
          </w:p>
        </w:tc>
        <w:tc>
          <w:tcPr>
            <w:tcW w:w="1418" w:type="dxa"/>
            <w:vMerge w:val="restart"/>
            <w:tcBorders>
              <w:top w:val="single" w:sz="4" w:space="0" w:color="auto"/>
            </w:tcBorders>
            <w:shd w:val="clear" w:color="auto" w:fill="auto"/>
            <w:noWrap/>
            <w:vAlign w:val="center"/>
            <w:hideMark/>
          </w:tcPr>
          <w:p w14:paraId="69D577A3"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RCT</w:t>
            </w:r>
          </w:p>
        </w:tc>
        <w:tc>
          <w:tcPr>
            <w:tcW w:w="3260" w:type="dxa"/>
            <w:vMerge w:val="restart"/>
            <w:tcBorders>
              <w:top w:val="single" w:sz="4" w:space="0" w:color="auto"/>
            </w:tcBorders>
            <w:shd w:val="clear" w:color="auto" w:fill="auto"/>
            <w:hideMark/>
          </w:tcPr>
          <w:p w14:paraId="643895BD" w14:textId="07196F6D" w:rsidR="003242C9" w:rsidRDefault="005F2ADF" w:rsidP="00F227A9">
            <w:pPr>
              <w:snapToGrid w:val="0"/>
              <w:spacing w:after="0" w:line="360" w:lineRule="auto"/>
              <w:rPr>
                <w:rFonts w:ascii="Book Antiqua" w:eastAsia="Times New Roman" w:hAnsi="Book Antiqua" w:cs="Times New Roman"/>
                <w:sz w:val="24"/>
                <w:szCs w:val="24"/>
                <w:lang w:val="en-US" w:eastAsia="es-EC"/>
              </w:rPr>
            </w:pPr>
            <w:r w:rsidRPr="00C10A48">
              <w:rPr>
                <w:rFonts w:ascii="Book Antiqua" w:eastAsia="Times New Roman" w:hAnsi="Book Antiqua" w:cs="Times New Roman"/>
                <w:b/>
                <w:bCs/>
                <w:sz w:val="24"/>
                <w:szCs w:val="24"/>
                <w:lang w:val="en-US" w:eastAsia="es-EC"/>
              </w:rPr>
              <w:t>Inclusion:</w:t>
            </w:r>
            <w:r w:rsidR="00CA3AF2">
              <w:rPr>
                <w:rFonts w:ascii="Book Antiqua" w:eastAsia="Times New Roman" w:hAnsi="Book Antiqua" w:cs="Times New Roman"/>
                <w:sz w:val="24"/>
                <w:szCs w:val="24"/>
                <w:lang w:val="en-US" w:eastAsia="es-EC"/>
              </w:rPr>
              <w:t xml:space="preserve"> </w:t>
            </w:r>
            <w:r w:rsidR="00A90808">
              <w:rPr>
                <w:rFonts w:ascii="Book Antiqua" w:eastAsia="等线" w:hAnsi="Book Antiqua" w:cs="Times New Roman" w:hint="eastAsia"/>
                <w:sz w:val="24"/>
                <w:szCs w:val="24"/>
                <w:lang w:val="en-US" w:eastAsia="zh-CN"/>
              </w:rPr>
              <w:t>P</w:t>
            </w:r>
            <w:r w:rsidR="00CA3AF2">
              <w:rPr>
                <w:rFonts w:ascii="Book Antiqua" w:eastAsia="Times New Roman" w:hAnsi="Book Antiqua" w:cs="Times New Roman"/>
                <w:sz w:val="24"/>
                <w:szCs w:val="24"/>
                <w:lang w:val="en-US" w:eastAsia="es-EC"/>
              </w:rPr>
              <w:t xml:space="preserve">atients aged 19 to 75 </w:t>
            </w:r>
            <w:proofErr w:type="spellStart"/>
            <w:r w:rsidR="00CA3AF2">
              <w:rPr>
                <w:rFonts w:ascii="Book Antiqua" w:eastAsia="Times New Roman" w:hAnsi="Book Antiqua" w:cs="Times New Roman"/>
                <w:sz w:val="24"/>
                <w:szCs w:val="24"/>
                <w:lang w:val="en-US" w:eastAsia="es-EC"/>
              </w:rPr>
              <w:t>yr</w:t>
            </w:r>
            <w:proofErr w:type="spellEnd"/>
            <w:r w:rsidRPr="00C10A48">
              <w:rPr>
                <w:rFonts w:ascii="Book Antiqua" w:eastAsia="Times New Roman" w:hAnsi="Book Antiqua" w:cs="Times New Roman"/>
                <w:sz w:val="24"/>
                <w:szCs w:val="24"/>
                <w:lang w:val="en-US" w:eastAsia="es-EC"/>
              </w:rPr>
              <w:t xml:space="preserve"> for evaluation of portal hypertension; ASA I-III; Child-Turcotte-Pugh A, B, and C. </w:t>
            </w:r>
          </w:p>
          <w:p w14:paraId="3D5B8906" w14:textId="417A4ACA" w:rsidR="005F2ADF" w:rsidRPr="00C10A48" w:rsidRDefault="005F2ADF" w:rsidP="00F227A9">
            <w:pPr>
              <w:snapToGrid w:val="0"/>
              <w:spacing w:after="0" w:line="360" w:lineRule="auto"/>
              <w:rPr>
                <w:rFonts w:ascii="Book Antiqua" w:eastAsia="Times New Roman" w:hAnsi="Book Antiqua" w:cs="Times New Roman"/>
                <w:sz w:val="24"/>
                <w:szCs w:val="24"/>
                <w:lang w:val="en-US" w:eastAsia="es-EC"/>
              </w:rPr>
            </w:pPr>
            <w:r w:rsidRPr="00C10A48">
              <w:rPr>
                <w:rFonts w:ascii="Book Antiqua" w:eastAsia="Times New Roman" w:hAnsi="Book Antiqua" w:cs="Times New Roman"/>
                <w:b/>
                <w:bCs/>
                <w:sz w:val="24"/>
                <w:szCs w:val="24"/>
                <w:lang w:val="en-US" w:eastAsia="es-EC"/>
              </w:rPr>
              <w:t xml:space="preserve">Outcomes: </w:t>
            </w:r>
            <w:r w:rsidRPr="00C10A48">
              <w:rPr>
                <w:rFonts w:ascii="Book Antiqua" w:eastAsia="Times New Roman" w:hAnsi="Book Antiqua" w:cs="Times New Roman"/>
                <w:sz w:val="24"/>
                <w:szCs w:val="24"/>
                <w:lang w:val="en-US" w:eastAsia="es-EC"/>
              </w:rPr>
              <w:t xml:space="preserve"> Exacerbation of MHE, adverse events and discharge time; suggestive satisfaction measurements.                                           </w:t>
            </w:r>
          </w:p>
        </w:tc>
        <w:tc>
          <w:tcPr>
            <w:tcW w:w="2268" w:type="dxa"/>
            <w:tcBorders>
              <w:top w:val="single" w:sz="4" w:space="0" w:color="auto"/>
            </w:tcBorders>
            <w:shd w:val="clear" w:color="auto" w:fill="auto"/>
            <w:vAlign w:val="center"/>
            <w:hideMark/>
          </w:tcPr>
          <w:p w14:paraId="7BA478BA"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Propofol (20)</w:t>
            </w:r>
          </w:p>
        </w:tc>
        <w:tc>
          <w:tcPr>
            <w:tcW w:w="4961" w:type="dxa"/>
            <w:tcBorders>
              <w:top w:val="single" w:sz="4" w:space="0" w:color="auto"/>
            </w:tcBorders>
            <w:shd w:val="clear" w:color="auto" w:fill="auto"/>
            <w:hideMark/>
          </w:tcPr>
          <w:p w14:paraId="6FB877B2" w14:textId="6EBFFD81"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Propofol</w:t>
            </w:r>
            <w:r w:rsidR="00CA3AF2">
              <w:rPr>
                <w:rFonts w:ascii="Book Antiqua" w:eastAsia="Times New Roman" w:hAnsi="Book Antiqua" w:cs="Times New Roman"/>
                <w:sz w:val="24"/>
                <w:szCs w:val="24"/>
                <w:lang w:val="en-US" w:eastAsia="es-EC"/>
              </w:rPr>
              <w:t xml:space="preserve">: 0.5 mg/kg in patients &lt; 65 </w:t>
            </w:r>
            <w:proofErr w:type="spellStart"/>
            <w:r w:rsidR="00CA3AF2">
              <w:rPr>
                <w:rFonts w:ascii="Book Antiqua" w:eastAsia="Times New Roman" w:hAnsi="Book Antiqua" w:cs="Times New Roman"/>
                <w:sz w:val="24"/>
                <w:szCs w:val="24"/>
                <w:lang w:val="en-US" w:eastAsia="es-EC"/>
              </w:rPr>
              <w:t>yr</w:t>
            </w:r>
            <w:proofErr w:type="spellEnd"/>
            <w:r w:rsidRPr="00C10A48">
              <w:rPr>
                <w:rFonts w:ascii="Book Antiqua" w:eastAsia="Times New Roman" w:hAnsi="Book Antiqua" w:cs="Times New Roman"/>
                <w:sz w:val="24"/>
                <w:szCs w:val="24"/>
                <w:lang w:val="en-US" w:eastAsia="es-EC"/>
              </w:rPr>
              <w:t xml:space="preserve"> old or with body weight &gt; 55 k</w:t>
            </w:r>
            <w:r w:rsidR="00F86DC3">
              <w:rPr>
                <w:rFonts w:ascii="Book Antiqua" w:eastAsia="Times New Roman" w:hAnsi="Book Antiqua" w:cs="Times New Roman"/>
                <w:sz w:val="24"/>
                <w:szCs w:val="24"/>
                <w:lang w:val="en-US" w:eastAsia="es-EC"/>
              </w:rPr>
              <w:t xml:space="preserve">g. In patients older than 65 </w:t>
            </w:r>
            <w:proofErr w:type="spellStart"/>
            <w:r w:rsidR="00F86DC3">
              <w:rPr>
                <w:rFonts w:ascii="Book Antiqua" w:eastAsia="Times New Roman" w:hAnsi="Book Antiqua" w:cs="Times New Roman"/>
                <w:sz w:val="24"/>
                <w:szCs w:val="24"/>
                <w:lang w:val="en-US" w:eastAsia="es-EC"/>
              </w:rPr>
              <w:t>yr</w:t>
            </w:r>
            <w:proofErr w:type="spellEnd"/>
            <w:r w:rsidRPr="00C10A48">
              <w:rPr>
                <w:rFonts w:ascii="Book Antiqua" w:eastAsia="Times New Roman" w:hAnsi="Book Antiqua" w:cs="Times New Roman"/>
                <w:sz w:val="24"/>
                <w:szCs w:val="24"/>
                <w:lang w:val="en-US" w:eastAsia="es-EC"/>
              </w:rPr>
              <w:t xml:space="preserve"> and with body weight &lt; 55 kg, the initial dose was 50% lower. </w:t>
            </w:r>
          </w:p>
        </w:tc>
      </w:tr>
      <w:tr w:rsidR="005F2ADF" w:rsidRPr="00C10A48" w14:paraId="6BCE9AD4" w14:textId="77777777" w:rsidTr="00CA3AF2">
        <w:trPr>
          <w:trHeight w:val="735"/>
        </w:trPr>
        <w:tc>
          <w:tcPr>
            <w:tcW w:w="1838" w:type="dxa"/>
            <w:vMerge/>
            <w:vAlign w:val="center"/>
            <w:hideMark/>
          </w:tcPr>
          <w:p w14:paraId="0A911B44"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p>
        </w:tc>
        <w:tc>
          <w:tcPr>
            <w:tcW w:w="1418" w:type="dxa"/>
            <w:vMerge/>
            <w:vAlign w:val="center"/>
            <w:hideMark/>
          </w:tcPr>
          <w:p w14:paraId="7BCFA5EA"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p>
        </w:tc>
        <w:tc>
          <w:tcPr>
            <w:tcW w:w="3260" w:type="dxa"/>
            <w:vMerge/>
            <w:vAlign w:val="center"/>
            <w:hideMark/>
          </w:tcPr>
          <w:p w14:paraId="681CF445" w14:textId="77777777" w:rsidR="005F2ADF" w:rsidRPr="00C10A48" w:rsidRDefault="005F2ADF" w:rsidP="00F227A9">
            <w:pPr>
              <w:snapToGrid w:val="0"/>
              <w:spacing w:after="0" w:line="360" w:lineRule="auto"/>
              <w:rPr>
                <w:rFonts w:ascii="Book Antiqua" w:eastAsia="Times New Roman" w:hAnsi="Book Antiqua" w:cs="Times New Roman"/>
                <w:sz w:val="24"/>
                <w:szCs w:val="24"/>
                <w:lang w:val="en-US" w:eastAsia="es-EC"/>
              </w:rPr>
            </w:pPr>
          </w:p>
        </w:tc>
        <w:tc>
          <w:tcPr>
            <w:tcW w:w="2268" w:type="dxa"/>
            <w:shd w:val="clear" w:color="auto" w:fill="auto"/>
            <w:vAlign w:val="center"/>
            <w:hideMark/>
          </w:tcPr>
          <w:p w14:paraId="39D3FB6B"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Midazolam (20)</w:t>
            </w:r>
          </w:p>
        </w:tc>
        <w:tc>
          <w:tcPr>
            <w:tcW w:w="4961" w:type="dxa"/>
            <w:shd w:val="clear" w:color="auto" w:fill="auto"/>
            <w:hideMark/>
          </w:tcPr>
          <w:p w14:paraId="1461177C" w14:textId="3E9A1406"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Midazolam: 0.03 mg/kg or</w:t>
            </w:r>
            <w:r w:rsidR="00F86DC3">
              <w:rPr>
                <w:rFonts w:ascii="Book Antiqua" w:eastAsia="Times New Roman" w:hAnsi="Book Antiqua" w:cs="Times New Roman"/>
                <w:sz w:val="24"/>
                <w:szCs w:val="24"/>
                <w:lang w:val="en-US" w:eastAsia="es-EC"/>
              </w:rPr>
              <w:t xml:space="preserve"> 2 mg if the patient is &lt; 65 </w:t>
            </w:r>
            <w:proofErr w:type="spellStart"/>
            <w:r w:rsidR="00F86DC3">
              <w:rPr>
                <w:rFonts w:ascii="Book Antiqua" w:eastAsia="Times New Roman" w:hAnsi="Book Antiqua" w:cs="Times New Roman"/>
                <w:sz w:val="24"/>
                <w:szCs w:val="24"/>
                <w:lang w:val="en-US" w:eastAsia="es-EC"/>
              </w:rPr>
              <w:t>yr</w:t>
            </w:r>
            <w:proofErr w:type="spellEnd"/>
            <w:r w:rsidRPr="00C10A48">
              <w:rPr>
                <w:rFonts w:ascii="Book Antiqua" w:eastAsia="Times New Roman" w:hAnsi="Book Antiqua" w:cs="Times New Roman"/>
                <w:sz w:val="24"/>
                <w:szCs w:val="24"/>
                <w:lang w:val="en-US" w:eastAsia="es-EC"/>
              </w:rPr>
              <w:t xml:space="preserve"> old or with a body weight &gt; 55 k</w:t>
            </w:r>
            <w:r w:rsidR="00F86DC3">
              <w:rPr>
                <w:rFonts w:ascii="Book Antiqua" w:eastAsia="Times New Roman" w:hAnsi="Book Antiqua" w:cs="Times New Roman"/>
                <w:sz w:val="24"/>
                <w:szCs w:val="24"/>
                <w:lang w:val="en-US" w:eastAsia="es-EC"/>
              </w:rPr>
              <w:t xml:space="preserve">g. In patients older than 65 </w:t>
            </w:r>
            <w:proofErr w:type="spellStart"/>
            <w:r w:rsidR="00F86DC3">
              <w:rPr>
                <w:rFonts w:ascii="Book Antiqua" w:eastAsia="Times New Roman" w:hAnsi="Book Antiqua" w:cs="Times New Roman"/>
                <w:sz w:val="24"/>
                <w:szCs w:val="24"/>
                <w:lang w:val="en-US" w:eastAsia="es-EC"/>
              </w:rPr>
              <w:t>yr</w:t>
            </w:r>
            <w:proofErr w:type="spellEnd"/>
            <w:r w:rsidRPr="00C10A48">
              <w:rPr>
                <w:rFonts w:ascii="Book Antiqua" w:eastAsia="Times New Roman" w:hAnsi="Book Antiqua" w:cs="Times New Roman"/>
                <w:sz w:val="24"/>
                <w:szCs w:val="24"/>
                <w:lang w:val="en-US" w:eastAsia="es-EC"/>
              </w:rPr>
              <w:t xml:space="preserve"> and with body weight under 55 </w:t>
            </w:r>
            <w:proofErr w:type="gramStart"/>
            <w:r w:rsidRPr="00C10A48">
              <w:rPr>
                <w:rFonts w:ascii="Book Antiqua" w:eastAsia="Times New Roman" w:hAnsi="Book Antiqua" w:cs="Times New Roman"/>
                <w:sz w:val="24"/>
                <w:szCs w:val="24"/>
                <w:lang w:val="en-US" w:eastAsia="es-EC"/>
              </w:rPr>
              <w:t>kg,</w:t>
            </w:r>
            <w:proofErr w:type="gramEnd"/>
            <w:r w:rsidRPr="00C10A48">
              <w:rPr>
                <w:rFonts w:ascii="Book Antiqua" w:eastAsia="Times New Roman" w:hAnsi="Book Antiqua" w:cs="Times New Roman"/>
                <w:sz w:val="24"/>
                <w:szCs w:val="24"/>
                <w:lang w:val="en-US" w:eastAsia="es-EC"/>
              </w:rPr>
              <w:t xml:space="preserve"> the initial dose was 20% lower.  </w:t>
            </w:r>
          </w:p>
        </w:tc>
      </w:tr>
      <w:tr w:rsidR="005F2ADF" w:rsidRPr="00C10A48" w14:paraId="1FA88D19" w14:textId="77777777" w:rsidTr="00CA3AF2">
        <w:trPr>
          <w:trHeight w:val="600"/>
        </w:trPr>
        <w:tc>
          <w:tcPr>
            <w:tcW w:w="1838" w:type="dxa"/>
            <w:vMerge/>
            <w:vAlign w:val="center"/>
            <w:hideMark/>
          </w:tcPr>
          <w:p w14:paraId="7016AC5A"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p>
        </w:tc>
        <w:tc>
          <w:tcPr>
            <w:tcW w:w="1418" w:type="dxa"/>
            <w:vMerge/>
            <w:vAlign w:val="center"/>
            <w:hideMark/>
          </w:tcPr>
          <w:p w14:paraId="30DEE3EB"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p>
        </w:tc>
        <w:tc>
          <w:tcPr>
            <w:tcW w:w="3260" w:type="dxa"/>
            <w:vMerge/>
            <w:vAlign w:val="center"/>
            <w:hideMark/>
          </w:tcPr>
          <w:p w14:paraId="71DA8583" w14:textId="77777777" w:rsidR="005F2ADF" w:rsidRPr="00C10A48" w:rsidRDefault="005F2ADF" w:rsidP="00F227A9">
            <w:pPr>
              <w:snapToGrid w:val="0"/>
              <w:spacing w:after="0" w:line="360" w:lineRule="auto"/>
              <w:rPr>
                <w:rFonts w:ascii="Book Antiqua" w:eastAsia="Times New Roman" w:hAnsi="Book Antiqua" w:cs="Times New Roman"/>
                <w:sz w:val="24"/>
                <w:szCs w:val="24"/>
                <w:lang w:val="en-US" w:eastAsia="es-EC"/>
              </w:rPr>
            </w:pPr>
          </w:p>
        </w:tc>
        <w:tc>
          <w:tcPr>
            <w:tcW w:w="2268" w:type="dxa"/>
            <w:shd w:val="clear" w:color="auto" w:fill="auto"/>
            <w:vAlign w:val="center"/>
            <w:hideMark/>
          </w:tcPr>
          <w:p w14:paraId="6740D5F1"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Midazolam and propofol (20)</w:t>
            </w:r>
          </w:p>
        </w:tc>
        <w:tc>
          <w:tcPr>
            <w:tcW w:w="4961" w:type="dxa"/>
            <w:shd w:val="clear" w:color="auto" w:fill="auto"/>
            <w:hideMark/>
          </w:tcPr>
          <w:p w14:paraId="3D5C795C" w14:textId="49DDC854"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Midazolam: 0.03 mg/kg or 2 mg; Propofol: 2</w:t>
            </w:r>
            <w:r w:rsidR="00F86DC3">
              <w:rPr>
                <w:rFonts w:ascii="Book Antiqua" w:eastAsia="Times New Roman" w:hAnsi="Book Antiqua" w:cs="Times New Roman"/>
                <w:sz w:val="24"/>
                <w:szCs w:val="24"/>
                <w:lang w:val="en-US" w:eastAsia="es-EC"/>
              </w:rPr>
              <w:t xml:space="preserve">0 mg. If the patient is &gt; 65 </w:t>
            </w:r>
            <w:proofErr w:type="spellStart"/>
            <w:r w:rsidR="00F86DC3">
              <w:rPr>
                <w:rFonts w:ascii="Book Antiqua" w:eastAsia="Times New Roman" w:hAnsi="Book Antiqua" w:cs="Times New Roman"/>
                <w:sz w:val="24"/>
                <w:szCs w:val="24"/>
                <w:lang w:val="en-US" w:eastAsia="es-EC"/>
              </w:rPr>
              <w:t>yr</w:t>
            </w:r>
            <w:proofErr w:type="spellEnd"/>
            <w:r w:rsidRPr="00C10A48">
              <w:rPr>
                <w:rFonts w:ascii="Book Antiqua" w:eastAsia="Times New Roman" w:hAnsi="Book Antiqua" w:cs="Times New Roman"/>
                <w:sz w:val="24"/>
                <w:szCs w:val="24"/>
                <w:lang w:val="en-US" w:eastAsia="es-EC"/>
              </w:rPr>
              <w:t xml:space="preserve"> old or has a body weight &lt; 55 kg, the midazolam and propofol doses were respectively 20% and 50% lower. </w:t>
            </w:r>
          </w:p>
        </w:tc>
      </w:tr>
      <w:tr w:rsidR="005F2ADF" w:rsidRPr="00C10A48" w14:paraId="2621B25D" w14:textId="77777777" w:rsidTr="00CA3AF2">
        <w:trPr>
          <w:trHeight w:val="735"/>
        </w:trPr>
        <w:tc>
          <w:tcPr>
            <w:tcW w:w="1838" w:type="dxa"/>
            <w:vMerge w:val="restart"/>
            <w:shd w:val="clear" w:color="auto" w:fill="auto"/>
            <w:vAlign w:val="center"/>
            <w:hideMark/>
          </w:tcPr>
          <w:p w14:paraId="2039C749" w14:textId="448FCF26" w:rsidR="005F2ADF" w:rsidRPr="00C10A48" w:rsidRDefault="005F2ADF" w:rsidP="00F227A9">
            <w:pPr>
              <w:snapToGrid w:val="0"/>
              <w:spacing w:after="0" w:line="360" w:lineRule="auto"/>
              <w:jc w:val="center"/>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 xml:space="preserve">Watanabe </w:t>
            </w:r>
            <w:r w:rsidR="00A050AA" w:rsidRPr="00C736D0">
              <w:rPr>
                <w:rFonts w:ascii="Book Antiqua" w:eastAsia="Times New Roman" w:hAnsi="Book Antiqua" w:cs="Times New Roman"/>
                <w:i/>
                <w:sz w:val="24"/>
                <w:szCs w:val="24"/>
                <w:lang w:val="en-US" w:eastAsia="es-EC"/>
              </w:rPr>
              <w:t>et al</w:t>
            </w:r>
            <w:r w:rsidRPr="00C10A48">
              <w:rPr>
                <w:rFonts w:ascii="Book Antiqua" w:eastAsia="Times New Roman" w:hAnsi="Book Antiqua" w:cs="Times New Roman"/>
                <w:noProof/>
                <w:sz w:val="24"/>
                <w:szCs w:val="24"/>
                <w:vertAlign w:val="superscript"/>
                <w:lang w:val="en-US" w:eastAsia="es-EC"/>
              </w:rPr>
              <w:t>[19]</w:t>
            </w:r>
            <w:r w:rsidR="00A050AA">
              <w:rPr>
                <w:rFonts w:ascii="Book Antiqua" w:eastAsia="Times New Roman" w:hAnsi="Book Antiqua" w:cs="Times New Roman"/>
                <w:sz w:val="24"/>
                <w:szCs w:val="24"/>
                <w:lang w:val="en-US" w:eastAsia="es-EC"/>
              </w:rPr>
              <w:t xml:space="preserve">, 2018, </w:t>
            </w:r>
            <w:r w:rsidRPr="00C10A48">
              <w:rPr>
                <w:rFonts w:ascii="Book Antiqua" w:eastAsia="Times New Roman" w:hAnsi="Book Antiqua" w:cs="Times New Roman"/>
                <w:sz w:val="24"/>
                <w:szCs w:val="24"/>
                <w:lang w:val="en-US" w:eastAsia="es-EC"/>
              </w:rPr>
              <w:t>Japan</w:t>
            </w:r>
          </w:p>
        </w:tc>
        <w:tc>
          <w:tcPr>
            <w:tcW w:w="1418" w:type="dxa"/>
            <w:vMerge w:val="restart"/>
            <w:shd w:val="clear" w:color="auto" w:fill="auto"/>
            <w:noWrap/>
            <w:vAlign w:val="center"/>
            <w:hideMark/>
          </w:tcPr>
          <w:p w14:paraId="639EEEC5"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RCT</w:t>
            </w:r>
          </w:p>
        </w:tc>
        <w:tc>
          <w:tcPr>
            <w:tcW w:w="3260" w:type="dxa"/>
            <w:vMerge w:val="restart"/>
            <w:shd w:val="clear" w:color="auto" w:fill="auto"/>
            <w:hideMark/>
          </w:tcPr>
          <w:p w14:paraId="0C92B5E6" w14:textId="3803D895" w:rsidR="003242C9" w:rsidRDefault="003242C9" w:rsidP="00F227A9">
            <w:pPr>
              <w:snapToGrid w:val="0"/>
              <w:spacing w:after="0" w:line="360" w:lineRule="auto"/>
              <w:rPr>
                <w:rFonts w:ascii="Book Antiqua" w:eastAsia="Times New Roman" w:hAnsi="Book Antiqua" w:cs="Times New Roman"/>
                <w:sz w:val="24"/>
                <w:szCs w:val="24"/>
                <w:lang w:val="en-US" w:eastAsia="es-EC"/>
              </w:rPr>
            </w:pPr>
            <w:r>
              <w:rPr>
                <w:rFonts w:ascii="Book Antiqua" w:eastAsia="Times New Roman" w:hAnsi="Book Antiqua" w:cs="Times New Roman"/>
                <w:b/>
                <w:bCs/>
                <w:sz w:val="24"/>
                <w:szCs w:val="24"/>
                <w:lang w:val="en-US" w:eastAsia="es-EC"/>
              </w:rPr>
              <w:t>Inclusion:</w:t>
            </w:r>
            <w:r>
              <w:rPr>
                <w:rFonts w:ascii="Book Antiqua" w:eastAsia="DengXian" w:hAnsi="Book Antiqua" w:cs="Times New Roman" w:hint="eastAsia"/>
                <w:b/>
                <w:bCs/>
                <w:sz w:val="24"/>
                <w:szCs w:val="24"/>
                <w:lang w:val="en-US" w:eastAsia="zh-CN"/>
              </w:rPr>
              <w:t xml:space="preserve"> </w:t>
            </w:r>
            <w:r w:rsidR="00CA3AF2">
              <w:rPr>
                <w:rFonts w:ascii="Book Antiqua" w:eastAsia="Times New Roman" w:hAnsi="Book Antiqua" w:cs="Times New Roman"/>
                <w:sz w:val="24"/>
                <w:szCs w:val="24"/>
                <w:lang w:val="en-US" w:eastAsia="es-EC"/>
              </w:rPr>
              <w:t xml:space="preserve">Patients aged 20 to 80 </w:t>
            </w:r>
            <w:proofErr w:type="spellStart"/>
            <w:r w:rsidR="00CA3AF2">
              <w:rPr>
                <w:rFonts w:ascii="Book Antiqua" w:eastAsia="Times New Roman" w:hAnsi="Book Antiqua" w:cs="Times New Roman"/>
                <w:sz w:val="24"/>
                <w:szCs w:val="24"/>
                <w:lang w:val="en-US" w:eastAsia="es-EC"/>
              </w:rPr>
              <w:t>yr</w:t>
            </w:r>
            <w:proofErr w:type="spellEnd"/>
            <w:r w:rsidR="005F2ADF" w:rsidRPr="00C10A48">
              <w:rPr>
                <w:rFonts w:ascii="Book Antiqua" w:eastAsia="Times New Roman" w:hAnsi="Book Antiqua" w:cs="Times New Roman"/>
                <w:sz w:val="24"/>
                <w:szCs w:val="24"/>
                <w:lang w:val="en-US" w:eastAsia="es-EC"/>
              </w:rPr>
              <w:t xml:space="preserve">, hepatic cirrhosis for the treatment of sclerosis, </w:t>
            </w:r>
            <w:r w:rsidR="005F2ADF" w:rsidRPr="00C10A48">
              <w:rPr>
                <w:rFonts w:ascii="Book Antiqua" w:eastAsia="Times New Roman" w:hAnsi="Book Antiqua" w:cs="Times New Roman"/>
                <w:sz w:val="24"/>
                <w:szCs w:val="24"/>
                <w:lang w:val="en-US" w:eastAsia="es-EC"/>
              </w:rPr>
              <w:lastRenderedPageBreak/>
              <w:t>primary prophylaxis,</w:t>
            </w:r>
            <w:r>
              <w:rPr>
                <w:rFonts w:ascii="Book Antiqua" w:eastAsia="Times New Roman" w:hAnsi="Book Antiqua" w:cs="Times New Roman"/>
                <w:sz w:val="24"/>
                <w:szCs w:val="24"/>
                <w:lang w:val="en-US" w:eastAsia="es-EC"/>
              </w:rPr>
              <w:t xml:space="preserve"> Child- Turcotte-Pugh A and B. </w:t>
            </w:r>
          </w:p>
          <w:p w14:paraId="647E386A" w14:textId="523C35B8" w:rsidR="005F2ADF" w:rsidRPr="003242C9" w:rsidRDefault="005F2ADF" w:rsidP="00F227A9">
            <w:pPr>
              <w:snapToGrid w:val="0"/>
              <w:spacing w:after="0" w:line="360" w:lineRule="auto"/>
              <w:rPr>
                <w:rFonts w:ascii="Book Antiqua" w:eastAsia="Times New Roman" w:hAnsi="Book Antiqua" w:cs="Times New Roman"/>
                <w:b/>
                <w:bCs/>
                <w:sz w:val="24"/>
                <w:szCs w:val="24"/>
                <w:lang w:val="en-US" w:eastAsia="es-EC"/>
              </w:rPr>
            </w:pPr>
            <w:r w:rsidRPr="00C10A48">
              <w:rPr>
                <w:rFonts w:ascii="Book Antiqua" w:eastAsia="Times New Roman" w:hAnsi="Book Antiqua" w:cs="Times New Roman"/>
                <w:b/>
                <w:bCs/>
                <w:sz w:val="24"/>
                <w:szCs w:val="24"/>
                <w:lang w:val="en-US" w:eastAsia="es-EC"/>
              </w:rPr>
              <w:t xml:space="preserve">Outcomes: </w:t>
            </w:r>
            <w:r w:rsidRPr="00C10A48">
              <w:rPr>
                <w:rFonts w:ascii="Book Antiqua" w:eastAsia="Times New Roman" w:hAnsi="Book Antiqua" w:cs="Times New Roman"/>
                <w:sz w:val="24"/>
                <w:szCs w:val="24"/>
                <w:lang w:val="en-US" w:eastAsia="es-EC"/>
              </w:rPr>
              <w:t>Exacerbation of MHE, patient and operator satisfaction, and adverse events.</w:t>
            </w:r>
            <w:r w:rsidRPr="00C10A48">
              <w:rPr>
                <w:rFonts w:ascii="Book Antiqua" w:eastAsia="Times New Roman" w:hAnsi="Book Antiqua" w:cs="Times New Roman"/>
                <w:b/>
                <w:bCs/>
                <w:sz w:val="24"/>
                <w:szCs w:val="24"/>
                <w:lang w:val="en-US" w:eastAsia="es-EC"/>
              </w:rPr>
              <w:t xml:space="preserve"> </w:t>
            </w:r>
          </w:p>
        </w:tc>
        <w:tc>
          <w:tcPr>
            <w:tcW w:w="2268" w:type="dxa"/>
            <w:shd w:val="clear" w:color="auto" w:fill="auto"/>
            <w:vAlign w:val="center"/>
            <w:hideMark/>
          </w:tcPr>
          <w:p w14:paraId="59472DF9"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lastRenderedPageBreak/>
              <w:t>Propofol (11)</w:t>
            </w:r>
          </w:p>
        </w:tc>
        <w:tc>
          <w:tcPr>
            <w:tcW w:w="4961" w:type="dxa"/>
            <w:shd w:val="clear" w:color="auto" w:fill="auto"/>
            <w:hideMark/>
          </w:tcPr>
          <w:p w14:paraId="1ABB7FC7"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 xml:space="preserve">Pentazocine 15 mg + Propofol 1% 20 mg IV followed by BIC of 3-5 mg/kg/h. In case of body movements or discomfort, 20 mg of </w:t>
            </w:r>
            <w:r w:rsidRPr="00C10A48">
              <w:rPr>
                <w:rFonts w:ascii="Book Antiqua" w:eastAsia="Times New Roman" w:hAnsi="Book Antiqua" w:cs="Times New Roman"/>
                <w:sz w:val="24"/>
                <w:szCs w:val="24"/>
                <w:lang w:val="en-US" w:eastAsia="es-EC"/>
              </w:rPr>
              <w:lastRenderedPageBreak/>
              <w:t>Propofol (IV) was administered.</w:t>
            </w:r>
          </w:p>
        </w:tc>
      </w:tr>
      <w:tr w:rsidR="005F2ADF" w:rsidRPr="00C10A48" w14:paraId="7641F774" w14:textId="77777777" w:rsidTr="00CA3AF2">
        <w:trPr>
          <w:trHeight w:val="570"/>
        </w:trPr>
        <w:tc>
          <w:tcPr>
            <w:tcW w:w="1838" w:type="dxa"/>
            <w:vMerge/>
            <w:vAlign w:val="center"/>
            <w:hideMark/>
          </w:tcPr>
          <w:p w14:paraId="75C44EAE"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p>
        </w:tc>
        <w:tc>
          <w:tcPr>
            <w:tcW w:w="1418" w:type="dxa"/>
            <w:vMerge/>
            <w:vAlign w:val="center"/>
            <w:hideMark/>
          </w:tcPr>
          <w:p w14:paraId="070B728F"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p>
        </w:tc>
        <w:tc>
          <w:tcPr>
            <w:tcW w:w="3260" w:type="dxa"/>
            <w:vMerge/>
            <w:vAlign w:val="center"/>
            <w:hideMark/>
          </w:tcPr>
          <w:p w14:paraId="5D36897A" w14:textId="77777777" w:rsidR="005F2ADF" w:rsidRPr="00C10A48" w:rsidRDefault="005F2ADF" w:rsidP="00F227A9">
            <w:pPr>
              <w:snapToGrid w:val="0"/>
              <w:spacing w:after="0" w:line="360" w:lineRule="auto"/>
              <w:rPr>
                <w:rFonts w:ascii="Book Antiqua" w:eastAsia="Times New Roman" w:hAnsi="Book Antiqua" w:cs="Times New Roman"/>
                <w:sz w:val="24"/>
                <w:szCs w:val="24"/>
                <w:lang w:val="en-US" w:eastAsia="es-EC"/>
              </w:rPr>
            </w:pPr>
          </w:p>
        </w:tc>
        <w:tc>
          <w:tcPr>
            <w:tcW w:w="2268" w:type="dxa"/>
            <w:shd w:val="clear" w:color="auto" w:fill="auto"/>
            <w:vAlign w:val="center"/>
            <w:hideMark/>
          </w:tcPr>
          <w:p w14:paraId="1044E9A3"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Midazolam (12)</w:t>
            </w:r>
          </w:p>
        </w:tc>
        <w:tc>
          <w:tcPr>
            <w:tcW w:w="4961" w:type="dxa"/>
            <w:shd w:val="clear" w:color="auto" w:fill="auto"/>
            <w:hideMark/>
          </w:tcPr>
          <w:p w14:paraId="3EC3BD4D"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Pentazocine 15 mg + midazolam 2.5-5 mg. In case of body movement or signs of discomfort, an IV infusion with an additional 2.5 mg of midazolam was administered.</w:t>
            </w:r>
          </w:p>
        </w:tc>
      </w:tr>
      <w:tr w:rsidR="005F2ADF" w:rsidRPr="00C10A48" w14:paraId="5F422A4A" w14:textId="77777777" w:rsidTr="00CA3AF2">
        <w:trPr>
          <w:trHeight w:val="453"/>
        </w:trPr>
        <w:tc>
          <w:tcPr>
            <w:tcW w:w="1838" w:type="dxa"/>
            <w:vMerge w:val="restart"/>
            <w:shd w:val="clear" w:color="auto" w:fill="auto"/>
            <w:vAlign w:val="center"/>
            <w:hideMark/>
          </w:tcPr>
          <w:p w14:paraId="5BBF1E17" w14:textId="109A61B5" w:rsidR="005F2ADF" w:rsidRPr="00C10A48" w:rsidRDefault="005F2ADF" w:rsidP="00F227A9">
            <w:pPr>
              <w:snapToGrid w:val="0"/>
              <w:spacing w:after="0" w:line="360" w:lineRule="auto"/>
              <w:jc w:val="center"/>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 xml:space="preserve">Ahmed </w:t>
            </w:r>
            <w:r w:rsidR="00E47523" w:rsidRPr="00C736D0">
              <w:rPr>
                <w:rFonts w:ascii="Book Antiqua" w:eastAsia="Times New Roman" w:hAnsi="Book Antiqua" w:cs="Times New Roman"/>
                <w:i/>
                <w:sz w:val="24"/>
                <w:szCs w:val="24"/>
                <w:lang w:val="en-US" w:eastAsia="es-EC"/>
              </w:rPr>
              <w:t>et al</w:t>
            </w:r>
            <w:r w:rsidRPr="00C10A48">
              <w:rPr>
                <w:rFonts w:ascii="Book Antiqua" w:eastAsia="Times New Roman" w:hAnsi="Book Antiqua" w:cs="Times New Roman"/>
                <w:noProof/>
                <w:sz w:val="24"/>
                <w:szCs w:val="24"/>
                <w:vertAlign w:val="superscript"/>
                <w:lang w:val="en-US" w:eastAsia="es-EC"/>
              </w:rPr>
              <w:t>[20]</w:t>
            </w:r>
            <w:r w:rsidR="00E47523">
              <w:rPr>
                <w:rFonts w:ascii="Book Antiqua" w:eastAsia="Times New Roman" w:hAnsi="Book Antiqua" w:cs="Times New Roman"/>
                <w:sz w:val="24"/>
                <w:szCs w:val="24"/>
                <w:lang w:val="en-US" w:eastAsia="es-EC"/>
              </w:rPr>
              <w:t xml:space="preserve">, </w:t>
            </w:r>
            <w:r w:rsidRPr="00C10A48">
              <w:rPr>
                <w:rFonts w:ascii="Book Antiqua" w:eastAsia="Times New Roman" w:hAnsi="Book Antiqua" w:cs="Times New Roman"/>
                <w:sz w:val="24"/>
                <w:szCs w:val="24"/>
                <w:lang w:val="en-US" w:eastAsia="es-EC"/>
              </w:rPr>
              <w:t>2017</w:t>
            </w:r>
            <w:r w:rsidR="00E47523">
              <w:rPr>
                <w:rFonts w:ascii="Book Antiqua" w:eastAsia="Times New Roman" w:hAnsi="Book Antiqua" w:cs="Times New Roman"/>
                <w:sz w:val="24"/>
                <w:szCs w:val="24"/>
                <w:lang w:val="en-US" w:eastAsia="es-EC"/>
              </w:rPr>
              <w:t xml:space="preserve">, </w:t>
            </w:r>
            <w:r w:rsidRPr="00C10A48">
              <w:rPr>
                <w:rFonts w:ascii="Book Antiqua" w:eastAsia="Times New Roman" w:hAnsi="Book Antiqua" w:cs="Times New Roman"/>
                <w:sz w:val="24"/>
                <w:szCs w:val="24"/>
                <w:lang w:val="en-US" w:eastAsia="es-EC"/>
              </w:rPr>
              <w:t>Egypt</w:t>
            </w:r>
          </w:p>
        </w:tc>
        <w:tc>
          <w:tcPr>
            <w:tcW w:w="1418" w:type="dxa"/>
            <w:vMerge w:val="restart"/>
            <w:shd w:val="clear" w:color="auto" w:fill="auto"/>
            <w:noWrap/>
            <w:vAlign w:val="center"/>
            <w:hideMark/>
          </w:tcPr>
          <w:p w14:paraId="4DF2496C"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RCT</w:t>
            </w:r>
          </w:p>
        </w:tc>
        <w:tc>
          <w:tcPr>
            <w:tcW w:w="3260" w:type="dxa"/>
            <w:vMerge w:val="restart"/>
            <w:shd w:val="clear" w:color="auto" w:fill="auto"/>
            <w:hideMark/>
          </w:tcPr>
          <w:p w14:paraId="2749F14A" w14:textId="5F83EA1A" w:rsidR="003242C9" w:rsidRDefault="005F2ADF" w:rsidP="00F227A9">
            <w:pPr>
              <w:snapToGrid w:val="0"/>
              <w:spacing w:after="0" w:line="360" w:lineRule="auto"/>
              <w:rPr>
                <w:rFonts w:ascii="Book Antiqua" w:eastAsia="Times New Roman" w:hAnsi="Book Antiqua" w:cs="Times New Roman"/>
                <w:sz w:val="24"/>
                <w:szCs w:val="24"/>
                <w:lang w:val="en-US" w:eastAsia="es-EC"/>
              </w:rPr>
            </w:pPr>
            <w:r w:rsidRPr="00C10A48">
              <w:rPr>
                <w:rFonts w:ascii="Book Antiqua" w:eastAsia="Times New Roman" w:hAnsi="Book Antiqua" w:cs="Times New Roman"/>
                <w:b/>
                <w:bCs/>
                <w:sz w:val="24"/>
                <w:szCs w:val="24"/>
                <w:lang w:val="en-US" w:eastAsia="es-EC"/>
              </w:rPr>
              <w:t>Inclusion:</w:t>
            </w:r>
            <w:r w:rsidR="003242C9">
              <w:rPr>
                <w:rFonts w:ascii="Book Antiqua" w:eastAsia="Times New Roman" w:hAnsi="Book Antiqua" w:cs="Times New Roman"/>
                <w:sz w:val="24"/>
                <w:szCs w:val="24"/>
                <w:lang w:val="en-US" w:eastAsia="es-EC"/>
              </w:rPr>
              <w:t xml:space="preserve"> </w:t>
            </w:r>
            <w:r w:rsidR="00CA3AF2">
              <w:rPr>
                <w:rFonts w:ascii="Book Antiqua" w:eastAsia="Times New Roman" w:hAnsi="Book Antiqua" w:cs="Times New Roman"/>
                <w:sz w:val="24"/>
                <w:szCs w:val="24"/>
                <w:lang w:val="en-US" w:eastAsia="es-EC"/>
              </w:rPr>
              <w:t xml:space="preserve">Patients aged 40 to 60 </w:t>
            </w:r>
            <w:proofErr w:type="spellStart"/>
            <w:r w:rsidR="00CA3AF2">
              <w:rPr>
                <w:rFonts w:ascii="Book Antiqua" w:eastAsia="Times New Roman" w:hAnsi="Book Antiqua" w:cs="Times New Roman"/>
                <w:sz w:val="24"/>
                <w:szCs w:val="24"/>
                <w:lang w:val="en-US" w:eastAsia="es-EC"/>
              </w:rPr>
              <w:t>yr</w:t>
            </w:r>
            <w:proofErr w:type="spellEnd"/>
            <w:r w:rsidRPr="00C10A48">
              <w:rPr>
                <w:rFonts w:ascii="Book Antiqua" w:eastAsia="Times New Roman" w:hAnsi="Book Antiqua" w:cs="Times New Roman"/>
                <w:sz w:val="24"/>
                <w:szCs w:val="24"/>
                <w:lang w:val="en-US" w:eastAsia="es-EC"/>
              </w:rPr>
              <w:t>, Child-</w:t>
            </w:r>
            <w:proofErr w:type="spellStart"/>
            <w:r w:rsidRPr="00C10A48">
              <w:rPr>
                <w:rFonts w:ascii="Book Antiqua" w:eastAsia="Times New Roman" w:hAnsi="Book Antiqua" w:cs="Times New Roman"/>
                <w:sz w:val="24"/>
                <w:szCs w:val="24"/>
                <w:lang w:val="en-US" w:eastAsia="es-EC"/>
              </w:rPr>
              <w:t>Turcotte</w:t>
            </w:r>
            <w:proofErr w:type="spellEnd"/>
            <w:r w:rsidRPr="00C10A48">
              <w:rPr>
                <w:rFonts w:ascii="Book Antiqua" w:eastAsia="Times New Roman" w:hAnsi="Book Antiqua" w:cs="Times New Roman"/>
                <w:sz w:val="24"/>
                <w:szCs w:val="24"/>
                <w:lang w:val="en-US" w:eastAsia="es-EC"/>
              </w:rPr>
              <w:t xml:space="preserve">-Pugh B or C, patients willing to be part of the study.  </w:t>
            </w:r>
          </w:p>
          <w:p w14:paraId="4E9F1A3D" w14:textId="713B0E3E" w:rsidR="005F2ADF" w:rsidRPr="00C10A48" w:rsidRDefault="005F2ADF" w:rsidP="00F227A9">
            <w:pPr>
              <w:snapToGrid w:val="0"/>
              <w:spacing w:after="0" w:line="360" w:lineRule="auto"/>
              <w:rPr>
                <w:rFonts w:ascii="Book Antiqua" w:eastAsia="Times New Roman" w:hAnsi="Book Antiqua" w:cs="Times New Roman"/>
                <w:sz w:val="24"/>
                <w:szCs w:val="24"/>
                <w:lang w:val="en-US" w:eastAsia="es-EC"/>
              </w:rPr>
            </w:pPr>
            <w:r w:rsidRPr="00C10A48">
              <w:rPr>
                <w:rFonts w:ascii="Book Antiqua" w:eastAsia="Times New Roman" w:hAnsi="Book Antiqua" w:cs="Times New Roman"/>
                <w:b/>
                <w:bCs/>
                <w:sz w:val="24"/>
                <w:szCs w:val="24"/>
                <w:lang w:val="en-US" w:eastAsia="es-EC"/>
              </w:rPr>
              <w:t>Outcomes:</w:t>
            </w:r>
            <w:r w:rsidRPr="00C10A48">
              <w:rPr>
                <w:rFonts w:ascii="Book Antiqua" w:eastAsia="Times New Roman" w:hAnsi="Book Antiqua" w:cs="Times New Roman"/>
                <w:sz w:val="24"/>
                <w:szCs w:val="24"/>
                <w:lang w:val="en-US" w:eastAsia="es-EC"/>
              </w:rPr>
              <w:t xml:space="preserve"> Procedure duration, recovery time, discharge time, sedation scores, and adverse even</w:t>
            </w:r>
            <w:r w:rsidR="003242C9">
              <w:rPr>
                <w:rFonts w:ascii="Book Antiqua" w:eastAsia="Times New Roman" w:hAnsi="Book Antiqua" w:cs="Times New Roman"/>
                <w:sz w:val="24"/>
                <w:szCs w:val="24"/>
                <w:lang w:val="en-US" w:eastAsia="es-EC"/>
              </w:rPr>
              <w:t xml:space="preserve">ts.  </w:t>
            </w:r>
          </w:p>
        </w:tc>
        <w:tc>
          <w:tcPr>
            <w:tcW w:w="2268" w:type="dxa"/>
            <w:shd w:val="clear" w:color="auto" w:fill="auto"/>
            <w:vAlign w:val="center"/>
            <w:hideMark/>
          </w:tcPr>
          <w:p w14:paraId="48BE656F"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Propofol (50)</w:t>
            </w:r>
          </w:p>
        </w:tc>
        <w:tc>
          <w:tcPr>
            <w:tcW w:w="4961" w:type="dxa"/>
            <w:shd w:val="clear" w:color="auto" w:fill="auto"/>
            <w:hideMark/>
          </w:tcPr>
          <w:p w14:paraId="4B4633E8"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 xml:space="preserve">Propofol 1 mg/kg + 0.5 mcg/kg IV until a satisfactory level of sedation is reached. An additional dose of 0.2 mg/kg of propofol was administered in case of discomfort. </w:t>
            </w:r>
          </w:p>
        </w:tc>
      </w:tr>
      <w:tr w:rsidR="005F2ADF" w:rsidRPr="00C10A48" w14:paraId="4F6B0CD2" w14:textId="77777777" w:rsidTr="00CA3AF2">
        <w:trPr>
          <w:trHeight w:val="915"/>
        </w:trPr>
        <w:tc>
          <w:tcPr>
            <w:tcW w:w="1838" w:type="dxa"/>
            <w:vMerge/>
            <w:vAlign w:val="center"/>
            <w:hideMark/>
          </w:tcPr>
          <w:p w14:paraId="085D3F04"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p>
        </w:tc>
        <w:tc>
          <w:tcPr>
            <w:tcW w:w="1418" w:type="dxa"/>
            <w:vMerge/>
            <w:vAlign w:val="center"/>
            <w:hideMark/>
          </w:tcPr>
          <w:p w14:paraId="7C471FAB"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p>
        </w:tc>
        <w:tc>
          <w:tcPr>
            <w:tcW w:w="3260" w:type="dxa"/>
            <w:vMerge/>
            <w:vAlign w:val="center"/>
            <w:hideMark/>
          </w:tcPr>
          <w:p w14:paraId="4F96CB32" w14:textId="77777777" w:rsidR="005F2ADF" w:rsidRPr="00C10A48" w:rsidRDefault="005F2ADF" w:rsidP="00F227A9">
            <w:pPr>
              <w:snapToGrid w:val="0"/>
              <w:spacing w:after="0" w:line="360" w:lineRule="auto"/>
              <w:rPr>
                <w:rFonts w:ascii="Book Antiqua" w:eastAsia="Times New Roman" w:hAnsi="Book Antiqua" w:cs="Times New Roman"/>
                <w:sz w:val="24"/>
                <w:szCs w:val="24"/>
                <w:lang w:val="en-US" w:eastAsia="es-EC"/>
              </w:rPr>
            </w:pPr>
          </w:p>
        </w:tc>
        <w:tc>
          <w:tcPr>
            <w:tcW w:w="2268" w:type="dxa"/>
            <w:shd w:val="clear" w:color="auto" w:fill="auto"/>
            <w:vAlign w:val="center"/>
            <w:hideMark/>
          </w:tcPr>
          <w:p w14:paraId="66FE228A"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Midazolam (50)</w:t>
            </w:r>
          </w:p>
        </w:tc>
        <w:tc>
          <w:tcPr>
            <w:tcW w:w="4961" w:type="dxa"/>
            <w:shd w:val="clear" w:color="auto" w:fill="auto"/>
            <w:hideMark/>
          </w:tcPr>
          <w:p w14:paraId="3E7FFF1F" w14:textId="3F8357D1"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Midazolam 3</w:t>
            </w:r>
            <w:r w:rsidR="003D6C33">
              <w:rPr>
                <w:rFonts w:ascii="Book Antiqua" w:eastAsia="Times New Roman" w:hAnsi="Book Antiqua" w:cs="Times New Roman"/>
                <w:sz w:val="24"/>
                <w:szCs w:val="24"/>
                <w:lang w:val="en-US" w:eastAsia="es-EC"/>
              </w:rPr>
              <w:t xml:space="preserve"> </w:t>
            </w:r>
            <w:r w:rsidRPr="00C10A48">
              <w:rPr>
                <w:rFonts w:ascii="Book Antiqua" w:eastAsia="Times New Roman" w:hAnsi="Book Antiqua" w:cs="Times New Roman"/>
                <w:sz w:val="24"/>
                <w:szCs w:val="24"/>
                <w:lang w:val="en-US" w:eastAsia="es-EC"/>
              </w:rPr>
              <w:t>mg IV + fentanyl 0.5 mcg/kg until a satisfactory level of sedation is reached. A supplementary dose of 1 mg of midazolam was administered in case of an unsatisfactory level of sedation.</w:t>
            </w:r>
          </w:p>
        </w:tc>
      </w:tr>
      <w:tr w:rsidR="005F2ADF" w:rsidRPr="00C10A48" w14:paraId="5EE1E91E" w14:textId="77777777" w:rsidTr="00CA3AF2">
        <w:trPr>
          <w:trHeight w:val="420"/>
        </w:trPr>
        <w:tc>
          <w:tcPr>
            <w:tcW w:w="1838" w:type="dxa"/>
            <w:vMerge w:val="restart"/>
            <w:shd w:val="clear" w:color="auto" w:fill="auto"/>
            <w:vAlign w:val="center"/>
            <w:hideMark/>
          </w:tcPr>
          <w:p w14:paraId="58D7B5D8" w14:textId="2B753B5B" w:rsidR="005F2ADF" w:rsidRPr="00C10A48" w:rsidRDefault="005F2ADF" w:rsidP="00F227A9">
            <w:pPr>
              <w:snapToGrid w:val="0"/>
              <w:spacing w:after="0" w:line="360" w:lineRule="auto"/>
              <w:jc w:val="center"/>
              <w:rPr>
                <w:rFonts w:ascii="Book Antiqua" w:eastAsia="Times New Roman" w:hAnsi="Book Antiqua" w:cs="Times New Roman"/>
                <w:sz w:val="24"/>
                <w:szCs w:val="24"/>
                <w:lang w:val="en-US" w:eastAsia="es-EC"/>
              </w:rPr>
            </w:pPr>
            <w:proofErr w:type="spellStart"/>
            <w:r w:rsidRPr="00C10A48">
              <w:rPr>
                <w:rFonts w:ascii="Book Antiqua" w:eastAsia="Times New Roman" w:hAnsi="Book Antiqua" w:cs="Times New Roman"/>
                <w:sz w:val="24"/>
                <w:szCs w:val="24"/>
                <w:lang w:val="en-US" w:eastAsia="es-EC"/>
              </w:rPr>
              <w:t>Agrawal</w:t>
            </w:r>
            <w:proofErr w:type="spellEnd"/>
            <w:r w:rsidRPr="00C10A48">
              <w:rPr>
                <w:rFonts w:ascii="Book Antiqua" w:eastAsia="Times New Roman" w:hAnsi="Book Antiqua" w:cs="Times New Roman"/>
                <w:sz w:val="24"/>
                <w:szCs w:val="24"/>
                <w:lang w:val="en-US" w:eastAsia="es-EC"/>
              </w:rPr>
              <w:t xml:space="preserve"> </w:t>
            </w:r>
            <w:r w:rsidR="001407F7" w:rsidRPr="00C736D0">
              <w:rPr>
                <w:rFonts w:ascii="Book Antiqua" w:eastAsia="Times New Roman" w:hAnsi="Book Antiqua" w:cs="Times New Roman"/>
                <w:i/>
                <w:sz w:val="24"/>
                <w:szCs w:val="24"/>
                <w:lang w:val="en-US" w:eastAsia="es-EC"/>
              </w:rPr>
              <w:t>et al</w:t>
            </w:r>
            <w:r w:rsidRPr="00C10A48">
              <w:rPr>
                <w:rFonts w:ascii="Book Antiqua" w:eastAsia="Times New Roman" w:hAnsi="Book Antiqua" w:cs="Times New Roman"/>
                <w:noProof/>
                <w:sz w:val="24"/>
                <w:szCs w:val="24"/>
                <w:vertAlign w:val="superscript"/>
                <w:lang w:val="en-US" w:eastAsia="es-EC"/>
              </w:rPr>
              <w:t>[15]</w:t>
            </w:r>
            <w:r w:rsidR="001407F7">
              <w:rPr>
                <w:rFonts w:ascii="Book Antiqua" w:eastAsia="Times New Roman" w:hAnsi="Book Antiqua" w:cs="Times New Roman"/>
                <w:sz w:val="24"/>
                <w:szCs w:val="24"/>
                <w:lang w:val="en-US" w:eastAsia="es-EC"/>
              </w:rPr>
              <w:t xml:space="preserve">, 2012, </w:t>
            </w:r>
            <w:r w:rsidRPr="00C10A48">
              <w:rPr>
                <w:rFonts w:ascii="Book Antiqua" w:eastAsia="Times New Roman" w:hAnsi="Book Antiqua" w:cs="Times New Roman"/>
                <w:sz w:val="24"/>
                <w:szCs w:val="24"/>
                <w:lang w:val="en-US" w:eastAsia="es-EC"/>
              </w:rPr>
              <w:t>India</w:t>
            </w:r>
          </w:p>
        </w:tc>
        <w:tc>
          <w:tcPr>
            <w:tcW w:w="1418" w:type="dxa"/>
            <w:vMerge w:val="restart"/>
            <w:shd w:val="clear" w:color="auto" w:fill="auto"/>
            <w:noWrap/>
            <w:vAlign w:val="center"/>
            <w:hideMark/>
          </w:tcPr>
          <w:p w14:paraId="66680C56"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RCT</w:t>
            </w:r>
          </w:p>
        </w:tc>
        <w:tc>
          <w:tcPr>
            <w:tcW w:w="3260" w:type="dxa"/>
            <w:vMerge w:val="restart"/>
            <w:shd w:val="clear" w:color="auto" w:fill="auto"/>
            <w:hideMark/>
          </w:tcPr>
          <w:p w14:paraId="34EAC5DD" w14:textId="41C5CD45" w:rsidR="003242C9" w:rsidRDefault="005F2ADF" w:rsidP="00F227A9">
            <w:pPr>
              <w:snapToGrid w:val="0"/>
              <w:spacing w:after="0" w:line="360" w:lineRule="auto"/>
              <w:rPr>
                <w:rFonts w:ascii="Book Antiqua" w:eastAsia="Times New Roman" w:hAnsi="Book Antiqua" w:cs="Times New Roman"/>
                <w:sz w:val="24"/>
                <w:szCs w:val="24"/>
                <w:lang w:val="en-US" w:eastAsia="es-EC"/>
              </w:rPr>
            </w:pPr>
            <w:r w:rsidRPr="00C10A48">
              <w:rPr>
                <w:rFonts w:ascii="Book Antiqua" w:eastAsia="Times New Roman" w:hAnsi="Book Antiqua" w:cs="Times New Roman"/>
                <w:b/>
                <w:bCs/>
                <w:sz w:val="24"/>
                <w:szCs w:val="24"/>
                <w:lang w:val="en-US" w:eastAsia="es-EC"/>
              </w:rPr>
              <w:t>Inclusion:</w:t>
            </w:r>
            <w:r w:rsidR="003242C9">
              <w:rPr>
                <w:rFonts w:ascii="Book Antiqua" w:eastAsia="Times New Roman" w:hAnsi="Book Antiqua" w:cs="Times New Roman"/>
                <w:sz w:val="24"/>
                <w:szCs w:val="24"/>
                <w:lang w:val="en-US" w:eastAsia="es-EC"/>
              </w:rPr>
              <w:t xml:space="preserve"> </w:t>
            </w:r>
            <w:r w:rsidR="00CA3AF2">
              <w:rPr>
                <w:rFonts w:ascii="Book Antiqua" w:eastAsia="Times New Roman" w:hAnsi="Book Antiqua" w:cs="Times New Roman"/>
                <w:sz w:val="24"/>
                <w:szCs w:val="24"/>
                <w:lang w:val="en-US" w:eastAsia="es-EC"/>
              </w:rPr>
              <w:t xml:space="preserve">Patients aged 18 to 70 </w:t>
            </w:r>
            <w:proofErr w:type="spellStart"/>
            <w:r w:rsidR="00CA3AF2">
              <w:rPr>
                <w:rFonts w:ascii="Book Antiqua" w:eastAsia="Times New Roman" w:hAnsi="Book Antiqua" w:cs="Times New Roman"/>
                <w:sz w:val="24"/>
                <w:szCs w:val="24"/>
                <w:lang w:val="en-US" w:eastAsia="es-EC"/>
              </w:rPr>
              <w:t>yr</w:t>
            </w:r>
            <w:proofErr w:type="spellEnd"/>
            <w:r w:rsidRPr="00C10A48">
              <w:rPr>
                <w:rFonts w:ascii="Book Antiqua" w:eastAsia="Times New Roman" w:hAnsi="Book Antiqua" w:cs="Times New Roman"/>
                <w:sz w:val="24"/>
                <w:szCs w:val="24"/>
                <w:lang w:val="en-US" w:eastAsia="es-EC"/>
              </w:rPr>
              <w:t xml:space="preserve">, hepatic cirrhosis confirmed and staged by Child-Turcotte-Pugh A and B, MELD, ASA I-III. </w:t>
            </w:r>
          </w:p>
          <w:p w14:paraId="7754AF20" w14:textId="7BB67B14" w:rsidR="005F2ADF" w:rsidRPr="00C10A48" w:rsidRDefault="005F2ADF" w:rsidP="00F227A9">
            <w:pPr>
              <w:snapToGrid w:val="0"/>
              <w:spacing w:after="0" w:line="360" w:lineRule="auto"/>
              <w:rPr>
                <w:rFonts w:ascii="Book Antiqua" w:eastAsia="Times New Roman" w:hAnsi="Book Antiqua" w:cs="Times New Roman"/>
                <w:sz w:val="24"/>
                <w:szCs w:val="24"/>
                <w:lang w:val="en-US" w:eastAsia="es-EC"/>
              </w:rPr>
            </w:pPr>
            <w:r w:rsidRPr="00C10A48">
              <w:rPr>
                <w:rFonts w:ascii="Book Antiqua" w:eastAsia="Times New Roman" w:hAnsi="Book Antiqua" w:cs="Times New Roman"/>
                <w:b/>
                <w:bCs/>
                <w:sz w:val="24"/>
                <w:szCs w:val="24"/>
                <w:lang w:val="en-US" w:eastAsia="es-EC"/>
              </w:rPr>
              <w:lastRenderedPageBreak/>
              <w:t xml:space="preserve">Outcomes: </w:t>
            </w:r>
            <w:r w:rsidRPr="00C10A48">
              <w:rPr>
                <w:rFonts w:ascii="Book Antiqua" w:eastAsia="Times New Roman" w:hAnsi="Book Antiqua" w:cs="Times New Roman"/>
                <w:sz w:val="24"/>
                <w:szCs w:val="24"/>
                <w:lang w:val="en-US" w:eastAsia="es-EC"/>
              </w:rPr>
              <w:t xml:space="preserve">Deterioration of psychometric tests before and after the examination, critical flicker frequency before and after, adverse events.  </w:t>
            </w:r>
          </w:p>
        </w:tc>
        <w:tc>
          <w:tcPr>
            <w:tcW w:w="2268" w:type="dxa"/>
            <w:shd w:val="clear" w:color="auto" w:fill="auto"/>
            <w:vAlign w:val="center"/>
            <w:hideMark/>
          </w:tcPr>
          <w:p w14:paraId="06CF65A6"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lastRenderedPageBreak/>
              <w:t>Propofol (40)</w:t>
            </w:r>
          </w:p>
        </w:tc>
        <w:tc>
          <w:tcPr>
            <w:tcW w:w="4961" w:type="dxa"/>
            <w:shd w:val="clear" w:color="auto" w:fill="auto"/>
            <w:hideMark/>
          </w:tcPr>
          <w:p w14:paraId="5D7B5111"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Propofol 0.5-1 mg IV, followed by an additional bolus if necessary.</w:t>
            </w:r>
          </w:p>
        </w:tc>
      </w:tr>
      <w:tr w:rsidR="005F2ADF" w:rsidRPr="00C10A48" w14:paraId="11515134" w14:textId="77777777" w:rsidTr="00CA3AF2">
        <w:trPr>
          <w:trHeight w:val="585"/>
        </w:trPr>
        <w:tc>
          <w:tcPr>
            <w:tcW w:w="1838" w:type="dxa"/>
            <w:vMerge/>
            <w:vAlign w:val="center"/>
            <w:hideMark/>
          </w:tcPr>
          <w:p w14:paraId="1BB90BFA"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p>
        </w:tc>
        <w:tc>
          <w:tcPr>
            <w:tcW w:w="1418" w:type="dxa"/>
            <w:vMerge/>
            <w:vAlign w:val="center"/>
            <w:hideMark/>
          </w:tcPr>
          <w:p w14:paraId="250D34C3"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p>
        </w:tc>
        <w:tc>
          <w:tcPr>
            <w:tcW w:w="3260" w:type="dxa"/>
            <w:vMerge/>
            <w:vAlign w:val="center"/>
            <w:hideMark/>
          </w:tcPr>
          <w:p w14:paraId="06ADE680" w14:textId="77777777" w:rsidR="005F2ADF" w:rsidRPr="00C10A48" w:rsidRDefault="005F2ADF" w:rsidP="00F227A9">
            <w:pPr>
              <w:snapToGrid w:val="0"/>
              <w:spacing w:after="0" w:line="360" w:lineRule="auto"/>
              <w:rPr>
                <w:rFonts w:ascii="Book Antiqua" w:eastAsia="Times New Roman" w:hAnsi="Book Antiqua" w:cs="Times New Roman"/>
                <w:sz w:val="24"/>
                <w:szCs w:val="24"/>
                <w:lang w:val="en-US" w:eastAsia="es-EC"/>
              </w:rPr>
            </w:pPr>
          </w:p>
        </w:tc>
        <w:tc>
          <w:tcPr>
            <w:tcW w:w="2268" w:type="dxa"/>
            <w:shd w:val="clear" w:color="auto" w:fill="auto"/>
            <w:vAlign w:val="center"/>
            <w:hideMark/>
          </w:tcPr>
          <w:p w14:paraId="58705ED1"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Midazolam (42)</w:t>
            </w:r>
          </w:p>
        </w:tc>
        <w:tc>
          <w:tcPr>
            <w:tcW w:w="4961" w:type="dxa"/>
            <w:shd w:val="clear" w:color="auto" w:fill="auto"/>
            <w:hideMark/>
          </w:tcPr>
          <w:p w14:paraId="69F2591B" w14:textId="1A0B5332"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Midazolam 0.5 - 1 mg IV, with an increasing dosage every 1-3 min, until a satisfactory level of sedation is reached.</w:t>
            </w:r>
          </w:p>
        </w:tc>
      </w:tr>
      <w:tr w:rsidR="005F2ADF" w:rsidRPr="00C10A48" w14:paraId="5AA5316D" w14:textId="77777777" w:rsidTr="00CA3AF2">
        <w:trPr>
          <w:trHeight w:val="495"/>
        </w:trPr>
        <w:tc>
          <w:tcPr>
            <w:tcW w:w="1838" w:type="dxa"/>
            <w:vMerge/>
            <w:vAlign w:val="center"/>
            <w:hideMark/>
          </w:tcPr>
          <w:p w14:paraId="77A4FD0C"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p>
        </w:tc>
        <w:tc>
          <w:tcPr>
            <w:tcW w:w="1418" w:type="dxa"/>
            <w:vMerge/>
            <w:vAlign w:val="center"/>
            <w:hideMark/>
          </w:tcPr>
          <w:p w14:paraId="0F8CA84D"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p>
        </w:tc>
        <w:tc>
          <w:tcPr>
            <w:tcW w:w="3260" w:type="dxa"/>
            <w:vMerge/>
            <w:vAlign w:val="center"/>
            <w:hideMark/>
          </w:tcPr>
          <w:p w14:paraId="22215E07" w14:textId="77777777" w:rsidR="005F2ADF" w:rsidRPr="00C10A48" w:rsidRDefault="005F2ADF" w:rsidP="00F227A9">
            <w:pPr>
              <w:snapToGrid w:val="0"/>
              <w:spacing w:after="0" w:line="360" w:lineRule="auto"/>
              <w:rPr>
                <w:rFonts w:ascii="Book Antiqua" w:eastAsia="Times New Roman" w:hAnsi="Book Antiqua" w:cs="Times New Roman"/>
                <w:sz w:val="24"/>
                <w:szCs w:val="24"/>
                <w:lang w:val="en-US" w:eastAsia="es-EC"/>
              </w:rPr>
            </w:pPr>
          </w:p>
        </w:tc>
        <w:tc>
          <w:tcPr>
            <w:tcW w:w="2268" w:type="dxa"/>
            <w:shd w:val="clear" w:color="auto" w:fill="auto"/>
            <w:vAlign w:val="center"/>
            <w:hideMark/>
          </w:tcPr>
          <w:p w14:paraId="7520F407"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No-sedation (45)</w:t>
            </w:r>
          </w:p>
        </w:tc>
        <w:tc>
          <w:tcPr>
            <w:tcW w:w="4961" w:type="dxa"/>
            <w:shd w:val="clear" w:color="auto" w:fill="auto"/>
            <w:noWrap/>
            <w:vAlign w:val="bottom"/>
            <w:hideMark/>
          </w:tcPr>
          <w:p w14:paraId="0C3EA74F"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 </w:t>
            </w:r>
          </w:p>
        </w:tc>
      </w:tr>
      <w:tr w:rsidR="005F2ADF" w:rsidRPr="00C10A48" w14:paraId="5C35B13D" w14:textId="77777777" w:rsidTr="00CA3AF2">
        <w:trPr>
          <w:trHeight w:val="570"/>
        </w:trPr>
        <w:tc>
          <w:tcPr>
            <w:tcW w:w="1838" w:type="dxa"/>
            <w:vMerge w:val="restart"/>
            <w:shd w:val="clear" w:color="auto" w:fill="auto"/>
            <w:vAlign w:val="center"/>
            <w:hideMark/>
          </w:tcPr>
          <w:p w14:paraId="0E66177D" w14:textId="6EF4A6BC" w:rsidR="005F2ADF" w:rsidRPr="00C10A48" w:rsidRDefault="005F2ADF" w:rsidP="00F227A9">
            <w:pPr>
              <w:snapToGrid w:val="0"/>
              <w:spacing w:after="0" w:line="360" w:lineRule="auto"/>
              <w:jc w:val="center"/>
              <w:rPr>
                <w:rFonts w:ascii="Book Antiqua" w:eastAsia="Times New Roman" w:hAnsi="Book Antiqua" w:cs="Times New Roman"/>
                <w:sz w:val="24"/>
                <w:szCs w:val="24"/>
                <w:lang w:val="en-US" w:eastAsia="es-EC"/>
              </w:rPr>
            </w:pPr>
            <w:proofErr w:type="spellStart"/>
            <w:r w:rsidRPr="00C10A48">
              <w:rPr>
                <w:rFonts w:ascii="Book Antiqua" w:eastAsia="Times New Roman" w:hAnsi="Book Antiqua" w:cs="Times New Roman"/>
                <w:sz w:val="24"/>
                <w:szCs w:val="24"/>
                <w:lang w:val="en-US" w:eastAsia="es-EC"/>
              </w:rPr>
              <w:lastRenderedPageBreak/>
              <w:t>Correia</w:t>
            </w:r>
            <w:proofErr w:type="spellEnd"/>
            <w:r w:rsidRPr="00C10A48">
              <w:rPr>
                <w:rFonts w:ascii="Book Antiqua" w:eastAsia="Times New Roman" w:hAnsi="Book Antiqua" w:cs="Times New Roman"/>
                <w:sz w:val="24"/>
                <w:szCs w:val="24"/>
                <w:lang w:val="en-US" w:eastAsia="es-EC"/>
              </w:rPr>
              <w:t xml:space="preserve"> </w:t>
            </w:r>
            <w:r w:rsidR="0048393F" w:rsidRPr="00C736D0">
              <w:rPr>
                <w:rFonts w:ascii="Book Antiqua" w:eastAsia="Times New Roman" w:hAnsi="Book Antiqua" w:cs="Times New Roman"/>
                <w:i/>
                <w:sz w:val="24"/>
                <w:szCs w:val="24"/>
                <w:lang w:val="en-US" w:eastAsia="es-EC"/>
              </w:rPr>
              <w:t>et al</w:t>
            </w:r>
            <w:r w:rsidRPr="00C10A48">
              <w:rPr>
                <w:rFonts w:ascii="Book Antiqua" w:eastAsia="Times New Roman" w:hAnsi="Book Antiqua" w:cs="Times New Roman"/>
                <w:noProof/>
                <w:sz w:val="24"/>
                <w:szCs w:val="24"/>
                <w:vertAlign w:val="superscript"/>
                <w:lang w:val="en-US" w:eastAsia="es-EC"/>
              </w:rPr>
              <w:t>[21]</w:t>
            </w:r>
            <w:r w:rsidR="004A283F">
              <w:rPr>
                <w:rFonts w:ascii="Book Antiqua" w:eastAsia="Times New Roman" w:hAnsi="Book Antiqua" w:cs="Times New Roman"/>
                <w:sz w:val="24"/>
                <w:szCs w:val="24"/>
                <w:lang w:val="en-US" w:eastAsia="es-EC"/>
              </w:rPr>
              <w:t xml:space="preserve">, 2011, </w:t>
            </w:r>
            <w:r w:rsidRPr="00C10A48">
              <w:rPr>
                <w:rFonts w:ascii="Book Antiqua" w:eastAsia="Times New Roman" w:hAnsi="Book Antiqua" w:cs="Times New Roman"/>
                <w:sz w:val="24"/>
                <w:szCs w:val="24"/>
                <w:lang w:val="en-US" w:eastAsia="es-EC"/>
              </w:rPr>
              <w:t>Brazil</w:t>
            </w:r>
          </w:p>
        </w:tc>
        <w:tc>
          <w:tcPr>
            <w:tcW w:w="1418" w:type="dxa"/>
            <w:vMerge w:val="restart"/>
            <w:shd w:val="clear" w:color="auto" w:fill="auto"/>
            <w:vAlign w:val="center"/>
            <w:hideMark/>
          </w:tcPr>
          <w:p w14:paraId="7D9FD7AB"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RCT</w:t>
            </w:r>
          </w:p>
        </w:tc>
        <w:tc>
          <w:tcPr>
            <w:tcW w:w="3260" w:type="dxa"/>
            <w:vMerge w:val="restart"/>
            <w:shd w:val="clear" w:color="auto" w:fill="auto"/>
            <w:hideMark/>
          </w:tcPr>
          <w:p w14:paraId="4EBD16B8" w14:textId="61A06630" w:rsidR="003242C9" w:rsidRDefault="005F2ADF" w:rsidP="00F227A9">
            <w:pPr>
              <w:snapToGrid w:val="0"/>
              <w:spacing w:after="0" w:line="360" w:lineRule="auto"/>
              <w:rPr>
                <w:rFonts w:ascii="Book Antiqua" w:eastAsia="Times New Roman" w:hAnsi="Book Antiqua" w:cs="Times New Roman"/>
                <w:sz w:val="24"/>
                <w:szCs w:val="24"/>
                <w:lang w:val="en-US" w:eastAsia="es-EC"/>
              </w:rPr>
            </w:pPr>
            <w:r w:rsidRPr="00C10A48">
              <w:rPr>
                <w:rFonts w:ascii="Book Antiqua" w:eastAsia="Times New Roman" w:hAnsi="Book Antiqua" w:cs="Times New Roman"/>
                <w:b/>
                <w:bCs/>
                <w:sz w:val="24"/>
                <w:szCs w:val="24"/>
                <w:lang w:val="en-US" w:eastAsia="es-EC"/>
              </w:rPr>
              <w:t>Inclusion:</w:t>
            </w:r>
            <w:r w:rsidR="003242C9">
              <w:rPr>
                <w:rFonts w:ascii="Book Antiqua" w:eastAsia="Times New Roman" w:hAnsi="Book Antiqua" w:cs="Times New Roman"/>
                <w:sz w:val="24"/>
                <w:szCs w:val="24"/>
                <w:lang w:val="en-US" w:eastAsia="es-EC"/>
              </w:rPr>
              <w:t xml:space="preserve"> </w:t>
            </w:r>
            <w:r w:rsidR="00CA3AF2">
              <w:rPr>
                <w:rFonts w:ascii="Book Antiqua" w:eastAsia="Times New Roman" w:hAnsi="Book Antiqua" w:cs="Times New Roman"/>
                <w:sz w:val="24"/>
                <w:szCs w:val="24"/>
                <w:lang w:val="en-US" w:eastAsia="es-EC"/>
              </w:rPr>
              <w:t xml:space="preserve">Patients aged 18 to 75 </w:t>
            </w:r>
            <w:proofErr w:type="spellStart"/>
            <w:r w:rsidR="00CA3AF2">
              <w:rPr>
                <w:rFonts w:ascii="Book Antiqua" w:eastAsia="Times New Roman" w:hAnsi="Book Antiqua" w:cs="Times New Roman"/>
                <w:sz w:val="24"/>
                <w:szCs w:val="24"/>
                <w:lang w:val="en-US" w:eastAsia="es-EC"/>
              </w:rPr>
              <w:t>yr</w:t>
            </w:r>
            <w:proofErr w:type="spellEnd"/>
            <w:r w:rsidRPr="00C10A48">
              <w:rPr>
                <w:rFonts w:ascii="Book Antiqua" w:eastAsia="Times New Roman" w:hAnsi="Book Antiqua" w:cs="Times New Roman"/>
                <w:sz w:val="24"/>
                <w:szCs w:val="24"/>
                <w:lang w:val="en-US" w:eastAsia="es-EC"/>
              </w:rPr>
              <w:t xml:space="preserve">, with hepatic cirrhosis, Child-Turcotte-Pugh A, B or C, ASA I-III.  </w:t>
            </w:r>
          </w:p>
          <w:p w14:paraId="424FC323" w14:textId="681B645C" w:rsidR="005F2ADF" w:rsidRPr="00C10A48" w:rsidRDefault="005F2ADF" w:rsidP="00F227A9">
            <w:pPr>
              <w:snapToGrid w:val="0"/>
              <w:spacing w:after="0" w:line="360" w:lineRule="auto"/>
              <w:rPr>
                <w:rFonts w:ascii="Book Antiqua" w:eastAsia="Times New Roman" w:hAnsi="Book Antiqua" w:cs="Times New Roman"/>
                <w:sz w:val="24"/>
                <w:szCs w:val="24"/>
                <w:lang w:val="en-US" w:eastAsia="es-EC"/>
              </w:rPr>
            </w:pPr>
            <w:r w:rsidRPr="00C10A48">
              <w:rPr>
                <w:rFonts w:ascii="Book Antiqua" w:eastAsia="Times New Roman" w:hAnsi="Book Antiqua" w:cs="Times New Roman"/>
                <w:b/>
                <w:bCs/>
                <w:sz w:val="24"/>
                <w:szCs w:val="24"/>
                <w:lang w:val="en-US" w:eastAsia="es-EC"/>
              </w:rPr>
              <w:t xml:space="preserve">Outcomes: </w:t>
            </w:r>
            <w:r w:rsidRPr="00C10A48">
              <w:rPr>
                <w:rFonts w:ascii="Book Antiqua" w:eastAsia="Times New Roman" w:hAnsi="Book Antiqua" w:cs="Times New Roman"/>
                <w:sz w:val="24"/>
                <w:szCs w:val="24"/>
                <w:lang w:val="en-US" w:eastAsia="es-EC"/>
              </w:rPr>
              <w:t>Procedure duration, discharge time, recovery time</w:t>
            </w:r>
            <w:r w:rsidR="003242C9">
              <w:rPr>
                <w:rFonts w:ascii="Book Antiqua" w:eastAsia="Times New Roman" w:hAnsi="Book Antiqua" w:cs="Times New Roman"/>
                <w:sz w:val="24"/>
                <w:szCs w:val="24"/>
                <w:lang w:val="en-US" w:eastAsia="es-EC"/>
              </w:rPr>
              <w:t>, and adverse events.</w:t>
            </w:r>
            <w:r w:rsidRPr="00C10A48">
              <w:rPr>
                <w:rFonts w:ascii="Book Antiqua" w:eastAsia="Times New Roman" w:hAnsi="Book Antiqua" w:cs="Times New Roman"/>
                <w:sz w:val="24"/>
                <w:szCs w:val="24"/>
                <w:lang w:val="en-US" w:eastAsia="es-EC"/>
              </w:rPr>
              <w:t xml:space="preserve"> </w:t>
            </w:r>
          </w:p>
        </w:tc>
        <w:tc>
          <w:tcPr>
            <w:tcW w:w="2268" w:type="dxa"/>
            <w:shd w:val="clear" w:color="auto" w:fill="auto"/>
            <w:vAlign w:val="center"/>
            <w:hideMark/>
          </w:tcPr>
          <w:p w14:paraId="08FDEA2A"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Propofol (100)</w:t>
            </w:r>
          </w:p>
        </w:tc>
        <w:tc>
          <w:tcPr>
            <w:tcW w:w="4961" w:type="dxa"/>
            <w:shd w:val="clear" w:color="auto" w:fill="auto"/>
            <w:hideMark/>
          </w:tcPr>
          <w:p w14:paraId="100CF593" w14:textId="617D37FF" w:rsidR="005F2ADF" w:rsidRPr="00C10A48" w:rsidRDefault="005F2ADF" w:rsidP="00CA3AF2">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Midazolam 0.05 mg/kg with a dosage of 1 mg every 2 min, if necessary, up to a maximum dose of 0.1 mg/ kg or 10 mg + 50 mcg of fentanyl.</w:t>
            </w:r>
          </w:p>
        </w:tc>
      </w:tr>
      <w:tr w:rsidR="005F2ADF" w:rsidRPr="00C10A48" w14:paraId="781B9B48" w14:textId="77777777" w:rsidTr="00CA3AF2">
        <w:trPr>
          <w:trHeight w:val="570"/>
        </w:trPr>
        <w:tc>
          <w:tcPr>
            <w:tcW w:w="1838" w:type="dxa"/>
            <w:vMerge/>
            <w:vAlign w:val="center"/>
            <w:hideMark/>
          </w:tcPr>
          <w:p w14:paraId="12DD4AC7"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p>
        </w:tc>
        <w:tc>
          <w:tcPr>
            <w:tcW w:w="1418" w:type="dxa"/>
            <w:vMerge/>
            <w:vAlign w:val="center"/>
            <w:hideMark/>
          </w:tcPr>
          <w:p w14:paraId="4E8A710F"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p>
        </w:tc>
        <w:tc>
          <w:tcPr>
            <w:tcW w:w="3260" w:type="dxa"/>
            <w:vMerge/>
            <w:vAlign w:val="center"/>
            <w:hideMark/>
          </w:tcPr>
          <w:p w14:paraId="30203234" w14:textId="77777777" w:rsidR="005F2ADF" w:rsidRPr="00C10A48" w:rsidRDefault="005F2ADF" w:rsidP="00F227A9">
            <w:pPr>
              <w:snapToGrid w:val="0"/>
              <w:spacing w:after="0" w:line="360" w:lineRule="auto"/>
              <w:rPr>
                <w:rFonts w:ascii="Book Antiqua" w:eastAsia="Times New Roman" w:hAnsi="Book Antiqua" w:cs="Times New Roman"/>
                <w:sz w:val="24"/>
                <w:szCs w:val="24"/>
                <w:lang w:val="en-US" w:eastAsia="es-EC"/>
              </w:rPr>
            </w:pPr>
          </w:p>
        </w:tc>
        <w:tc>
          <w:tcPr>
            <w:tcW w:w="2268" w:type="dxa"/>
            <w:shd w:val="clear" w:color="auto" w:fill="auto"/>
            <w:vAlign w:val="center"/>
            <w:hideMark/>
          </w:tcPr>
          <w:p w14:paraId="5E32C1FE"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Midazolam (110)</w:t>
            </w:r>
          </w:p>
        </w:tc>
        <w:tc>
          <w:tcPr>
            <w:tcW w:w="4961" w:type="dxa"/>
            <w:shd w:val="clear" w:color="auto" w:fill="auto"/>
            <w:hideMark/>
          </w:tcPr>
          <w:p w14:paraId="5C490397" w14:textId="0475109F"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 xml:space="preserve">Propofol 0.25 mg/kg with a dosage of 20-30 mg, if necessary, every 30-60 s up to a maximum dose of 400 mg + fentanyl 50 mcg. </w:t>
            </w:r>
          </w:p>
        </w:tc>
      </w:tr>
      <w:tr w:rsidR="005F2ADF" w:rsidRPr="00C10A48" w14:paraId="6E00A522" w14:textId="77777777" w:rsidTr="00CA3AF2">
        <w:trPr>
          <w:trHeight w:val="585"/>
        </w:trPr>
        <w:tc>
          <w:tcPr>
            <w:tcW w:w="1838" w:type="dxa"/>
            <w:vMerge w:val="restart"/>
            <w:shd w:val="clear" w:color="auto" w:fill="auto"/>
            <w:vAlign w:val="center"/>
            <w:hideMark/>
          </w:tcPr>
          <w:p w14:paraId="56211AC8" w14:textId="64206040" w:rsidR="005F2ADF" w:rsidRPr="00C10A48" w:rsidRDefault="005F2ADF" w:rsidP="00F227A9">
            <w:pPr>
              <w:snapToGrid w:val="0"/>
              <w:spacing w:after="0" w:line="360" w:lineRule="auto"/>
              <w:jc w:val="center"/>
              <w:rPr>
                <w:rFonts w:ascii="Book Antiqua" w:eastAsia="Times New Roman" w:hAnsi="Book Antiqua" w:cs="Times New Roman"/>
                <w:sz w:val="24"/>
                <w:szCs w:val="24"/>
                <w:lang w:val="en-US" w:eastAsia="es-EC"/>
              </w:rPr>
            </w:pPr>
            <w:proofErr w:type="spellStart"/>
            <w:r w:rsidRPr="00C10A48">
              <w:rPr>
                <w:rFonts w:ascii="Book Antiqua" w:eastAsia="Times New Roman" w:hAnsi="Book Antiqua" w:cs="Times New Roman"/>
                <w:sz w:val="24"/>
                <w:szCs w:val="24"/>
                <w:lang w:val="en-US" w:eastAsia="es-EC"/>
              </w:rPr>
              <w:t>Khamaysi</w:t>
            </w:r>
            <w:proofErr w:type="spellEnd"/>
            <w:r w:rsidRPr="00C10A48">
              <w:rPr>
                <w:rFonts w:ascii="Book Antiqua" w:eastAsia="Times New Roman" w:hAnsi="Book Antiqua" w:cs="Times New Roman"/>
                <w:sz w:val="24"/>
                <w:szCs w:val="24"/>
                <w:lang w:val="en-US" w:eastAsia="es-EC"/>
              </w:rPr>
              <w:t xml:space="preserve"> </w:t>
            </w:r>
            <w:r w:rsidR="002976C3" w:rsidRPr="00C736D0">
              <w:rPr>
                <w:rFonts w:ascii="Book Antiqua" w:eastAsia="Times New Roman" w:hAnsi="Book Antiqua" w:cs="Times New Roman"/>
                <w:i/>
                <w:sz w:val="24"/>
                <w:szCs w:val="24"/>
                <w:lang w:val="en-US" w:eastAsia="es-EC"/>
              </w:rPr>
              <w:t>et al</w:t>
            </w:r>
            <w:r w:rsidRPr="00C10A48">
              <w:rPr>
                <w:rFonts w:ascii="Book Antiqua" w:eastAsia="Times New Roman" w:hAnsi="Book Antiqua" w:cs="Times New Roman"/>
                <w:noProof/>
                <w:sz w:val="24"/>
                <w:szCs w:val="24"/>
                <w:vertAlign w:val="superscript"/>
                <w:lang w:val="en-US" w:eastAsia="es-EC"/>
              </w:rPr>
              <w:t>[16]</w:t>
            </w:r>
            <w:r w:rsidR="002976C3">
              <w:rPr>
                <w:rFonts w:ascii="Book Antiqua" w:eastAsia="Times New Roman" w:hAnsi="Book Antiqua" w:cs="Times New Roman"/>
                <w:sz w:val="24"/>
                <w:szCs w:val="24"/>
                <w:lang w:val="en-US" w:eastAsia="es-EC"/>
              </w:rPr>
              <w:t xml:space="preserve">, 2011, </w:t>
            </w:r>
            <w:r w:rsidRPr="00C10A48">
              <w:rPr>
                <w:rFonts w:ascii="Book Antiqua" w:eastAsia="Times New Roman" w:hAnsi="Book Antiqua" w:cs="Times New Roman"/>
                <w:sz w:val="24"/>
                <w:szCs w:val="24"/>
                <w:lang w:val="en-US" w:eastAsia="es-EC"/>
              </w:rPr>
              <w:t>Israel</w:t>
            </w:r>
          </w:p>
        </w:tc>
        <w:tc>
          <w:tcPr>
            <w:tcW w:w="1418" w:type="dxa"/>
            <w:vMerge w:val="restart"/>
            <w:shd w:val="clear" w:color="auto" w:fill="auto"/>
            <w:vAlign w:val="center"/>
            <w:hideMark/>
          </w:tcPr>
          <w:p w14:paraId="4F0D4DC9"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RCT</w:t>
            </w:r>
          </w:p>
        </w:tc>
        <w:tc>
          <w:tcPr>
            <w:tcW w:w="3260" w:type="dxa"/>
            <w:vMerge w:val="restart"/>
            <w:shd w:val="clear" w:color="auto" w:fill="auto"/>
            <w:hideMark/>
          </w:tcPr>
          <w:p w14:paraId="7D4B147A" w14:textId="77777777" w:rsidR="003242C9" w:rsidRDefault="005F2ADF" w:rsidP="00F227A9">
            <w:pPr>
              <w:snapToGrid w:val="0"/>
              <w:spacing w:after="0" w:line="360" w:lineRule="auto"/>
              <w:rPr>
                <w:rFonts w:ascii="Book Antiqua" w:eastAsia="Times New Roman" w:hAnsi="Book Antiqua" w:cs="Times New Roman"/>
                <w:sz w:val="24"/>
                <w:szCs w:val="24"/>
                <w:lang w:val="en-US" w:eastAsia="es-EC"/>
              </w:rPr>
            </w:pPr>
            <w:r w:rsidRPr="00C10A48">
              <w:rPr>
                <w:rFonts w:ascii="Book Antiqua" w:eastAsia="Times New Roman" w:hAnsi="Book Antiqua" w:cs="Times New Roman"/>
                <w:b/>
                <w:bCs/>
                <w:sz w:val="24"/>
                <w:szCs w:val="24"/>
                <w:lang w:val="en-US" w:eastAsia="es-EC"/>
              </w:rPr>
              <w:t>Inclusion:</w:t>
            </w:r>
            <w:r w:rsidRPr="00C10A48">
              <w:rPr>
                <w:rFonts w:ascii="Book Antiqua" w:eastAsia="Times New Roman" w:hAnsi="Book Antiqua" w:cs="Times New Roman"/>
                <w:sz w:val="24"/>
                <w:szCs w:val="24"/>
                <w:lang w:val="en-US" w:eastAsia="es-EC"/>
              </w:rPr>
              <w:t xml:space="preserve"> Compensated liver cirrhosis, </w:t>
            </w:r>
            <w:r w:rsidRPr="00C10A48">
              <w:rPr>
                <w:rFonts w:ascii="Book Antiqua" w:hAnsi="Book Antiqua" w:cs="Times New Roman"/>
                <w:sz w:val="24"/>
                <w:szCs w:val="24"/>
                <w:lang w:val="en-US"/>
              </w:rPr>
              <w:t>Child-Turcotte-Pugh</w:t>
            </w:r>
            <w:r w:rsidRPr="00C10A48">
              <w:rPr>
                <w:rFonts w:ascii="Book Antiqua" w:eastAsia="Times New Roman" w:hAnsi="Book Antiqua" w:cs="Times New Roman"/>
                <w:sz w:val="24"/>
                <w:szCs w:val="24"/>
                <w:lang w:val="en-US" w:eastAsia="es-EC"/>
              </w:rPr>
              <w:t xml:space="preserve"> A and B.</w:t>
            </w:r>
          </w:p>
          <w:p w14:paraId="4C6DFDC6" w14:textId="5FF906AA" w:rsidR="005F2ADF" w:rsidRPr="00C10A48" w:rsidRDefault="005F2ADF" w:rsidP="00F227A9">
            <w:pPr>
              <w:snapToGrid w:val="0"/>
              <w:spacing w:after="0" w:line="360" w:lineRule="auto"/>
              <w:rPr>
                <w:rFonts w:ascii="Book Antiqua" w:eastAsia="Times New Roman" w:hAnsi="Book Antiqua" w:cs="Times New Roman"/>
                <w:sz w:val="24"/>
                <w:szCs w:val="24"/>
                <w:lang w:val="en-US" w:eastAsia="es-EC"/>
              </w:rPr>
            </w:pPr>
            <w:r w:rsidRPr="00C10A48">
              <w:rPr>
                <w:rFonts w:ascii="Book Antiqua" w:eastAsia="Times New Roman" w:hAnsi="Book Antiqua" w:cs="Times New Roman"/>
                <w:b/>
                <w:bCs/>
                <w:sz w:val="24"/>
                <w:szCs w:val="24"/>
                <w:lang w:val="en-US" w:eastAsia="es-EC"/>
              </w:rPr>
              <w:t xml:space="preserve">Outcomes: </w:t>
            </w:r>
            <w:r w:rsidRPr="00C10A48">
              <w:rPr>
                <w:rFonts w:ascii="Book Antiqua" w:eastAsia="Times New Roman" w:hAnsi="Book Antiqua" w:cs="Times New Roman"/>
                <w:sz w:val="24"/>
                <w:szCs w:val="24"/>
                <w:lang w:val="en-US" w:eastAsia="es-EC"/>
              </w:rPr>
              <w:t xml:space="preserve">Sub-clinical hepatic encephalopathy </w:t>
            </w:r>
            <w:r w:rsidRPr="00C10A48">
              <w:rPr>
                <w:rFonts w:ascii="Book Antiqua" w:eastAsia="Times New Roman" w:hAnsi="Book Antiqua" w:cs="Times New Roman"/>
                <w:sz w:val="24"/>
                <w:szCs w:val="24"/>
                <w:lang w:val="en-US" w:eastAsia="es-EC"/>
              </w:rPr>
              <w:lastRenderedPageBreak/>
              <w:t>before and after, procedure duration, induction time, recovery time, discharge time, adverse events.</w:t>
            </w:r>
          </w:p>
        </w:tc>
        <w:tc>
          <w:tcPr>
            <w:tcW w:w="2268" w:type="dxa"/>
            <w:shd w:val="clear" w:color="auto" w:fill="auto"/>
            <w:vAlign w:val="center"/>
            <w:hideMark/>
          </w:tcPr>
          <w:p w14:paraId="32AD6208"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lastRenderedPageBreak/>
              <w:t>Propofol (31)</w:t>
            </w:r>
          </w:p>
        </w:tc>
        <w:tc>
          <w:tcPr>
            <w:tcW w:w="4961" w:type="dxa"/>
            <w:shd w:val="clear" w:color="auto" w:fill="auto"/>
            <w:hideMark/>
          </w:tcPr>
          <w:p w14:paraId="4096A339" w14:textId="6CC609DB"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 xml:space="preserve">Propofol: 30-50 mg followed by repeated dosages of 10-20 mg at intervals of 15 s, at the </w:t>
            </w:r>
            <w:proofErr w:type="spellStart"/>
            <w:r w:rsidRPr="00C10A48">
              <w:rPr>
                <w:rFonts w:ascii="Book Antiqua" w:eastAsia="Times New Roman" w:hAnsi="Book Antiqua" w:cs="Times New Roman"/>
                <w:sz w:val="24"/>
                <w:szCs w:val="24"/>
                <w:lang w:val="en-US" w:eastAsia="es-EC"/>
              </w:rPr>
              <w:t>endoscopist's</w:t>
            </w:r>
            <w:proofErr w:type="spellEnd"/>
            <w:r w:rsidRPr="00C10A48">
              <w:rPr>
                <w:rFonts w:ascii="Book Antiqua" w:eastAsia="Times New Roman" w:hAnsi="Book Antiqua" w:cs="Times New Roman"/>
                <w:sz w:val="24"/>
                <w:szCs w:val="24"/>
                <w:lang w:val="en-US" w:eastAsia="es-EC"/>
              </w:rPr>
              <w:t xml:space="preserve"> discretion, up to a 70-100 mg dose, considering the level of satisfactory sedation.</w:t>
            </w:r>
          </w:p>
        </w:tc>
      </w:tr>
      <w:tr w:rsidR="005F2ADF" w:rsidRPr="00C10A48" w14:paraId="5FA1BB6D" w14:textId="77777777" w:rsidTr="00CA3AF2">
        <w:trPr>
          <w:trHeight w:val="750"/>
        </w:trPr>
        <w:tc>
          <w:tcPr>
            <w:tcW w:w="1838" w:type="dxa"/>
            <w:vMerge/>
            <w:vAlign w:val="center"/>
            <w:hideMark/>
          </w:tcPr>
          <w:p w14:paraId="29CC0AFB"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p>
        </w:tc>
        <w:tc>
          <w:tcPr>
            <w:tcW w:w="1418" w:type="dxa"/>
            <w:vMerge/>
            <w:vAlign w:val="center"/>
            <w:hideMark/>
          </w:tcPr>
          <w:p w14:paraId="13CDFBF4"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p>
        </w:tc>
        <w:tc>
          <w:tcPr>
            <w:tcW w:w="3260" w:type="dxa"/>
            <w:vMerge/>
            <w:vAlign w:val="center"/>
            <w:hideMark/>
          </w:tcPr>
          <w:p w14:paraId="60477F07" w14:textId="77777777" w:rsidR="005F2ADF" w:rsidRPr="00C10A48" w:rsidRDefault="005F2ADF" w:rsidP="00F227A9">
            <w:pPr>
              <w:snapToGrid w:val="0"/>
              <w:spacing w:after="0" w:line="360" w:lineRule="auto"/>
              <w:rPr>
                <w:rFonts w:ascii="Book Antiqua" w:eastAsia="Times New Roman" w:hAnsi="Book Antiqua" w:cs="Times New Roman"/>
                <w:sz w:val="24"/>
                <w:szCs w:val="24"/>
                <w:lang w:val="en-US" w:eastAsia="es-EC"/>
              </w:rPr>
            </w:pPr>
          </w:p>
        </w:tc>
        <w:tc>
          <w:tcPr>
            <w:tcW w:w="2268" w:type="dxa"/>
            <w:shd w:val="clear" w:color="auto" w:fill="auto"/>
            <w:vAlign w:val="center"/>
            <w:hideMark/>
          </w:tcPr>
          <w:p w14:paraId="31E12302"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Midazolam (30)</w:t>
            </w:r>
          </w:p>
        </w:tc>
        <w:tc>
          <w:tcPr>
            <w:tcW w:w="4961" w:type="dxa"/>
            <w:shd w:val="clear" w:color="auto" w:fill="auto"/>
            <w:hideMark/>
          </w:tcPr>
          <w:p w14:paraId="2508DA0C"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Midazolam: (0.5-1.0 mg) administered by intravenous bolus injection, with incremental dosages at intervals of approximately 1 to 3 min until a satisfactory level of sedation for the procedure was reached (variation of 3-6 mg).</w:t>
            </w:r>
          </w:p>
        </w:tc>
      </w:tr>
      <w:tr w:rsidR="005F2ADF" w:rsidRPr="00C10A48" w14:paraId="59A959EA" w14:textId="77777777" w:rsidTr="00CA3AF2">
        <w:trPr>
          <w:trHeight w:val="360"/>
        </w:trPr>
        <w:tc>
          <w:tcPr>
            <w:tcW w:w="1838" w:type="dxa"/>
            <w:vMerge/>
            <w:vAlign w:val="center"/>
            <w:hideMark/>
          </w:tcPr>
          <w:p w14:paraId="5AA01FDC"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p>
        </w:tc>
        <w:tc>
          <w:tcPr>
            <w:tcW w:w="1418" w:type="dxa"/>
            <w:vMerge/>
            <w:vAlign w:val="center"/>
            <w:hideMark/>
          </w:tcPr>
          <w:p w14:paraId="4BF31DE7"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p>
        </w:tc>
        <w:tc>
          <w:tcPr>
            <w:tcW w:w="3260" w:type="dxa"/>
            <w:vMerge/>
            <w:vAlign w:val="center"/>
            <w:hideMark/>
          </w:tcPr>
          <w:p w14:paraId="48CEFEBC" w14:textId="77777777" w:rsidR="005F2ADF" w:rsidRPr="00C10A48" w:rsidRDefault="005F2ADF" w:rsidP="00F227A9">
            <w:pPr>
              <w:snapToGrid w:val="0"/>
              <w:spacing w:after="0" w:line="360" w:lineRule="auto"/>
              <w:rPr>
                <w:rFonts w:ascii="Book Antiqua" w:eastAsia="Times New Roman" w:hAnsi="Book Antiqua" w:cs="Times New Roman"/>
                <w:sz w:val="24"/>
                <w:szCs w:val="24"/>
                <w:lang w:val="en-US" w:eastAsia="es-EC"/>
              </w:rPr>
            </w:pPr>
          </w:p>
        </w:tc>
        <w:tc>
          <w:tcPr>
            <w:tcW w:w="2268" w:type="dxa"/>
            <w:shd w:val="clear" w:color="auto" w:fill="auto"/>
            <w:vAlign w:val="center"/>
            <w:hideMark/>
          </w:tcPr>
          <w:p w14:paraId="480F47A4"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Control/No-sedation (30)</w:t>
            </w:r>
          </w:p>
        </w:tc>
        <w:tc>
          <w:tcPr>
            <w:tcW w:w="4961" w:type="dxa"/>
            <w:shd w:val="clear" w:color="auto" w:fill="auto"/>
            <w:noWrap/>
            <w:vAlign w:val="bottom"/>
            <w:hideMark/>
          </w:tcPr>
          <w:p w14:paraId="0D3C3426"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 </w:t>
            </w:r>
          </w:p>
        </w:tc>
      </w:tr>
      <w:tr w:rsidR="005F2ADF" w:rsidRPr="00C10A48" w14:paraId="2AE7678A" w14:textId="77777777" w:rsidTr="00CA3AF2">
        <w:trPr>
          <w:trHeight w:val="555"/>
        </w:trPr>
        <w:tc>
          <w:tcPr>
            <w:tcW w:w="1838" w:type="dxa"/>
            <w:vMerge w:val="restart"/>
            <w:shd w:val="clear" w:color="auto" w:fill="auto"/>
            <w:vAlign w:val="center"/>
            <w:hideMark/>
          </w:tcPr>
          <w:p w14:paraId="50EB441E" w14:textId="2BE3C0FE" w:rsidR="005F2ADF" w:rsidRPr="00C10A48" w:rsidRDefault="005F2ADF" w:rsidP="00F227A9">
            <w:pPr>
              <w:snapToGrid w:val="0"/>
              <w:spacing w:after="0" w:line="360" w:lineRule="auto"/>
              <w:jc w:val="center"/>
              <w:rPr>
                <w:rFonts w:ascii="Book Antiqua" w:eastAsia="Times New Roman" w:hAnsi="Book Antiqua" w:cs="Times New Roman"/>
                <w:sz w:val="24"/>
                <w:szCs w:val="24"/>
                <w:lang w:val="en-US" w:eastAsia="es-EC"/>
              </w:rPr>
            </w:pPr>
            <w:proofErr w:type="spellStart"/>
            <w:r w:rsidRPr="00C10A48">
              <w:rPr>
                <w:rFonts w:ascii="Book Antiqua" w:eastAsia="Times New Roman" w:hAnsi="Book Antiqua" w:cs="Times New Roman"/>
                <w:sz w:val="24"/>
                <w:szCs w:val="24"/>
                <w:lang w:val="en-US" w:eastAsia="es-EC"/>
              </w:rPr>
              <w:t>Riphaus</w:t>
            </w:r>
            <w:proofErr w:type="spellEnd"/>
            <w:r w:rsidRPr="00C10A48">
              <w:rPr>
                <w:rFonts w:ascii="Book Antiqua" w:eastAsia="Times New Roman" w:hAnsi="Book Antiqua" w:cs="Times New Roman"/>
                <w:sz w:val="24"/>
                <w:szCs w:val="24"/>
                <w:lang w:val="en-US" w:eastAsia="es-EC"/>
              </w:rPr>
              <w:t xml:space="preserve"> </w:t>
            </w:r>
            <w:r w:rsidR="006E70C7" w:rsidRPr="00C736D0">
              <w:rPr>
                <w:rFonts w:ascii="Book Antiqua" w:eastAsia="Times New Roman" w:hAnsi="Book Antiqua" w:cs="Times New Roman"/>
                <w:i/>
                <w:sz w:val="24"/>
                <w:szCs w:val="24"/>
                <w:lang w:val="en-US" w:eastAsia="es-EC"/>
              </w:rPr>
              <w:t>et al</w:t>
            </w:r>
            <w:r w:rsidRPr="00C10A48">
              <w:rPr>
                <w:rFonts w:ascii="Book Antiqua" w:eastAsia="Times New Roman" w:hAnsi="Book Antiqua" w:cs="Times New Roman"/>
                <w:noProof/>
                <w:sz w:val="24"/>
                <w:szCs w:val="24"/>
                <w:vertAlign w:val="superscript"/>
                <w:lang w:val="en-US" w:eastAsia="es-EC"/>
              </w:rPr>
              <w:t>[17]</w:t>
            </w:r>
            <w:r w:rsidR="006E70C7">
              <w:rPr>
                <w:rFonts w:ascii="Book Antiqua" w:eastAsia="Times New Roman" w:hAnsi="Book Antiqua" w:cs="Times New Roman"/>
                <w:sz w:val="24"/>
                <w:szCs w:val="24"/>
                <w:lang w:val="en-US" w:eastAsia="es-EC"/>
              </w:rPr>
              <w:t xml:space="preserve">, 2009, </w:t>
            </w:r>
            <w:r w:rsidRPr="00C10A48">
              <w:rPr>
                <w:rFonts w:ascii="Book Antiqua" w:eastAsia="Times New Roman" w:hAnsi="Book Antiqua" w:cs="Times New Roman"/>
                <w:sz w:val="24"/>
                <w:szCs w:val="24"/>
                <w:lang w:val="en-US" w:eastAsia="es-EC"/>
              </w:rPr>
              <w:t>Germany</w:t>
            </w:r>
          </w:p>
        </w:tc>
        <w:tc>
          <w:tcPr>
            <w:tcW w:w="1418" w:type="dxa"/>
            <w:vMerge w:val="restart"/>
            <w:shd w:val="clear" w:color="auto" w:fill="auto"/>
            <w:noWrap/>
            <w:vAlign w:val="center"/>
            <w:hideMark/>
          </w:tcPr>
          <w:p w14:paraId="6CA11221"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RCT</w:t>
            </w:r>
          </w:p>
        </w:tc>
        <w:tc>
          <w:tcPr>
            <w:tcW w:w="3260" w:type="dxa"/>
            <w:vMerge w:val="restart"/>
            <w:shd w:val="clear" w:color="auto" w:fill="auto"/>
            <w:hideMark/>
          </w:tcPr>
          <w:p w14:paraId="771FCCEC" w14:textId="120B89B0" w:rsidR="003242C9" w:rsidRDefault="005F2ADF" w:rsidP="00F227A9">
            <w:pPr>
              <w:snapToGrid w:val="0"/>
              <w:spacing w:after="0" w:line="360" w:lineRule="auto"/>
              <w:rPr>
                <w:rFonts w:ascii="Book Antiqua" w:eastAsia="Times New Roman" w:hAnsi="Book Antiqua" w:cs="Times New Roman"/>
                <w:sz w:val="24"/>
                <w:szCs w:val="24"/>
                <w:lang w:val="en-US" w:eastAsia="es-EC"/>
              </w:rPr>
            </w:pPr>
            <w:r w:rsidRPr="00C10A48">
              <w:rPr>
                <w:rFonts w:ascii="Book Antiqua" w:eastAsia="Times New Roman" w:hAnsi="Book Antiqua" w:cs="Times New Roman"/>
                <w:b/>
                <w:bCs/>
                <w:sz w:val="24"/>
                <w:szCs w:val="24"/>
                <w:lang w:val="en-US" w:eastAsia="es-EC"/>
              </w:rPr>
              <w:t>Inclusion:</w:t>
            </w:r>
            <w:r w:rsidR="003242C9">
              <w:rPr>
                <w:rFonts w:ascii="Book Antiqua" w:eastAsia="Times New Roman" w:hAnsi="Book Antiqua" w:cs="Times New Roman"/>
                <w:sz w:val="24"/>
                <w:szCs w:val="24"/>
                <w:lang w:val="en-US" w:eastAsia="es-EC"/>
              </w:rPr>
              <w:t xml:space="preserve"> </w:t>
            </w:r>
            <w:r w:rsidR="00F86DC3">
              <w:rPr>
                <w:rFonts w:ascii="Book Antiqua" w:eastAsia="Times New Roman" w:hAnsi="Book Antiqua" w:cs="Times New Roman"/>
                <w:sz w:val="24"/>
                <w:szCs w:val="24"/>
                <w:lang w:val="en-US" w:eastAsia="es-EC"/>
              </w:rPr>
              <w:t xml:space="preserve">Patients over 18 </w:t>
            </w:r>
            <w:proofErr w:type="spellStart"/>
            <w:r w:rsidR="00F86DC3">
              <w:rPr>
                <w:rFonts w:ascii="Book Antiqua" w:eastAsia="Times New Roman" w:hAnsi="Book Antiqua" w:cs="Times New Roman"/>
                <w:sz w:val="24"/>
                <w:szCs w:val="24"/>
                <w:lang w:val="en-US" w:eastAsia="es-EC"/>
              </w:rPr>
              <w:t>yr</w:t>
            </w:r>
            <w:proofErr w:type="spellEnd"/>
            <w:r w:rsidRPr="00C10A48">
              <w:rPr>
                <w:rFonts w:ascii="Book Antiqua" w:eastAsia="Times New Roman" w:hAnsi="Book Antiqua" w:cs="Times New Roman"/>
                <w:sz w:val="24"/>
                <w:szCs w:val="24"/>
                <w:lang w:val="en-US" w:eastAsia="es-EC"/>
              </w:rPr>
              <w:t xml:space="preserve"> old diagnosed with hepatic cirrhosis, Child-Turcotte-Pugh A, B and C, without using benzodiazepine or antiepileptics, ASA I-III</w:t>
            </w:r>
            <w:r w:rsidR="003242C9">
              <w:rPr>
                <w:rFonts w:ascii="Book Antiqua" w:eastAsia="Times New Roman" w:hAnsi="Book Antiqua" w:cs="Times New Roman"/>
                <w:sz w:val="24"/>
                <w:szCs w:val="24"/>
                <w:lang w:val="en-US" w:eastAsia="es-EC"/>
              </w:rPr>
              <w:t>.</w:t>
            </w:r>
          </w:p>
          <w:p w14:paraId="73E02570" w14:textId="6E89BA52" w:rsidR="003242C9" w:rsidRDefault="005F2ADF" w:rsidP="00F227A9">
            <w:pPr>
              <w:snapToGrid w:val="0"/>
              <w:spacing w:after="0" w:line="360" w:lineRule="auto"/>
              <w:rPr>
                <w:rFonts w:ascii="Book Antiqua" w:eastAsia="Times New Roman" w:hAnsi="Book Antiqua" w:cs="Times New Roman"/>
                <w:sz w:val="24"/>
                <w:szCs w:val="24"/>
                <w:lang w:val="en-US" w:eastAsia="es-EC"/>
              </w:rPr>
            </w:pPr>
            <w:r w:rsidRPr="00C10A48">
              <w:rPr>
                <w:rFonts w:ascii="Book Antiqua" w:eastAsia="Times New Roman" w:hAnsi="Book Antiqua" w:cs="Times New Roman"/>
                <w:b/>
                <w:bCs/>
                <w:sz w:val="24"/>
                <w:szCs w:val="24"/>
                <w:lang w:val="en-US" w:eastAsia="es-EC"/>
              </w:rPr>
              <w:t>Control group:</w:t>
            </w:r>
            <w:r w:rsidRPr="00C10A48">
              <w:rPr>
                <w:rFonts w:ascii="Book Antiqua" w:eastAsia="Times New Roman" w:hAnsi="Book Antiqua" w:cs="Times New Roman"/>
                <w:sz w:val="24"/>
                <w:szCs w:val="24"/>
                <w:lang w:val="en-US" w:eastAsia="es-EC"/>
              </w:rPr>
              <w:t xml:space="preserve"> </w:t>
            </w:r>
            <w:r w:rsidR="00A90808">
              <w:rPr>
                <w:rFonts w:ascii="Book Antiqua" w:eastAsia="等线" w:hAnsi="Book Antiqua" w:cs="Times New Roman" w:hint="eastAsia"/>
                <w:sz w:val="24"/>
                <w:szCs w:val="24"/>
                <w:lang w:val="en-US" w:eastAsia="zh-CN"/>
              </w:rPr>
              <w:t>N</w:t>
            </w:r>
            <w:r w:rsidRPr="00C10A48">
              <w:rPr>
                <w:rFonts w:ascii="Book Antiqua" w:eastAsia="Times New Roman" w:hAnsi="Book Antiqua" w:cs="Times New Roman"/>
                <w:sz w:val="24"/>
                <w:szCs w:val="24"/>
                <w:lang w:val="en-US" w:eastAsia="es-EC"/>
              </w:rPr>
              <w:t xml:space="preserve">on-cirrhotic. </w:t>
            </w:r>
          </w:p>
          <w:p w14:paraId="3C7FDE8C" w14:textId="1A13C77D" w:rsidR="005F2ADF" w:rsidRPr="00C10A48" w:rsidRDefault="005F2ADF" w:rsidP="00F227A9">
            <w:pPr>
              <w:snapToGrid w:val="0"/>
              <w:spacing w:after="0" w:line="360" w:lineRule="auto"/>
              <w:rPr>
                <w:rFonts w:ascii="Book Antiqua" w:eastAsia="Times New Roman" w:hAnsi="Book Antiqua" w:cs="Times New Roman"/>
                <w:sz w:val="24"/>
                <w:szCs w:val="24"/>
                <w:lang w:val="en-US" w:eastAsia="es-EC"/>
              </w:rPr>
            </w:pPr>
            <w:r w:rsidRPr="00C10A48">
              <w:rPr>
                <w:rFonts w:ascii="Book Antiqua" w:eastAsia="Times New Roman" w:hAnsi="Book Antiqua" w:cs="Times New Roman"/>
                <w:b/>
                <w:bCs/>
                <w:sz w:val="24"/>
                <w:szCs w:val="24"/>
                <w:lang w:val="en-US" w:eastAsia="es-EC"/>
              </w:rPr>
              <w:t xml:space="preserve">Outcomes: </w:t>
            </w:r>
            <w:r w:rsidRPr="00C10A48">
              <w:rPr>
                <w:rFonts w:ascii="Book Antiqua" w:eastAsia="Times New Roman" w:hAnsi="Book Antiqua" w:cs="Times New Roman"/>
                <w:sz w:val="24"/>
                <w:szCs w:val="24"/>
                <w:lang w:val="en-US" w:eastAsia="es-EC"/>
              </w:rPr>
              <w:t xml:space="preserve">Acute deterioration of minimal encephalopathy before and </w:t>
            </w:r>
            <w:r w:rsidRPr="00C10A48">
              <w:rPr>
                <w:rFonts w:ascii="Book Antiqua" w:eastAsia="Times New Roman" w:hAnsi="Book Antiqua" w:cs="Times New Roman"/>
                <w:sz w:val="24"/>
                <w:szCs w:val="24"/>
                <w:lang w:val="en-US" w:eastAsia="es-EC"/>
              </w:rPr>
              <w:lastRenderedPageBreak/>
              <w:t xml:space="preserve">after sedation, procedure duration, recovery time, and adverse events.                                           </w:t>
            </w:r>
          </w:p>
        </w:tc>
        <w:tc>
          <w:tcPr>
            <w:tcW w:w="2268" w:type="dxa"/>
            <w:shd w:val="clear" w:color="auto" w:fill="auto"/>
            <w:vAlign w:val="center"/>
            <w:hideMark/>
          </w:tcPr>
          <w:p w14:paraId="108971B6"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lastRenderedPageBreak/>
              <w:t>Propofol (40)</w:t>
            </w:r>
          </w:p>
        </w:tc>
        <w:tc>
          <w:tcPr>
            <w:tcW w:w="4961" w:type="dxa"/>
            <w:shd w:val="clear" w:color="auto" w:fill="auto"/>
            <w:hideMark/>
          </w:tcPr>
          <w:p w14:paraId="03DC0639"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Propofol: 40 mg of propofol 1% or 60 mg in patients weighing 70 kg; an extra dose of 10 mg was administered if necessary.</w:t>
            </w:r>
          </w:p>
        </w:tc>
      </w:tr>
      <w:tr w:rsidR="005F2ADF" w:rsidRPr="00C10A48" w14:paraId="3DB73F42" w14:textId="77777777" w:rsidTr="00CA3AF2">
        <w:trPr>
          <w:trHeight w:val="570"/>
        </w:trPr>
        <w:tc>
          <w:tcPr>
            <w:tcW w:w="1838" w:type="dxa"/>
            <w:vMerge/>
            <w:vAlign w:val="center"/>
            <w:hideMark/>
          </w:tcPr>
          <w:p w14:paraId="0A7BE0C5"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p>
        </w:tc>
        <w:tc>
          <w:tcPr>
            <w:tcW w:w="1418" w:type="dxa"/>
            <w:vMerge/>
            <w:vAlign w:val="center"/>
            <w:hideMark/>
          </w:tcPr>
          <w:p w14:paraId="4D6A8B8E"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p>
        </w:tc>
        <w:tc>
          <w:tcPr>
            <w:tcW w:w="3260" w:type="dxa"/>
            <w:vMerge/>
            <w:vAlign w:val="center"/>
            <w:hideMark/>
          </w:tcPr>
          <w:p w14:paraId="0B78A3F3" w14:textId="77777777" w:rsidR="005F2ADF" w:rsidRPr="00C10A48" w:rsidRDefault="005F2ADF" w:rsidP="00F227A9">
            <w:pPr>
              <w:snapToGrid w:val="0"/>
              <w:spacing w:after="0" w:line="360" w:lineRule="auto"/>
              <w:rPr>
                <w:rFonts w:ascii="Book Antiqua" w:eastAsia="Times New Roman" w:hAnsi="Book Antiqua" w:cs="Times New Roman"/>
                <w:sz w:val="24"/>
                <w:szCs w:val="24"/>
                <w:lang w:val="en-US" w:eastAsia="es-EC"/>
              </w:rPr>
            </w:pPr>
          </w:p>
        </w:tc>
        <w:tc>
          <w:tcPr>
            <w:tcW w:w="2268" w:type="dxa"/>
            <w:shd w:val="clear" w:color="auto" w:fill="auto"/>
            <w:vAlign w:val="center"/>
            <w:hideMark/>
          </w:tcPr>
          <w:p w14:paraId="2E366131"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Midazolam (20)</w:t>
            </w:r>
          </w:p>
        </w:tc>
        <w:tc>
          <w:tcPr>
            <w:tcW w:w="4961" w:type="dxa"/>
            <w:shd w:val="clear" w:color="auto" w:fill="auto"/>
            <w:hideMark/>
          </w:tcPr>
          <w:p w14:paraId="773B6C50"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Midazolam: 2.5 mg IV, with repeated doses administered to ensure satisfactory sedation within a limit of 7.5 mg total.</w:t>
            </w:r>
          </w:p>
        </w:tc>
      </w:tr>
      <w:tr w:rsidR="005F2ADF" w:rsidRPr="00C10A48" w14:paraId="40752F39" w14:textId="77777777" w:rsidTr="00CA3AF2">
        <w:trPr>
          <w:trHeight w:val="413"/>
        </w:trPr>
        <w:tc>
          <w:tcPr>
            <w:tcW w:w="1838" w:type="dxa"/>
            <w:vMerge/>
            <w:vAlign w:val="center"/>
            <w:hideMark/>
          </w:tcPr>
          <w:p w14:paraId="3A02AD1B"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p>
        </w:tc>
        <w:tc>
          <w:tcPr>
            <w:tcW w:w="1418" w:type="dxa"/>
            <w:vMerge/>
            <w:vAlign w:val="center"/>
            <w:hideMark/>
          </w:tcPr>
          <w:p w14:paraId="13B7AE64"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p>
        </w:tc>
        <w:tc>
          <w:tcPr>
            <w:tcW w:w="3260" w:type="dxa"/>
            <w:vMerge/>
            <w:vAlign w:val="center"/>
            <w:hideMark/>
          </w:tcPr>
          <w:p w14:paraId="08A9F40B" w14:textId="77777777" w:rsidR="005F2ADF" w:rsidRPr="00C10A48" w:rsidRDefault="005F2ADF" w:rsidP="00F227A9">
            <w:pPr>
              <w:snapToGrid w:val="0"/>
              <w:spacing w:after="0" w:line="360" w:lineRule="auto"/>
              <w:rPr>
                <w:rFonts w:ascii="Book Antiqua" w:eastAsia="Times New Roman" w:hAnsi="Book Antiqua" w:cs="Times New Roman"/>
                <w:sz w:val="24"/>
                <w:szCs w:val="24"/>
                <w:lang w:val="en-US" w:eastAsia="es-EC"/>
              </w:rPr>
            </w:pPr>
          </w:p>
        </w:tc>
        <w:tc>
          <w:tcPr>
            <w:tcW w:w="2268" w:type="dxa"/>
            <w:shd w:val="clear" w:color="auto" w:fill="auto"/>
            <w:vAlign w:val="center"/>
            <w:hideMark/>
          </w:tcPr>
          <w:p w14:paraId="7B0408EF"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Control/No-sedation (20)</w:t>
            </w:r>
          </w:p>
        </w:tc>
        <w:tc>
          <w:tcPr>
            <w:tcW w:w="4961" w:type="dxa"/>
            <w:shd w:val="clear" w:color="auto" w:fill="auto"/>
            <w:hideMark/>
          </w:tcPr>
          <w:p w14:paraId="64D7A8D7"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 </w:t>
            </w:r>
          </w:p>
        </w:tc>
      </w:tr>
      <w:tr w:rsidR="005F2ADF" w:rsidRPr="00C10A48" w14:paraId="7A193C9D" w14:textId="77777777" w:rsidTr="00CA3AF2">
        <w:trPr>
          <w:trHeight w:val="750"/>
        </w:trPr>
        <w:tc>
          <w:tcPr>
            <w:tcW w:w="1838" w:type="dxa"/>
            <w:vMerge w:val="restart"/>
            <w:shd w:val="clear" w:color="auto" w:fill="auto"/>
            <w:vAlign w:val="center"/>
            <w:hideMark/>
          </w:tcPr>
          <w:p w14:paraId="6AA185DB" w14:textId="4E474A2E" w:rsidR="005F2ADF" w:rsidRPr="00C10A48" w:rsidRDefault="005F2ADF" w:rsidP="00F227A9">
            <w:pPr>
              <w:snapToGrid w:val="0"/>
              <w:spacing w:after="0" w:line="360" w:lineRule="auto"/>
              <w:jc w:val="center"/>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lastRenderedPageBreak/>
              <w:t xml:space="preserve">Weston </w:t>
            </w:r>
            <w:r w:rsidR="009705A1" w:rsidRPr="00C736D0">
              <w:rPr>
                <w:rFonts w:ascii="Book Antiqua" w:eastAsia="Times New Roman" w:hAnsi="Book Antiqua" w:cs="Times New Roman"/>
                <w:i/>
                <w:sz w:val="24"/>
                <w:szCs w:val="24"/>
                <w:lang w:val="en-US" w:eastAsia="es-EC"/>
              </w:rPr>
              <w:t>et al</w:t>
            </w:r>
            <w:r w:rsidRPr="00C10A48">
              <w:rPr>
                <w:rFonts w:ascii="Book Antiqua" w:eastAsia="Times New Roman" w:hAnsi="Book Antiqua" w:cs="Times New Roman"/>
                <w:noProof/>
                <w:sz w:val="24"/>
                <w:szCs w:val="24"/>
                <w:vertAlign w:val="superscript"/>
                <w:lang w:val="en-US" w:eastAsia="es-EC"/>
              </w:rPr>
              <w:t>[22]</w:t>
            </w:r>
            <w:r w:rsidR="009705A1">
              <w:rPr>
                <w:rFonts w:ascii="Book Antiqua" w:eastAsia="Times New Roman" w:hAnsi="Book Antiqua" w:cs="Times New Roman"/>
                <w:sz w:val="24"/>
                <w:szCs w:val="24"/>
                <w:lang w:val="en-US" w:eastAsia="es-EC"/>
              </w:rPr>
              <w:t xml:space="preserve">, </w:t>
            </w:r>
            <w:r w:rsidRPr="00C10A48">
              <w:rPr>
                <w:rFonts w:ascii="Book Antiqua" w:eastAsia="Times New Roman" w:hAnsi="Book Antiqua" w:cs="Times New Roman"/>
                <w:sz w:val="24"/>
                <w:szCs w:val="24"/>
                <w:lang w:val="en-US" w:eastAsia="es-EC"/>
              </w:rPr>
              <w:t>2003</w:t>
            </w:r>
            <w:r w:rsidR="009705A1">
              <w:rPr>
                <w:rFonts w:ascii="Book Antiqua" w:eastAsia="Times New Roman" w:hAnsi="Book Antiqua" w:cs="Times New Roman"/>
                <w:sz w:val="24"/>
                <w:szCs w:val="24"/>
                <w:lang w:val="en-US" w:eastAsia="es-EC"/>
              </w:rPr>
              <w:t>, United States</w:t>
            </w:r>
          </w:p>
        </w:tc>
        <w:tc>
          <w:tcPr>
            <w:tcW w:w="1418" w:type="dxa"/>
            <w:vMerge w:val="restart"/>
            <w:shd w:val="clear" w:color="auto" w:fill="auto"/>
            <w:noWrap/>
            <w:vAlign w:val="center"/>
            <w:hideMark/>
          </w:tcPr>
          <w:p w14:paraId="51990ED4"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RCT</w:t>
            </w:r>
          </w:p>
        </w:tc>
        <w:tc>
          <w:tcPr>
            <w:tcW w:w="3260" w:type="dxa"/>
            <w:vMerge w:val="restart"/>
            <w:shd w:val="clear" w:color="auto" w:fill="auto"/>
            <w:hideMark/>
          </w:tcPr>
          <w:p w14:paraId="03D8CBB9" w14:textId="2CB3A741" w:rsidR="003242C9" w:rsidRDefault="005F2ADF" w:rsidP="00F227A9">
            <w:pPr>
              <w:snapToGrid w:val="0"/>
              <w:spacing w:after="0" w:line="360" w:lineRule="auto"/>
              <w:rPr>
                <w:rFonts w:ascii="Book Antiqua" w:eastAsia="Times New Roman" w:hAnsi="Book Antiqua" w:cs="Times New Roman"/>
                <w:sz w:val="24"/>
                <w:szCs w:val="24"/>
                <w:lang w:val="en-US" w:eastAsia="es-EC"/>
              </w:rPr>
            </w:pPr>
            <w:r w:rsidRPr="00C10A48">
              <w:rPr>
                <w:rFonts w:ascii="Book Antiqua" w:eastAsia="Times New Roman" w:hAnsi="Book Antiqua" w:cs="Times New Roman"/>
                <w:b/>
                <w:bCs/>
                <w:sz w:val="24"/>
                <w:szCs w:val="24"/>
                <w:lang w:val="en-US" w:eastAsia="es-EC"/>
              </w:rPr>
              <w:t>Inclusion:</w:t>
            </w:r>
            <w:r w:rsidR="00F86DC3">
              <w:rPr>
                <w:rFonts w:ascii="Book Antiqua" w:eastAsia="Times New Roman" w:hAnsi="Book Antiqua" w:cs="Times New Roman"/>
                <w:sz w:val="24"/>
                <w:szCs w:val="24"/>
                <w:lang w:val="en-US" w:eastAsia="es-EC"/>
              </w:rPr>
              <w:t xml:space="preserve"> Patients over 18 </w:t>
            </w:r>
            <w:proofErr w:type="spellStart"/>
            <w:r w:rsidR="00F86DC3">
              <w:rPr>
                <w:rFonts w:ascii="Book Antiqua" w:eastAsia="Times New Roman" w:hAnsi="Book Antiqua" w:cs="Times New Roman"/>
                <w:sz w:val="24"/>
                <w:szCs w:val="24"/>
                <w:lang w:val="en-US" w:eastAsia="es-EC"/>
              </w:rPr>
              <w:t>yr</w:t>
            </w:r>
            <w:proofErr w:type="spellEnd"/>
            <w:r w:rsidRPr="00C10A48">
              <w:rPr>
                <w:rFonts w:ascii="Book Antiqua" w:eastAsia="Times New Roman" w:hAnsi="Book Antiqua" w:cs="Times New Roman"/>
                <w:sz w:val="24"/>
                <w:szCs w:val="24"/>
                <w:lang w:val="en-US" w:eastAsia="es-EC"/>
              </w:rPr>
              <w:t xml:space="preserve"> old, confirmed hepatic cirrhosis, Child-Turcotte-Pugh A and B,</w:t>
            </w:r>
            <w:r w:rsidR="003242C9">
              <w:rPr>
                <w:rFonts w:ascii="Book Antiqua" w:eastAsia="Times New Roman" w:hAnsi="Book Antiqua" w:cs="Times New Roman"/>
                <w:sz w:val="24"/>
                <w:szCs w:val="24"/>
                <w:lang w:val="en-US" w:eastAsia="es-EC"/>
              </w:rPr>
              <w:t xml:space="preserve"> ASA I-II. </w:t>
            </w:r>
          </w:p>
          <w:p w14:paraId="77DAC6E9" w14:textId="7348AA09" w:rsidR="005F2ADF" w:rsidRPr="00C10A48" w:rsidRDefault="005F2ADF" w:rsidP="00A90808">
            <w:pPr>
              <w:snapToGrid w:val="0"/>
              <w:spacing w:after="0" w:line="360" w:lineRule="auto"/>
              <w:rPr>
                <w:rFonts w:ascii="Book Antiqua" w:eastAsia="Times New Roman" w:hAnsi="Book Antiqua" w:cs="Times New Roman"/>
                <w:sz w:val="24"/>
                <w:szCs w:val="24"/>
                <w:lang w:val="en-US" w:eastAsia="es-EC"/>
              </w:rPr>
            </w:pPr>
            <w:r w:rsidRPr="00C10A48">
              <w:rPr>
                <w:rFonts w:ascii="Book Antiqua" w:eastAsia="Times New Roman" w:hAnsi="Book Antiqua" w:cs="Times New Roman"/>
                <w:b/>
                <w:bCs/>
                <w:sz w:val="24"/>
                <w:szCs w:val="24"/>
                <w:lang w:val="en-US" w:eastAsia="es-EC"/>
              </w:rPr>
              <w:t xml:space="preserve">Outcomes: </w:t>
            </w:r>
            <w:r w:rsidR="00A90808">
              <w:rPr>
                <w:rFonts w:ascii="Book Antiqua" w:eastAsia="等线" w:hAnsi="Book Antiqua" w:cs="Times New Roman" w:hint="eastAsia"/>
                <w:sz w:val="24"/>
                <w:szCs w:val="24"/>
                <w:lang w:val="en-US" w:eastAsia="zh-CN"/>
              </w:rPr>
              <w:t>P</w:t>
            </w:r>
            <w:r w:rsidRPr="00C10A48">
              <w:rPr>
                <w:rFonts w:ascii="Book Antiqua" w:eastAsia="Times New Roman" w:hAnsi="Book Antiqua" w:cs="Times New Roman"/>
                <w:sz w:val="24"/>
                <w:szCs w:val="24"/>
                <w:lang w:val="en-US" w:eastAsia="es-EC"/>
              </w:rPr>
              <w:t xml:space="preserve">rocedure duration, recovery time, discharge time, and adverse events.         </w:t>
            </w:r>
          </w:p>
        </w:tc>
        <w:tc>
          <w:tcPr>
            <w:tcW w:w="2268" w:type="dxa"/>
            <w:shd w:val="clear" w:color="auto" w:fill="auto"/>
            <w:vAlign w:val="center"/>
            <w:hideMark/>
          </w:tcPr>
          <w:p w14:paraId="1F0DC811"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Propofol (10)</w:t>
            </w:r>
          </w:p>
        </w:tc>
        <w:tc>
          <w:tcPr>
            <w:tcW w:w="4961" w:type="dxa"/>
            <w:shd w:val="clear" w:color="auto" w:fill="auto"/>
            <w:hideMark/>
          </w:tcPr>
          <w:p w14:paraId="6EC0EB8C" w14:textId="7A56BE0E"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 xml:space="preserve">Propofol: 30-50 mg IV, followed by a 10-20 mg dosage every 15 s, at the discretion of an </w:t>
            </w:r>
            <w:proofErr w:type="spellStart"/>
            <w:r w:rsidRPr="00C10A48">
              <w:rPr>
                <w:rFonts w:ascii="Book Antiqua" w:eastAsia="Times New Roman" w:hAnsi="Book Antiqua" w:cs="Times New Roman"/>
                <w:sz w:val="24"/>
                <w:szCs w:val="24"/>
                <w:lang w:val="en-US" w:eastAsia="es-EC"/>
              </w:rPr>
              <w:t>endoscopist</w:t>
            </w:r>
            <w:proofErr w:type="spellEnd"/>
            <w:r w:rsidRPr="00C10A48">
              <w:rPr>
                <w:rFonts w:ascii="Book Antiqua" w:eastAsia="Times New Roman" w:hAnsi="Book Antiqua" w:cs="Times New Roman"/>
                <w:sz w:val="24"/>
                <w:szCs w:val="24"/>
                <w:lang w:val="en-US" w:eastAsia="es-EC"/>
              </w:rPr>
              <w:t xml:space="preserve"> or nurse, until a satisfactory level of sedation is reached.</w:t>
            </w:r>
          </w:p>
        </w:tc>
      </w:tr>
      <w:tr w:rsidR="005F2ADF" w:rsidRPr="00C10A48" w14:paraId="605C3449" w14:textId="77777777" w:rsidTr="00CA3AF2">
        <w:trPr>
          <w:trHeight w:val="435"/>
        </w:trPr>
        <w:tc>
          <w:tcPr>
            <w:tcW w:w="1838" w:type="dxa"/>
            <w:vMerge/>
            <w:vAlign w:val="center"/>
            <w:hideMark/>
          </w:tcPr>
          <w:p w14:paraId="35373C76"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p>
        </w:tc>
        <w:tc>
          <w:tcPr>
            <w:tcW w:w="1418" w:type="dxa"/>
            <w:vMerge/>
            <w:vAlign w:val="center"/>
            <w:hideMark/>
          </w:tcPr>
          <w:p w14:paraId="23174439"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p>
        </w:tc>
        <w:tc>
          <w:tcPr>
            <w:tcW w:w="3260" w:type="dxa"/>
            <w:vMerge/>
            <w:vAlign w:val="center"/>
            <w:hideMark/>
          </w:tcPr>
          <w:p w14:paraId="4EA111E0" w14:textId="77777777" w:rsidR="005F2ADF" w:rsidRPr="00C10A48" w:rsidRDefault="005F2ADF" w:rsidP="00F227A9">
            <w:pPr>
              <w:snapToGrid w:val="0"/>
              <w:spacing w:after="0" w:line="360" w:lineRule="auto"/>
              <w:rPr>
                <w:rFonts w:ascii="Book Antiqua" w:eastAsia="Times New Roman" w:hAnsi="Book Antiqua" w:cs="Times New Roman"/>
                <w:sz w:val="24"/>
                <w:szCs w:val="24"/>
                <w:lang w:val="en-US" w:eastAsia="es-EC"/>
              </w:rPr>
            </w:pPr>
          </w:p>
        </w:tc>
        <w:tc>
          <w:tcPr>
            <w:tcW w:w="2268" w:type="dxa"/>
            <w:shd w:val="clear" w:color="auto" w:fill="auto"/>
            <w:vAlign w:val="center"/>
            <w:hideMark/>
          </w:tcPr>
          <w:p w14:paraId="1437B00B" w14:textId="77777777" w:rsidR="005F2ADF" w:rsidRPr="00C10A48" w:rsidRDefault="005F2ADF" w:rsidP="00F227A9">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Midazolam (10)</w:t>
            </w:r>
          </w:p>
        </w:tc>
        <w:tc>
          <w:tcPr>
            <w:tcW w:w="4961" w:type="dxa"/>
            <w:shd w:val="clear" w:color="auto" w:fill="auto"/>
            <w:hideMark/>
          </w:tcPr>
          <w:p w14:paraId="37695E87" w14:textId="0299769B" w:rsidR="005F2ADF" w:rsidRPr="00C10A48" w:rsidRDefault="005F2ADF" w:rsidP="00F86DC3">
            <w:pPr>
              <w:snapToGrid w:val="0"/>
              <w:spacing w:after="0" w:line="360" w:lineRule="auto"/>
              <w:jc w:val="both"/>
              <w:rPr>
                <w:rFonts w:ascii="Book Antiqua" w:eastAsia="Times New Roman" w:hAnsi="Book Antiqua" w:cs="Times New Roman"/>
                <w:sz w:val="24"/>
                <w:szCs w:val="24"/>
                <w:lang w:val="en-US" w:eastAsia="es-EC"/>
              </w:rPr>
            </w:pPr>
            <w:r w:rsidRPr="00C10A48">
              <w:rPr>
                <w:rFonts w:ascii="Book Antiqua" w:eastAsia="Times New Roman" w:hAnsi="Book Antiqua" w:cs="Times New Roman"/>
                <w:sz w:val="24"/>
                <w:szCs w:val="24"/>
                <w:lang w:val="en-US" w:eastAsia="es-EC"/>
              </w:rPr>
              <w:t>Midazolam: 0.5-1 mg + meperidine (12.5-25</w:t>
            </w:r>
            <w:r w:rsidR="003D6C33">
              <w:rPr>
                <w:rFonts w:ascii="Book Antiqua" w:eastAsia="Times New Roman" w:hAnsi="Book Antiqua" w:cs="Times New Roman"/>
                <w:sz w:val="24"/>
                <w:szCs w:val="24"/>
                <w:lang w:val="en-US" w:eastAsia="es-EC"/>
              </w:rPr>
              <w:t xml:space="preserve"> </w:t>
            </w:r>
            <w:r w:rsidRPr="00C10A48">
              <w:rPr>
                <w:rFonts w:ascii="Book Antiqua" w:eastAsia="Times New Roman" w:hAnsi="Book Antiqua" w:cs="Times New Roman"/>
                <w:sz w:val="24"/>
                <w:szCs w:val="24"/>
                <w:lang w:val="en-US" w:eastAsia="es-EC"/>
              </w:rPr>
              <w:t>mg), with an additional dosage every 1-3 min if necessary.</w:t>
            </w:r>
          </w:p>
        </w:tc>
      </w:tr>
    </w:tbl>
    <w:p w14:paraId="2E92E479" w14:textId="10B44A0B" w:rsidR="003E7EDB" w:rsidRPr="00DF31EE" w:rsidRDefault="003E7EDB" w:rsidP="00F227A9">
      <w:pPr>
        <w:snapToGrid w:val="0"/>
        <w:spacing w:after="0" w:line="360" w:lineRule="auto"/>
        <w:jc w:val="both"/>
        <w:rPr>
          <w:rFonts w:ascii="Book Antiqua" w:eastAsia="Times New Roman" w:hAnsi="Book Antiqua" w:cs="Times New Roman"/>
          <w:sz w:val="24"/>
          <w:szCs w:val="24"/>
          <w:lang w:val="en-US" w:eastAsia="pt-BR"/>
        </w:rPr>
      </w:pPr>
      <w:r w:rsidRPr="009D6228">
        <w:rPr>
          <w:rFonts w:ascii="Book Antiqua" w:hAnsi="Book Antiqua" w:cs="Times New Roman"/>
          <w:bCs/>
          <w:sz w:val="24"/>
          <w:szCs w:val="24"/>
          <w:lang w:val="en-US"/>
        </w:rPr>
        <w:t>MHE:</w:t>
      </w:r>
      <w:r w:rsidRPr="009D6228">
        <w:rPr>
          <w:rFonts w:ascii="Book Antiqua" w:hAnsi="Book Antiqua" w:cs="Times New Roman"/>
          <w:sz w:val="24"/>
          <w:szCs w:val="24"/>
          <w:lang w:val="en-US"/>
        </w:rPr>
        <w:t xml:space="preserve"> </w:t>
      </w:r>
      <w:r w:rsidRPr="009D6228">
        <w:rPr>
          <w:rFonts w:ascii="Book Antiqua" w:eastAsia="Times New Roman" w:hAnsi="Book Antiqua" w:cs="Times New Roman"/>
          <w:caps/>
          <w:sz w:val="24"/>
          <w:szCs w:val="24"/>
          <w:lang w:val="en-US" w:eastAsia="pt-BR"/>
        </w:rPr>
        <w:t>m</w:t>
      </w:r>
      <w:r w:rsidRPr="009D6228">
        <w:rPr>
          <w:rFonts w:ascii="Book Antiqua" w:eastAsia="Times New Roman" w:hAnsi="Book Antiqua" w:cs="Times New Roman"/>
          <w:sz w:val="24"/>
          <w:szCs w:val="24"/>
          <w:lang w:val="en-US" w:eastAsia="pt-BR"/>
        </w:rPr>
        <w:t>inimal hepatic encephalopathy</w:t>
      </w:r>
      <w:r w:rsidR="009D6228" w:rsidRPr="009D6228">
        <w:rPr>
          <w:rFonts w:ascii="Book Antiqua" w:eastAsia="Times New Roman" w:hAnsi="Book Antiqua" w:cs="Times New Roman"/>
          <w:sz w:val="24"/>
          <w:szCs w:val="24"/>
          <w:lang w:val="en-US" w:eastAsia="pt-BR"/>
        </w:rPr>
        <w:t xml:space="preserve">; </w:t>
      </w:r>
      <w:r w:rsidRPr="009D6228">
        <w:rPr>
          <w:rFonts w:ascii="Book Antiqua" w:hAnsi="Book Antiqua" w:cs="Times New Roman"/>
          <w:bCs/>
          <w:sz w:val="24"/>
          <w:szCs w:val="24"/>
          <w:lang w:val="en-US"/>
        </w:rPr>
        <w:t>MELD:</w:t>
      </w:r>
      <w:r w:rsidRPr="009D6228">
        <w:rPr>
          <w:rFonts w:ascii="Book Antiqua" w:hAnsi="Book Antiqua" w:cs="Times New Roman"/>
          <w:sz w:val="24"/>
          <w:szCs w:val="24"/>
          <w:lang w:val="en-US"/>
        </w:rPr>
        <w:t xml:space="preserve"> </w:t>
      </w:r>
      <w:r w:rsidRPr="009D6228">
        <w:rPr>
          <w:rFonts w:ascii="Book Antiqua" w:eastAsia="Times New Roman" w:hAnsi="Book Antiqua" w:cs="Times New Roman"/>
          <w:caps/>
          <w:sz w:val="24"/>
          <w:szCs w:val="24"/>
          <w:lang w:val="en-US" w:eastAsia="pt-BR"/>
        </w:rPr>
        <w:t>m</w:t>
      </w:r>
      <w:r w:rsidRPr="009D6228">
        <w:rPr>
          <w:rFonts w:ascii="Book Antiqua" w:eastAsia="Times New Roman" w:hAnsi="Book Antiqua" w:cs="Times New Roman"/>
          <w:sz w:val="24"/>
          <w:szCs w:val="24"/>
          <w:lang w:val="en-US" w:eastAsia="pt-BR"/>
        </w:rPr>
        <w:t xml:space="preserve">odel for </w:t>
      </w:r>
      <w:r w:rsidRPr="009D6228">
        <w:rPr>
          <w:rFonts w:ascii="Book Antiqua" w:eastAsia="Times New Roman" w:hAnsi="Book Antiqua" w:cs="Times New Roman"/>
          <w:caps/>
          <w:sz w:val="24"/>
          <w:szCs w:val="24"/>
          <w:lang w:val="en-US" w:eastAsia="pt-BR"/>
        </w:rPr>
        <w:t>e</w:t>
      </w:r>
      <w:r w:rsidRPr="009D6228">
        <w:rPr>
          <w:rFonts w:ascii="Book Antiqua" w:eastAsia="Times New Roman" w:hAnsi="Book Antiqua" w:cs="Times New Roman"/>
          <w:sz w:val="24"/>
          <w:szCs w:val="24"/>
          <w:lang w:val="en-US" w:eastAsia="pt-BR"/>
        </w:rPr>
        <w:t>nd-</w:t>
      </w:r>
      <w:r w:rsidRPr="009D6228">
        <w:rPr>
          <w:rFonts w:ascii="Book Antiqua" w:eastAsia="Times New Roman" w:hAnsi="Book Antiqua" w:cs="Times New Roman"/>
          <w:caps/>
          <w:sz w:val="24"/>
          <w:szCs w:val="24"/>
          <w:lang w:val="en-US" w:eastAsia="pt-BR"/>
        </w:rPr>
        <w:t>s</w:t>
      </w:r>
      <w:r w:rsidRPr="009D6228">
        <w:rPr>
          <w:rFonts w:ascii="Book Antiqua" w:eastAsia="Times New Roman" w:hAnsi="Book Antiqua" w:cs="Times New Roman"/>
          <w:sz w:val="24"/>
          <w:szCs w:val="24"/>
          <w:lang w:val="en-US" w:eastAsia="pt-BR"/>
        </w:rPr>
        <w:t xml:space="preserve">tage </w:t>
      </w:r>
      <w:r w:rsidRPr="009D6228">
        <w:rPr>
          <w:rFonts w:ascii="Book Antiqua" w:eastAsia="Times New Roman" w:hAnsi="Book Antiqua" w:cs="Times New Roman"/>
          <w:caps/>
          <w:sz w:val="24"/>
          <w:szCs w:val="24"/>
          <w:lang w:val="en-US" w:eastAsia="pt-BR"/>
        </w:rPr>
        <w:t>l</w:t>
      </w:r>
      <w:r w:rsidRPr="009D6228">
        <w:rPr>
          <w:rFonts w:ascii="Book Antiqua" w:eastAsia="Times New Roman" w:hAnsi="Book Antiqua" w:cs="Times New Roman"/>
          <w:sz w:val="24"/>
          <w:szCs w:val="24"/>
          <w:lang w:val="en-US" w:eastAsia="pt-BR"/>
        </w:rPr>
        <w:t xml:space="preserve">iver </w:t>
      </w:r>
      <w:r w:rsidRPr="009D6228">
        <w:rPr>
          <w:rFonts w:ascii="Book Antiqua" w:eastAsia="Times New Roman" w:hAnsi="Book Antiqua" w:cs="Times New Roman"/>
          <w:caps/>
          <w:sz w:val="24"/>
          <w:szCs w:val="24"/>
          <w:lang w:val="en-US" w:eastAsia="pt-BR"/>
        </w:rPr>
        <w:t>d</w:t>
      </w:r>
      <w:r w:rsidRPr="009D6228">
        <w:rPr>
          <w:rFonts w:ascii="Book Antiqua" w:eastAsia="Times New Roman" w:hAnsi="Book Antiqua" w:cs="Times New Roman"/>
          <w:sz w:val="24"/>
          <w:szCs w:val="24"/>
          <w:lang w:val="en-US" w:eastAsia="pt-BR"/>
        </w:rPr>
        <w:t>ise</w:t>
      </w:r>
      <w:r w:rsidR="00DF31EE">
        <w:rPr>
          <w:rFonts w:ascii="Book Antiqua" w:eastAsia="Times New Roman" w:hAnsi="Book Antiqua" w:cs="Times New Roman"/>
          <w:sz w:val="24"/>
          <w:szCs w:val="24"/>
          <w:lang w:val="en-US" w:eastAsia="pt-BR"/>
        </w:rPr>
        <w:t>ase.</w:t>
      </w:r>
    </w:p>
    <w:sectPr w:rsidR="003E7EDB" w:rsidRPr="00DF31EE" w:rsidSect="008F0D01">
      <w:pgSz w:w="16840" w:h="11907"/>
      <w:pgMar w:top="1418" w:right="1023"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BF168" w14:textId="77777777" w:rsidR="00613E00" w:rsidRDefault="00613E00" w:rsidP="008F55B5">
      <w:pPr>
        <w:spacing w:after="0" w:line="240" w:lineRule="auto"/>
      </w:pPr>
      <w:r>
        <w:separator/>
      </w:r>
    </w:p>
  </w:endnote>
  <w:endnote w:type="continuationSeparator" w:id="0">
    <w:p w14:paraId="0C2502D3" w14:textId="77777777" w:rsidR="00613E00" w:rsidRDefault="00613E00" w:rsidP="008F5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游ゴシック Light">
    <w:altName w:val="宋体"/>
    <w:panose1 w:val="00000000000000000000"/>
    <w:charset w:val="86"/>
    <w:family w:val="roman"/>
    <w:notTrueType/>
    <w:pitch w:val="default"/>
  </w:font>
  <w:font w:name="Times-Roman">
    <w:altName w:val="Times New Roman"/>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游明朝">
    <w:altName w:val="宋体"/>
    <w:panose1 w:val="00000000000000000000"/>
    <w:charset w:val="86"/>
    <w:family w:val="roman"/>
    <w:notTrueType/>
    <w:pitch w:val="default"/>
  </w:font>
  <w:font w:name="DengXian">
    <w:altName w:val="等线"/>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52540273"/>
      <w:docPartObj>
        <w:docPartGallery w:val="Page Numbers (Bottom of Page)"/>
        <w:docPartUnique/>
      </w:docPartObj>
    </w:sdtPr>
    <w:sdtEndPr>
      <w:rPr>
        <w:rStyle w:val="ad"/>
      </w:rPr>
    </w:sdtEndPr>
    <w:sdtContent>
      <w:p w14:paraId="4FA6A1EE" w14:textId="5C16033F" w:rsidR="00BE7524" w:rsidRDefault="00BE7524" w:rsidP="00E0659F">
        <w:pPr>
          <w:pStyle w:val="a7"/>
          <w:framePr w:wrap="none" w:vAnchor="text" w:hAnchor="margin" w:xAlign="right" w:y="1"/>
          <w:rPr>
            <w:rStyle w:val="ad"/>
          </w:rPr>
        </w:pPr>
        <w:r>
          <w:rPr>
            <w:rStyle w:val="ad"/>
          </w:rPr>
          <w:fldChar w:fldCharType="begin"/>
        </w:r>
        <w:r>
          <w:rPr>
            <w:rStyle w:val="ad"/>
          </w:rPr>
          <w:instrText xml:space="preserve"> PAGE </w:instrText>
        </w:r>
        <w:r>
          <w:rPr>
            <w:rStyle w:val="ad"/>
          </w:rPr>
          <w:fldChar w:fldCharType="end"/>
        </w:r>
      </w:p>
    </w:sdtContent>
  </w:sdt>
  <w:p w14:paraId="7C61D148" w14:textId="77777777" w:rsidR="00BE7524" w:rsidRDefault="00BE7524" w:rsidP="00DA4311">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168095"/>
      <w:docPartObj>
        <w:docPartGallery w:val="Page Numbers (Bottom of Page)"/>
        <w:docPartUnique/>
      </w:docPartObj>
    </w:sdtPr>
    <w:sdtEndPr/>
    <w:sdtContent>
      <w:sdt>
        <w:sdtPr>
          <w:id w:val="155646865"/>
          <w:docPartObj>
            <w:docPartGallery w:val="Page Numbers (Top of Page)"/>
            <w:docPartUnique/>
          </w:docPartObj>
        </w:sdtPr>
        <w:sdtEndPr/>
        <w:sdtContent>
          <w:p w14:paraId="6996C7C0" w14:textId="5E2B4F56" w:rsidR="0039437F" w:rsidRDefault="0039437F" w:rsidP="0039437F">
            <w:pPr>
              <w:pStyle w:val="a7"/>
              <w:jc w:val="right"/>
            </w:pPr>
            <w:r w:rsidRPr="0039437F">
              <w:rPr>
                <w:lang w:val="zh-CN" w:eastAsia="zh-CN"/>
              </w:rPr>
              <w:t xml:space="preserve"> </w:t>
            </w:r>
            <w:r w:rsidRPr="0039437F">
              <w:rPr>
                <w:bCs/>
                <w:sz w:val="24"/>
                <w:szCs w:val="24"/>
              </w:rPr>
              <w:fldChar w:fldCharType="begin"/>
            </w:r>
            <w:r w:rsidRPr="0039437F">
              <w:rPr>
                <w:bCs/>
              </w:rPr>
              <w:instrText>PAGE</w:instrText>
            </w:r>
            <w:r w:rsidRPr="0039437F">
              <w:rPr>
                <w:bCs/>
                <w:sz w:val="24"/>
                <w:szCs w:val="24"/>
              </w:rPr>
              <w:fldChar w:fldCharType="separate"/>
            </w:r>
            <w:r w:rsidR="00993B79">
              <w:rPr>
                <w:bCs/>
                <w:noProof/>
              </w:rPr>
              <w:t>4</w:t>
            </w:r>
            <w:r w:rsidRPr="0039437F">
              <w:rPr>
                <w:bCs/>
                <w:sz w:val="24"/>
                <w:szCs w:val="24"/>
              </w:rPr>
              <w:fldChar w:fldCharType="end"/>
            </w:r>
            <w:r w:rsidRPr="0039437F">
              <w:rPr>
                <w:lang w:val="zh-CN" w:eastAsia="zh-CN"/>
              </w:rPr>
              <w:t xml:space="preserve"> / </w:t>
            </w:r>
            <w:r w:rsidRPr="0039437F">
              <w:rPr>
                <w:bCs/>
                <w:sz w:val="24"/>
                <w:szCs w:val="24"/>
              </w:rPr>
              <w:fldChar w:fldCharType="begin"/>
            </w:r>
            <w:r w:rsidRPr="0039437F">
              <w:rPr>
                <w:bCs/>
              </w:rPr>
              <w:instrText>NUMPAGES</w:instrText>
            </w:r>
            <w:r w:rsidRPr="0039437F">
              <w:rPr>
                <w:bCs/>
                <w:sz w:val="24"/>
                <w:szCs w:val="24"/>
              </w:rPr>
              <w:fldChar w:fldCharType="separate"/>
            </w:r>
            <w:r w:rsidR="00993B79">
              <w:rPr>
                <w:bCs/>
                <w:noProof/>
              </w:rPr>
              <w:t>35</w:t>
            </w:r>
            <w:r w:rsidRPr="0039437F">
              <w:rPr>
                <w:bCs/>
                <w:sz w:val="24"/>
                <w:szCs w:val="24"/>
              </w:rPr>
              <w:fldChar w:fldCharType="end"/>
            </w:r>
          </w:p>
        </w:sdtContent>
      </w:sdt>
    </w:sdtContent>
  </w:sdt>
  <w:p w14:paraId="421946F6" w14:textId="0ACA13F6" w:rsidR="00BE7524" w:rsidRDefault="00BE7524" w:rsidP="0039437F">
    <w:pPr>
      <w:pStyle w:val="a7"/>
      <w:tabs>
        <w:tab w:val="clear" w:pos="4252"/>
        <w:tab w:val="clear" w:pos="8504"/>
        <w:tab w:val="left" w:pos="6687"/>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757E6" w14:textId="77777777" w:rsidR="00613E00" w:rsidRDefault="00613E00" w:rsidP="008F55B5">
      <w:pPr>
        <w:spacing w:after="0" w:line="240" w:lineRule="auto"/>
      </w:pPr>
      <w:r>
        <w:separator/>
      </w:r>
    </w:p>
  </w:footnote>
  <w:footnote w:type="continuationSeparator" w:id="0">
    <w:p w14:paraId="2D83FC0F" w14:textId="77777777" w:rsidR="00613E00" w:rsidRDefault="00613E00" w:rsidP="008F55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5C9A"/>
    <w:multiLevelType w:val="multilevel"/>
    <w:tmpl w:val="C3F29BC4"/>
    <w:lvl w:ilvl="0">
      <w:start w:val="1"/>
      <w:numFmt w:val="decimal"/>
      <w:lvlText w:val="%1."/>
      <w:lvlJc w:val="left"/>
      <w:pPr>
        <w:ind w:left="720" w:hanging="360"/>
      </w:pPr>
      <w:rPr>
        <w:rFonts w:hint="default"/>
        <w:b/>
      </w:rPr>
    </w:lvl>
    <w:lvl w:ilvl="1">
      <w:start w:val="1"/>
      <w:numFmt w:val="decimal"/>
      <w:isLgl/>
      <w:lvlText w:val="%1.%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C5953FB"/>
    <w:multiLevelType w:val="hybridMultilevel"/>
    <w:tmpl w:val="F748493A"/>
    <w:lvl w:ilvl="0" w:tplc="A3544596">
      <w:start w:val="31"/>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0EE1C81"/>
    <w:multiLevelType w:val="hybridMultilevel"/>
    <w:tmpl w:val="F48423C4"/>
    <w:lvl w:ilvl="0" w:tplc="EA68468C">
      <w:start w:val="31"/>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A8C186B"/>
    <w:multiLevelType w:val="hybridMultilevel"/>
    <w:tmpl w:val="A5DEB9DC"/>
    <w:lvl w:ilvl="0" w:tplc="FF087FF0">
      <w:start w:val="1"/>
      <w:numFmt w:val="decimal"/>
      <w:lvlText w:val="%1."/>
      <w:lvlJc w:val="left"/>
      <w:pPr>
        <w:ind w:left="720" w:hanging="360"/>
      </w:pPr>
      <w:rPr>
        <w:rFonts w:asciiTheme="minorHAnsi" w:eastAsia="Times New Roman" w:hAnsiTheme="minorHAnsi" w:cstheme="minorHAnsi" w:hint="default"/>
        <w:b/>
        <w:color w:val="2222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C1F006E"/>
    <w:multiLevelType w:val="hybridMultilevel"/>
    <w:tmpl w:val="274264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D40C5D"/>
    <w:multiLevelType w:val="hybridMultilevel"/>
    <w:tmpl w:val="D2BC1F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BDC5A74"/>
    <w:multiLevelType w:val="multilevel"/>
    <w:tmpl w:val="C3F29BC4"/>
    <w:lvl w:ilvl="0">
      <w:start w:val="1"/>
      <w:numFmt w:val="decimal"/>
      <w:lvlText w:val="%1."/>
      <w:lvlJc w:val="left"/>
      <w:pPr>
        <w:ind w:left="720" w:hanging="360"/>
      </w:pPr>
      <w:rPr>
        <w:rFonts w:hint="default"/>
        <w:b/>
      </w:rPr>
    </w:lvl>
    <w:lvl w:ilvl="1">
      <w:start w:val="1"/>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4AEE5BD9"/>
    <w:multiLevelType w:val="multilevel"/>
    <w:tmpl w:val="C3F29BC4"/>
    <w:lvl w:ilvl="0">
      <w:start w:val="1"/>
      <w:numFmt w:val="decimal"/>
      <w:lvlText w:val="%1."/>
      <w:lvlJc w:val="left"/>
      <w:pPr>
        <w:ind w:left="720" w:hanging="360"/>
      </w:pPr>
      <w:rPr>
        <w:rFonts w:hint="default"/>
        <w:b/>
      </w:rPr>
    </w:lvl>
    <w:lvl w:ilvl="1">
      <w:start w:val="1"/>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4F967F9C"/>
    <w:multiLevelType w:val="hybridMultilevel"/>
    <w:tmpl w:val="F4564388"/>
    <w:lvl w:ilvl="0" w:tplc="E70A1124">
      <w:numFmt w:val="bullet"/>
      <w:lvlText w:val="-"/>
      <w:lvlJc w:val="left"/>
      <w:pPr>
        <w:ind w:left="720" w:hanging="360"/>
      </w:pPr>
      <w:rPr>
        <w:rFonts w:ascii="Calibri" w:eastAsia="Times New Roman" w:hAnsi="Calibri" w:cs="Calibri" w:hint="default"/>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6186C48"/>
    <w:multiLevelType w:val="hybridMultilevel"/>
    <w:tmpl w:val="53C87358"/>
    <w:lvl w:ilvl="0" w:tplc="3996A2EA">
      <w:numFmt w:val="bullet"/>
      <w:lvlText w:val="-"/>
      <w:lvlJc w:val="left"/>
      <w:pPr>
        <w:ind w:left="720" w:hanging="360"/>
      </w:pPr>
      <w:rPr>
        <w:rFonts w:ascii="Calibri" w:eastAsia="Times New Roman"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8943E97"/>
    <w:multiLevelType w:val="hybridMultilevel"/>
    <w:tmpl w:val="025E3F46"/>
    <w:lvl w:ilvl="0" w:tplc="E46A5E7A">
      <w:start w:val="31"/>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9EE0F75"/>
    <w:multiLevelType w:val="hybridMultilevel"/>
    <w:tmpl w:val="14740456"/>
    <w:lvl w:ilvl="0" w:tplc="D74E568E">
      <w:start w:val="1"/>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D5D6507"/>
    <w:multiLevelType w:val="hybridMultilevel"/>
    <w:tmpl w:val="A3F808FE"/>
    <w:lvl w:ilvl="0" w:tplc="98C89B3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6"/>
  </w:num>
  <w:num w:numId="5">
    <w:abstractNumId w:val="10"/>
  </w:num>
  <w:num w:numId="6">
    <w:abstractNumId w:val="2"/>
  </w:num>
  <w:num w:numId="7">
    <w:abstractNumId w:val="1"/>
  </w:num>
  <w:num w:numId="8">
    <w:abstractNumId w:val="5"/>
  </w:num>
  <w:num w:numId="9">
    <w:abstractNumId w:val="11"/>
  </w:num>
  <w:num w:numId="10">
    <w:abstractNumId w:val="8"/>
  </w:num>
  <w:num w:numId="11">
    <w:abstractNumId w:val="9"/>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DSwNLEwNzIwMjYzNDFU0lEKTi0uzszPAymwqAUA777otSwAAAA="/>
  </w:docVars>
  <w:rsids>
    <w:rsidRoot w:val="005A7589"/>
    <w:rsid w:val="000045C8"/>
    <w:rsid w:val="000050C2"/>
    <w:rsid w:val="0001003A"/>
    <w:rsid w:val="000179A7"/>
    <w:rsid w:val="00017EAD"/>
    <w:rsid w:val="00020775"/>
    <w:rsid w:val="0002184C"/>
    <w:rsid w:val="000273EC"/>
    <w:rsid w:val="00027A68"/>
    <w:rsid w:val="00030312"/>
    <w:rsid w:val="00031046"/>
    <w:rsid w:val="00034CDC"/>
    <w:rsid w:val="00036A86"/>
    <w:rsid w:val="00036AA5"/>
    <w:rsid w:val="00041085"/>
    <w:rsid w:val="0004122C"/>
    <w:rsid w:val="000517CC"/>
    <w:rsid w:val="00055563"/>
    <w:rsid w:val="00056387"/>
    <w:rsid w:val="000566D2"/>
    <w:rsid w:val="00061510"/>
    <w:rsid w:val="00062CD7"/>
    <w:rsid w:val="00063748"/>
    <w:rsid w:val="00070D40"/>
    <w:rsid w:val="000713E1"/>
    <w:rsid w:val="00073A71"/>
    <w:rsid w:val="000740DF"/>
    <w:rsid w:val="0007500E"/>
    <w:rsid w:val="0008191D"/>
    <w:rsid w:val="0008309A"/>
    <w:rsid w:val="00090213"/>
    <w:rsid w:val="00092110"/>
    <w:rsid w:val="00093D8A"/>
    <w:rsid w:val="00094BE8"/>
    <w:rsid w:val="000954B0"/>
    <w:rsid w:val="00096C76"/>
    <w:rsid w:val="00097822"/>
    <w:rsid w:val="000A0606"/>
    <w:rsid w:val="000A0724"/>
    <w:rsid w:val="000A185E"/>
    <w:rsid w:val="000A4230"/>
    <w:rsid w:val="000A61FC"/>
    <w:rsid w:val="000A753F"/>
    <w:rsid w:val="000A7D69"/>
    <w:rsid w:val="000B0549"/>
    <w:rsid w:val="000B08B3"/>
    <w:rsid w:val="000B2235"/>
    <w:rsid w:val="000B47F5"/>
    <w:rsid w:val="000B575C"/>
    <w:rsid w:val="000B5EB4"/>
    <w:rsid w:val="000C0032"/>
    <w:rsid w:val="000C0687"/>
    <w:rsid w:val="000C32DB"/>
    <w:rsid w:val="000C6491"/>
    <w:rsid w:val="000D1261"/>
    <w:rsid w:val="000D373F"/>
    <w:rsid w:val="000D537E"/>
    <w:rsid w:val="000D6FD3"/>
    <w:rsid w:val="000E14FE"/>
    <w:rsid w:val="000E21B5"/>
    <w:rsid w:val="000E2379"/>
    <w:rsid w:val="000E6482"/>
    <w:rsid w:val="000F2C1C"/>
    <w:rsid w:val="000F38B5"/>
    <w:rsid w:val="0010077F"/>
    <w:rsid w:val="001061B6"/>
    <w:rsid w:val="001061E6"/>
    <w:rsid w:val="001133DD"/>
    <w:rsid w:val="00114857"/>
    <w:rsid w:val="00115AFD"/>
    <w:rsid w:val="00120B75"/>
    <w:rsid w:val="00123841"/>
    <w:rsid w:val="00125F1A"/>
    <w:rsid w:val="0013050A"/>
    <w:rsid w:val="00130F9D"/>
    <w:rsid w:val="001315B5"/>
    <w:rsid w:val="00131827"/>
    <w:rsid w:val="0013361F"/>
    <w:rsid w:val="001346AE"/>
    <w:rsid w:val="001366B7"/>
    <w:rsid w:val="001407F7"/>
    <w:rsid w:val="00141892"/>
    <w:rsid w:val="00141E21"/>
    <w:rsid w:val="001425EB"/>
    <w:rsid w:val="0014324D"/>
    <w:rsid w:val="001455E0"/>
    <w:rsid w:val="0014614E"/>
    <w:rsid w:val="00157123"/>
    <w:rsid w:val="00157CD1"/>
    <w:rsid w:val="001610FA"/>
    <w:rsid w:val="0016110E"/>
    <w:rsid w:val="001638CD"/>
    <w:rsid w:val="001660CA"/>
    <w:rsid w:val="00167480"/>
    <w:rsid w:val="00171E78"/>
    <w:rsid w:val="00172690"/>
    <w:rsid w:val="001778AA"/>
    <w:rsid w:val="0018055D"/>
    <w:rsid w:val="00180F46"/>
    <w:rsid w:val="001812AD"/>
    <w:rsid w:val="00181D92"/>
    <w:rsid w:val="0018292D"/>
    <w:rsid w:val="00185AD5"/>
    <w:rsid w:val="0018688F"/>
    <w:rsid w:val="0018769C"/>
    <w:rsid w:val="00192831"/>
    <w:rsid w:val="00193E81"/>
    <w:rsid w:val="0019605D"/>
    <w:rsid w:val="001961B6"/>
    <w:rsid w:val="001A51F7"/>
    <w:rsid w:val="001B3D70"/>
    <w:rsid w:val="001B45FD"/>
    <w:rsid w:val="001B46AC"/>
    <w:rsid w:val="001B56D3"/>
    <w:rsid w:val="001B56DB"/>
    <w:rsid w:val="001C1111"/>
    <w:rsid w:val="001C1FD1"/>
    <w:rsid w:val="001C3A7C"/>
    <w:rsid w:val="001C52FD"/>
    <w:rsid w:val="001C5563"/>
    <w:rsid w:val="001C5D16"/>
    <w:rsid w:val="001C5E01"/>
    <w:rsid w:val="001C69B0"/>
    <w:rsid w:val="001C7C02"/>
    <w:rsid w:val="001D00E8"/>
    <w:rsid w:val="001D395D"/>
    <w:rsid w:val="001D3C4D"/>
    <w:rsid w:val="001D4936"/>
    <w:rsid w:val="001D7739"/>
    <w:rsid w:val="001E4338"/>
    <w:rsid w:val="001E603E"/>
    <w:rsid w:val="001E77BA"/>
    <w:rsid w:val="001F088C"/>
    <w:rsid w:val="001F13BE"/>
    <w:rsid w:val="001F3EFD"/>
    <w:rsid w:val="001F49FA"/>
    <w:rsid w:val="001F4BDA"/>
    <w:rsid w:val="001F78B1"/>
    <w:rsid w:val="00212316"/>
    <w:rsid w:val="00213086"/>
    <w:rsid w:val="0021665B"/>
    <w:rsid w:val="00217354"/>
    <w:rsid w:val="00222EEA"/>
    <w:rsid w:val="0022765F"/>
    <w:rsid w:val="00230789"/>
    <w:rsid w:val="00230B84"/>
    <w:rsid w:val="00230D94"/>
    <w:rsid w:val="0023182C"/>
    <w:rsid w:val="00231A13"/>
    <w:rsid w:val="002327FE"/>
    <w:rsid w:val="00234C32"/>
    <w:rsid w:val="00235DBF"/>
    <w:rsid w:val="0024084B"/>
    <w:rsid w:val="0024304F"/>
    <w:rsid w:val="00247E1B"/>
    <w:rsid w:val="00250AA5"/>
    <w:rsid w:val="002525CF"/>
    <w:rsid w:val="00253F1B"/>
    <w:rsid w:val="0025690B"/>
    <w:rsid w:val="002601C7"/>
    <w:rsid w:val="00263E05"/>
    <w:rsid w:val="00265E4E"/>
    <w:rsid w:val="00265F68"/>
    <w:rsid w:val="00270262"/>
    <w:rsid w:val="00271FAB"/>
    <w:rsid w:val="002730ED"/>
    <w:rsid w:val="0027710F"/>
    <w:rsid w:val="00277444"/>
    <w:rsid w:val="00280748"/>
    <w:rsid w:val="00280E95"/>
    <w:rsid w:val="002833F1"/>
    <w:rsid w:val="00283445"/>
    <w:rsid w:val="0029133C"/>
    <w:rsid w:val="0029134B"/>
    <w:rsid w:val="00291493"/>
    <w:rsid w:val="00291BBE"/>
    <w:rsid w:val="00294889"/>
    <w:rsid w:val="002976C3"/>
    <w:rsid w:val="002977AD"/>
    <w:rsid w:val="002A09BE"/>
    <w:rsid w:val="002A0E9F"/>
    <w:rsid w:val="002A25EC"/>
    <w:rsid w:val="002A2C9D"/>
    <w:rsid w:val="002A4CA8"/>
    <w:rsid w:val="002A53B5"/>
    <w:rsid w:val="002A6F5F"/>
    <w:rsid w:val="002B028A"/>
    <w:rsid w:val="002B2C20"/>
    <w:rsid w:val="002B3BB2"/>
    <w:rsid w:val="002B42B1"/>
    <w:rsid w:val="002B47E0"/>
    <w:rsid w:val="002B7C75"/>
    <w:rsid w:val="002C0FF7"/>
    <w:rsid w:val="002C2681"/>
    <w:rsid w:val="002C2842"/>
    <w:rsid w:val="002C2DAF"/>
    <w:rsid w:val="002C52AD"/>
    <w:rsid w:val="002D0A21"/>
    <w:rsid w:val="002D16F3"/>
    <w:rsid w:val="002D230A"/>
    <w:rsid w:val="002D23E7"/>
    <w:rsid w:val="002D27DD"/>
    <w:rsid w:val="002D2F6C"/>
    <w:rsid w:val="002E0266"/>
    <w:rsid w:val="002E2DD3"/>
    <w:rsid w:val="002E2F0A"/>
    <w:rsid w:val="002E353C"/>
    <w:rsid w:val="002E5917"/>
    <w:rsid w:val="002E6368"/>
    <w:rsid w:val="002E670E"/>
    <w:rsid w:val="002E6770"/>
    <w:rsid w:val="002E6D0F"/>
    <w:rsid w:val="002F1DCE"/>
    <w:rsid w:val="002F257E"/>
    <w:rsid w:val="002F32E2"/>
    <w:rsid w:val="002F401C"/>
    <w:rsid w:val="002F4FEC"/>
    <w:rsid w:val="00304756"/>
    <w:rsid w:val="00304A9F"/>
    <w:rsid w:val="00304B2A"/>
    <w:rsid w:val="003066E6"/>
    <w:rsid w:val="003135C1"/>
    <w:rsid w:val="00315116"/>
    <w:rsid w:val="003242C9"/>
    <w:rsid w:val="003248EE"/>
    <w:rsid w:val="003303CF"/>
    <w:rsid w:val="003317AB"/>
    <w:rsid w:val="003359A3"/>
    <w:rsid w:val="00336552"/>
    <w:rsid w:val="0034013B"/>
    <w:rsid w:val="00341F16"/>
    <w:rsid w:val="0034278D"/>
    <w:rsid w:val="00346363"/>
    <w:rsid w:val="00346C10"/>
    <w:rsid w:val="00347902"/>
    <w:rsid w:val="00352554"/>
    <w:rsid w:val="0035483A"/>
    <w:rsid w:val="00354A95"/>
    <w:rsid w:val="00354C9F"/>
    <w:rsid w:val="00356E11"/>
    <w:rsid w:val="00360015"/>
    <w:rsid w:val="00370150"/>
    <w:rsid w:val="00371E50"/>
    <w:rsid w:val="0037345E"/>
    <w:rsid w:val="00380D55"/>
    <w:rsid w:val="00385605"/>
    <w:rsid w:val="00385836"/>
    <w:rsid w:val="0038690B"/>
    <w:rsid w:val="00392E06"/>
    <w:rsid w:val="0039437F"/>
    <w:rsid w:val="0039524C"/>
    <w:rsid w:val="003A5742"/>
    <w:rsid w:val="003A7906"/>
    <w:rsid w:val="003B44E8"/>
    <w:rsid w:val="003B4DDD"/>
    <w:rsid w:val="003B5560"/>
    <w:rsid w:val="003B7539"/>
    <w:rsid w:val="003C031E"/>
    <w:rsid w:val="003C1DC1"/>
    <w:rsid w:val="003C1E59"/>
    <w:rsid w:val="003C23B5"/>
    <w:rsid w:val="003C2D8C"/>
    <w:rsid w:val="003C395C"/>
    <w:rsid w:val="003C3A18"/>
    <w:rsid w:val="003C488C"/>
    <w:rsid w:val="003C79DC"/>
    <w:rsid w:val="003D126F"/>
    <w:rsid w:val="003D18ED"/>
    <w:rsid w:val="003D3F16"/>
    <w:rsid w:val="003D6101"/>
    <w:rsid w:val="003D6C33"/>
    <w:rsid w:val="003D6CB3"/>
    <w:rsid w:val="003D6F31"/>
    <w:rsid w:val="003E0126"/>
    <w:rsid w:val="003E2270"/>
    <w:rsid w:val="003E243E"/>
    <w:rsid w:val="003E5763"/>
    <w:rsid w:val="003E5AF0"/>
    <w:rsid w:val="003E6272"/>
    <w:rsid w:val="003E76D3"/>
    <w:rsid w:val="003E7CFE"/>
    <w:rsid w:val="003E7EDB"/>
    <w:rsid w:val="003F0582"/>
    <w:rsid w:val="003F349D"/>
    <w:rsid w:val="003F6DAD"/>
    <w:rsid w:val="003F731C"/>
    <w:rsid w:val="0040075B"/>
    <w:rsid w:val="00400D99"/>
    <w:rsid w:val="004021AA"/>
    <w:rsid w:val="0040481D"/>
    <w:rsid w:val="00405C18"/>
    <w:rsid w:val="00406BF2"/>
    <w:rsid w:val="00406F49"/>
    <w:rsid w:val="004075B2"/>
    <w:rsid w:val="004110D0"/>
    <w:rsid w:val="00412179"/>
    <w:rsid w:val="00412626"/>
    <w:rsid w:val="004156FB"/>
    <w:rsid w:val="00416278"/>
    <w:rsid w:val="00417E94"/>
    <w:rsid w:val="0042087A"/>
    <w:rsid w:val="00421CB9"/>
    <w:rsid w:val="00422983"/>
    <w:rsid w:val="00422CAF"/>
    <w:rsid w:val="00424E46"/>
    <w:rsid w:val="004271A6"/>
    <w:rsid w:val="00437024"/>
    <w:rsid w:val="0044486A"/>
    <w:rsid w:val="00447319"/>
    <w:rsid w:val="00447A0E"/>
    <w:rsid w:val="00451C64"/>
    <w:rsid w:val="00452CA6"/>
    <w:rsid w:val="00453B62"/>
    <w:rsid w:val="0045508D"/>
    <w:rsid w:val="0046004B"/>
    <w:rsid w:val="00460440"/>
    <w:rsid w:val="00461738"/>
    <w:rsid w:val="00465114"/>
    <w:rsid w:val="00465D76"/>
    <w:rsid w:val="00470B88"/>
    <w:rsid w:val="00471590"/>
    <w:rsid w:val="0048393F"/>
    <w:rsid w:val="00485E80"/>
    <w:rsid w:val="00486EA5"/>
    <w:rsid w:val="00487DF1"/>
    <w:rsid w:val="0049087B"/>
    <w:rsid w:val="0049425C"/>
    <w:rsid w:val="00494D05"/>
    <w:rsid w:val="00494F52"/>
    <w:rsid w:val="004A283F"/>
    <w:rsid w:val="004A59EE"/>
    <w:rsid w:val="004A6978"/>
    <w:rsid w:val="004A6BAA"/>
    <w:rsid w:val="004A6CD0"/>
    <w:rsid w:val="004B60E2"/>
    <w:rsid w:val="004B6530"/>
    <w:rsid w:val="004B730E"/>
    <w:rsid w:val="004C1671"/>
    <w:rsid w:val="004C1E15"/>
    <w:rsid w:val="004C27F4"/>
    <w:rsid w:val="004C5EC2"/>
    <w:rsid w:val="004D3F90"/>
    <w:rsid w:val="004D478E"/>
    <w:rsid w:val="004D79D8"/>
    <w:rsid w:val="004E1A8F"/>
    <w:rsid w:val="004E36DD"/>
    <w:rsid w:val="004E41C6"/>
    <w:rsid w:val="004E522F"/>
    <w:rsid w:val="004E7158"/>
    <w:rsid w:val="004F0257"/>
    <w:rsid w:val="004F066E"/>
    <w:rsid w:val="004F3C95"/>
    <w:rsid w:val="004F45FF"/>
    <w:rsid w:val="004F6B31"/>
    <w:rsid w:val="00501458"/>
    <w:rsid w:val="005067E8"/>
    <w:rsid w:val="00507631"/>
    <w:rsid w:val="0051134C"/>
    <w:rsid w:val="00511DEA"/>
    <w:rsid w:val="0051525E"/>
    <w:rsid w:val="00515515"/>
    <w:rsid w:val="005162D7"/>
    <w:rsid w:val="00516506"/>
    <w:rsid w:val="005165B5"/>
    <w:rsid w:val="005170C1"/>
    <w:rsid w:val="00523578"/>
    <w:rsid w:val="00524994"/>
    <w:rsid w:val="00526F82"/>
    <w:rsid w:val="0053274E"/>
    <w:rsid w:val="00532916"/>
    <w:rsid w:val="0053741F"/>
    <w:rsid w:val="00540DA1"/>
    <w:rsid w:val="005414E1"/>
    <w:rsid w:val="00543F67"/>
    <w:rsid w:val="00550249"/>
    <w:rsid w:val="0055382B"/>
    <w:rsid w:val="00554E9A"/>
    <w:rsid w:val="00557884"/>
    <w:rsid w:val="00557F68"/>
    <w:rsid w:val="00561674"/>
    <w:rsid w:val="005626AE"/>
    <w:rsid w:val="00563206"/>
    <w:rsid w:val="00563D28"/>
    <w:rsid w:val="00563DAD"/>
    <w:rsid w:val="0056536E"/>
    <w:rsid w:val="00567D70"/>
    <w:rsid w:val="00571501"/>
    <w:rsid w:val="00571575"/>
    <w:rsid w:val="00573D10"/>
    <w:rsid w:val="0057506B"/>
    <w:rsid w:val="00576A2B"/>
    <w:rsid w:val="00577749"/>
    <w:rsid w:val="00580284"/>
    <w:rsid w:val="00583AD0"/>
    <w:rsid w:val="00585499"/>
    <w:rsid w:val="00586002"/>
    <w:rsid w:val="00590C24"/>
    <w:rsid w:val="005925CC"/>
    <w:rsid w:val="005930A0"/>
    <w:rsid w:val="00593B27"/>
    <w:rsid w:val="005A3BF3"/>
    <w:rsid w:val="005A5ACC"/>
    <w:rsid w:val="005A5F95"/>
    <w:rsid w:val="005A7589"/>
    <w:rsid w:val="005B4CDC"/>
    <w:rsid w:val="005B502E"/>
    <w:rsid w:val="005B5D96"/>
    <w:rsid w:val="005C2510"/>
    <w:rsid w:val="005C27BB"/>
    <w:rsid w:val="005C38D9"/>
    <w:rsid w:val="005C508A"/>
    <w:rsid w:val="005C690A"/>
    <w:rsid w:val="005C6AA9"/>
    <w:rsid w:val="005C7B0E"/>
    <w:rsid w:val="005D11E8"/>
    <w:rsid w:val="005D28E8"/>
    <w:rsid w:val="005D2F49"/>
    <w:rsid w:val="005D70A2"/>
    <w:rsid w:val="005E3223"/>
    <w:rsid w:val="005E67FE"/>
    <w:rsid w:val="005F0669"/>
    <w:rsid w:val="005F2ADF"/>
    <w:rsid w:val="005F338F"/>
    <w:rsid w:val="005F4AAF"/>
    <w:rsid w:val="005F66C4"/>
    <w:rsid w:val="005F706C"/>
    <w:rsid w:val="00600A44"/>
    <w:rsid w:val="00601B3C"/>
    <w:rsid w:val="0060553D"/>
    <w:rsid w:val="006066ED"/>
    <w:rsid w:val="00606E03"/>
    <w:rsid w:val="00607BF8"/>
    <w:rsid w:val="00610467"/>
    <w:rsid w:val="00611A3D"/>
    <w:rsid w:val="00613108"/>
    <w:rsid w:val="006132DA"/>
    <w:rsid w:val="006137A3"/>
    <w:rsid w:val="00613E00"/>
    <w:rsid w:val="00620A55"/>
    <w:rsid w:val="006254E0"/>
    <w:rsid w:val="00630D65"/>
    <w:rsid w:val="00631A27"/>
    <w:rsid w:val="00632AB8"/>
    <w:rsid w:val="0063495A"/>
    <w:rsid w:val="00634CF4"/>
    <w:rsid w:val="006361CE"/>
    <w:rsid w:val="00644383"/>
    <w:rsid w:val="00644E7B"/>
    <w:rsid w:val="00651177"/>
    <w:rsid w:val="0065175D"/>
    <w:rsid w:val="0065245F"/>
    <w:rsid w:val="00655CE7"/>
    <w:rsid w:val="006605FF"/>
    <w:rsid w:val="00662372"/>
    <w:rsid w:val="0066272A"/>
    <w:rsid w:val="00662742"/>
    <w:rsid w:val="00665097"/>
    <w:rsid w:val="00670328"/>
    <w:rsid w:val="00670E73"/>
    <w:rsid w:val="006711E1"/>
    <w:rsid w:val="00674745"/>
    <w:rsid w:val="00675395"/>
    <w:rsid w:val="00676300"/>
    <w:rsid w:val="006764B7"/>
    <w:rsid w:val="00677A1B"/>
    <w:rsid w:val="00680B9F"/>
    <w:rsid w:val="00683A71"/>
    <w:rsid w:val="00683F27"/>
    <w:rsid w:val="00686285"/>
    <w:rsid w:val="006A060D"/>
    <w:rsid w:val="006A265D"/>
    <w:rsid w:val="006A28AA"/>
    <w:rsid w:val="006A48AF"/>
    <w:rsid w:val="006B11F5"/>
    <w:rsid w:val="006C74FA"/>
    <w:rsid w:val="006D11DF"/>
    <w:rsid w:val="006D2265"/>
    <w:rsid w:val="006D34AC"/>
    <w:rsid w:val="006D40EB"/>
    <w:rsid w:val="006D6422"/>
    <w:rsid w:val="006D6D4B"/>
    <w:rsid w:val="006E01D2"/>
    <w:rsid w:val="006E230B"/>
    <w:rsid w:val="006E3234"/>
    <w:rsid w:val="006E342E"/>
    <w:rsid w:val="006E39D5"/>
    <w:rsid w:val="006E5462"/>
    <w:rsid w:val="006E70C7"/>
    <w:rsid w:val="006F53E3"/>
    <w:rsid w:val="006F730C"/>
    <w:rsid w:val="007016F2"/>
    <w:rsid w:val="00702501"/>
    <w:rsid w:val="0070481A"/>
    <w:rsid w:val="00707AD9"/>
    <w:rsid w:val="00707E4E"/>
    <w:rsid w:val="007111DD"/>
    <w:rsid w:val="0071163B"/>
    <w:rsid w:val="0071169E"/>
    <w:rsid w:val="0071191D"/>
    <w:rsid w:val="0071446A"/>
    <w:rsid w:val="007149A0"/>
    <w:rsid w:val="00721637"/>
    <w:rsid w:val="00721E44"/>
    <w:rsid w:val="0072724A"/>
    <w:rsid w:val="00732905"/>
    <w:rsid w:val="007349B7"/>
    <w:rsid w:val="00735380"/>
    <w:rsid w:val="007370CD"/>
    <w:rsid w:val="00740963"/>
    <w:rsid w:val="007414B9"/>
    <w:rsid w:val="0074345D"/>
    <w:rsid w:val="007435B8"/>
    <w:rsid w:val="0074382C"/>
    <w:rsid w:val="00743880"/>
    <w:rsid w:val="00744563"/>
    <w:rsid w:val="0075377B"/>
    <w:rsid w:val="007543E4"/>
    <w:rsid w:val="00755660"/>
    <w:rsid w:val="007576C9"/>
    <w:rsid w:val="00765BCE"/>
    <w:rsid w:val="0077021D"/>
    <w:rsid w:val="00770821"/>
    <w:rsid w:val="00770A57"/>
    <w:rsid w:val="0077238F"/>
    <w:rsid w:val="00773303"/>
    <w:rsid w:val="00773887"/>
    <w:rsid w:val="007738EA"/>
    <w:rsid w:val="00773C78"/>
    <w:rsid w:val="00773C86"/>
    <w:rsid w:val="00775855"/>
    <w:rsid w:val="00775F24"/>
    <w:rsid w:val="007779BD"/>
    <w:rsid w:val="0078334F"/>
    <w:rsid w:val="00786390"/>
    <w:rsid w:val="007945BC"/>
    <w:rsid w:val="00797884"/>
    <w:rsid w:val="007A0CAE"/>
    <w:rsid w:val="007A4269"/>
    <w:rsid w:val="007A57A6"/>
    <w:rsid w:val="007A633D"/>
    <w:rsid w:val="007B3308"/>
    <w:rsid w:val="007B3A0C"/>
    <w:rsid w:val="007B3AAD"/>
    <w:rsid w:val="007C0949"/>
    <w:rsid w:val="007C10F6"/>
    <w:rsid w:val="007C18F1"/>
    <w:rsid w:val="007C374B"/>
    <w:rsid w:val="007C5CC5"/>
    <w:rsid w:val="007D0AA5"/>
    <w:rsid w:val="007D4AC3"/>
    <w:rsid w:val="007D5732"/>
    <w:rsid w:val="007D6EC0"/>
    <w:rsid w:val="007D71A6"/>
    <w:rsid w:val="007D7225"/>
    <w:rsid w:val="007E07B8"/>
    <w:rsid w:val="007E6C65"/>
    <w:rsid w:val="007F040B"/>
    <w:rsid w:val="007F19A0"/>
    <w:rsid w:val="007F1D06"/>
    <w:rsid w:val="007F5299"/>
    <w:rsid w:val="007F63AC"/>
    <w:rsid w:val="00805459"/>
    <w:rsid w:val="00805ECA"/>
    <w:rsid w:val="008113E3"/>
    <w:rsid w:val="00811DF7"/>
    <w:rsid w:val="00815409"/>
    <w:rsid w:val="0081652D"/>
    <w:rsid w:val="00823782"/>
    <w:rsid w:val="00823A3A"/>
    <w:rsid w:val="008308D8"/>
    <w:rsid w:val="0083140A"/>
    <w:rsid w:val="00832345"/>
    <w:rsid w:val="008344B1"/>
    <w:rsid w:val="0083471F"/>
    <w:rsid w:val="00836AE5"/>
    <w:rsid w:val="00837CA2"/>
    <w:rsid w:val="00840CB2"/>
    <w:rsid w:val="0084295C"/>
    <w:rsid w:val="00847895"/>
    <w:rsid w:val="00847B69"/>
    <w:rsid w:val="00850581"/>
    <w:rsid w:val="00853AAE"/>
    <w:rsid w:val="008544F0"/>
    <w:rsid w:val="008546E7"/>
    <w:rsid w:val="0085672A"/>
    <w:rsid w:val="00857613"/>
    <w:rsid w:val="00857A10"/>
    <w:rsid w:val="00857A97"/>
    <w:rsid w:val="00861AAE"/>
    <w:rsid w:val="00861C8D"/>
    <w:rsid w:val="00863A69"/>
    <w:rsid w:val="00867B21"/>
    <w:rsid w:val="00871718"/>
    <w:rsid w:val="0087291F"/>
    <w:rsid w:val="008736A8"/>
    <w:rsid w:val="00873731"/>
    <w:rsid w:val="00873EF2"/>
    <w:rsid w:val="00874415"/>
    <w:rsid w:val="008766ED"/>
    <w:rsid w:val="00876752"/>
    <w:rsid w:val="0088137E"/>
    <w:rsid w:val="008813A9"/>
    <w:rsid w:val="008816C6"/>
    <w:rsid w:val="00882772"/>
    <w:rsid w:val="0088409A"/>
    <w:rsid w:val="00884FCC"/>
    <w:rsid w:val="00890689"/>
    <w:rsid w:val="0089334F"/>
    <w:rsid w:val="008936C9"/>
    <w:rsid w:val="008944FF"/>
    <w:rsid w:val="00894ECF"/>
    <w:rsid w:val="008956A9"/>
    <w:rsid w:val="00895FED"/>
    <w:rsid w:val="008A1066"/>
    <w:rsid w:val="008B7740"/>
    <w:rsid w:val="008C06E2"/>
    <w:rsid w:val="008D08CE"/>
    <w:rsid w:val="008D12EA"/>
    <w:rsid w:val="008D31BA"/>
    <w:rsid w:val="008D3D8E"/>
    <w:rsid w:val="008D3E34"/>
    <w:rsid w:val="008D5FE4"/>
    <w:rsid w:val="008D74D4"/>
    <w:rsid w:val="008E278E"/>
    <w:rsid w:val="008E6C06"/>
    <w:rsid w:val="008E76F5"/>
    <w:rsid w:val="008F03C1"/>
    <w:rsid w:val="008F0D01"/>
    <w:rsid w:val="008F55B5"/>
    <w:rsid w:val="008F618F"/>
    <w:rsid w:val="008F71D9"/>
    <w:rsid w:val="0090052C"/>
    <w:rsid w:val="00906898"/>
    <w:rsid w:val="00910493"/>
    <w:rsid w:val="00911A10"/>
    <w:rsid w:val="00912970"/>
    <w:rsid w:val="00914DB4"/>
    <w:rsid w:val="009164F8"/>
    <w:rsid w:val="0092213F"/>
    <w:rsid w:val="009320CD"/>
    <w:rsid w:val="009340B8"/>
    <w:rsid w:val="00940EB2"/>
    <w:rsid w:val="00941A6F"/>
    <w:rsid w:val="00943605"/>
    <w:rsid w:val="009469C0"/>
    <w:rsid w:val="00947502"/>
    <w:rsid w:val="0095086F"/>
    <w:rsid w:val="00950E18"/>
    <w:rsid w:val="00951922"/>
    <w:rsid w:val="009520B6"/>
    <w:rsid w:val="009532CB"/>
    <w:rsid w:val="0095771D"/>
    <w:rsid w:val="0096040E"/>
    <w:rsid w:val="00963CC3"/>
    <w:rsid w:val="00964AB1"/>
    <w:rsid w:val="00964E60"/>
    <w:rsid w:val="009659AA"/>
    <w:rsid w:val="00967F47"/>
    <w:rsid w:val="009705A1"/>
    <w:rsid w:val="00970FFC"/>
    <w:rsid w:val="00971B11"/>
    <w:rsid w:val="00971DB5"/>
    <w:rsid w:val="009737EA"/>
    <w:rsid w:val="0097636B"/>
    <w:rsid w:val="00980C19"/>
    <w:rsid w:val="00984B5F"/>
    <w:rsid w:val="00992D3F"/>
    <w:rsid w:val="009936CA"/>
    <w:rsid w:val="00993B79"/>
    <w:rsid w:val="00994CE2"/>
    <w:rsid w:val="0099603C"/>
    <w:rsid w:val="00996B97"/>
    <w:rsid w:val="009A137D"/>
    <w:rsid w:val="009A5926"/>
    <w:rsid w:val="009A5A81"/>
    <w:rsid w:val="009A7B85"/>
    <w:rsid w:val="009B1A11"/>
    <w:rsid w:val="009B3537"/>
    <w:rsid w:val="009B460E"/>
    <w:rsid w:val="009B62CE"/>
    <w:rsid w:val="009B7D3E"/>
    <w:rsid w:val="009C060F"/>
    <w:rsid w:val="009C4441"/>
    <w:rsid w:val="009C469F"/>
    <w:rsid w:val="009D0BAA"/>
    <w:rsid w:val="009D6228"/>
    <w:rsid w:val="009E0F04"/>
    <w:rsid w:val="009E2ED2"/>
    <w:rsid w:val="009E3C6F"/>
    <w:rsid w:val="009E4324"/>
    <w:rsid w:val="009E43C6"/>
    <w:rsid w:val="009E5B08"/>
    <w:rsid w:val="009E6C8B"/>
    <w:rsid w:val="009F00E0"/>
    <w:rsid w:val="009F1FF3"/>
    <w:rsid w:val="009F346A"/>
    <w:rsid w:val="009F64B0"/>
    <w:rsid w:val="009F6F2B"/>
    <w:rsid w:val="009F7EF7"/>
    <w:rsid w:val="009F7FA3"/>
    <w:rsid w:val="00A050AA"/>
    <w:rsid w:val="00A055A9"/>
    <w:rsid w:val="00A07B97"/>
    <w:rsid w:val="00A1031C"/>
    <w:rsid w:val="00A1538D"/>
    <w:rsid w:val="00A211BD"/>
    <w:rsid w:val="00A21896"/>
    <w:rsid w:val="00A23B7A"/>
    <w:rsid w:val="00A26A6D"/>
    <w:rsid w:val="00A26DB7"/>
    <w:rsid w:val="00A32699"/>
    <w:rsid w:val="00A32E89"/>
    <w:rsid w:val="00A345B8"/>
    <w:rsid w:val="00A40ADD"/>
    <w:rsid w:val="00A426F3"/>
    <w:rsid w:val="00A47ACA"/>
    <w:rsid w:val="00A50335"/>
    <w:rsid w:val="00A51733"/>
    <w:rsid w:val="00A52E4C"/>
    <w:rsid w:val="00A53A21"/>
    <w:rsid w:val="00A559EE"/>
    <w:rsid w:val="00A57437"/>
    <w:rsid w:val="00A57EBD"/>
    <w:rsid w:val="00A61460"/>
    <w:rsid w:val="00A67135"/>
    <w:rsid w:val="00A67692"/>
    <w:rsid w:val="00A758CE"/>
    <w:rsid w:val="00A7632F"/>
    <w:rsid w:val="00A76F99"/>
    <w:rsid w:val="00A81AFF"/>
    <w:rsid w:val="00A82C93"/>
    <w:rsid w:val="00A861E9"/>
    <w:rsid w:val="00A90038"/>
    <w:rsid w:val="00A907FC"/>
    <w:rsid w:val="00A90808"/>
    <w:rsid w:val="00A9131C"/>
    <w:rsid w:val="00A93719"/>
    <w:rsid w:val="00AA044D"/>
    <w:rsid w:val="00AA1E4E"/>
    <w:rsid w:val="00AB224B"/>
    <w:rsid w:val="00AB5280"/>
    <w:rsid w:val="00AB7F4A"/>
    <w:rsid w:val="00AC081E"/>
    <w:rsid w:val="00AC24C9"/>
    <w:rsid w:val="00AC2D46"/>
    <w:rsid w:val="00AC39F8"/>
    <w:rsid w:val="00AC459C"/>
    <w:rsid w:val="00AC558B"/>
    <w:rsid w:val="00AC5D97"/>
    <w:rsid w:val="00AD03DE"/>
    <w:rsid w:val="00AD1BF7"/>
    <w:rsid w:val="00AD4743"/>
    <w:rsid w:val="00AD5090"/>
    <w:rsid w:val="00AD5B3B"/>
    <w:rsid w:val="00AE089F"/>
    <w:rsid w:val="00AF5D96"/>
    <w:rsid w:val="00AF6557"/>
    <w:rsid w:val="00AF7AA2"/>
    <w:rsid w:val="00AF7E34"/>
    <w:rsid w:val="00B05623"/>
    <w:rsid w:val="00B05CFC"/>
    <w:rsid w:val="00B10C0F"/>
    <w:rsid w:val="00B11428"/>
    <w:rsid w:val="00B14E19"/>
    <w:rsid w:val="00B172FA"/>
    <w:rsid w:val="00B20E70"/>
    <w:rsid w:val="00B21795"/>
    <w:rsid w:val="00B24992"/>
    <w:rsid w:val="00B24F73"/>
    <w:rsid w:val="00B25359"/>
    <w:rsid w:val="00B33345"/>
    <w:rsid w:val="00B35717"/>
    <w:rsid w:val="00B36217"/>
    <w:rsid w:val="00B37A99"/>
    <w:rsid w:val="00B409B3"/>
    <w:rsid w:val="00B42565"/>
    <w:rsid w:val="00B44733"/>
    <w:rsid w:val="00B47AFC"/>
    <w:rsid w:val="00B50363"/>
    <w:rsid w:val="00B50E42"/>
    <w:rsid w:val="00B56538"/>
    <w:rsid w:val="00B60F4E"/>
    <w:rsid w:val="00B66994"/>
    <w:rsid w:val="00B66B4F"/>
    <w:rsid w:val="00B67091"/>
    <w:rsid w:val="00B67CAA"/>
    <w:rsid w:val="00B713F5"/>
    <w:rsid w:val="00B717FD"/>
    <w:rsid w:val="00B761AB"/>
    <w:rsid w:val="00B80128"/>
    <w:rsid w:val="00B808B7"/>
    <w:rsid w:val="00B80AFA"/>
    <w:rsid w:val="00B819C2"/>
    <w:rsid w:val="00B82C64"/>
    <w:rsid w:val="00B8517D"/>
    <w:rsid w:val="00B856A7"/>
    <w:rsid w:val="00B8606B"/>
    <w:rsid w:val="00B86AEB"/>
    <w:rsid w:val="00B8710E"/>
    <w:rsid w:val="00B87D95"/>
    <w:rsid w:val="00B900C1"/>
    <w:rsid w:val="00B926E3"/>
    <w:rsid w:val="00B97447"/>
    <w:rsid w:val="00BA3B18"/>
    <w:rsid w:val="00BA666B"/>
    <w:rsid w:val="00BA7D3B"/>
    <w:rsid w:val="00BB1111"/>
    <w:rsid w:val="00BB270E"/>
    <w:rsid w:val="00BB28A8"/>
    <w:rsid w:val="00BB491C"/>
    <w:rsid w:val="00BB4F85"/>
    <w:rsid w:val="00BB67CA"/>
    <w:rsid w:val="00BB7A0C"/>
    <w:rsid w:val="00BC201C"/>
    <w:rsid w:val="00BC4E72"/>
    <w:rsid w:val="00BC4FE1"/>
    <w:rsid w:val="00BC533C"/>
    <w:rsid w:val="00BC66D4"/>
    <w:rsid w:val="00BC780C"/>
    <w:rsid w:val="00BD0D54"/>
    <w:rsid w:val="00BD47E6"/>
    <w:rsid w:val="00BE0C55"/>
    <w:rsid w:val="00BE155F"/>
    <w:rsid w:val="00BE2300"/>
    <w:rsid w:val="00BE3784"/>
    <w:rsid w:val="00BE4B8A"/>
    <w:rsid w:val="00BE7524"/>
    <w:rsid w:val="00BF3B5F"/>
    <w:rsid w:val="00BF5029"/>
    <w:rsid w:val="00BF5AEB"/>
    <w:rsid w:val="00BF76C5"/>
    <w:rsid w:val="00C02787"/>
    <w:rsid w:val="00C0289B"/>
    <w:rsid w:val="00C04776"/>
    <w:rsid w:val="00C057C8"/>
    <w:rsid w:val="00C07842"/>
    <w:rsid w:val="00C10A48"/>
    <w:rsid w:val="00C10D00"/>
    <w:rsid w:val="00C11775"/>
    <w:rsid w:val="00C140EB"/>
    <w:rsid w:val="00C14CE3"/>
    <w:rsid w:val="00C15CEF"/>
    <w:rsid w:val="00C166BB"/>
    <w:rsid w:val="00C17E11"/>
    <w:rsid w:val="00C20CED"/>
    <w:rsid w:val="00C210AA"/>
    <w:rsid w:val="00C22DB3"/>
    <w:rsid w:val="00C22F75"/>
    <w:rsid w:val="00C252AF"/>
    <w:rsid w:val="00C3027E"/>
    <w:rsid w:val="00C312E4"/>
    <w:rsid w:val="00C33EB8"/>
    <w:rsid w:val="00C34F60"/>
    <w:rsid w:val="00C413AB"/>
    <w:rsid w:val="00C432A4"/>
    <w:rsid w:val="00C44DA8"/>
    <w:rsid w:val="00C5238C"/>
    <w:rsid w:val="00C52990"/>
    <w:rsid w:val="00C55C84"/>
    <w:rsid w:val="00C604D3"/>
    <w:rsid w:val="00C60658"/>
    <w:rsid w:val="00C63726"/>
    <w:rsid w:val="00C63794"/>
    <w:rsid w:val="00C637B6"/>
    <w:rsid w:val="00C64130"/>
    <w:rsid w:val="00C64874"/>
    <w:rsid w:val="00C6540C"/>
    <w:rsid w:val="00C66C7C"/>
    <w:rsid w:val="00C66DF3"/>
    <w:rsid w:val="00C736D0"/>
    <w:rsid w:val="00C7388A"/>
    <w:rsid w:val="00C73FC6"/>
    <w:rsid w:val="00C741B4"/>
    <w:rsid w:val="00C75991"/>
    <w:rsid w:val="00C81647"/>
    <w:rsid w:val="00C83508"/>
    <w:rsid w:val="00C85610"/>
    <w:rsid w:val="00C85775"/>
    <w:rsid w:val="00C8638F"/>
    <w:rsid w:val="00C870FE"/>
    <w:rsid w:val="00C91717"/>
    <w:rsid w:val="00C93270"/>
    <w:rsid w:val="00C94116"/>
    <w:rsid w:val="00C95F57"/>
    <w:rsid w:val="00C96799"/>
    <w:rsid w:val="00C97297"/>
    <w:rsid w:val="00CA036B"/>
    <w:rsid w:val="00CA15A2"/>
    <w:rsid w:val="00CA3AF2"/>
    <w:rsid w:val="00CA75B0"/>
    <w:rsid w:val="00CB3DEB"/>
    <w:rsid w:val="00CB49C6"/>
    <w:rsid w:val="00CB4D4B"/>
    <w:rsid w:val="00CB705D"/>
    <w:rsid w:val="00CB7DD0"/>
    <w:rsid w:val="00CC0948"/>
    <w:rsid w:val="00CC31A2"/>
    <w:rsid w:val="00CC663F"/>
    <w:rsid w:val="00CC75DA"/>
    <w:rsid w:val="00CD439B"/>
    <w:rsid w:val="00CD5D6A"/>
    <w:rsid w:val="00CE0D04"/>
    <w:rsid w:val="00CE2039"/>
    <w:rsid w:val="00CE76F8"/>
    <w:rsid w:val="00CE7FA1"/>
    <w:rsid w:val="00CF2295"/>
    <w:rsid w:val="00CF22E2"/>
    <w:rsid w:val="00CF2C82"/>
    <w:rsid w:val="00CF7574"/>
    <w:rsid w:val="00CF767A"/>
    <w:rsid w:val="00D02F3F"/>
    <w:rsid w:val="00D03116"/>
    <w:rsid w:val="00D04BD7"/>
    <w:rsid w:val="00D053DC"/>
    <w:rsid w:val="00D06523"/>
    <w:rsid w:val="00D10431"/>
    <w:rsid w:val="00D12DB9"/>
    <w:rsid w:val="00D13C55"/>
    <w:rsid w:val="00D1696D"/>
    <w:rsid w:val="00D176CB"/>
    <w:rsid w:val="00D21499"/>
    <w:rsid w:val="00D23CF1"/>
    <w:rsid w:val="00D241C4"/>
    <w:rsid w:val="00D2711B"/>
    <w:rsid w:val="00D27171"/>
    <w:rsid w:val="00D3021C"/>
    <w:rsid w:val="00D30DB0"/>
    <w:rsid w:val="00D328A1"/>
    <w:rsid w:val="00D32C1A"/>
    <w:rsid w:val="00D343A8"/>
    <w:rsid w:val="00D34547"/>
    <w:rsid w:val="00D354E2"/>
    <w:rsid w:val="00D361C8"/>
    <w:rsid w:val="00D37519"/>
    <w:rsid w:val="00D42A10"/>
    <w:rsid w:val="00D43ABC"/>
    <w:rsid w:val="00D47C8D"/>
    <w:rsid w:val="00D50178"/>
    <w:rsid w:val="00D511C2"/>
    <w:rsid w:val="00D5308B"/>
    <w:rsid w:val="00D5382E"/>
    <w:rsid w:val="00D5500E"/>
    <w:rsid w:val="00D554E0"/>
    <w:rsid w:val="00D55D35"/>
    <w:rsid w:val="00D56069"/>
    <w:rsid w:val="00D5690E"/>
    <w:rsid w:val="00D602F9"/>
    <w:rsid w:val="00D631F1"/>
    <w:rsid w:val="00D637AE"/>
    <w:rsid w:val="00D64EBD"/>
    <w:rsid w:val="00D64FDF"/>
    <w:rsid w:val="00D66415"/>
    <w:rsid w:val="00D667F6"/>
    <w:rsid w:val="00D67F43"/>
    <w:rsid w:val="00D736EE"/>
    <w:rsid w:val="00D74A1A"/>
    <w:rsid w:val="00D7505E"/>
    <w:rsid w:val="00D77C2A"/>
    <w:rsid w:val="00D77FCE"/>
    <w:rsid w:val="00D801B9"/>
    <w:rsid w:val="00D80E1B"/>
    <w:rsid w:val="00D81550"/>
    <w:rsid w:val="00D81A26"/>
    <w:rsid w:val="00D824A2"/>
    <w:rsid w:val="00D84E4F"/>
    <w:rsid w:val="00D8530E"/>
    <w:rsid w:val="00D85A81"/>
    <w:rsid w:val="00D86E44"/>
    <w:rsid w:val="00D86EE9"/>
    <w:rsid w:val="00D900C3"/>
    <w:rsid w:val="00D91BEE"/>
    <w:rsid w:val="00D949EF"/>
    <w:rsid w:val="00DA0E8E"/>
    <w:rsid w:val="00DA23A9"/>
    <w:rsid w:val="00DA26F5"/>
    <w:rsid w:val="00DA34F3"/>
    <w:rsid w:val="00DA4311"/>
    <w:rsid w:val="00DA4967"/>
    <w:rsid w:val="00DA499C"/>
    <w:rsid w:val="00DA4FC7"/>
    <w:rsid w:val="00DA6BAD"/>
    <w:rsid w:val="00DB00D6"/>
    <w:rsid w:val="00DB021B"/>
    <w:rsid w:val="00DB5AA0"/>
    <w:rsid w:val="00DC2EB5"/>
    <w:rsid w:val="00DC304D"/>
    <w:rsid w:val="00DC33F8"/>
    <w:rsid w:val="00DC46AA"/>
    <w:rsid w:val="00DD47C7"/>
    <w:rsid w:val="00DD5AD9"/>
    <w:rsid w:val="00DE0A1B"/>
    <w:rsid w:val="00DE2388"/>
    <w:rsid w:val="00DE29E7"/>
    <w:rsid w:val="00DE4B99"/>
    <w:rsid w:val="00DE6B7E"/>
    <w:rsid w:val="00DE7992"/>
    <w:rsid w:val="00DF2447"/>
    <w:rsid w:val="00DF24DC"/>
    <w:rsid w:val="00DF31EE"/>
    <w:rsid w:val="00DF63C7"/>
    <w:rsid w:val="00E008B2"/>
    <w:rsid w:val="00E03731"/>
    <w:rsid w:val="00E0659F"/>
    <w:rsid w:val="00E109C2"/>
    <w:rsid w:val="00E12015"/>
    <w:rsid w:val="00E128ED"/>
    <w:rsid w:val="00E12E3B"/>
    <w:rsid w:val="00E13E5F"/>
    <w:rsid w:val="00E1432D"/>
    <w:rsid w:val="00E16583"/>
    <w:rsid w:val="00E2029E"/>
    <w:rsid w:val="00E20772"/>
    <w:rsid w:val="00E22B7A"/>
    <w:rsid w:val="00E262F5"/>
    <w:rsid w:val="00E30C37"/>
    <w:rsid w:val="00E33097"/>
    <w:rsid w:val="00E3579C"/>
    <w:rsid w:val="00E35EB0"/>
    <w:rsid w:val="00E36FF0"/>
    <w:rsid w:val="00E439BC"/>
    <w:rsid w:val="00E457B7"/>
    <w:rsid w:val="00E472E7"/>
    <w:rsid w:val="00E47523"/>
    <w:rsid w:val="00E5727A"/>
    <w:rsid w:val="00E57735"/>
    <w:rsid w:val="00E61D35"/>
    <w:rsid w:val="00E624A0"/>
    <w:rsid w:val="00E63656"/>
    <w:rsid w:val="00E6651E"/>
    <w:rsid w:val="00E67B74"/>
    <w:rsid w:val="00E71870"/>
    <w:rsid w:val="00E732F7"/>
    <w:rsid w:val="00E73AC0"/>
    <w:rsid w:val="00E74C6D"/>
    <w:rsid w:val="00E75C37"/>
    <w:rsid w:val="00E80589"/>
    <w:rsid w:val="00E807B0"/>
    <w:rsid w:val="00E8115B"/>
    <w:rsid w:val="00E81EC7"/>
    <w:rsid w:val="00E83E29"/>
    <w:rsid w:val="00E8782B"/>
    <w:rsid w:val="00E900E9"/>
    <w:rsid w:val="00E90D14"/>
    <w:rsid w:val="00E90F2A"/>
    <w:rsid w:val="00E957E6"/>
    <w:rsid w:val="00EA06D1"/>
    <w:rsid w:val="00EA081C"/>
    <w:rsid w:val="00EA0DBA"/>
    <w:rsid w:val="00EA17D0"/>
    <w:rsid w:val="00EA60A4"/>
    <w:rsid w:val="00EA65A8"/>
    <w:rsid w:val="00EA7CD3"/>
    <w:rsid w:val="00EB1212"/>
    <w:rsid w:val="00EB4D18"/>
    <w:rsid w:val="00EB6077"/>
    <w:rsid w:val="00EB79AF"/>
    <w:rsid w:val="00EC121F"/>
    <w:rsid w:val="00EC13FF"/>
    <w:rsid w:val="00EC14D8"/>
    <w:rsid w:val="00EC3438"/>
    <w:rsid w:val="00EC398B"/>
    <w:rsid w:val="00EC465C"/>
    <w:rsid w:val="00EC5CEF"/>
    <w:rsid w:val="00ED406F"/>
    <w:rsid w:val="00ED587F"/>
    <w:rsid w:val="00ED5B38"/>
    <w:rsid w:val="00ED7CEF"/>
    <w:rsid w:val="00EE26AA"/>
    <w:rsid w:val="00EE672D"/>
    <w:rsid w:val="00EF0F6E"/>
    <w:rsid w:val="00EF13BE"/>
    <w:rsid w:val="00EF28B8"/>
    <w:rsid w:val="00EF4766"/>
    <w:rsid w:val="00EF4BE4"/>
    <w:rsid w:val="00EF4D21"/>
    <w:rsid w:val="00EF724E"/>
    <w:rsid w:val="00F00B2F"/>
    <w:rsid w:val="00F014BF"/>
    <w:rsid w:val="00F03591"/>
    <w:rsid w:val="00F03DAC"/>
    <w:rsid w:val="00F074AC"/>
    <w:rsid w:val="00F14904"/>
    <w:rsid w:val="00F2263B"/>
    <w:rsid w:val="00F227A9"/>
    <w:rsid w:val="00F24034"/>
    <w:rsid w:val="00F26942"/>
    <w:rsid w:val="00F27812"/>
    <w:rsid w:val="00F308F3"/>
    <w:rsid w:val="00F31DB5"/>
    <w:rsid w:val="00F331AB"/>
    <w:rsid w:val="00F3507D"/>
    <w:rsid w:val="00F41CA6"/>
    <w:rsid w:val="00F436D1"/>
    <w:rsid w:val="00F4474E"/>
    <w:rsid w:val="00F51914"/>
    <w:rsid w:val="00F52BFE"/>
    <w:rsid w:val="00F5525B"/>
    <w:rsid w:val="00F55E4B"/>
    <w:rsid w:val="00F569E6"/>
    <w:rsid w:val="00F56AB9"/>
    <w:rsid w:val="00F60506"/>
    <w:rsid w:val="00F60ABF"/>
    <w:rsid w:val="00F61431"/>
    <w:rsid w:val="00F616A5"/>
    <w:rsid w:val="00F62CF0"/>
    <w:rsid w:val="00F6614B"/>
    <w:rsid w:val="00F66CCF"/>
    <w:rsid w:val="00F67FFB"/>
    <w:rsid w:val="00F72B15"/>
    <w:rsid w:val="00F72D17"/>
    <w:rsid w:val="00F74647"/>
    <w:rsid w:val="00F81AC7"/>
    <w:rsid w:val="00F8559A"/>
    <w:rsid w:val="00F85F24"/>
    <w:rsid w:val="00F864A6"/>
    <w:rsid w:val="00F86DC3"/>
    <w:rsid w:val="00F934A9"/>
    <w:rsid w:val="00F948F7"/>
    <w:rsid w:val="00FA056A"/>
    <w:rsid w:val="00FA1FAC"/>
    <w:rsid w:val="00FA2774"/>
    <w:rsid w:val="00FA2F8D"/>
    <w:rsid w:val="00FA342C"/>
    <w:rsid w:val="00FA48C3"/>
    <w:rsid w:val="00FA6570"/>
    <w:rsid w:val="00FA65FF"/>
    <w:rsid w:val="00FB1FD1"/>
    <w:rsid w:val="00FB4279"/>
    <w:rsid w:val="00FB5383"/>
    <w:rsid w:val="00FB64A8"/>
    <w:rsid w:val="00FB7BE3"/>
    <w:rsid w:val="00FC202A"/>
    <w:rsid w:val="00FC4405"/>
    <w:rsid w:val="00FC45B3"/>
    <w:rsid w:val="00FC5AC2"/>
    <w:rsid w:val="00FC6704"/>
    <w:rsid w:val="00FD282A"/>
    <w:rsid w:val="00FD2F05"/>
    <w:rsid w:val="00FD539A"/>
    <w:rsid w:val="00FE048D"/>
    <w:rsid w:val="00FE16D1"/>
    <w:rsid w:val="00FE2098"/>
    <w:rsid w:val="00FE2156"/>
    <w:rsid w:val="00FE40FE"/>
    <w:rsid w:val="00FE6AED"/>
    <w:rsid w:val="00FE7083"/>
    <w:rsid w:val="00FF13A1"/>
    <w:rsid w:val="00FF290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9E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qFormat/>
    <w:rsid w:val="009A7B85"/>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paragraph" w:styleId="4">
    <w:name w:val="heading 4"/>
    <w:basedOn w:val="a"/>
    <w:next w:val="a"/>
    <w:link w:val="4Char"/>
    <w:uiPriority w:val="9"/>
    <w:semiHidden/>
    <w:unhideWhenUsed/>
    <w:qFormat/>
    <w:rsid w:val="0024084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3AD0"/>
    <w:pPr>
      <w:ind w:left="720"/>
      <w:contextualSpacing/>
    </w:pPr>
  </w:style>
  <w:style w:type="paragraph" w:styleId="HTML">
    <w:name w:val="HTML Preformatted"/>
    <w:basedOn w:val="a"/>
    <w:link w:val="HTMLChar"/>
    <w:uiPriority w:val="99"/>
    <w:semiHidden/>
    <w:unhideWhenUsed/>
    <w:rsid w:val="00E47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Char">
    <w:name w:val="HTML 预设格式 Char"/>
    <w:basedOn w:val="a0"/>
    <w:link w:val="HTML"/>
    <w:uiPriority w:val="99"/>
    <w:semiHidden/>
    <w:rsid w:val="00E472E7"/>
    <w:rPr>
      <w:rFonts w:ascii="Courier New" w:eastAsia="Times New Roman" w:hAnsi="Courier New" w:cs="Courier New"/>
      <w:sz w:val="20"/>
      <w:szCs w:val="20"/>
      <w:lang w:eastAsia="pt-BR"/>
    </w:rPr>
  </w:style>
  <w:style w:type="paragraph" w:styleId="a4">
    <w:name w:val="Normal (Web)"/>
    <w:basedOn w:val="a"/>
    <w:uiPriority w:val="99"/>
    <w:semiHidden/>
    <w:unhideWhenUsed/>
    <w:rsid w:val="00894EC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a5">
    <w:name w:val="Balloon Text"/>
    <w:basedOn w:val="a"/>
    <w:link w:val="Char"/>
    <w:uiPriority w:val="99"/>
    <w:semiHidden/>
    <w:unhideWhenUsed/>
    <w:rsid w:val="004F6B31"/>
    <w:pPr>
      <w:spacing w:after="0" w:line="240" w:lineRule="auto"/>
    </w:pPr>
    <w:rPr>
      <w:rFonts w:ascii="Times New Roman" w:hAnsi="Times New Roman" w:cs="Times New Roman"/>
      <w:sz w:val="18"/>
      <w:szCs w:val="18"/>
    </w:rPr>
  </w:style>
  <w:style w:type="character" w:customStyle="1" w:styleId="Char">
    <w:name w:val="批注框文本 Char"/>
    <w:basedOn w:val="a0"/>
    <w:link w:val="a5"/>
    <w:uiPriority w:val="99"/>
    <w:semiHidden/>
    <w:rsid w:val="004F6B31"/>
    <w:rPr>
      <w:rFonts w:ascii="Times New Roman" w:hAnsi="Times New Roman" w:cs="Times New Roman"/>
      <w:sz w:val="18"/>
      <w:szCs w:val="18"/>
    </w:rPr>
  </w:style>
  <w:style w:type="paragraph" w:styleId="a6">
    <w:name w:val="header"/>
    <w:basedOn w:val="a"/>
    <w:link w:val="Char0"/>
    <w:uiPriority w:val="99"/>
    <w:unhideWhenUsed/>
    <w:rsid w:val="008F55B5"/>
    <w:pPr>
      <w:tabs>
        <w:tab w:val="center" w:pos="4252"/>
        <w:tab w:val="right" w:pos="8504"/>
      </w:tabs>
      <w:spacing w:after="0" w:line="240" w:lineRule="auto"/>
    </w:pPr>
  </w:style>
  <w:style w:type="character" w:customStyle="1" w:styleId="Char0">
    <w:name w:val="页眉 Char"/>
    <w:basedOn w:val="a0"/>
    <w:link w:val="a6"/>
    <w:uiPriority w:val="99"/>
    <w:rsid w:val="008F55B5"/>
  </w:style>
  <w:style w:type="paragraph" w:styleId="a7">
    <w:name w:val="footer"/>
    <w:basedOn w:val="a"/>
    <w:link w:val="Char1"/>
    <w:uiPriority w:val="99"/>
    <w:unhideWhenUsed/>
    <w:rsid w:val="008F55B5"/>
    <w:pPr>
      <w:tabs>
        <w:tab w:val="center" w:pos="4252"/>
        <w:tab w:val="right" w:pos="8504"/>
      </w:tabs>
      <w:spacing w:after="0" w:line="240" w:lineRule="auto"/>
    </w:pPr>
  </w:style>
  <w:style w:type="character" w:customStyle="1" w:styleId="Char1">
    <w:name w:val="页脚 Char"/>
    <w:basedOn w:val="a0"/>
    <w:link w:val="a7"/>
    <w:uiPriority w:val="99"/>
    <w:rsid w:val="008F55B5"/>
  </w:style>
  <w:style w:type="character" w:styleId="a8">
    <w:name w:val="annotation reference"/>
    <w:basedOn w:val="a0"/>
    <w:uiPriority w:val="99"/>
    <w:semiHidden/>
    <w:unhideWhenUsed/>
    <w:rsid w:val="001315B5"/>
    <w:rPr>
      <w:sz w:val="16"/>
      <w:szCs w:val="16"/>
    </w:rPr>
  </w:style>
  <w:style w:type="paragraph" w:styleId="a9">
    <w:name w:val="annotation text"/>
    <w:basedOn w:val="a"/>
    <w:link w:val="Char2"/>
    <w:uiPriority w:val="99"/>
    <w:semiHidden/>
    <w:unhideWhenUsed/>
    <w:rsid w:val="001315B5"/>
    <w:pPr>
      <w:spacing w:line="240" w:lineRule="auto"/>
    </w:pPr>
    <w:rPr>
      <w:sz w:val="20"/>
      <w:szCs w:val="20"/>
    </w:rPr>
  </w:style>
  <w:style w:type="character" w:customStyle="1" w:styleId="Char2">
    <w:name w:val="批注文字 Char"/>
    <w:basedOn w:val="a0"/>
    <w:link w:val="a9"/>
    <w:uiPriority w:val="99"/>
    <w:semiHidden/>
    <w:rsid w:val="001315B5"/>
    <w:rPr>
      <w:sz w:val="20"/>
      <w:szCs w:val="20"/>
    </w:rPr>
  </w:style>
  <w:style w:type="paragraph" w:styleId="aa">
    <w:name w:val="annotation subject"/>
    <w:basedOn w:val="a9"/>
    <w:next w:val="a9"/>
    <w:link w:val="Char3"/>
    <w:uiPriority w:val="99"/>
    <w:semiHidden/>
    <w:unhideWhenUsed/>
    <w:rsid w:val="001315B5"/>
    <w:rPr>
      <w:b/>
      <w:bCs/>
    </w:rPr>
  </w:style>
  <w:style w:type="character" w:customStyle="1" w:styleId="Char3">
    <w:name w:val="批注主题 Char"/>
    <w:basedOn w:val="Char2"/>
    <w:link w:val="aa"/>
    <w:uiPriority w:val="99"/>
    <w:semiHidden/>
    <w:rsid w:val="001315B5"/>
    <w:rPr>
      <w:b/>
      <w:bCs/>
      <w:sz w:val="20"/>
      <w:szCs w:val="20"/>
    </w:rPr>
  </w:style>
  <w:style w:type="character" w:styleId="ab">
    <w:name w:val="Hyperlink"/>
    <w:basedOn w:val="a0"/>
    <w:uiPriority w:val="99"/>
    <w:unhideWhenUsed/>
    <w:rsid w:val="002C2DAF"/>
    <w:rPr>
      <w:color w:val="0563C1" w:themeColor="hyperlink"/>
      <w:u w:val="single"/>
    </w:rPr>
  </w:style>
  <w:style w:type="character" w:customStyle="1" w:styleId="MenoPendente1">
    <w:name w:val="Menção Pendente1"/>
    <w:basedOn w:val="a0"/>
    <w:uiPriority w:val="99"/>
    <w:semiHidden/>
    <w:unhideWhenUsed/>
    <w:rsid w:val="002C2DAF"/>
    <w:rPr>
      <w:color w:val="605E5C"/>
      <w:shd w:val="clear" w:color="auto" w:fill="E1DFDD"/>
    </w:rPr>
  </w:style>
  <w:style w:type="character" w:customStyle="1" w:styleId="MenoPendente2">
    <w:name w:val="Menção Pendente2"/>
    <w:basedOn w:val="a0"/>
    <w:uiPriority w:val="99"/>
    <w:semiHidden/>
    <w:unhideWhenUsed/>
    <w:rsid w:val="00E732F7"/>
    <w:rPr>
      <w:color w:val="605E5C"/>
      <w:shd w:val="clear" w:color="auto" w:fill="E1DFDD"/>
    </w:rPr>
  </w:style>
  <w:style w:type="character" w:customStyle="1" w:styleId="fontstyle01">
    <w:name w:val="fontstyle01"/>
    <w:basedOn w:val="a0"/>
    <w:rsid w:val="006E3234"/>
    <w:rPr>
      <w:rFonts w:ascii="Times-Roman" w:hAnsi="Times-Roman" w:hint="default"/>
      <w:b w:val="0"/>
      <w:bCs w:val="0"/>
      <w:i w:val="0"/>
      <w:iCs w:val="0"/>
      <w:color w:val="242021"/>
      <w:sz w:val="20"/>
      <w:szCs w:val="20"/>
    </w:rPr>
  </w:style>
  <w:style w:type="character" w:customStyle="1" w:styleId="fontstyle31">
    <w:name w:val="fontstyle31"/>
    <w:basedOn w:val="a0"/>
    <w:rsid w:val="006E3234"/>
    <w:rPr>
      <w:rFonts w:ascii="Book Antiqua" w:hAnsi="Book Antiqua" w:hint="default"/>
      <w:b w:val="0"/>
      <w:bCs w:val="0"/>
      <w:i w:val="0"/>
      <w:iCs w:val="0"/>
      <w:color w:val="000000"/>
      <w:sz w:val="24"/>
      <w:szCs w:val="24"/>
    </w:rPr>
  </w:style>
  <w:style w:type="character" w:styleId="ac">
    <w:name w:val="Emphasis"/>
    <w:basedOn w:val="a0"/>
    <w:uiPriority w:val="20"/>
    <w:qFormat/>
    <w:rsid w:val="006E3234"/>
    <w:rPr>
      <w:i/>
      <w:iCs/>
    </w:rPr>
  </w:style>
  <w:style w:type="paragraph" w:customStyle="1" w:styleId="Padro">
    <w:name w:val="Padrão"/>
    <w:rsid w:val="006E323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pt-BR"/>
    </w:rPr>
  </w:style>
  <w:style w:type="table" w:customStyle="1" w:styleId="PlainTable51">
    <w:name w:val="Plain Table 51"/>
    <w:basedOn w:val="a1"/>
    <w:uiPriority w:val="45"/>
    <w:rsid w:val="009A7B85"/>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2Char">
    <w:name w:val="标题 2 Char"/>
    <w:basedOn w:val="a0"/>
    <w:link w:val="2"/>
    <w:rsid w:val="009A7B85"/>
    <w:rPr>
      <w:rFonts w:ascii="Times New Roman" w:eastAsia="Times New Roman" w:hAnsi="Times New Roman" w:cs="Times New Roman"/>
      <w:b/>
      <w:bCs/>
      <w:color w:val="000000"/>
      <w:kern w:val="28"/>
      <w:sz w:val="24"/>
      <w:szCs w:val="24"/>
      <w:lang w:val="en-CA" w:eastAsia="en-CA"/>
    </w:rPr>
  </w:style>
  <w:style w:type="character" w:styleId="ad">
    <w:name w:val="page number"/>
    <w:basedOn w:val="a0"/>
    <w:uiPriority w:val="99"/>
    <w:semiHidden/>
    <w:unhideWhenUsed/>
    <w:rsid w:val="00DA4311"/>
  </w:style>
  <w:style w:type="character" w:customStyle="1" w:styleId="label">
    <w:name w:val="label"/>
    <w:basedOn w:val="a0"/>
    <w:rsid w:val="00FA1FAC"/>
  </w:style>
  <w:style w:type="character" w:customStyle="1" w:styleId="quality-sign">
    <w:name w:val="quality-sign"/>
    <w:basedOn w:val="a0"/>
    <w:rsid w:val="00FA1FAC"/>
  </w:style>
  <w:style w:type="character" w:customStyle="1" w:styleId="quality-text">
    <w:name w:val="quality-text"/>
    <w:basedOn w:val="a0"/>
    <w:rsid w:val="00FA1FAC"/>
  </w:style>
  <w:style w:type="character" w:customStyle="1" w:styleId="comma">
    <w:name w:val="comma"/>
    <w:basedOn w:val="a0"/>
    <w:rsid w:val="00FA1FAC"/>
  </w:style>
  <w:style w:type="character" w:customStyle="1" w:styleId="cell">
    <w:name w:val="cell"/>
    <w:basedOn w:val="a0"/>
    <w:rsid w:val="00FA1FAC"/>
  </w:style>
  <w:style w:type="character" w:customStyle="1" w:styleId="cell-value">
    <w:name w:val="cell-value"/>
    <w:basedOn w:val="a0"/>
    <w:rsid w:val="00FA1FAC"/>
  </w:style>
  <w:style w:type="paragraph" w:customStyle="1" w:styleId="Ttulo2">
    <w:name w:val="Título2"/>
    <w:basedOn w:val="a"/>
    <w:uiPriority w:val="99"/>
    <w:semiHidden/>
    <w:rsid w:val="00FA1FAC"/>
    <w:pPr>
      <w:spacing w:before="100" w:beforeAutospacing="1" w:after="100" w:afterAutospacing="1" w:line="240" w:lineRule="auto"/>
    </w:pPr>
    <w:rPr>
      <w:rFonts w:ascii="Times New Roman" w:eastAsiaTheme="minorEastAsia" w:hAnsi="Times New Roman" w:cs="Times New Roman"/>
      <w:sz w:val="24"/>
      <w:szCs w:val="24"/>
      <w:lang w:val="es-EC" w:eastAsia="es-EC"/>
    </w:rPr>
  </w:style>
  <w:style w:type="paragraph" w:styleId="ae">
    <w:name w:val="Revision"/>
    <w:hidden/>
    <w:uiPriority w:val="99"/>
    <w:semiHidden/>
    <w:rsid w:val="009E4324"/>
    <w:pPr>
      <w:spacing w:after="0" w:line="240" w:lineRule="auto"/>
    </w:pPr>
  </w:style>
  <w:style w:type="character" w:customStyle="1" w:styleId="UnresolvedMention1">
    <w:name w:val="Unresolved Mention1"/>
    <w:basedOn w:val="a0"/>
    <w:uiPriority w:val="99"/>
    <w:semiHidden/>
    <w:unhideWhenUsed/>
    <w:rsid w:val="002E6770"/>
    <w:rPr>
      <w:color w:val="605E5C"/>
      <w:shd w:val="clear" w:color="auto" w:fill="E1DFDD"/>
    </w:rPr>
  </w:style>
  <w:style w:type="paragraph" w:styleId="af">
    <w:name w:val="footnote text"/>
    <w:basedOn w:val="a"/>
    <w:link w:val="Char4"/>
    <w:uiPriority w:val="99"/>
    <w:semiHidden/>
    <w:unhideWhenUsed/>
    <w:rsid w:val="00157CD1"/>
    <w:pPr>
      <w:spacing w:after="0" w:line="240" w:lineRule="auto"/>
    </w:pPr>
    <w:rPr>
      <w:sz w:val="20"/>
      <w:szCs w:val="20"/>
    </w:rPr>
  </w:style>
  <w:style w:type="character" w:customStyle="1" w:styleId="Char4">
    <w:name w:val="脚注文本 Char"/>
    <w:basedOn w:val="a0"/>
    <w:link w:val="af"/>
    <w:uiPriority w:val="99"/>
    <w:semiHidden/>
    <w:rsid w:val="00157CD1"/>
    <w:rPr>
      <w:sz w:val="20"/>
      <w:szCs w:val="20"/>
    </w:rPr>
  </w:style>
  <w:style w:type="character" w:styleId="af0">
    <w:name w:val="footnote reference"/>
    <w:basedOn w:val="a0"/>
    <w:uiPriority w:val="99"/>
    <w:semiHidden/>
    <w:unhideWhenUsed/>
    <w:rsid w:val="00157CD1"/>
    <w:rPr>
      <w:vertAlign w:val="superscript"/>
    </w:rPr>
  </w:style>
  <w:style w:type="character" w:customStyle="1" w:styleId="4Char">
    <w:name w:val="标题 4 Char"/>
    <w:basedOn w:val="a0"/>
    <w:link w:val="4"/>
    <w:uiPriority w:val="9"/>
    <w:semiHidden/>
    <w:rsid w:val="0024084B"/>
    <w:rPr>
      <w:rFonts w:asciiTheme="majorHAnsi" w:eastAsiaTheme="majorEastAsia" w:hAnsiTheme="majorHAnsi" w:cstheme="majorBidi"/>
      <w:i/>
      <w:iCs/>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qFormat/>
    <w:rsid w:val="009A7B85"/>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paragraph" w:styleId="4">
    <w:name w:val="heading 4"/>
    <w:basedOn w:val="a"/>
    <w:next w:val="a"/>
    <w:link w:val="4Char"/>
    <w:uiPriority w:val="9"/>
    <w:semiHidden/>
    <w:unhideWhenUsed/>
    <w:qFormat/>
    <w:rsid w:val="0024084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3AD0"/>
    <w:pPr>
      <w:ind w:left="720"/>
      <w:contextualSpacing/>
    </w:pPr>
  </w:style>
  <w:style w:type="paragraph" w:styleId="HTML">
    <w:name w:val="HTML Preformatted"/>
    <w:basedOn w:val="a"/>
    <w:link w:val="HTMLChar"/>
    <w:uiPriority w:val="99"/>
    <w:semiHidden/>
    <w:unhideWhenUsed/>
    <w:rsid w:val="00E47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Char">
    <w:name w:val="HTML 预设格式 Char"/>
    <w:basedOn w:val="a0"/>
    <w:link w:val="HTML"/>
    <w:uiPriority w:val="99"/>
    <w:semiHidden/>
    <w:rsid w:val="00E472E7"/>
    <w:rPr>
      <w:rFonts w:ascii="Courier New" w:eastAsia="Times New Roman" w:hAnsi="Courier New" w:cs="Courier New"/>
      <w:sz w:val="20"/>
      <w:szCs w:val="20"/>
      <w:lang w:eastAsia="pt-BR"/>
    </w:rPr>
  </w:style>
  <w:style w:type="paragraph" w:styleId="a4">
    <w:name w:val="Normal (Web)"/>
    <w:basedOn w:val="a"/>
    <w:uiPriority w:val="99"/>
    <w:semiHidden/>
    <w:unhideWhenUsed/>
    <w:rsid w:val="00894EC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a5">
    <w:name w:val="Balloon Text"/>
    <w:basedOn w:val="a"/>
    <w:link w:val="Char"/>
    <w:uiPriority w:val="99"/>
    <w:semiHidden/>
    <w:unhideWhenUsed/>
    <w:rsid w:val="004F6B31"/>
    <w:pPr>
      <w:spacing w:after="0" w:line="240" w:lineRule="auto"/>
    </w:pPr>
    <w:rPr>
      <w:rFonts w:ascii="Times New Roman" w:hAnsi="Times New Roman" w:cs="Times New Roman"/>
      <w:sz w:val="18"/>
      <w:szCs w:val="18"/>
    </w:rPr>
  </w:style>
  <w:style w:type="character" w:customStyle="1" w:styleId="Char">
    <w:name w:val="批注框文本 Char"/>
    <w:basedOn w:val="a0"/>
    <w:link w:val="a5"/>
    <w:uiPriority w:val="99"/>
    <w:semiHidden/>
    <w:rsid w:val="004F6B31"/>
    <w:rPr>
      <w:rFonts w:ascii="Times New Roman" w:hAnsi="Times New Roman" w:cs="Times New Roman"/>
      <w:sz w:val="18"/>
      <w:szCs w:val="18"/>
    </w:rPr>
  </w:style>
  <w:style w:type="paragraph" w:styleId="a6">
    <w:name w:val="header"/>
    <w:basedOn w:val="a"/>
    <w:link w:val="Char0"/>
    <w:uiPriority w:val="99"/>
    <w:unhideWhenUsed/>
    <w:rsid w:val="008F55B5"/>
    <w:pPr>
      <w:tabs>
        <w:tab w:val="center" w:pos="4252"/>
        <w:tab w:val="right" w:pos="8504"/>
      </w:tabs>
      <w:spacing w:after="0" w:line="240" w:lineRule="auto"/>
    </w:pPr>
  </w:style>
  <w:style w:type="character" w:customStyle="1" w:styleId="Char0">
    <w:name w:val="页眉 Char"/>
    <w:basedOn w:val="a0"/>
    <w:link w:val="a6"/>
    <w:uiPriority w:val="99"/>
    <w:rsid w:val="008F55B5"/>
  </w:style>
  <w:style w:type="paragraph" w:styleId="a7">
    <w:name w:val="footer"/>
    <w:basedOn w:val="a"/>
    <w:link w:val="Char1"/>
    <w:uiPriority w:val="99"/>
    <w:unhideWhenUsed/>
    <w:rsid w:val="008F55B5"/>
    <w:pPr>
      <w:tabs>
        <w:tab w:val="center" w:pos="4252"/>
        <w:tab w:val="right" w:pos="8504"/>
      </w:tabs>
      <w:spacing w:after="0" w:line="240" w:lineRule="auto"/>
    </w:pPr>
  </w:style>
  <w:style w:type="character" w:customStyle="1" w:styleId="Char1">
    <w:name w:val="页脚 Char"/>
    <w:basedOn w:val="a0"/>
    <w:link w:val="a7"/>
    <w:uiPriority w:val="99"/>
    <w:rsid w:val="008F55B5"/>
  </w:style>
  <w:style w:type="character" w:styleId="a8">
    <w:name w:val="annotation reference"/>
    <w:basedOn w:val="a0"/>
    <w:uiPriority w:val="99"/>
    <w:semiHidden/>
    <w:unhideWhenUsed/>
    <w:rsid w:val="001315B5"/>
    <w:rPr>
      <w:sz w:val="16"/>
      <w:szCs w:val="16"/>
    </w:rPr>
  </w:style>
  <w:style w:type="paragraph" w:styleId="a9">
    <w:name w:val="annotation text"/>
    <w:basedOn w:val="a"/>
    <w:link w:val="Char2"/>
    <w:uiPriority w:val="99"/>
    <w:semiHidden/>
    <w:unhideWhenUsed/>
    <w:rsid w:val="001315B5"/>
    <w:pPr>
      <w:spacing w:line="240" w:lineRule="auto"/>
    </w:pPr>
    <w:rPr>
      <w:sz w:val="20"/>
      <w:szCs w:val="20"/>
    </w:rPr>
  </w:style>
  <w:style w:type="character" w:customStyle="1" w:styleId="Char2">
    <w:name w:val="批注文字 Char"/>
    <w:basedOn w:val="a0"/>
    <w:link w:val="a9"/>
    <w:uiPriority w:val="99"/>
    <w:semiHidden/>
    <w:rsid w:val="001315B5"/>
    <w:rPr>
      <w:sz w:val="20"/>
      <w:szCs w:val="20"/>
    </w:rPr>
  </w:style>
  <w:style w:type="paragraph" w:styleId="aa">
    <w:name w:val="annotation subject"/>
    <w:basedOn w:val="a9"/>
    <w:next w:val="a9"/>
    <w:link w:val="Char3"/>
    <w:uiPriority w:val="99"/>
    <w:semiHidden/>
    <w:unhideWhenUsed/>
    <w:rsid w:val="001315B5"/>
    <w:rPr>
      <w:b/>
      <w:bCs/>
    </w:rPr>
  </w:style>
  <w:style w:type="character" w:customStyle="1" w:styleId="Char3">
    <w:name w:val="批注主题 Char"/>
    <w:basedOn w:val="Char2"/>
    <w:link w:val="aa"/>
    <w:uiPriority w:val="99"/>
    <w:semiHidden/>
    <w:rsid w:val="001315B5"/>
    <w:rPr>
      <w:b/>
      <w:bCs/>
      <w:sz w:val="20"/>
      <w:szCs w:val="20"/>
    </w:rPr>
  </w:style>
  <w:style w:type="character" w:styleId="ab">
    <w:name w:val="Hyperlink"/>
    <w:basedOn w:val="a0"/>
    <w:uiPriority w:val="99"/>
    <w:unhideWhenUsed/>
    <w:rsid w:val="002C2DAF"/>
    <w:rPr>
      <w:color w:val="0563C1" w:themeColor="hyperlink"/>
      <w:u w:val="single"/>
    </w:rPr>
  </w:style>
  <w:style w:type="character" w:customStyle="1" w:styleId="MenoPendente1">
    <w:name w:val="Menção Pendente1"/>
    <w:basedOn w:val="a0"/>
    <w:uiPriority w:val="99"/>
    <w:semiHidden/>
    <w:unhideWhenUsed/>
    <w:rsid w:val="002C2DAF"/>
    <w:rPr>
      <w:color w:val="605E5C"/>
      <w:shd w:val="clear" w:color="auto" w:fill="E1DFDD"/>
    </w:rPr>
  </w:style>
  <w:style w:type="character" w:customStyle="1" w:styleId="MenoPendente2">
    <w:name w:val="Menção Pendente2"/>
    <w:basedOn w:val="a0"/>
    <w:uiPriority w:val="99"/>
    <w:semiHidden/>
    <w:unhideWhenUsed/>
    <w:rsid w:val="00E732F7"/>
    <w:rPr>
      <w:color w:val="605E5C"/>
      <w:shd w:val="clear" w:color="auto" w:fill="E1DFDD"/>
    </w:rPr>
  </w:style>
  <w:style w:type="character" w:customStyle="1" w:styleId="fontstyle01">
    <w:name w:val="fontstyle01"/>
    <w:basedOn w:val="a0"/>
    <w:rsid w:val="006E3234"/>
    <w:rPr>
      <w:rFonts w:ascii="Times-Roman" w:hAnsi="Times-Roman" w:hint="default"/>
      <w:b w:val="0"/>
      <w:bCs w:val="0"/>
      <w:i w:val="0"/>
      <w:iCs w:val="0"/>
      <w:color w:val="242021"/>
      <w:sz w:val="20"/>
      <w:szCs w:val="20"/>
    </w:rPr>
  </w:style>
  <w:style w:type="character" w:customStyle="1" w:styleId="fontstyle31">
    <w:name w:val="fontstyle31"/>
    <w:basedOn w:val="a0"/>
    <w:rsid w:val="006E3234"/>
    <w:rPr>
      <w:rFonts w:ascii="Book Antiqua" w:hAnsi="Book Antiqua" w:hint="default"/>
      <w:b w:val="0"/>
      <w:bCs w:val="0"/>
      <w:i w:val="0"/>
      <w:iCs w:val="0"/>
      <w:color w:val="000000"/>
      <w:sz w:val="24"/>
      <w:szCs w:val="24"/>
    </w:rPr>
  </w:style>
  <w:style w:type="character" w:styleId="ac">
    <w:name w:val="Emphasis"/>
    <w:basedOn w:val="a0"/>
    <w:uiPriority w:val="20"/>
    <w:qFormat/>
    <w:rsid w:val="006E3234"/>
    <w:rPr>
      <w:i/>
      <w:iCs/>
    </w:rPr>
  </w:style>
  <w:style w:type="paragraph" w:customStyle="1" w:styleId="Padro">
    <w:name w:val="Padrão"/>
    <w:rsid w:val="006E323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pt-BR"/>
    </w:rPr>
  </w:style>
  <w:style w:type="table" w:customStyle="1" w:styleId="PlainTable51">
    <w:name w:val="Plain Table 51"/>
    <w:basedOn w:val="a1"/>
    <w:uiPriority w:val="45"/>
    <w:rsid w:val="009A7B85"/>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2Char">
    <w:name w:val="标题 2 Char"/>
    <w:basedOn w:val="a0"/>
    <w:link w:val="2"/>
    <w:rsid w:val="009A7B85"/>
    <w:rPr>
      <w:rFonts w:ascii="Times New Roman" w:eastAsia="Times New Roman" w:hAnsi="Times New Roman" w:cs="Times New Roman"/>
      <w:b/>
      <w:bCs/>
      <w:color w:val="000000"/>
      <w:kern w:val="28"/>
      <w:sz w:val="24"/>
      <w:szCs w:val="24"/>
      <w:lang w:val="en-CA" w:eastAsia="en-CA"/>
    </w:rPr>
  </w:style>
  <w:style w:type="character" w:styleId="ad">
    <w:name w:val="page number"/>
    <w:basedOn w:val="a0"/>
    <w:uiPriority w:val="99"/>
    <w:semiHidden/>
    <w:unhideWhenUsed/>
    <w:rsid w:val="00DA4311"/>
  </w:style>
  <w:style w:type="character" w:customStyle="1" w:styleId="label">
    <w:name w:val="label"/>
    <w:basedOn w:val="a0"/>
    <w:rsid w:val="00FA1FAC"/>
  </w:style>
  <w:style w:type="character" w:customStyle="1" w:styleId="quality-sign">
    <w:name w:val="quality-sign"/>
    <w:basedOn w:val="a0"/>
    <w:rsid w:val="00FA1FAC"/>
  </w:style>
  <w:style w:type="character" w:customStyle="1" w:styleId="quality-text">
    <w:name w:val="quality-text"/>
    <w:basedOn w:val="a0"/>
    <w:rsid w:val="00FA1FAC"/>
  </w:style>
  <w:style w:type="character" w:customStyle="1" w:styleId="comma">
    <w:name w:val="comma"/>
    <w:basedOn w:val="a0"/>
    <w:rsid w:val="00FA1FAC"/>
  </w:style>
  <w:style w:type="character" w:customStyle="1" w:styleId="cell">
    <w:name w:val="cell"/>
    <w:basedOn w:val="a0"/>
    <w:rsid w:val="00FA1FAC"/>
  </w:style>
  <w:style w:type="character" w:customStyle="1" w:styleId="cell-value">
    <w:name w:val="cell-value"/>
    <w:basedOn w:val="a0"/>
    <w:rsid w:val="00FA1FAC"/>
  </w:style>
  <w:style w:type="paragraph" w:customStyle="1" w:styleId="Ttulo2">
    <w:name w:val="Título2"/>
    <w:basedOn w:val="a"/>
    <w:uiPriority w:val="99"/>
    <w:semiHidden/>
    <w:rsid w:val="00FA1FAC"/>
    <w:pPr>
      <w:spacing w:before="100" w:beforeAutospacing="1" w:after="100" w:afterAutospacing="1" w:line="240" w:lineRule="auto"/>
    </w:pPr>
    <w:rPr>
      <w:rFonts w:ascii="Times New Roman" w:eastAsiaTheme="minorEastAsia" w:hAnsi="Times New Roman" w:cs="Times New Roman"/>
      <w:sz w:val="24"/>
      <w:szCs w:val="24"/>
      <w:lang w:val="es-EC" w:eastAsia="es-EC"/>
    </w:rPr>
  </w:style>
  <w:style w:type="paragraph" w:styleId="ae">
    <w:name w:val="Revision"/>
    <w:hidden/>
    <w:uiPriority w:val="99"/>
    <w:semiHidden/>
    <w:rsid w:val="009E4324"/>
    <w:pPr>
      <w:spacing w:after="0" w:line="240" w:lineRule="auto"/>
    </w:pPr>
  </w:style>
  <w:style w:type="character" w:customStyle="1" w:styleId="UnresolvedMention1">
    <w:name w:val="Unresolved Mention1"/>
    <w:basedOn w:val="a0"/>
    <w:uiPriority w:val="99"/>
    <w:semiHidden/>
    <w:unhideWhenUsed/>
    <w:rsid w:val="002E6770"/>
    <w:rPr>
      <w:color w:val="605E5C"/>
      <w:shd w:val="clear" w:color="auto" w:fill="E1DFDD"/>
    </w:rPr>
  </w:style>
  <w:style w:type="paragraph" w:styleId="af">
    <w:name w:val="footnote text"/>
    <w:basedOn w:val="a"/>
    <w:link w:val="Char4"/>
    <w:uiPriority w:val="99"/>
    <w:semiHidden/>
    <w:unhideWhenUsed/>
    <w:rsid w:val="00157CD1"/>
    <w:pPr>
      <w:spacing w:after="0" w:line="240" w:lineRule="auto"/>
    </w:pPr>
    <w:rPr>
      <w:sz w:val="20"/>
      <w:szCs w:val="20"/>
    </w:rPr>
  </w:style>
  <w:style w:type="character" w:customStyle="1" w:styleId="Char4">
    <w:name w:val="脚注文本 Char"/>
    <w:basedOn w:val="a0"/>
    <w:link w:val="af"/>
    <w:uiPriority w:val="99"/>
    <w:semiHidden/>
    <w:rsid w:val="00157CD1"/>
    <w:rPr>
      <w:sz w:val="20"/>
      <w:szCs w:val="20"/>
    </w:rPr>
  </w:style>
  <w:style w:type="character" w:styleId="af0">
    <w:name w:val="footnote reference"/>
    <w:basedOn w:val="a0"/>
    <w:uiPriority w:val="99"/>
    <w:semiHidden/>
    <w:unhideWhenUsed/>
    <w:rsid w:val="00157CD1"/>
    <w:rPr>
      <w:vertAlign w:val="superscript"/>
    </w:rPr>
  </w:style>
  <w:style w:type="character" w:customStyle="1" w:styleId="4Char">
    <w:name w:val="标题 4 Char"/>
    <w:basedOn w:val="a0"/>
    <w:link w:val="4"/>
    <w:uiPriority w:val="9"/>
    <w:semiHidden/>
    <w:rsid w:val="0024084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5397">
      <w:bodyDiv w:val="1"/>
      <w:marLeft w:val="0"/>
      <w:marRight w:val="0"/>
      <w:marTop w:val="0"/>
      <w:marBottom w:val="0"/>
      <w:divBdr>
        <w:top w:val="none" w:sz="0" w:space="0" w:color="auto"/>
        <w:left w:val="none" w:sz="0" w:space="0" w:color="auto"/>
        <w:bottom w:val="none" w:sz="0" w:space="0" w:color="auto"/>
        <w:right w:val="none" w:sz="0" w:space="0" w:color="auto"/>
      </w:divBdr>
    </w:div>
    <w:div w:id="39669210">
      <w:bodyDiv w:val="1"/>
      <w:marLeft w:val="0"/>
      <w:marRight w:val="0"/>
      <w:marTop w:val="0"/>
      <w:marBottom w:val="0"/>
      <w:divBdr>
        <w:top w:val="none" w:sz="0" w:space="0" w:color="auto"/>
        <w:left w:val="none" w:sz="0" w:space="0" w:color="auto"/>
        <w:bottom w:val="none" w:sz="0" w:space="0" w:color="auto"/>
        <w:right w:val="none" w:sz="0" w:space="0" w:color="auto"/>
      </w:divBdr>
    </w:div>
    <w:div w:id="49571951">
      <w:bodyDiv w:val="1"/>
      <w:marLeft w:val="0"/>
      <w:marRight w:val="0"/>
      <w:marTop w:val="0"/>
      <w:marBottom w:val="0"/>
      <w:divBdr>
        <w:top w:val="none" w:sz="0" w:space="0" w:color="auto"/>
        <w:left w:val="none" w:sz="0" w:space="0" w:color="auto"/>
        <w:bottom w:val="none" w:sz="0" w:space="0" w:color="auto"/>
        <w:right w:val="none" w:sz="0" w:space="0" w:color="auto"/>
      </w:divBdr>
    </w:div>
    <w:div w:id="180633858">
      <w:bodyDiv w:val="1"/>
      <w:marLeft w:val="0"/>
      <w:marRight w:val="0"/>
      <w:marTop w:val="0"/>
      <w:marBottom w:val="0"/>
      <w:divBdr>
        <w:top w:val="none" w:sz="0" w:space="0" w:color="auto"/>
        <w:left w:val="none" w:sz="0" w:space="0" w:color="auto"/>
        <w:bottom w:val="none" w:sz="0" w:space="0" w:color="auto"/>
        <w:right w:val="none" w:sz="0" w:space="0" w:color="auto"/>
      </w:divBdr>
    </w:div>
    <w:div w:id="192311684">
      <w:bodyDiv w:val="1"/>
      <w:marLeft w:val="0"/>
      <w:marRight w:val="0"/>
      <w:marTop w:val="0"/>
      <w:marBottom w:val="0"/>
      <w:divBdr>
        <w:top w:val="none" w:sz="0" w:space="0" w:color="auto"/>
        <w:left w:val="none" w:sz="0" w:space="0" w:color="auto"/>
        <w:bottom w:val="none" w:sz="0" w:space="0" w:color="auto"/>
        <w:right w:val="none" w:sz="0" w:space="0" w:color="auto"/>
      </w:divBdr>
    </w:div>
    <w:div w:id="199708707">
      <w:bodyDiv w:val="1"/>
      <w:marLeft w:val="0"/>
      <w:marRight w:val="0"/>
      <w:marTop w:val="0"/>
      <w:marBottom w:val="0"/>
      <w:divBdr>
        <w:top w:val="none" w:sz="0" w:space="0" w:color="auto"/>
        <w:left w:val="none" w:sz="0" w:space="0" w:color="auto"/>
        <w:bottom w:val="none" w:sz="0" w:space="0" w:color="auto"/>
        <w:right w:val="none" w:sz="0" w:space="0" w:color="auto"/>
      </w:divBdr>
    </w:div>
    <w:div w:id="375400079">
      <w:bodyDiv w:val="1"/>
      <w:marLeft w:val="0"/>
      <w:marRight w:val="0"/>
      <w:marTop w:val="0"/>
      <w:marBottom w:val="0"/>
      <w:divBdr>
        <w:top w:val="none" w:sz="0" w:space="0" w:color="auto"/>
        <w:left w:val="none" w:sz="0" w:space="0" w:color="auto"/>
        <w:bottom w:val="none" w:sz="0" w:space="0" w:color="auto"/>
        <w:right w:val="none" w:sz="0" w:space="0" w:color="auto"/>
      </w:divBdr>
      <w:divsChild>
        <w:div w:id="571235692">
          <w:marLeft w:val="0"/>
          <w:marRight w:val="0"/>
          <w:marTop w:val="0"/>
          <w:marBottom w:val="0"/>
          <w:divBdr>
            <w:top w:val="none" w:sz="0" w:space="0" w:color="auto"/>
            <w:left w:val="none" w:sz="0" w:space="0" w:color="auto"/>
            <w:bottom w:val="none" w:sz="0" w:space="0" w:color="auto"/>
            <w:right w:val="none" w:sz="0" w:space="0" w:color="auto"/>
          </w:divBdr>
          <w:divsChild>
            <w:div w:id="203904427">
              <w:marLeft w:val="0"/>
              <w:marRight w:val="0"/>
              <w:marTop w:val="0"/>
              <w:marBottom w:val="0"/>
              <w:divBdr>
                <w:top w:val="none" w:sz="0" w:space="0" w:color="auto"/>
                <w:left w:val="none" w:sz="0" w:space="0" w:color="auto"/>
                <w:bottom w:val="none" w:sz="0" w:space="0" w:color="auto"/>
                <w:right w:val="none" w:sz="0" w:space="0" w:color="auto"/>
              </w:divBdr>
              <w:divsChild>
                <w:div w:id="114177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15435">
      <w:bodyDiv w:val="1"/>
      <w:marLeft w:val="0"/>
      <w:marRight w:val="0"/>
      <w:marTop w:val="0"/>
      <w:marBottom w:val="0"/>
      <w:divBdr>
        <w:top w:val="none" w:sz="0" w:space="0" w:color="auto"/>
        <w:left w:val="none" w:sz="0" w:space="0" w:color="auto"/>
        <w:bottom w:val="none" w:sz="0" w:space="0" w:color="auto"/>
        <w:right w:val="none" w:sz="0" w:space="0" w:color="auto"/>
      </w:divBdr>
    </w:div>
    <w:div w:id="432358616">
      <w:bodyDiv w:val="1"/>
      <w:marLeft w:val="0"/>
      <w:marRight w:val="0"/>
      <w:marTop w:val="0"/>
      <w:marBottom w:val="0"/>
      <w:divBdr>
        <w:top w:val="none" w:sz="0" w:space="0" w:color="auto"/>
        <w:left w:val="none" w:sz="0" w:space="0" w:color="auto"/>
        <w:bottom w:val="none" w:sz="0" w:space="0" w:color="auto"/>
        <w:right w:val="none" w:sz="0" w:space="0" w:color="auto"/>
      </w:divBdr>
    </w:div>
    <w:div w:id="511140213">
      <w:bodyDiv w:val="1"/>
      <w:marLeft w:val="0"/>
      <w:marRight w:val="0"/>
      <w:marTop w:val="0"/>
      <w:marBottom w:val="0"/>
      <w:divBdr>
        <w:top w:val="none" w:sz="0" w:space="0" w:color="auto"/>
        <w:left w:val="none" w:sz="0" w:space="0" w:color="auto"/>
        <w:bottom w:val="none" w:sz="0" w:space="0" w:color="auto"/>
        <w:right w:val="none" w:sz="0" w:space="0" w:color="auto"/>
      </w:divBdr>
    </w:div>
    <w:div w:id="531109168">
      <w:bodyDiv w:val="1"/>
      <w:marLeft w:val="0"/>
      <w:marRight w:val="0"/>
      <w:marTop w:val="0"/>
      <w:marBottom w:val="0"/>
      <w:divBdr>
        <w:top w:val="none" w:sz="0" w:space="0" w:color="auto"/>
        <w:left w:val="none" w:sz="0" w:space="0" w:color="auto"/>
        <w:bottom w:val="none" w:sz="0" w:space="0" w:color="auto"/>
        <w:right w:val="none" w:sz="0" w:space="0" w:color="auto"/>
      </w:divBdr>
    </w:div>
    <w:div w:id="569193986">
      <w:bodyDiv w:val="1"/>
      <w:marLeft w:val="0"/>
      <w:marRight w:val="0"/>
      <w:marTop w:val="0"/>
      <w:marBottom w:val="0"/>
      <w:divBdr>
        <w:top w:val="none" w:sz="0" w:space="0" w:color="auto"/>
        <w:left w:val="none" w:sz="0" w:space="0" w:color="auto"/>
        <w:bottom w:val="none" w:sz="0" w:space="0" w:color="auto"/>
        <w:right w:val="none" w:sz="0" w:space="0" w:color="auto"/>
      </w:divBdr>
    </w:div>
    <w:div w:id="595791614">
      <w:bodyDiv w:val="1"/>
      <w:marLeft w:val="0"/>
      <w:marRight w:val="0"/>
      <w:marTop w:val="0"/>
      <w:marBottom w:val="0"/>
      <w:divBdr>
        <w:top w:val="none" w:sz="0" w:space="0" w:color="auto"/>
        <w:left w:val="none" w:sz="0" w:space="0" w:color="auto"/>
        <w:bottom w:val="none" w:sz="0" w:space="0" w:color="auto"/>
        <w:right w:val="none" w:sz="0" w:space="0" w:color="auto"/>
      </w:divBdr>
    </w:div>
    <w:div w:id="597370758">
      <w:bodyDiv w:val="1"/>
      <w:marLeft w:val="0"/>
      <w:marRight w:val="0"/>
      <w:marTop w:val="0"/>
      <w:marBottom w:val="0"/>
      <w:divBdr>
        <w:top w:val="none" w:sz="0" w:space="0" w:color="auto"/>
        <w:left w:val="none" w:sz="0" w:space="0" w:color="auto"/>
        <w:bottom w:val="none" w:sz="0" w:space="0" w:color="auto"/>
        <w:right w:val="none" w:sz="0" w:space="0" w:color="auto"/>
      </w:divBdr>
    </w:div>
    <w:div w:id="737553128">
      <w:bodyDiv w:val="1"/>
      <w:marLeft w:val="0"/>
      <w:marRight w:val="0"/>
      <w:marTop w:val="0"/>
      <w:marBottom w:val="0"/>
      <w:divBdr>
        <w:top w:val="none" w:sz="0" w:space="0" w:color="auto"/>
        <w:left w:val="none" w:sz="0" w:space="0" w:color="auto"/>
        <w:bottom w:val="none" w:sz="0" w:space="0" w:color="auto"/>
        <w:right w:val="none" w:sz="0" w:space="0" w:color="auto"/>
      </w:divBdr>
    </w:div>
    <w:div w:id="757287021">
      <w:bodyDiv w:val="1"/>
      <w:marLeft w:val="0"/>
      <w:marRight w:val="0"/>
      <w:marTop w:val="0"/>
      <w:marBottom w:val="0"/>
      <w:divBdr>
        <w:top w:val="none" w:sz="0" w:space="0" w:color="auto"/>
        <w:left w:val="none" w:sz="0" w:space="0" w:color="auto"/>
        <w:bottom w:val="none" w:sz="0" w:space="0" w:color="auto"/>
        <w:right w:val="none" w:sz="0" w:space="0" w:color="auto"/>
      </w:divBdr>
    </w:div>
    <w:div w:id="813526376">
      <w:bodyDiv w:val="1"/>
      <w:marLeft w:val="0"/>
      <w:marRight w:val="0"/>
      <w:marTop w:val="0"/>
      <w:marBottom w:val="0"/>
      <w:divBdr>
        <w:top w:val="none" w:sz="0" w:space="0" w:color="auto"/>
        <w:left w:val="none" w:sz="0" w:space="0" w:color="auto"/>
        <w:bottom w:val="none" w:sz="0" w:space="0" w:color="auto"/>
        <w:right w:val="none" w:sz="0" w:space="0" w:color="auto"/>
      </w:divBdr>
    </w:div>
    <w:div w:id="901260320">
      <w:bodyDiv w:val="1"/>
      <w:marLeft w:val="0"/>
      <w:marRight w:val="0"/>
      <w:marTop w:val="0"/>
      <w:marBottom w:val="0"/>
      <w:divBdr>
        <w:top w:val="none" w:sz="0" w:space="0" w:color="auto"/>
        <w:left w:val="none" w:sz="0" w:space="0" w:color="auto"/>
        <w:bottom w:val="none" w:sz="0" w:space="0" w:color="auto"/>
        <w:right w:val="none" w:sz="0" w:space="0" w:color="auto"/>
      </w:divBdr>
    </w:div>
    <w:div w:id="996611649">
      <w:bodyDiv w:val="1"/>
      <w:marLeft w:val="0"/>
      <w:marRight w:val="0"/>
      <w:marTop w:val="0"/>
      <w:marBottom w:val="0"/>
      <w:divBdr>
        <w:top w:val="none" w:sz="0" w:space="0" w:color="auto"/>
        <w:left w:val="none" w:sz="0" w:space="0" w:color="auto"/>
        <w:bottom w:val="none" w:sz="0" w:space="0" w:color="auto"/>
        <w:right w:val="none" w:sz="0" w:space="0" w:color="auto"/>
      </w:divBdr>
    </w:div>
    <w:div w:id="1024138759">
      <w:bodyDiv w:val="1"/>
      <w:marLeft w:val="0"/>
      <w:marRight w:val="0"/>
      <w:marTop w:val="0"/>
      <w:marBottom w:val="0"/>
      <w:divBdr>
        <w:top w:val="none" w:sz="0" w:space="0" w:color="auto"/>
        <w:left w:val="none" w:sz="0" w:space="0" w:color="auto"/>
        <w:bottom w:val="none" w:sz="0" w:space="0" w:color="auto"/>
        <w:right w:val="none" w:sz="0" w:space="0" w:color="auto"/>
      </w:divBdr>
      <w:divsChild>
        <w:div w:id="1446652359">
          <w:marLeft w:val="0"/>
          <w:marRight w:val="0"/>
          <w:marTop w:val="0"/>
          <w:marBottom w:val="0"/>
          <w:divBdr>
            <w:top w:val="none" w:sz="0" w:space="0" w:color="auto"/>
            <w:left w:val="none" w:sz="0" w:space="0" w:color="auto"/>
            <w:bottom w:val="none" w:sz="0" w:space="0" w:color="auto"/>
            <w:right w:val="none" w:sz="0" w:space="0" w:color="auto"/>
          </w:divBdr>
          <w:divsChild>
            <w:div w:id="884368146">
              <w:marLeft w:val="0"/>
              <w:marRight w:val="0"/>
              <w:marTop w:val="0"/>
              <w:marBottom w:val="0"/>
              <w:divBdr>
                <w:top w:val="none" w:sz="0" w:space="0" w:color="auto"/>
                <w:left w:val="none" w:sz="0" w:space="0" w:color="auto"/>
                <w:bottom w:val="none" w:sz="0" w:space="0" w:color="auto"/>
                <w:right w:val="none" w:sz="0" w:space="0" w:color="auto"/>
              </w:divBdr>
              <w:divsChild>
                <w:div w:id="8587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660305">
      <w:bodyDiv w:val="1"/>
      <w:marLeft w:val="0"/>
      <w:marRight w:val="0"/>
      <w:marTop w:val="0"/>
      <w:marBottom w:val="0"/>
      <w:divBdr>
        <w:top w:val="none" w:sz="0" w:space="0" w:color="auto"/>
        <w:left w:val="none" w:sz="0" w:space="0" w:color="auto"/>
        <w:bottom w:val="none" w:sz="0" w:space="0" w:color="auto"/>
        <w:right w:val="none" w:sz="0" w:space="0" w:color="auto"/>
      </w:divBdr>
    </w:div>
    <w:div w:id="1199657329">
      <w:bodyDiv w:val="1"/>
      <w:marLeft w:val="0"/>
      <w:marRight w:val="0"/>
      <w:marTop w:val="0"/>
      <w:marBottom w:val="0"/>
      <w:divBdr>
        <w:top w:val="none" w:sz="0" w:space="0" w:color="auto"/>
        <w:left w:val="none" w:sz="0" w:space="0" w:color="auto"/>
        <w:bottom w:val="none" w:sz="0" w:space="0" w:color="auto"/>
        <w:right w:val="none" w:sz="0" w:space="0" w:color="auto"/>
      </w:divBdr>
    </w:div>
    <w:div w:id="1478184123">
      <w:bodyDiv w:val="1"/>
      <w:marLeft w:val="0"/>
      <w:marRight w:val="0"/>
      <w:marTop w:val="0"/>
      <w:marBottom w:val="0"/>
      <w:divBdr>
        <w:top w:val="none" w:sz="0" w:space="0" w:color="auto"/>
        <w:left w:val="none" w:sz="0" w:space="0" w:color="auto"/>
        <w:bottom w:val="none" w:sz="0" w:space="0" w:color="auto"/>
        <w:right w:val="none" w:sz="0" w:space="0" w:color="auto"/>
      </w:divBdr>
    </w:div>
    <w:div w:id="1482043251">
      <w:bodyDiv w:val="1"/>
      <w:marLeft w:val="0"/>
      <w:marRight w:val="0"/>
      <w:marTop w:val="0"/>
      <w:marBottom w:val="0"/>
      <w:divBdr>
        <w:top w:val="none" w:sz="0" w:space="0" w:color="auto"/>
        <w:left w:val="none" w:sz="0" w:space="0" w:color="auto"/>
        <w:bottom w:val="none" w:sz="0" w:space="0" w:color="auto"/>
        <w:right w:val="none" w:sz="0" w:space="0" w:color="auto"/>
      </w:divBdr>
    </w:div>
    <w:div w:id="1494177755">
      <w:bodyDiv w:val="1"/>
      <w:marLeft w:val="0"/>
      <w:marRight w:val="0"/>
      <w:marTop w:val="0"/>
      <w:marBottom w:val="0"/>
      <w:divBdr>
        <w:top w:val="none" w:sz="0" w:space="0" w:color="auto"/>
        <w:left w:val="none" w:sz="0" w:space="0" w:color="auto"/>
        <w:bottom w:val="none" w:sz="0" w:space="0" w:color="auto"/>
        <w:right w:val="none" w:sz="0" w:space="0" w:color="auto"/>
      </w:divBdr>
    </w:div>
    <w:div w:id="1508134619">
      <w:bodyDiv w:val="1"/>
      <w:marLeft w:val="0"/>
      <w:marRight w:val="0"/>
      <w:marTop w:val="0"/>
      <w:marBottom w:val="0"/>
      <w:divBdr>
        <w:top w:val="none" w:sz="0" w:space="0" w:color="auto"/>
        <w:left w:val="none" w:sz="0" w:space="0" w:color="auto"/>
        <w:bottom w:val="none" w:sz="0" w:space="0" w:color="auto"/>
        <w:right w:val="none" w:sz="0" w:space="0" w:color="auto"/>
      </w:divBdr>
    </w:div>
    <w:div w:id="1535463682">
      <w:bodyDiv w:val="1"/>
      <w:marLeft w:val="0"/>
      <w:marRight w:val="0"/>
      <w:marTop w:val="0"/>
      <w:marBottom w:val="0"/>
      <w:divBdr>
        <w:top w:val="none" w:sz="0" w:space="0" w:color="auto"/>
        <w:left w:val="none" w:sz="0" w:space="0" w:color="auto"/>
        <w:bottom w:val="none" w:sz="0" w:space="0" w:color="auto"/>
        <w:right w:val="none" w:sz="0" w:space="0" w:color="auto"/>
      </w:divBdr>
    </w:div>
    <w:div w:id="1570844260">
      <w:bodyDiv w:val="1"/>
      <w:marLeft w:val="0"/>
      <w:marRight w:val="0"/>
      <w:marTop w:val="0"/>
      <w:marBottom w:val="0"/>
      <w:divBdr>
        <w:top w:val="none" w:sz="0" w:space="0" w:color="auto"/>
        <w:left w:val="none" w:sz="0" w:space="0" w:color="auto"/>
        <w:bottom w:val="none" w:sz="0" w:space="0" w:color="auto"/>
        <w:right w:val="none" w:sz="0" w:space="0" w:color="auto"/>
      </w:divBdr>
    </w:div>
    <w:div w:id="1609661969">
      <w:bodyDiv w:val="1"/>
      <w:marLeft w:val="0"/>
      <w:marRight w:val="0"/>
      <w:marTop w:val="0"/>
      <w:marBottom w:val="0"/>
      <w:divBdr>
        <w:top w:val="none" w:sz="0" w:space="0" w:color="auto"/>
        <w:left w:val="none" w:sz="0" w:space="0" w:color="auto"/>
        <w:bottom w:val="none" w:sz="0" w:space="0" w:color="auto"/>
        <w:right w:val="none" w:sz="0" w:space="0" w:color="auto"/>
      </w:divBdr>
      <w:divsChild>
        <w:div w:id="1740715661">
          <w:marLeft w:val="0"/>
          <w:marRight w:val="0"/>
          <w:marTop w:val="0"/>
          <w:marBottom w:val="0"/>
          <w:divBdr>
            <w:top w:val="none" w:sz="0" w:space="0" w:color="auto"/>
            <w:left w:val="none" w:sz="0" w:space="0" w:color="auto"/>
            <w:bottom w:val="none" w:sz="0" w:space="0" w:color="auto"/>
            <w:right w:val="none" w:sz="0" w:space="0" w:color="auto"/>
          </w:divBdr>
          <w:divsChild>
            <w:div w:id="1094789382">
              <w:marLeft w:val="0"/>
              <w:marRight w:val="0"/>
              <w:marTop w:val="0"/>
              <w:marBottom w:val="0"/>
              <w:divBdr>
                <w:top w:val="none" w:sz="0" w:space="0" w:color="auto"/>
                <w:left w:val="none" w:sz="0" w:space="0" w:color="auto"/>
                <w:bottom w:val="none" w:sz="0" w:space="0" w:color="auto"/>
                <w:right w:val="none" w:sz="0" w:space="0" w:color="auto"/>
              </w:divBdr>
              <w:divsChild>
                <w:div w:id="2111049087">
                  <w:marLeft w:val="0"/>
                  <w:marRight w:val="0"/>
                  <w:marTop w:val="0"/>
                  <w:marBottom w:val="0"/>
                  <w:divBdr>
                    <w:top w:val="none" w:sz="0" w:space="0" w:color="auto"/>
                    <w:left w:val="none" w:sz="0" w:space="0" w:color="auto"/>
                    <w:bottom w:val="none" w:sz="0" w:space="0" w:color="auto"/>
                    <w:right w:val="none" w:sz="0" w:space="0" w:color="auto"/>
                  </w:divBdr>
                  <w:divsChild>
                    <w:div w:id="169682626">
                      <w:marLeft w:val="0"/>
                      <w:marRight w:val="0"/>
                      <w:marTop w:val="0"/>
                      <w:marBottom w:val="0"/>
                      <w:divBdr>
                        <w:top w:val="none" w:sz="0" w:space="0" w:color="auto"/>
                        <w:left w:val="none" w:sz="0" w:space="0" w:color="auto"/>
                        <w:bottom w:val="none" w:sz="0" w:space="0" w:color="auto"/>
                        <w:right w:val="none" w:sz="0" w:space="0" w:color="auto"/>
                      </w:divBdr>
                      <w:divsChild>
                        <w:div w:id="297690046">
                          <w:marLeft w:val="0"/>
                          <w:marRight w:val="0"/>
                          <w:marTop w:val="0"/>
                          <w:marBottom w:val="0"/>
                          <w:divBdr>
                            <w:top w:val="none" w:sz="0" w:space="0" w:color="auto"/>
                            <w:left w:val="none" w:sz="0" w:space="0" w:color="auto"/>
                            <w:bottom w:val="none" w:sz="0" w:space="0" w:color="auto"/>
                            <w:right w:val="none" w:sz="0" w:space="0" w:color="auto"/>
                          </w:divBdr>
                          <w:divsChild>
                            <w:div w:id="847594184">
                              <w:marLeft w:val="0"/>
                              <w:marRight w:val="0"/>
                              <w:marTop w:val="0"/>
                              <w:marBottom w:val="0"/>
                              <w:divBdr>
                                <w:top w:val="none" w:sz="0" w:space="0" w:color="auto"/>
                                <w:left w:val="none" w:sz="0" w:space="0" w:color="auto"/>
                                <w:bottom w:val="none" w:sz="0" w:space="0" w:color="auto"/>
                                <w:right w:val="none" w:sz="0" w:space="0" w:color="auto"/>
                              </w:divBdr>
                              <w:divsChild>
                                <w:div w:id="1329361312">
                                  <w:marLeft w:val="0"/>
                                  <w:marRight w:val="0"/>
                                  <w:marTop w:val="0"/>
                                  <w:marBottom w:val="0"/>
                                  <w:divBdr>
                                    <w:top w:val="none" w:sz="0" w:space="0" w:color="auto"/>
                                    <w:left w:val="none" w:sz="0" w:space="0" w:color="auto"/>
                                    <w:bottom w:val="none" w:sz="0" w:space="0" w:color="auto"/>
                                    <w:right w:val="none" w:sz="0" w:space="0" w:color="auto"/>
                                  </w:divBdr>
                                  <w:divsChild>
                                    <w:div w:id="1181892935">
                                      <w:marLeft w:val="0"/>
                                      <w:marRight w:val="0"/>
                                      <w:marTop w:val="0"/>
                                      <w:marBottom w:val="0"/>
                                      <w:divBdr>
                                        <w:top w:val="none" w:sz="0" w:space="0" w:color="auto"/>
                                        <w:left w:val="none" w:sz="0" w:space="0" w:color="auto"/>
                                        <w:bottom w:val="none" w:sz="0" w:space="0" w:color="auto"/>
                                        <w:right w:val="none" w:sz="0" w:space="0" w:color="auto"/>
                                      </w:divBdr>
                                      <w:divsChild>
                                        <w:div w:id="1957902051">
                                          <w:marLeft w:val="0"/>
                                          <w:marRight w:val="0"/>
                                          <w:marTop w:val="0"/>
                                          <w:marBottom w:val="0"/>
                                          <w:divBdr>
                                            <w:top w:val="none" w:sz="0" w:space="0" w:color="auto"/>
                                            <w:left w:val="none" w:sz="0" w:space="0" w:color="auto"/>
                                            <w:bottom w:val="none" w:sz="0" w:space="0" w:color="auto"/>
                                            <w:right w:val="none" w:sz="0" w:space="0" w:color="auto"/>
                                          </w:divBdr>
                                          <w:divsChild>
                                            <w:div w:id="951209442">
                                              <w:marLeft w:val="0"/>
                                              <w:marRight w:val="0"/>
                                              <w:marTop w:val="0"/>
                                              <w:marBottom w:val="0"/>
                                              <w:divBdr>
                                                <w:top w:val="none" w:sz="0" w:space="0" w:color="auto"/>
                                                <w:left w:val="none" w:sz="0" w:space="0" w:color="auto"/>
                                                <w:bottom w:val="none" w:sz="0" w:space="0" w:color="auto"/>
                                                <w:right w:val="none" w:sz="0" w:space="0" w:color="auto"/>
                                              </w:divBdr>
                                              <w:divsChild>
                                                <w:div w:id="1551459089">
                                                  <w:marLeft w:val="0"/>
                                                  <w:marRight w:val="0"/>
                                                  <w:marTop w:val="0"/>
                                                  <w:marBottom w:val="0"/>
                                                  <w:divBdr>
                                                    <w:top w:val="none" w:sz="0" w:space="0" w:color="auto"/>
                                                    <w:left w:val="none" w:sz="0" w:space="0" w:color="auto"/>
                                                    <w:bottom w:val="none" w:sz="0" w:space="0" w:color="auto"/>
                                                    <w:right w:val="none" w:sz="0" w:space="0" w:color="auto"/>
                                                  </w:divBdr>
                                                  <w:divsChild>
                                                    <w:div w:id="1559515951">
                                                      <w:marLeft w:val="0"/>
                                                      <w:marRight w:val="0"/>
                                                      <w:marTop w:val="0"/>
                                                      <w:marBottom w:val="0"/>
                                                      <w:divBdr>
                                                        <w:top w:val="none" w:sz="0" w:space="0" w:color="auto"/>
                                                        <w:left w:val="none" w:sz="0" w:space="0" w:color="auto"/>
                                                        <w:bottom w:val="none" w:sz="0" w:space="0" w:color="auto"/>
                                                        <w:right w:val="none" w:sz="0" w:space="0" w:color="auto"/>
                                                      </w:divBdr>
                                                      <w:divsChild>
                                                        <w:div w:id="1076395032">
                                                          <w:marLeft w:val="0"/>
                                                          <w:marRight w:val="0"/>
                                                          <w:marTop w:val="0"/>
                                                          <w:marBottom w:val="0"/>
                                                          <w:divBdr>
                                                            <w:top w:val="none" w:sz="0" w:space="0" w:color="auto"/>
                                                            <w:left w:val="none" w:sz="0" w:space="0" w:color="auto"/>
                                                            <w:bottom w:val="none" w:sz="0" w:space="0" w:color="auto"/>
                                                            <w:right w:val="none" w:sz="0" w:space="0" w:color="auto"/>
                                                          </w:divBdr>
                                                          <w:divsChild>
                                                            <w:div w:id="129564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9823417">
      <w:bodyDiv w:val="1"/>
      <w:marLeft w:val="0"/>
      <w:marRight w:val="0"/>
      <w:marTop w:val="0"/>
      <w:marBottom w:val="0"/>
      <w:divBdr>
        <w:top w:val="none" w:sz="0" w:space="0" w:color="auto"/>
        <w:left w:val="none" w:sz="0" w:space="0" w:color="auto"/>
        <w:bottom w:val="none" w:sz="0" w:space="0" w:color="auto"/>
        <w:right w:val="none" w:sz="0" w:space="0" w:color="auto"/>
      </w:divBdr>
    </w:div>
    <w:div w:id="1691101215">
      <w:bodyDiv w:val="1"/>
      <w:marLeft w:val="0"/>
      <w:marRight w:val="0"/>
      <w:marTop w:val="0"/>
      <w:marBottom w:val="0"/>
      <w:divBdr>
        <w:top w:val="none" w:sz="0" w:space="0" w:color="auto"/>
        <w:left w:val="none" w:sz="0" w:space="0" w:color="auto"/>
        <w:bottom w:val="none" w:sz="0" w:space="0" w:color="auto"/>
        <w:right w:val="none" w:sz="0" w:space="0" w:color="auto"/>
      </w:divBdr>
    </w:div>
    <w:div w:id="1905027249">
      <w:bodyDiv w:val="1"/>
      <w:marLeft w:val="0"/>
      <w:marRight w:val="0"/>
      <w:marTop w:val="0"/>
      <w:marBottom w:val="0"/>
      <w:divBdr>
        <w:top w:val="none" w:sz="0" w:space="0" w:color="auto"/>
        <w:left w:val="none" w:sz="0" w:space="0" w:color="auto"/>
        <w:bottom w:val="none" w:sz="0" w:space="0" w:color="auto"/>
        <w:right w:val="none" w:sz="0" w:space="0" w:color="auto"/>
      </w:divBdr>
    </w:div>
    <w:div w:id="1925646074">
      <w:bodyDiv w:val="1"/>
      <w:marLeft w:val="0"/>
      <w:marRight w:val="0"/>
      <w:marTop w:val="0"/>
      <w:marBottom w:val="0"/>
      <w:divBdr>
        <w:top w:val="none" w:sz="0" w:space="0" w:color="auto"/>
        <w:left w:val="none" w:sz="0" w:space="0" w:color="auto"/>
        <w:bottom w:val="none" w:sz="0" w:space="0" w:color="auto"/>
        <w:right w:val="none" w:sz="0" w:space="0" w:color="auto"/>
      </w:divBdr>
    </w:div>
    <w:div w:id="1949239399">
      <w:bodyDiv w:val="1"/>
      <w:marLeft w:val="0"/>
      <w:marRight w:val="0"/>
      <w:marTop w:val="0"/>
      <w:marBottom w:val="0"/>
      <w:divBdr>
        <w:top w:val="none" w:sz="0" w:space="0" w:color="auto"/>
        <w:left w:val="none" w:sz="0" w:space="0" w:color="auto"/>
        <w:bottom w:val="none" w:sz="0" w:space="0" w:color="auto"/>
        <w:right w:val="none" w:sz="0" w:space="0" w:color="auto"/>
      </w:divBdr>
    </w:div>
    <w:div w:id="1987734678">
      <w:bodyDiv w:val="1"/>
      <w:marLeft w:val="0"/>
      <w:marRight w:val="0"/>
      <w:marTop w:val="0"/>
      <w:marBottom w:val="0"/>
      <w:divBdr>
        <w:top w:val="none" w:sz="0" w:space="0" w:color="auto"/>
        <w:left w:val="none" w:sz="0" w:space="0" w:color="auto"/>
        <w:bottom w:val="none" w:sz="0" w:space="0" w:color="auto"/>
        <w:right w:val="none" w:sz="0" w:space="0" w:color="auto"/>
      </w:divBdr>
    </w:div>
    <w:div w:id="2095544025">
      <w:bodyDiv w:val="1"/>
      <w:marLeft w:val="0"/>
      <w:marRight w:val="0"/>
      <w:marTop w:val="0"/>
      <w:marBottom w:val="0"/>
      <w:divBdr>
        <w:top w:val="none" w:sz="0" w:space="0" w:color="auto"/>
        <w:left w:val="none" w:sz="0" w:space="0" w:color="auto"/>
        <w:bottom w:val="none" w:sz="0" w:space="0" w:color="auto"/>
        <w:right w:val="none" w:sz="0" w:space="0" w:color="auto"/>
      </w:divBdr>
    </w:div>
    <w:div w:id="2102212510">
      <w:bodyDiv w:val="1"/>
      <w:marLeft w:val="0"/>
      <w:marRight w:val="0"/>
      <w:marTop w:val="0"/>
      <w:marBottom w:val="0"/>
      <w:divBdr>
        <w:top w:val="none" w:sz="0" w:space="0" w:color="auto"/>
        <w:left w:val="none" w:sz="0" w:space="0" w:color="auto"/>
        <w:bottom w:val="none" w:sz="0" w:space="0" w:color="auto"/>
        <w:right w:val="none" w:sz="0" w:space="0" w:color="auto"/>
      </w:divBdr>
    </w:div>
    <w:div w:id="212133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raining.cochrane.org/handbook" TargetMode="External"/><Relationship Id="rId14"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00782-09E6-4179-A305-202ED2DC5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35</Pages>
  <Words>7722</Words>
  <Characters>44017</Characters>
  <Application>Microsoft Office Word</Application>
  <DocSecurity>0</DocSecurity>
  <Lines>366</Lines>
  <Paragraphs>103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ide</dc:creator>
  <cp:keywords/>
  <dc:description/>
  <cp:lastModifiedBy>China</cp:lastModifiedBy>
  <cp:revision>7</cp:revision>
  <dcterms:created xsi:type="dcterms:W3CDTF">2020-07-18T22:21:00Z</dcterms:created>
  <dcterms:modified xsi:type="dcterms:W3CDTF">2020-08-12T15:30:00Z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http://www.zotero.org/styles/chicago-note-bibliography</vt:lpwstr>
  </property>
  <property fmtid="{D5CDD505-2E9C-101B-9397-08002B2CF9AE}" pid="5" name="Mendeley Recent Style Name 1_1">
    <vt:lpwstr>Chicago Manual of Style 17th edition (note)</vt:lpwstr>
  </property>
  <property fmtid="{D5CDD505-2E9C-101B-9397-08002B2CF9AE}" pid="6" name="Mendeley Recent Style Id 2_1">
    <vt:lpwstr>http://www.zotero.org/styles/endoscopy</vt:lpwstr>
  </property>
  <property fmtid="{D5CDD505-2E9C-101B-9397-08002B2CF9AE}" pid="7" name="Mendeley Recent Style Name 2_1">
    <vt:lpwstr>Endoscopy</vt:lpwstr>
  </property>
  <property fmtid="{D5CDD505-2E9C-101B-9397-08002B2CF9AE}" pid="8" name="Mendeley Recent Style Id 3_1">
    <vt:lpwstr>http://www.zotero.org/styles/endoscopy-international-open</vt:lpwstr>
  </property>
  <property fmtid="{D5CDD505-2E9C-101B-9397-08002B2CF9AE}" pid="9" name="Mendeley Recent Style Name 3_1">
    <vt:lpwstr>Endoscopy International Open</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http://www.zotero.org/styles/travel-medicine-and-infectious-disease</vt:lpwstr>
  </property>
  <property fmtid="{D5CDD505-2E9C-101B-9397-08002B2CF9AE}" pid="15" name="Mendeley Recent Style Name 6_1">
    <vt:lpwstr>Travel Medicine and Infectious Disease</vt:lpwstr>
  </property>
  <property fmtid="{D5CDD505-2E9C-101B-9397-08002B2CF9AE}" pid="16" name="Mendeley Recent Style Id 7_1">
    <vt:lpwstr>http://www.zotero.org/styles/vancouver</vt:lpwstr>
  </property>
  <property fmtid="{D5CDD505-2E9C-101B-9397-08002B2CF9AE}" pid="17" name="Mendeley Recent Style Name 7_1">
    <vt:lpwstr>Vancouver</vt:lpwstr>
  </property>
  <property fmtid="{D5CDD505-2E9C-101B-9397-08002B2CF9AE}" pid="18" name="Mendeley Recent Style Id 8_1">
    <vt:lpwstr>http://csl.mendeley.com/styles/491730191/vancouver-superscript</vt:lpwstr>
  </property>
  <property fmtid="{D5CDD505-2E9C-101B-9397-08002B2CF9AE}" pid="19" name="Mendeley Recent Style Name 8_1">
    <vt:lpwstr>Vancouver (superscript) - Igor Ribeiro</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Unique User Id_1">
    <vt:lpwstr>8939e676-c892-3e2d-9991-ddd80c921c92</vt:lpwstr>
  </property>
  <property fmtid="{D5CDD505-2E9C-101B-9397-08002B2CF9AE}" pid="24" name="Mendeley Citation Style_1">
    <vt:lpwstr>http://www.zotero.org/styles/world-journal-of-gastroenterology</vt:lpwstr>
  </property>
</Properties>
</file>