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2F34" w14:textId="77777777"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Name of Journal:</w:t>
      </w:r>
      <w:bookmarkStart w:id="0" w:name="OLE_LINK3"/>
      <w:r w:rsidRPr="00251400">
        <w:rPr>
          <w:rFonts w:ascii="Book Antiqua" w:hAnsi="Book Antiqua"/>
          <w:b/>
          <w:sz w:val="24"/>
          <w:szCs w:val="24"/>
          <w:lang w:val="en-US"/>
        </w:rPr>
        <w:t xml:space="preserve"> </w:t>
      </w:r>
      <w:r w:rsidRPr="00251400">
        <w:rPr>
          <w:rFonts w:ascii="Book Antiqua" w:hAnsi="Book Antiqua"/>
          <w:i/>
          <w:sz w:val="24"/>
          <w:szCs w:val="24"/>
          <w:lang w:val="en-US" w:eastAsia="en-US"/>
        </w:rPr>
        <w:t>World Journal of Gastroenterology</w:t>
      </w:r>
    </w:p>
    <w:bookmarkEnd w:id="0"/>
    <w:p w14:paraId="7174CE35" w14:textId="77777777"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 xml:space="preserve">Manuscript NO: </w:t>
      </w:r>
      <w:r w:rsidRPr="00251400">
        <w:rPr>
          <w:rFonts w:ascii="Book Antiqua" w:hAnsi="Book Antiqua"/>
          <w:sz w:val="24"/>
          <w:szCs w:val="24"/>
          <w:lang w:val="en-US"/>
        </w:rPr>
        <w:t>55739</w:t>
      </w:r>
    </w:p>
    <w:p w14:paraId="2917ABCF" w14:textId="77777777"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 xml:space="preserve">Manuscript Type: </w:t>
      </w:r>
      <w:r w:rsidRPr="00251400">
        <w:rPr>
          <w:rFonts w:ascii="Book Antiqua" w:hAnsi="Book Antiqua"/>
          <w:sz w:val="24"/>
          <w:szCs w:val="24"/>
          <w:lang w:val="en-US" w:eastAsia="en-US"/>
        </w:rPr>
        <w:t>REVIEW</w:t>
      </w:r>
    </w:p>
    <w:p w14:paraId="0C26F50D" w14:textId="77777777" w:rsidR="00883298" w:rsidRPr="00251400" w:rsidRDefault="00883298" w:rsidP="00B0664E">
      <w:pPr>
        <w:adjustRightInd w:val="0"/>
        <w:snapToGrid w:val="0"/>
        <w:spacing w:line="360" w:lineRule="auto"/>
        <w:jc w:val="both"/>
        <w:rPr>
          <w:rFonts w:ascii="Book Antiqua" w:hAnsi="Book Antiqua"/>
          <w:b/>
          <w:sz w:val="24"/>
          <w:szCs w:val="24"/>
          <w:lang w:val="en-US"/>
        </w:rPr>
      </w:pPr>
    </w:p>
    <w:p w14:paraId="4D93A6D3" w14:textId="119E8171"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 xml:space="preserve">Impact of mobile health and medical applications on clinical practice in gastroenterology </w:t>
      </w:r>
    </w:p>
    <w:p w14:paraId="08D879D6" w14:textId="77777777" w:rsidR="00DC48FC" w:rsidRPr="00251400" w:rsidRDefault="00DC48FC" w:rsidP="00B0664E">
      <w:pPr>
        <w:adjustRightInd w:val="0"/>
        <w:snapToGrid w:val="0"/>
        <w:spacing w:line="360" w:lineRule="auto"/>
        <w:jc w:val="both"/>
        <w:rPr>
          <w:rFonts w:ascii="Book Antiqua" w:hAnsi="Book Antiqua"/>
          <w:b/>
          <w:sz w:val="24"/>
          <w:szCs w:val="24"/>
          <w:lang w:val="en-US"/>
        </w:rPr>
      </w:pPr>
    </w:p>
    <w:p w14:paraId="3473C1D9" w14:textId="47C6F048" w:rsidR="00883298" w:rsidRPr="00251400" w:rsidRDefault="00DC48FC" w:rsidP="00B0664E">
      <w:pPr>
        <w:adjustRightInd w:val="0"/>
        <w:snapToGrid w:val="0"/>
        <w:spacing w:line="360" w:lineRule="auto"/>
        <w:jc w:val="both"/>
        <w:rPr>
          <w:rFonts w:ascii="Book Antiqua" w:hAnsi="Book Antiqua"/>
          <w:sz w:val="24"/>
          <w:szCs w:val="24"/>
          <w:lang w:val="en-US"/>
        </w:rPr>
      </w:pPr>
      <w:r w:rsidRPr="00251400">
        <w:rPr>
          <w:rFonts w:ascii="Book Antiqua" w:hAnsi="Book Antiqua"/>
          <w:noProof/>
          <w:sz w:val="24"/>
          <w:szCs w:val="24"/>
          <w:lang w:val="en-US"/>
        </w:rPr>
        <w:t>Kernebeck</w:t>
      </w:r>
      <w:r w:rsidRPr="00251400">
        <w:rPr>
          <w:rFonts w:ascii="Book Antiqua" w:hAnsi="Book Antiqua"/>
          <w:sz w:val="24"/>
          <w:szCs w:val="24"/>
          <w:lang w:val="en-US"/>
        </w:rPr>
        <w:t xml:space="preserve"> S </w:t>
      </w:r>
      <w:r w:rsidRPr="00251400">
        <w:rPr>
          <w:rFonts w:ascii="Book Antiqua" w:hAnsi="Book Antiqua"/>
          <w:i/>
          <w:iCs/>
          <w:sz w:val="24"/>
          <w:szCs w:val="24"/>
          <w:lang w:val="en-US"/>
        </w:rPr>
        <w:t xml:space="preserve">et </w:t>
      </w:r>
      <w:r w:rsidRPr="00251400">
        <w:rPr>
          <w:rFonts w:ascii="宋体" w:eastAsia="宋体" w:hAnsi="宋体" w:hint="eastAsia"/>
          <w:i/>
          <w:iCs/>
          <w:sz w:val="24"/>
          <w:szCs w:val="24"/>
          <w:lang w:val="en-US" w:eastAsia="zh-CN"/>
        </w:rPr>
        <w:t>a</w:t>
      </w:r>
      <w:r w:rsidRPr="00251400">
        <w:rPr>
          <w:rFonts w:ascii="Book Antiqua" w:hAnsi="Book Antiqua"/>
          <w:i/>
          <w:iCs/>
          <w:sz w:val="24"/>
          <w:szCs w:val="24"/>
          <w:lang w:val="en-US"/>
        </w:rPr>
        <w:t>l</w:t>
      </w:r>
      <w:r w:rsidRPr="00251400">
        <w:rPr>
          <w:rFonts w:ascii="Book Antiqua" w:hAnsi="Book Antiqua"/>
          <w:sz w:val="24"/>
          <w:szCs w:val="24"/>
          <w:lang w:val="en-US"/>
        </w:rPr>
        <w:t xml:space="preserve">. </w:t>
      </w:r>
      <w:r w:rsidR="00883298" w:rsidRPr="00251400">
        <w:rPr>
          <w:rFonts w:ascii="Book Antiqua" w:hAnsi="Book Antiqua"/>
          <w:sz w:val="24"/>
          <w:szCs w:val="24"/>
          <w:lang w:val="en-US"/>
        </w:rPr>
        <w:t>mHealth in clinical practice in gastroenterology</w:t>
      </w:r>
    </w:p>
    <w:p w14:paraId="57E06976" w14:textId="77777777" w:rsidR="00883298" w:rsidRPr="00251400" w:rsidRDefault="00883298" w:rsidP="00B0664E">
      <w:pPr>
        <w:adjustRightInd w:val="0"/>
        <w:snapToGrid w:val="0"/>
        <w:spacing w:line="360" w:lineRule="auto"/>
        <w:jc w:val="both"/>
        <w:rPr>
          <w:rFonts w:ascii="Book Antiqua" w:hAnsi="Book Antiqua"/>
          <w:sz w:val="24"/>
          <w:szCs w:val="24"/>
          <w:lang w:val="en-US"/>
        </w:rPr>
      </w:pPr>
    </w:p>
    <w:p w14:paraId="573AC695" w14:textId="4A5383F5" w:rsidR="00883298" w:rsidRPr="00251400" w:rsidRDefault="00883298" w:rsidP="00B0664E">
      <w:pPr>
        <w:adjustRightInd w:val="0"/>
        <w:snapToGrid w:val="0"/>
        <w:spacing w:line="360" w:lineRule="auto"/>
        <w:jc w:val="both"/>
        <w:rPr>
          <w:rFonts w:ascii="Book Antiqua" w:hAnsi="Book Antiqua"/>
          <w:noProof/>
          <w:sz w:val="24"/>
          <w:szCs w:val="24"/>
          <w:vertAlign w:val="superscript"/>
          <w:lang w:val="en-US"/>
        </w:rPr>
      </w:pPr>
      <w:r w:rsidRPr="00251400">
        <w:rPr>
          <w:rFonts w:ascii="Book Antiqua" w:hAnsi="Book Antiqua"/>
          <w:noProof/>
          <w:sz w:val="24"/>
          <w:szCs w:val="24"/>
          <w:lang w:val="en-US"/>
        </w:rPr>
        <w:t>Sven Kernebeck, Theresa S Busse, Maximilian D Böttcher, Jürgen Weitz, Jan Ehler</w:t>
      </w:r>
      <w:r w:rsidR="00DC48FC" w:rsidRPr="00251400">
        <w:rPr>
          <w:rFonts w:ascii="Book Antiqua" w:hAnsi="Book Antiqua"/>
          <w:noProof/>
          <w:sz w:val="24"/>
          <w:szCs w:val="24"/>
          <w:lang w:val="en-US"/>
        </w:rPr>
        <w:t>s,</w:t>
      </w:r>
      <w:r w:rsidRPr="00251400">
        <w:rPr>
          <w:rFonts w:ascii="Book Antiqua" w:hAnsi="Book Antiqua"/>
          <w:noProof/>
          <w:sz w:val="24"/>
          <w:szCs w:val="24"/>
          <w:lang w:val="en-US"/>
        </w:rPr>
        <w:t xml:space="preserve"> Ulrich Bork</w:t>
      </w:r>
    </w:p>
    <w:p w14:paraId="2A1306FC" w14:textId="77777777" w:rsidR="00DC48FC" w:rsidRPr="00251400" w:rsidRDefault="00DC48FC" w:rsidP="00B0664E">
      <w:pPr>
        <w:adjustRightInd w:val="0"/>
        <w:snapToGrid w:val="0"/>
        <w:spacing w:line="360" w:lineRule="auto"/>
        <w:jc w:val="both"/>
        <w:rPr>
          <w:rFonts w:ascii="Book Antiqua" w:hAnsi="Book Antiqua"/>
          <w:noProof/>
          <w:sz w:val="24"/>
          <w:szCs w:val="24"/>
          <w:lang w:val="en-US"/>
        </w:rPr>
      </w:pPr>
    </w:p>
    <w:p w14:paraId="04E11F7E" w14:textId="3C2C6540" w:rsidR="00883298" w:rsidRPr="00251400" w:rsidRDefault="00DC48FC" w:rsidP="00B0664E">
      <w:pPr>
        <w:adjustRightInd w:val="0"/>
        <w:snapToGrid w:val="0"/>
        <w:spacing w:line="360" w:lineRule="auto"/>
        <w:jc w:val="both"/>
        <w:rPr>
          <w:rFonts w:ascii="Book Antiqua" w:hAnsi="Book Antiqua"/>
          <w:noProof/>
          <w:sz w:val="24"/>
          <w:szCs w:val="24"/>
          <w:lang w:val="en-US"/>
        </w:rPr>
      </w:pPr>
      <w:r w:rsidRPr="00251400">
        <w:rPr>
          <w:rFonts w:ascii="Book Antiqua" w:hAnsi="Book Antiqua"/>
          <w:b/>
          <w:bCs/>
          <w:noProof/>
          <w:sz w:val="24"/>
          <w:szCs w:val="24"/>
          <w:lang w:val="en-US"/>
        </w:rPr>
        <w:t>Maximilian D Böttcher, Jürgen Weitz, Ulrich Bork</w:t>
      </w:r>
      <w:r w:rsidR="0004716D" w:rsidRPr="00251400">
        <w:rPr>
          <w:rFonts w:ascii="Book Antiqua" w:hAnsi="Book Antiqua"/>
          <w:noProof/>
          <w:sz w:val="24"/>
          <w:szCs w:val="24"/>
          <w:lang w:val="en-US"/>
        </w:rPr>
        <w:t>,</w:t>
      </w:r>
      <w:r w:rsidRPr="00251400">
        <w:rPr>
          <w:rFonts w:ascii="Book Antiqua" w:hAnsi="Book Antiqua"/>
          <w:noProof/>
          <w:sz w:val="24"/>
          <w:szCs w:val="24"/>
          <w:lang w:val="en-US"/>
        </w:rPr>
        <w:t xml:space="preserve"> </w:t>
      </w:r>
      <w:r w:rsidR="00883298" w:rsidRPr="00251400">
        <w:rPr>
          <w:rFonts w:ascii="Book Antiqua" w:hAnsi="Book Antiqua"/>
          <w:noProof/>
          <w:sz w:val="24"/>
          <w:szCs w:val="24"/>
          <w:lang w:val="en-US"/>
        </w:rPr>
        <w:t>Department of GI-, Thoracic- and Vascular Surgery, Dresden Technical University, University Hospital Dresden, Dresden</w:t>
      </w:r>
      <w:r w:rsidR="0004716D" w:rsidRPr="00251400">
        <w:rPr>
          <w:rFonts w:ascii="Book Antiqua" w:hAnsi="Book Antiqua"/>
          <w:noProof/>
          <w:sz w:val="24"/>
          <w:szCs w:val="24"/>
          <w:lang w:val="en-US"/>
        </w:rPr>
        <w:t xml:space="preserve"> 01307</w:t>
      </w:r>
      <w:r w:rsidR="00883298" w:rsidRPr="00251400">
        <w:rPr>
          <w:rFonts w:ascii="Book Antiqua" w:hAnsi="Book Antiqua"/>
          <w:noProof/>
          <w:sz w:val="24"/>
          <w:szCs w:val="24"/>
          <w:lang w:val="en-US"/>
        </w:rPr>
        <w:t>, Germany</w:t>
      </w:r>
    </w:p>
    <w:p w14:paraId="046C05A7" w14:textId="77777777" w:rsidR="0004716D" w:rsidRPr="00251400" w:rsidRDefault="0004716D" w:rsidP="00B0664E">
      <w:pPr>
        <w:adjustRightInd w:val="0"/>
        <w:snapToGrid w:val="0"/>
        <w:spacing w:line="360" w:lineRule="auto"/>
        <w:jc w:val="both"/>
        <w:rPr>
          <w:rFonts w:ascii="Book Antiqua" w:hAnsi="Book Antiqua"/>
          <w:noProof/>
          <w:sz w:val="24"/>
          <w:szCs w:val="24"/>
          <w:lang w:val="en-US"/>
        </w:rPr>
      </w:pPr>
    </w:p>
    <w:p w14:paraId="4B81E4B0" w14:textId="3D9EF6EF" w:rsidR="00883298" w:rsidRPr="00251400" w:rsidRDefault="00DC48FC" w:rsidP="00B0664E">
      <w:pPr>
        <w:adjustRightInd w:val="0"/>
        <w:snapToGrid w:val="0"/>
        <w:spacing w:line="360" w:lineRule="auto"/>
        <w:jc w:val="both"/>
        <w:rPr>
          <w:rFonts w:ascii="Book Antiqua" w:hAnsi="Book Antiqua"/>
          <w:noProof/>
          <w:sz w:val="24"/>
          <w:szCs w:val="24"/>
          <w:lang w:val="en-US"/>
        </w:rPr>
      </w:pPr>
      <w:r w:rsidRPr="00251400">
        <w:rPr>
          <w:rFonts w:ascii="Book Antiqua" w:hAnsi="Book Antiqua"/>
          <w:b/>
          <w:bCs/>
          <w:noProof/>
          <w:sz w:val="24"/>
          <w:szCs w:val="24"/>
          <w:lang w:val="en-US"/>
        </w:rPr>
        <w:t>Sven Kernebeck, Theresa S Busse, Jan Ehlers</w:t>
      </w:r>
      <w:r w:rsidR="0004716D" w:rsidRPr="00251400">
        <w:rPr>
          <w:rFonts w:ascii="Book Antiqua" w:hAnsi="Book Antiqua"/>
          <w:b/>
          <w:bCs/>
          <w:noProof/>
          <w:sz w:val="24"/>
          <w:szCs w:val="24"/>
          <w:lang w:val="en-US"/>
        </w:rPr>
        <w:t>,</w:t>
      </w:r>
      <w:r w:rsidRPr="00251400">
        <w:rPr>
          <w:rFonts w:ascii="Book Antiqua" w:hAnsi="Book Antiqua"/>
          <w:noProof/>
          <w:sz w:val="24"/>
          <w:szCs w:val="24"/>
          <w:lang w:val="en-US"/>
        </w:rPr>
        <w:t xml:space="preserve"> </w:t>
      </w:r>
      <w:r w:rsidR="00883298" w:rsidRPr="00251400">
        <w:rPr>
          <w:rFonts w:ascii="Book Antiqua" w:hAnsi="Book Antiqua"/>
          <w:noProof/>
          <w:sz w:val="24"/>
          <w:szCs w:val="24"/>
          <w:lang w:val="en-US"/>
        </w:rPr>
        <w:t>Didactics and Educational Research in Health Science, Faculty of Health, Witten/Herdecke University, Witten</w:t>
      </w:r>
      <w:r w:rsidR="0004716D" w:rsidRPr="00251400">
        <w:rPr>
          <w:rFonts w:ascii="Book Antiqua" w:hAnsi="Book Antiqua"/>
          <w:noProof/>
          <w:sz w:val="24"/>
          <w:szCs w:val="24"/>
          <w:lang w:val="en-US"/>
        </w:rPr>
        <w:t xml:space="preserve"> 58455</w:t>
      </w:r>
      <w:r w:rsidR="00883298" w:rsidRPr="00251400">
        <w:rPr>
          <w:rFonts w:ascii="Book Antiqua" w:hAnsi="Book Antiqua"/>
          <w:noProof/>
          <w:sz w:val="24"/>
          <w:szCs w:val="24"/>
          <w:lang w:val="en-US"/>
        </w:rPr>
        <w:t>, Germany</w:t>
      </w:r>
    </w:p>
    <w:p w14:paraId="0400C655" w14:textId="77777777" w:rsidR="0004716D" w:rsidRPr="00251400" w:rsidRDefault="0004716D" w:rsidP="00B0664E">
      <w:pPr>
        <w:adjustRightInd w:val="0"/>
        <w:snapToGrid w:val="0"/>
        <w:spacing w:line="360" w:lineRule="auto"/>
        <w:jc w:val="both"/>
        <w:rPr>
          <w:rFonts w:ascii="Book Antiqua" w:hAnsi="Book Antiqua"/>
          <w:noProof/>
          <w:sz w:val="24"/>
          <w:szCs w:val="24"/>
          <w:lang w:val="en-US"/>
        </w:rPr>
      </w:pPr>
    </w:p>
    <w:p w14:paraId="203182D9" w14:textId="301BBFE6" w:rsidR="00883298"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
          <w:sz w:val="24"/>
          <w:szCs w:val="24"/>
          <w:lang w:val="en-US"/>
        </w:rPr>
        <w:t>Author contributions:</w:t>
      </w:r>
      <w:r w:rsidR="0004716D" w:rsidRPr="00251400">
        <w:rPr>
          <w:rFonts w:ascii="Book Antiqua" w:eastAsia="宋体" w:hAnsi="Book Antiqua" w:hint="eastAsia"/>
          <w:b/>
          <w:sz w:val="24"/>
          <w:szCs w:val="24"/>
          <w:lang w:val="en-US" w:eastAsia="zh-CN"/>
        </w:rPr>
        <w:t xml:space="preserve"> </w:t>
      </w:r>
      <w:r w:rsidRPr="00251400">
        <w:rPr>
          <w:rFonts w:ascii="Book Antiqua" w:hAnsi="Book Antiqua"/>
          <w:bCs/>
          <w:sz w:val="24"/>
          <w:szCs w:val="24"/>
          <w:lang w:val="en-US"/>
        </w:rPr>
        <w:t xml:space="preserve">Kernebeck S and </w:t>
      </w:r>
      <w:r w:rsidRPr="00251400">
        <w:rPr>
          <w:rFonts w:ascii="Book Antiqua" w:hAnsi="Book Antiqua"/>
          <w:bCs/>
          <w:noProof/>
          <w:sz w:val="24"/>
          <w:szCs w:val="24"/>
          <w:lang w:val="en-US"/>
        </w:rPr>
        <w:t>Bork</w:t>
      </w:r>
      <w:r w:rsidRPr="00251400">
        <w:rPr>
          <w:rFonts w:ascii="Book Antiqua" w:hAnsi="Book Antiqua"/>
          <w:bCs/>
          <w:sz w:val="24"/>
          <w:szCs w:val="24"/>
          <w:lang w:val="en-US"/>
        </w:rPr>
        <w:t xml:space="preserve"> U did the conception and the design of the manuscript</w:t>
      </w:r>
      <w:r w:rsidR="0004716D" w:rsidRPr="00251400">
        <w:rPr>
          <w:rFonts w:ascii="Book Antiqua" w:hAnsi="Book Antiqua"/>
          <w:bCs/>
          <w:sz w:val="24"/>
          <w:szCs w:val="24"/>
          <w:lang w:val="en-US"/>
        </w:rPr>
        <w:t>;</w:t>
      </w:r>
      <w:r w:rsidRPr="00251400">
        <w:rPr>
          <w:rFonts w:ascii="Book Antiqua" w:hAnsi="Book Antiqua"/>
          <w:bCs/>
          <w:sz w:val="24"/>
          <w:szCs w:val="24"/>
          <w:lang w:val="en-US"/>
        </w:rPr>
        <w:t xml:space="preserve"> Kernebeck S wrote the original draft; Busse T</w:t>
      </w:r>
      <w:r w:rsidR="00215273" w:rsidRPr="00251400">
        <w:rPr>
          <w:rFonts w:ascii="Book Antiqua" w:hAnsi="Book Antiqua"/>
          <w:bCs/>
          <w:sz w:val="24"/>
          <w:szCs w:val="24"/>
          <w:lang w:val="en-US"/>
        </w:rPr>
        <w:t>S</w:t>
      </w:r>
      <w:r w:rsidRPr="00251400">
        <w:rPr>
          <w:rFonts w:ascii="Book Antiqua" w:hAnsi="Book Antiqua"/>
          <w:bCs/>
          <w:sz w:val="24"/>
          <w:szCs w:val="24"/>
          <w:lang w:val="en-US"/>
        </w:rPr>
        <w:t xml:space="preserve"> was involved in the writing review and editing of the manuscript; Kernebeck S</w:t>
      </w:r>
      <w:r w:rsidRPr="00251400">
        <w:rPr>
          <w:rFonts w:ascii="Book Antiqua" w:hAnsi="Book Antiqua"/>
          <w:bCs/>
          <w:noProof/>
          <w:sz w:val="24"/>
          <w:szCs w:val="24"/>
          <w:lang w:val="en-US"/>
        </w:rPr>
        <w:t xml:space="preserve">, </w:t>
      </w:r>
      <w:r w:rsidRPr="00251400">
        <w:rPr>
          <w:rFonts w:ascii="Book Antiqua" w:hAnsi="Book Antiqua"/>
          <w:bCs/>
          <w:sz w:val="24"/>
          <w:szCs w:val="24"/>
          <w:lang w:val="en-US"/>
        </w:rPr>
        <w:t>Busse T</w:t>
      </w:r>
      <w:r w:rsidR="00215273" w:rsidRPr="00251400">
        <w:rPr>
          <w:rFonts w:ascii="Book Antiqua" w:hAnsi="Book Antiqua"/>
          <w:bCs/>
          <w:sz w:val="24"/>
          <w:szCs w:val="24"/>
          <w:lang w:val="en-US"/>
        </w:rPr>
        <w:t>S</w:t>
      </w:r>
      <w:r w:rsidRPr="00251400">
        <w:rPr>
          <w:rFonts w:ascii="Book Antiqua" w:hAnsi="Book Antiqua"/>
          <w:bCs/>
          <w:sz w:val="24"/>
          <w:szCs w:val="24"/>
          <w:lang w:val="en-US"/>
        </w:rPr>
        <w:t xml:space="preserve">, </w:t>
      </w:r>
      <w:r w:rsidRPr="00251400">
        <w:rPr>
          <w:rFonts w:ascii="Book Antiqua" w:hAnsi="Book Antiqua"/>
          <w:bCs/>
          <w:noProof/>
          <w:sz w:val="24"/>
          <w:szCs w:val="24"/>
          <w:lang w:val="en-US"/>
        </w:rPr>
        <w:t>Bork U, Ehlers J, Weitz</w:t>
      </w:r>
      <w:r w:rsidRPr="00251400">
        <w:rPr>
          <w:rFonts w:ascii="Book Antiqua" w:hAnsi="Book Antiqua"/>
          <w:bCs/>
          <w:sz w:val="24"/>
          <w:szCs w:val="24"/>
          <w:lang w:val="en-US"/>
        </w:rPr>
        <w:t xml:space="preserve"> J </w:t>
      </w:r>
      <w:r w:rsidR="0004716D" w:rsidRPr="00251400">
        <w:rPr>
          <w:rFonts w:ascii="Book Antiqua" w:hAnsi="Book Antiqua"/>
          <w:bCs/>
          <w:sz w:val="24"/>
          <w:szCs w:val="24"/>
          <w:lang w:val="en-US"/>
        </w:rPr>
        <w:t xml:space="preserve">and </w:t>
      </w:r>
      <w:r w:rsidRPr="00251400">
        <w:rPr>
          <w:rFonts w:ascii="Book Antiqua" w:hAnsi="Book Antiqua"/>
          <w:bCs/>
          <w:noProof/>
          <w:sz w:val="24"/>
          <w:szCs w:val="24"/>
          <w:lang w:val="en-US"/>
        </w:rPr>
        <w:t>Boettcher MD made</w:t>
      </w:r>
      <w:r w:rsidRPr="00251400">
        <w:rPr>
          <w:rFonts w:ascii="Book Antiqua" w:hAnsi="Book Antiqua"/>
          <w:bCs/>
          <w:sz w:val="24"/>
          <w:szCs w:val="24"/>
          <w:lang w:val="en-US"/>
        </w:rPr>
        <w:t xml:space="preserve"> critical revisions of the manuscript; </w:t>
      </w:r>
      <w:r w:rsidR="00B305F2" w:rsidRPr="00251400">
        <w:rPr>
          <w:rFonts w:ascii="Book Antiqua" w:hAnsi="Book Antiqua"/>
          <w:bCs/>
          <w:noProof/>
          <w:sz w:val="24"/>
          <w:szCs w:val="24"/>
          <w:lang w:val="en-US"/>
        </w:rPr>
        <w:t>All authors</w:t>
      </w:r>
      <w:r w:rsidRPr="00251400">
        <w:rPr>
          <w:rFonts w:ascii="Book Antiqua" w:hAnsi="Book Antiqua"/>
          <w:bCs/>
          <w:sz w:val="24"/>
          <w:szCs w:val="24"/>
          <w:lang w:val="en-US"/>
        </w:rPr>
        <w:t xml:space="preserve"> </w:t>
      </w:r>
      <w:r w:rsidR="00B305F2" w:rsidRPr="00251400">
        <w:rPr>
          <w:rFonts w:ascii="Book Antiqua" w:hAnsi="Book Antiqua"/>
          <w:bCs/>
          <w:sz w:val="24"/>
          <w:szCs w:val="24"/>
          <w:lang w:val="en-US"/>
        </w:rPr>
        <w:t>approved</w:t>
      </w:r>
      <w:r w:rsidRPr="00251400">
        <w:rPr>
          <w:rFonts w:ascii="Book Antiqua" w:hAnsi="Book Antiqua"/>
          <w:bCs/>
          <w:sz w:val="24"/>
          <w:szCs w:val="24"/>
          <w:lang w:val="en-US"/>
        </w:rPr>
        <w:t xml:space="preserve"> the final version of the article to be published.</w:t>
      </w:r>
    </w:p>
    <w:p w14:paraId="0ADE43CF" w14:textId="77777777" w:rsidR="0004716D" w:rsidRPr="00251400" w:rsidRDefault="0004716D" w:rsidP="00B0664E">
      <w:pPr>
        <w:adjustRightInd w:val="0"/>
        <w:snapToGrid w:val="0"/>
        <w:spacing w:line="360" w:lineRule="auto"/>
        <w:jc w:val="both"/>
        <w:rPr>
          <w:rFonts w:ascii="Book Antiqua" w:hAnsi="Book Antiqua"/>
          <w:bCs/>
          <w:sz w:val="24"/>
          <w:szCs w:val="24"/>
          <w:lang w:val="en-US"/>
        </w:rPr>
      </w:pPr>
    </w:p>
    <w:p w14:paraId="2675741C" w14:textId="456B6095"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b/>
          <w:sz w:val="24"/>
          <w:szCs w:val="24"/>
          <w:lang w:val="en-US"/>
        </w:rPr>
        <w:t xml:space="preserve">Corresponding author: </w:t>
      </w:r>
      <w:r w:rsidRPr="00251400">
        <w:rPr>
          <w:rFonts w:ascii="Book Antiqua" w:hAnsi="Book Antiqua"/>
          <w:b/>
          <w:bCs/>
          <w:sz w:val="24"/>
          <w:szCs w:val="24"/>
          <w:lang w:val="en-US"/>
        </w:rPr>
        <w:t>Ulrich Bork,</w:t>
      </w:r>
      <w:r w:rsidR="00A37FF8" w:rsidRPr="00251400">
        <w:rPr>
          <w:rFonts w:ascii="Book Antiqua" w:hAnsi="Book Antiqua"/>
          <w:b/>
          <w:bCs/>
          <w:sz w:val="24"/>
          <w:szCs w:val="24"/>
          <w:lang w:val="en-US"/>
        </w:rPr>
        <w:t xml:space="preserve"> MD, Attending Doctor</w:t>
      </w:r>
      <w:r w:rsidRPr="00251400">
        <w:rPr>
          <w:rFonts w:ascii="Book Antiqua" w:hAnsi="Book Antiqua"/>
          <w:sz w:val="24"/>
          <w:szCs w:val="24"/>
          <w:lang w:val="en-US" w:eastAsia="zh-CN"/>
        </w:rPr>
        <w:t xml:space="preserve">, </w:t>
      </w:r>
      <w:r w:rsidRPr="00251400">
        <w:rPr>
          <w:rFonts w:ascii="Book Antiqua" w:hAnsi="Book Antiqua"/>
          <w:sz w:val="24"/>
          <w:szCs w:val="24"/>
          <w:lang w:val="en-US"/>
        </w:rPr>
        <w:t>Department of GI-, Thoracic- and Vascular Surgery</w:t>
      </w:r>
      <w:r w:rsidRPr="00251400">
        <w:rPr>
          <w:rFonts w:ascii="Book Antiqua" w:hAnsi="Book Antiqua"/>
          <w:sz w:val="24"/>
          <w:szCs w:val="24"/>
          <w:lang w:val="en-US" w:eastAsia="zh-CN"/>
        </w:rPr>
        <w:t xml:space="preserve">, </w:t>
      </w:r>
      <w:r w:rsidRPr="00251400">
        <w:rPr>
          <w:rFonts w:ascii="Book Antiqua" w:hAnsi="Book Antiqua"/>
          <w:noProof/>
          <w:sz w:val="24"/>
          <w:szCs w:val="24"/>
          <w:lang w:val="en-US"/>
        </w:rPr>
        <w:t>University</w:t>
      </w:r>
      <w:r w:rsidR="00A37FF8" w:rsidRPr="00251400">
        <w:rPr>
          <w:rFonts w:ascii="Book Antiqua" w:hAnsi="Book Antiqua"/>
          <w:noProof/>
          <w:sz w:val="24"/>
          <w:szCs w:val="24"/>
          <w:lang w:val="en-US"/>
        </w:rPr>
        <w:t xml:space="preserve"> of </w:t>
      </w:r>
      <w:r w:rsidRPr="00251400">
        <w:rPr>
          <w:rFonts w:ascii="Book Antiqua" w:hAnsi="Book Antiqua"/>
          <w:noProof/>
          <w:sz w:val="24"/>
          <w:szCs w:val="24"/>
          <w:lang w:val="en-US"/>
        </w:rPr>
        <w:t>Dresden</w:t>
      </w:r>
      <w:r w:rsidRPr="00251400">
        <w:rPr>
          <w:rFonts w:ascii="Book Antiqua" w:hAnsi="Book Antiqua"/>
          <w:sz w:val="24"/>
          <w:szCs w:val="24"/>
          <w:lang w:val="en-US" w:eastAsia="zh-CN"/>
        </w:rPr>
        <w:t xml:space="preserve">, </w:t>
      </w:r>
      <w:r w:rsidRPr="00251400">
        <w:rPr>
          <w:rFonts w:ascii="Book Antiqua" w:hAnsi="Book Antiqua"/>
          <w:sz w:val="24"/>
          <w:szCs w:val="24"/>
          <w:lang w:val="en-US"/>
        </w:rPr>
        <w:t>Fetscherstr. 74, Dresden</w:t>
      </w:r>
      <w:r w:rsidR="00A37FF8" w:rsidRPr="00251400">
        <w:rPr>
          <w:rFonts w:ascii="Book Antiqua" w:hAnsi="Book Antiqua"/>
          <w:sz w:val="24"/>
          <w:szCs w:val="24"/>
          <w:lang w:val="en-US"/>
        </w:rPr>
        <w:t xml:space="preserve"> 01307</w:t>
      </w:r>
      <w:r w:rsidRPr="00251400">
        <w:rPr>
          <w:rFonts w:ascii="Book Antiqua" w:hAnsi="Book Antiqua"/>
          <w:sz w:val="24"/>
          <w:szCs w:val="24"/>
          <w:lang w:val="en-US"/>
        </w:rPr>
        <w:t>, Germany</w:t>
      </w:r>
      <w:r w:rsidR="00A37FF8" w:rsidRPr="00251400">
        <w:rPr>
          <w:rFonts w:ascii="Book Antiqua" w:hAnsi="Book Antiqua"/>
          <w:sz w:val="24"/>
          <w:szCs w:val="24"/>
          <w:lang w:val="en-US" w:eastAsia="zh-CN"/>
        </w:rPr>
        <w:t>.</w:t>
      </w:r>
      <w:r w:rsidRPr="00251400">
        <w:rPr>
          <w:rFonts w:ascii="Book Antiqua" w:hAnsi="Book Antiqua"/>
          <w:sz w:val="24"/>
          <w:szCs w:val="24"/>
          <w:lang w:val="en-US" w:eastAsia="zh-CN"/>
        </w:rPr>
        <w:t xml:space="preserve"> </w:t>
      </w:r>
      <w:hyperlink r:id="rId9" w:history="1">
        <w:r w:rsidR="0004716D" w:rsidRPr="00251400">
          <w:rPr>
            <w:rStyle w:val="ab"/>
            <w:rFonts w:ascii="Book Antiqua" w:hAnsi="Book Antiqua"/>
            <w:sz w:val="24"/>
            <w:szCs w:val="24"/>
            <w:lang w:val="en-US"/>
          </w:rPr>
          <w:t>ulrich.bork@uniklinikum-dresden.de</w:t>
        </w:r>
      </w:hyperlink>
    </w:p>
    <w:p w14:paraId="74868D82" w14:textId="77777777" w:rsidR="0004716D" w:rsidRPr="00251400" w:rsidRDefault="0004716D" w:rsidP="00B0664E">
      <w:pPr>
        <w:adjustRightInd w:val="0"/>
        <w:snapToGrid w:val="0"/>
        <w:spacing w:line="360" w:lineRule="auto"/>
        <w:jc w:val="both"/>
        <w:rPr>
          <w:rFonts w:ascii="Book Antiqua" w:hAnsi="Book Antiqua"/>
          <w:sz w:val="24"/>
          <w:szCs w:val="24"/>
          <w:lang w:val="en-US"/>
        </w:rPr>
      </w:pPr>
    </w:p>
    <w:p w14:paraId="02F40F45" w14:textId="2300248C" w:rsidR="00883298"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
          <w:sz w:val="24"/>
          <w:szCs w:val="24"/>
          <w:lang w:val="en-US"/>
        </w:rPr>
        <w:t>Received:</w:t>
      </w:r>
      <w:r w:rsidR="00A37FF8" w:rsidRPr="00251400">
        <w:rPr>
          <w:rFonts w:ascii="Book Antiqua" w:eastAsia="宋体" w:hAnsi="Book Antiqua"/>
          <w:b/>
          <w:sz w:val="24"/>
          <w:szCs w:val="24"/>
          <w:lang w:val="en-US" w:eastAsia="zh-CN"/>
        </w:rPr>
        <w:t xml:space="preserve"> </w:t>
      </w:r>
      <w:r w:rsidR="00A37FF8" w:rsidRPr="00251400">
        <w:rPr>
          <w:rFonts w:ascii="Book Antiqua" w:eastAsia="宋体" w:hAnsi="Book Antiqua"/>
          <w:bCs/>
          <w:sz w:val="24"/>
          <w:szCs w:val="24"/>
          <w:lang w:val="en-US" w:eastAsia="zh-CN"/>
        </w:rPr>
        <w:t>March 31, 2020</w:t>
      </w:r>
    </w:p>
    <w:p w14:paraId="67FA8D46" w14:textId="694F6044" w:rsidR="00883298" w:rsidRPr="00251400" w:rsidRDefault="00883298" w:rsidP="00B0664E">
      <w:pPr>
        <w:adjustRightInd w:val="0"/>
        <w:snapToGrid w:val="0"/>
        <w:spacing w:line="360" w:lineRule="auto"/>
        <w:jc w:val="both"/>
        <w:rPr>
          <w:rFonts w:ascii="Book Antiqua" w:eastAsia="宋体" w:hAnsi="Book Antiqua"/>
          <w:b/>
          <w:sz w:val="24"/>
          <w:szCs w:val="24"/>
          <w:lang w:val="en-US" w:eastAsia="zh-CN"/>
        </w:rPr>
      </w:pPr>
      <w:r w:rsidRPr="00251400">
        <w:rPr>
          <w:rFonts w:ascii="Book Antiqua" w:hAnsi="Book Antiqua"/>
          <w:b/>
          <w:sz w:val="24"/>
          <w:szCs w:val="24"/>
          <w:lang w:val="en-US"/>
        </w:rPr>
        <w:t xml:space="preserve">Revised: </w:t>
      </w:r>
      <w:r w:rsidR="00A37FF8" w:rsidRPr="00251400">
        <w:rPr>
          <w:rFonts w:ascii="Book Antiqua" w:hAnsi="Book Antiqua"/>
          <w:bCs/>
          <w:sz w:val="24"/>
          <w:szCs w:val="24"/>
          <w:lang w:val="en-US"/>
        </w:rPr>
        <w:t>June 9, 2020</w:t>
      </w:r>
    </w:p>
    <w:p w14:paraId="120AB404" w14:textId="2EDF1BCF"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b/>
          <w:sz w:val="24"/>
          <w:szCs w:val="24"/>
          <w:lang w:val="en-US"/>
        </w:rPr>
        <w:lastRenderedPageBreak/>
        <w:t>Accepted:</w:t>
      </w:r>
      <w:bookmarkStart w:id="1" w:name="OLE_LINK98"/>
      <w:bookmarkStart w:id="2" w:name="OLE_LINK99"/>
      <w:bookmarkStart w:id="3" w:name="OLE_LINK104"/>
      <w:bookmarkStart w:id="4" w:name="OLE_LINK110"/>
      <w:bookmarkStart w:id="5" w:name="OLE_LINK111"/>
      <w:bookmarkStart w:id="6" w:name="OLE_LINK115"/>
      <w:bookmarkStart w:id="7" w:name="OLE_LINK116"/>
      <w:r w:rsidRPr="00251400">
        <w:rPr>
          <w:rFonts w:ascii="Book Antiqua" w:hAnsi="Book Antiqua"/>
          <w:sz w:val="24"/>
          <w:szCs w:val="24"/>
          <w:lang w:val="en-US"/>
        </w:rPr>
        <w:t xml:space="preserve"> </w:t>
      </w:r>
      <w:bookmarkEnd w:id="1"/>
      <w:bookmarkEnd w:id="2"/>
      <w:bookmarkEnd w:id="3"/>
      <w:bookmarkEnd w:id="4"/>
      <w:bookmarkEnd w:id="5"/>
      <w:bookmarkEnd w:id="6"/>
      <w:bookmarkEnd w:id="7"/>
      <w:r w:rsidR="00246734" w:rsidRPr="00251400">
        <w:rPr>
          <w:rFonts w:ascii="Book Antiqua" w:eastAsia="宋体" w:hAnsi="Book Antiqua" w:cs="Times New Roman"/>
          <w:bCs/>
          <w:sz w:val="24"/>
          <w:szCs w:val="24"/>
          <w:lang w:val="en-US" w:eastAsia="zh-CN"/>
        </w:rPr>
        <w:t>July 23, 2020</w:t>
      </w:r>
    </w:p>
    <w:p w14:paraId="3FA8B20E" w14:textId="276AF770" w:rsidR="00883298" w:rsidRPr="00251400" w:rsidRDefault="00883298" w:rsidP="00B0664E">
      <w:pPr>
        <w:adjustRightInd w:val="0"/>
        <w:snapToGrid w:val="0"/>
        <w:spacing w:line="360" w:lineRule="auto"/>
        <w:jc w:val="both"/>
        <w:rPr>
          <w:rFonts w:ascii="Book Antiqua" w:eastAsia="宋体" w:hAnsi="Book Antiqua" w:hint="eastAsia"/>
          <w:b/>
          <w:sz w:val="24"/>
          <w:szCs w:val="24"/>
          <w:lang w:val="en-US" w:eastAsia="zh-CN"/>
        </w:rPr>
      </w:pPr>
      <w:r w:rsidRPr="00251400">
        <w:rPr>
          <w:rFonts w:ascii="Book Antiqua" w:hAnsi="Book Antiqua"/>
          <w:b/>
          <w:sz w:val="24"/>
          <w:szCs w:val="24"/>
          <w:lang w:val="en-US"/>
        </w:rPr>
        <w:t xml:space="preserve">Published online: </w:t>
      </w:r>
      <w:r w:rsidR="002F0F27" w:rsidRPr="00251400">
        <w:rPr>
          <w:rFonts w:ascii="Book Antiqua" w:eastAsia="宋体" w:hAnsi="Book Antiqua" w:hint="eastAsia"/>
          <w:b/>
          <w:sz w:val="24"/>
          <w:szCs w:val="24"/>
          <w:lang w:val="en-US" w:eastAsia="zh-CN"/>
        </w:rPr>
        <w:t xml:space="preserve"> </w:t>
      </w:r>
      <w:r w:rsidR="002F0F27" w:rsidRPr="00251400">
        <w:rPr>
          <w:rFonts w:ascii="Book Antiqua" w:eastAsia="宋体" w:hAnsi="Book Antiqua" w:hint="eastAsia"/>
          <w:sz w:val="24"/>
          <w:szCs w:val="24"/>
          <w:lang w:val="en-US" w:eastAsia="zh-CN"/>
        </w:rPr>
        <w:t>August 7, 2020</w:t>
      </w:r>
    </w:p>
    <w:p w14:paraId="45C38A31" w14:textId="739BC1DF" w:rsidR="00883298" w:rsidRPr="00251400" w:rsidRDefault="00883298" w:rsidP="002F0F27">
      <w:pPr>
        <w:adjustRightInd w:val="0"/>
        <w:snapToGrid w:val="0"/>
        <w:spacing w:line="360" w:lineRule="auto"/>
        <w:ind w:firstLineChars="50" w:firstLine="120"/>
        <w:jc w:val="both"/>
        <w:rPr>
          <w:rFonts w:ascii="Book Antiqua" w:hAnsi="Book Antiqua"/>
          <w:b/>
          <w:sz w:val="24"/>
          <w:szCs w:val="24"/>
          <w:lang w:val="en-US"/>
        </w:rPr>
      </w:pPr>
      <w:r w:rsidRPr="00251400">
        <w:rPr>
          <w:rFonts w:ascii="Book Antiqua" w:hAnsi="Book Antiqua"/>
          <w:sz w:val="24"/>
          <w:szCs w:val="24"/>
          <w:lang w:val="en-US"/>
        </w:rPr>
        <w:br w:type="page"/>
      </w:r>
      <w:r w:rsidRPr="00251400">
        <w:rPr>
          <w:rFonts w:ascii="Book Antiqua" w:hAnsi="Book Antiqua"/>
          <w:b/>
          <w:sz w:val="24"/>
          <w:szCs w:val="24"/>
          <w:lang w:val="en-US"/>
        </w:rPr>
        <w:lastRenderedPageBreak/>
        <w:t>A</w:t>
      </w:r>
      <w:r w:rsidR="00C515AC" w:rsidRPr="00251400">
        <w:rPr>
          <w:rFonts w:ascii="Book Antiqua" w:hAnsi="Book Antiqua"/>
          <w:b/>
          <w:sz w:val="24"/>
          <w:szCs w:val="24"/>
          <w:lang w:val="en-US"/>
        </w:rPr>
        <w:t>bstract</w:t>
      </w:r>
    </w:p>
    <w:p w14:paraId="79996219" w14:textId="52F9D6BF"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Mobile health apps (MHAs) and medical apps (MAs) are becoming increasingly popular as digital interventions in a wide range of health-related applications in almost all sectors of healthcare. The surge in demand for digital medical solutions has been accelerated by the need for new diagnostic and therapeutic methods in the current COVID-19 pandemic. This also applies to clinical practice in gastroenterology, which has, in many respects, undergone a recent digital transformation with numerous consequences that will impact patients and health care professionals in the near future. MHAs and MAs are considered to have great potential, especially for chronic diseases, as they can support the self-management of patients in many ways. Despite the great potential associated with the application of MHAs and MAs in gastroenterology and health care in general, there are numerous challenges to be met in the future, including both the ethical and legal aspects of applying this technology. The aim of this article is to provide an overview of the current status of MHA and MA use in the field of gastroenterology, describe the future perspectives in this field and point out some of the challenges that need to be addressed. </w:t>
      </w:r>
    </w:p>
    <w:p w14:paraId="55B04B61" w14:textId="77777777" w:rsidR="0004716D" w:rsidRPr="00251400" w:rsidRDefault="0004716D" w:rsidP="00B0664E">
      <w:pPr>
        <w:adjustRightInd w:val="0"/>
        <w:snapToGrid w:val="0"/>
        <w:spacing w:line="360" w:lineRule="auto"/>
        <w:jc w:val="both"/>
        <w:rPr>
          <w:rFonts w:ascii="Book Antiqua" w:hAnsi="Book Antiqua"/>
          <w:b/>
          <w:sz w:val="24"/>
          <w:szCs w:val="24"/>
          <w:lang w:val="en-US"/>
        </w:rPr>
      </w:pPr>
    </w:p>
    <w:p w14:paraId="4069219D" w14:textId="731750DC" w:rsidR="00883298" w:rsidRPr="00251400" w:rsidRDefault="0004716D" w:rsidP="00B0664E">
      <w:pPr>
        <w:pStyle w:val="1"/>
        <w:adjustRightInd w:val="0"/>
        <w:snapToGrid w:val="0"/>
        <w:spacing w:before="0" w:after="0" w:line="360" w:lineRule="auto"/>
        <w:jc w:val="both"/>
        <w:rPr>
          <w:rFonts w:ascii="Book Antiqua" w:hAnsi="Book Antiqua"/>
          <w:bCs/>
          <w:sz w:val="24"/>
          <w:szCs w:val="24"/>
          <w:lang w:val="en-US"/>
        </w:rPr>
      </w:pPr>
      <w:r w:rsidRPr="00251400">
        <w:rPr>
          <w:rFonts w:ascii="Book Antiqua" w:hAnsi="Book Antiqua"/>
          <w:b/>
          <w:sz w:val="24"/>
          <w:szCs w:val="24"/>
          <w:lang w:val="en-US"/>
        </w:rPr>
        <w:t xml:space="preserve">Key words: </w:t>
      </w:r>
      <w:r w:rsidRPr="00251400">
        <w:rPr>
          <w:rFonts w:ascii="Book Antiqua" w:hAnsi="Book Antiqua"/>
          <w:bCs/>
          <w:sz w:val="24"/>
          <w:szCs w:val="24"/>
          <w:lang w:val="en-US"/>
        </w:rPr>
        <w:t>M</w:t>
      </w:r>
      <w:r w:rsidR="00883298" w:rsidRPr="00251400">
        <w:rPr>
          <w:rFonts w:ascii="Book Antiqua" w:hAnsi="Book Antiqua"/>
          <w:bCs/>
          <w:sz w:val="24"/>
          <w:szCs w:val="24"/>
          <w:lang w:val="en-US"/>
        </w:rPr>
        <w:t>obile health</w:t>
      </w:r>
      <w:r w:rsidRPr="00251400">
        <w:rPr>
          <w:rFonts w:ascii="Book Antiqua" w:hAnsi="Book Antiqua"/>
          <w:bCs/>
          <w:sz w:val="24"/>
          <w:szCs w:val="24"/>
          <w:lang w:val="en-US"/>
        </w:rPr>
        <w:t>;</w:t>
      </w:r>
      <w:r w:rsidR="00883298" w:rsidRPr="00251400">
        <w:rPr>
          <w:rFonts w:ascii="Book Antiqua" w:hAnsi="Book Antiqua"/>
          <w:bCs/>
          <w:sz w:val="24"/>
          <w:szCs w:val="24"/>
          <w:lang w:val="en-US"/>
        </w:rPr>
        <w:t xml:space="preserve"> </w:t>
      </w:r>
      <w:r w:rsidRPr="00251400">
        <w:rPr>
          <w:rFonts w:ascii="Book Antiqua" w:hAnsi="Book Antiqua"/>
          <w:bCs/>
          <w:sz w:val="24"/>
          <w:szCs w:val="24"/>
          <w:lang w:val="en-US"/>
        </w:rPr>
        <w:t>H</w:t>
      </w:r>
      <w:r w:rsidR="00883298" w:rsidRPr="00251400">
        <w:rPr>
          <w:rFonts w:ascii="Book Antiqua" w:hAnsi="Book Antiqua"/>
          <w:bCs/>
          <w:sz w:val="24"/>
          <w:szCs w:val="24"/>
          <w:lang w:val="en-US"/>
        </w:rPr>
        <w:t>ealth applications</w:t>
      </w:r>
      <w:r w:rsidRPr="00251400">
        <w:rPr>
          <w:rFonts w:ascii="Book Antiqua" w:hAnsi="Book Antiqua"/>
          <w:bCs/>
          <w:sz w:val="24"/>
          <w:szCs w:val="24"/>
          <w:lang w:val="en-US"/>
        </w:rPr>
        <w:t>; M</w:t>
      </w:r>
      <w:r w:rsidR="00883298" w:rsidRPr="00251400">
        <w:rPr>
          <w:rFonts w:ascii="Book Antiqua" w:hAnsi="Book Antiqua"/>
          <w:bCs/>
          <w:sz w:val="24"/>
          <w:szCs w:val="24"/>
          <w:lang w:val="en-US"/>
        </w:rPr>
        <w:t>edical applications</w:t>
      </w:r>
      <w:r w:rsidRPr="00251400">
        <w:rPr>
          <w:rFonts w:ascii="Book Antiqua" w:hAnsi="Book Antiqua"/>
          <w:bCs/>
          <w:sz w:val="24"/>
          <w:szCs w:val="24"/>
          <w:lang w:val="en-US"/>
        </w:rPr>
        <w:t>;</w:t>
      </w:r>
      <w:r w:rsidR="00883298" w:rsidRPr="00251400">
        <w:rPr>
          <w:rFonts w:ascii="Book Antiqua" w:hAnsi="Book Antiqua"/>
          <w:bCs/>
          <w:sz w:val="24"/>
          <w:szCs w:val="24"/>
          <w:lang w:val="en-US"/>
        </w:rPr>
        <w:t xml:space="preserve"> </w:t>
      </w:r>
      <w:r w:rsidRPr="00251400">
        <w:rPr>
          <w:rFonts w:ascii="Book Antiqua" w:hAnsi="Book Antiqua"/>
          <w:bCs/>
          <w:sz w:val="24"/>
          <w:szCs w:val="24"/>
          <w:lang w:val="en-US"/>
        </w:rPr>
        <w:t>T</w:t>
      </w:r>
      <w:r w:rsidR="00883298" w:rsidRPr="00251400">
        <w:rPr>
          <w:rFonts w:ascii="Book Antiqua" w:hAnsi="Book Antiqua"/>
          <w:bCs/>
          <w:sz w:val="24"/>
          <w:szCs w:val="24"/>
          <w:lang w:val="en-US"/>
        </w:rPr>
        <w:t xml:space="preserve">echnology; </w:t>
      </w:r>
      <w:r w:rsidR="00CB3B86" w:rsidRPr="00251400">
        <w:rPr>
          <w:rFonts w:ascii="Book Antiqua" w:hAnsi="Book Antiqua"/>
          <w:bCs/>
          <w:sz w:val="24"/>
          <w:szCs w:val="24"/>
          <w:lang w:val="en-US"/>
        </w:rPr>
        <w:t>T</w:t>
      </w:r>
      <w:r w:rsidR="00883298" w:rsidRPr="00251400">
        <w:rPr>
          <w:rFonts w:ascii="Book Antiqua" w:hAnsi="Book Antiqua"/>
          <w:bCs/>
          <w:sz w:val="24"/>
          <w:szCs w:val="24"/>
          <w:lang w:val="en-US"/>
        </w:rPr>
        <w:t xml:space="preserve">elemedicine; </w:t>
      </w:r>
      <w:r w:rsidRPr="00251400">
        <w:rPr>
          <w:rFonts w:ascii="Book Antiqua" w:hAnsi="Book Antiqua"/>
          <w:bCs/>
          <w:sz w:val="24"/>
          <w:szCs w:val="24"/>
          <w:lang w:val="en-US"/>
        </w:rPr>
        <w:t>M</w:t>
      </w:r>
      <w:r w:rsidR="00883298" w:rsidRPr="00251400">
        <w:rPr>
          <w:rFonts w:ascii="Book Antiqua" w:hAnsi="Book Antiqua"/>
          <w:bCs/>
          <w:sz w:val="24"/>
          <w:szCs w:val="24"/>
          <w:lang w:val="en-US"/>
        </w:rPr>
        <w:t xml:space="preserve">obile applications; </w:t>
      </w:r>
      <w:r w:rsidRPr="00251400">
        <w:rPr>
          <w:rFonts w:ascii="Book Antiqua" w:hAnsi="Book Antiqua"/>
          <w:bCs/>
          <w:sz w:val="24"/>
          <w:szCs w:val="24"/>
          <w:lang w:val="en-US"/>
        </w:rPr>
        <w:t>S</w:t>
      </w:r>
      <w:r w:rsidR="00883298" w:rsidRPr="00251400">
        <w:rPr>
          <w:rFonts w:ascii="Book Antiqua" w:hAnsi="Book Antiqua"/>
          <w:bCs/>
          <w:sz w:val="24"/>
          <w:szCs w:val="24"/>
          <w:lang w:val="en-US"/>
        </w:rPr>
        <w:t xml:space="preserve">martphone; eHealth; mHealth; </w:t>
      </w:r>
      <w:r w:rsidRPr="00251400">
        <w:rPr>
          <w:rFonts w:ascii="Book Antiqua" w:hAnsi="Book Antiqua"/>
          <w:bCs/>
          <w:sz w:val="24"/>
          <w:szCs w:val="24"/>
          <w:lang w:val="en-US"/>
        </w:rPr>
        <w:t>D</w:t>
      </w:r>
      <w:r w:rsidR="00883298" w:rsidRPr="00251400">
        <w:rPr>
          <w:rFonts w:ascii="Book Antiqua" w:hAnsi="Book Antiqua"/>
          <w:bCs/>
          <w:sz w:val="24"/>
          <w:szCs w:val="24"/>
          <w:lang w:val="en-US"/>
        </w:rPr>
        <w:t xml:space="preserve">igital biomarker; </w:t>
      </w:r>
      <w:r w:rsidRPr="00251400">
        <w:rPr>
          <w:rFonts w:ascii="Book Antiqua" w:hAnsi="Book Antiqua"/>
          <w:bCs/>
          <w:sz w:val="24"/>
          <w:szCs w:val="24"/>
          <w:lang w:val="en-US"/>
        </w:rPr>
        <w:t>E</w:t>
      </w:r>
      <w:r w:rsidR="00883298" w:rsidRPr="00251400">
        <w:rPr>
          <w:rFonts w:ascii="Book Antiqua" w:hAnsi="Book Antiqua"/>
          <w:bCs/>
          <w:sz w:val="24"/>
          <w:szCs w:val="24"/>
          <w:lang w:val="en-US"/>
        </w:rPr>
        <w:t>lectronic health records</w:t>
      </w:r>
    </w:p>
    <w:p w14:paraId="3CDAA031" w14:textId="77777777" w:rsidR="0004716D" w:rsidRPr="00251400" w:rsidRDefault="0004716D" w:rsidP="00B0664E">
      <w:pPr>
        <w:adjustRightInd w:val="0"/>
        <w:snapToGrid w:val="0"/>
        <w:spacing w:line="360" w:lineRule="auto"/>
        <w:jc w:val="both"/>
        <w:rPr>
          <w:lang w:val="en-US"/>
        </w:rPr>
      </w:pPr>
    </w:p>
    <w:p w14:paraId="16C0EBCD" w14:textId="77777777" w:rsidR="002F0F27" w:rsidRPr="00251400" w:rsidRDefault="002F0F27" w:rsidP="002F0F27">
      <w:pPr>
        <w:shd w:val="clear" w:color="auto" w:fill="FFFFFF" w:themeFill="background1"/>
        <w:adjustRightInd w:val="0"/>
        <w:snapToGrid w:val="0"/>
        <w:spacing w:line="360" w:lineRule="auto"/>
        <w:jc w:val="both"/>
        <w:rPr>
          <w:rFonts w:ascii="Book Antiqua" w:eastAsia="宋体" w:hAnsi="Book Antiqua" w:hint="eastAsia"/>
          <w:noProof/>
          <w:sz w:val="24"/>
          <w:szCs w:val="24"/>
          <w:lang w:val="en-US" w:eastAsia="zh-CN"/>
        </w:rPr>
      </w:pPr>
      <w:r w:rsidRPr="00251400">
        <w:rPr>
          <w:rFonts w:ascii="Book Antiqua" w:eastAsia="宋体" w:hAnsi="Book Antiqua" w:hint="eastAsia"/>
          <w:b/>
          <w:noProof/>
          <w:sz w:val="24"/>
          <w:szCs w:val="24"/>
          <w:lang w:val="en-US" w:eastAsia="zh-CN"/>
        </w:rPr>
        <w:t>Citation:</w:t>
      </w:r>
      <w:r w:rsidRPr="00251400">
        <w:rPr>
          <w:rFonts w:ascii="Book Antiqua" w:eastAsia="宋体" w:hAnsi="Book Antiqua" w:hint="eastAsia"/>
          <w:noProof/>
          <w:sz w:val="24"/>
          <w:szCs w:val="24"/>
          <w:lang w:val="en-US" w:eastAsia="zh-CN"/>
        </w:rPr>
        <w:t xml:space="preserve"> </w:t>
      </w:r>
      <w:r w:rsidRPr="00251400">
        <w:rPr>
          <w:rFonts w:ascii="Book Antiqua" w:hAnsi="Book Antiqua"/>
          <w:noProof/>
          <w:sz w:val="24"/>
          <w:szCs w:val="24"/>
          <w:lang w:val="en-US"/>
        </w:rPr>
        <w:t>Kernebeck S, Busse TS, Böttcher MD, Weitz J, Ehlers</w:t>
      </w:r>
      <w:r w:rsidRPr="00251400">
        <w:rPr>
          <w:rFonts w:ascii="Book Antiqua" w:hAnsi="Book Antiqua"/>
          <w:noProof/>
          <w:sz w:val="24"/>
          <w:szCs w:val="24"/>
          <w:vertAlign w:val="superscript"/>
          <w:lang w:val="en-US"/>
        </w:rPr>
        <w:t xml:space="preserve"> </w:t>
      </w:r>
      <w:r w:rsidRPr="00251400">
        <w:rPr>
          <w:rFonts w:ascii="Book Antiqua" w:hAnsi="Book Antiqua"/>
          <w:noProof/>
          <w:sz w:val="24"/>
          <w:szCs w:val="24"/>
          <w:lang w:val="en-US"/>
        </w:rPr>
        <w:t xml:space="preserve">J, Bork U. Impact of mobile health and medical applications on clinical practice in gastroenterology. </w:t>
      </w:r>
      <w:r w:rsidRPr="00251400">
        <w:rPr>
          <w:rFonts w:ascii="Book Antiqua" w:hAnsi="Book Antiqua"/>
          <w:i/>
          <w:iCs/>
          <w:noProof/>
          <w:sz w:val="24"/>
          <w:szCs w:val="24"/>
          <w:lang w:val="en-US"/>
        </w:rPr>
        <w:t xml:space="preserve">World J Gastroenterol </w:t>
      </w:r>
      <w:r w:rsidRPr="00251400">
        <w:rPr>
          <w:rFonts w:ascii="Book Antiqua" w:hAnsi="Book Antiqua"/>
          <w:noProof/>
          <w:sz w:val="24"/>
          <w:szCs w:val="24"/>
          <w:lang w:val="en-US"/>
        </w:rPr>
        <w:t xml:space="preserve">2020; 26(29): </w:t>
      </w:r>
      <w:r w:rsidRPr="00251400">
        <w:rPr>
          <w:rFonts w:ascii="Book Antiqua" w:eastAsia="宋体" w:hAnsi="Book Antiqua" w:hint="eastAsia"/>
          <w:noProof/>
          <w:sz w:val="24"/>
          <w:szCs w:val="24"/>
          <w:lang w:val="en-US" w:eastAsia="zh-CN"/>
        </w:rPr>
        <w:t>4182</w:t>
      </w:r>
      <w:r w:rsidRPr="00251400">
        <w:rPr>
          <w:rFonts w:ascii="Book Antiqua" w:hAnsi="Book Antiqua"/>
          <w:noProof/>
          <w:sz w:val="24"/>
          <w:szCs w:val="24"/>
          <w:lang w:val="en-US"/>
        </w:rPr>
        <w:t>-</w:t>
      </w:r>
      <w:r w:rsidRPr="00251400">
        <w:rPr>
          <w:rFonts w:ascii="Book Antiqua" w:eastAsia="宋体" w:hAnsi="Book Antiqua" w:hint="eastAsia"/>
          <w:noProof/>
          <w:sz w:val="24"/>
          <w:szCs w:val="24"/>
          <w:lang w:val="en-US" w:eastAsia="zh-CN"/>
        </w:rPr>
        <w:t>4197</w:t>
      </w:r>
      <w:r w:rsidRPr="00251400">
        <w:rPr>
          <w:rFonts w:ascii="Book Antiqua" w:hAnsi="Book Antiqua"/>
          <w:noProof/>
          <w:sz w:val="24"/>
          <w:szCs w:val="24"/>
          <w:lang w:val="en-US"/>
        </w:rPr>
        <w:t xml:space="preserve">  </w:t>
      </w:r>
    </w:p>
    <w:p w14:paraId="0FBEB0B0" w14:textId="77777777" w:rsidR="002F0F27" w:rsidRPr="00251400" w:rsidRDefault="002F0F27" w:rsidP="002F0F27">
      <w:pPr>
        <w:shd w:val="clear" w:color="auto" w:fill="FFFFFF" w:themeFill="background1"/>
        <w:adjustRightInd w:val="0"/>
        <w:snapToGrid w:val="0"/>
        <w:spacing w:line="360" w:lineRule="auto"/>
        <w:jc w:val="both"/>
        <w:rPr>
          <w:rFonts w:ascii="Book Antiqua" w:eastAsia="宋体" w:hAnsi="Book Antiqua" w:hint="eastAsia"/>
          <w:noProof/>
          <w:sz w:val="24"/>
          <w:szCs w:val="24"/>
          <w:lang w:val="en-US" w:eastAsia="zh-CN"/>
        </w:rPr>
      </w:pPr>
      <w:r w:rsidRPr="00251400">
        <w:rPr>
          <w:rFonts w:ascii="Book Antiqua" w:hAnsi="Book Antiqua"/>
          <w:b/>
          <w:noProof/>
          <w:sz w:val="24"/>
          <w:szCs w:val="24"/>
          <w:lang w:val="en-US"/>
        </w:rPr>
        <w:t xml:space="preserve">URL: </w:t>
      </w:r>
      <w:r w:rsidRPr="00251400">
        <w:rPr>
          <w:rFonts w:ascii="Book Antiqua" w:hAnsi="Book Antiqua"/>
          <w:noProof/>
          <w:sz w:val="24"/>
          <w:szCs w:val="24"/>
          <w:lang w:val="en-US"/>
        </w:rPr>
        <w:t>https://www.wjgnet.com/1007-9327/full/v26/i29/</w:t>
      </w:r>
      <w:r w:rsidRPr="00251400">
        <w:rPr>
          <w:rFonts w:ascii="Book Antiqua" w:eastAsia="宋体" w:hAnsi="Book Antiqua" w:hint="eastAsia"/>
          <w:noProof/>
          <w:sz w:val="24"/>
          <w:szCs w:val="24"/>
          <w:lang w:val="en-US" w:eastAsia="zh-CN"/>
        </w:rPr>
        <w:t>4182</w:t>
      </w:r>
      <w:r w:rsidRPr="00251400">
        <w:rPr>
          <w:rFonts w:ascii="Book Antiqua" w:hAnsi="Book Antiqua"/>
          <w:noProof/>
          <w:sz w:val="24"/>
          <w:szCs w:val="24"/>
          <w:lang w:val="en-US"/>
        </w:rPr>
        <w:t xml:space="preserve">.htm  </w:t>
      </w:r>
    </w:p>
    <w:p w14:paraId="4DA35223" w14:textId="218D1267" w:rsidR="002F0F27" w:rsidRPr="00251400" w:rsidRDefault="002F0F27" w:rsidP="002F0F27">
      <w:pPr>
        <w:shd w:val="clear" w:color="auto" w:fill="FFFFFF" w:themeFill="background1"/>
        <w:adjustRightInd w:val="0"/>
        <w:snapToGrid w:val="0"/>
        <w:spacing w:line="360" w:lineRule="auto"/>
        <w:jc w:val="both"/>
        <w:rPr>
          <w:rFonts w:ascii="Book Antiqua" w:eastAsia="宋体" w:hAnsi="Book Antiqua" w:hint="eastAsia"/>
          <w:b/>
          <w:sz w:val="24"/>
          <w:szCs w:val="24"/>
          <w:lang w:val="en-US" w:eastAsia="zh-CN"/>
        </w:rPr>
      </w:pPr>
      <w:r w:rsidRPr="00251400">
        <w:rPr>
          <w:rFonts w:ascii="Book Antiqua" w:hAnsi="Book Antiqua"/>
          <w:b/>
          <w:noProof/>
          <w:sz w:val="24"/>
          <w:szCs w:val="24"/>
          <w:lang w:val="en-US"/>
        </w:rPr>
        <w:t>DOI:</w:t>
      </w:r>
      <w:r w:rsidRPr="00251400">
        <w:rPr>
          <w:rFonts w:ascii="Book Antiqua" w:hAnsi="Book Antiqua"/>
          <w:noProof/>
          <w:sz w:val="24"/>
          <w:szCs w:val="24"/>
          <w:lang w:val="en-US"/>
        </w:rPr>
        <w:t xml:space="preserve"> https://dx.doi.org/10.3748/wjg.v26.i29.</w:t>
      </w:r>
      <w:r w:rsidRPr="00251400">
        <w:rPr>
          <w:rFonts w:ascii="Book Antiqua" w:eastAsia="宋体" w:hAnsi="Book Antiqua" w:hint="eastAsia"/>
          <w:noProof/>
          <w:sz w:val="24"/>
          <w:szCs w:val="24"/>
          <w:lang w:val="en-US" w:eastAsia="zh-CN"/>
        </w:rPr>
        <w:t>4182</w:t>
      </w:r>
    </w:p>
    <w:p w14:paraId="7AA6F837" w14:textId="77777777" w:rsidR="0004716D" w:rsidRPr="00251400" w:rsidRDefault="0004716D" w:rsidP="00B0664E">
      <w:pPr>
        <w:shd w:val="clear" w:color="auto" w:fill="FFFFFF" w:themeFill="background1"/>
        <w:adjustRightInd w:val="0"/>
        <w:snapToGrid w:val="0"/>
        <w:spacing w:line="360" w:lineRule="auto"/>
        <w:jc w:val="both"/>
        <w:rPr>
          <w:rFonts w:ascii="Book Antiqua" w:hAnsi="Book Antiqua"/>
          <w:b/>
          <w:sz w:val="24"/>
          <w:szCs w:val="24"/>
          <w:lang w:val="en-US" w:eastAsia="zh-CN"/>
        </w:rPr>
      </w:pPr>
    </w:p>
    <w:p w14:paraId="198B46ED" w14:textId="36683F41" w:rsidR="00883298" w:rsidRPr="00251400" w:rsidRDefault="00C87E51"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 xml:space="preserve">Core tip: </w:t>
      </w:r>
      <w:r w:rsidRPr="00251400">
        <w:rPr>
          <w:rFonts w:ascii="Book Antiqua" w:hAnsi="Book Antiqua"/>
          <w:sz w:val="24"/>
          <w:szCs w:val="24"/>
          <w:lang w:val="en-US"/>
        </w:rPr>
        <w:t>Mobile health apps (MHAs) and medical apps (MAs)</w:t>
      </w:r>
      <w:r w:rsidR="00883298" w:rsidRPr="00251400">
        <w:rPr>
          <w:rFonts w:ascii="Book Antiqua" w:hAnsi="Book Antiqua"/>
          <w:sz w:val="24"/>
          <w:szCs w:val="24"/>
          <w:lang w:val="en-US"/>
        </w:rPr>
        <w:t xml:space="preserve"> are becoming popular as digital interventions in a wide range of health-related applications. This also applies to clinical practice in gastroenterology, which will be undergoing a digital transformation in the near future. The aim of this article is to provide an overview of the current status of MHA and MA use in the field of gastroenterology, describe the </w:t>
      </w:r>
      <w:r w:rsidR="00883298" w:rsidRPr="00251400">
        <w:rPr>
          <w:rFonts w:ascii="Book Antiqua" w:hAnsi="Book Antiqua"/>
          <w:sz w:val="24"/>
          <w:szCs w:val="24"/>
          <w:lang w:val="en-US"/>
        </w:rPr>
        <w:lastRenderedPageBreak/>
        <w:t>future perspectives in this field and point out some of the challenges that need to be addressed. Implications of HER, telemedicine, smartphone apps and digital biomarkers in clinical care will be discussed.</w:t>
      </w:r>
    </w:p>
    <w:p w14:paraId="0F2CBDB4" w14:textId="77777777"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br w:type="page"/>
      </w:r>
    </w:p>
    <w:p w14:paraId="4276606E" w14:textId="77777777" w:rsidR="00883298" w:rsidRPr="00251400" w:rsidRDefault="00883298" w:rsidP="00B0664E">
      <w:pPr>
        <w:adjustRightInd w:val="0"/>
        <w:snapToGrid w:val="0"/>
        <w:spacing w:line="360" w:lineRule="auto"/>
        <w:jc w:val="both"/>
        <w:rPr>
          <w:rFonts w:ascii="Book Antiqua" w:hAnsi="Book Antiqua"/>
          <w:b/>
          <w:sz w:val="24"/>
          <w:szCs w:val="24"/>
          <w:u w:val="single"/>
          <w:lang w:val="en-US"/>
        </w:rPr>
      </w:pPr>
      <w:r w:rsidRPr="00251400">
        <w:rPr>
          <w:rFonts w:ascii="Book Antiqua" w:hAnsi="Book Antiqua"/>
          <w:b/>
          <w:sz w:val="24"/>
          <w:szCs w:val="24"/>
          <w:u w:val="single"/>
          <w:lang w:val="en-US"/>
        </w:rPr>
        <w:lastRenderedPageBreak/>
        <w:t>INTRODUCTION</w:t>
      </w:r>
    </w:p>
    <w:p w14:paraId="525E4516" w14:textId="364895C3"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The first smartphone, Apple’s iPhone, was introduced in 2007, only 13 years ago. Since then, the widespread adoption of smartphones and digital innovations, such as tablets, wearables, smartwatches and other devices, has tremendously changed everyday life and consumer behavior in many ways. The introduction of modern information and communication technologies (ICT) has been one of the most disruptive technological innovations in recent decades. The ubiquitous availability of smartphones, wearables and tablet computers and the widespread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connectivity have led to a significant change in human-technology interaction</w:t>
      </w:r>
      <w:r w:rsidRPr="00251400">
        <w:rPr>
          <w:rFonts w:ascii="Book Antiqua" w:hAnsi="Book Antiqua"/>
          <w:noProof/>
          <w:sz w:val="24"/>
          <w:szCs w:val="24"/>
          <w:vertAlign w:val="superscript"/>
          <w:lang w:val="en-US"/>
        </w:rPr>
        <w:t>[1]</w:t>
      </w:r>
      <w:r w:rsidRPr="00251400">
        <w:rPr>
          <w:rFonts w:ascii="Book Antiqua" w:hAnsi="Book Antiqua"/>
          <w:sz w:val="24"/>
          <w:szCs w:val="24"/>
          <w:lang w:val="en-US"/>
        </w:rPr>
        <w:t>. At the same time, the exponential development of computer performance and storage capacities, cloud computing and the application and improvement of artificial intelligence (AI) methods have opened new possibilities for the design of ICT</w:t>
      </w:r>
      <w:r w:rsidRPr="00251400">
        <w:rPr>
          <w:rFonts w:ascii="Book Antiqua" w:hAnsi="Book Antiqua"/>
          <w:noProof/>
          <w:sz w:val="24"/>
          <w:szCs w:val="24"/>
          <w:vertAlign w:val="superscript"/>
          <w:lang w:val="en-US"/>
        </w:rPr>
        <w:t>[2]</w:t>
      </w:r>
      <w:r w:rsidRPr="00251400">
        <w:rPr>
          <w:rFonts w:ascii="Book Antiqua" w:hAnsi="Book Antiqua"/>
          <w:sz w:val="24"/>
          <w:szCs w:val="24"/>
          <w:lang w:val="en-US"/>
        </w:rPr>
        <w:t xml:space="preserve">. </w:t>
      </w:r>
      <w:r w:rsidR="00C87E51" w:rsidRPr="00251400">
        <w:rPr>
          <w:rFonts w:ascii="Book Antiqua" w:hAnsi="Book Antiqua"/>
          <w:sz w:val="24"/>
          <w:szCs w:val="24"/>
          <w:lang w:val="en-US"/>
        </w:rPr>
        <w:t xml:space="preserve">Mobile health apps (MHAs) and medical apps (MAs) </w:t>
      </w:r>
      <w:r w:rsidRPr="00251400">
        <w:rPr>
          <w:rFonts w:ascii="Book Antiqua" w:hAnsi="Book Antiqua"/>
          <w:sz w:val="24"/>
          <w:szCs w:val="24"/>
          <w:lang w:val="en-US"/>
        </w:rPr>
        <w:t>are becoming increasingly popular as digital interventions in a wide range of health-related applications in almost all sectors of healthcare</w:t>
      </w:r>
      <w:r w:rsidRPr="00251400">
        <w:rPr>
          <w:rFonts w:ascii="Book Antiqua" w:hAnsi="Book Antiqua"/>
          <w:noProof/>
          <w:sz w:val="24"/>
          <w:szCs w:val="24"/>
          <w:vertAlign w:val="superscript"/>
          <w:lang w:val="en-US"/>
        </w:rPr>
        <w:t>[3]</w:t>
      </w:r>
      <w:r w:rsidRPr="00251400">
        <w:rPr>
          <w:rFonts w:ascii="Book Antiqua" w:hAnsi="Book Antiqua"/>
          <w:sz w:val="24"/>
          <w:szCs w:val="24"/>
          <w:lang w:val="en-US"/>
        </w:rPr>
        <w:t>. This also applies to clinical practice in gastroenterology, which has, in many respects, recently undergone a digital transformation that will have numerous consequences for patients and health care professionals in the near future</w:t>
      </w:r>
      <w:r w:rsidRPr="00251400">
        <w:rPr>
          <w:rFonts w:ascii="Book Antiqua" w:hAnsi="Book Antiqua"/>
          <w:noProof/>
          <w:sz w:val="24"/>
          <w:szCs w:val="24"/>
          <w:vertAlign w:val="superscript"/>
          <w:lang w:val="en-US"/>
        </w:rPr>
        <w:t>[4-8]</w:t>
      </w:r>
      <w:r w:rsidRPr="00251400">
        <w:rPr>
          <w:rFonts w:ascii="Book Antiqua" w:hAnsi="Book Antiqua"/>
          <w:sz w:val="24"/>
          <w:szCs w:val="24"/>
          <w:lang w:val="en-US"/>
        </w:rPr>
        <w:t xml:space="preserve">. The functionalities and intentions of MHA and MA use in gastroenterology are extremely diverse. They range from </w:t>
      </w:r>
      <w:r w:rsidR="00C87E51" w:rsidRPr="00251400">
        <w:rPr>
          <w:rFonts w:ascii="Book Antiqua" w:hAnsi="Book Antiqua"/>
          <w:sz w:val="24"/>
          <w:szCs w:val="24"/>
          <w:lang w:val="en-US"/>
        </w:rPr>
        <w:t>electronic health record (</w:t>
      </w:r>
      <w:r w:rsidRPr="00251400">
        <w:rPr>
          <w:rFonts w:ascii="Book Antiqua" w:hAnsi="Book Antiqua"/>
          <w:sz w:val="24"/>
          <w:szCs w:val="24"/>
          <w:lang w:val="en-US"/>
        </w:rPr>
        <w:t>EHR</w:t>
      </w:r>
      <w:r w:rsidR="00C87E51" w:rsidRPr="00251400">
        <w:rPr>
          <w:rFonts w:ascii="Book Antiqua" w:hAnsi="Book Antiqua"/>
          <w:sz w:val="24"/>
          <w:szCs w:val="24"/>
          <w:lang w:val="en-US"/>
        </w:rPr>
        <w:t>)</w:t>
      </w:r>
      <w:r w:rsidRPr="00251400">
        <w:rPr>
          <w:rFonts w:ascii="Book Antiqua" w:hAnsi="Book Antiqua"/>
          <w:noProof/>
          <w:sz w:val="24"/>
          <w:szCs w:val="24"/>
          <w:vertAlign w:val="superscript"/>
          <w:lang w:val="en-US"/>
        </w:rPr>
        <w:t>[9-11]</w:t>
      </w:r>
      <w:r w:rsidRPr="00251400">
        <w:rPr>
          <w:rFonts w:ascii="Book Antiqua" w:hAnsi="Book Antiqua"/>
          <w:sz w:val="24"/>
          <w:szCs w:val="24"/>
          <w:lang w:val="en-US"/>
        </w:rPr>
        <w:t xml:space="preserve"> and workflow management systems to specific mobile apps for the management of chronic or acute pain or the management</w:t>
      </w:r>
      <w:r w:rsidRPr="00251400">
        <w:rPr>
          <w:rFonts w:ascii="Book Antiqua" w:hAnsi="Book Antiqua"/>
          <w:noProof/>
          <w:sz w:val="24"/>
          <w:szCs w:val="24"/>
          <w:vertAlign w:val="superscript"/>
          <w:lang w:val="en-US"/>
        </w:rPr>
        <w:t>[12-13]</w:t>
      </w:r>
      <w:r w:rsidRPr="00251400">
        <w:rPr>
          <w:rFonts w:ascii="Book Antiqua" w:hAnsi="Book Antiqua"/>
          <w:sz w:val="24"/>
          <w:szCs w:val="24"/>
          <w:lang w:val="en-US"/>
        </w:rPr>
        <w:t xml:space="preserve"> of specific diseases in specific settings</w:t>
      </w:r>
      <w:r w:rsidRPr="00251400">
        <w:rPr>
          <w:rFonts w:ascii="Book Antiqua" w:hAnsi="Book Antiqua"/>
          <w:noProof/>
          <w:sz w:val="24"/>
          <w:szCs w:val="24"/>
          <w:vertAlign w:val="superscript"/>
          <w:lang w:val="en-US"/>
        </w:rPr>
        <w:t>[14-16]</w:t>
      </w:r>
      <w:r w:rsidRPr="00251400">
        <w:rPr>
          <w:rFonts w:ascii="Book Antiqua" w:hAnsi="Book Antiqua"/>
          <w:sz w:val="24"/>
          <w:szCs w:val="24"/>
          <w:lang w:val="en-US"/>
        </w:rPr>
        <w:t>. MHAs and MAs are considered to have great potential, especially for chronic diseases, as they can support the self-management of patients in many ways</w:t>
      </w:r>
      <w:r w:rsidRPr="00251400">
        <w:rPr>
          <w:rFonts w:ascii="Book Antiqua" w:hAnsi="Book Antiqua"/>
          <w:noProof/>
          <w:sz w:val="24"/>
          <w:szCs w:val="24"/>
          <w:vertAlign w:val="superscript"/>
          <w:lang w:val="en-US"/>
        </w:rPr>
        <w:t>[17</w:t>
      </w:r>
      <w:r w:rsidR="009E7D6B" w:rsidRPr="00251400">
        <w:rPr>
          <w:rFonts w:ascii="Book Antiqua" w:hAnsi="Book Antiqua"/>
          <w:noProof/>
          <w:sz w:val="24"/>
          <w:szCs w:val="24"/>
          <w:vertAlign w:val="superscript"/>
          <w:lang w:val="en-US"/>
        </w:rPr>
        <w:t>,</w:t>
      </w:r>
      <w:r w:rsidRPr="00251400">
        <w:rPr>
          <w:rFonts w:ascii="Book Antiqua" w:hAnsi="Book Antiqua"/>
          <w:noProof/>
          <w:sz w:val="24"/>
          <w:szCs w:val="24"/>
          <w:vertAlign w:val="superscript"/>
          <w:lang w:val="en-US"/>
        </w:rPr>
        <w:t>18]</w:t>
      </w:r>
      <w:r w:rsidRPr="00251400">
        <w:rPr>
          <w:rFonts w:ascii="Book Antiqua" w:hAnsi="Book Antiqua"/>
          <w:sz w:val="24"/>
          <w:szCs w:val="24"/>
          <w:lang w:val="en-US"/>
        </w:rPr>
        <w:t xml:space="preserve">. </w:t>
      </w:r>
    </w:p>
    <w:p w14:paraId="058D30C4" w14:textId="4C8BF3F3" w:rsidR="00883298" w:rsidRPr="00251400" w:rsidRDefault="00883298" w:rsidP="00B0664E">
      <w:pPr>
        <w:adjustRightInd w:val="0"/>
        <w:snapToGrid w:val="0"/>
        <w:spacing w:line="360" w:lineRule="auto"/>
        <w:ind w:firstLineChars="100" w:firstLine="240"/>
        <w:jc w:val="both"/>
        <w:rPr>
          <w:rFonts w:ascii="Book Antiqua" w:hAnsi="Book Antiqua"/>
          <w:sz w:val="24"/>
          <w:szCs w:val="24"/>
          <w:lang w:val="en-US"/>
        </w:rPr>
      </w:pPr>
      <w:r w:rsidRPr="00251400">
        <w:rPr>
          <w:rFonts w:ascii="Book Antiqua" w:hAnsi="Book Antiqua"/>
          <w:sz w:val="24"/>
          <w:szCs w:val="24"/>
          <w:lang w:val="en-US"/>
        </w:rPr>
        <w:t>During the current pandemic outbreak of the novel coronavirus caused respiratory disease (COVID-19) the use of MHAs and MAs and telemedical solutions has tremendously increased</w:t>
      </w:r>
      <w:r w:rsidRPr="00251400">
        <w:rPr>
          <w:rFonts w:ascii="Book Antiqua" w:hAnsi="Book Antiqua"/>
          <w:noProof/>
          <w:sz w:val="24"/>
          <w:szCs w:val="24"/>
          <w:vertAlign w:val="superscript"/>
          <w:lang w:val="en-US"/>
        </w:rPr>
        <w:t>[19]</w:t>
      </w:r>
      <w:r w:rsidRPr="00251400">
        <w:rPr>
          <w:rFonts w:ascii="Book Antiqua" w:hAnsi="Book Antiqua"/>
          <w:sz w:val="24"/>
          <w:szCs w:val="24"/>
          <w:lang w:val="en-US"/>
        </w:rPr>
        <w:t>. The use of these digital technologies to set up virtual clinics, telemedical consultations, remote interpreting of data and virtual education platforms is ideal for continuing medical care during situations of local government issued curfews and shortage of specialized workforces</w:t>
      </w:r>
      <w:r w:rsidRPr="00251400">
        <w:rPr>
          <w:rFonts w:ascii="Book Antiqua" w:hAnsi="Book Antiqua"/>
          <w:noProof/>
          <w:sz w:val="24"/>
          <w:szCs w:val="24"/>
          <w:vertAlign w:val="superscript"/>
          <w:lang w:val="en-US"/>
        </w:rPr>
        <w:t>[19]</w:t>
      </w:r>
      <w:r w:rsidRPr="00251400">
        <w:rPr>
          <w:rFonts w:ascii="Book Antiqua" w:hAnsi="Book Antiqua"/>
          <w:sz w:val="24"/>
          <w:szCs w:val="24"/>
          <w:lang w:val="en-US"/>
        </w:rPr>
        <w:t xml:space="preserve">. Therefore, during the current pandemic situation in the field of gastroenterology the use of ICT has been already used for managing patients with </w:t>
      </w:r>
      <w:r w:rsidR="00CD1A12" w:rsidRPr="00251400">
        <w:rPr>
          <w:rFonts w:ascii="Book Antiqua" w:hAnsi="Book Antiqua"/>
          <w:sz w:val="24"/>
          <w:szCs w:val="24"/>
          <w:lang w:val="en-US"/>
        </w:rPr>
        <w:t>chronic liver disease (CLD)</w:t>
      </w:r>
      <w:r w:rsidR="00CD1A12" w:rsidRPr="00251400">
        <w:rPr>
          <w:rFonts w:ascii="Book Antiqua" w:hAnsi="Book Antiqua"/>
          <w:noProof/>
          <w:sz w:val="24"/>
          <w:szCs w:val="24"/>
          <w:vertAlign w:val="superscript"/>
          <w:lang w:val="en-US"/>
        </w:rPr>
        <w:t xml:space="preserve"> </w:t>
      </w:r>
      <w:r w:rsidRPr="00251400">
        <w:rPr>
          <w:rFonts w:ascii="Book Antiqua" w:hAnsi="Book Antiqua"/>
          <w:noProof/>
          <w:sz w:val="24"/>
          <w:szCs w:val="24"/>
          <w:vertAlign w:val="superscript"/>
          <w:lang w:val="en-US"/>
        </w:rPr>
        <w:t>[20]</w:t>
      </w:r>
      <w:r w:rsidRPr="00251400">
        <w:rPr>
          <w:rFonts w:ascii="Book Antiqua" w:hAnsi="Book Antiqua"/>
          <w:sz w:val="24"/>
          <w:szCs w:val="24"/>
          <w:lang w:val="en-US"/>
        </w:rPr>
        <w:t xml:space="preserve"> or new-onset </w:t>
      </w:r>
      <w:r w:rsidRPr="00251400">
        <w:rPr>
          <w:rFonts w:ascii="Book Antiqua" w:hAnsi="Book Antiqua"/>
          <w:sz w:val="24"/>
          <w:szCs w:val="24"/>
          <w:lang w:val="en-US"/>
        </w:rPr>
        <w:lastRenderedPageBreak/>
        <w:t>type 1 diabetes</w:t>
      </w:r>
      <w:r w:rsidRPr="00251400">
        <w:rPr>
          <w:rFonts w:ascii="Book Antiqua" w:hAnsi="Book Antiqua"/>
          <w:noProof/>
          <w:sz w:val="24"/>
          <w:szCs w:val="24"/>
          <w:vertAlign w:val="superscript"/>
          <w:lang w:val="en-US"/>
        </w:rPr>
        <w:t>[21]</w:t>
      </w:r>
      <w:r w:rsidRPr="00251400">
        <w:rPr>
          <w:rFonts w:ascii="Book Antiqua" w:hAnsi="Book Antiqua"/>
          <w:sz w:val="24"/>
          <w:szCs w:val="24"/>
          <w:lang w:val="en-US"/>
        </w:rPr>
        <w:t xml:space="preserve"> – to name just a few. Guidelines have already been published by the European Association for the Study of the Liver</w:t>
      </w:r>
      <w:r w:rsidR="008C6CBE" w:rsidRPr="00251400">
        <w:rPr>
          <w:rFonts w:ascii="Book Antiqua" w:hAnsi="Book Antiqua"/>
          <w:sz w:val="24"/>
          <w:szCs w:val="24"/>
          <w:lang w:val="en-US"/>
        </w:rPr>
        <w:t xml:space="preserve"> </w:t>
      </w:r>
      <w:r w:rsidRPr="00251400">
        <w:rPr>
          <w:rFonts w:ascii="Book Antiqua" w:hAnsi="Book Antiqua"/>
          <w:sz w:val="24"/>
          <w:szCs w:val="24"/>
          <w:lang w:val="en-US"/>
        </w:rPr>
        <w:t xml:space="preserve">for telemedical management of patients with </w:t>
      </w:r>
      <w:r w:rsidR="00CD1A12" w:rsidRPr="00251400">
        <w:rPr>
          <w:rFonts w:ascii="Book Antiqua" w:hAnsi="Book Antiqua"/>
          <w:sz w:val="24"/>
          <w:szCs w:val="24"/>
          <w:lang w:val="en-US"/>
        </w:rPr>
        <w:t>CLD</w:t>
      </w:r>
      <w:r w:rsidRPr="00251400">
        <w:rPr>
          <w:rFonts w:ascii="Book Antiqua" w:hAnsi="Book Antiqua"/>
          <w:noProof/>
          <w:sz w:val="24"/>
          <w:szCs w:val="24"/>
          <w:vertAlign w:val="superscript"/>
          <w:lang w:val="en-US"/>
        </w:rPr>
        <w:t>[22]</w:t>
      </w:r>
      <w:r w:rsidRPr="00251400">
        <w:rPr>
          <w:rFonts w:ascii="Book Antiqua" w:hAnsi="Book Antiqua"/>
          <w:sz w:val="24"/>
          <w:szCs w:val="24"/>
          <w:lang w:val="en-US"/>
        </w:rPr>
        <w:t>.</w:t>
      </w:r>
    </w:p>
    <w:p w14:paraId="20D359F8" w14:textId="1DB92145" w:rsidR="00883298" w:rsidRPr="00251400" w:rsidRDefault="00883298" w:rsidP="00B0664E">
      <w:pPr>
        <w:adjustRightInd w:val="0"/>
        <w:snapToGrid w:val="0"/>
        <w:spacing w:line="360" w:lineRule="auto"/>
        <w:ind w:firstLineChars="100" w:firstLine="240"/>
        <w:jc w:val="both"/>
        <w:rPr>
          <w:rFonts w:ascii="Book Antiqua" w:hAnsi="Book Antiqua"/>
          <w:sz w:val="24"/>
          <w:szCs w:val="24"/>
          <w:lang w:val="en-US"/>
        </w:rPr>
      </w:pPr>
      <w:r w:rsidRPr="00251400">
        <w:rPr>
          <w:rFonts w:ascii="Book Antiqua" w:hAnsi="Book Antiqua"/>
          <w:sz w:val="24"/>
          <w:szCs w:val="24"/>
          <w:lang w:val="en-US"/>
        </w:rPr>
        <w:t>Despite the great potential associated with the application of MHAs and MAs in gastroenterology and health care in general, there are numerous challenges to be met in the future, including both the ethical and legal aspects of applying this technology</w:t>
      </w:r>
      <w:r w:rsidRPr="00251400">
        <w:rPr>
          <w:rFonts w:ascii="Book Antiqua" w:hAnsi="Book Antiqua"/>
          <w:noProof/>
          <w:sz w:val="24"/>
          <w:szCs w:val="24"/>
          <w:vertAlign w:val="superscript"/>
          <w:lang w:val="en-US"/>
        </w:rPr>
        <w:t>[23]</w:t>
      </w:r>
      <w:r w:rsidRPr="00251400">
        <w:rPr>
          <w:rFonts w:ascii="Book Antiqua" w:hAnsi="Book Antiqua"/>
          <w:sz w:val="24"/>
          <w:szCs w:val="24"/>
          <w:lang w:val="en-US"/>
        </w:rPr>
        <w:t xml:space="preserve"> as well as the proof of benefit in terms of evidence-based medical care</w:t>
      </w:r>
      <w:r w:rsidRPr="00251400">
        <w:rPr>
          <w:rFonts w:ascii="Book Antiqua" w:hAnsi="Book Antiqua"/>
          <w:noProof/>
          <w:sz w:val="24"/>
          <w:szCs w:val="24"/>
          <w:vertAlign w:val="superscript"/>
          <w:lang w:val="en-US"/>
        </w:rPr>
        <w:t>[24]</w:t>
      </w:r>
      <w:r w:rsidRPr="00251400">
        <w:rPr>
          <w:rFonts w:ascii="Book Antiqua" w:hAnsi="Book Antiqua"/>
          <w:sz w:val="24"/>
          <w:szCs w:val="24"/>
          <w:lang w:val="en-US"/>
        </w:rPr>
        <w:t>. The aim of this article is to provide an overview of the status quo of MHA and MA use in the field of gastroenterology, describe the future perspectives in this field and point out some of the challenges that need to be addressed.</w:t>
      </w:r>
    </w:p>
    <w:p w14:paraId="623E1C72" w14:textId="77777777" w:rsidR="008C6CBE" w:rsidRPr="00251400" w:rsidRDefault="008C6CBE" w:rsidP="00B0664E">
      <w:pPr>
        <w:adjustRightInd w:val="0"/>
        <w:snapToGrid w:val="0"/>
        <w:spacing w:line="360" w:lineRule="auto"/>
        <w:jc w:val="both"/>
        <w:rPr>
          <w:rFonts w:ascii="Book Antiqua" w:hAnsi="Book Antiqua"/>
          <w:sz w:val="24"/>
          <w:szCs w:val="24"/>
          <w:lang w:val="en-US"/>
        </w:rPr>
      </w:pPr>
    </w:p>
    <w:p w14:paraId="1DE9A0B5" w14:textId="4B282012" w:rsidR="00883298" w:rsidRPr="00251400" w:rsidRDefault="00214CC2" w:rsidP="00B0664E">
      <w:pPr>
        <w:adjustRightInd w:val="0"/>
        <w:snapToGrid w:val="0"/>
        <w:spacing w:line="360" w:lineRule="auto"/>
        <w:jc w:val="both"/>
        <w:rPr>
          <w:rFonts w:ascii="Book Antiqua" w:hAnsi="Book Antiqua"/>
          <w:b/>
          <w:sz w:val="24"/>
          <w:szCs w:val="24"/>
          <w:u w:val="single"/>
          <w:lang w:val="en-US"/>
        </w:rPr>
      </w:pPr>
      <w:r w:rsidRPr="00251400">
        <w:rPr>
          <w:rFonts w:ascii="Book Antiqua" w:hAnsi="Book Antiqua"/>
          <w:b/>
          <w:sz w:val="24"/>
          <w:szCs w:val="24"/>
          <w:u w:val="single"/>
          <w:lang w:val="en-US"/>
        </w:rPr>
        <w:t>TECHNOLOGICAL BACKGROUND</w:t>
      </w:r>
    </w:p>
    <w:p w14:paraId="26C6F8C7" w14:textId="188D85EF"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In the context of the application of digital </w:t>
      </w:r>
      <w:r w:rsidR="00C87E51" w:rsidRPr="00251400">
        <w:rPr>
          <w:rFonts w:ascii="Book Antiqua" w:hAnsi="Book Antiqua"/>
          <w:sz w:val="24"/>
          <w:szCs w:val="24"/>
          <w:lang w:val="en-US"/>
        </w:rPr>
        <w:t>ICT</w:t>
      </w:r>
      <w:r w:rsidRPr="00251400">
        <w:rPr>
          <w:rFonts w:ascii="Book Antiqua" w:hAnsi="Book Antiqua"/>
          <w:sz w:val="24"/>
          <w:szCs w:val="24"/>
          <w:lang w:val="en-US"/>
        </w:rPr>
        <w:t xml:space="preserve"> in general and MHAs and MAs</w:t>
      </w:r>
      <w:r w:rsidR="008C6CBE" w:rsidRPr="00251400">
        <w:rPr>
          <w:rFonts w:ascii="Book Antiqua" w:hAnsi="Book Antiqua"/>
          <w:sz w:val="24"/>
          <w:szCs w:val="24"/>
          <w:lang w:val="en-US"/>
        </w:rPr>
        <w:t xml:space="preserve"> </w:t>
      </w:r>
      <w:r w:rsidRPr="00251400">
        <w:rPr>
          <w:rFonts w:ascii="Book Antiqua" w:hAnsi="Book Antiqua"/>
          <w:sz w:val="24"/>
          <w:szCs w:val="24"/>
          <w:lang w:val="en-US"/>
        </w:rPr>
        <w:t xml:space="preserve">in particular, there are numerous terms used to define this field more specifically (see </w:t>
      </w:r>
      <w:r w:rsidR="008C6CBE" w:rsidRPr="00251400">
        <w:rPr>
          <w:rFonts w:ascii="Book Antiqua" w:hAnsi="Book Antiqua"/>
          <w:sz w:val="24"/>
          <w:szCs w:val="24"/>
          <w:lang w:val="en-US"/>
        </w:rPr>
        <w:t>T</w:t>
      </w:r>
      <w:r w:rsidRPr="00251400">
        <w:rPr>
          <w:rFonts w:ascii="Book Antiqua" w:hAnsi="Book Antiqua"/>
          <w:sz w:val="24"/>
          <w:szCs w:val="24"/>
          <w:lang w:val="en-US"/>
        </w:rPr>
        <w:t xml:space="preserve">able 1 for a glossary). The term eHealth is probably one of the best known terms in this context. One of the most popular definitions was made by Eysenbach in 2001, who defined eHealth as “an emerging field in the intersection of medical informatics, public health and business, referring to health services and information delivered or enhanced through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and related technologies. In a broader sense, the term characterizes not only a technical development but also a state-of-mind, a way of thinking, an attitude, and a commitment for networked, global thinking, to improve health care locally, regionally, and worldwide, by using information and</w:t>
      </w:r>
      <w:r w:rsidR="00127C5A" w:rsidRPr="00251400">
        <w:rPr>
          <w:rFonts w:ascii="Book Antiqua" w:hAnsi="Book Antiqua"/>
          <w:sz w:val="24"/>
          <w:szCs w:val="24"/>
          <w:lang w:val="en-US"/>
        </w:rPr>
        <w:t xml:space="preserve"> </w:t>
      </w:r>
      <w:r w:rsidR="0053784C" w:rsidRPr="00251400">
        <w:rPr>
          <w:rFonts w:ascii="Book Antiqua" w:hAnsi="Book Antiqua"/>
          <w:sz w:val="24"/>
          <w:szCs w:val="24"/>
          <w:lang w:val="en-US"/>
        </w:rPr>
        <w:t xml:space="preserve"> </w:t>
      </w:r>
      <w:r w:rsidRPr="00251400">
        <w:rPr>
          <w:rFonts w:ascii="Book Antiqua" w:hAnsi="Book Antiqua"/>
          <w:sz w:val="24"/>
          <w:szCs w:val="24"/>
          <w:lang w:val="en-US"/>
        </w:rPr>
        <w:t>communication technology”</w:t>
      </w:r>
      <w:r w:rsidRPr="00251400">
        <w:rPr>
          <w:rFonts w:ascii="Book Antiqua" w:hAnsi="Book Antiqua"/>
          <w:noProof/>
          <w:sz w:val="24"/>
          <w:szCs w:val="24"/>
          <w:vertAlign w:val="superscript"/>
          <w:lang w:val="en-US"/>
        </w:rPr>
        <w:t>[25]</w:t>
      </w:r>
      <w:r w:rsidRPr="00251400">
        <w:rPr>
          <w:rFonts w:ascii="Book Antiqua" w:hAnsi="Book Antiqua"/>
          <w:sz w:val="24"/>
          <w:szCs w:val="24"/>
          <w:lang w:val="en-US"/>
        </w:rPr>
        <w:t>. For a more pragmatic perspective, the World Health</w:t>
      </w:r>
      <w:r w:rsidR="00127C5A" w:rsidRPr="00251400">
        <w:rPr>
          <w:rFonts w:ascii="Book Antiqua" w:hAnsi="Book Antiqua"/>
          <w:sz w:val="24"/>
          <w:szCs w:val="24"/>
          <w:lang w:val="en-US"/>
        </w:rPr>
        <w:t xml:space="preserve">  </w:t>
      </w:r>
      <w:r w:rsidR="0053784C" w:rsidRPr="00251400">
        <w:rPr>
          <w:rFonts w:ascii="Book Antiqua" w:hAnsi="Book Antiqua"/>
          <w:sz w:val="24"/>
          <w:szCs w:val="24"/>
          <w:lang w:val="en-US"/>
        </w:rPr>
        <w:t xml:space="preserve"> </w:t>
      </w:r>
      <w:r w:rsidRPr="00251400">
        <w:rPr>
          <w:rFonts w:ascii="Book Antiqua" w:hAnsi="Book Antiqua"/>
          <w:sz w:val="24"/>
          <w:szCs w:val="24"/>
          <w:lang w:val="en-US"/>
        </w:rPr>
        <w:t>Organization (WHO) postulated that “eHealth (electronic health) is the cost-effective and secure use of ICT for health and health-related fields”. Due to the great relevance of smartphone apps in healthcare, the term mHealth has been added to the term eHealth in recent years. The term mHealth or mobile health is a component of eHealth and is defined by the WHO as “medical and public health practice supported by mobile devices, such as mobile phones, patient monitoring devices, personal digital assistants, and other wireless devices”</w:t>
      </w:r>
      <w:r w:rsidRPr="00251400">
        <w:rPr>
          <w:rFonts w:ascii="Book Antiqua" w:hAnsi="Book Antiqua"/>
          <w:noProof/>
          <w:sz w:val="24"/>
          <w:szCs w:val="24"/>
          <w:vertAlign w:val="superscript"/>
          <w:lang w:val="en-US"/>
        </w:rPr>
        <w:t>[26]</w:t>
      </w:r>
      <w:r w:rsidR="008C6CBE" w:rsidRPr="00251400">
        <w:rPr>
          <w:rFonts w:ascii="Book Antiqua" w:hAnsi="Book Antiqua"/>
          <w:noProof/>
          <w:sz w:val="24"/>
          <w:szCs w:val="24"/>
          <w:lang w:val="en-US"/>
        </w:rPr>
        <w:t>.</w:t>
      </w:r>
      <w:r w:rsidRPr="00251400">
        <w:rPr>
          <w:rFonts w:ascii="Book Antiqua" w:hAnsi="Book Antiqua"/>
          <w:sz w:val="24"/>
          <w:szCs w:val="24"/>
          <w:lang w:val="en-US"/>
        </w:rPr>
        <w:t xml:space="preserve"> However, general definitions of these terms have not yet been established. With regard to the properties of smartphone applications, it is important to make a distinction between </w:t>
      </w:r>
      <w:r w:rsidRPr="00251400">
        <w:rPr>
          <w:rFonts w:ascii="Book Antiqua" w:hAnsi="Book Antiqua"/>
          <w:sz w:val="24"/>
          <w:szCs w:val="24"/>
          <w:lang w:val="en-US"/>
        </w:rPr>
        <w:lastRenderedPageBreak/>
        <w:t>the terms MHA and MA. MHAs, often referred to as health apps, are smartphone apps that are dedicated to consumers and are supposed to support a health-promoting lifestyle as a preventive measure. In contrast, MAs, also called smartphone apps, are subject to a medical purpose limitation and therefore have to be classified under the legal regulations for medical devices</w:t>
      </w:r>
      <w:r w:rsidRPr="00251400">
        <w:rPr>
          <w:rFonts w:ascii="Book Antiqua" w:hAnsi="Book Antiqua"/>
          <w:noProof/>
          <w:sz w:val="24"/>
          <w:szCs w:val="24"/>
          <w:vertAlign w:val="superscript"/>
          <w:lang w:val="en-US"/>
        </w:rPr>
        <w:t>[27]</w:t>
      </w:r>
      <w:r w:rsidRPr="00251400">
        <w:rPr>
          <w:rFonts w:ascii="Book Antiqua" w:hAnsi="Book Antiqua"/>
          <w:sz w:val="24"/>
          <w:szCs w:val="24"/>
          <w:lang w:val="en-US"/>
        </w:rPr>
        <w:t>. According to recent estimates, there are currently approximately 325000 smartphone apps available on health-related topics</w:t>
      </w:r>
      <w:r w:rsidRPr="00251400">
        <w:rPr>
          <w:rFonts w:ascii="Book Antiqua" w:hAnsi="Book Antiqua"/>
          <w:noProof/>
          <w:sz w:val="24"/>
          <w:szCs w:val="24"/>
          <w:vertAlign w:val="superscript"/>
          <w:lang w:val="en-US"/>
        </w:rPr>
        <w:t>[28]</w:t>
      </w:r>
      <w:r w:rsidRPr="00251400">
        <w:rPr>
          <w:rFonts w:ascii="Book Antiqua" w:hAnsi="Book Antiqua"/>
          <w:sz w:val="24"/>
          <w:szCs w:val="24"/>
          <w:lang w:val="en-US"/>
        </w:rPr>
        <w:t xml:space="preserve">. In addition, there are certainly smartphone apps that are not specifically available </w:t>
      </w:r>
      <w:r w:rsidRPr="00251400">
        <w:rPr>
          <w:rFonts w:ascii="Book Antiqua" w:hAnsi="Book Antiqua"/>
          <w:i/>
          <w:sz w:val="24"/>
          <w:szCs w:val="24"/>
          <w:lang w:val="en-US"/>
        </w:rPr>
        <w:t>via</w:t>
      </w:r>
      <w:r w:rsidRPr="00251400">
        <w:rPr>
          <w:rFonts w:ascii="Book Antiqua" w:hAnsi="Book Antiqua"/>
          <w:sz w:val="24"/>
          <w:szCs w:val="24"/>
          <w:lang w:val="en-US"/>
        </w:rPr>
        <w:t xml:space="preserve"> an online platform and are not available for public download. The areas of application and functionalization of MHAs and MAs are extremely diverse and range from the management of chronic diseases, the support of health behaviors and even self-diagnostics</w:t>
      </w:r>
      <w:r w:rsidRPr="00251400">
        <w:rPr>
          <w:rFonts w:ascii="Book Antiqua" w:hAnsi="Book Antiqua"/>
          <w:noProof/>
          <w:sz w:val="24"/>
          <w:szCs w:val="24"/>
          <w:vertAlign w:val="superscript"/>
          <w:lang w:val="en-US"/>
        </w:rPr>
        <w:t>[29]</w:t>
      </w:r>
      <w:r w:rsidRPr="00251400">
        <w:rPr>
          <w:rFonts w:ascii="Book Antiqua" w:hAnsi="Book Antiqua"/>
          <w:sz w:val="24"/>
          <w:szCs w:val="24"/>
          <w:lang w:val="en-US"/>
        </w:rPr>
        <w:t>. MHAs and MAs can also provide infrastructure or support clinicians with clinical decision-making</w:t>
      </w:r>
      <w:r w:rsidRPr="00251400">
        <w:rPr>
          <w:rFonts w:ascii="Book Antiqua" w:hAnsi="Book Antiqua"/>
          <w:noProof/>
          <w:sz w:val="24"/>
          <w:szCs w:val="24"/>
          <w:vertAlign w:val="superscript"/>
          <w:lang w:val="en-US"/>
        </w:rPr>
        <w:t>[29]</w:t>
      </w:r>
      <w:r w:rsidRPr="00251400">
        <w:rPr>
          <w:rFonts w:ascii="Book Antiqua" w:hAnsi="Book Antiqua"/>
          <w:sz w:val="24"/>
          <w:szCs w:val="24"/>
          <w:lang w:val="en-US"/>
        </w:rPr>
        <w:t>.</w:t>
      </w:r>
    </w:p>
    <w:p w14:paraId="05DAE0D0" w14:textId="77777777" w:rsidR="008C6CBE" w:rsidRPr="00251400" w:rsidRDefault="008C6CBE" w:rsidP="00B0664E">
      <w:pPr>
        <w:adjustRightInd w:val="0"/>
        <w:snapToGrid w:val="0"/>
        <w:spacing w:line="360" w:lineRule="auto"/>
        <w:jc w:val="both"/>
        <w:rPr>
          <w:rFonts w:ascii="Book Antiqua" w:hAnsi="Book Antiqua"/>
          <w:sz w:val="24"/>
          <w:szCs w:val="24"/>
          <w:lang w:val="en-US"/>
        </w:rPr>
      </w:pPr>
    </w:p>
    <w:p w14:paraId="481B9723" w14:textId="4270827A" w:rsidR="00CC701B" w:rsidRPr="00251400" w:rsidRDefault="00214CC2" w:rsidP="00B0664E">
      <w:pPr>
        <w:adjustRightInd w:val="0"/>
        <w:snapToGrid w:val="0"/>
        <w:spacing w:line="360" w:lineRule="auto"/>
        <w:jc w:val="both"/>
        <w:rPr>
          <w:rFonts w:ascii="Book Antiqua" w:hAnsi="Book Antiqua"/>
          <w:b/>
          <w:iCs/>
          <w:sz w:val="24"/>
          <w:szCs w:val="24"/>
          <w:u w:val="single"/>
          <w:lang w:val="en-US"/>
        </w:rPr>
      </w:pPr>
      <w:r w:rsidRPr="00251400">
        <w:rPr>
          <w:rFonts w:ascii="Book Antiqua" w:hAnsi="Book Antiqua"/>
          <w:b/>
          <w:iCs/>
          <w:sz w:val="24"/>
          <w:szCs w:val="24"/>
          <w:u w:val="single"/>
          <w:lang w:val="en-US"/>
        </w:rPr>
        <w:t>OPPORTUNITIES</w:t>
      </w:r>
    </w:p>
    <w:p w14:paraId="310B7D57" w14:textId="77777777" w:rsidR="00214CC2"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
          <w:i/>
          <w:iCs/>
          <w:sz w:val="24"/>
          <w:szCs w:val="24"/>
          <w:lang w:val="en-US"/>
        </w:rPr>
        <w:t xml:space="preserve">Digital </w:t>
      </w:r>
      <w:r w:rsidR="00CC701B" w:rsidRPr="00251400">
        <w:rPr>
          <w:rFonts w:ascii="Book Antiqua" w:hAnsi="Book Antiqua"/>
          <w:b/>
          <w:i/>
          <w:iCs/>
          <w:sz w:val="24"/>
          <w:szCs w:val="24"/>
          <w:lang w:val="en-US"/>
        </w:rPr>
        <w:t>therapeutics and diagnostics</w:t>
      </w:r>
    </w:p>
    <w:p w14:paraId="4BFBE02C" w14:textId="20D451C4"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b/>
          <w:sz w:val="24"/>
          <w:szCs w:val="24"/>
          <w:lang w:val="en-US"/>
        </w:rPr>
        <w:t>Clinical care integration</w:t>
      </w:r>
      <w:r w:rsidR="00CC701B" w:rsidRPr="00251400">
        <w:rPr>
          <w:rFonts w:ascii="Book Antiqua" w:hAnsi="Book Antiqua"/>
          <w:b/>
          <w:sz w:val="24"/>
          <w:szCs w:val="24"/>
          <w:lang w:val="en-US"/>
        </w:rPr>
        <w:t>:</w:t>
      </w:r>
      <w:r w:rsidR="00CC701B" w:rsidRPr="00251400">
        <w:rPr>
          <w:rFonts w:ascii="Book Antiqua" w:eastAsia="宋体" w:hAnsi="Book Antiqua" w:hint="eastAsia"/>
          <w:b/>
          <w:i/>
          <w:sz w:val="24"/>
          <w:szCs w:val="24"/>
          <w:lang w:val="en-US" w:eastAsia="zh-CN"/>
        </w:rPr>
        <w:t xml:space="preserve"> </w:t>
      </w:r>
      <w:r w:rsidRPr="00251400">
        <w:rPr>
          <w:rFonts w:ascii="Book Antiqua" w:hAnsi="Book Antiqua"/>
          <w:sz w:val="24"/>
          <w:szCs w:val="24"/>
          <w:lang w:val="en-US"/>
        </w:rPr>
        <w:t xml:space="preserve">The integration of MHAs and MAs in clinical care is changing practice in gastroenterological care and other fields of healthcare (see </w:t>
      </w:r>
      <w:r w:rsidR="0053784C" w:rsidRPr="00251400">
        <w:rPr>
          <w:rFonts w:ascii="Book Antiqua" w:hAnsi="Book Antiqua"/>
          <w:sz w:val="24"/>
          <w:szCs w:val="24"/>
          <w:lang w:val="en-US"/>
        </w:rPr>
        <w:t>T</w:t>
      </w:r>
      <w:r w:rsidRPr="00251400">
        <w:rPr>
          <w:rFonts w:ascii="Book Antiqua" w:hAnsi="Book Antiqua"/>
          <w:sz w:val="24"/>
          <w:szCs w:val="24"/>
          <w:lang w:val="en-US"/>
        </w:rPr>
        <w:t>able 2 for examples)</w:t>
      </w:r>
      <w:r w:rsidRPr="00251400">
        <w:rPr>
          <w:rFonts w:ascii="Book Antiqua" w:hAnsi="Book Antiqua"/>
          <w:noProof/>
          <w:sz w:val="24"/>
          <w:szCs w:val="24"/>
          <w:vertAlign w:val="superscript"/>
          <w:lang w:val="en-US"/>
        </w:rPr>
        <w:t>[30]</w:t>
      </w:r>
      <w:r w:rsidRPr="00251400">
        <w:rPr>
          <w:rFonts w:ascii="Book Antiqua" w:hAnsi="Book Antiqua"/>
          <w:sz w:val="24"/>
          <w:szCs w:val="24"/>
          <w:lang w:val="en-US"/>
        </w:rPr>
        <w:t>. One example is MHAs and MAs used as a digital intervention to improve patient education in the area of preparation for a colonoscopy</w:t>
      </w:r>
      <w:r w:rsidRPr="00251400">
        <w:rPr>
          <w:rFonts w:ascii="Book Antiqua" w:hAnsi="Book Antiqua"/>
          <w:noProof/>
          <w:sz w:val="24"/>
          <w:szCs w:val="24"/>
          <w:vertAlign w:val="superscript"/>
          <w:lang w:val="en-US"/>
        </w:rPr>
        <w:t>[31]</w:t>
      </w:r>
      <w:r w:rsidRPr="00251400">
        <w:rPr>
          <w:rFonts w:ascii="Book Antiqua" w:hAnsi="Book Antiqua"/>
          <w:sz w:val="24"/>
          <w:szCs w:val="24"/>
          <w:lang w:val="en-US"/>
        </w:rPr>
        <w:t>. The usefulness of patient education before colonoscopy is well established, and optimizing preparation results improves clinical care</w:t>
      </w:r>
      <w:r w:rsidRPr="00251400">
        <w:rPr>
          <w:rFonts w:ascii="Book Antiqua" w:hAnsi="Book Antiqua"/>
          <w:noProof/>
          <w:sz w:val="24"/>
          <w:szCs w:val="24"/>
          <w:vertAlign w:val="superscript"/>
          <w:lang w:val="en-US"/>
        </w:rPr>
        <w:t>[32]</w:t>
      </w:r>
      <w:r w:rsidRPr="00251400">
        <w:rPr>
          <w:rFonts w:ascii="Book Antiqua" w:hAnsi="Book Antiqua"/>
          <w:sz w:val="24"/>
          <w:szCs w:val="24"/>
          <w:lang w:val="en-US"/>
        </w:rPr>
        <w:t>. There are many different tools and methods to provide educational material to increase adequate bowel preparation ahead of a colonoscopy. These can be booklets, cartoon-based visual aids, educational videos, short message services or social media-based interventions</w:t>
      </w:r>
      <w:r w:rsidRPr="00251400">
        <w:rPr>
          <w:rFonts w:ascii="Book Antiqua" w:hAnsi="Book Antiqua"/>
          <w:noProof/>
          <w:sz w:val="24"/>
          <w:szCs w:val="24"/>
          <w:vertAlign w:val="superscript"/>
          <w:lang w:val="en-US"/>
        </w:rPr>
        <w:t>[33]</w:t>
      </w:r>
      <w:r w:rsidRPr="00251400">
        <w:rPr>
          <w:rFonts w:ascii="Book Antiqua" w:hAnsi="Book Antiqua"/>
          <w:sz w:val="24"/>
          <w:szCs w:val="24"/>
          <w:lang w:val="en-US"/>
        </w:rPr>
        <w:t>. A major goal of digital interventions is to provide patients with essential knowledge regarding good health information about the aim of the preparation procedure to improve adherence and the overall quality of the colonoscopy</w:t>
      </w:r>
      <w:r w:rsidRPr="00251400">
        <w:rPr>
          <w:rFonts w:ascii="Book Antiqua" w:hAnsi="Book Antiqua"/>
          <w:noProof/>
          <w:sz w:val="24"/>
          <w:szCs w:val="24"/>
          <w:vertAlign w:val="superscript"/>
          <w:lang w:val="en-US"/>
        </w:rPr>
        <w:t>[34</w:t>
      </w:r>
      <w:r w:rsidR="0053784C" w:rsidRPr="00251400">
        <w:rPr>
          <w:rFonts w:ascii="Book Antiqua" w:hAnsi="Book Antiqua"/>
          <w:noProof/>
          <w:sz w:val="24"/>
          <w:szCs w:val="24"/>
          <w:vertAlign w:val="superscript"/>
          <w:lang w:val="en-US"/>
        </w:rPr>
        <w:t>,</w:t>
      </w:r>
      <w:r w:rsidRPr="00251400">
        <w:rPr>
          <w:rFonts w:ascii="Book Antiqua" w:hAnsi="Book Antiqua"/>
          <w:noProof/>
          <w:sz w:val="24"/>
          <w:szCs w:val="24"/>
          <w:vertAlign w:val="superscript"/>
          <w:lang w:val="en-US"/>
        </w:rPr>
        <w:t>35]</w:t>
      </w:r>
      <w:r w:rsidRPr="00251400">
        <w:rPr>
          <w:rFonts w:ascii="Book Antiqua" w:hAnsi="Book Antiqua"/>
          <w:sz w:val="24"/>
          <w:szCs w:val="24"/>
          <w:lang w:val="en-US"/>
        </w:rPr>
        <w:t>. In particular, this kind of digital intervention aims to increase the adequate cleaning of the colon before the actual procedure. The reason for such an intervention is that, in up to 25% of the patients who undergo colonoscopy, inadequate bowel cleansing is present</w:t>
      </w:r>
      <w:r w:rsidRPr="00251400">
        <w:rPr>
          <w:rFonts w:ascii="Book Antiqua" w:hAnsi="Book Antiqua"/>
          <w:noProof/>
          <w:sz w:val="24"/>
          <w:szCs w:val="24"/>
          <w:vertAlign w:val="superscript"/>
          <w:lang w:val="en-US"/>
        </w:rPr>
        <w:t>[36]</w:t>
      </w:r>
      <w:r w:rsidRPr="00251400">
        <w:rPr>
          <w:rFonts w:ascii="Book Antiqua" w:hAnsi="Book Antiqua"/>
          <w:sz w:val="24"/>
          <w:szCs w:val="24"/>
          <w:lang w:val="en-US"/>
        </w:rPr>
        <w:t>. Adequate bowel cleansing can increase the detection rate of polyps and reduce complications</w:t>
      </w:r>
      <w:r w:rsidRPr="00251400">
        <w:rPr>
          <w:rFonts w:ascii="Book Antiqua" w:hAnsi="Book Antiqua"/>
          <w:noProof/>
          <w:sz w:val="24"/>
          <w:szCs w:val="24"/>
          <w:vertAlign w:val="superscript"/>
          <w:lang w:val="en-US"/>
        </w:rPr>
        <w:t>[37]</w:t>
      </w:r>
      <w:r w:rsidRPr="00251400">
        <w:rPr>
          <w:rFonts w:ascii="Book Antiqua" w:hAnsi="Book Antiqua"/>
          <w:sz w:val="24"/>
          <w:szCs w:val="24"/>
          <w:lang w:val="en-US"/>
        </w:rPr>
        <w:t>. In a recently published meta-analysis</w:t>
      </w:r>
      <w:r w:rsidRPr="00251400">
        <w:rPr>
          <w:rFonts w:ascii="Book Antiqua" w:hAnsi="Book Antiqua"/>
          <w:noProof/>
          <w:sz w:val="24"/>
          <w:szCs w:val="24"/>
          <w:vertAlign w:val="superscript"/>
          <w:lang w:val="en-US"/>
        </w:rPr>
        <w:t>[36]</w:t>
      </w:r>
      <w:r w:rsidRPr="00251400">
        <w:rPr>
          <w:rFonts w:ascii="Book Antiqua" w:hAnsi="Book Antiqua"/>
          <w:sz w:val="24"/>
          <w:szCs w:val="24"/>
          <w:lang w:val="en-US"/>
        </w:rPr>
        <w:t xml:space="preserve">, the authors included 6 </w:t>
      </w:r>
      <w:r w:rsidRPr="00251400">
        <w:rPr>
          <w:rFonts w:ascii="Book Antiqua" w:hAnsi="Book Antiqua"/>
          <w:sz w:val="24"/>
          <w:szCs w:val="24"/>
          <w:lang w:val="en-US"/>
        </w:rPr>
        <w:lastRenderedPageBreak/>
        <w:t xml:space="preserve">studies out of 520 records identified in a major database. In the included studies, smartphone apps interventions were compared with standard education. The outcome was reported as adequate bowel preparation </w:t>
      </w:r>
      <w:r w:rsidRPr="00251400">
        <w:rPr>
          <w:rFonts w:ascii="Book Antiqua" w:hAnsi="Book Antiqua"/>
          <w:i/>
          <w:iCs/>
          <w:sz w:val="24"/>
          <w:szCs w:val="24"/>
          <w:lang w:val="en-US"/>
        </w:rPr>
        <w:t>vs</w:t>
      </w:r>
      <w:r w:rsidRPr="00251400">
        <w:rPr>
          <w:rFonts w:ascii="Book Antiqua" w:hAnsi="Book Antiqua"/>
          <w:sz w:val="24"/>
          <w:szCs w:val="24"/>
          <w:lang w:val="en-US"/>
        </w:rPr>
        <w:t xml:space="preserve"> inadequate bowel preparation, measured </w:t>
      </w:r>
      <w:r w:rsidRPr="00251400">
        <w:rPr>
          <w:rFonts w:ascii="Book Antiqua" w:hAnsi="Book Antiqua"/>
          <w:i/>
          <w:sz w:val="24"/>
          <w:szCs w:val="24"/>
          <w:lang w:val="en-US"/>
        </w:rPr>
        <w:t>via</w:t>
      </w:r>
      <w:r w:rsidRPr="00251400">
        <w:rPr>
          <w:rFonts w:ascii="Book Antiqua" w:hAnsi="Book Antiqua"/>
          <w:sz w:val="24"/>
          <w:szCs w:val="24"/>
          <w:lang w:val="en-US"/>
        </w:rPr>
        <w:t xml:space="preserve"> a bowel preparation scale (</w:t>
      </w:r>
      <w:r w:rsidRPr="00251400">
        <w:rPr>
          <w:rFonts w:ascii="Book Antiqua" w:hAnsi="Book Antiqua"/>
          <w:i/>
          <w:sz w:val="24"/>
          <w:szCs w:val="24"/>
          <w:lang w:val="en-US"/>
        </w:rPr>
        <w:t>e.g.</w:t>
      </w:r>
      <w:r w:rsidRPr="00251400">
        <w:rPr>
          <w:rFonts w:ascii="Book Antiqua" w:hAnsi="Book Antiqua"/>
          <w:sz w:val="24"/>
          <w:szCs w:val="24"/>
          <w:lang w:val="en-US"/>
        </w:rPr>
        <w:t>, Boston Bowel Preparation Scale)</w:t>
      </w:r>
      <w:r w:rsidRPr="00251400">
        <w:rPr>
          <w:rFonts w:ascii="Book Antiqua" w:hAnsi="Book Antiqua"/>
          <w:noProof/>
          <w:sz w:val="24"/>
          <w:szCs w:val="24"/>
          <w:vertAlign w:val="superscript"/>
          <w:lang w:val="en-US"/>
        </w:rPr>
        <w:t>[36]</w:t>
      </w:r>
      <w:r w:rsidRPr="00251400">
        <w:rPr>
          <w:rFonts w:ascii="Book Antiqua" w:hAnsi="Book Antiqua"/>
          <w:sz w:val="24"/>
          <w:szCs w:val="24"/>
          <w:lang w:val="en-US"/>
        </w:rPr>
        <w:t>. The authors pooled data from 1665 patients and concluded that – despite some limitations of the meta-analysis – app-based interventions were an effective tool for an increased improvement of bowel cleansing</w:t>
      </w:r>
      <w:r w:rsidRPr="00251400">
        <w:rPr>
          <w:rFonts w:ascii="Book Antiqua" w:hAnsi="Book Antiqua"/>
          <w:noProof/>
          <w:sz w:val="24"/>
          <w:szCs w:val="24"/>
          <w:vertAlign w:val="superscript"/>
          <w:lang w:val="en-US"/>
        </w:rPr>
        <w:t>[36]</w:t>
      </w:r>
      <w:r w:rsidRPr="00251400">
        <w:rPr>
          <w:rFonts w:ascii="Book Antiqua" w:hAnsi="Book Antiqua"/>
          <w:sz w:val="24"/>
          <w:szCs w:val="24"/>
          <w:lang w:val="en-US"/>
        </w:rPr>
        <w:t>. In addition to MHAs and MAs, which focus on improving patient education, digital interventions are often specifically designed to improve and support chronic disease management</w:t>
      </w:r>
      <w:r w:rsidRPr="00251400">
        <w:rPr>
          <w:rFonts w:ascii="Book Antiqua" w:hAnsi="Book Antiqua"/>
          <w:noProof/>
          <w:sz w:val="24"/>
          <w:szCs w:val="24"/>
          <w:vertAlign w:val="superscript"/>
          <w:lang w:val="en-US"/>
        </w:rPr>
        <w:t>[17]</w:t>
      </w:r>
      <w:r w:rsidRPr="00251400">
        <w:rPr>
          <w:rFonts w:ascii="Book Antiqua" w:hAnsi="Book Antiqua"/>
          <w:sz w:val="24"/>
          <w:szCs w:val="24"/>
          <w:lang w:val="en-US"/>
        </w:rPr>
        <w:t>. A recent trial, which included 716 patients with non-alcoholic fatty liver disease found that an internet based program with a web-based intervention was not inferior to common lifestyle programs in terms for improving clinical outcomes. At the same time participation in the web-based intervention was more suitable for people with time and job constraints</w:t>
      </w:r>
      <w:r w:rsidRPr="00251400">
        <w:rPr>
          <w:rFonts w:ascii="Book Antiqua" w:hAnsi="Book Antiqua"/>
          <w:noProof/>
          <w:sz w:val="24"/>
          <w:szCs w:val="24"/>
          <w:vertAlign w:val="superscript"/>
          <w:lang w:val="en-US"/>
        </w:rPr>
        <w:t>[38]</w:t>
      </w:r>
      <w:r w:rsidRPr="00251400">
        <w:rPr>
          <w:rFonts w:ascii="Book Antiqua" w:hAnsi="Book Antiqua"/>
          <w:sz w:val="24"/>
          <w:szCs w:val="24"/>
          <w:lang w:val="en-US"/>
        </w:rPr>
        <w:t>. In the field of gastroenterology, MHAs can also improve the support of patients with inflammatory bowel disease (IBD). Potential use cases are patient education, the management of disease monitoring, tracking of symptoms, support of medication adherence, the tracking of dietary logs and the support of patient empowerment through access to social media channels</w:t>
      </w:r>
      <w:r w:rsidRPr="00251400">
        <w:rPr>
          <w:rFonts w:ascii="Book Antiqua" w:hAnsi="Book Antiqua"/>
          <w:noProof/>
          <w:sz w:val="24"/>
          <w:szCs w:val="24"/>
          <w:vertAlign w:val="superscript"/>
          <w:lang w:val="en-US"/>
        </w:rPr>
        <w:t>[39]</w:t>
      </w:r>
      <w:r w:rsidRPr="00251400">
        <w:rPr>
          <w:rFonts w:ascii="Book Antiqua" w:hAnsi="Book Antiqua"/>
          <w:sz w:val="24"/>
          <w:szCs w:val="24"/>
          <w:lang w:val="en-US"/>
        </w:rPr>
        <w:t>. There is a large number of literature reviews that have summarized the potential of using MHA to support patients with IBD</w:t>
      </w:r>
      <w:r w:rsidRPr="00251400">
        <w:rPr>
          <w:rFonts w:ascii="Book Antiqua" w:hAnsi="Book Antiqua"/>
          <w:noProof/>
          <w:sz w:val="24"/>
          <w:szCs w:val="24"/>
          <w:vertAlign w:val="superscript"/>
          <w:lang w:val="en-US"/>
        </w:rPr>
        <w:t>[15,39-41]</w:t>
      </w:r>
      <w:r w:rsidRPr="00251400">
        <w:rPr>
          <w:rFonts w:ascii="Book Antiqua" w:hAnsi="Book Antiqua"/>
          <w:sz w:val="24"/>
          <w:szCs w:val="24"/>
          <w:lang w:val="en-US"/>
        </w:rPr>
        <w:t xml:space="preserve">. In a recently published review from </w:t>
      </w:r>
      <w:r w:rsidR="00CD1A12" w:rsidRPr="00251400">
        <w:rPr>
          <w:rFonts w:ascii="Book Antiqua" w:hAnsi="Book Antiqua"/>
          <w:noProof/>
          <w:sz w:val="24"/>
          <w:szCs w:val="24"/>
          <w:lang w:val="en-US"/>
        </w:rPr>
        <w:t xml:space="preserve">Yin </w:t>
      </w:r>
      <w:r w:rsidR="00CD1A12" w:rsidRPr="00251400">
        <w:rPr>
          <w:rFonts w:ascii="Book Antiqua" w:hAnsi="Book Antiqua"/>
          <w:i/>
          <w:iCs/>
          <w:noProof/>
          <w:sz w:val="24"/>
          <w:szCs w:val="24"/>
          <w:lang w:val="en-US"/>
        </w:rPr>
        <w:t>et al</w:t>
      </w:r>
      <w:r w:rsidRPr="00251400">
        <w:rPr>
          <w:rFonts w:ascii="Book Antiqua" w:hAnsi="Book Antiqua"/>
          <w:noProof/>
          <w:sz w:val="24"/>
          <w:szCs w:val="24"/>
          <w:vertAlign w:val="superscript"/>
          <w:lang w:val="en-US"/>
        </w:rPr>
        <w:t>[15]</w:t>
      </w:r>
      <w:r w:rsidRPr="00251400">
        <w:rPr>
          <w:rFonts w:ascii="Book Antiqua" w:hAnsi="Book Antiqua"/>
          <w:sz w:val="24"/>
          <w:szCs w:val="24"/>
          <w:lang w:val="en-US"/>
        </w:rPr>
        <w:t>, apps available in the official Google and Apple digital stores were investigated. Eleven MHAs and 4 MAs were identified in this review. These MHAs focused on patient education, self-monitoring of symptoms, treatment support, follow-up support after diagnosis and patient satisfaction. In a study conducted with gastroenterologic patients’ willingness to use different types of health-related smartphone apps, the investigators found that most of the participants were willing to use apps up to 5 min a day. Trial participants raised concerns that location or social networking activity should not be tracked during their use of the technology</w:t>
      </w:r>
      <w:r w:rsidRPr="00251400">
        <w:rPr>
          <w:rFonts w:ascii="Book Antiqua" w:hAnsi="Book Antiqua"/>
          <w:noProof/>
          <w:sz w:val="24"/>
          <w:szCs w:val="24"/>
          <w:vertAlign w:val="superscript"/>
          <w:lang w:val="en-US"/>
        </w:rPr>
        <w:t>[42]</w:t>
      </w:r>
      <w:r w:rsidRPr="00251400">
        <w:rPr>
          <w:rFonts w:ascii="Book Antiqua" w:hAnsi="Book Antiqua"/>
          <w:sz w:val="24"/>
          <w:szCs w:val="24"/>
          <w:lang w:val="en-US"/>
        </w:rPr>
        <w:t>. Overall, patients are willing to use health-related apps to manage health problems, but they have high concerns about privacy as well as out-of-pocked payment</w:t>
      </w:r>
      <w:r w:rsidRPr="00251400">
        <w:rPr>
          <w:rFonts w:ascii="Book Antiqua" w:hAnsi="Book Antiqua"/>
          <w:noProof/>
          <w:sz w:val="24"/>
          <w:szCs w:val="24"/>
          <w:vertAlign w:val="superscript"/>
          <w:lang w:val="en-US"/>
        </w:rPr>
        <w:t>[42]</w:t>
      </w:r>
      <w:r w:rsidRPr="00251400">
        <w:rPr>
          <w:rFonts w:ascii="Book Antiqua" w:hAnsi="Book Antiqua"/>
          <w:sz w:val="24"/>
          <w:szCs w:val="24"/>
          <w:lang w:val="en-US"/>
        </w:rPr>
        <w:t>.</w:t>
      </w:r>
    </w:p>
    <w:p w14:paraId="5CE550D6" w14:textId="77777777" w:rsidR="00CD1A12" w:rsidRPr="00251400" w:rsidRDefault="00CD1A12" w:rsidP="00B0664E">
      <w:pPr>
        <w:adjustRightInd w:val="0"/>
        <w:snapToGrid w:val="0"/>
        <w:spacing w:line="360" w:lineRule="auto"/>
        <w:jc w:val="both"/>
        <w:rPr>
          <w:rFonts w:ascii="Book Antiqua" w:hAnsi="Book Antiqua"/>
          <w:b/>
          <w:i/>
          <w:sz w:val="24"/>
          <w:szCs w:val="24"/>
          <w:lang w:val="en-US"/>
        </w:rPr>
      </w:pPr>
    </w:p>
    <w:p w14:paraId="2B3AA727" w14:textId="098E6199" w:rsidR="00214CC2" w:rsidRPr="00251400" w:rsidRDefault="00883298" w:rsidP="00B0664E">
      <w:pPr>
        <w:adjustRightInd w:val="0"/>
        <w:snapToGrid w:val="0"/>
        <w:spacing w:line="360" w:lineRule="auto"/>
        <w:jc w:val="both"/>
        <w:rPr>
          <w:rFonts w:ascii="Book Antiqua" w:hAnsi="Book Antiqua"/>
          <w:b/>
          <w:i/>
          <w:iCs/>
          <w:sz w:val="24"/>
          <w:szCs w:val="24"/>
          <w:lang w:val="en-US"/>
        </w:rPr>
      </w:pPr>
      <w:r w:rsidRPr="00251400">
        <w:rPr>
          <w:rFonts w:ascii="Book Antiqua" w:hAnsi="Book Antiqua"/>
          <w:b/>
          <w:i/>
          <w:iCs/>
          <w:sz w:val="24"/>
          <w:szCs w:val="24"/>
          <w:lang w:val="en-US"/>
        </w:rPr>
        <w:t>Telemedicine an</w:t>
      </w:r>
      <w:r w:rsidR="00214CC2" w:rsidRPr="00251400">
        <w:rPr>
          <w:rFonts w:ascii="Book Antiqua" w:hAnsi="Book Antiqua"/>
          <w:b/>
          <w:i/>
          <w:iCs/>
          <w:sz w:val="24"/>
          <w:szCs w:val="24"/>
          <w:lang w:val="en-US"/>
        </w:rPr>
        <w:t>d telehealth interventions</w:t>
      </w:r>
    </w:p>
    <w:p w14:paraId="10874471" w14:textId="12859F3D"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lastRenderedPageBreak/>
        <w:t>Telemedicine is a digital health intervention, used in many fields of health care, that provides medical services at a distance. Telemedicine services are provided for varying conditions, such as hypertension</w:t>
      </w:r>
      <w:r w:rsidRPr="00251400">
        <w:rPr>
          <w:rFonts w:ascii="Book Antiqua" w:hAnsi="Book Antiqua"/>
          <w:noProof/>
          <w:sz w:val="24"/>
          <w:szCs w:val="24"/>
          <w:vertAlign w:val="superscript"/>
          <w:lang w:val="en-US"/>
        </w:rPr>
        <w:t>[43]</w:t>
      </w:r>
      <w:r w:rsidRPr="00251400">
        <w:rPr>
          <w:rFonts w:ascii="Book Antiqua" w:hAnsi="Book Antiqua"/>
          <w:sz w:val="24"/>
          <w:szCs w:val="24"/>
          <w:lang w:val="en-US"/>
        </w:rPr>
        <w:t>, chronic heart disease</w:t>
      </w:r>
      <w:r w:rsidRPr="00251400">
        <w:rPr>
          <w:rFonts w:ascii="Book Antiqua" w:hAnsi="Book Antiqua"/>
          <w:noProof/>
          <w:sz w:val="24"/>
          <w:szCs w:val="24"/>
          <w:vertAlign w:val="superscript"/>
          <w:lang w:val="en-US"/>
        </w:rPr>
        <w:t>[44]</w:t>
      </w:r>
      <w:r w:rsidRPr="00251400">
        <w:rPr>
          <w:rFonts w:ascii="Book Antiqua" w:hAnsi="Book Antiqua"/>
          <w:sz w:val="24"/>
          <w:szCs w:val="24"/>
          <w:lang w:val="en-US"/>
        </w:rPr>
        <w:t>, diabetes management</w:t>
      </w:r>
      <w:r w:rsidRPr="00251400">
        <w:rPr>
          <w:rFonts w:ascii="Book Antiqua" w:hAnsi="Book Antiqua"/>
          <w:noProof/>
          <w:sz w:val="24"/>
          <w:szCs w:val="24"/>
          <w:vertAlign w:val="superscript"/>
          <w:lang w:val="en-US"/>
        </w:rPr>
        <w:t>[45]</w:t>
      </w:r>
      <w:r w:rsidRPr="00251400">
        <w:rPr>
          <w:rFonts w:ascii="Book Antiqua" w:hAnsi="Book Antiqua"/>
          <w:sz w:val="24"/>
          <w:szCs w:val="24"/>
          <w:lang w:val="en-US"/>
        </w:rPr>
        <w:t xml:space="preserve"> and mental illnesses</w:t>
      </w:r>
      <w:r w:rsidRPr="00251400">
        <w:rPr>
          <w:rFonts w:ascii="Book Antiqua" w:hAnsi="Book Antiqua"/>
          <w:noProof/>
          <w:sz w:val="24"/>
          <w:szCs w:val="24"/>
          <w:vertAlign w:val="superscript"/>
          <w:lang w:val="en-US"/>
        </w:rPr>
        <w:t>[46]</w:t>
      </w:r>
      <w:r w:rsidRPr="00251400">
        <w:rPr>
          <w:rFonts w:ascii="Book Antiqua" w:hAnsi="Book Antiqua"/>
          <w:sz w:val="24"/>
          <w:szCs w:val="24"/>
          <w:lang w:val="en-US"/>
        </w:rPr>
        <w:t xml:space="preserve">. Telemedicine and telehealth are defined by the WHO, in the global observatory for eHealth, as “The delivery of health care services, where distance is a critical factor, by all health care professionals using </w:t>
      </w:r>
      <w:r w:rsidR="00C87E51" w:rsidRPr="00251400">
        <w:rPr>
          <w:rFonts w:ascii="Book Antiqua" w:hAnsi="Book Antiqua"/>
          <w:sz w:val="24"/>
          <w:szCs w:val="24"/>
          <w:lang w:val="en-US"/>
        </w:rPr>
        <w:t>ICT</w:t>
      </w:r>
      <w:r w:rsidRPr="00251400">
        <w:rPr>
          <w:rFonts w:ascii="Book Antiqua" w:hAnsi="Book Antiqua"/>
          <w:sz w:val="24"/>
          <w:szCs w:val="24"/>
          <w:lang w:val="en-US"/>
        </w:rPr>
        <w:t xml:space="preserve"> for the exchange of valid information for diagnosis, treatment and prevention of disease and injuries, research and evaluation, and for the continuing education of health care providers, all in the interest of advancing the health of individuals and their communities”</w:t>
      </w:r>
      <w:r w:rsidRPr="00251400">
        <w:rPr>
          <w:rFonts w:ascii="Book Antiqua" w:hAnsi="Book Antiqua"/>
          <w:noProof/>
          <w:sz w:val="24"/>
          <w:szCs w:val="24"/>
          <w:vertAlign w:val="superscript"/>
          <w:lang w:val="en-US"/>
        </w:rPr>
        <w:t>[47]</w:t>
      </w:r>
      <w:r w:rsidRPr="00251400">
        <w:rPr>
          <w:rFonts w:ascii="Book Antiqua" w:hAnsi="Book Antiqua"/>
          <w:i/>
          <w:sz w:val="24"/>
          <w:szCs w:val="24"/>
          <w:lang w:val="en-US"/>
        </w:rPr>
        <w:t xml:space="preserve">. </w:t>
      </w:r>
      <w:r w:rsidRPr="00251400">
        <w:rPr>
          <w:rFonts w:ascii="Book Antiqua" w:hAnsi="Book Antiqua"/>
          <w:sz w:val="24"/>
          <w:szCs w:val="24"/>
          <w:lang w:val="en-US"/>
        </w:rPr>
        <w:t>The potential for telemedicine and telehealth for the field of gastroenterology is high because of the chronic nature of many digestive diseases</w:t>
      </w:r>
      <w:r w:rsidRPr="00251400">
        <w:rPr>
          <w:rFonts w:ascii="Book Antiqua" w:hAnsi="Book Antiqua"/>
          <w:noProof/>
          <w:sz w:val="24"/>
          <w:szCs w:val="24"/>
          <w:vertAlign w:val="superscript"/>
          <w:lang w:val="en-US"/>
        </w:rPr>
        <w:t>[48]</w:t>
      </w:r>
      <w:r w:rsidRPr="00251400">
        <w:rPr>
          <w:rFonts w:ascii="Book Antiqua" w:hAnsi="Book Antiqua"/>
          <w:sz w:val="24"/>
          <w:szCs w:val="24"/>
          <w:lang w:val="en-US"/>
        </w:rPr>
        <w:t>; liver cirrhosis is an example</w:t>
      </w:r>
      <w:r w:rsidRPr="00251400">
        <w:rPr>
          <w:rFonts w:ascii="Book Antiqua" w:hAnsi="Book Antiqua"/>
          <w:noProof/>
          <w:sz w:val="24"/>
          <w:szCs w:val="24"/>
          <w:vertAlign w:val="superscript"/>
          <w:lang w:val="en-US"/>
        </w:rPr>
        <w:t>[49]</w:t>
      </w:r>
      <w:r w:rsidRPr="00251400">
        <w:rPr>
          <w:rFonts w:ascii="Book Antiqua" w:hAnsi="Book Antiqua"/>
          <w:sz w:val="24"/>
          <w:szCs w:val="24"/>
          <w:lang w:val="en-US"/>
        </w:rPr>
        <w:t>. Telemedicine is provided using different technologies, such as smartphones, tablet computers, wearables or other medical devices. Traditional components such as monitoring of disease activities, monitoring of symptoms or teleconsultation with medical professionals are also used</w:t>
      </w:r>
      <w:r w:rsidRPr="00251400">
        <w:rPr>
          <w:rFonts w:ascii="Book Antiqua" w:hAnsi="Book Antiqua"/>
          <w:noProof/>
          <w:sz w:val="24"/>
          <w:szCs w:val="24"/>
          <w:vertAlign w:val="superscript"/>
          <w:lang w:val="en-US"/>
        </w:rPr>
        <w:t>[50]</w:t>
      </w:r>
      <w:r w:rsidRPr="00251400">
        <w:rPr>
          <w:rFonts w:ascii="Book Antiqua" w:hAnsi="Book Antiqua"/>
          <w:sz w:val="24"/>
          <w:szCs w:val="24"/>
          <w:lang w:val="en-US"/>
        </w:rPr>
        <w:t>. There are various advantages associated with telemedicine and telehealth. These are increased access to general or specialized services in healthcare and the offer of greater flexibility in scheduling appointments for health care providers and patients, saving time and money in seeking care</w:t>
      </w:r>
      <w:r w:rsidRPr="00251400">
        <w:rPr>
          <w:rFonts w:ascii="Book Antiqua" w:hAnsi="Book Antiqua"/>
          <w:noProof/>
          <w:sz w:val="24"/>
          <w:szCs w:val="24"/>
          <w:vertAlign w:val="superscript"/>
          <w:lang w:val="en-US"/>
        </w:rPr>
        <w:t>[51]</w:t>
      </w:r>
      <w:r w:rsidRPr="00251400">
        <w:rPr>
          <w:rFonts w:ascii="Book Antiqua" w:hAnsi="Book Antiqua"/>
          <w:sz w:val="24"/>
          <w:szCs w:val="24"/>
          <w:lang w:val="en-US"/>
        </w:rPr>
        <w:t xml:space="preserve">. Patients are increasingly using smartphones and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for more effective and efficient modalities to receive medical information and treatment descriptions</w:t>
      </w:r>
      <w:r w:rsidRPr="00251400">
        <w:rPr>
          <w:rFonts w:ascii="Book Antiqua" w:hAnsi="Book Antiqua"/>
          <w:noProof/>
          <w:sz w:val="24"/>
          <w:szCs w:val="24"/>
          <w:vertAlign w:val="superscript"/>
          <w:lang w:val="en-US"/>
        </w:rPr>
        <w:t>[6]</w:t>
      </w:r>
      <w:r w:rsidRPr="00251400">
        <w:rPr>
          <w:rFonts w:ascii="Book Antiqua" w:hAnsi="Book Antiqua"/>
          <w:sz w:val="24"/>
          <w:szCs w:val="24"/>
          <w:lang w:val="en-US"/>
        </w:rPr>
        <w:t>. Traditionally, highly specialized medical care is condensed in urban areas rather than in rural areas. Telemedicine can provide people living in rural areas with specialized care services, thus ensuring ubiquitous access to specialized treatments</w:t>
      </w:r>
      <w:r w:rsidRPr="00251400">
        <w:rPr>
          <w:rFonts w:ascii="Book Antiqua" w:hAnsi="Book Antiqua"/>
          <w:noProof/>
          <w:sz w:val="24"/>
          <w:szCs w:val="24"/>
          <w:vertAlign w:val="superscript"/>
          <w:lang w:val="en-US"/>
        </w:rPr>
        <w:t>[52]</w:t>
      </w:r>
      <w:r w:rsidRPr="00251400">
        <w:rPr>
          <w:rFonts w:ascii="Book Antiqua" w:hAnsi="Book Antiqua"/>
          <w:sz w:val="24"/>
          <w:szCs w:val="24"/>
          <w:lang w:val="en-US"/>
        </w:rPr>
        <w:t>. In the field of gastroenterology, there are numerous application scenarios for telemedical care concepts, such as general digestive disease management programs</w:t>
      </w:r>
      <w:r w:rsidRPr="00251400">
        <w:rPr>
          <w:rFonts w:ascii="Book Antiqua" w:hAnsi="Book Antiqua"/>
          <w:noProof/>
          <w:sz w:val="24"/>
          <w:szCs w:val="24"/>
          <w:vertAlign w:val="superscript"/>
          <w:lang w:val="en-US"/>
        </w:rPr>
        <w:t>[53]</w:t>
      </w:r>
      <w:r w:rsidRPr="00251400">
        <w:rPr>
          <w:rFonts w:ascii="Book Antiqua" w:hAnsi="Book Antiqua"/>
          <w:sz w:val="24"/>
          <w:szCs w:val="24"/>
          <w:lang w:val="en-US"/>
        </w:rPr>
        <w:t>. Other telemedical tools are offered for</w:t>
      </w:r>
      <w:r w:rsidR="0053784C" w:rsidRPr="00251400">
        <w:rPr>
          <w:rFonts w:ascii="Book Antiqua" w:hAnsi="Book Antiqua"/>
          <w:sz w:val="24"/>
          <w:szCs w:val="24"/>
          <w:lang w:val="en-US"/>
        </w:rPr>
        <w:t xml:space="preserve"> </w:t>
      </w:r>
      <w:r w:rsidRPr="00251400">
        <w:rPr>
          <w:rFonts w:ascii="Book Antiqua" w:hAnsi="Book Antiqua"/>
          <w:sz w:val="24"/>
          <w:szCs w:val="24"/>
          <w:lang w:val="en-US"/>
        </w:rPr>
        <w:t>IBD</w:t>
      </w:r>
      <w:r w:rsidRPr="00251400">
        <w:rPr>
          <w:rFonts w:ascii="Book Antiqua" w:hAnsi="Book Antiqua"/>
          <w:noProof/>
          <w:sz w:val="24"/>
          <w:szCs w:val="24"/>
          <w:vertAlign w:val="superscript"/>
          <w:lang w:val="en-US"/>
        </w:rPr>
        <w:t>[54</w:t>
      </w:r>
      <w:r w:rsidR="0053784C" w:rsidRPr="00251400">
        <w:rPr>
          <w:rFonts w:ascii="Book Antiqua" w:hAnsi="Book Antiqua"/>
          <w:noProof/>
          <w:sz w:val="24"/>
          <w:szCs w:val="24"/>
          <w:vertAlign w:val="superscript"/>
          <w:lang w:val="en-US"/>
        </w:rPr>
        <w:t>,</w:t>
      </w:r>
      <w:r w:rsidRPr="00251400">
        <w:rPr>
          <w:rFonts w:ascii="Book Antiqua" w:hAnsi="Book Antiqua"/>
          <w:noProof/>
          <w:sz w:val="24"/>
          <w:szCs w:val="24"/>
          <w:vertAlign w:val="superscript"/>
          <w:lang w:val="en-US"/>
        </w:rPr>
        <w:t>55]</w:t>
      </w:r>
      <w:r w:rsidRPr="00251400">
        <w:rPr>
          <w:rFonts w:ascii="Book Antiqua" w:hAnsi="Book Antiqua"/>
          <w:sz w:val="24"/>
          <w:szCs w:val="24"/>
          <w:lang w:val="en-US"/>
        </w:rPr>
        <w:t>,</w:t>
      </w:r>
      <w:r w:rsidR="00CD1A12" w:rsidRPr="00251400">
        <w:rPr>
          <w:rFonts w:ascii="Book Antiqua" w:hAnsi="Book Antiqua"/>
          <w:sz w:val="24"/>
          <w:szCs w:val="24"/>
          <w:lang w:val="en-US"/>
        </w:rPr>
        <w:t xml:space="preserve"> </w:t>
      </w:r>
      <w:r w:rsidRPr="00251400">
        <w:rPr>
          <w:rFonts w:ascii="Book Antiqua" w:hAnsi="Book Antiqua"/>
          <w:sz w:val="24"/>
          <w:szCs w:val="24"/>
          <w:lang w:val="en-US"/>
        </w:rPr>
        <w:t>CLDs</w:t>
      </w:r>
      <w:r w:rsidRPr="00251400">
        <w:rPr>
          <w:rFonts w:ascii="Book Antiqua" w:hAnsi="Book Antiqua"/>
          <w:noProof/>
          <w:sz w:val="24"/>
          <w:szCs w:val="24"/>
          <w:vertAlign w:val="superscript"/>
          <w:lang w:val="en-US"/>
        </w:rPr>
        <w:t>[6]</w:t>
      </w:r>
      <w:r w:rsidRPr="00251400">
        <w:rPr>
          <w:rFonts w:ascii="Book Antiqua" w:hAnsi="Book Antiqua"/>
          <w:sz w:val="24"/>
          <w:szCs w:val="24"/>
          <w:lang w:val="en-US"/>
        </w:rPr>
        <w:t>, liver transplant patients</w:t>
      </w:r>
      <w:r w:rsidRPr="00251400">
        <w:rPr>
          <w:rFonts w:ascii="Book Antiqua" w:hAnsi="Book Antiqua"/>
          <w:noProof/>
          <w:sz w:val="24"/>
          <w:szCs w:val="24"/>
          <w:vertAlign w:val="superscript"/>
          <w:lang w:val="en-US"/>
        </w:rPr>
        <w:t>[56]</w:t>
      </w:r>
      <w:r w:rsidRPr="00251400">
        <w:rPr>
          <w:rFonts w:ascii="Book Antiqua" w:hAnsi="Book Antiqua"/>
          <w:sz w:val="24"/>
          <w:szCs w:val="24"/>
          <w:lang w:val="en-US"/>
        </w:rPr>
        <w:t xml:space="preserve"> or diabetes patients</w:t>
      </w:r>
      <w:r w:rsidRPr="00251400">
        <w:rPr>
          <w:rFonts w:ascii="Book Antiqua" w:hAnsi="Book Antiqua"/>
          <w:noProof/>
          <w:sz w:val="24"/>
          <w:szCs w:val="24"/>
          <w:vertAlign w:val="superscript"/>
          <w:lang w:val="en-US"/>
        </w:rPr>
        <w:t>[57]</w:t>
      </w:r>
      <w:r w:rsidRPr="00251400">
        <w:rPr>
          <w:rFonts w:ascii="Book Antiqua" w:hAnsi="Book Antiqua"/>
          <w:sz w:val="24"/>
          <w:szCs w:val="24"/>
          <w:lang w:val="en-US"/>
        </w:rPr>
        <w:t xml:space="preserve">. In a literature review from Serper </w:t>
      </w:r>
      <w:r w:rsidRPr="00251400">
        <w:rPr>
          <w:rFonts w:ascii="Book Antiqua" w:hAnsi="Book Antiqua"/>
          <w:i/>
          <w:iCs/>
          <w:sz w:val="24"/>
          <w:szCs w:val="24"/>
          <w:lang w:val="en-US"/>
        </w:rPr>
        <w:t>et al</w:t>
      </w:r>
      <w:r w:rsidRPr="00251400">
        <w:rPr>
          <w:rFonts w:ascii="Book Antiqua" w:hAnsi="Book Antiqua"/>
          <w:noProof/>
          <w:sz w:val="24"/>
          <w:szCs w:val="24"/>
          <w:vertAlign w:val="superscript"/>
          <w:lang w:val="en-US"/>
        </w:rPr>
        <w:t>[6]</w:t>
      </w:r>
      <w:r w:rsidRPr="00251400">
        <w:rPr>
          <w:rFonts w:ascii="Book Antiqua" w:hAnsi="Book Antiqua"/>
          <w:sz w:val="24"/>
          <w:szCs w:val="24"/>
          <w:lang w:val="en-US"/>
        </w:rPr>
        <w:t>, the authors illustrated different uses for telemedicine in CLDs. They included 20 published articles about telemedicine in patients with CLD. Nine of the included studies were prospective trials, three were retrospective studies, two were case reports, and six were case series. Only one of the included studies was randomized prospectively, and 10 were uncontrolled studies</w:t>
      </w:r>
      <w:r w:rsidRPr="00251400">
        <w:rPr>
          <w:rFonts w:ascii="Book Antiqua" w:hAnsi="Book Antiqua"/>
          <w:noProof/>
          <w:sz w:val="24"/>
          <w:szCs w:val="24"/>
          <w:vertAlign w:val="superscript"/>
          <w:lang w:val="en-US"/>
        </w:rPr>
        <w:t>[6]</w:t>
      </w:r>
      <w:r w:rsidRPr="00251400">
        <w:rPr>
          <w:rFonts w:ascii="Book Antiqua" w:hAnsi="Book Antiqua"/>
          <w:sz w:val="24"/>
          <w:szCs w:val="24"/>
          <w:lang w:val="en-US"/>
        </w:rPr>
        <w:t xml:space="preserve">. The authors </w:t>
      </w:r>
      <w:r w:rsidRPr="00251400">
        <w:rPr>
          <w:rFonts w:ascii="Book Antiqua" w:hAnsi="Book Antiqua"/>
          <w:sz w:val="24"/>
          <w:szCs w:val="24"/>
          <w:lang w:val="en-US"/>
        </w:rPr>
        <w:lastRenderedPageBreak/>
        <w:t xml:space="preserve">categorized the studies into four main fields based on the aspect of CLD management in which telemedicine was used: </w:t>
      </w:r>
      <w:r w:rsidR="00CD1A12" w:rsidRPr="00251400">
        <w:rPr>
          <w:rFonts w:ascii="Book Antiqua" w:hAnsi="Book Antiqua"/>
          <w:sz w:val="24"/>
          <w:szCs w:val="24"/>
          <w:lang w:val="en-US"/>
        </w:rPr>
        <w:t>H</w:t>
      </w:r>
      <w:r w:rsidRPr="00251400">
        <w:rPr>
          <w:rFonts w:ascii="Book Antiqua" w:hAnsi="Book Antiqua"/>
          <w:sz w:val="24"/>
          <w:szCs w:val="24"/>
          <w:lang w:val="en-US"/>
        </w:rPr>
        <w:t>epatitis C treatment, procedural or surgical management, evaluation and management of hepatocellular carcinoma and remote monitoring interventions</w:t>
      </w:r>
      <w:r w:rsidRPr="00251400">
        <w:rPr>
          <w:rFonts w:ascii="Book Antiqua" w:hAnsi="Book Antiqua"/>
          <w:noProof/>
          <w:sz w:val="24"/>
          <w:szCs w:val="24"/>
          <w:vertAlign w:val="superscript"/>
          <w:lang w:val="en-US"/>
        </w:rPr>
        <w:t>[6]</w:t>
      </w:r>
      <w:r w:rsidRPr="00251400">
        <w:rPr>
          <w:rFonts w:ascii="Book Antiqua" w:hAnsi="Book Antiqua"/>
          <w:sz w:val="24"/>
          <w:szCs w:val="24"/>
          <w:lang w:val="en-US"/>
        </w:rPr>
        <w:t>. In treatment for hepatitis C virus (HCV), many studies have investigated the use of teleconferencing for the management of HCV and reported a sustained virologic response rate in the intervention groups with telemedicine. There were low discontinuation rates and promising results for the management of side effects</w:t>
      </w:r>
      <w:r w:rsidRPr="00251400">
        <w:rPr>
          <w:rFonts w:ascii="Book Antiqua" w:hAnsi="Book Antiqua"/>
          <w:noProof/>
          <w:sz w:val="24"/>
          <w:szCs w:val="24"/>
          <w:vertAlign w:val="superscript"/>
          <w:lang w:val="en-US"/>
        </w:rPr>
        <w:t>[6]</w:t>
      </w:r>
      <w:r w:rsidRPr="00251400">
        <w:rPr>
          <w:rFonts w:ascii="Book Antiqua" w:hAnsi="Book Antiqua"/>
          <w:sz w:val="24"/>
          <w:szCs w:val="24"/>
          <w:lang w:val="en-US"/>
        </w:rPr>
        <w:t>. Generally, the satisfaction of patients who received in-person visits was high in the intervention groups with telemedicine. The authors stated that telemedicine can improve access to specialty care and can improve care of patients with liver diseases between in-person visits</w:t>
      </w:r>
      <w:r w:rsidRPr="00251400">
        <w:rPr>
          <w:rFonts w:ascii="Book Antiqua" w:hAnsi="Book Antiqua"/>
          <w:noProof/>
          <w:sz w:val="24"/>
          <w:szCs w:val="24"/>
          <w:vertAlign w:val="superscript"/>
          <w:lang w:val="en-US"/>
        </w:rPr>
        <w:t>[6]</w:t>
      </w:r>
      <w:r w:rsidRPr="00251400">
        <w:rPr>
          <w:rFonts w:ascii="Book Antiqua" w:hAnsi="Book Antiqua"/>
          <w:sz w:val="24"/>
          <w:szCs w:val="24"/>
          <w:lang w:val="en-US"/>
        </w:rPr>
        <w:t>. In addition, they emphasized that the main barriers to the widespread use of telemedicine are regulatory issues and unclear reimbursement for the provided services. Another systematic review on the use of telemedicine and mobile health technology for the management of digestive diseases included seven studies with a focus on inflammatory bowel disease, four studies with a focus on ulcerative colitis, one with a focus on Crohn’s disease, six with a focus on irritable bowel syndrome, and two studies with a focus on colorectal cancer</w:t>
      </w:r>
      <w:r w:rsidRPr="00251400">
        <w:rPr>
          <w:rFonts w:ascii="Book Antiqua" w:hAnsi="Book Antiqua"/>
          <w:noProof/>
          <w:sz w:val="24"/>
          <w:szCs w:val="24"/>
          <w:vertAlign w:val="superscript"/>
          <w:lang w:val="en-US"/>
        </w:rPr>
        <w:t>[53]</w:t>
      </w:r>
      <w:r w:rsidRPr="00251400">
        <w:rPr>
          <w:rFonts w:ascii="Book Antiqua" w:hAnsi="Book Antiqua"/>
          <w:sz w:val="24"/>
          <w:szCs w:val="24"/>
          <w:lang w:val="en-US"/>
        </w:rPr>
        <w:t>. The outcomes were patient compliance, patient satisfaction, disease activity and quality of life</w:t>
      </w:r>
      <w:r w:rsidRPr="00251400">
        <w:rPr>
          <w:rFonts w:ascii="Book Antiqua" w:hAnsi="Book Antiqua"/>
          <w:noProof/>
          <w:sz w:val="24"/>
          <w:szCs w:val="24"/>
          <w:vertAlign w:val="superscript"/>
          <w:lang w:val="en-US"/>
        </w:rPr>
        <w:t>[53]</w:t>
      </w:r>
      <w:r w:rsidRPr="00251400">
        <w:rPr>
          <w:rFonts w:ascii="Book Antiqua" w:hAnsi="Book Antiqua"/>
          <w:sz w:val="24"/>
          <w:szCs w:val="24"/>
          <w:lang w:val="en-US"/>
        </w:rPr>
        <w:t>. The studies that were included were mainly pilot trials and feasibility studies, which leads to only limited generalization of the overall results</w:t>
      </w:r>
      <w:r w:rsidRPr="00251400">
        <w:rPr>
          <w:rFonts w:ascii="Book Antiqua" w:hAnsi="Book Antiqua"/>
          <w:noProof/>
          <w:sz w:val="24"/>
          <w:szCs w:val="24"/>
          <w:vertAlign w:val="superscript"/>
          <w:lang w:val="en-US"/>
        </w:rPr>
        <w:t>[53]</w:t>
      </w:r>
      <w:r w:rsidRPr="00251400">
        <w:rPr>
          <w:rFonts w:ascii="Book Antiqua" w:hAnsi="Book Antiqua"/>
          <w:sz w:val="24"/>
          <w:szCs w:val="24"/>
          <w:lang w:val="en-US"/>
        </w:rPr>
        <w:t>. In addition, only a small number of studies addressed telemedicine for gastroenterological diseases</w:t>
      </w:r>
      <w:r w:rsidRPr="00251400">
        <w:rPr>
          <w:rFonts w:ascii="Book Antiqua" w:hAnsi="Book Antiqua"/>
          <w:noProof/>
          <w:sz w:val="24"/>
          <w:szCs w:val="24"/>
          <w:vertAlign w:val="superscript"/>
          <w:lang w:val="en-US"/>
        </w:rPr>
        <w:t>[53]</w:t>
      </w:r>
      <w:r w:rsidRPr="00251400">
        <w:rPr>
          <w:rFonts w:ascii="Book Antiqua" w:hAnsi="Book Antiqua"/>
          <w:sz w:val="24"/>
          <w:szCs w:val="24"/>
          <w:lang w:val="en-US"/>
        </w:rPr>
        <w:t>. To support patients with cirrhosis, there are three main types of telemedicine: teleconsultation, televisits and telemonitoring</w:t>
      </w:r>
      <w:r w:rsidRPr="00251400">
        <w:rPr>
          <w:rFonts w:ascii="Book Antiqua" w:hAnsi="Book Antiqua"/>
          <w:noProof/>
          <w:sz w:val="24"/>
          <w:szCs w:val="24"/>
          <w:vertAlign w:val="superscript"/>
          <w:lang w:val="en-US"/>
        </w:rPr>
        <w:t>[49]</w:t>
      </w:r>
      <w:r w:rsidRPr="00251400">
        <w:rPr>
          <w:rFonts w:ascii="Book Antiqua" w:hAnsi="Book Antiqua"/>
          <w:sz w:val="24"/>
          <w:szCs w:val="24"/>
          <w:lang w:val="en-US"/>
        </w:rPr>
        <w:t>.</w:t>
      </w:r>
    </w:p>
    <w:p w14:paraId="05897138" w14:textId="77777777" w:rsidR="00CD1A12" w:rsidRPr="00251400" w:rsidRDefault="00CD1A12" w:rsidP="00B0664E">
      <w:pPr>
        <w:adjustRightInd w:val="0"/>
        <w:snapToGrid w:val="0"/>
        <w:spacing w:line="360" w:lineRule="auto"/>
        <w:jc w:val="both"/>
        <w:rPr>
          <w:rFonts w:ascii="Book Antiqua" w:hAnsi="Book Antiqua"/>
          <w:b/>
          <w:sz w:val="24"/>
          <w:szCs w:val="24"/>
          <w:lang w:val="en-US"/>
        </w:rPr>
      </w:pPr>
    </w:p>
    <w:p w14:paraId="6CE887A6" w14:textId="77777777" w:rsidR="00214CC2"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i/>
          <w:iCs/>
          <w:sz w:val="24"/>
          <w:szCs w:val="24"/>
          <w:lang w:val="en-US"/>
        </w:rPr>
        <w:t xml:space="preserve">eHealth </w:t>
      </w:r>
      <w:r w:rsidR="00CD1A12" w:rsidRPr="00251400">
        <w:rPr>
          <w:rFonts w:ascii="Book Antiqua" w:hAnsi="Book Antiqua"/>
          <w:b/>
          <w:i/>
          <w:iCs/>
          <w:sz w:val="24"/>
          <w:szCs w:val="24"/>
          <w:lang w:val="en-US"/>
        </w:rPr>
        <w:t>r</w:t>
      </w:r>
      <w:r w:rsidRPr="00251400">
        <w:rPr>
          <w:rFonts w:ascii="Book Antiqua" w:hAnsi="Book Antiqua"/>
          <w:b/>
          <w:i/>
          <w:iCs/>
          <w:sz w:val="24"/>
          <w:szCs w:val="24"/>
          <w:lang w:val="en-US"/>
        </w:rPr>
        <w:t>ecords</w:t>
      </w:r>
    </w:p>
    <w:p w14:paraId="1E003BAB" w14:textId="12B961C5"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sz w:val="24"/>
          <w:szCs w:val="24"/>
          <w:lang w:val="en-US"/>
        </w:rPr>
        <w:t>Different kinds of digitally stored health information exist. The following are the most common and important:</w:t>
      </w:r>
      <w:r w:rsidR="00CD1A12" w:rsidRPr="00251400">
        <w:rPr>
          <w:rFonts w:ascii="Book Antiqua" w:eastAsia="宋体" w:hAnsi="Book Antiqua" w:hint="eastAsia"/>
          <w:b/>
          <w:sz w:val="24"/>
          <w:szCs w:val="24"/>
          <w:lang w:val="en-US" w:eastAsia="zh-CN"/>
        </w:rPr>
        <w:t xml:space="preserve"> </w:t>
      </w:r>
      <w:r w:rsidRPr="00251400">
        <w:rPr>
          <w:rFonts w:ascii="Book Antiqua" w:hAnsi="Book Antiqua"/>
          <w:sz w:val="24"/>
          <w:szCs w:val="24"/>
          <w:lang w:val="en-US"/>
        </w:rPr>
        <w:t>EHR</w:t>
      </w:r>
      <w:r w:rsidRPr="00251400">
        <w:rPr>
          <w:rFonts w:ascii="Book Antiqua" w:hAnsi="Book Antiqua"/>
          <w:noProof/>
          <w:sz w:val="24"/>
          <w:szCs w:val="24"/>
          <w:vertAlign w:val="superscript"/>
          <w:lang w:val="en-US"/>
        </w:rPr>
        <w:t>[11]</w:t>
      </w:r>
      <w:r w:rsidRPr="00251400">
        <w:rPr>
          <w:rFonts w:ascii="Book Antiqua" w:hAnsi="Book Antiqua"/>
          <w:sz w:val="24"/>
          <w:szCs w:val="24"/>
          <w:lang w:val="en-US"/>
        </w:rPr>
        <w:t xml:space="preserve"> are managed by health care providers. These systematic, longitudinal collections of health information can refer to one person or a whole population. EHR can facilitate the sharing of stored patient data across hospitals, doctors and other health care providers and institutions. The EHR collects medical histories, laboratory test results, medications, allergy information, vital signs, age, weight, height and insurance and billing information. Primary stakeholders of </w:t>
      </w:r>
      <w:r w:rsidRPr="00251400">
        <w:rPr>
          <w:rFonts w:ascii="Book Antiqua" w:hAnsi="Book Antiqua"/>
          <w:sz w:val="24"/>
          <w:szCs w:val="24"/>
          <w:lang w:val="en-US"/>
        </w:rPr>
        <w:lastRenderedPageBreak/>
        <w:t>EHRs are physicians, caregivers and nurses, therapists, patients, pharmacists, clinics and hospitals, laboratories, care services and nursing homes. Secondary stakeholders are insurance companies, family and the relatives of patients and employers. The tertiary stakeholders are society, research institutes, public authorities and the health care industry</w:t>
      </w:r>
      <w:r w:rsidRPr="00251400">
        <w:rPr>
          <w:rFonts w:ascii="Book Antiqua" w:hAnsi="Book Antiqua"/>
          <w:noProof/>
          <w:sz w:val="24"/>
          <w:szCs w:val="24"/>
          <w:vertAlign w:val="superscript"/>
          <w:lang w:val="en-US"/>
        </w:rPr>
        <w:t>[58]</w:t>
      </w:r>
      <w:r w:rsidRPr="00251400">
        <w:rPr>
          <w:rFonts w:ascii="Book Antiqua" w:hAnsi="Book Antiqua"/>
          <w:sz w:val="24"/>
          <w:szCs w:val="24"/>
          <w:lang w:val="en-US"/>
        </w:rPr>
        <w:t>.</w:t>
      </w:r>
    </w:p>
    <w:p w14:paraId="09FDC97E" w14:textId="5CD4BC08" w:rsidR="00883298" w:rsidRPr="00251400" w:rsidRDefault="00883298" w:rsidP="00B0664E">
      <w:pPr>
        <w:adjustRightInd w:val="0"/>
        <w:snapToGrid w:val="0"/>
        <w:spacing w:line="360" w:lineRule="auto"/>
        <w:ind w:firstLineChars="100" w:firstLine="240"/>
        <w:jc w:val="both"/>
        <w:rPr>
          <w:rFonts w:ascii="Book Antiqua" w:hAnsi="Book Antiqua"/>
          <w:sz w:val="24"/>
          <w:szCs w:val="24"/>
          <w:lang w:val="en-US"/>
        </w:rPr>
      </w:pPr>
      <w:r w:rsidRPr="00251400">
        <w:rPr>
          <w:rFonts w:ascii="Book Antiqua" w:hAnsi="Book Antiqua"/>
          <w:sz w:val="24"/>
          <w:szCs w:val="24"/>
          <w:lang w:val="en-US"/>
        </w:rPr>
        <w:t>Electronic medical records (EMR) are created by health care practitioners for specific treatments and can be integrated into EHR</w:t>
      </w:r>
      <w:r w:rsidRPr="00251400">
        <w:rPr>
          <w:rFonts w:ascii="Book Antiqua" w:hAnsi="Book Antiqua"/>
          <w:noProof/>
          <w:sz w:val="24"/>
          <w:szCs w:val="24"/>
          <w:vertAlign w:val="superscript"/>
          <w:lang w:val="en-US"/>
        </w:rPr>
        <w:t>[59]</w:t>
      </w:r>
      <w:r w:rsidRPr="00251400">
        <w:rPr>
          <w:rFonts w:ascii="Book Antiqua" w:hAnsi="Book Antiqua"/>
          <w:sz w:val="24"/>
          <w:szCs w:val="24"/>
          <w:lang w:val="en-US"/>
        </w:rPr>
        <w:t>. Personal health records are patient managed and can contain additional information, such as data from wearables or health apps. The patient can decide who is able to see which information</w:t>
      </w:r>
      <w:r w:rsidRPr="00251400">
        <w:rPr>
          <w:rFonts w:ascii="Book Antiqua" w:hAnsi="Book Antiqua"/>
          <w:noProof/>
          <w:sz w:val="24"/>
          <w:szCs w:val="24"/>
          <w:vertAlign w:val="superscript"/>
          <w:lang w:val="en-US"/>
        </w:rPr>
        <w:t>[11]</w:t>
      </w:r>
      <w:r w:rsidRPr="00251400">
        <w:rPr>
          <w:rFonts w:ascii="Book Antiqua" w:hAnsi="Book Antiqua"/>
          <w:sz w:val="24"/>
          <w:szCs w:val="24"/>
          <w:lang w:val="en-US"/>
        </w:rPr>
        <w:t>. The exact shape of the eHealth records differs depending on the country and provider. The primary aim of electronically stored health data is to establish a record of present and future care received from the same or different practitioners. Additionally, EHR can be used to create evidence of the provided care or to improve quality of care by performance monitoring and benchmarking</w:t>
      </w:r>
      <w:r w:rsidRPr="00251400">
        <w:rPr>
          <w:rFonts w:ascii="Book Antiqua" w:hAnsi="Book Antiqua"/>
          <w:noProof/>
          <w:sz w:val="24"/>
          <w:szCs w:val="24"/>
          <w:vertAlign w:val="superscript"/>
          <w:lang w:val="en-US"/>
        </w:rPr>
        <w:t>[60]</w:t>
      </w:r>
      <w:r w:rsidRPr="00251400">
        <w:rPr>
          <w:rFonts w:ascii="Book Antiqua" w:hAnsi="Book Antiqua"/>
          <w:sz w:val="24"/>
          <w:szCs w:val="24"/>
          <w:lang w:val="en-US"/>
        </w:rPr>
        <w:t>. Other benefits are administrative uses (</w:t>
      </w:r>
      <w:r w:rsidRPr="00251400">
        <w:rPr>
          <w:rFonts w:ascii="Book Antiqua" w:hAnsi="Book Antiqua"/>
          <w:i/>
          <w:sz w:val="24"/>
          <w:szCs w:val="24"/>
          <w:lang w:val="en-US"/>
        </w:rPr>
        <w:t>e.g.</w:t>
      </w:r>
      <w:r w:rsidRPr="00251400">
        <w:rPr>
          <w:rFonts w:ascii="Book Antiqua" w:hAnsi="Book Antiqua"/>
          <w:sz w:val="24"/>
          <w:szCs w:val="24"/>
          <w:lang w:val="en-US"/>
        </w:rPr>
        <w:t>, billing and scheduling), decision support and care management, patient support and public health research</w:t>
      </w:r>
      <w:r w:rsidRPr="00251400">
        <w:rPr>
          <w:rFonts w:ascii="Book Antiqua" w:hAnsi="Book Antiqua"/>
          <w:noProof/>
          <w:sz w:val="24"/>
          <w:szCs w:val="24"/>
          <w:vertAlign w:val="superscript"/>
          <w:lang w:val="en-US"/>
        </w:rPr>
        <w:t>[61]</w:t>
      </w:r>
      <w:r w:rsidRPr="00251400">
        <w:rPr>
          <w:rFonts w:ascii="Book Antiqua" w:hAnsi="Book Antiqua"/>
          <w:sz w:val="24"/>
          <w:szCs w:val="24"/>
          <w:lang w:val="en-US"/>
        </w:rPr>
        <w:t>.</w:t>
      </w:r>
    </w:p>
    <w:p w14:paraId="6827AD5B" w14:textId="678CFF0C" w:rsidR="00883298" w:rsidRPr="00251400" w:rsidRDefault="00883298" w:rsidP="00B0664E">
      <w:pPr>
        <w:adjustRightInd w:val="0"/>
        <w:snapToGrid w:val="0"/>
        <w:spacing w:line="360" w:lineRule="auto"/>
        <w:ind w:firstLineChars="150" w:firstLine="360"/>
        <w:jc w:val="both"/>
        <w:rPr>
          <w:rFonts w:ascii="Book Antiqua" w:hAnsi="Book Antiqua"/>
          <w:sz w:val="24"/>
          <w:szCs w:val="24"/>
          <w:lang w:val="en-US"/>
        </w:rPr>
      </w:pPr>
      <w:r w:rsidRPr="00251400">
        <w:rPr>
          <w:rFonts w:ascii="Book Antiqua" w:hAnsi="Book Antiqua"/>
          <w:sz w:val="24"/>
          <w:szCs w:val="24"/>
          <w:lang w:val="en-US"/>
        </w:rPr>
        <w:t>In the field of gastroenterology, various advantages result from the use of eHealth records: Elective procedures and interventions can be scheduled on the admission day as a part of just-in-time medicine. The use of eHealth records can ensure the completeness of information for pre-existing conditions</w:t>
      </w:r>
      <w:r w:rsidRPr="00251400">
        <w:rPr>
          <w:rFonts w:ascii="Book Antiqua" w:hAnsi="Book Antiqua"/>
          <w:noProof/>
          <w:sz w:val="24"/>
          <w:szCs w:val="24"/>
          <w:vertAlign w:val="superscript"/>
          <w:lang w:val="en-US"/>
        </w:rPr>
        <w:t>[60]</w:t>
      </w:r>
      <w:r w:rsidRPr="00251400">
        <w:rPr>
          <w:rFonts w:ascii="Book Antiqua" w:hAnsi="Book Antiqua"/>
          <w:sz w:val="24"/>
          <w:szCs w:val="24"/>
          <w:lang w:val="en-US"/>
        </w:rPr>
        <w:t>. Treatment of the acute abdomen is another scope for EHR; being able to have access to an entire patient’s history can prevent medical malpractice in this case and others</w:t>
      </w:r>
      <w:r w:rsidRPr="00251400">
        <w:rPr>
          <w:rFonts w:ascii="Book Antiqua" w:hAnsi="Book Antiqua"/>
          <w:noProof/>
          <w:sz w:val="24"/>
          <w:szCs w:val="24"/>
          <w:vertAlign w:val="superscript"/>
          <w:lang w:val="en-US"/>
        </w:rPr>
        <w:t>[62]</w:t>
      </w:r>
      <w:r w:rsidRPr="00251400">
        <w:rPr>
          <w:rFonts w:ascii="Book Antiqua" w:hAnsi="Book Antiqua"/>
          <w:sz w:val="24"/>
          <w:szCs w:val="24"/>
          <w:lang w:val="en-US"/>
        </w:rPr>
        <w:t>. Patients are often not able to provide detailed information about prior treatments. In the case of complex diseases, multidisciplinary treatment</w:t>
      </w:r>
      <w:r w:rsidRPr="00251400">
        <w:rPr>
          <w:rFonts w:ascii="Book Antiqua" w:hAnsi="Book Antiqua"/>
          <w:noProof/>
          <w:sz w:val="24"/>
          <w:szCs w:val="24"/>
          <w:vertAlign w:val="superscript"/>
          <w:lang w:val="en-US"/>
        </w:rPr>
        <w:t>[63]</w:t>
      </w:r>
      <w:r w:rsidRPr="00251400">
        <w:rPr>
          <w:rFonts w:ascii="Book Antiqua" w:hAnsi="Book Antiqua"/>
          <w:sz w:val="24"/>
          <w:szCs w:val="24"/>
          <w:vertAlign w:val="superscript"/>
          <w:lang w:val="en-US"/>
        </w:rPr>
        <w:t xml:space="preserve">. </w:t>
      </w:r>
      <w:r w:rsidRPr="00251400">
        <w:rPr>
          <w:rFonts w:ascii="Book Antiqua" w:hAnsi="Book Antiqua"/>
          <w:sz w:val="24"/>
          <w:szCs w:val="24"/>
          <w:lang w:val="en-US"/>
        </w:rPr>
        <w:t>or if patients demand a second opinion, decisions were made based on the provided information</w:t>
      </w:r>
      <w:r w:rsidRPr="00251400">
        <w:rPr>
          <w:rFonts w:ascii="Book Antiqua" w:hAnsi="Book Antiqua"/>
          <w:noProof/>
          <w:sz w:val="24"/>
          <w:szCs w:val="24"/>
          <w:vertAlign w:val="superscript"/>
          <w:lang w:val="en-US"/>
        </w:rPr>
        <w:t>[60]</w:t>
      </w:r>
      <w:r w:rsidRPr="00251400">
        <w:rPr>
          <w:rFonts w:ascii="Book Antiqua" w:hAnsi="Book Antiqua"/>
          <w:sz w:val="24"/>
          <w:szCs w:val="24"/>
          <w:lang w:val="en-US"/>
        </w:rPr>
        <w:t>. If more extensive information is available in the EHR, decisions can be made better and faster. This is especially important for people undergoing palliative treatment and cancer care and/or patients under multidisciplinary treatment. In these cases, EHR can provide access to relevant information for all stakeholders and ensure efficient and individualized treatment</w:t>
      </w:r>
      <w:r w:rsidRPr="00251400">
        <w:rPr>
          <w:rFonts w:ascii="Book Antiqua" w:hAnsi="Book Antiqua"/>
          <w:noProof/>
          <w:sz w:val="24"/>
          <w:szCs w:val="24"/>
          <w:vertAlign w:val="superscript"/>
          <w:lang w:val="en-US"/>
        </w:rPr>
        <w:t>[64]</w:t>
      </w:r>
      <w:r w:rsidRPr="00251400">
        <w:rPr>
          <w:rFonts w:ascii="Book Antiqua" w:hAnsi="Book Antiqua"/>
          <w:sz w:val="24"/>
          <w:szCs w:val="24"/>
          <w:lang w:val="en-US"/>
        </w:rPr>
        <w:t>. In 2015, the WHO</w:t>
      </w:r>
      <w:r w:rsidRPr="00251400">
        <w:rPr>
          <w:rFonts w:ascii="Book Antiqua" w:hAnsi="Book Antiqua"/>
          <w:noProof/>
          <w:sz w:val="24"/>
          <w:szCs w:val="24"/>
          <w:vertAlign w:val="superscript"/>
          <w:lang w:val="en-US"/>
        </w:rPr>
        <w:t>[65]</w:t>
      </w:r>
      <w:r w:rsidRPr="00251400">
        <w:rPr>
          <w:rFonts w:ascii="Book Antiqua" w:hAnsi="Book Antiqua"/>
          <w:sz w:val="24"/>
          <w:szCs w:val="24"/>
          <w:lang w:val="en-US"/>
        </w:rPr>
        <w:t xml:space="preserve"> conducted the third global survey on eHealth to describe the use of eHealth. Only 58% of the countries had an existing national eHealth policy or strategy at that point. A total of 66% of the </w:t>
      </w:r>
      <w:r w:rsidRPr="00251400">
        <w:rPr>
          <w:rFonts w:ascii="Book Antiqua" w:hAnsi="Book Antiqua"/>
          <w:sz w:val="24"/>
          <w:szCs w:val="24"/>
          <w:lang w:val="en-US"/>
        </w:rPr>
        <w:lastRenderedPageBreak/>
        <w:t>countries had a national health information system policy or strategy. The study asked for the use of EHR in different health care provider/institutional groups. Primary care facilities compromised clinics and health care centers. Secondary care facilities encompassed hospitals and emergency care. Specialized care and referrals from primary or secondary care were named tertiary care. The use of EHR in health facilities differed substantially. In Finland, more than 75% of facilities were using EHR in primary, secondary and tertiary care facilities. In contrast, Jamaica had less than 25% of primary care facilities that were using EHR in 2015. Less than 25% of secondary care facilities in Panama used EHR. In Austria, less than 25% of tertiary care facilities had implemented EHR; while 50</w:t>
      </w:r>
      <w:r w:rsidR="00EB50E0" w:rsidRPr="00251400">
        <w:rPr>
          <w:rFonts w:ascii="Book Antiqua" w:hAnsi="Book Antiqua"/>
          <w:sz w:val="24"/>
          <w:szCs w:val="24"/>
          <w:lang w:val="en-US"/>
        </w:rPr>
        <w:t>%</w:t>
      </w:r>
      <w:r w:rsidRPr="00251400">
        <w:rPr>
          <w:rFonts w:ascii="Book Antiqua" w:hAnsi="Book Antiqua"/>
          <w:sz w:val="24"/>
          <w:szCs w:val="24"/>
          <w:lang w:val="en-US"/>
        </w:rPr>
        <w:t xml:space="preserve">-75% of secondary care facilities used EHR, less than 25% used EHR in primary care facilities. Apparently, there are different reasons for the slow integration of EHR. In a systematic literature review, Kruse </w:t>
      </w:r>
      <w:r w:rsidRPr="00251400">
        <w:rPr>
          <w:rFonts w:ascii="Book Antiqua" w:hAnsi="Book Antiqua"/>
          <w:i/>
          <w:iCs/>
          <w:sz w:val="24"/>
          <w:szCs w:val="24"/>
          <w:lang w:val="en-US"/>
        </w:rPr>
        <w:t>et al</w:t>
      </w:r>
      <w:r w:rsidRPr="00251400">
        <w:rPr>
          <w:rFonts w:ascii="Book Antiqua" w:hAnsi="Book Antiqua"/>
          <w:noProof/>
          <w:sz w:val="24"/>
          <w:szCs w:val="24"/>
          <w:vertAlign w:val="superscript"/>
          <w:lang w:val="en-US"/>
        </w:rPr>
        <w:t>[66]</w:t>
      </w:r>
      <w:r w:rsidRPr="00251400">
        <w:rPr>
          <w:rFonts w:ascii="Book Antiqua" w:hAnsi="Book Antiqua"/>
          <w:sz w:val="24"/>
          <w:szCs w:val="24"/>
          <w:lang w:val="en-US"/>
        </w:rPr>
        <w:t>. assembled a list of barriers to EHR system adoption in the United States. The initial cost was the most frequent barrier. Technical support, technical concerns, resistance to changing work habits, maintenance, ongoing costs, training, privacy concerns and insufficient time and workflow challenges were other barriers. The most important driving force for the implementation of EHR systems was funding. Seventy-seven percent of the countries had public funding for eHealth, and 40% could confirm private or commercial funding. Donor or non-public funding was set in 63% of the countries. Forty-two percent had funding through public-private partnerships</w:t>
      </w:r>
      <w:r w:rsidRPr="00251400">
        <w:rPr>
          <w:rFonts w:ascii="Book Antiqua" w:hAnsi="Book Antiqua"/>
          <w:noProof/>
          <w:sz w:val="24"/>
          <w:szCs w:val="24"/>
          <w:vertAlign w:val="superscript"/>
          <w:lang w:val="en-US"/>
        </w:rPr>
        <w:t>[67]</w:t>
      </w:r>
      <w:r w:rsidRPr="00251400">
        <w:rPr>
          <w:rFonts w:ascii="Book Antiqua" w:hAnsi="Book Antiqua"/>
          <w:sz w:val="24"/>
          <w:szCs w:val="24"/>
          <w:lang w:val="en-US"/>
        </w:rPr>
        <w:t>. Practitioners need help to integrate EHRs into their work habits, adapt the workflow and work with EHR effectively. In the third global survey on eHealth, 74% of all countries reported that health science students were receiving pre-service training in eHealth. A total of 77% claimed that health professionals in their country were receiving in-service training in eHealth</w:t>
      </w:r>
      <w:r w:rsidRPr="00251400">
        <w:rPr>
          <w:rFonts w:ascii="Book Antiqua" w:hAnsi="Book Antiqua"/>
          <w:noProof/>
          <w:sz w:val="24"/>
          <w:szCs w:val="24"/>
          <w:vertAlign w:val="superscript"/>
          <w:lang w:val="en-US"/>
        </w:rPr>
        <w:t>[67]</w:t>
      </w:r>
      <w:r w:rsidRPr="00251400">
        <w:rPr>
          <w:rFonts w:ascii="Book Antiqua" w:hAnsi="Book Antiqua"/>
          <w:sz w:val="24"/>
          <w:szCs w:val="24"/>
          <w:lang w:val="en-US"/>
        </w:rPr>
        <w:t>. Training, money and information about use cases, problems and advantages of EHR are important to expand worldwide use.</w:t>
      </w:r>
    </w:p>
    <w:p w14:paraId="27214D9F" w14:textId="77777777" w:rsidR="00EB50E0" w:rsidRPr="00251400" w:rsidRDefault="00EB50E0" w:rsidP="00B0664E">
      <w:pPr>
        <w:adjustRightInd w:val="0"/>
        <w:snapToGrid w:val="0"/>
        <w:spacing w:line="360" w:lineRule="auto"/>
        <w:ind w:firstLineChars="150" w:firstLine="360"/>
        <w:jc w:val="both"/>
        <w:rPr>
          <w:rFonts w:ascii="Book Antiqua" w:hAnsi="Book Antiqua"/>
          <w:sz w:val="24"/>
          <w:szCs w:val="24"/>
          <w:lang w:val="en-US"/>
        </w:rPr>
      </w:pPr>
    </w:p>
    <w:p w14:paraId="7DB94124" w14:textId="77777777" w:rsidR="00214CC2"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i/>
          <w:iCs/>
          <w:sz w:val="24"/>
          <w:szCs w:val="24"/>
          <w:lang w:val="en-US"/>
        </w:rPr>
        <w:t xml:space="preserve">Digital </w:t>
      </w:r>
      <w:r w:rsidR="00214CC2" w:rsidRPr="00251400">
        <w:rPr>
          <w:rFonts w:ascii="宋体" w:eastAsia="宋体" w:hAnsi="宋体" w:hint="eastAsia"/>
          <w:b/>
          <w:i/>
          <w:iCs/>
          <w:sz w:val="24"/>
          <w:szCs w:val="24"/>
          <w:lang w:val="en-US" w:eastAsia="zh-CN"/>
        </w:rPr>
        <w:t>b</w:t>
      </w:r>
      <w:r w:rsidRPr="00251400">
        <w:rPr>
          <w:rFonts w:ascii="Book Antiqua" w:hAnsi="Book Antiqua"/>
          <w:b/>
          <w:i/>
          <w:iCs/>
          <w:sz w:val="24"/>
          <w:szCs w:val="24"/>
          <w:lang w:val="en-US"/>
        </w:rPr>
        <w:t>iomarkers</w:t>
      </w:r>
    </w:p>
    <w:p w14:paraId="07B1633F" w14:textId="4704FBFD"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Biological markers quantify observations that refer to an interaction between a biological system and a potential hazard</w:t>
      </w:r>
      <w:r w:rsidRPr="00251400">
        <w:rPr>
          <w:rFonts w:ascii="Book Antiqua" w:hAnsi="Book Antiqua"/>
          <w:noProof/>
          <w:sz w:val="24"/>
          <w:szCs w:val="24"/>
          <w:vertAlign w:val="superscript"/>
          <w:lang w:val="en-US"/>
        </w:rPr>
        <w:t>[68]</w:t>
      </w:r>
      <w:r w:rsidRPr="00251400">
        <w:rPr>
          <w:rFonts w:ascii="Book Antiqua" w:hAnsi="Book Antiqua"/>
          <w:sz w:val="24"/>
          <w:szCs w:val="24"/>
          <w:lang w:val="en-US"/>
        </w:rPr>
        <w:t xml:space="preserve">. Valuable biomarkers are objectively measured and change in response to changes in therapy or condition. Pulse, blood </w:t>
      </w:r>
      <w:r w:rsidRPr="00251400">
        <w:rPr>
          <w:rFonts w:ascii="Book Antiqua" w:hAnsi="Book Antiqua"/>
          <w:sz w:val="24"/>
          <w:szCs w:val="24"/>
          <w:lang w:val="en-US"/>
        </w:rPr>
        <w:lastRenderedPageBreak/>
        <w:t>pressure and blood test outcomes are examples of objective and quantifiable biomarkers. The association between biomarkers and relevant clinical endpoints is used for research and treatment decisions</w:t>
      </w:r>
      <w:r w:rsidRPr="00251400">
        <w:rPr>
          <w:rFonts w:ascii="Book Antiqua" w:hAnsi="Book Antiqua"/>
          <w:noProof/>
          <w:sz w:val="24"/>
          <w:szCs w:val="24"/>
          <w:vertAlign w:val="superscript"/>
          <w:lang w:val="en-US"/>
        </w:rPr>
        <w:t>[69]</w:t>
      </w:r>
      <w:r w:rsidRPr="00251400">
        <w:rPr>
          <w:rFonts w:ascii="Book Antiqua" w:hAnsi="Book Antiqua"/>
          <w:sz w:val="24"/>
          <w:szCs w:val="24"/>
          <w:lang w:val="en-US"/>
        </w:rPr>
        <w:t>. In recent years, digital biomarkers have been described and measured</w:t>
      </w:r>
      <w:r w:rsidRPr="00251400">
        <w:rPr>
          <w:rFonts w:ascii="Book Antiqua" w:hAnsi="Book Antiqua"/>
          <w:noProof/>
          <w:sz w:val="24"/>
          <w:szCs w:val="24"/>
          <w:vertAlign w:val="superscript"/>
          <w:lang w:val="en-US"/>
        </w:rPr>
        <w:t>[70]</w:t>
      </w:r>
      <w:r w:rsidRPr="00251400">
        <w:rPr>
          <w:rFonts w:ascii="Book Antiqua" w:hAnsi="Book Antiqua"/>
          <w:sz w:val="24"/>
          <w:szCs w:val="24"/>
          <w:lang w:val="en-US"/>
        </w:rPr>
        <w:t>. Digital biomarkers are defined as characteristic quantifiable measurements made by means of digital devices</w:t>
      </w:r>
      <w:r w:rsidRPr="00251400">
        <w:rPr>
          <w:rFonts w:ascii="Book Antiqua" w:hAnsi="Book Antiqua"/>
          <w:noProof/>
          <w:sz w:val="24"/>
          <w:szCs w:val="24"/>
          <w:vertAlign w:val="superscript"/>
          <w:lang w:val="en-US"/>
        </w:rPr>
        <w:t>[71]</w:t>
      </w:r>
      <w:r w:rsidRPr="00251400">
        <w:rPr>
          <w:rFonts w:ascii="Book Antiqua" w:hAnsi="Book Antiqua"/>
          <w:sz w:val="24"/>
          <w:szCs w:val="24"/>
          <w:lang w:val="en-US"/>
        </w:rPr>
        <w:t>. They are objectively measured and evaluated as an indicator of normal or pathologic biological processes or biological responses to a therapeutic intervention</w:t>
      </w:r>
      <w:r w:rsidRPr="00251400">
        <w:rPr>
          <w:rFonts w:ascii="Book Antiqua" w:hAnsi="Book Antiqua"/>
          <w:noProof/>
          <w:sz w:val="24"/>
          <w:szCs w:val="24"/>
          <w:vertAlign w:val="superscript"/>
          <w:lang w:val="en-US"/>
        </w:rPr>
        <w:t>[72]</w:t>
      </w:r>
      <w:r w:rsidRPr="00251400">
        <w:rPr>
          <w:rFonts w:ascii="Book Antiqua" w:hAnsi="Book Antiqua"/>
          <w:sz w:val="24"/>
          <w:szCs w:val="24"/>
          <w:lang w:val="en-US"/>
        </w:rPr>
        <w:t>. There are various sources from which digital biomarkers can be collected, including body sensors, image processing, health platforms and EMR as well as smartphones, wearables or other digital devices</w:t>
      </w:r>
      <w:r w:rsidRPr="00251400">
        <w:rPr>
          <w:rFonts w:ascii="Book Antiqua" w:hAnsi="Book Antiqua"/>
          <w:noProof/>
          <w:sz w:val="24"/>
          <w:szCs w:val="24"/>
          <w:vertAlign w:val="superscript"/>
          <w:lang w:val="en-US"/>
        </w:rPr>
        <w:t>[73]</w:t>
      </w:r>
      <w:r w:rsidRPr="00251400">
        <w:rPr>
          <w:rFonts w:ascii="Book Antiqua" w:hAnsi="Book Antiqua"/>
          <w:sz w:val="24"/>
          <w:szCs w:val="24"/>
          <w:lang w:val="en-US"/>
        </w:rPr>
        <w:t xml:space="preserve">. Digital biomarkers are increasingly important sources of data in health care. Related to the field of neurodegenerative diseases, Kourtis </w:t>
      </w:r>
      <w:r w:rsidRPr="00251400">
        <w:rPr>
          <w:rFonts w:ascii="Book Antiqua" w:hAnsi="Book Antiqua"/>
          <w:i/>
          <w:iCs/>
          <w:sz w:val="24"/>
          <w:szCs w:val="24"/>
          <w:lang w:val="en-US"/>
        </w:rPr>
        <w:t>et al</w:t>
      </w:r>
      <w:r w:rsidRPr="00251400">
        <w:rPr>
          <w:rFonts w:ascii="Book Antiqua" w:hAnsi="Book Antiqua"/>
          <w:noProof/>
          <w:sz w:val="24"/>
          <w:szCs w:val="24"/>
          <w:vertAlign w:val="superscript"/>
          <w:lang w:val="en-US"/>
        </w:rPr>
        <w:t>[74]</w:t>
      </w:r>
      <w:r w:rsidRPr="00251400">
        <w:rPr>
          <w:rFonts w:ascii="Book Antiqua" w:hAnsi="Book Antiqua"/>
          <w:sz w:val="24"/>
          <w:szCs w:val="24"/>
          <w:lang w:val="en-US"/>
        </w:rPr>
        <w:t xml:space="preserve"> pointed out different reasons why digital biomarkers collected from mobile devices and wearables present a unique opportunity for collecting data. There is widespread usage of these technologies in society and immediate access to information due to our inherent connectivity. Moreover, the sensitivity and plurality of onboard sensors is increasing, and such mobile devices are uniquely equipped with sensors; thus, the burden on the health care system is low because large segments of the population are already using such devices. From these devices, a broad range of different data can be collected actively or passively. Biomarkers measured </w:t>
      </w:r>
      <w:r w:rsidRPr="00251400">
        <w:rPr>
          <w:rFonts w:ascii="Book Antiqua" w:hAnsi="Book Antiqua"/>
          <w:i/>
          <w:sz w:val="24"/>
          <w:szCs w:val="24"/>
          <w:lang w:val="en-US"/>
        </w:rPr>
        <w:t>via</w:t>
      </w:r>
      <w:r w:rsidRPr="00251400">
        <w:rPr>
          <w:rFonts w:ascii="Book Antiqua" w:hAnsi="Book Antiqua"/>
          <w:sz w:val="24"/>
          <w:szCs w:val="24"/>
          <w:lang w:val="en-US"/>
        </w:rPr>
        <w:t xml:space="preserve"> smartphones can be movements and geopositioning, speech and language or sleep patterns</w:t>
      </w:r>
      <w:r w:rsidRPr="00251400">
        <w:rPr>
          <w:rFonts w:ascii="Book Antiqua" w:hAnsi="Book Antiqua"/>
          <w:noProof/>
          <w:sz w:val="24"/>
          <w:szCs w:val="24"/>
          <w:vertAlign w:val="superscript"/>
          <w:lang w:val="en-US"/>
        </w:rPr>
        <w:t>[74]</w:t>
      </w:r>
      <w:r w:rsidRPr="00251400">
        <w:rPr>
          <w:rFonts w:ascii="Book Antiqua" w:hAnsi="Book Antiqua"/>
          <w:sz w:val="24"/>
          <w:szCs w:val="24"/>
          <w:lang w:val="en-US"/>
        </w:rPr>
        <w:t>. A systematic survey of apps listed in international curated health app libraries focused on mobile health apps using built-in smartphone sensors for diagnosis and treatment. After excluding 762 apps according to the applied inclusion and exclusion criteria, 18 apps remained. One-fourth of those apps were aligned with the diagnosis of health conditions. One half was exclusively treatment oriented. Thirty-nine percent of the apps used the camera as a mobile phone sensor. Thirty-three percent of them used the touch screen. In the identified apps, microphones, mobile phone speakers and accelerometers were used more rarely. None of the included apps used GPS</w:t>
      </w:r>
      <w:r w:rsidRPr="00251400">
        <w:rPr>
          <w:rFonts w:ascii="Book Antiqua" w:hAnsi="Book Antiqua"/>
          <w:noProof/>
          <w:sz w:val="24"/>
          <w:szCs w:val="24"/>
          <w:vertAlign w:val="superscript"/>
          <w:lang w:val="en-US"/>
        </w:rPr>
        <w:t>[75]</w:t>
      </w:r>
      <w:r w:rsidRPr="00251400">
        <w:rPr>
          <w:rFonts w:ascii="Book Antiqua" w:hAnsi="Book Antiqua"/>
          <w:sz w:val="24"/>
          <w:szCs w:val="24"/>
          <w:lang w:val="en-US"/>
        </w:rPr>
        <w:t>. These data can be correlated longitudinally and continuously to forecast critical or medically relevant situations</w:t>
      </w:r>
      <w:r w:rsidRPr="00251400">
        <w:rPr>
          <w:rFonts w:ascii="Book Antiqua" w:hAnsi="Book Antiqua"/>
          <w:noProof/>
          <w:sz w:val="24"/>
          <w:szCs w:val="24"/>
          <w:vertAlign w:val="superscript"/>
          <w:lang w:val="en-US"/>
        </w:rPr>
        <w:t>[76]</w:t>
      </w:r>
      <w:r w:rsidRPr="00251400">
        <w:rPr>
          <w:rFonts w:ascii="Book Antiqua" w:hAnsi="Book Antiqua"/>
          <w:sz w:val="24"/>
          <w:szCs w:val="24"/>
          <w:lang w:val="en-US"/>
        </w:rPr>
        <w:t>. A smartwatch measuring heart rate, for example, can be matched with a smartphone app that can alert care providers in case of conspicuous abnormalities</w:t>
      </w:r>
      <w:r w:rsidRPr="00251400">
        <w:rPr>
          <w:rFonts w:ascii="Book Antiqua" w:hAnsi="Book Antiqua"/>
          <w:noProof/>
          <w:sz w:val="24"/>
          <w:szCs w:val="24"/>
          <w:vertAlign w:val="superscript"/>
          <w:lang w:val="en-US"/>
        </w:rPr>
        <w:t>[70]</w:t>
      </w:r>
      <w:r w:rsidRPr="00251400">
        <w:rPr>
          <w:rFonts w:ascii="Book Antiqua" w:hAnsi="Book Antiqua"/>
          <w:sz w:val="24"/>
          <w:szCs w:val="24"/>
          <w:lang w:val="en-US"/>
        </w:rPr>
        <w:t xml:space="preserve">. There are different categories of digital biomarkers: </w:t>
      </w:r>
      <w:r w:rsidRPr="00251400">
        <w:rPr>
          <w:rFonts w:ascii="Book Antiqua" w:hAnsi="Book Antiqua"/>
          <w:sz w:val="24"/>
          <w:szCs w:val="24"/>
          <w:lang w:val="en-US"/>
        </w:rPr>
        <w:lastRenderedPageBreak/>
        <w:t>Risk biomarkers indicate the disease-development potential in individuals who are not currently ill or having medical problems. Diagnostic biomarkers can detect or confirm the presence of a disease. Serial measurement by monitoring biomarkers can be used to assess the status of a disease or medical condition or to provide evidence of exposure to a medical product. If interested in the likelihood of a clinical event, prognostic biomarkers of progress or disease recurrence can be used. Some people are more likely to experience a (un)favorable effect from exposure to a medical product or the environment. To identify those people, the use of predictive biomarkers is recommended. Biological responses to exposure to medical products or environmental agents can be assessed by response biomarkers. Safety biomarkers indicate the likelihood, presence or extent of toxicity by measuring them before and after exposure to a medical product or environmental agent</w:t>
      </w:r>
      <w:r w:rsidRPr="00251400">
        <w:rPr>
          <w:rFonts w:ascii="Book Antiqua" w:hAnsi="Book Antiqua"/>
          <w:noProof/>
          <w:sz w:val="24"/>
          <w:szCs w:val="24"/>
          <w:vertAlign w:val="superscript"/>
          <w:lang w:val="en-US"/>
        </w:rPr>
        <w:t>[70]</w:t>
      </w:r>
      <w:r w:rsidRPr="00251400">
        <w:rPr>
          <w:rFonts w:ascii="Book Antiqua" w:hAnsi="Book Antiqua"/>
          <w:sz w:val="24"/>
          <w:szCs w:val="24"/>
          <w:lang w:val="en-US"/>
        </w:rPr>
        <w:t>. Platforms connecting technologies can help to raise the diagnostic and prognostic value of the information collected by using multi-sourced biomarkers. Connecting data such as height, weight and step accuracy, for example, helps to estimate information and create meaningful endpoints. Using AI, patients participate in the ongoing process of a deep learning digital health system</w:t>
      </w:r>
      <w:r w:rsidRPr="00251400">
        <w:rPr>
          <w:rFonts w:ascii="Book Antiqua" w:hAnsi="Book Antiqua"/>
          <w:noProof/>
          <w:sz w:val="24"/>
          <w:szCs w:val="24"/>
          <w:vertAlign w:val="superscript"/>
          <w:lang w:val="en-US"/>
        </w:rPr>
        <w:t>[70]</w:t>
      </w:r>
      <w:r w:rsidRPr="00251400">
        <w:rPr>
          <w:rFonts w:ascii="Book Antiqua" w:hAnsi="Book Antiqua"/>
          <w:sz w:val="24"/>
          <w:szCs w:val="24"/>
          <w:lang w:val="en-US"/>
        </w:rPr>
        <w:t>. In the case of gastroenterology, digital biomarkers play an important role, as they do, for example, in cancer patients. Digital biomarkers deliver more precise prognostic information for cancer patients than conventional survey methods</w:t>
      </w:r>
      <w:r w:rsidRPr="00251400">
        <w:rPr>
          <w:rFonts w:ascii="Book Antiqua" w:hAnsi="Book Antiqua"/>
          <w:noProof/>
          <w:sz w:val="24"/>
          <w:szCs w:val="24"/>
          <w:vertAlign w:val="superscript"/>
          <w:lang w:val="en-US"/>
        </w:rPr>
        <w:t>[73]</w:t>
      </w:r>
      <w:r w:rsidRPr="00251400">
        <w:rPr>
          <w:rFonts w:ascii="Book Antiqua" w:hAnsi="Book Antiqua"/>
          <w:sz w:val="24"/>
          <w:szCs w:val="24"/>
          <w:lang w:val="en-US"/>
        </w:rPr>
        <w:t>. This can be explained by the fact that clinicians no longer collect data only at one or a few points in time; digital biomarkers allow the continuous collection of data in a real-world setting</w:t>
      </w:r>
      <w:r w:rsidRPr="00251400">
        <w:rPr>
          <w:rFonts w:ascii="Book Antiqua" w:hAnsi="Book Antiqua"/>
          <w:noProof/>
          <w:sz w:val="24"/>
          <w:szCs w:val="24"/>
          <w:vertAlign w:val="superscript"/>
          <w:lang w:val="en-US"/>
        </w:rPr>
        <w:t>[73]</w:t>
      </w:r>
      <w:r w:rsidRPr="00251400">
        <w:rPr>
          <w:rFonts w:ascii="Book Antiqua" w:hAnsi="Book Antiqua"/>
          <w:sz w:val="24"/>
          <w:szCs w:val="24"/>
          <w:lang w:val="en-US"/>
        </w:rPr>
        <w:t>. Despite the increasing prevalence of digital devices, there is still little research on biomarkers in the field of gastroenterology.</w:t>
      </w:r>
    </w:p>
    <w:p w14:paraId="1B06D0EA" w14:textId="77777777" w:rsidR="0042156C" w:rsidRPr="00251400" w:rsidRDefault="0042156C" w:rsidP="00B0664E">
      <w:pPr>
        <w:adjustRightInd w:val="0"/>
        <w:snapToGrid w:val="0"/>
        <w:spacing w:line="360" w:lineRule="auto"/>
        <w:jc w:val="both"/>
        <w:rPr>
          <w:rFonts w:ascii="Book Antiqua" w:hAnsi="Book Antiqua"/>
          <w:sz w:val="24"/>
          <w:szCs w:val="24"/>
          <w:lang w:val="en-US"/>
        </w:rPr>
      </w:pPr>
    </w:p>
    <w:p w14:paraId="3B39228E" w14:textId="3812A076" w:rsidR="00883298" w:rsidRPr="00251400" w:rsidRDefault="00214CC2" w:rsidP="00B0664E">
      <w:pPr>
        <w:adjustRightInd w:val="0"/>
        <w:snapToGrid w:val="0"/>
        <w:spacing w:line="360" w:lineRule="auto"/>
        <w:jc w:val="both"/>
        <w:rPr>
          <w:rFonts w:ascii="Book Antiqua" w:hAnsi="Book Antiqua"/>
          <w:b/>
          <w:iCs/>
          <w:sz w:val="24"/>
          <w:szCs w:val="24"/>
          <w:u w:val="single"/>
          <w:lang w:val="en-US"/>
        </w:rPr>
      </w:pPr>
      <w:r w:rsidRPr="00251400">
        <w:rPr>
          <w:rFonts w:ascii="Book Antiqua" w:hAnsi="Book Antiqua"/>
          <w:b/>
          <w:iCs/>
          <w:sz w:val="24"/>
          <w:szCs w:val="24"/>
          <w:u w:val="single"/>
          <w:lang w:val="en-US"/>
        </w:rPr>
        <w:t>CHALLENGES</w:t>
      </w:r>
    </w:p>
    <w:p w14:paraId="19EF840B" w14:textId="031EC35A"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In the section above, we described various examples, such as the use of smartphone apps for self-management, as well as the use of EHR and telemedicine. While the benefits for such digital interventions on self-management and the management of diseases in general in the field of gastroenterology have been described, there are various challenges that have to be resolved. While the challenges are complex, we will first address an overview of topics. Then we will describe selected specific </w:t>
      </w:r>
      <w:r w:rsidRPr="00251400">
        <w:rPr>
          <w:rFonts w:ascii="Book Antiqua" w:hAnsi="Book Antiqua"/>
          <w:sz w:val="24"/>
          <w:szCs w:val="24"/>
          <w:lang w:val="en-US"/>
        </w:rPr>
        <w:lastRenderedPageBreak/>
        <w:t>aspects of these challenges in detail. Currently, all digital interventions are highly complex, which means that both the development and the evaluation and implementation of such interventions are difficult and context dependent</w:t>
      </w:r>
      <w:r w:rsidRPr="00251400">
        <w:rPr>
          <w:rFonts w:ascii="Book Antiqua" w:hAnsi="Book Antiqua"/>
          <w:noProof/>
          <w:sz w:val="24"/>
          <w:szCs w:val="24"/>
          <w:vertAlign w:val="superscript"/>
          <w:lang w:val="en-US"/>
        </w:rPr>
        <w:t>[77]</w:t>
      </w:r>
      <w:r w:rsidRPr="00251400">
        <w:rPr>
          <w:rFonts w:ascii="Book Antiqua" w:hAnsi="Book Antiqua"/>
          <w:sz w:val="24"/>
          <w:szCs w:val="24"/>
          <w:lang w:val="en-US"/>
        </w:rPr>
        <w:t>. Gaining and accumulating evidence-based knowledge is difficult in a number of ways because the interventions are often not comparable due to the many different components that are often not evidence-based</w:t>
      </w:r>
      <w:r w:rsidRPr="00251400">
        <w:rPr>
          <w:rFonts w:ascii="Book Antiqua" w:hAnsi="Book Antiqua"/>
          <w:noProof/>
          <w:sz w:val="24"/>
          <w:szCs w:val="24"/>
          <w:vertAlign w:val="superscript"/>
          <w:lang w:val="en-US"/>
        </w:rPr>
        <w:t>[29]</w:t>
      </w:r>
      <w:r w:rsidRPr="00251400">
        <w:rPr>
          <w:rFonts w:ascii="Book Antiqua" w:hAnsi="Book Antiqua"/>
          <w:sz w:val="24"/>
          <w:szCs w:val="24"/>
          <w:lang w:val="en-US"/>
        </w:rPr>
        <w:t>. Moreover, as we mentioned before, even if a digital intervention has a profound evidence base, there is a significant regulatory ambiguity, especially for market access and reimbursement</w:t>
      </w:r>
      <w:r w:rsidRPr="00251400">
        <w:rPr>
          <w:rFonts w:ascii="Book Antiqua" w:hAnsi="Book Antiqua"/>
          <w:noProof/>
          <w:sz w:val="24"/>
          <w:szCs w:val="24"/>
          <w:vertAlign w:val="superscript"/>
          <w:lang w:val="en-US"/>
        </w:rPr>
        <w:t>[78]</w:t>
      </w:r>
      <w:r w:rsidRPr="00251400">
        <w:rPr>
          <w:rFonts w:ascii="Book Antiqua" w:hAnsi="Book Antiqua"/>
          <w:sz w:val="24"/>
          <w:szCs w:val="24"/>
          <w:lang w:val="en-US"/>
        </w:rPr>
        <w:t>. In many fields of digital health care, the current evidence of the efficacy and efficiency is limited, and research is in its infancy</w:t>
      </w:r>
      <w:r w:rsidRPr="00251400">
        <w:rPr>
          <w:rFonts w:ascii="Book Antiqua" w:hAnsi="Book Antiqua"/>
          <w:noProof/>
          <w:sz w:val="24"/>
          <w:szCs w:val="24"/>
          <w:vertAlign w:val="superscript"/>
          <w:lang w:val="en-US"/>
        </w:rPr>
        <w:t>[5]</w:t>
      </w:r>
      <w:r w:rsidRPr="00251400">
        <w:rPr>
          <w:rFonts w:ascii="Book Antiqua" w:hAnsi="Book Antiqua"/>
          <w:sz w:val="24"/>
          <w:szCs w:val="24"/>
          <w:lang w:val="en-US"/>
        </w:rPr>
        <w:t>. Furthermore, the development of digital interventions often takes place in interdisciplinary teams in the professional context of computer interaction and social sciences and medicine. Such studies are usually complicated and suffer from limitations resulting from the interdisciplinary aspects</w:t>
      </w:r>
      <w:r w:rsidRPr="00251400">
        <w:rPr>
          <w:rFonts w:ascii="Book Antiqua" w:hAnsi="Book Antiqua"/>
          <w:noProof/>
          <w:sz w:val="24"/>
          <w:szCs w:val="24"/>
          <w:vertAlign w:val="superscript"/>
          <w:lang w:val="en-US"/>
        </w:rPr>
        <w:t>[65]</w:t>
      </w:r>
      <w:r w:rsidRPr="00251400">
        <w:rPr>
          <w:rFonts w:ascii="Book Antiqua" w:hAnsi="Book Antiqua"/>
          <w:sz w:val="24"/>
          <w:szCs w:val="24"/>
          <w:lang w:val="en-US"/>
        </w:rPr>
        <w:t>.</w:t>
      </w:r>
    </w:p>
    <w:p w14:paraId="4E390213" w14:textId="77777777" w:rsidR="0042156C" w:rsidRPr="00251400" w:rsidRDefault="0042156C" w:rsidP="00B0664E">
      <w:pPr>
        <w:adjustRightInd w:val="0"/>
        <w:snapToGrid w:val="0"/>
        <w:spacing w:line="360" w:lineRule="auto"/>
        <w:jc w:val="both"/>
        <w:rPr>
          <w:rFonts w:ascii="Book Antiqua" w:hAnsi="Book Antiqua"/>
          <w:sz w:val="24"/>
          <w:szCs w:val="24"/>
          <w:lang w:val="en-US"/>
        </w:rPr>
      </w:pPr>
    </w:p>
    <w:p w14:paraId="2229F736" w14:textId="77777777" w:rsidR="00214CC2"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i/>
          <w:iCs/>
          <w:sz w:val="24"/>
          <w:szCs w:val="24"/>
          <w:lang w:val="en-US"/>
        </w:rPr>
        <w:t xml:space="preserve">Quality of </w:t>
      </w:r>
      <w:r w:rsidR="0042156C" w:rsidRPr="00251400">
        <w:rPr>
          <w:rFonts w:ascii="Book Antiqua" w:hAnsi="Book Antiqua"/>
          <w:b/>
          <w:i/>
          <w:iCs/>
          <w:sz w:val="24"/>
          <w:szCs w:val="24"/>
          <w:lang w:val="en-US"/>
        </w:rPr>
        <w:t>a</w:t>
      </w:r>
      <w:r w:rsidRPr="00251400">
        <w:rPr>
          <w:rFonts w:ascii="Book Antiqua" w:hAnsi="Book Antiqua"/>
          <w:b/>
          <w:i/>
          <w:iCs/>
          <w:sz w:val="24"/>
          <w:szCs w:val="24"/>
          <w:lang w:val="en-US"/>
        </w:rPr>
        <w:t>pps</w:t>
      </w:r>
    </w:p>
    <w:p w14:paraId="41F07FE2" w14:textId="64AED4E3"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sz w:val="24"/>
          <w:szCs w:val="24"/>
          <w:lang w:val="en-US"/>
        </w:rPr>
        <w:t>The main challenge regarding smartphone health apps is the disparity between their proclaimed benefits and their objectively proven and evidence-based benefits</w:t>
      </w:r>
      <w:r w:rsidRPr="00251400">
        <w:rPr>
          <w:rFonts w:ascii="Book Antiqua" w:hAnsi="Book Antiqua"/>
          <w:noProof/>
          <w:sz w:val="24"/>
          <w:szCs w:val="24"/>
          <w:vertAlign w:val="superscript"/>
          <w:lang w:val="en-US"/>
        </w:rPr>
        <w:t>[79]</w:t>
      </w:r>
      <w:r w:rsidRPr="00251400">
        <w:rPr>
          <w:rFonts w:ascii="Book Antiqua" w:hAnsi="Book Antiqua"/>
          <w:b/>
          <w:sz w:val="24"/>
          <w:szCs w:val="24"/>
          <w:lang w:val="en-US"/>
        </w:rPr>
        <w:t xml:space="preserve">. </w:t>
      </w:r>
      <w:r w:rsidRPr="00251400">
        <w:rPr>
          <w:rFonts w:ascii="Book Antiqua" w:hAnsi="Book Antiqua"/>
          <w:sz w:val="24"/>
          <w:szCs w:val="24"/>
          <w:lang w:val="en-US"/>
        </w:rPr>
        <w:t>This is a challenge for apps in all fields of health care. The limited evidence demonstrating the quality of apps has been a research topic for apps in mental health self-management of asthma</w:t>
      </w:r>
      <w:r w:rsidRPr="00251400">
        <w:rPr>
          <w:rFonts w:ascii="Book Antiqua" w:hAnsi="Book Antiqua"/>
          <w:noProof/>
          <w:sz w:val="24"/>
          <w:szCs w:val="24"/>
          <w:vertAlign w:val="superscript"/>
          <w:lang w:val="en-US"/>
        </w:rPr>
        <w:t>[79]</w:t>
      </w:r>
      <w:r w:rsidRPr="00251400">
        <w:rPr>
          <w:rFonts w:ascii="Book Antiqua" w:hAnsi="Book Antiqua"/>
          <w:b/>
          <w:sz w:val="24"/>
          <w:szCs w:val="24"/>
          <w:lang w:val="en-US"/>
        </w:rPr>
        <w:t>,</w:t>
      </w:r>
      <w:r w:rsidRPr="00251400">
        <w:rPr>
          <w:rFonts w:ascii="Book Antiqua" w:hAnsi="Book Antiqua"/>
          <w:sz w:val="24"/>
          <w:szCs w:val="24"/>
          <w:lang w:val="en-US"/>
        </w:rPr>
        <w:t xml:space="preserve"> self-management of diabetes</w:t>
      </w:r>
      <w:r w:rsidRPr="00251400">
        <w:rPr>
          <w:rFonts w:ascii="Book Antiqua" w:hAnsi="Book Antiqua"/>
          <w:noProof/>
          <w:sz w:val="24"/>
          <w:szCs w:val="24"/>
          <w:vertAlign w:val="superscript"/>
          <w:lang w:val="en-US"/>
        </w:rPr>
        <w:t>[80]</w:t>
      </w:r>
      <w:r w:rsidRPr="00251400">
        <w:rPr>
          <w:rFonts w:ascii="Book Antiqua" w:hAnsi="Book Antiqua"/>
          <w:sz w:val="24"/>
          <w:szCs w:val="24"/>
          <w:lang w:val="en-US"/>
        </w:rPr>
        <w:t xml:space="preserve"> management of postoperative pain</w:t>
      </w:r>
      <w:r w:rsidRPr="00251400">
        <w:rPr>
          <w:rFonts w:ascii="Book Antiqua" w:hAnsi="Book Antiqua"/>
          <w:noProof/>
          <w:sz w:val="24"/>
          <w:szCs w:val="24"/>
          <w:vertAlign w:val="superscript"/>
          <w:lang w:val="en-US"/>
        </w:rPr>
        <w:t>[12]</w:t>
      </w:r>
      <w:r w:rsidRPr="00251400">
        <w:rPr>
          <w:rFonts w:ascii="Book Antiqua" w:hAnsi="Book Antiqua"/>
          <w:sz w:val="24"/>
          <w:szCs w:val="24"/>
          <w:lang w:val="en-US"/>
        </w:rPr>
        <w:t xml:space="preserve"> and sleep management</w:t>
      </w:r>
      <w:r w:rsidRPr="00251400">
        <w:rPr>
          <w:rFonts w:ascii="Book Antiqua" w:hAnsi="Book Antiqua"/>
          <w:noProof/>
          <w:sz w:val="24"/>
          <w:szCs w:val="24"/>
          <w:vertAlign w:val="superscript"/>
          <w:lang w:val="en-US"/>
        </w:rPr>
        <w:t>[81]</w:t>
      </w:r>
      <w:r w:rsidRPr="00251400">
        <w:rPr>
          <w:rFonts w:ascii="Book Antiqua" w:hAnsi="Book Antiqua"/>
          <w:sz w:val="24"/>
          <w:szCs w:val="24"/>
          <w:lang w:val="en-US"/>
        </w:rPr>
        <w:t xml:space="preserve">. A systematic review conducted by Vilardaga </w:t>
      </w:r>
      <w:r w:rsidRPr="00251400">
        <w:rPr>
          <w:rFonts w:ascii="Book Antiqua" w:hAnsi="Book Antiqua"/>
          <w:i/>
          <w:iCs/>
          <w:sz w:val="24"/>
          <w:szCs w:val="24"/>
          <w:lang w:val="en-US"/>
        </w:rPr>
        <w:t>et al</w:t>
      </w:r>
      <w:r w:rsidRPr="00251400">
        <w:rPr>
          <w:rFonts w:ascii="Book Antiqua" w:hAnsi="Book Antiqua"/>
          <w:noProof/>
          <w:sz w:val="24"/>
          <w:szCs w:val="24"/>
          <w:vertAlign w:val="superscript"/>
          <w:lang w:val="en-US"/>
        </w:rPr>
        <w:t>[82]</w:t>
      </w:r>
      <w:r w:rsidRPr="00251400">
        <w:rPr>
          <w:rFonts w:ascii="Book Antiqua" w:hAnsi="Book Antiqua"/>
          <w:sz w:val="24"/>
          <w:szCs w:val="24"/>
          <w:lang w:val="en-US"/>
        </w:rPr>
        <w:t xml:space="preserve"> on smartphone applications to support smoking cessation suggested that the majority of the studies in this field have been performed in early stages of app development, such as user-centered design studies, and the vast majority of the apps use only a limited number of theoretical mechanisms of intervention delivery</w:t>
      </w:r>
      <w:r w:rsidR="00DB4E4A" w:rsidRPr="00251400">
        <w:rPr>
          <w:rFonts w:ascii="Book Antiqua" w:hAnsi="Book Antiqua"/>
          <w:sz w:val="24"/>
          <w:szCs w:val="24"/>
          <w:lang w:val="en-US"/>
        </w:rPr>
        <w:t>.</w:t>
      </w:r>
      <w:r w:rsidRPr="00251400">
        <w:rPr>
          <w:rFonts w:ascii="Book Antiqua" w:hAnsi="Book Antiqua"/>
          <w:sz w:val="24"/>
          <w:szCs w:val="24"/>
          <w:lang w:val="en-US"/>
        </w:rPr>
        <w:t xml:space="preserve"> Furthermore, the study revealed that the vast majority of apps were not tested in well-designed randomized controlled trials, which leads to only limited evidence regarding possible benefit. In another review, Alessa</w:t>
      </w:r>
      <w:r w:rsidRPr="00251400">
        <w:rPr>
          <w:rFonts w:ascii="Book Antiqua" w:hAnsi="Book Antiqua"/>
          <w:i/>
          <w:iCs/>
          <w:sz w:val="24"/>
          <w:szCs w:val="24"/>
          <w:lang w:val="en-US"/>
        </w:rPr>
        <w:t xml:space="preserve"> et al</w:t>
      </w:r>
      <w:r w:rsidRPr="00251400">
        <w:rPr>
          <w:rFonts w:ascii="Book Antiqua" w:hAnsi="Book Antiqua"/>
          <w:noProof/>
          <w:sz w:val="24"/>
          <w:szCs w:val="24"/>
          <w:vertAlign w:val="superscript"/>
          <w:lang w:val="en-US"/>
        </w:rPr>
        <w:t>[83]</w:t>
      </w:r>
      <w:r w:rsidRPr="00251400">
        <w:rPr>
          <w:rFonts w:ascii="Book Antiqua" w:hAnsi="Book Antiqua"/>
          <w:sz w:val="24"/>
          <w:szCs w:val="24"/>
          <w:lang w:val="en-US"/>
        </w:rPr>
        <w:t xml:space="preserve"> aimed to describe and assess apps in to support the management of hypertension available in different app stores. The authors included 186 apps in their analysis and identified that only a small number of the included apps were likely to be effective. This is </w:t>
      </w:r>
      <w:r w:rsidRPr="00251400">
        <w:rPr>
          <w:rFonts w:ascii="Book Antiqua" w:hAnsi="Book Antiqua"/>
          <w:sz w:val="24"/>
          <w:szCs w:val="24"/>
          <w:lang w:val="en-US"/>
        </w:rPr>
        <w:lastRenderedPageBreak/>
        <w:t>because most of the included apps were missing an underlying theoretical foundation in behavioral theories or even basic strategies relating to self-management interventions</w:t>
      </w:r>
      <w:r w:rsidRPr="00251400">
        <w:rPr>
          <w:rFonts w:ascii="Book Antiqua" w:hAnsi="Book Antiqua"/>
          <w:noProof/>
          <w:sz w:val="24"/>
          <w:szCs w:val="24"/>
          <w:vertAlign w:val="superscript"/>
          <w:lang w:val="en-US"/>
        </w:rPr>
        <w:t>[83]</w:t>
      </w:r>
      <w:r w:rsidRPr="00251400">
        <w:rPr>
          <w:rFonts w:ascii="Book Antiqua" w:hAnsi="Book Antiqua"/>
          <w:sz w:val="24"/>
          <w:szCs w:val="24"/>
          <w:lang w:val="en-US"/>
        </w:rPr>
        <w:t>. The one major single function</w:t>
      </w:r>
      <w:r w:rsidRPr="00251400" w:rsidDel="00C647B2">
        <w:rPr>
          <w:rFonts w:ascii="Book Antiqua" w:hAnsi="Book Antiqua"/>
          <w:sz w:val="24"/>
          <w:szCs w:val="24"/>
          <w:lang w:val="en-US"/>
        </w:rPr>
        <w:t xml:space="preserve"> </w:t>
      </w:r>
      <w:r w:rsidRPr="00251400">
        <w:rPr>
          <w:rFonts w:ascii="Book Antiqua" w:hAnsi="Book Antiqua"/>
          <w:sz w:val="24"/>
          <w:szCs w:val="24"/>
          <w:lang w:val="en-US"/>
        </w:rPr>
        <w:t>of most of the apps was to provide educational information, and just a few apps included comprehensive functionalities, which are probably more effective than just a single functionality</w:t>
      </w:r>
      <w:r w:rsidRPr="00251400">
        <w:rPr>
          <w:rFonts w:ascii="Book Antiqua" w:hAnsi="Book Antiqua"/>
          <w:noProof/>
          <w:sz w:val="24"/>
          <w:szCs w:val="24"/>
          <w:vertAlign w:val="superscript"/>
          <w:lang w:val="en-US"/>
        </w:rPr>
        <w:t>[83]</w:t>
      </w:r>
      <w:r w:rsidRPr="00251400">
        <w:rPr>
          <w:rFonts w:ascii="Book Antiqua" w:hAnsi="Book Antiqua"/>
          <w:sz w:val="24"/>
          <w:szCs w:val="24"/>
          <w:lang w:val="en-US"/>
        </w:rPr>
        <w:t>. Related to the field of gastroenterology, a systematic assessment of apps for the self-management of IBD identified similar problems</w:t>
      </w:r>
      <w:r w:rsidRPr="00251400">
        <w:rPr>
          <w:rFonts w:ascii="Book Antiqua" w:hAnsi="Book Antiqua"/>
          <w:noProof/>
          <w:sz w:val="24"/>
          <w:szCs w:val="24"/>
          <w:vertAlign w:val="superscript"/>
          <w:lang w:val="en-US"/>
        </w:rPr>
        <w:t>[40]</w:t>
      </w:r>
      <w:r w:rsidRPr="00251400">
        <w:rPr>
          <w:rFonts w:ascii="Book Antiqua" w:hAnsi="Book Antiqua"/>
          <w:sz w:val="24"/>
          <w:szCs w:val="24"/>
          <w:lang w:val="en-US"/>
        </w:rPr>
        <w:t>. From the 238 identified apps in the major app stores, the investigators included twenty-six apps in the final analysis of the app content. A major result was that the overwhelming majority of the apps for IBD suffered from a lack of involvement of medical and health professionals and had only limited coverage of international consensus guidelines for IBD</w:t>
      </w:r>
      <w:r w:rsidRPr="00251400">
        <w:rPr>
          <w:rFonts w:ascii="Book Antiqua" w:hAnsi="Book Antiqua"/>
          <w:noProof/>
          <w:sz w:val="24"/>
          <w:szCs w:val="24"/>
          <w:vertAlign w:val="superscript"/>
          <w:lang w:val="en-US"/>
        </w:rPr>
        <w:t>[40]</w:t>
      </w:r>
      <w:r w:rsidRPr="00251400">
        <w:rPr>
          <w:rFonts w:ascii="Book Antiqua" w:hAnsi="Book Antiqua"/>
          <w:sz w:val="24"/>
          <w:szCs w:val="24"/>
          <w:lang w:val="en-US"/>
        </w:rPr>
        <w:t>. Currently, there are no generally accepted criteria for the qualitative evaluation of apps</w:t>
      </w:r>
      <w:r w:rsidRPr="00251400">
        <w:rPr>
          <w:rFonts w:ascii="Book Antiqua" w:hAnsi="Book Antiqua"/>
          <w:noProof/>
          <w:sz w:val="24"/>
          <w:szCs w:val="24"/>
          <w:vertAlign w:val="superscript"/>
          <w:lang w:val="en-US"/>
        </w:rPr>
        <w:t>[27]</w:t>
      </w:r>
      <w:r w:rsidRPr="00251400">
        <w:rPr>
          <w:rFonts w:ascii="Book Antiqua" w:hAnsi="Book Antiqua"/>
          <w:sz w:val="24"/>
          <w:szCs w:val="24"/>
          <w:lang w:val="en-US"/>
        </w:rPr>
        <w:t>. In a systematic review to identify and summarize criteria for the assessment of the quality of apps, the authors reported large heterogeneity of different criteria for evaluating the quality of an app</w:t>
      </w:r>
      <w:r w:rsidRPr="00251400">
        <w:rPr>
          <w:rFonts w:ascii="Book Antiqua" w:hAnsi="Book Antiqua"/>
          <w:noProof/>
          <w:sz w:val="24"/>
          <w:szCs w:val="24"/>
          <w:vertAlign w:val="superscript"/>
          <w:lang w:val="en-US"/>
        </w:rPr>
        <w:t>[84]</w:t>
      </w:r>
      <w:r w:rsidRPr="00251400">
        <w:rPr>
          <w:rFonts w:ascii="Book Antiqua" w:hAnsi="Book Antiqua"/>
          <w:sz w:val="24"/>
          <w:szCs w:val="24"/>
          <w:lang w:val="en-US"/>
        </w:rPr>
        <w:t>. They identified thirty-eight classes of assessment criteria for the quality of health-related apps. Later, they were able to aggregate these thirty-eight criteria into seven main categories with thirty-seven subclasses. The seven main categories were design, information/content, usability, functionality, ethical issues, security and privacy, and user-perceived value of the app</w:t>
      </w:r>
      <w:r w:rsidRPr="00251400">
        <w:rPr>
          <w:rFonts w:ascii="Book Antiqua" w:hAnsi="Book Antiqua"/>
          <w:noProof/>
          <w:sz w:val="24"/>
          <w:szCs w:val="24"/>
          <w:vertAlign w:val="superscript"/>
          <w:lang w:val="en-US"/>
        </w:rPr>
        <w:t>[84]</w:t>
      </w:r>
      <w:r w:rsidRPr="00251400">
        <w:rPr>
          <w:rFonts w:ascii="Book Antiqua" w:hAnsi="Book Antiqua"/>
          <w:sz w:val="24"/>
          <w:szCs w:val="24"/>
          <w:lang w:val="en-US"/>
        </w:rPr>
        <w:t>. Although various methods have been developed in recent years to improve the quality of smartphone apps, these methods have not been applied in many studies</w:t>
      </w:r>
      <w:r w:rsidRPr="00251400">
        <w:rPr>
          <w:rFonts w:ascii="Book Antiqua" w:hAnsi="Book Antiqua"/>
          <w:noProof/>
          <w:sz w:val="24"/>
          <w:szCs w:val="24"/>
          <w:vertAlign w:val="superscript"/>
          <w:lang w:val="en-US"/>
        </w:rPr>
        <w:t>[84]</w:t>
      </w:r>
      <w:r w:rsidRPr="00251400">
        <w:rPr>
          <w:rFonts w:ascii="Book Antiqua" w:hAnsi="Book Antiqua"/>
          <w:sz w:val="24"/>
          <w:szCs w:val="24"/>
          <w:lang w:val="en-US"/>
        </w:rPr>
        <w:t>. One of the most widely established methods for evaluating the quality of apps is the Mobile Application Rating Scale (MARS)</w:t>
      </w:r>
      <w:r w:rsidRPr="00251400">
        <w:rPr>
          <w:rFonts w:ascii="Book Antiqua" w:hAnsi="Book Antiqua"/>
          <w:noProof/>
          <w:sz w:val="24"/>
          <w:szCs w:val="24"/>
          <w:vertAlign w:val="superscript"/>
          <w:lang w:val="en-US"/>
        </w:rPr>
        <w:t>[85]</w:t>
      </w:r>
      <w:r w:rsidRPr="00251400">
        <w:rPr>
          <w:rFonts w:ascii="Book Antiqua" w:hAnsi="Book Antiqua"/>
          <w:sz w:val="24"/>
          <w:szCs w:val="24"/>
          <w:lang w:val="en-US"/>
        </w:rPr>
        <w:t>. By using the MARS, a score is calculated with four multi-item sections: engagement (5 items), functionality (4 items), aesthetics (3 items), and information quality (7 items); additionally, there is a subjective section (4 items)</w:t>
      </w:r>
      <w:r w:rsidRPr="00251400">
        <w:rPr>
          <w:rFonts w:ascii="Book Antiqua" w:hAnsi="Book Antiqua"/>
          <w:noProof/>
          <w:sz w:val="24"/>
          <w:szCs w:val="24"/>
          <w:vertAlign w:val="superscript"/>
          <w:lang w:val="en-US"/>
        </w:rPr>
        <w:t>[86]</w:t>
      </w:r>
      <w:r w:rsidRPr="00251400">
        <w:rPr>
          <w:rFonts w:ascii="Book Antiqua" w:hAnsi="Book Antiqua"/>
          <w:sz w:val="24"/>
          <w:szCs w:val="24"/>
          <w:lang w:val="en-US"/>
        </w:rPr>
        <w:t>. MARS is a validated scale and is now available in different languages, such as German</w:t>
      </w:r>
      <w:r w:rsidRPr="00251400">
        <w:rPr>
          <w:rFonts w:ascii="Book Antiqua" w:hAnsi="Book Antiqua"/>
          <w:noProof/>
          <w:sz w:val="24"/>
          <w:szCs w:val="24"/>
          <w:vertAlign w:val="superscript"/>
          <w:lang w:val="en-US"/>
        </w:rPr>
        <w:t>[87]</w:t>
      </w:r>
      <w:r w:rsidRPr="00251400">
        <w:rPr>
          <w:rFonts w:ascii="Book Antiqua" w:hAnsi="Book Antiqua"/>
          <w:sz w:val="24"/>
          <w:szCs w:val="24"/>
          <w:lang w:val="en-US"/>
        </w:rPr>
        <w:t xml:space="preserve"> and Spanish</w:t>
      </w:r>
      <w:r w:rsidRPr="00251400">
        <w:rPr>
          <w:rFonts w:ascii="Book Antiqua" w:hAnsi="Book Antiqua"/>
          <w:noProof/>
          <w:sz w:val="24"/>
          <w:szCs w:val="24"/>
          <w:vertAlign w:val="superscript"/>
          <w:lang w:val="en-US"/>
        </w:rPr>
        <w:t>[88]</w:t>
      </w:r>
      <w:r w:rsidRPr="00251400">
        <w:rPr>
          <w:rFonts w:ascii="Book Antiqua" w:hAnsi="Book Antiqua"/>
          <w:sz w:val="24"/>
          <w:szCs w:val="24"/>
          <w:lang w:val="en-US"/>
        </w:rPr>
        <w:t>.</w:t>
      </w:r>
    </w:p>
    <w:p w14:paraId="310A4126" w14:textId="77777777" w:rsidR="00EA4C3C" w:rsidRPr="00251400" w:rsidRDefault="00EA4C3C" w:rsidP="00B0664E">
      <w:pPr>
        <w:adjustRightInd w:val="0"/>
        <w:snapToGrid w:val="0"/>
        <w:spacing w:line="360" w:lineRule="auto"/>
        <w:jc w:val="both"/>
        <w:rPr>
          <w:rFonts w:ascii="Book Antiqua" w:hAnsi="Book Antiqua"/>
          <w:b/>
          <w:sz w:val="24"/>
          <w:szCs w:val="24"/>
          <w:lang w:val="en-US"/>
        </w:rPr>
      </w:pPr>
    </w:p>
    <w:p w14:paraId="589E2A53" w14:textId="77777777" w:rsidR="00214CC2" w:rsidRPr="00251400" w:rsidRDefault="00883298" w:rsidP="00B0664E">
      <w:pPr>
        <w:adjustRightInd w:val="0"/>
        <w:snapToGrid w:val="0"/>
        <w:spacing w:line="360" w:lineRule="auto"/>
        <w:jc w:val="both"/>
        <w:rPr>
          <w:rFonts w:ascii="Book Antiqua" w:eastAsia="宋体" w:hAnsi="Book Antiqua"/>
          <w:b/>
          <w:sz w:val="24"/>
          <w:szCs w:val="24"/>
          <w:lang w:val="en-US" w:eastAsia="zh-CN"/>
        </w:rPr>
      </w:pPr>
      <w:r w:rsidRPr="00251400">
        <w:rPr>
          <w:rFonts w:ascii="Book Antiqua" w:hAnsi="Book Antiqua"/>
          <w:b/>
          <w:i/>
          <w:iCs/>
          <w:sz w:val="24"/>
          <w:szCs w:val="24"/>
          <w:lang w:val="en-US"/>
        </w:rPr>
        <w:t>Synt</w:t>
      </w:r>
      <w:r w:rsidR="00EA4C3C" w:rsidRPr="00251400">
        <w:rPr>
          <w:rFonts w:ascii="Book Antiqua" w:hAnsi="Book Antiqua"/>
          <w:b/>
          <w:i/>
          <w:iCs/>
          <w:sz w:val="24"/>
          <w:szCs w:val="24"/>
          <w:lang w:val="en-US"/>
        </w:rPr>
        <w:t>hesis of app evidence</w:t>
      </w:r>
    </w:p>
    <w:p w14:paraId="7DE1AD1E" w14:textId="0040FFB3"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One of the central research topics regarding digital health tools is the evaluation of the effectiveness and efficiency of such digital interventions. There is currently only little evidence, and only a few randomized controlled trials exist. The question is </w:t>
      </w:r>
      <w:r w:rsidRPr="00251400">
        <w:rPr>
          <w:rFonts w:ascii="Book Antiqua" w:hAnsi="Book Antiqua"/>
          <w:sz w:val="24"/>
          <w:szCs w:val="24"/>
          <w:lang w:val="en-US"/>
        </w:rPr>
        <w:lastRenderedPageBreak/>
        <w:t>which level of evidence is necessary prior to widespread use of digital health apps</w:t>
      </w:r>
      <w:r w:rsidRPr="00251400">
        <w:rPr>
          <w:rFonts w:ascii="Book Antiqua" w:hAnsi="Book Antiqua"/>
          <w:noProof/>
          <w:sz w:val="24"/>
          <w:szCs w:val="24"/>
          <w:vertAlign w:val="superscript"/>
          <w:lang w:val="en-US"/>
        </w:rPr>
        <w:t>[89]</w:t>
      </w:r>
      <w:r w:rsidRPr="00251400">
        <w:rPr>
          <w:rFonts w:ascii="Book Antiqua" w:hAnsi="Book Antiqua"/>
          <w:sz w:val="24"/>
          <w:szCs w:val="24"/>
          <w:lang w:val="en-US"/>
        </w:rPr>
        <w:t xml:space="preserve">. A systematic literature review of the evidence-based evaluations, conducted by Enam </w:t>
      </w:r>
      <w:r w:rsidRPr="00251400">
        <w:rPr>
          <w:rFonts w:ascii="Book Antiqua" w:hAnsi="Book Antiqua"/>
          <w:i/>
          <w:iCs/>
          <w:sz w:val="24"/>
          <w:szCs w:val="24"/>
          <w:lang w:val="en-US"/>
        </w:rPr>
        <w:t>et al</w:t>
      </w:r>
      <w:r w:rsidRPr="00251400">
        <w:rPr>
          <w:rFonts w:ascii="Book Antiqua" w:hAnsi="Book Antiqua"/>
          <w:noProof/>
          <w:sz w:val="24"/>
          <w:szCs w:val="24"/>
          <w:vertAlign w:val="superscript"/>
          <w:lang w:val="en-US"/>
        </w:rPr>
        <w:t>[90]</w:t>
      </w:r>
      <w:r w:rsidRPr="00251400">
        <w:rPr>
          <w:rFonts w:ascii="Book Antiqua" w:hAnsi="Book Antiqua"/>
          <w:sz w:val="24"/>
          <w:szCs w:val="24"/>
          <w:lang w:val="en-US"/>
        </w:rPr>
        <w:t>, revealed that a lack of standardization of eHealth interventions is a substantial barrier to assessing the full potential of eHealth interventions. Standardization could significantly improve the quality of intervention studies and, furthermore, could also ease the implementation of eHealth interventions. To generate evidence in the field of digital interventions, it is important that trials are carried out according to standardized procedures, evaluation models and theoretical frameworks</w:t>
      </w:r>
      <w:r w:rsidRPr="00251400">
        <w:rPr>
          <w:rFonts w:ascii="Book Antiqua" w:hAnsi="Book Antiqua"/>
          <w:noProof/>
          <w:sz w:val="24"/>
          <w:szCs w:val="24"/>
          <w:vertAlign w:val="superscript"/>
          <w:lang w:val="en-US"/>
        </w:rPr>
        <w:t>[91]</w:t>
      </w:r>
      <w:r w:rsidRPr="00251400">
        <w:rPr>
          <w:rFonts w:ascii="Book Antiqua" w:hAnsi="Book Antiqua"/>
          <w:sz w:val="24"/>
          <w:szCs w:val="24"/>
          <w:lang w:val="en-US"/>
        </w:rPr>
        <w:t>. In the field of telemedicine, standardized methods are available, such as the</w:t>
      </w:r>
      <w:r w:rsidRPr="00251400">
        <w:rPr>
          <w:rFonts w:ascii="Book Antiqua" w:hAnsi="Book Antiqua"/>
          <w:noProof/>
          <w:sz w:val="24"/>
          <w:szCs w:val="24"/>
          <w:vertAlign w:val="superscript"/>
          <w:lang w:val="en-US"/>
        </w:rPr>
        <w:t>[92]</w:t>
      </w:r>
      <w:r w:rsidRPr="00251400">
        <w:rPr>
          <w:rFonts w:ascii="Book Antiqua" w:hAnsi="Book Antiqua"/>
          <w:sz w:val="24"/>
          <w:szCs w:val="24"/>
          <w:lang w:val="en-US"/>
        </w:rPr>
        <w:t xml:space="preserve"> model for the assessment of telemedicine, which is an evaluation framework for telemedicine that focuses on the measurement of effectiveness as well as the quality of care</w:t>
      </w:r>
      <w:r w:rsidRPr="00251400">
        <w:rPr>
          <w:rFonts w:ascii="Book Antiqua" w:hAnsi="Book Antiqua"/>
          <w:noProof/>
          <w:sz w:val="24"/>
          <w:szCs w:val="24"/>
          <w:vertAlign w:val="superscript"/>
          <w:lang w:val="en-US"/>
        </w:rPr>
        <w:t>[93]</w:t>
      </w:r>
      <w:r w:rsidRPr="00251400">
        <w:rPr>
          <w:rFonts w:ascii="Book Antiqua" w:hAnsi="Book Antiqua"/>
          <w:sz w:val="24"/>
          <w:szCs w:val="24"/>
          <w:lang w:val="en-US"/>
        </w:rPr>
        <w:t>. The MAST includes three domains including assessment, multidisciplinary assessment and transferability of the results</w:t>
      </w:r>
      <w:r w:rsidRPr="00251400">
        <w:rPr>
          <w:rFonts w:ascii="Book Antiqua" w:hAnsi="Book Antiqua"/>
          <w:noProof/>
          <w:sz w:val="24"/>
          <w:szCs w:val="24"/>
          <w:vertAlign w:val="superscript"/>
          <w:lang w:val="en-US"/>
        </w:rPr>
        <w:t>[94]</w:t>
      </w:r>
      <w:r w:rsidRPr="00251400">
        <w:rPr>
          <w:rFonts w:ascii="Book Antiqua" w:hAnsi="Book Antiqua"/>
          <w:sz w:val="24"/>
          <w:szCs w:val="24"/>
          <w:lang w:val="en-US"/>
        </w:rPr>
        <w:t xml:space="preserve">. Kidholm </w:t>
      </w:r>
      <w:r w:rsidRPr="00251400">
        <w:rPr>
          <w:rFonts w:ascii="Book Antiqua" w:hAnsi="Book Antiqua"/>
          <w:i/>
          <w:iCs/>
          <w:sz w:val="24"/>
          <w:szCs w:val="24"/>
          <w:lang w:val="en-US"/>
        </w:rPr>
        <w:t>et al</w:t>
      </w:r>
      <w:r w:rsidRPr="00251400">
        <w:rPr>
          <w:rFonts w:ascii="Book Antiqua" w:hAnsi="Book Antiqua"/>
          <w:noProof/>
          <w:sz w:val="24"/>
          <w:szCs w:val="24"/>
          <w:vertAlign w:val="superscript"/>
          <w:lang w:val="en-US"/>
        </w:rPr>
        <w:t>[94]</w:t>
      </w:r>
      <w:r w:rsidRPr="00251400">
        <w:rPr>
          <w:rFonts w:ascii="Book Antiqua" w:hAnsi="Book Antiqua"/>
          <w:sz w:val="24"/>
          <w:szCs w:val="24"/>
          <w:lang w:val="en-US"/>
        </w:rPr>
        <w:t xml:space="preserve"> conducted a scoping review of studies in which the MAST was used. They included twenty-two studies and summarized that, in the predominant number of studies in which the MAST was used, a single domain was used rather than the complete framework. The authors emphasize that the MAST was developed to be used as a complete framework and to the use of single domains was not recommended</w:t>
      </w:r>
      <w:r w:rsidRPr="00251400">
        <w:rPr>
          <w:rFonts w:ascii="Book Antiqua" w:hAnsi="Book Antiqua"/>
          <w:noProof/>
          <w:sz w:val="24"/>
          <w:szCs w:val="24"/>
          <w:vertAlign w:val="superscript"/>
          <w:lang w:val="en-US"/>
        </w:rPr>
        <w:t>[93]</w:t>
      </w:r>
      <w:r w:rsidRPr="00251400">
        <w:rPr>
          <w:rFonts w:ascii="Book Antiqua" w:hAnsi="Book Antiqua"/>
          <w:sz w:val="24"/>
          <w:szCs w:val="24"/>
          <w:lang w:val="en-US"/>
        </w:rPr>
        <w:t>. The overall conclusion in the context of the MAST is that the model is not stringently used, which leads to a lack of standardization and comparability between trials on digital interventions. The discussion about the evidence base of digital interventions has intensified with the publication of the evidence standards framework for digital health technologies from the National Institute for Health and Care Excellence</w:t>
      </w:r>
      <w:r w:rsidRPr="00251400">
        <w:rPr>
          <w:rFonts w:ascii="Book Antiqua" w:hAnsi="Book Antiqua"/>
          <w:noProof/>
          <w:sz w:val="24"/>
          <w:szCs w:val="24"/>
          <w:vertAlign w:val="superscript"/>
          <w:lang w:val="en-US"/>
        </w:rPr>
        <w:t>[95]</w:t>
      </w:r>
      <w:r w:rsidRPr="00251400">
        <w:rPr>
          <w:rFonts w:ascii="Book Antiqua" w:hAnsi="Book Antiqua"/>
          <w:sz w:val="24"/>
          <w:szCs w:val="24"/>
          <w:lang w:val="en-US"/>
        </w:rPr>
        <w:t xml:space="preserve"> of the National Health Service.</w:t>
      </w:r>
    </w:p>
    <w:p w14:paraId="308AC4C3" w14:textId="77777777" w:rsidR="00EA4C3C" w:rsidRPr="00251400" w:rsidRDefault="00EA4C3C" w:rsidP="00B0664E">
      <w:pPr>
        <w:adjustRightInd w:val="0"/>
        <w:snapToGrid w:val="0"/>
        <w:spacing w:line="360" w:lineRule="auto"/>
        <w:jc w:val="both"/>
        <w:rPr>
          <w:rFonts w:ascii="Book Antiqua" w:hAnsi="Book Antiqua"/>
          <w:sz w:val="24"/>
          <w:szCs w:val="24"/>
          <w:lang w:val="en-US"/>
        </w:rPr>
      </w:pPr>
    </w:p>
    <w:p w14:paraId="227FC415" w14:textId="77777777" w:rsidR="00214CC2"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i/>
          <w:iCs/>
          <w:sz w:val="24"/>
          <w:szCs w:val="24"/>
          <w:lang w:val="en-US"/>
        </w:rPr>
        <w:t>Patient-</w:t>
      </w:r>
      <w:r w:rsidR="00EA4C3C" w:rsidRPr="00251400">
        <w:rPr>
          <w:rFonts w:ascii="Book Antiqua" w:hAnsi="Book Antiqua"/>
          <w:b/>
          <w:i/>
          <w:iCs/>
          <w:sz w:val="24"/>
          <w:szCs w:val="24"/>
          <w:lang w:val="en-US"/>
        </w:rPr>
        <w:t>physician relationship</w:t>
      </w:r>
    </w:p>
    <w:p w14:paraId="0E71F7BB" w14:textId="09732C86"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The use of mobile health applications and medical apps in clinical practice changes the relationship between patients and physicians. There are several opportunities as well as risks in the use of eHealth and the effects on patient-physician communication. One aim of eHealth services is to increase the participation of patients in their own health care. Patients and caregivers should work together in a collaborative process. Grunloh</w:t>
      </w:r>
      <w:r w:rsidRPr="00251400">
        <w:rPr>
          <w:rFonts w:ascii="Book Antiqua" w:hAnsi="Book Antiqua"/>
          <w:i/>
          <w:iCs/>
          <w:sz w:val="24"/>
          <w:szCs w:val="24"/>
          <w:lang w:val="en-US"/>
        </w:rPr>
        <w:t xml:space="preserve"> et al</w:t>
      </w:r>
      <w:r w:rsidRPr="00251400">
        <w:rPr>
          <w:rFonts w:ascii="Book Antiqua" w:hAnsi="Book Antiqua"/>
          <w:noProof/>
          <w:sz w:val="24"/>
          <w:szCs w:val="24"/>
          <w:vertAlign w:val="superscript"/>
          <w:lang w:val="en-US"/>
        </w:rPr>
        <w:t>[96]</w:t>
      </w:r>
      <w:r w:rsidRPr="00251400">
        <w:rPr>
          <w:rFonts w:ascii="Book Antiqua" w:hAnsi="Book Antiqua"/>
          <w:sz w:val="24"/>
          <w:szCs w:val="24"/>
          <w:lang w:val="en-US"/>
        </w:rPr>
        <w:t xml:space="preserve"> evaluated the descriptions of daily physician </w:t>
      </w:r>
      <w:r w:rsidRPr="00251400">
        <w:rPr>
          <w:rFonts w:ascii="Book Antiqua" w:hAnsi="Book Antiqua"/>
          <w:sz w:val="24"/>
          <w:szCs w:val="24"/>
          <w:lang w:val="en-US"/>
        </w:rPr>
        <w:lastRenderedPageBreak/>
        <w:t xml:space="preserve">practice on information about patient participation. All physicians reported that they focus on patient participation, but only little objective proof of this could be found. If physicians do not provide participation support, it is possible for patients to use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for information and to increase their participation. The attitudes towards patients who bring information from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to a consultation differ. Physicians who use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professionally and use a diverse form of media have the most positive attitude towards those patients, and an improvement of the physician-patient relationship was observed in this context. However, some physicians argue that patients are not able to differentiate between accurate and inaccurate content. Regardless of how their own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use was described, many physicians reported that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-informed patients are often misinformed. Physicians who were critical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users were least likely to expect a more time-consuming consultation with patients who used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in advance</w:t>
      </w:r>
      <w:r w:rsidRPr="00251400">
        <w:rPr>
          <w:rFonts w:ascii="Book Antiqua" w:hAnsi="Book Antiqua"/>
          <w:noProof/>
          <w:sz w:val="24"/>
          <w:szCs w:val="24"/>
          <w:vertAlign w:val="superscript"/>
          <w:lang w:val="en-US"/>
        </w:rPr>
        <w:t>[97]</w:t>
      </w:r>
      <w:r w:rsidRPr="00251400">
        <w:rPr>
          <w:rFonts w:ascii="Book Antiqua" w:hAnsi="Book Antiqua"/>
          <w:sz w:val="24"/>
          <w:szCs w:val="24"/>
          <w:lang w:val="en-US"/>
        </w:rPr>
        <w:t xml:space="preserve">. Fifty-five percent of patients using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to find health information reported a change in the way they think about their health. Most of them reported that they were making subsequent health-related behavioral changes, such as asking more questions during office visits (66%), increasing their adherence to physician advice (54%). Another study discovered that patient-physician agreement on the medical situation and recommended treatment is important for patient compliance. Physician quality itself is also important for compliance</w:t>
      </w:r>
      <w:r w:rsidRPr="00251400">
        <w:rPr>
          <w:rFonts w:ascii="Book Antiqua" w:hAnsi="Book Antiqua"/>
          <w:noProof/>
          <w:sz w:val="24"/>
          <w:szCs w:val="24"/>
          <w:vertAlign w:val="superscript"/>
          <w:lang w:val="en-US"/>
        </w:rPr>
        <w:t>[98]</w:t>
      </w:r>
      <w:r w:rsidRPr="00251400">
        <w:rPr>
          <w:rFonts w:ascii="Book Antiqua" w:hAnsi="Book Antiqua"/>
          <w:sz w:val="24"/>
          <w:szCs w:val="24"/>
          <w:lang w:val="en-US"/>
        </w:rPr>
        <w:t xml:space="preserve">. This implies that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information can help to build a new partnership between patients and physicians, where informed decisions can be made. Physicians view their role as responsible and trusted</w:t>
      </w:r>
      <w:r w:rsidRPr="00251400">
        <w:rPr>
          <w:rFonts w:ascii="Book Antiqua" w:hAnsi="Book Antiqua"/>
          <w:noProof/>
          <w:sz w:val="24"/>
          <w:szCs w:val="24"/>
          <w:vertAlign w:val="superscript"/>
          <w:lang w:val="en-US"/>
        </w:rPr>
        <w:t>[96]</w:t>
      </w:r>
      <w:r w:rsidRPr="00251400">
        <w:rPr>
          <w:rFonts w:ascii="Book Antiqua" w:hAnsi="Book Antiqua"/>
          <w:sz w:val="24"/>
          <w:szCs w:val="24"/>
          <w:lang w:val="en-US"/>
        </w:rPr>
        <w:t xml:space="preserve">. Lu </w:t>
      </w:r>
      <w:r w:rsidR="00EA4C3C" w:rsidRPr="00251400">
        <w:rPr>
          <w:rFonts w:ascii="Book Antiqua" w:hAnsi="Book Antiqua"/>
          <w:i/>
          <w:iCs/>
          <w:sz w:val="24"/>
          <w:szCs w:val="24"/>
          <w:lang w:val="en-US"/>
        </w:rPr>
        <w:t>et al</w:t>
      </w:r>
      <w:r w:rsidR="00EA4C3C" w:rsidRPr="00251400">
        <w:rPr>
          <w:rFonts w:ascii="Book Antiqua" w:hAnsi="Book Antiqua"/>
          <w:noProof/>
          <w:sz w:val="24"/>
          <w:szCs w:val="24"/>
          <w:vertAlign w:val="superscript"/>
          <w:lang w:val="en-US"/>
        </w:rPr>
        <w:t>[99]</w:t>
      </w:r>
      <w:r w:rsidR="00EA4C3C" w:rsidRPr="00251400">
        <w:rPr>
          <w:rFonts w:ascii="Book Antiqua" w:hAnsi="Book Antiqua"/>
          <w:i/>
          <w:iCs/>
          <w:sz w:val="24"/>
          <w:szCs w:val="24"/>
          <w:lang w:val="en-US"/>
        </w:rPr>
        <w:t xml:space="preserve"> </w:t>
      </w:r>
      <w:r w:rsidRPr="00251400">
        <w:rPr>
          <w:rFonts w:ascii="Book Antiqua" w:hAnsi="Book Antiqua"/>
          <w:sz w:val="24"/>
          <w:szCs w:val="24"/>
          <w:lang w:val="en-US"/>
        </w:rPr>
        <w:t>conducted a study about the use of online health communities (OHCs), which supports the previous information. They found that OHCs have a positive impact on patient compliance, which can be enforced even more by guiding physician-patient communication in the OHCs. The opportunity to share high-quality health information with patients and discuss the benefits, risks and costs of treatment options encourages the patients. Patients can participate in health-related decision-making, and the misunderstanding of information decreases</w:t>
      </w:r>
      <w:r w:rsidRPr="00251400">
        <w:rPr>
          <w:rFonts w:ascii="Book Antiqua" w:hAnsi="Book Antiqua"/>
          <w:noProof/>
          <w:sz w:val="24"/>
          <w:szCs w:val="24"/>
          <w:vertAlign w:val="superscript"/>
          <w:lang w:val="en-US"/>
        </w:rPr>
        <w:t>[99]</w:t>
      </w:r>
      <w:r w:rsidRPr="00251400">
        <w:rPr>
          <w:rFonts w:ascii="Book Antiqua" w:hAnsi="Book Antiqua"/>
          <w:sz w:val="24"/>
          <w:szCs w:val="24"/>
          <w:lang w:val="en-US"/>
        </w:rPr>
        <w:t xml:space="preserve">. eHealth applications not only change the way people inform themselves or track health information but also change communication. The face-to-face interaction is no longer the only way for physicians and patients to interact with each other. Telehealth and telemedicine are a part of the history of </w:t>
      </w:r>
      <w:r w:rsidRPr="00251400">
        <w:rPr>
          <w:rFonts w:ascii="Book Antiqua" w:hAnsi="Book Antiqua"/>
          <w:sz w:val="24"/>
          <w:szCs w:val="24"/>
          <w:lang w:val="en-US"/>
        </w:rPr>
        <w:lastRenderedPageBreak/>
        <w:t>technology in healthcare, and they have the potential to increase health care for people with limited access. As we pointed out before, the use of telecommunications technologies offers people in remote locations, people with poor health and people with other limitations new ways to interact with health care professionals</w:t>
      </w:r>
      <w:r w:rsidRPr="00251400">
        <w:rPr>
          <w:rFonts w:ascii="Book Antiqua" w:hAnsi="Book Antiqua"/>
          <w:noProof/>
          <w:sz w:val="24"/>
          <w:szCs w:val="24"/>
          <w:vertAlign w:val="superscript"/>
          <w:lang w:val="en-US"/>
        </w:rPr>
        <w:t>[100]</w:t>
      </w:r>
      <w:r w:rsidRPr="00251400">
        <w:rPr>
          <w:rFonts w:ascii="Book Antiqua" w:hAnsi="Book Antiqua"/>
          <w:sz w:val="24"/>
          <w:szCs w:val="24"/>
          <w:lang w:val="en-US"/>
        </w:rPr>
        <w:t xml:space="preserve">. However, while the use of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for health purposes has increased</w:t>
      </w:r>
      <w:r w:rsidRPr="00251400">
        <w:rPr>
          <w:rFonts w:ascii="Book Antiqua" w:hAnsi="Book Antiqua"/>
          <w:noProof/>
          <w:sz w:val="24"/>
          <w:szCs w:val="24"/>
          <w:vertAlign w:val="superscript"/>
          <w:lang w:val="en-US"/>
        </w:rPr>
        <w:t>[101]</w:t>
      </w:r>
      <w:r w:rsidRPr="00251400">
        <w:rPr>
          <w:rFonts w:ascii="Book Antiqua" w:hAnsi="Book Antiqua"/>
          <w:sz w:val="24"/>
          <w:szCs w:val="24"/>
          <w:lang w:val="en-US"/>
        </w:rPr>
        <w:t>, online communication between physicians and patients is still rare. Scheduling an appointment, requesting or renewing a prescription or asking questions are important future eHealth applications. Consultations with health professionals online are still rather uncommon in most countries, but the interest among citizens is high and increasing</w:t>
      </w:r>
      <w:r w:rsidRPr="00251400">
        <w:rPr>
          <w:rFonts w:ascii="Book Antiqua" w:hAnsi="Book Antiqua"/>
          <w:noProof/>
          <w:sz w:val="24"/>
          <w:szCs w:val="24"/>
          <w:vertAlign w:val="superscript"/>
          <w:lang w:val="en-US"/>
        </w:rPr>
        <w:t>[102]</w:t>
      </w:r>
      <w:r w:rsidRPr="00251400">
        <w:rPr>
          <w:rFonts w:ascii="Book Antiqua" w:hAnsi="Book Antiqua"/>
          <w:sz w:val="24"/>
          <w:szCs w:val="24"/>
          <w:lang w:val="en-US"/>
        </w:rPr>
        <w:t>. The physician’s perspective on telemedicine has differed between studies. Less than half of responding physicians in a study in Lebanon believed that web-based apps and social media could be useful for patient-physician communication. The other half (47.5%) was strictly against the use of virtual forms of communication as they feared breaching privacy and confidentiality</w:t>
      </w:r>
      <w:r w:rsidRPr="00251400">
        <w:rPr>
          <w:rFonts w:ascii="Book Antiqua" w:hAnsi="Book Antiqua"/>
          <w:noProof/>
          <w:sz w:val="24"/>
          <w:szCs w:val="24"/>
          <w:vertAlign w:val="superscript"/>
          <w:lang w:val="en-US"/>
        </w:rPr>
        <w:t>[103]</w:t>
      </w:r>
      <w:r w:rsidRPr="00251400">
        <w:rPr>
          <w:rFonts w:ascii="Book Antiqua" w:hAnsi="Book Antiqua"/>
          <w:sz w:val="24"/>
          <w:szCs w:val="24"/>
          <w:lang w:val="en-US"/>
        </w:rPr>
        <w:t xml:space="preserve">. In another study, physicians who frequently used the </w:t>
      </w:r>
      <w:r w:rsidR="003D4790" w:rsidRPr="00251400">
        <w:rPr>
          <w:rFonts w:ascii="Book Antiqua" w:hAnsi="Book Antiqua"/>
          <w:sz w:val="24"/>
          <w:szCs w:val="24"/>
          <w:lang w:val="en-US"/>
        </w:rPr>
        <w:t>i</w:t>
      </w:r>
      <w:r w:rsidRPr="00251400">
        <w:rPr>
          <w:rFonts w:ascii="Book Antiqua" w:hAnsi="Book Antiqua"/>
          <w:sz w:val="24"/>
          <w:szCs w:val="24"/>
          <w:lang w:val="en-US"/>
        </w:rPr>
        <w:t xml:space="preserve">nternet for professional use were more likely to take a positive position towards the use of the </w:t>
      </w:r>
      <w:r w:rsidR="003D4790" w:rsidRPr="00251400">
        <w:rPr>
          <w:rFonts w:ascii="Book Antiqua" w:hAnsi="Book Antiqua"/>
          <w:sz w:val="24"/>
          <w:szCs w:val="24"/>
          <w:lang w:val="en-US"/>
        </w:rPr>
        <w:t>i</w:t>
      </w:r>
      <w:r w:rsidRPr="00251400">
        <w:rPr>
          <w:rFonts w:ascii="Book Antiqua" w:hAnsi="Book Antiqua"/>
          <w:sz w:val="24"/>
          <w:szCs w:val="24"/>
          <w:lang w:val="en-US"/>
        </w:rPr>
        <w:t>nternet for communication with patients</w:t>
      </w:r>
      <w:r w:rsidRPr="00251400">
        <w:rPr>
          <w:rFonts w:ascii="Book Antiqua" w:hAnsi="Book Antiqua"/>
          <w:noProof/>
          <w:sz w:val="24"/>
          <w:szCs w:val="24"/>
          <w:vertAlign w:val="superscript"/>
          <w:lang w:val="en-US"/>
        </w:rPr>
        <w:t>[97]</w:t>
      </w:r>
      <w:r w:rsidRPr="00251400">
        <w:rPr>
          <w:rFonts w:ascii="Book Antiqua" w:hAnsi="Book Antiqua"/>
          <w:sz w:val="24"/>
          <w:szCs w:val="24"/>
          <w:lang w:val="en-US"/>
        </w:rPr>
        <w:t>. Online consultation is a possible solution for people living in rural areas or working full time. Practitioners feared this might be more time consuming and a threat to confidentiality</w:t>
      </w:r>
      <w:r w:rsidRPr="00251400">
        <w:rPr>
          <w:rFonts w:ascii="Book Antiqua" w:hAnsi="Book Antiqua"/>
          <w:noProof/>
          <w:sz w:val="24"/>
          <w:szCs w:val="24"/>
          <w:vertAlign w:val="superscript"/>
          <w:lang w:val="en-US"/>
        </w:rPr>
        <w:t>[103]</w:t>
      </w:r>
      <w:r w:rsidRPr="00251400">
        <w:rPr>
          <w:rFonts w:ascii="Book Antiqua" w:hAnsi="Book Antiqua"/>
          <w:sz w:val="24"/>
          <w:szCs w:val="24"/>
          <w:lang w:val="en-US"/>
        </w:rPr>
        <w:t>. However, studies have reported that the length of telemedicine consultations did not differ from that of the in-person consultations</w:t>
      </w:r>
      <w:r w:rsidRPr="00251400">
        <w:rPr>
          <w:rFonts w:ascii="Book Antiqua" w:hAnsi="Book Antiqua"/>
          <w:noProof/>
          <w:sz w:val="24"/>
          <w:szCs w:val="24"/>
          <w:vertAlign w:val="superscript"/>
          <w:lang w:val="en-US"/>
        </w:rPr>
        <w:t>[104]</w:t>
      </w:r>
      <w:r w:rsidRPr="00251400">
        <w:rPr>
          <w:rFonts w:ascii="Book Antiqua" w:hAnsi="Book Antiqua"/>
          <w:sz w:val="24"/>
          <w:szCs w:val="24"/>
          <w:lang w:val="en-US"/>
        </w:rPr>
        <w:t>; in some instances, online consultations were even time saving</w:t>
      </w:r>
      <w:r w:rsidRPr="00251400">
        <w:rPr>
          <w:rFonts w:ascii="Book Antiqua" w:hAnsi="Book Antiqua"/>
          <w:noProof/>
          <w:sz w:val="24"/>
          <w:szCs w:val="24"/>
          <w:vertAlign w:val="superscript"/>
          <w:lang w:val="en-US"/>
        </w:rPr>
        <w:t>[101]</w:t>
      </w:r>
      <w:r w:rsidRPr="00251400">
        <w:rPr>
          <w:rFonts w:ascii="Book Antiqua" w:hAnsi="Book Antiqua"/>
          <w:sz w:val="24"/>
          <w:szCs w:val="24"/>
          <w:lang w:val="en-US"/>
        </w:rPr>
        <w:t>. However, trial findings indicate that telemedicine consultations are more physician centered. It happens more often that the physician controls the dialogue, while the patient is more passive than they are in in-person consultations</w:t>
      </w:r>
      <w:r w:rsidRPr="00251400">
        <w:rPr>
          <w:rFonts w:ascii="Book Antiqua" w:hAnsi="Book Antiqua"/>
          <w:noProof/>
          <w:sz w:val="24"/>
          <w:szCs w:val="24"/>
          <w:vertAlign w:val="superscript"/>
          <w:lang w:val="en-US"/>
        </w:rPr>
        <w:t>[104]</w:t>
      </w:r>
      <w:r w:rsidRPr="00251400">
        <w:rPr>
          <w:rFonts w:ascii="Book Antiqua" w:hAnsi="Book Antiqua"/>
          <w:sz w:val="24"/>
          <w:szCs w:val="24"/>
          <w:lang w:val="en-US"/>
        </w:rPr>
        <w:t>. However, patient-physician communication can still benefit from eHealth. The benefit can be even stronger if eHealth literacy helps patients to keep control in online consultations and everyone is better informed about the limitations and security needs of eHealth.</w:t>
      </w:r>
    </w:p>
    <w:p w14:paraId="181C5421" w14:textId="77777777" w:rsidR="003D4790" w:rsidRPr="00251400" w:rsidRDefault="003D4790" w:rsidP="00B0664E">
      <w:pPr>
        <w:adjustRightInd w:val="0"/>
        <w:snapToGrid w:val="0"/>
        <w:spacing w:line="360" w:lineRule="auto"/>
        <w:jc w:val="both"/>
        <w:rPr>
          <w:rFonts w:ascii="Book Antiqua" w:hAnsi="Book Antiqua"/>
          <w:b/>
          <w:sz w:val="24"/>
          <w:szCs w:val="24"/>
          <w:lang w:val="en-US"/>
        </w:rPr>
      </w:pPr>
    </w:p>
    <w:p w14:paraId="5D97002D" w14:textId="77777777" w:rsidR="00214CC2" w:rsidRPr="00251400" w:rsidRDefault="00883298" w:rsidP="00B0664E">
      <w:pPr>
        <w:adjustRightInd w:val="0"/>
        <w:snapToGrid w:val="0"/>
        <w:spacing w:line="360" w:lineRule="auto"/>
        <w:jc w:val="both"/>
        <w:rPr>
          <w:rFonts w:ascii="Book Antiqua" w:eastAsia="宋体" w:hAnsi="Book Antiqua"/>
          <w:b/>
          <w:sz w:val="24"/>
          <w:szCs w:val="24"/>
          <w:lang w:val="en-US" w:eastAsia="zh-CN"/>
        </w:rPr>
      </w:pPr>
      <w:r w:rsidRPr="00251400">
        <w:rPr>
          <w:rFonts w:ascii="Book Antiqua" w:hAnsi="Book Antiqua"/>
          <w:b/>
          <w:i/>
          <w:iCs/>
          <w:sz w:val="24"/>
          <w:szCs w:val="24"/>
          <w:lang w:val="en-US"/>
        </w:rPr>
        <w:t>ehealth</w:t>
      </w:r>
      <w:r w:rsidR="003D4790" w:rsidRPr="00251400">
        <w:rPr>
          <w:rFonts w:ascii="Book Antiqua" w:hAnsi="Book Antiqua"/>
          <w:b/>
          <w:i/>
          <w:iCs/>
          <w:sz w:val="24"/>
          <w:szCs w:val="24"/>
          <w:lang w:val="en-US"/>
        </w:rPr>
        <w:t xml:space="preserve"> literacy among patients and physicians</w:t>
      </w:r>
    </w:p>
    <w:p w14:paraId="49B2009E" w14:textId="04EEB410"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In addition to the above-described aspects of a changing communication, interaction and relationship between patients and physicians as well as the ubiquitous availability of online information, there are many barriers for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users seeking </w:t>
      </w:r>
      <w:r w:rsidRPr="00251400">
        <w:rPr>
          <w:rFonts w:ascii="Book Antiqua" w:hAnsi="Book Antiqua"/>
          <w:sz w:val="24"/>
          <w:szCs w:val="24"/>
          <w:lang w:val="en-US"/>
        </w:rPr>
        <w:lastRenderedPageBreak/>
        <w:t>information on health-related topics. There are also barriers to the interpretation of medical jargon and inconsistencies of information found in online research across different sources</w:t>
      </w:r>
      <w:r w:rsidRPr="00251400">
        <w:rPr>
          <w:rFonts w:ascii="Book Antiqua" w:hAnsi="Book Antiqua"/>
          <w:noProof/>
          <w:sz w:val="24"/>
          <w:szCs w:val="24"/>
          <w:vertAlign w:val="superscript"/>
          <w:lang w:val="en-US"/>
        </w:rPr>
        <w:t>[105]</w:t>
      </w:r>
      <w:r w:rsidRPr="00251400">
        <w:rPr>
          <w:rFonts w:ascii="Book Antiqua" w:hAnsi="Book Antiqua"/>
          <w:sz w:val="24"/>
          <w:szCs w:val="24"/>
          <w:lang w:val="en-US"/>
        </w:rPr>
        <w:t>. Barriers arise not only from the unmanageable mass of freely available health information but also from the limited access to medical articles that are not freely available, from which information may be required</w:t>
      </w:r>
      <w:r w:rsidRPr="00251400">
        <w:rPr>
          <w:rFonts w:ascii="Book Antiqua" w:hAnsi="Book Antiqua"/>
          <w:noProof/>
          <w:sz w:val="24"/>
          <w:szCs w:val="24"/>
          <w:vertAlign w:val="superscript"/>
          <w:lang w:val="en-US"/>
        </w:rPr>
        <w:t>[105]</w:t>
      </w:r>
      <w:r w:rsidRPr="00251400">
        <w:rPr>
          <w:rFonts w:ascii="Book Antiqua" w:hAnsi="Book Antiqua"/>
          <w:sz w:val="24"/>
          <w:szCs w:val="24"/>
          <w:lang w:val="en-US"/>
        </w:rPr>
        <w:t xml:space="preserve">. Due to these manifold problems,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users sometimes find it difficult to draw the correct conclusions and apply the information found to their individual situation. In this context, finding health-related information is centrally linked to the concept of health literacy. Patient health literacy is understood as the motivation, ability and knowledge to identify, understand and evaluate information relevant to one's own health and the ability to use this information to maintain health and to obtain support from the health system when needing assistance or treatment. From the representative HLS-GER study about the health literacy of the German population, it can be assumed that 54.3% of Germans have limited health literacy. People with low health literacy are more likely to assess their own health as wors</w:t>
      </w:r>
      <w:r w:rsidRPr="00251400">
        <w:rPr>
          <w:rFonts w:ascii="Book Antiqua" w:hAnsi="Book Antiqua"/>
          <w:noProof/>
          <w:sz w:val="24"/>
          <w:szCs w:val="24"/>
          <w:vertAlign w:val="superscript"/>
          <w:lang w:val="en-US"/>
        </w:rPr>
        <w:t>[106]</w:t>
      </w:r>
      <w:r w:rsidRPr="00251400">
        <w:rPr>
          <w:rFonts w:ascii="Book Antiqua" w:hAnsi="Book Antiqua"/>
          <w:sz w:val="24"/>
          <w:szCs w:val="24"/>
          <w:lang w:val="en-US"/>
        </w:rPr>
        <w:t xml:space="preserve">. In this context, the concept of eHealth literacy is becoming increasingly important. eHealth literacy was defined by Norman </w:t>
      </w:r>
      <w:r w:rsidR="003D4790" w:rsidRPr="00251400">
        <w:rPr>
          <w:rFonts w:ascii="Book Antiqua" w:hAnsi="Book Antiqua"/>
          <w:i/>
          <w:iCs/>
          <w:sz w:val="24"/>
          <w:szCs w:val="24"/>
          <w:lang w:val="en-US"/>
        </w:rPr>
        <w:t>et al</w:t>
      </w:r>
      <w:r w:rsidRPr="00251400">
        <w:rPr>
          <w:rFonts w:ascii="Book Antiqua" w:hAnsi="Book Antiqua"/>
          <w:noProof/>
          <w:sz w:val="24"/>
          <w:szCs w:val="24"/>
          <w:vertAlign w:val="superscript"/>
          <w:lang w:val="en-US"/>
        </w:rPr>
        <w:t>[107]</w:t>
      </w:r>
      <w:r w:rsidRPr="00251400">
        <w:rPr>
          <w:rFonts w:ascii="Book Antiqua" w:hAnsi="Book Antiqua"/>
          <w:sz w:val="24"/>
          <w:szCs w:val="24"/>
          <w:lang w:val="en-US"/>
        </w:rPr>
        <w:t xml:space="preserve"> as the ability to search for, find, understand and critically evaluate health-related information in electronic media in order to apply the knowledge to solve specific health problems. eHealth literacy is the most commonly used term when describing the competence of users searching for health information in the context of digital media</w:t>
      </w:r>
      <w:r w:rsidRPr="00251400">
        <w:rPr>
          <w:rFonts w:ascii="Book Antiqua" w:hAnsi="Book Antiqua"/>
          <w:noProof/>
          <w:sz w:val="24"/>
          <w:szCs w:val="24"/>
          <w:vertAlign w:val="superscript"/>
          <w:lang w:val="en-US"/>
        </w:rPr>
        <w:t>[108]</w:t>
      </w:r>
      <w:r w:rsidRPr="00251400">
        <w:rPr>
          <w:rFonts w:ascii="Book Antiqua" w:hAnsi="Book Antiqua"/>
          <w:sz w:val="24"/>
          <w:szCs w:val="24"/>
          <w:lang w:val="en-US"/>
        </w:rPr>
        <w:t xml:space="preserve">. Norman </w:t>
      </w:r>
      <w:r w:rsidR="003D4790" w:rsidRPr="00251400">
        <w:rPr>
          <w:rFonts w:ascii="Book Antiqua" w:hAnsi="Book Antiqua"/>
          <w:i/>
          <w:iCs/>
          <w:sz w:val="24"/>
          <w:szCs w:val="24"/>
          <w:lang w:val="en-US"/>
        </w:rPr>
        <w:t>et al</w:t>
      </w:r>
      <w:r w:rsidRPr="00251400">
        <w:rPr>
          <w:rFonts w:ascii="Book Antiqua" w:hAnsi="Book Antiqua"/>
          <w:noProof/>
          <w:sz w:val="24"/>
          <w:szCs w:val="24"/>
          <w:vertAlign w:val="superscript"/>
          <w:lang w:val="en-US"/>
        </w:rPr>
        <w:t>[107]</w:t>
      </w:r>
      <w:r w:rsidRPr="00251400">
        <w:rPr>
          <w:rFonts w:ascii="Book Antiqua" w:hAnsi="Book Antiqua"/>
          <w:sz w:val="24"/>
          <w:szCs w:val="24"/>
          <w:lang w:val="en-US"/>
        </w:rPr>
        <w:t xml:space="preserve"> understand eHealth </w:t>
      </w:r>
      <w:r w:rsidR="003D4790" w:rsidRPr="00251400">
        <w:rPr>
          <w:rFonts w:ascii="Book Antiqua" w:hAnsi="Book Antiqua"/>
          <w:sz w:val="24"/>
          <w:szCs w:val="24"/>
          <w:lang w:val="en-US"/>
        </w:rPr>
        <w:t>l</w:t>
      </w:r>
      <w:r w:rsidRPr="00251400">
        <w:rPr>
          <w:rFonts w:ascii="Book Antiqua" w:hAnsi="Book Antiqua"/>
          <w:sz w:val="24"/>
          <w:szCs w:val="24"/>
          <w:lang w:val="en-US"/>
        </w:rPr>
        <w:t xml:space="preserve">iteracy as a kind of meta-competence consisting of six different sub-competences: </w:t>
      </w:r>
      <w:r w:rsidR="003D4790" w:rsidRPr="00251400">
        <w:rPr>
          <w:rFonts w:ascii="Book Antiqua" w:hAnsi="Book Antiqua"/>
          <w:sz w:val="24"/>
          <w:szCs w:val="24"/>
          <w:lang w:val="en-US"/>
        </w:rPr>
        <w:t>B</w:t>
      </w:r>
      <w:r w:rsidRPr="00251400">
        <w:rPr>
          <w:rFonts w:ascii="Book Antiqua" w:hAnsi="Book Antiqua"/>
          <w:sz w:val="24"/>
          <w:szCs w:val="24"/>
          <w:lang w:val="en-US"/>
        </w:rPr>
        <w:t xml:space="preserve">asic reading and numeracy, health literacy, competencies in the use of computers, scientific literacy, and media and information literacy. eHealth literacy is not only the ability to search for good health information on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but also implies a literacy and competence in the use of social networks such as Twitter Inc. (which has been dubbed “health twitteracy” by Sorensen)</w:t>
      </w:r>
      <w:r w:rsidRPr="00251400">
        <w:rPr>
          <w:rFonts w:ascii="Book Antiqua" w:hAnsi="Book Antiqua"/>
          <w:noProof/>
          <w:sz w:val="24"/>
          <w:szCs w:val="24"/>
          <w:vertAlign w:val="superscript"/>
          <w:lang w:val="en-US"/>
        </w:rPr>
        <w:t>[109]</w:t>
      </w:r>
      <w:r w:rsidRPr="00251400">
        <w:rPr>
          <w:rFonts w:ascii="Book Antiqua" w:hAnsi="Book Antiqua"/>
          <w:sz w:val="24"/>
          <w:szCs w:val="24"/>
          <w:lang w:val="en-US"/>
        </w:rPr>
        <w:t xml:space="preserve">. In the context of gastroenterology, it is known that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users with a high eHealth literacy are more likely to have knowledge and previous screening practices related to colorectal cancer compared to users with a low level of eHealth literacy</w:t>
      </w:r>
      <w:r w:rsidRPr="00251400">
        <w:rPr>
          <w:rFonts w:ascii="Book Antiqua" w:hAnsi="Book Antiqua"/>
          <w:noProof/>
          <w:sz w:val="24"/>
          <w:szCs w:val="24"/>
          <w:vertAlign w:val="superscript"/>
          <w:lang w:val="en-US"/>
        </w:rPr>
        <w:t>[110]</w:t>
      </w:r>
      <w:r w:rsidRPr="00251400">
        <w:rPr>
          <w:rFonts w:ascii="Book Antiqua" w:hAnsi="Book Antiqua"/>
          <w:sz w:val="24"/>
          <w:szCs w:val="24"/>
          <w:lang w:val="en-US"/>
        </w:rPr>
        <w:t xml:space="preserve">. In view of the increasing relevance of digital health information, it is important for doctors to take an in-depth look at changing information needs. In general, healthcare providers should be able to </w:t>
      </w:r>
      <w:r w:rsidRPr="00251400">
        <w:rPr>
          <w:rFonts w:ascii="Book Antiqua" w:hAnsi="Book Antiqua"/>
          <w:sz w:val="24"/>
          <w:szCs w:val="24"/>
          <w:lang w:val="en-US"/>
        </w:rPr>
        <w:lastRenderedPageBreak/>
        <w:t xml:space="preserve">critically assess health information on the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to advise patients on how to deal with </w:t>
      </w:r>
      <w:r w:rsidR="003D4790" w:rsidRPr="00251400">
        <w:rPr>
          <w:rFonts w:ascii="Book Antiqua" w:hAnsi="Book Antiqua"/>
          <w:sz w:val="24"/>
          <w:szCs w:val="24"/>
          <w:lang w:val="en-US"/>
        </w:rPr>
        <w:t>internet</w:t>
      </w:r>
      <w:r w:rsidRPr="00251400">
        <w:rPr>
          <w:rFonts w:ascii="Book Antiqua" w:hAnsi="Book Antiqua"/>
          <w:sz w:val="24"/>
          <w:szCs w:val="24"/>
          <w:lang w:val="en-US"/>
        </w:rPr>
        <w:t xml:space="preserve"> research and critically evaluate digital content</w:t>
      </w:r>
      <w:r w:rsidRPr="00251400">
        <w:rPr>
          <w:rFonts w:ascii="Book Antiqua" w:hAnsi="Book Antiqua"/>
          <w:noProof/>
          <w:sz w:val="24"/>
          <w:szCs w:val="24"/>
          <w:vertAlign w:val="superscript"/>
          <w:lang w:val="en-US"/>
        </w:rPr>
        <w:t>[111]</w:t>
      </w:r>
      <w:r w:rsidRPr="00251400">
        <w:rPr>
          <w:rFonts w:ascii="Book Antiqua" w:hAnsi="Book Antiqua"/>
          <w:sz w:val="24"/>
          <w:szCs w:val="24"/>
          <w:lang w:val="en-US"/>
        </w:rPr>
        <w:t>.</w:t>
      </w:r>
    </w:p>
    <w:p w14:paraId="7FDDA72D" w14:textId="77777777" w:rsidR="003D4790" w:rsidRPr="00251400" w:rsidRDefault="003D4790" w:rsidP="00B0664E">
      <w:pPr>
        <w:adjustRightInd w:val="0"/>
        <w:snapToGrid w:val="0"/>
        <w:spacing w:line="360" w:lineRule="auto"/>
        <w:jc w:val="both"/>
        <w:rPr>
          <w:rFonts w:ascii="Book Antiqua" w:hAnsi="Book Antiqua"/>
          <w:sz w:val="24"/>
          <w:szCs w:val="24"/>
          <w:lang w:val="en-US"/>
        </w:rPr>
      </w:pPr>
    </w:p>
    <w:p w14:paraId="6612D326" w14:textId="77777777" w:rsidR="00214CC2" w:rsidRPr="00251400" w:rsidRDefault="00883298" w:rsidP="00B0664E">
      <w:pPr>
        <w:adjustRightInd w:val="0"/>
        <w:snapToGrid w:val="0"/>
        <w:spacing w:line="360" w:lineRule="auto"/>
        <w:jc w:val="both"/>
        <w:rPr>
          <w:rFonts w:ascii="Book Antiqua" w:eastAsia="宋体" w:hAnsi="Book Antiqua"/>
          <w:b/>
          <w:sz w:val="24"/>
          <w:szCs w:val="24"/>
          <w:lang w:val="en-US" w:eastAsia="zh-CN"/>
        </w:rPr>
      </w:pPr>
      <w:r w:rsidRPr="00251400">
        <w:rPr>
          <w:rFonts w:ascii="Book Antiqua" w:hAnsi="Book Antiqua"/>
          <w:b/>
          <w:i/>
          <w:iCs/>
          <w:sz w:val="24"/>
          <w:szCs w:val="24"/>
          <w:lang w:val="en-US"/>
        </w:rPr>
        <w:t xml:space="preserve">Ethical </w:t>
      </w:r>
      <w:r w:rsidR="003D4790" w:rsidRPr="00251400">
        <w:rPr>
          <w:rFonts w:ascii="Book Antiqua" w:hAnsi="Book Antiqua"/>
          <w:b/>
          <w:i/>
          <w:iCs/>
          <w:sz w:val="24"/>
          <w:szCs w:val="24"/>
          <w:lang w:val="en-US"/>
        </w:rPr>
        <w:t>considerations</w:t>
      </w:r>
    </w:p>
    <w:p w14:paraId="286F349F" w14:textId="50303FF7"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The implementation of new digital technologies in routine clinical practice will bring fundamental changes to the field of medicine. However, there are several ethical issues that need to be critically discussed and addressed. Mobile health applications will have the potential to change and hopefully improve medical systems in many ways, including access to specialized medical services in rural, underserved areas and low-barrier and low-cost access to medical treatments</w:t>
      </w:r>
      <w:r w:rsidRPr="00251400">
        <w:rPr>
          <w:rFonts w:ascii="Book Antiqua" w:hAnsi="Book Antiqua"/>
          <w:noProof/>
          <w:sz w:val="24"/>
          <w:szCs w:val="24"/>
          <w:vertAlign w:val="superscript"/>
          <w:lang w:val="en-US"/>
        </w:rPr>
        <w:t>[112]</w:t>
      </w:r>
      <w:r w:rsidRPr="00251400">
        <w:rPr>
          <w:rFonts w:ascii="Book Antiqua" w:hAnsi="Book Antiqua"/>
          <w:sz w:val="24"/>
          <w:szCs w:val="24"/>
          <w:lang w:val="en-US"/>
        </w:rPr>
        <w:t>. However, at the same time, the traditional patient–physician interaction is going to change, as described in the chapter above. Therefore, several points need to be taken into account.</w:t>
      </w:r>
    </w:p>
    <w:p w14:paraId="4D427B7F" w14:textId="7AAA5600"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Apple’s </w:t>
      </w:r>
      <w:r w:rsidR="00C51B96" w:rsidRPr="00251400">
        <w:rPr>
          <w:rFonts w:ascii="Book Antiqua" w:hAnsi="Book Antiqua"/>
          <w:sz w:val="24"/>
          <w:szCs w:val="24"/>
          <w:lang w:val="en-US"/>
        </w:rPr>
        <w:t>i</w:t>
      </w:r>
      <w:r w:rsidRPr="00251400">
        <w:rPr>
          <w:rFonts w:ascii="Book Antiqua" w:hAnsi="Book Antiqua"/>
          <w:sz w:val="24"/>
          <w:szCs w:val="24"/>
          <w:lang w:val="en-US"/>
        </w:rPr>
        <w:t>OS and Google’s Android system have a combined market share of more than 95%. Both systems differ in terms of data security, privacy settings, regulations and security surveillance of their app marketplaces. The development of apps should not prioritize one of the two predominant smartphone systems so that access to medical apps is available to all smartphone users and not just for those who can opt to pay for more expensive and secure devices</w:t>
      </w:r>
      <w:r w:rsidRPr="00251400">
        <w:rPr>
          <w:rFonts w:ascii="Book Antiqua" w:hAnsi="Book Antiqua"/>
          <w:noProof/>
          <w:sz w:val="24"/>
          <w:szCs w:val="24"/>
          <w:vertAlign w:val="superscript"/>
          <w:lang w:val="en-US"/>
        </w:rPr>
        <w:t>[113]</w:t>
      </w:r>
      <w:r w:rsidRPr="00251400">
        <w:rPr>
          <w:rFonts w:ascii="Book Antiqua" w:hAnsi="Book Antiqua"/>
          <w:sz w:val="24"/>
          <w:szCs w:val="24"/>
          <w:lang w:val="en-US"/>
        </w:rPr>
        <w:t>.</w:t>
      </w:r>
    </w:p>
    <w:p w14:paraId="0A8898C6" w14:textId="77777777" w:rsidR="00883298" w:rsidRPr="00251400" w:rsidRDefault="00883298" w:rsidP="00B0664E">
      <w:pPr>
        <w:adjustRightInd w:val="0"/>
        <w:snapToGrid w:val="0"/>
        <w:spacing w:line="360" w:lineRule="auto"/>
        <w:ind w:firstLineChars="100" w:firstLine="240"/>
        <w:jc w:val="both"/>
        <w:rPr>
          <w:rFonts w:ascii="Book Antiqua" w:hAnsi="Book Antiqua"/>
          <w:sz w:val="24"/>
          <w:szCs w:val="24"/>
          <w:lang w:val="en-US"/>
        </w:rPr>
      </w:pPr>
      <w:r w:rsidRPr="00251400">
        <w:rPr>
          <w:rFonts w:ascii="Book Antiqua" w:hAnsi="Book Antiqua"/>
          <w:sz w:val="24"/>
          <w:szCs w:val="24"/>
          <w:lang w:val="en-US"/>
        </w:rPr>
        <w:t>Today, there is no possible international regulation of smartphone apps, even if they serve as medical apps and, therefore, as diagnostic or therapeutic tools. Under ethical considerations, a way to ensure that all users of health-related apps understand the apps they are using needs to be established. Users have to comprehend the positive and negative implications that the use of these digital medical tools can have on their health. As patient-physician interactions will be changing due to digital medicine, there is also a risk that real-life doctors will only be affordable for patients with adequate insurance or financial resources, while others will be predominantly treated by avatars or telemedical consultants.</w:t>
      </w:r>
    </w:p>
    <w:p w14:paraId="35598B0B" w14:textId="1D515E7C" w:rsidR="00883298" w:rsidRPr="00251400" w:rsidRDefault="00883298" w:rsidP="00B0664E">
      <w:pPr>
        <w:adjustRightInd w:val="0"/>
        <w:snapToGrid w:val="0"/>
        <w:spacing w:line="360" w:lineRule="auto"/>
        <w:ind w:firstLineChars="100" w:firstLine="240"/>
        <w:jc w:val="both"/>
        <w:rPr>
          <w:rFonts w:ascii="Book Antiqua" w:hAnsi="Book Antiqua"/>
          <w:sz w:val="24"/>
          <w:szCs w:val="24"/>
          <w:lang w:val="en-US"/>
        </w:rPr>
      </w:pPr>
      <w:r w:rsidRPr="00251400">
        <w:rPr>
          <w:rFonts w:ascii="Book Antiqua" w:hAnsi="Book Antiqua"/>
          <w:sz w:val="24"/>
          <w:szCs w:val="24"/>
          <w:lang w:val="en-US"/>
        </w:rPr>
        <w:t>Many digital innovations will be designed for chronically ill people. These patients are typically older people with no or limited access to modern ICT devices, such as smartphones or wearables, and this population has nonexistent or only limited digital literacy. This needs to be taken into account when planning digital medical solutions.</w:t>
      </w:r>
    </w:p>
    <w:p w14:paraId="55A270D8" w14:textId="77777777" w:rsidR="00C51B96" w:rsidRPr="00251400" w:rsidRDefault="00C51B96" w:rsidP="00B0664E">
      <w:pPr>
        <w:adjustRightInd w:val="0"/>
        <w:snapToGrid w:val="0"/>
        <w:spacing w:line="360" w:lineRule="auto"/>
        <w:ind w:firstLineChars="100" w:firstLine="240"/>
        <w:jc w:val="both"/>
        <w:rPr>
          <w:rFonts w:ascii="Book Antiqua" w:hAnsi="Book Antiqua"/>
          <w:sz w:val="24"/>
          <w:szCs w:val="24"/>
          <w:lang w:val="en-US"/>
        </w:rPr>
      </w:pPr>
    </w:p>
    <w:p w14:paraId="7831C746" w14:textId="77777777" w:rsidR="00214CC2"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i/>
          <w:iCs/>
          <w:sz w:val="24"/>
          <w:szCs w:val="24"/>
          <w:lang w:val="en-US"/>
        </w:rPr>
        <w:t>Legal a</w:t>
      </w:r>
      <w:r w:rsidR="00C51B96" w:rsidRPr="00251400">
        <w:rPr>
          <w:rFonts w:ascii="Book Antiqua" w:hAnsi="Book Antiqua"/>
          <w:b/>
          <w:i/>
          <w:iCs/>
          <w:sz w:val="24"/>
          <w:szCs w:val="24"/>
          <w:lang w:val="en-US"/>
        </w:rPr>
        <w:t>nd data privacy considerations</w:t>
      </w:r>
    </w:p>
    <w:p w14:paraId="4929F592" w14:textId="3D40C0D0"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Health care sectors around the world are among the most strictly regulated markets for a good reason. Health data and medical treatment data are among the most vulnerable and sensitive existing data. This makes innovative digital interventions more difficult to establish in the medical community, as medical products need to be highly safe before widespread use and market adoption</w:t>
      </w:r>
      <w:r w:rsidRPr="00251400">
        <w:rPr>
          <w:rFonts w:ascii="Book Antiqua" w:hAnsi="Book Antiqua"/>
          <w:noProof/>
          <w:sz w:val="24"/>
          <w:szCs w:val="24"/>
          <w:vertAlign w:val="superscript"/>
          <w:lang w:val="en-US"/>
        </w:rPr>
        <w:t>[114]</w:t>
      </w:r>
      <w:r w:rsidRPr="00251400">
        <w:rPr>
          <w:rFonts w:ascii="Book Antiqua" w:hAnsi="Book Antiqua"/>
          <w:sz w:val="24"/>
          <w:szCs w:val="24"/>
          <w:lang w:val="en-US"/>
        </w:rPr>
        <w:t>.</w:t>
      </w:r>
    </w:p>
    <w:p w14:paraId="69BEBF2C" w14:textId="0BE46204" w:rsidR="00883298" w:rsidRPr="00251400" w:rsidRDefault="00883298" w:rsidP="00B0664E">
      <w:pPr>
        <w:adjustRightInd w:val="0"/>
        <w:snapToGrid w:val="0"/>
        <w:spacing w:line="360" w:lineRule="auto"/>
        <w:ind w:firstLineChars="100" w:firstLine="240"/>
        <w:jc w:val="both"/>
        <w:rPr>
          <w:rFonts w:ascii="Book Antiqua" w:hAnsi="Book Antiqua"/>
          <w:sz w:val="24"/>
          <w:szCs w:val="24"/>
          <w:lang w:val="en-US"/>
        </w:rPr>
      </w:pPr>
      <w:r w:rsidRPr="00251400">
        <w:rPr>
          <w:rFonts w:ascii="Book Antiqua" w:hAnsi="Book Antiqua"/>
          <w:sz w:val="24"/>
          <w:szCs w:val="24"/>
          <w:lang w:val="en-US"/>
        </w:rPr>
        <w:t>Many people and health care professionals are critical towards the implementation of (mobile) digital solutions in medicine. This is mostly due to their fear of data security and protection. There are no questions that, for digital medical products, as for any other conventional medical treatment, the same strict data security and protection regulations need to be validated. However, when correctly used, digital services can provide the highest levels of data security and protection. Correct and secure implementation of data security and integrity in digital services has been shown, for example, for secure online banking, insurance services or online retail for many years. Correctly implemented secure EHR or telemedical services will provide much higher security levels than traditionally used services, such as unsecure email or messenger correspondence. However, many health and fitness apps provide only very low or no data security for stored patient data, and this cannot easily be seen or understood by the naïve user. To date, there exists no seal or certification that makes it easy for the end user to understand which products use high industry-standard levels of security and are safe to use. The remuneration of digital medical services has also not been clearly solved in most countries. While certain regulations exist regarding payment for telemedical treatment, many issues have not yet been solved. Most health or fitness apps, for example, currently either finance themselves with advertisements or by selling data, or they have to be paid for by the individual patients</w:t>
      </w:r>
      <w:r w:rsidRPr="00251400">
        <w:rPr>
          <w:rFonts w:ascii="Book Antiqua" w:hAnsi="Book Antiqua"/>
          <w:noProof/>
          <w:sz w:val="24"/>
          <w:szCs w:val="24"/>
          <w:vertAlign w:val="superscript"/>
          <w:lang w:val="en-US"/>
        </w:rPr>
        <w:t>[115]</w:t>
      </w:r>
      <w:r w:rsidRPr="00251400">
        <w:rPr>
          <w:rFonts w:ascii="Book Antiqua" w:hAnsi="Book Antiqua"/>
          <w:sz w:val="24"/>
          <w:szCs w:val="24"/>
          <w:lang w:val="en-US"/>
        </w:rPr>
        <w:t>.</w:t>
      </w:r>
    </w:p>
    <w:p w14:paraId="5390D937" w14:textId="77777777" w:rsidR="00C51B96" w:rsidRPr="00251400" w:rsidRDefault="00C51B96" w:rsidP="00B0664E">
      <w:pPr>
        <w:adjustRightInd w:val="0"/>
        <w:snapToGrid w:val="0"/>
        <w:spacing w:line="360" w:lineRule="auto"/>
        <w:jc w:val="both"/>
        <w:rPr>
          <w:rFonts w:ascii="Book Antiqua" w:hAnsi="Book Antiqua"/>
          <w:sz w:val="24"/>
          <w:szCs w:val="24"/>
          <w:lang w:val="en-US"/>
        </w:rPr>
      </w:pPr>
    </w:p>
    <w:p w14:paraId="63BE5AE7" w14:textId="77777777" w:rsidR="00214CC2"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i/>
          <w:iCs/>
          <w:sz w:val="24"/>
          <w:szCs w:val="24"/>
          <w:lang w:val="en-US"/>
        </w:rPr>
        <w:t>Interoperability – technical aspects</w:t>
      </w:r>
    </w:p>
    <w:p w14:paraId="334460B9" w14:textId="6BBA438D"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The health system is one of the industries with the highest level of data production and storage needs. What makes this difficult is that all of the data exist in multiple silos, which are usually not compatible with each other. For one single patient, data </w:t>
      </w:r>
      <w:r w:rsidRPr="00251400">
        <w:rPr>
          <w:rFonts w:ascii="Book Antiqua" w:hAnsi="Book Antiqua"/>
          <w:sz w:val="24"/>
          <w:szCs w:val="24"/>
          <w:lang w:val="en-US"/>
        </w:rPr>
        <w:lastRenderedPageBreak/>
        <w:t xml:space="preserve">will exist and be stored in different electronic or analogue hospital files where the patient was treated, in different outpatient clinics or ambulatory care services, and in different pharmacies. In addition, data that the patient himself has recorded </w:t>
      </w:r>
      <w:r w:rsidRPr="00251400">
        <w:rPr>
          <w:rFonts w:ascii="Book Antiqua" w:hAnsi="Book Antiqua"/>
          <w:i/>
          <w:sz w:val="24"/>
          <w:szCs w:val="24"/>
          <w:lang w:val="en-US"/>
        </w:rPr>
        <w:t>via</w:t>
      </w:r>
      <w:r w:rsidRPr="00251400">
        <w:rPr>
          <w:rFonts w:ascii="Book Antiqua" w:hAnsi="Book Antiqua"/>
          <w:sz w:val="24"/>
          <w:szCs w:val="24"/>
          <w:lang w:val="en-US"/>
        </w:rPr>
        <w:t xml:space="preserve"> wearable devices, etc. will exist in the future. All of the data are stored in different systems and different file formats, which makes data use and interoperability difficult. This is one of the main reasons why the introduction of the EHR, which must use common interoperable standards and interfaces, is one of the most important aspects in terms of the useful implementation of digital medical innovations</w:t>
      </w:r>
      <w:r w:rsidRPr="00251400">
        <w:rPr>
          <w:rFonts w:ascii="Book Antiqua" w:hAnsi="Book Antiqua"/>
          <w:noProof/>
          <w:sz w:val="24"/>
          <w:szCs w:val="24"/>
          <w:vertAlign w:val="superscript"/>
          <w:lang w:val="en-US"/>
        </w:rPr>
        <w:t>[116]</w:t>
      </w:r>
      <w:r w:rsidRPr="00251400">
        <w:rPr>
          <w:rFonts w:ascii="Book Antiqua" w:hAnsi="Book Antiqua"/>
          <w:sz w:val="24"/>
          <w:szCs w:val="24"/>
          <w:lang w:val="en-US"/>
        </w:rPr>
        <w:t>.</w:t>
      </w:r>
    </w:p>
    <w:p w14:paraId="613F77EA" w14:textId="15D41661" w:rsidR="00883298" w:rsidRPr="00251400" w:rsidRDefault="00883298" w:rsidP="00B0664E">
      <w:pPr>
        <w:adjustRightInd w:val="0"/>
        <w:snapToGrid w:val="0"/>
        <w:spacing w:line="360" w:lineRule="auto"/>
        <w:jc w:val="both"/>
        <w:rPr>
          <w:rFonts w:ascii="Book Antiqua" w:hAnsi="Book Antiqua"/>
          <w:b/>
          <w:sz w:val="24"/>
          <w:szCs w:val="24"/>
          <w:lang w:val="en-US"/>
        </w:rPr>
      </w:pPr>
    </w:p>
    <w:p w14:paraId="61CDCB94" w14:textId="77777777" w:rsidR="00214CC2" w:rsidRPr="00251400" w:rsidRDefault="00214CC2" w:rsidP="00B0664E">
      <w:pPr>
        <w:adjustRightInd w:val="0"/>
        <w:snapToGrid w:val="0"/>
        <w:spacing w:line="360" w:lineRule="auto"/>
        <w:jc w:val="both"/>
        <w:rPr>
          <w:rFonts w:ascii="Book Antiqua" w:hAnsi="Book Antiqua"/>
          <w:b/>
          <w:sz w:val="24"/>
          <w:szCs w:val="24"/>
          <w:u w:val="single"/>
          <w:lang w:val="en-US"/>
        </w:rPr>
      </w:pPr>
      <w:r w:rsidRPr="00251400">
        <w:rPr>
          <w:rFonts w:ascii="Book Antiqua" w:hAnsi="Book Antiqua"/>
          <w:b/>
          <w:sz w:val="24"/>
          <w:szCs w:val="24"/>
          <w:u w:val="single"/>
          <w:lang w:val="en-US"/>
        </w:rPr>
        <w:t xml:space="preserve">CONCLUSION </w:t>
      </w:r>
    </w:p>
    <w:p w14:paraId="1A6AA031" w14:textId="288718C3"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Digital interventions, such as mobile health applications and medical apps, offer potential for diagnostic and treatment advances in the field of gastroenterology and the management of chronic diseases in general. In particular, patients with chronic diseases and health care professionals will benefit from these interventions in many different ways. Sufficient proof of benefit, however, depends on high-quality evaluation, which must be based on the standards of evidence-based medicine. This issue is complicated for digital interventions for many reasons, and to date, the specific standards for development and evaluation are generally missing. In this context, it should be clearly emphasized that frameworks of standardization, at least in many parts, can harmonize the research in the field of digital interventions. Continuous work on standardization with a clear focus on the rules of evidence-based medicine would lead to a better understanding and interpretation of the actual evidence.</w:t>
      </w:r>
    </w:p>
    <w:p w14:paraId="07903805" w14:textId="1AE1918A" w:rsidR="00883298" w:rsidRPr="00251400" w:rsidRDefault="00883298" w:rsidP="00B0664E">
      <w:pPr>
        <w:adjustRightInd w:val="0"/>
        <w:snapToGrid w:val="0"/>
        <w:spacing w:line="360" w:lineRule="auto"/>
        <w:ind w:firstLineChars="100" w:firstLine="240"/>
        <w:jc w:val="both"/>
        <w:rPr>
          <w:rFonts w:ascii="Book Antiqua" w:hAnsi="Book Antiqua"/>
          <w:sz w:val="24"/>
          <w:szCs w:val="24"/>
          <w:lang w:val="en-US"/>
        </w:rPr>
      </w:pPr>
      <w:r w:rsidRPr="00251400">
        <w:rPr>
          <w:rFonts w:ascii="Book Antiqua" w:hAnsi="Book Antiqua"/>
          <w:sz w:val="24"/>
          <w:szCs w:val="24"/>
          <w:lang w:val="en-US"/>
        </w:rPr>
        <w:t xml:space="preserve">Moreover, this is also necessary for the assessment of the reimbursement of such digital interventions. This would be particularly useful in guiding health care professionals in almost all health care systems worldwide to apply comparable criteria to better evaluate the reimbursement of digital interventions. Currently, the inclusion of the users concerned, in the sense of user-centered design, does not take place. In addition to the characteristics of this research field mentioned so far, no uniform quality criteria have yet been established that would allow affected users to adequately assess the quality of a medical app. This can lead to patients using an app </w:t>
      </w:r>
      <w:r w:rsidRPr="00251400">
        <w:rPr>
          <w:rFonts w:ascii="Book Antiqua" w:hAnsi="Book Antiqua"/>
          <w:sz w:val="24"/>
          <w:szCs w:val="24"/>
          <w:lang w:val="en-US"/>
        </w:rPr>
        <w:lastRenderedPageBreak/>
        <w:t>of insufficient quality or, in the worst case, with the potential to harm the patient and to cause damage or even death. On the basis of this, a strengthening of eHealth literacy must be a central concern of society as a whole and for persons with health-related professions in particular.</w:t>
      </w:r>
    </w:p>
    <w:p w14:paraId="5A991BCB" w14:textId="77777777" w:rsidR="0054484B" w:rsidRPr="00251400" w:rsidRDefault="0054484B" w:rsidP="00B0664E">
      <w:pPr>
        <w:adjustRightInd w:val="0"/>
        <w:snapToGrid w:val="0"/>
        <w:spacing w:line="360" w:lineRule="auto"/>
        <w:ind w:firstLineChars="100" w:firstLine="240"/>
        <w:jc w:val="both"/>
        <w:rPr>
          <w:rFonts w:ascii="Book Antiqua" w:hAnsi="Book Antiqua"/>
          <w:sz w:val="24"/>
          <w:szCs w:val="24"/>
          <w:lang w:val="en-US"/>
        </w:rPr>
      </w:pPr>
    </w:p>
    <w:p w14:paraId="42C1BE7B" w14:textId="087B8825"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REFERENCES</w:t>
      </w:r>
    </w:p>
    <w:p w14:paraId="272F3086"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 </w:t>
      </w:r>
      <w:r w:rsidRPr="00251400">
        <w:rPr>
          <w:rFonts w:ascii="Book Antiqua" w:eastAsia="等线" w:hAnsi="Book Antiqua" w:cs="Times New Roman"/>
          <w:b/>
          <w:kern w:val="2"/>
          <w:sz w:val="24"/>
          <w:szCs w:val="24"/>
          <w:lang w:val="en-US" w:eastAsia="zh-CN"/>
        </w:rPr>
        <w:t>Marcolino MS</w:t>
      </w:r>
      <w:r w:rsidRPr="00251400">
        <w:rPr>
          <w:rFonts w:ascii="Book Antiqua" w:eastAsia="等线" w:hAnsi="Book Antiqua" w:cs="Times New Roman"/>
          <w:kern w:val="2"/>
          <w:sz w:val="24"/>
          <w:szCs w:val="24"/>
          <w:lang w:val="en-US" w:eastAsia="zh-CN"/>
        </w:rPr>
        <w:t xml:space="preserve">, Oliveira JAQ, D'Agostino M, Ribeiro AL, Alkmim MBM, Novillo-Ortiz D. The Impact of mHealth Interventions: Systematic Review of Systematic Reviews.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6</w:t>
      </w:r>
      <w:r w:rsidRPr="00251400">
        <w:rPr>
          <w:rFonts w:ascii="Book Antiqua" w:eastAsia="等线" w:hAnsi="Book Antiqua" w:cs="Times New Roman"/>
          <w:kern w:val="2"/>
          <w:sz w:val="24"/>
          <w:szCs w:val="24"/>
          <w:lang w:val="en-US" w:eastAsia="zh-CN"/>
        </w:rPr>
        <w:t>: e23 [PMID: 29343463 DOI: 10.2196/mhealth.8873]</w:t>
      </w:r>
    </w:p>
    <w:p w14:paraId="5865445E"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 </w:t>
      </w:r>
      <w:r w:rsidRPr="00251400">
        <w:rPr>
          <w:rFonts w:ascii="Book Antiqua" w:eastAsia="等线" w:hAnsi="Book Antiqua" w:cs="Times New Roman"/>
          <w:b/>
          <w:kern w:val="2"/>
          <w:sz w:val="24"/>
          <w:szCs w:val="24"/>
          <w:lang w:val="en-US" w:eastAsia="zh-CN"/>
        </w:rPr>
        <w:t>Jiang F</w:t>
      </w:r>
      <w:r w:rsidRPr="00251400">
        <w:rPr>
          <w:rFonts w:ascii="Book Antiqua" w:eastAsia="等线" w:hAnsi="Book Antiqua" w:cs="Times New Roman"/>
          <w:kern w:val="2"/>
          <w:sz w:val="24"/>
          <w:szCs w:val="24"/>
          <w:lang w:val="en-US" w:eastAsia="zh-CN"/>
        </w:rPr>
        <w:t xml:space="preserve">, Jiang Y, Zhi H, Dong Y, Li H, Ma S, Wang Y, Dong Q, Shen H, Wang Y. Artificial intelligence in healthcare: past, present and future. </w:t>
      </w:r>
      <w:r w:rsidRPr="00251400">
        <w:rPr>
          <w:rFonts w:ascii="Book Antiqua" w:eastAsia="等线" w:hAnsi="Book Antiqua" w:cs="Times New Roman"/>
          <w:i/>
          <w:kern w:val="2"/>
          <w:sz w:val="24"/>
          <w:szCs w:val="24"/>
          <w:lang w:val="en-US" w:eastAsia="zh-CN"/>
        </w:rPr>
        <w:t>Stroke Vasc Neurol</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2</w:t>
      </w:r>
      <w:r w:rsidRPr="00251400">
        <w:rPr>
          <w:rFonts w:ascii="Book Antiqua" w:eastAsia="等线" w:hAnsi="Book Antiqua" w:cs="Times New Roman"/>
          <w:kern w:val="2"/>
          <w:sz w:val="24"/>
          <w:szCs w:val="24"/>
          <w:lang w:val="en-US" w:eastAsia="zh-CN"/>
        </w:rPr>
        <w:t>: 230-243 [PMID: 29507784 DOI: 10.1136/svn-2017-000101]</w:t>
      </w:r>
    </w:p>
    <w:p w14:paraId="3FFCB32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 </w:t>
      </w:r>
      <w:r w:rsidRPr="00251400">
        <w:rPr>
          <w:rFonts w:ascii="Book Antiqua" w:eastAsia="等线" w:hAnsi="Book Antiqua" w:cs="Times New Roman"/>
          <w:b/>
          <w:kern w:val="2"/>
          <w:sz w:val="24"/>
          <w:szCs w:val="24"/>
          <w:lang w:val="en-US" w:eastAsia="zh-CN"/>
        </w:rPr>
        <w:t>Gordon WJ</w:t>
      </w:r>
      <w:r w:rsidRPr="00251400">
        <w:rPr>
          <w:rFonts w:ascii="Book Antiqua" w:eastAsia="等线" w:hAnsi="Book Antiqua" w:cs="Times New Roman"/>
          <w:kern w:val="2"/>
          <w:sz w:val="24"/>
          <w:szCs w:val="24"/>
          <w:lang w:val="en-US" w:eastAsia="zh-CN"/>
        </w:rPr>
        <w:t xml:space="preserve">, Landman A, Zhang H, Bates DW. Beyond validation: getting health apps into clinical practice. </w:t>
      </w:r>
      <w:r w:rsidRPr="00251400">
        <w:rPr>
          <w:rFonts w:ascii="Book Antiqua" w:eastAsia="等线" w:hAnsi="Book Antiqua" w:cs="Times New Roman"/>
          <w:i/>
          <w:kern w:val="2"/>
          <w:sz w:val="24"/>
          <w:szCs w:val="24"/>
          <w:lang w:val="en-US" w:eastAsia="zh-CN"/>
        </w:rPr>
        <w:t>NPJ Digit Med</w:t>
      </w:r>
      <w:r w:rsidRPr="00251400">
        <w:rPr>
          <w:rFonts w:ascii="Book Antiqua" w:eastAsia="等线" w:hAnsi="Book Antiqua" w:cs="Times New Roman"/>
          <w:kern w:val="2"/>
          <w:sz w:val="24"/>
          <w:szCs w:val="24"/>
          <w:lang w:val="en-US" w:eastAsia="zh-CN"/>
        </w:rPr>
        <w:t xml:space="preserve"> 2020; </w:t>
      </w:r>
      <w:r w:rsidRPr="00251400">
        <w:rPr>
          <w:rFonts w:ascii="Book Antiqua" w:eastAsia="等线" w:hAnsi="Book Antiqua" w:cs="Times New Roman"/>
          <w:b/>
          <w:kern w:val="2"/>
          <w:sz w:val="24"/>
          <w:szCs w:val="24"/>
          <w:lang w:val="en-US" w:eastAsia="zh-CN"/>
        </w:rPr>
        <w:t>3</w:t>
      </w:r>
      <w:r w:rsidRPr="00251400">
        <w:rPr>
          <w:rFonts w:ascii="Book Antiqua" w:eastAsia="等线" w:hAnsi="Book Antiqua" w:cs="Times New Roman"/>
          <w:kern w:val="2"/>
          <w:sz w:val="24"/>
          <w:szCs w:val="24"/>
          <w:lang w:val="en-US" w:eastAsia="zh-CN"/>
        </w:rPr>
        <w:t>: 14 [PMID: 32047860 DOI: 10.1038/s41746-019-0212-z]</w:t>
      </w:r>
    </w:p>
    <w:p w14:paraId="5C709875"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 </w:t>
      </w:r>
      <w:r w:rsidRPr="00251400">
        <w:rPr>
          <w:rFonts w:ascii="Book Antiqua" w:eastAsia="等线" w:hAnsi="Book Antiqua" w:cs="Times New Roman"/>
          <w:b/>
          <w:kern w:val="2"/>
          <w:sz w:val="24"/>
          <w:szCs w:val="24"/>
          <w:lang w:val="en-US" w:eastAsia="zh-CN"/>
        </w:rPr>
        <w:t>Le Berre C</w:t>
      </w:r>
      <w:r w:rsidRPr="00251400">
        <w:rPr>
          <w:rFonts w:ascii="Book Antiqua" w:eastAsia="等线" w:hAnsi="Book Antiqua" w:cs="Times New Roman"/>
          <w:kern w:val="2"/>
          <w:sz w:val="24"/>
          <w:szCs w:val="24"/>
          <w:lang w:val="en-US" w:eastAsia="zh-CN"/>
        </w:rPr>
        <w:t xml:space="preserve">, Sandborn WJ, Aridhi S, Devignes MD, Fournier L, Smaïl-Tabbone M, Danese S, Peyrin-Biroulet L. Application of Artificial Intelligence to Gastroenterology and Hepatology. </w:t>
      </w:r>
      <w:r w:rsidRPr="00251400">
        <w:rPr>
          <w:rFonts w:ascii="Book Antiqua" w:eastAsia="等线" w:hAnsi="Book Antiqua" w:cs="Times New Roman"/>
          <w:i/>
          <w:kern w:val="2"/>
          <w:sz w:val="24"/>
          <w:szCs w:val="24"/>
          <w:lang w:val="en-US" w:eastAsia="zh-CN"/>
        </w:rPr>
        <w:t>Gastroenterology</w:t>
      </w:r>
      <w:r w:rsidRPr="00251400">
        <w:rPr>
          <w:rFonts w:ascii="Book Antiqua" w:eastAsia="等线" w:hAnsi="Book Antiqua" w:cs="Times New Roman"/>
          <w:kern w:val="2"/>
          <w:sz w:val="24"/>
          <w:szCs w:val="24"/>
          <w:lang w:val="en-US" w:eastAsia="zh-CN"/>
        </w:rPr>
        <w:t xml:space="preserve"> 2020; </w:t>
      </w:r>
      <w:r w:rsidRPr="00251400">
        <w:rPr>
          <w:rFonts w:ascii="Book Antiqua" w:eastAsia="等线" w:hAnsi="Book Antiqua" w:cs="Times New Roman"/>
          <w:b/>
          <w:kern w:val="2"/>
          <w:sz w:val="24"/>
          <w:szCs w:val="24"/>
          <w:lang w:val="en-US" w:eastAsia="zh-CN"/>
        </w:rPr>
        <w:t>158</w:t>
      </w:r>
      <w:r w:rsidRPr="00251400">
        <w:rPr>
          <w:rFonts w:ascii="Book Antiqua" w:eastAsia="等线" w:hAnsi="Book Antiqua" w:cs="Times New Roman"/>
          <w:kern w:val="2"/>
          <w:sz w:val="24"/>
          <w:szCs w:val="24"/>
          <w:lang w:val="en-US" w:eastAsia="zh-CN"/>
        </w:rPr>
        <w:t>: 76-94.e2 [PMID: 31593701 DOI: 10.1053/j.gastro.2019.08.058]</w:t>
      </w:r>
    </w:p>
    <w:p w14:paraId="6695A56E"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 </w:t>
      </w:r>
      <w:r w:rsidRPr="00251400">
        <w:rPr>
          <w:rFonts w:ascii="Book Antiqua" w:eastAsia="等线" w:hAnsi="Book Antiqua" w:cs="Times New Roman"/>
          <w:b/>
          <w:kern w:val="2"/>
          <w:sz w:val="24"/>
          <w:szCs w:val="24"/>
          <w:lang w:val="en-US" w:eastAsia="zh-CN"/>
        </w:rPr>
        <w:t>Bossuyt P</w:t>
      </w:r>
      <w:r w:rsidRPr="00251400">
        <w:rPr>
          <w:rFonts w:ascii="Book Antiqua" w:eastAsia="等线" w:hAnsi="Book Antiqua" w:cs="Times New Roman"/>
          <w:kern w:val="2"/>
          <w:sz w:val="24"/>
          <w:szCs w:val="24"/>
          <w:lang w:val="en-US" w:eastAsia="zh-CN"/>
        </w:rPr>
        <w:t xml:space="preserve">, Pouillon L, Bonnaud G, Danese S, Peyrin-Biroulet L. E-health in inflammatory bowel diseases: More challenges than opportunities? </w:t>
      </w:r>
      <w:r w:rsidRPr="00251400">
        <w:rPr>
          <w:rFonts w:ascii="Book Antiqua" w:eastAsia="等线" w:hAnsi="Book Antiqua" w:cs="Times New Roman"/>
          <w:i/>
          <w:kern w:val="2"/>
          <w:sz w:val="24"/>
          <w:szCs w:val="24"/>
          <w:lang w:val="en-US" w:eastAsia="zh-CN"/>
        </w:rPr>
        <w:t>Dig Liver Dis</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49</w:t>
      </w:r>
      <w:r w:rsidRPr="00251400">
        <w:rPr>
          <w:rFonts w:ascii="Book Antiqua" w:eastAsia="等线" w:hAnsi="Book Antiqua" w:cs="Times New Roman"/>
          <w:kern w:val="2"/>
          <w:sz w:val="24"/>
          <w:szCs w:val="24"/>
          <w:lang w:val="en-US" w:eastAsia="zh-CN"/>
        </w:rPr>
        <w:t>: 1320-1326 [PMID: 28899622 DOI: 10.1016/j.dld.2017.08.026]</w:t>
      </w:r>
    </w:p>
    <w:p w14:paraId="15F86081"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 </w:t>
      </w:r>
      <w:r w:rsidRPr="00251400">
        <w:rPr>
          <w:rFonts w:ascii="Book Antiqua" w:eastAsia="等线" w:hAnsi="Book Antiqua" w:cs="Times New Roman"/>
          <w:b/>
          <w:kern w:val="2"/>
          <w:sz w:val="24"/>
          <w:szCs w:val="24"/>
          <w:lang w:val="en-US" w:eastAsia="zh-CN"/>
        </w:rPr>
        <w:t>Serper M</w:t>
      </w:r>
      <w:r w:rsidRPr="00251400">
        <w:rPr>
          <w:rFonts w:ascii="Book Antiqua" w:eastAsia="等线" w:hAnsi="Book Antiqua" w:cs="Times New Roman"/>
          <w:kern w:val="2"/>
          <w:sz w:val="24"/>
          <w:szCs w:val="24"/>
          <w:lang w:val="en-US" w:eastAsia="zh-CN"/>
        </w:rPr>
        <w:t xml:space="preserve">, Volk ML. Current and Future Applications of Telemedicine to Optimize the Delivery of Care in Chronic Liver Disease. </w:t>
      </w:r>
      <w:r w:rsidRPr="00251400">
        <w:rPr>
          <w:rFonts w:ascii="Book Antiqua" w:eastAsia="等线" w:hAnsi="Book Antiqua" w:cs="Times New Roman"/>
          <w:i/>
          <w:kern w:val="2"/>
          <w:sz w:val="24"/>
          <w:szCs w:val="24"/>
          <w:lang w:val="en-US" w:eastAsia="zh-CN"/>
        </w:rPr>
        <w:t>Clin Gastroenterol Hepatol</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16</w:t>
      </w:r>
      <w:r w:rsidRPr="00251400">
        <w:rPr>
          <w:rFonts w:ascii="Book Antiqua" w:eastAsia="等线" w:hAnsi="Book Antiqua" w:cs="Times New Roman"/>
          <w:kern w:val="2"/>
          <w:sz w:val="24"/>
          <w:szCs w:val="24"/>
          <w:lang w:val="en-US" w:eastAsia="zh-CN"/>
        </w:rPr>
        <w:t>: 157-161.e8 [PMID: 29389489 DOI: 10.1016/j.cgh.2017.10.004]</w:t>
      </w:r>
    </w:p>
    <w:p w14:paraId="749AEBC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 </w:t>
      </w:r>
      <w:r w:rsidRPr="00251400">
        <w:rPr>
          <w:rFonts w:ascii="Book Antiqua" w:eastAsia="等线" w:hAnsi="Book Antiqua" w:cs="Times New Roman"/>
          <w:b/>
          <w:kern w:val="2"/>
          <w:sz w:val="24"/>
          <w:szCs w:val="24"/>
          <w:lang w:val="en-US" w:eastAsia="zh-CN"/>
        </w:rPr>
        <w:t>Adadi A</w:t>
      </w:r>
      <w:r w:rsidRPr="00251400">
        <w:rPr>
          <w:rFonts w:ascii="Book Antiqua" w:eastAsia="等线" w:hAnsi="Book Antiqua" w:cs="Times New Roman"/>
          <w:kern w:val="2"/>
          <w:sz w:val="24"/>
          <w:szCs w:val="24"/>
          <w:lang w:val="en-US" w:eastAsia="zh-CN"/>
        </w:rPr>
        <w:t xml:space="preserve">, Adadi S, Berrada M. Gastroenterology Meets Machine Learning: Status Quo and Quo Vadis. </w:t>
      </w:r>
      <w:r w:rsidRPr="00251400">
        <w:rPr>
          <w:rFonts w:ascii="Book Antiqua" w:eastAsia="等线" w:hAnsi="Book Antiqua" w:cs="Times New Roman"/>
          <w:i/>
          <w:kern w:val="2"/>
          <w:sz w:val="24"/>
          <w:szCs w:val="24"/>
          <w:lang w:val="en-US" w:eastAsia="zh-CN"/>
        </w:rPr>
        <w:t>Adv Bioinformatics</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2019</w:t>
      </w:r>
      <w:r w:rsidRPr="00251400">
        <w:rPr>
          <w:rFonts w:ascii="Book Antiqua" w:eastAsia="等线" w:hAnsi="Book Antiqua" w:cs="Times New Roman"/>
          <w:kern w:val="2"/>
          <w:sz w:val="24"/>
          <w:szCs w:val="24"/>
          <w:lang w:val="en-US" w:eastAsia="zh-CN"/>
        </w:rPr>
        <w:t>: 1870975 [PMID: 31065266 DOI: 10.1155/2019/1870975]</w:t>
      </w:r>
    </w:p>
    <w:p w14:paraId="76545D53" w14:textId="226A9F0F" w:rsidR="005A44ED" w:rsidRPr="00251400" w:rsidRDefault="00B0664E"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 </w:t>
      </w:r>
      <w:r w:rsidR="005A44ED" w:rsidRPr="00251400">
        <w:rPr>
          <w:rFonts w:ascii="Book Antiqua" w:eastAsia="等线" w:hAnsi="Book Antiqua" w:cs="Times New Roman"/>
          <w:b/>
          <w:kern w:val="2"/>
          <w:sz w:val="24"/>
          <w:szCs w:val="24"/>
          <w:lang w:val="en-US" w:eastAsia="zh-CN"/>
        </w:rPr>
        <w:t>Siegel CA</w:t>
      </w:r>
      <w:r w:rsidR="005A44ED" w:rsidRPr="00251400">
        <w:rPr>
          <w:rFonts w:ascii="Book Antiqua" w:eastAsia="等线" w:hAnsi="Book Antiqua" w:cs="Times New Roman"/>
          <w:kern w:val="2"/>
          <w:sz w:val="24"/>
          <w:szCs w:val="24"/>
          <w:lang w:val="en-US" w:eastAsia="zh-CN"/>
        </w:rPr>
        <w:t xml:space="preserve">. Transforming Gastroenterology Care With Telemedicine. </w:t>
      </w:r>
      <w:r w:rsidR="005A44ED" w:rsidRPr="00251400">
        <w:rPr>
          <w:rFonts w:ascii="Book Antiqua" w:eastAsia="等线" w:hAnsi="Book Antiqua" w:cs="Times New Roman"/>
          <w:i/>
          <w:kern w:val="2"/>
          <w:sz w:val="24"/>
          <w:szCs w:val="24"/>
          <w:lang w:val="en-US" w:eastAsia="zh-CN"/>
        </w:rPr>
        <w:t>Gastroenterology</w:t>
      </w:r>
      <w:r w:rsidR="005A44ED" w:rsidRPr="00251400">
        <w:rPr>
          <w:rFonts w:ascii="Book Antiqua" w:eastAsia="等线" w:hAnsi="Book Antiqua" w:cs="Times New Roman"/>
          <w:kern w:val="2"/>
          <w:sz w:val="24"/>
          <w:szCs w:val="24"/>
          <w:lang w:val="en-US" w:eastAsia="zh-CN"/>
        </w:rPr>
        <w:t xml:space="preserve"> 2017; </w:t>
      </w:r>
      <w:r w:rsidR="005A44ED" w:rsidRPr="00251400">
        <w:rPr>
          <w:rFonts w:ascii="Book Antiqua" w:eastAsia="等线" w:hAnsi="Book Antiqua" w:cs="Times New Roman"/>
          <w:b/>
          <w:kern w:val="2"/>
          <w:sz w:val="24"/>
          <w:szCs w:val="24"/>
          <w:lang w:val="en-US" w:eastAsia="zh-CN"/>
        </w:rPr>
        <w:t>152</w:t>
      </w:r>
      <w:r w:rsidR="005A44ED" w:rsidRPr="00251400">
        <w:rPr>
          <w:rFonts w:ascii="Book Antiqua" w:eastAsia="等线" w:hAnsi="Book Antiqua" w:cs="Times New Roman"/>
          <w:kern w:val="2"/>
          <w:sz w:val="24"/>
          <w:szCs w:val="24"/>
          <w:lang w:val="en-US" w:eastAsia="zh-CN"/>
        </w:rPr>
        <w:t>: 958-963 [PMID: 28192101 DOI: 10.1053/j.gastro.2017.01.048]</w:t>
      </w:r>
    </w:p>
    <w:p w14:paraId="1D8D3B2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 </w:t>
      </w:r>
      <w:r w:rsidRPr="00251400">
        <w:rPr>
          <w:rFonts w:ascii="Book Antiqua" w:eastAsia="等线" w:hAnsi="Book Antiqua" w:cs="Times New Roman"/>
          <w:b/>
          <w:kern w:val="2"/>
          <w:sz w:val="24"/>
          <w:szCs w:val="24"/>
          <w:lang w:val="en-US" w:eastAsia="zh-CN"/>
        </w:rPr>
        <w:t>Huang JS</w:t>
      </w:r>
      <w:r w:rsidRPr="00251400">
        <w:rPr>
          <w:rFonts w:ascii="Book Antiqua" w:eastAsia="等线" w:hAnsi="Book Antiqua" w:cs="Times New Roman"/>
          <w:kern w:val="2"/>
          <w:sz w:val="24"/>
          <w:szCs w:val="24"/>
          <w:lang w:val="en-US" w:eastAsia="zh-CN"/>
        </w:rPr>
        <w:t xml:space="preserve">, Yueh R, Wood K, Ma S, Cruz R, Boyd N, Kruth R, Parker J. Harnessing </w:t>
      </w:r>
      <w:r w:rsidRPr="00251400">
        <w:rPr>
          <w:rFonts w:ascii="Book Antiqua" w:eastAsia="等线" w:hAnsi="Book Antiqua" w:cs="Times New Roman"/>
          <w:kern w:val="2"/>
          <w:sz w:val="24"/>
          <w:szCs w:val="24"/>
          <w:lang w:val="en-US" w:eastAsia="zh-CN"/>
        </w:rPr>
        <w:lastRenderedPageBreak/>
        <w:t xml:space="preserve">the Electronic Health Record to Distribute Transition Services to Adolescents With Inflammatory Bowel Disease. </w:t>
      </w:r>
      <w:r w:rsidRPr="00251400">
        <w:rPr>
          <w:rFonts w:ascii="Book Antiqua" w:eastAsia="等线" w:hAnsi="Book Antiqua" w:cs="Times New Roman"/>
          <w:i/>
          <w:kern w:val="2"/>
          <w:sz w:val="24"/>
          <w:szCs w:val="24"/>
          <w:lang w:val="en-US" w:eastAsia="zh-CN"/>
        </w:rPr>
        <w:t>J Pediatr Gastroenterol Nutr</w:t>
      </w:r>
      <w:r w:rsidRPr="00251400">
        <w:rPr>
          <w:rFonts w:ascii="Book Antiqua" w:eastAsia="等线" w:hAnsi="Book Antiqua" w:cs="Times New Roman"/>
          <w:kern w:val="2"/>
          <w:sz w:val="24"/>
          <w:szCs w:val="24"/>
          <w:lang w:val="en-US" w:eastAsia="zh-CN"/>
        </w:rPr>
        <w:t xml:space="preserve"> 2020; </w:t>
      </w:r>
      <w:r w:rsidRPr="00251400">
        <w:rPr>
          <w:rFonts w:ascii="Book Antiqua" w:eastAsia="等线" w:hAnsi="Book Antiqua" w:cs="Times New Roman"/>
          <w:b/>
          <w:kern w:val="2"/>
          <w:sz w:val="24"/>
          <w:szCs w:val="24"/>
          <w:lang w:val="en-US" w:eastAsia="zh-CN"/>
        </w:rPr>
        <w:t>70</w:t>
      </w:r>
      <w:r w:rsidRPr="00251400">
        <w:rPr>
          <w:rFonts w:ascii="Book Antiqua" w:eastAsia="等线" w:hAnsi="Book Antiqua" w:cs="Times New Roman"/>
          <w:kern w:val="2"/>
          <w:sz w:val="24"/>
          <w:szCs w:val="24"/>
          <w:lang w:val="en-US" w:eastAsia="zh-CN"/>
        </w:rPr>
        <w:t>: 200-204 [PMID: 31978017 DOI: 10.1097/MPG.0000000000002516]</w:t>
      </w:r>
    </w:p>
    <w:p w14:paraId="4E2326B3"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 </w:t>
      </w:r>
      <w:r w:rsidRPr="00251400">
        <w:rPr>
          <w:rFonts w:ascii="Book Antiqua" w:eastAsia="等线" w:hAnsi="Book Antiqua" w:cs="Times New Roman"/>
          <w:b/>
          <w:kern w:val="2"/>
          <w:sz w:val="24"/>
          <w:szCs w:val="24"/>
          <w:lang w:val="en-US" w:eastAsia="zh-CN"/>
        </w:rPr>
        <w:t>Konerman MA</w:t>
      </w:r>
      <w:r w:rsidRPr="00251400">
        <w:rPr>
          <w:rFonts w:ascii="Book Antiqua" w:eastAsia="等线" w:hAnsi="Book Antiqua" w:cs="Times New Roman"/>
          <w:kern w:val="2"/>
          <w:sz w:val="24"/>
          <w:szCs w:val="24"/>
          <w:lang w:val="en-US" w:eastAsia="zh-CN"/>
        </w:rPr>
        <w:t xml:space="preserve">, Thomson M, Gray K, Moore M, Choxi H, Seif E, Lok ASF. Impact of an electronic health record alert in primary care on increasing hepatitis c screening and curative treatment for baby boomers. </w:t>
      </w:r>
      <w:r w:rsidRPr="00251400">
        <w:rPr>
          <w:rFonts w:ascii="Book Antiqua" w:eastAsia="等线" w:hAnsi="Book Antiqua" w:cs="Times New Roman"/>
          <w:i/>
          <w:kern w:val="2"/>
          <w:sz w:val="24"/>
          <w:szCs w:val="24"/>
          <w:lang w:val="en-US" w:eastAsia="zh-CN"/>
        </w:rPr>
        <w:t>Hepatology</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66</w:t>
      </w:r>
      <w:r w:rsidRPr="00251400">
        <w:rPr>
          <w:rFonts w:ascii="Book Antiqua" w:eastAsia="等线" w:hAnsi="Book Antiqua" w:cs="Times New Roman"/>
          <w:kern w:val="2"/>
          <w:sz w:val="24"/>
          <w:szCs w:val="24"/>
          <w:lang w:val="en-US" w:eastAsia="zh-CN"/>
        </w:rPr>
        <w:t>: 1805-1813 [PMID: 28714196 DOI: 10.1002/hep.29362]</w:t>
      </w:r>
    </w:p>
    <w:p w14:paraId="35909192"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11 </w:t>
      </w:r>
      <w:r w:rsidRPr="00251400">
        <w:rPr>
          <w:rFonts w:ascii="Book Antiqua" w:eastAsia="等线" w:hAnsi="Book Antiqua" w:cs="Times New Roman"/>
          <w:b/>
          <w:kern w:val="2"/>
          <w:sz w:val="24"/>
          <w:szCs w:val="24"/>
          <w:lang w:val="en-US" w:eastAsia="zh-CN"/>
        </w:rPr>
        <w:t>Roehrs A</w:t>
      </w:r>
      <w:r w:rsidRPr="00251400">
        <w:rPr>
          <w:rFonts w:ascii="Book Antiqua" w:eastAsia="等线" w:hAnsi="Book Antiqua" w:cs="Times New Roman"/>
          <w:kern w:val="2"/>
          <w:sz w:val="24"/>
          <w:szCs w:val="24"/>
          <w:lang w:val="en-US" w:eastAsia="zh-CN"/>
        </w:rPr>
        <w:t xml:space="preserve">, da Costa CA, Righi RD, de Oliveira KS. Personal Health Records: A Systematic Literature Review.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19</w:t>
      </w:r>
      <w:r w:rsidRPr="00251400">
        <w:rPr>
          <w:rFonts w:ascii="Book Antiqua" w:eastAsia="等线" w:hAnsi="Book Antiqua" w:cs="Times New Roman"/>
          <w:kern w:val="2"/>
          <w:sz w:val="24"/>
          <w:szCs w:val="24"/>
          <w:lang w:val="en-US" w:eastAsia="zh-CN"/>
        </w:rPr>
        <w:t>: e13 [PMID: 28062391 DOI: 10.2196/jmir.5876]</w:t>
      </w:r>
    </w:p>
    <w:p w14:paraId="062D6123"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12 </w:t>
      </w:r>
      <w:r w:rsidRPr="00251400">
        <w:rPr>
          <w:rFonts w:ascii="Book Antiqua" w:eastAsia="等线" w:hAnsi="Book Antiqua" w:cs="Times New Roman"/>
          <w:b/>
          <w:kern w:val="2"/>
          <w:sz w:val="24"/>
          <w:szCs w:val="24"/>
          <w:lang w:val="en-US" w:eastAsia="zh-CN"/>
        </w:rPr>
        <w:t>Lalloo C</w:t>
      </w:r>
      <w:r w:rsidRPr="00251400">
        <w:rPr>
          <w:rFonts w:ascii="Book Antiqua" w:eastAsia="等线" w:hAnsi="Book Antiqua" w:cs="Times New Roman"/>
          <w:kern w:val="2"/>
          <w:sz w:val="24"/>
          <w:szCs w:val="24"/>
          <w:lang w:val="en-US" w:eastAsia="zh-CN"/>
        </w:rPr>
        <w:t xml:space="preserve">, Shah U, Birnie KA, Davies-Chalmers C, Rivera J, Stinson J, Campbell F. Commercially Available Smartphone Apps to Support Postoperative Pain Self-Management: Scoping Review.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5</w:t>
      </w:r>
      <w:r w:rsidRPr="00251400">
        <w:rPr>
          <w:rFonts w:ascii="Book Antiqua" w:eastAsia="等线" w:hAnsi="Book Antiqua" w:cs="Times New Roman"/>
          <w:kern w:val="2"/>
          <w:sz w:val="24"/>
          <w:szCs w:val="24"/>
          <w:lang w:val="en-US" w:eastAsia="zh-CN"/>
        </w:rPr>
        <w:t>: e162 [PMID: 29061558 DOI: 10.2196/mhealth.8230]</w:t>
      </w:r>
    </w:p>
    <w:p w14:paraId="15F4400D"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13 </w:t>
      </w:r>
      <w:r w:rsidRPr="00251400">
        <w:rPr>
          <w:rFonts w:ascii="Book Antiqua" w:eastAsia="等线" w:hAnsi="Book Antiqua" w:cs="Times New Roman"/>
          <w:b/>
          <w:kern w:val="2"/>
          <w:sz w:val="24"/>
          <w:szCs w:val="24"/>
          <w:lang w:val="en-US" w:eastAsia="zh-CN"/>
        </w:rPr>
        <w:t>Thurnheer SE</w:t>
      </w:r>
      <w:r w:rsidRPr="00251400">
        <w:rPr>
          <w:rFonts w:ascii="Book Antiqua" w:eastAsia="等线" w:hAnsi="Book Antiqua" w:cs="Times New Roman"/>
          <w:kern w:val="2"/>
          <w:sz w:val="24"/>
          <w:szCs w:val="24"/>
          <w:lang w:val="en-US" w:eastAsia="zh-CN"/>
        </w:rPr>
        <w:t xml:space="preserve">, Gravestock I, Pichierri G, Steurer J, Burgstaller JM. Benefits of Mobile Apps in Pain Management: Systematic Review.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6</w:t>
      </w:r>
      <w:r w:rsidRPr="00251400">
        <w:rPr>
          <w:rFonts w:ascii="Book Antiqua" w:eastAsia="等线" w:hAnsi="Book Antiqua" w:cs="Times New Roman"/>
          <w:kern w:val="2"/>
          <w:sz w:val="24"/>
          <w:szCs w:val="24"/>
          <w:lang w:val="en-US" w:eastAsia="zh-CN"/>
        </w:rPr>
        <w:t>: e11231 [PMID: 30348633 DOI: 10.2196/11231]</w:t>
      </w:r>
    </w:p>
    <w:p w14:paraId="5649FF6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14 </w:t>
      </w:r>
      <w:r w:rsidRPr="00251400">
        <w:rPr>
          <w:rFonts w:ascii="Book Antiqua" w:eastAsia="等线" w:hAnsi="Book Antiqua" w:cs="Times New Roman"/>
          <w:b/>
          <w:kern w:val="2"/>
          <w:sz w:val="24"/>
          <w:szCs w:val="24"/>
          <w:lang w:val="en-US" w:eastAsia="zh-CN"/>
        </w:rPr>
        <w:t>Adu MD</w:t>
      </w:r>
      <w:r w:rsidRPr="00251400">
        <w:rPr>
          <w:rFonts w:ascii="Book Antiqua" w:eastAsia="等线" w:hAnsi="Book Antiqua" w:cs="Times New Roman"/>
          <w:kern w:val="2"/>
          <w:sz w:val="24"/>
          <w:szCs w:val="24"/>
          <w:lang w:val="en-US" w:eastAsia="zh-CN"/>
        </w:rPr>
        <w:t xml:space="preserve">, Malabu UH, Callander EJ, Malau-Aduli AE, Malau-Aduli BS. Considerations for the Development of Mobile Phone Apps to Support Diabetes Self-Management: Systematic Review.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6</w:t>
      </w:r>
      <w:r w:rsidRPr="00251400">
        <w:rPr>
          <w:rFonts w:ascii="Book Antiqua" w:eastAsia="等线" w:hAnsi="Book Antiqua" w:cs="Times New Roman"/>
          <w:kern w:val="2"/>
          <w:sz w:val="24"/>
          <w:szCs w:val="24"/>
          <w:lang w:val="en-US" w:eastAsia="zh-CN"/>
        </w:rPr>
        <w:t>: e10115 [PMID: 29929949 DOI: 10.2196/10115]</w:t>
      </w:r>
    </w:p>
    <w:p w14:paraId="6FD6D8BE"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15 </w:t>
      </w:r>
      <w:r w:rsidRPr="00251400">
        <w:rPr>
          <w:rFonts w:ascii="Book Antiqua" w:eastAsia="等线" w:hAnsi="Book Antiqua" w:cs="Times New Roman"/>
          <w:b/>
          <w:kern w:val="2"/>
          <w:sz w:val="24"/>
          <w:szCs w:val="24"/>
          <w:lang w:val="en-US" w:eastAsia="zh-CN"/>
        </w:rPr>
        <w:t>Yin AL</w:t>
      </w:r>
      <w:r w:rsidRPr="00251400">
        <w:rPr>
          <w:rFonts w:ascii="Book Antiqua" w:eastAsia="等线" w:hAnsi="Book Antiqua" w:cs="Times New Roman"/>
          <w:kern w:val="2"/>
          <w:sz w:val="24"/>
          <w:szCs w:val="24"/>
          <w:lang w:val="en-US" w:eastAsia="zh-CN"/>
        </w:rPr>
        <w:t xml:space="preserve">, Hachuel D, Pollak JP, Scherl EJ, Estrin D. Digital Health Apps in the Clinical Care of Inflammatory Bowel Disease: Scoping Review.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21</w:t>
      </w:r>
      <w:r w:rsidRPr="00251400">
        <w:rPr>
          <w:rFonts w:ascii="Book Antiqua" w:eastAsia="等线" w:hAnsi="Book Antiqua" w:cs="Times New Roman"/>
          <w:kern w:val="2"/>
          <w:sz w:val="24"/>
          <w:szCs w:val="24"/>
          <w:lang w:val="en-US" w:eastAsia="zh-CN"/>
        </w:rPr>
        <w:t>: e14630 [PMID: 31429410 DOI: 10.2196/14630]</w:t>
      </w:r>
    </w:p>
    <w:p w14:paraId="2045ED2F"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16 </w:t>
      </w:r>
      <w:r w:rsidRPr="00251400">
        <w:rPr>
          <w:rFonts w:ascii="Book Antiqua" w:eastAsia="等线" w:hAnsi="Book Antiqua" w:cs="Times New Roman"/>
          <w:b/>
          <w:kern w:val="2"/>
          <w:sz w:val="24"/>
          <w:szCs w:val="24"/>
          <w:lang w:val="en-US" w:eastAsia="zh-CN"/>
        </w:rPr>
        <w:t>Hernandez Silva E</w:t>
      </w:r>
      <w:r w:rsidRPr="00251400">
        <w:rPr>
          <w:rFonts w:ascii="Book Antiqua" w:eastAsia="等线" w:hAnsi="Book Antiqua" w:cs="Times New Roman"/>
          <w:kern w:val="2"/>
          <w:sz w:val="24"/>
          <w:szCs w:val="24"/>
          <w:lang w:val="en-US" w:eastAsia="zh-CN"/>
        </w:rPr>
        <w:t xml:space="preserve">, Lawler S, Langbecker D. The effectiveness of mHealth for self-management in improving pain, psychological distress, fatigue, and sleep in cancer survivors: a systematic review. </w:t>
      </w:r>
      <w:r w:rsidRPr="00251400">
        <w:rPr>
          <w:rFonts w:ascii="Book Antiqua" w:eastAsia="等线" w:hAnsi="Book Antiqua" w:cs="Times New Roman"/>
          <w:i/>
          <w:kern w:val="2"/>
          <w:sz w:val="24"/>
          <w:szCs w:val="24"/>
          <w:lang w:val="en-US" w:eastAsia="zh-CN"/>
        </w:rPr>
        <w:t>J Cancer Surviv</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13</w:t>
      </w:r>
      <w:r w:rsidRPr="00251400">
        <w:rPr>
          <w:rFonts w:ascii="Book Antiqua" w:eastAsia="等线" w:hAnsi="Book Antiqua" w:cs="Times New Roman"/>
          <w:kern w:val="2"/>
          <w:sz w:val="24"/>
          <w:szCs w:val="24"/>
          <w:lang w:val="en-US" w:eastAsia="zh-CN"/>
        </w:rPr>
        <w:t>: 97-107 [PMID: 30635865 DOI: 10.1007/s11764-018-0730-8]</w:t>
      </w:r>
    </w:p>
    <w:p w14:paraId="35A8D6CD"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17 </w:t>
      </w:r>
      <w:r w:rsidRPr="00251400">
        <w:rPr>
          <w:rFonts w:ascii="Book Antiqua" w:eastAsia="等线" w:hAnsi="Book Antiqua" w:cs="Times New Roman"/>
          <w:b/>
          <w:kern w:val="2"/>
          <w:sz w:val="24"/>
          <w:szCs w:val="24"/>
          <w:lang w:val="en-US" w:eastAsia="zh-CN"/>
        </w:rPr>
        <w:t>Whitehead L</w:t>
      </w:r>
      <w:r w:rsidRPr="00251400">
        <w:rPr>
          <w:rFonts w:ascii="Book Antiqua" w:eastAsia="等线" w:hAnsi="Book Antiqua" w:cs="Times New Roman"/>
          <w:kern w:val="2"/>
          <w:sz w:val="24"/>
          <w:szCs w:val="24"/>
          <w:lang w:val="en-US" w:eastAsia="zh-CN"/>
        </w:rPr>
        <w:t xml:space="preserve">, Seaton P. The Effectiveness of Self-Management Mobile Phone and Tablet Apps in Long-term Condition Management: A Systematic Review.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2016; </w:t>
      </w:r>
      <w:r w:rsidRPr="00251400">
        <w:rPr>
          <w:rFonts w:ascii="Book Antiqua" w:eastAsia="等线" w:hAnsi="Book Antiqua" w:cs="Times New Roman"/>
          <w:b/>
          <w:kern w:val="2"/>
          <w:sz w:val="24"/>
          <w:szCs w:val="24"/>
          <w:lang w:val="en-US" w:eastAsia="zh-CN"/>
        </w:rPr>
        <w:t>18</w:t>
      </w:r>
      <w:r w:rsidRPr="00251400">
        <w:rPr>
          <w:rFonts w:ascii="Book Antiqua" w:eastAsia="等线" w:hAnsi="Book Antiqua" w:cs="Times New Roman"/>
          <w:kern w:val="2"/>
          <w:sz w:val="24"/>
          <w:szCs w:val="24"/>
          <w:lang w:val="en-US" w:eastAsia="zh-CN"/>
        </w:rPr>
        <w:t>: e97 [PMID: 27185295 DOI: 10.2196/jmir.4883]</w:t>
      </w:r>
    </w:p>
    <w:p w14:paraId="29454F31" w14:textId="14C81FAA"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18 </w:t>
      </w:r>
      <w:r w:rsidRPr="00251400">
        <w:rPr>
          <w:rFonts w:ascii="Book Antiqua" w:eastAsia="等线" w:hAnsi="Book Antiqua" w:cs="Times New Roman"/>
          <w:b/>
          <w:kern w:val="2"/>
          <w:sz w:val="24"/>
          <w:szCs w:val="24"/>
          <w:lang w:val="en-US" w:eastAsia="zh-CN"/>
        </w:rPr>
        <w:t>Elamin W,</w:t>
      </w:r>
      <w:r w:rsidRPr="00251400">
        <w:rPr>
          <w:rFonts w:ascii="Book Antiqua" w:eastAsia="等线" w:hAnsi="Book Antiqua" w:cs="Times New Roman"/>
          <w:kern w:val="2"/>
          <w:sz w:val="24"/>
          <w:szCs w:val="24"/>
          <w:lang w:val="en-US" w:eastAsia="zh-CN"/>
        </w:rPr>
        <w:t xml:space="preserve"> Hannis D, Nnyanzi L, Ells L. To study the impact of mHealth </w:t>
      </w:r>
      <w:r w:rsidRPr="00251400">
        <w:rPr>
          <w:rFonts w:ascii="Book Antiqua" w:eastAsia="等线" w:hAnsi="Book Antiqua" w:cs="Times New Roman"/>
          <w:kern w:val="2"/>
          <w:sz w:val="24"/>
          <w:szCs w:val="24"/>
          <w:lang w:val="en-US" w:eastAsia="zh-CN"/>
        </w:rPr>
        <w:lastRenderedPageBreak/>
        <w:t xml:space="preserve">interventions on chronic diseases management: A systematic overview of systematic reviews protocol. </w:t>
      </w:r>
      <w:r w:rsidRPr="00251400">
        <w:rPr>
          <w:rFonts w:ascii="Book Antiqua" w:eastAsia="等线" w:hAnsi="Book Antiqua" w:cs="Times New Roman"/>
          <w:i/>
          <w:iCs/>
          <w:kern w:val="2"/>
          <w:sz w:val="24"/>
          <w:szCs w:val="24"/>
          <w:lang w:val="en-US" w:eastAsia="zh-CN"/>
        </w:rPr>
        <w:t>Clinical eHealth</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bCs/>
          <w:kern w:val="2"/>
          <w:sz w:val="24"/>
          <w:szCs w:val="24"/>
          <w:lang w:val="en-US" w:eastAsia="zh-CN"/>
        </w:rPr>
        <w:t>1</w:t>
      </w:r>
      <w:r w:rsidR="00804337" w:rsidRPr="00251400">
        <w:rPr>
          <w:rFonts w:ascii="Book Antiqua" w:eastAsia="等线" w:hAnsi="Book Antiqua" w:cs="Times New Roman"/>
          <w:kern w:val="2"/>
          <w:sz w:val="24"/>
          <w:szCs w:val="24"/>
          <w:lang w:val="en-US" w:eastAsia="zh-CN"/>
        </w:rPr>
        <w:t>: 17-20</w:t>
      </w:r>
      <w:r w:rsidRPr="00251400">
        <w:rPr>
          <w:rFonts w:ascii="Book Antiqua" w:eastAsia="等线" w:hAnsi="Book Antiqua" w:cs="Times New Roman"/>
          <w:b/>
          <w:bCs/>
          <w:kern w:val="2"/>
          <w:sz w:val="24"/>
          <w:szCs w:val="24"/>
          <w:lang w:val="en-US" w:eastAsia="zh-CN"/>
        </w:rPr>
        <w:t xml:space="preserve"> </w:t>
      </w:r>
      <w:r w:rsidRPr="00251400">
        <w:rPr>
          <w:rFonts w:ascii="Book Antiqua" w:eastAsia="等线" w:hAnsi="Book Antiqua" w:cs="Times New Roman"/>
          <w:kern w:val="2"/>
          <w:sz w:val="24"/>
          <w:szCs w:val="24"/>
          <w:lang w:val="en-US" w:eastAsia="zh-CN"/>
        </w:rPr>
        <w:t>[DOI: 10.1016/j.ceh.2018.08.001]</w:t>
      </w:r>
    </w:p>
    <w:p w14:paraId="62FBC0AC"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19 </w:t>
      </w:r>
      <w:r w:rsidRPr="00251400">
        <w:rPr>
          <w:rFonts w:ascii="Book Antiqua" w:eastAsia="等线" w:hAnsi="Book Antiqua" w:cs="Times New Roman"/>
          <w:b/>
          <w:kern w:val="2"/>
          <w:sz w:val="24"/>
          <w:szCs w:val="24"/>
          <w:lang w:val="en-US" w:eastAsia="zh-CN"/>
        </w:rPr>
        <w:t>Ting DSW</w:t>
      </w:r>
      <w:r w:rsidRPr="00251400">
        <w:rPr>
          <w:rFonts w:ascii="Book Antiqua" w:eastAsia="等线" w:hAnsi="Book Antiqua" w:cs="Times New Roman"/>
          <w:kern w:val="2"/>
          <w:sz w:val="24"/>
          <w:szCs w:val="24"/>
          <w:lang w:val="en-US" w:eastAsia="zh-CN"/>
        </w:rPr>
        <w:t xml:space="preserve">, Carin L, Dzau V, Wong TY. Digital technology and COVID-19. </w:t>
      </w:r>
      <w:r w:rsidRPr="00251400">
        <w:rPr>
          <w:rFonts w:ascii="Book Antiqua" w:eastAsia="等线" w:hAnsi="Book Antiqua" w:cs="Times New Roman"/>
          <w:i/>
          <w:kern w:val="2"/>
          <w:sz w:val="24"/>
          <w:szCs w:val="24"/>
          <w:lang w:val="en-US" w:eastAsia="zh-CN"/>
        </w:rPr>
        <w:t>Nat Med</w:t>
      </w:r>
      <w:r w:rsidRPr="00251400">
        <w:rPr>
          <w:rFonts w:ascii="Book Antiqua" w:eastAsia="等线" w:hAnsi="Book Antiqua" w:cs="Times New Roman"/>
          <w:kern w:val="2"/>
          <w:sz w:val="24"/>
          <w:szCs w:val="24"/>
          <w:lang w:val="en-US" w:eastAsia="zh-CN"/>
        </w:rPr>
        <w:t xml:space="preserve"> 2020; </w:t>
      </w:r>
      <w:r w:rsidRPr="00251400">
        <w:rPr>
          <w:rFonts w:ascii="Book Antiqua" w:eastAsia="等线" w:hAnsi="Book Antiqua" w:cs="Times New Roman"/>
          <w:b/>
          <w:kern w:val="2"/>
          <w:sz w:val="24"/>
          <w:szCs w:val="24"/>
          <w:lang w:val="en-US" w:eastAsia="zh-CN"/>
        </w:rPr>
        <w:t>26</w:t>
      </w:r>
      <w:r w:rsidRPr="00251400">
        <w:rPr>
          <w:rFonts w:ascii="Book Antiqua" w:eastAsia="等线" w:hAnsi="Book Antiqua" w:cs="Times New Roman"/>
          <w:kern w:val="2"/>
          <w:sz w:val="24"/>
          <w:szCs w:val="24"/>
          <w:lang w:val="en-US" w:eastAsia="zh-CN"/>
        </w:rPr>
        <w:t>: 459-461 [PMID: 32284618 DOI: 10.1038/s41591-020-0824-5]</w:t>
      </w:r>
    </w:p>
    <w:p w14:paraId="6F1B7753" w14:textId="0FAF8B51"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20 </w:t>
      </w:r>
      <w:r w:rsidRPr="00251400">
        <w:rPr>
          <w:rFonts w:ascii="Book Antiqua" w:eastAsia="等线" w:hAnsi="Book Antiqua" w:cs="Times New Roman"/>
          <w:b/>
          <w:kern w:val="2"/>
          <w:sz w:val="24"/>
          <w:szCs w:val="24"/>
          <w:lang w:val="en-US" w:eastAsia="zh-CN"/>
        </w:rPr>
        <w:t>Serper M</w:t>
      </w:r>
      <w:r w:rsidRPr="00251400">
        <w:rPr>
          <w:rFonts w:ascii="Book Antiqua" w:eastAsia="等线" w:hAnsi="Book Antiqua" w:cs="Times New Roman"/>
          <w:kern w:val="2"/>
          <w:sz w:val="24"/>
          <w:szCs w:val="24"/>
          <w:lang w:val="en-US" w:eastAsia="zh-CN"/>
        </w:rPr>
        <w:t xml:space="preserve">, Cubell AW, Deleener ME, Casher TK, Rosenberg DJ, Whitebloom D, Rosin RM. Telemedicine in Liver Disease and Beyond: Can the COVID-19 Crisis Lead to Action? </w:t>
      </w:r>
      <w:r w:rsidRPr="00251400">
        <w:rPr>
          <w:rFonts w:ascii="Book Antiqua" w:eastAsia="等线" w:hAnsi="Book Antiqua" w:cs="Times New Roman"/>
          <w:i/>
          <w:kern w:val="2"/>
          <w:sz w:val="24"/>
          <w:szCs w:val="24"/>
          <w:lang w:val="en-US" w:eastAsia="zh-CN"/>
        </w:rPr>
        <w:t>Hepatology</w:t>
      </w:r>
      <w:r w:rsidRPr="00251400">
        <w:rPr>
          <w:rFonts w:ascii="Book Antiqua" w:eastAsia="等线" w:hAnsi="Book Antiqua" w:cs="Times New Roman"/>
          <w:kern w:val="2"/>
          <w:sz w:val="24"/>
          <w:szCs w:val="24"/>
          <w:lang w:val="en-US" w:eastAsia="zh-CN"/>
        </w:rPr>
        <w:t xml:space="preserve"> 2020;</w:t>
      </w:r>
      <w:r w:rsidR="00804337" w:rsidRPr="00251400">
        <w:t xml:space="preserve"> </w:t>
      </w:r>
      <w:r w:rsidR="00804337" w:rsidRPr="00251400">
        <w:rPr>
          <w:rFonts w:ascii="Book Antiqua" w:eastAsia="等线" w:hAnsi="Book Antiqua" w:cs="Times New Roman"/>
          <w:kern w:val="2"/>
          <w:sz w:val="24"/>
          <w:szCs w:val="24"/>
          <w:lang w:val="en-US" w:eastAsia="zh-CN"/>
        </w:rPr>
        <w:t>Epub ahead of print</w:t>
      </w:r>
      <w:r w:rsidRPr="00251400">
        <w:rPr>
          <w:rFonts w:ascii="Book Antiqua" w:eastAsia="等线" w:hAnsi="Book Antiqua" w:cs="Times New Roman"/>
          <w:kern w:val="2"/>
          <w:sz w:val="24"/>
          <w:szCs w:val="24"/>
          <w:lang w:val="en-US" w:eastAsia="zh-CN"/>
        </w:rPr>
        <w:t xml:space="preserve"> [PMID: 32275784 DOI: 10.1002/hep.31276]</w:t>
      </w:r>
    </w:p>
    <w:p w14:paraId="0BBD9A2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21 </w:t>
      </w:r>
      <w:r w:rsidRPr="00251400">
        <w:rPr>
          <w:rFonts w:ascii="Book Antiqua" w:eastAsia="等线" w:hAnsi="Book Antiqua" w:cs="Times New Roman"/>
          <w:b/>
          <w:kern w:val="2"/>
          <w:sz w:val="24"/>
          <w:szCs w:val="24"/>
          <w:lang w:val="en-US" w:eastAsia="zh-CN"/>
        </w:rPr>
        <w:t>Garg SK</w:t>
      </w:r>
      <w:r w:rsidRPr="00251400">
        <w:rPr>
          <w:rFonts w:ascii="Book Antiqua" w:eastAsia="等线" w:hAnsi="Book Antiqua" w:cs="Times New Roman"/>
          <w:kern w:val="2"/>
          <w:sz w:val="24"/>
          <w:szCs w:val="24"/>
          <w:lang w:val="en-US" w:eastAsia="zh-CN"/>
        </w:rPr>
        <w:t xml:space="preserve">, Rodbard D, Hirsch IB, Forlenza GP. Managing New-Onset Type 1 Diabetes During the COVID-19 Pandemic: Challenges and Opportunities. </w:t>
      </w:r>
      <w:r w:rsidRPr="00251400">
        <w:rPr>
          <w:rFonts w:ascii="Book Antiqua" w:eastAsia="等线" w:hAnsi="Book Antiqua" w:cs="Times New Roman"/>
          <w:i/>
          <w:kern w:val="2"/>
          <w:sz w:val="24"/>
          <w:szCs w:val="24"/>
          <w:lang w:val="en-US" w:eastAsia="zh-CN"/>
        </w:rPr>
        <w:t>Diabetes Technol Ther</w:t>
      </w:r>
      <w:r w:rsidRPr="00251400">
        <w:rPr>
          <w:rFonts w:ascii="Book Antiqua" w:eastAsia="等线" w:hAnsi="Book Antiqua" w:cs="Times New Roman"/>
          <w:kern w:val="2"/>
          <w:sz w:val="24"/>
          <w:szCs w:val="24"/>
          <w:lang w:val="en-US" w:eastAsia="zh-CN"/>
        </w:rPr>
        <w:t xml:space="preserve"> 2020; </w:t>
      </w:r>
      <w:r w:rsidRPr="00251400">
        <w:rPr>
          <w:rFonts w:ascii="Book Antiqua" w:eastAsia="等线" w:hAnsi="Book Antiqua" w:cs="Times New Roman"/>
          <w:b/>
          <w:kern w:val="2"/>
          <w:sz w:val="24"/>
          <w:szCs w:val="24"/>
          <w:lang w:val="en-US" w:eastAsia="zh-CN"/>
        </w:rPr>
        <w:t>22</w:t>
      </w:r>
      <w:r w:rsidRPr="00251400">
        <w:rPr>
          <w:rFonts w:ascii="Book Antiqua" w:eastAsia="等线" w:hAnsi="Book Antiqua" w:cs="Times New Roman"/>
          <w:kern w:val="2"/>
          <w:sz w:val="24"/>
          <w:szCs w:val="24"/>
          <w:lang w:val="en-US" w:eastAsia="zh-CN"/>
        </w:rPr>
        <w:t>: 431-439 [PMID: 32302499 DOI: 10.1089/dia.2020.0161]</w:t>
      </w:r>
    </w:p>
    <w:p w14:paraId="03CE718E"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22 </w:t>
      </w:r>
      <w:r w:rsidRPr="00251400">
        <w:rPr>
          <w:rFonts w:ascii="Book Antiqua" w:eastAsia="等线" w:hAnsi="Book Antiqua" w:cs="Times New Roman"/>
          <w:b/>
          <w:kern w:val="2"/>
          <w:sz w:val="24"/>
          <w:szCs w:val="24"/>
          <w:lang w:val="en-US" w:eastAsia="zh-CN"/>
        </w:rPr>
        <w:t>Boettler T</w:t>
      </w:r>
      <w:r w:rsidRPr="00251400">
        <w:rPr>
          <w:rFonts w:ascii="Book Antiqua" w:eastAsia="等线" w:hAnsi="Book Antiqua" w:cs="Times New Roman"/>
          <w:kern w:val="2"/>
          <w:sz w:val="24"/>
          <w:szCs w:val="24"/>
          <w:lang w:val="en-US" w:eastAsia="zh-CN"/>
        </w:rPr>
        <w:t xml:space="preserve">, Newsome PN, Mondelli MU, Maticic M, Cordero E, Cornberg M, Berg T. Care of patients with liver disease during the COVID-19 pandemic: EASL-ESCMID position paper. </w:t>
      </w:r>
      <w:r w:rsidRPr="00251400">
        <w:rPr>
          <w:rFonts w:ascii="Book Antiqua" w:eastAsia="等线" w:hAnsi="Book Antiqua" w:cs="Times New Roman"/>
          <w:i/>
          <w:kern w:val="2"/>
          <w:sz w:val="24"/>
          <w:szCs w:val="24"/>
          <w:lang w:val="en-US" w:eastAsia="zh-CN"/>
        </w:rPr>
        <w:t>JHEP Rep</w:t>
      </w:r>
      <w:r w:rsidRPr="00251400">
        <w:rPr>
          <w:rFonts w:ascii="Book Antiqua" w:eastAsia="等线" w:hAnsi="Book Antiqua" w:cs="Times New Roman"/>
          <w:kern w:val="2"/>
          <w:sz w:val="24"/>
          <w:szCs w:val="24"/>
          <w:lang w:val="en-US" w:eastAsia="zh-CN"/>
        </w:rPr>
        <w:t xml:space="preserve"> 2020; </w:t>
      </w:r>
      <w:r w:rsidRPr="00251400">
        <w:rPr>
          <w:rFonts w:ascii="Book Antiqua" w:eastAsia="等线" w:hAnsi="Book Antiqua" w:cs="Times New Roman"/>
          <w:b/>
          <w:kern w:val="2"/>
          <w:sz w:val="24"/>
          <w:szCs w:val="24"/>
          <w:lang w:val="en-US" w:eastAsia="zh-CN"/>
        </w:rPr>
        <w:t>2</w:t>
      </w:r>
      <w:r w:rsidRPr="00251400">
        <w:rPr>
          <w:rFonts w:ascii="Book Antiqua" w:eastAsia="等线" w:hAnsi="Book Antiqua" w:cs="Times New Roman"/>
          <w:kern w:val="2"/>
          <w:sz w:val="24"/>
          <w:szCs w:val="24"/>
          <w:lang w:val="en-US" w:eastAsia="zh-CN"/>
        </w:rPr>
        <w:t>: 100113 [PMID: 32289115 DOI: 10.1016/j.jhepr.2020.100113]</w:t>
      </w:r>
    </w:p>
    <w:p w14:paraId="5E2FF444" w14:textId="60AE2FC7" w:rsidR="00475EA3"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23 </w:t>
      </w:r>
      <w:r w:rsidRPr="00251400">
        <w:rPr>
          <w:rFonts w:ascii="Book Antiqua" w:eastAsia="等线" w:hAnsi="Book Antiqua" w:cs="Times New Roman"/>
          <w:b/>
          <w:kern w:val="2"/>
          <w:sz w:val="24"/>
          <w:szCs w:val="24"/>
          <w:lang w:val="en-US" w:eastAsia="zh-CN"/>
        </w:rPr>
        <w:t>Kwan V,</w:t>
      </w:r>
      <w:r w:rsidRPr="00251400">
        <w:rPr>
          <w:rFonts w:ascii="Book Antiqua" w:eastAsia="等线" w:hAnsi="Book Antiqua" w:cs="Times New Roman"/>
          <w:kern w:val="2"/>
          <w:sz w:val="24"/>
          <w:szCs w:val="24"/>
          <w:lang w:val="en-US" w:eastAsia="zh-CN"/>
        </w:rPr>
        <w:t xml:space="preserve"> Hagen G, Noel M, Dobson K, Yeates K. Healthcare at Your Fingertips: The Professional Ethics of Smartphone Health-Monitoring Applications. </w:t>
      </w:r>
      <w:r w:rsidRPr="00251400">
        <w:rPr>
          <w:rFonts w:ascii="Book Antiqua" w:eastAsia="等线" w:hAnsi="Book Antiqua" w:cs="Times New Roman"/>
          <w:i/>
          <w:iCs/>
          <w:kern w:val="2"/>
          <w:sz w:val="24"/>
          <w:szCs w:val="24"/>
          <w:lang w:val="en-US" w:eastAsia="zh-CN"/>
        </w:rPr>
        <w:t>Ethics &amp; Behavior</w:t>
      </w:r>
      <w:r w:rsidRPr="00251400">
        <w:rPr>
          <w:rFonts w:ascii="Book Antiqua" w:eastAsia="等线" w:hAnsi="Book Antiqua" w:cs="Times New Roman"/>
          <w:kern w:val="2"/>
          <w:sz w:val="24"/>
          <w:szCs w:val="24"/>
          <w:lang w:val="en-US" w:eastAsia="zh-CN"/>
        </w:rPr>
        <w:t xml:space="preserve"> 2017;</w:t>
      </w:r>
      <w:r w:rsidRPr="00251400">
        <w:rPr>
          <w:rFonts w:ascii="Book Antiqua" w:eastAsia="等线" w:hAnsi="Book Antiqua" w:cs="Times New Roman"/>
          <w:b/>
          <w:bCs/>
          <w:kern w:val="2"/>
          <w:sz w:val="24"/>
          <w:szCs w:val="24"/>
          <w:lang w:val="en-US" w:eastAsia="zh-CN"/>
        </w:rPr>
        <w:t xml:space="preserve"> 27</w:t>
      </w:r>
      <w:r w:rsidR="00AA022D" w:rsidRPr="00251400">
        <w:rPr>
          <w:rFonts w:ascii="Book Antiqua" w:eastAsia="等线" w:hAnsi="Book Antiqua" w:cs="Times New Roman"/>
          <w:kern w:val="2"/>
          <w:sz w:val="24"/>
          <w:szCs w:val="24"/>
          <w:lang w:val="en-US" w:eastAsia="zh-CN"/>
        </w:rPr>
        <w:t xml:space="preserve">: 615-631 </w:t>
      </w:r>
      <w:r w:rsidR="00475EA3" w:rsidRPr="00251400">
        <w:rPr>
          <w:rFonts w:ascii="Book Antiqua" w:eastAsia="等线" w:hAnsi="Book Antiqua" w:cs="Times New Roman"/>
          <w:kern w:val="2"/>
          <w:sz w:val="24"/>
          <w:szCs w:val="24"/>
          <w:lang w:val="en-US" w:eastAsia="zh-CN"/>
        </w:rPr>
        <w:t>[DOI: 10.1080/10508422.2017.1285237]</w:t>
      </w:r>
    </w:p>
    <w:p w14:paraId="367807A2" w14:textId="2CF21582"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24 </w:t>
      </w:r>
      <w:r w:rsidRPr="00251400">
        <w:rPr>
          <w:rFonts w:ascii="Book Antiqua" w:eastAsia="等线" w:hAnsi="Book Antiqua" w:cs="Times New Roman"/>
          <w:b/>
          <w:kern w:val="2"/>
          <w:sz w:val="24"/>
          <w:szCs w:val="24"/>
          <w:lang w:val="en-US" w:eastAsia="zh-CN"/>
        </w:rPr>
        <w:t>Agarwal S</w:t>
      </w:r>
      <w:r w:rsidRPr="00251400">
        <w:rPr>
          <w:rFonts w:ascii="Book Antiqua" w:eastAsia="等线" w:hAnsi="Book Antiqua" w:cs="Times New Roman"/>
          <w:kern w:val="2"/>
          <w:sz w:val="24"/>
          <w:szCs w:val="24"/>
          <w:lang w:val="en-US" w:eastAsia="zh-CN"/>
        </w:rPr>
        <w:t xml:space="preserve">, Lefevre AE, Labrique AB. A Call to Digital Health Practitioners: New Guidelines Can Help Improve the Quality of Digital Health Evidence.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5</w:t>
      </w:r>
      <w:r w:rsidRPr="00251400">
        <w:rPr>
          <w:rFonts w:ascii="Book Antiqua" w:eastAsia="等线" w:hAnsi="Book Antiqua" w:cs="Times New Roman"/>
          <w:kern w:val="2"/>
          <w:sz w:val="24"/>
          <w:szCs w:val="24"/>
          <w:lang w:val="en-US" w:eastAsia="zh-CN"/>
        </w:rPr>
        <w:t>: e136 [PMID: 28986340 DOI: 10.2196/mhealth.6640]</w:t>
      </w:r>
    </w:p>
    <w:p w14:paraId="35C9A253"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25 </w:t>
      </w:r>
      <w:r w:rsidRPr="00251400">
        <w:rPr>
          <w:rFonts w:ascii="Book Antiqua" w:eastAsia="等线" w:hAnsi="Book Antiqua" w:cs="Times New Roman"/>
          <w:b/>
          <w:kern w:val="2"/>
          <w:sz w:val="24"/>
          <w:szCs w:val="24"/>
          <w:lang w:val="en-US" w:eastAsia="zh-CN"/>
        </w:rPr>
        <w:t>Eysenbach G</w:t>
      </w:r>
      <w:r w:rsidRPr="00251400">
        <w:rPr>
          <w:rFonts w:ascii="Book Antiqua" w:eastAsia="等线" w:hAnsi="Book Antiqua" w:cs="Times New Roman"/>
          <w:kern w:val="2"/>
          <w:sz w:val="24"/>
          <w:szCs w:val="24"/>
          <w:lang w:val="en-US" w:eastAsia="zh-CN"/>
        </w:rPr>
        <w:t xml:space="preserve">. What is e-health?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2001; </w:t>
      </w:r>
      <w:r w:rsidRPr="00251400">
        <w:rPr>
          <w:rFonts w:ascii="Book Antiqua" w:eastAsia="等线" w:hAnsi="Book Antiqua" w:cs="Times New Roman"/>
          <w:b/>
          <w:kern w:val="2"/>
          <w:sz w:val="24"/>
          <w:szCs w:val="24"/>
          <w:lang w:val="en-US" w:eastAsia="zh-CN"/>
        </w:rPr>
        <w:t>3</w:t>
      </w:r>
      <w:r w:rsidRPr="00251400">
        <w:rPr>
          <w:rFonts w:ascii="Book Antiqua" w:eastAsia="等线" w:hAnsi="Book Antiqua" w:cs="Times New Roman"/>
          <w:kern w:val="2"/>
          <w:sz w:val="24"/>
          <w:szCs w:val="24"/>
          <w:lang w:val="en-US" w:eastAsia="zh-CN"/>
        </w:rPr>
        <w:t>: E20 [PMID: 11720962 DOI: 10.2196/jmir.3.2.e20]</w:t>
      </w:r>
    </w:p>
    <w:p w14:paraId="13652724" w14:textId="63529B5C"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26 </w:t>
      </w:r>
      <w:r w:rsidR="00C13A7B" w:rsidRPr="00251400">
        <w:rPr>
          <w:rFonts w:ascii="Book Antiqua" w:eastAsia="等线" w:hAnsi="Book Antiqua" w:cs="Times New Roman"/>
          <w:b/>
          <w:bCs/>
          <w:kern w:val="2"/>
          <w:sz w:val="24"/>
          <w:szCs w:val="24"/>
          <w:lang w:val="en-US" w:eastAsia="zh-CN"/>
        </w:rPr>
        <w:t>World Health Organization.</w:t>
      </w:r>
      <w:r w:rsidR="00FF09D8" w:rsidRPr="00251400">
        <w:rPr>
          <w:rFonts w:ascii="Book Antiqua" w:eastAsia="等线" w:hAnsi="Book Antiqua" w:cs="Times New Roman"/>
          <w:kern w:val="2"/>
          <w:sz w:val="24"/>
          <w:szCs w:val="24"/>
          <w:lang w:val="en-US" w:eastAsia="zh-CN"/>
        </w:rPr>
        <w:t xml:space="preserve"> </w:t>
      </w:r>
      <w:r w:rsidRPr="00251400">
        <w:rPr>
          <w:rFonts w:ascii="Book Antiqua" w:eastAsia="等线" w:hAnsi="Book Antiqua" w:cs="Times New Roman"/>
          <w:kern w:val="2"/>
          <w:sz w:val="24"/>
          <w:szCs w:val="24"/>
          <w:lang w:val="en-US" w:eastAsia="zh-CN"/>
        </w:rPr>
        <w:t>mHealth: new horizons for health through mobile technologies: second global survey on eHealth. 2011</w:t>
      </w:r>
      <w:r w:rsidR="00FF09D8" w:rsidRPr="00251400">
        <w:t xml:space="preserve"> </w:t>
      </w:r>
      <w:r w:rsidR="00FF09D8" w:rsidRPr="00251400">
        <w:rPr>
          <w:rFonts w:ascii="Book Antiqua" w:hAnsi="Book Antiqua"/>
          <w:sz w:val="24"/>
          <w:szCs w:val="24"/>
        </w:rPr>
        <w:t xml:space="preserve">Available from: </w:t>
      </w:r>
      <w:r w:rsidR="00FF09D8" w:rsidRPr="00251400">
        <w:rPr>
          <w:rFonts w:ascii="Book Antiqua" w:eastAsia="等线" w:hAnsi="Book Antiqua" w:cs="Times New Roman"/>
          <w:kern w:val="2"/>
          <w:sz w:val="24"/>
          <w:szCs w:val="24"/>
          <w:lang w:val="en-US" w:eastAsia="zh-CN"/>
        </w:rPr>
        <w:t>https://apps.who.int/iris/handle/10665/44607</w:t>
      </w:r>
    </w:p>
    <w:p w14:paraId="2A9B5384"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27 </w:t>
      </w:r>
      <w:r w:rsidRPr="00251400">
        <w:rPr>
          <w:rFonts w:ascii="Book Antiqua" w:eastAsia="等线" w:hAnsi="Book Antiqua" w:cs="Times New Roman"/>
          <w:b/>
          <w:kern w:val="2"/>
          <w:sz w:val="24"/>
          <w:szCs w:val="24"/>
          <w:lang w:val="en-US" w:eastAsia="zh-CN"/>
        </w:rPr>
        <w:t>Kramer U</w:t>
      </w:r>
      <w:r w:rsidRPr="00251400">
        <w:rPr>
          <w:rFonts w:ascii="Book Antiqua" w:eastAsia="等线" w:hAnsi="Book Antiqua" w:cs="Times New Roman"/>
          <w:kern w:val="2"/>
          <w:sz w:val="24"/>
          <w:szCs w:val="24"/>
          <w:lang w:val="en-US" w:eastAsia="zh-CN"/>
        </w:rPr>
        <w:t xml:space="preserve">, Borges U, Fischer F, Hoffmann W, Pobiruchin M, Vollmar HC. [DNVF-Memorandum - Health and Medical Apps]. </w:t>
      </w:r>
      <w:r w:rsidRPr="00251400">
        <w:rPr>
          <w:rFonts w:ascii="Book Antiqua" w:eastAsia="等线" w:hAnsi="Book Antiqua" w:cs="Times New Roman"/>
          <w:i/>
          <w:kern w:val="2"/>
          <w:sz w:val="24"/>
          <w:szCs w:val="24"/>
          <w:lang w:val="en-US" w:eastAsia="zh-CN"/>
        </w:rPr>
        <w:t>Gesundheitswesen</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81</w:t>
      </w:r>
      <w:r w:rsidRPr="00251400">
        <w:rPr>
          <w:rFonts w:ascii="Book Antiqua" w:eastAsia="等线" w:hAnsi="Book Antiqua" w:cs="Times New Roman"/>
          <w:kern w:val="2"/>
          <w:sz w:val="24"/>
          <w:szCs w:val="24"/>
          <w:lang w:val="en-US" w:eastAsia="zh-CN"/>
        </w:rPr>
        <w:t>: e154-e170 [PMID: 31574556 DOI: 10.1055/s-0038-1667451]</w:t>
      </w:r>
    </w:p>
    <w:p w14:paraId="23DFB4B7" w14:textId="62BA0BA2" w:rsidR="005A44ED" w:rsidRPr="00251400" w:rsidRDefault="005A44ED" w:rsidP="00B0664E">
      <w:pPr>
        <w:widowControl w:val="0"/>
        <w:adjustRightInd w:val="0"/>
        <w:snapToGrid w:val="0"/>
        <w:spacing w:line="360" w:lineRule="auto"/>
        <w:jc w:val="both"/>
        <w:rPr>
          <w:rFonts w:ascii="Book Antiqua" w:eastAsia="等线" w:hAnsi="Book Antiqua" w:cs="Times New Roman"/>
          <w:color w:val="FF0000"/>
          <w:kern w:val="2"/>
          <w:sz w:val="24"/>
          <w:szCs w:val="24"/>
          <w:lang w:val="en-US" w:eastAsia="zh-CN"/>
        </w:rPr>
      </w:pPr>
      <w:r w:rsidRPr="00251400">
        <w:rPr>
          <w:rFonts w:ascii="Book Antiqua" w:eastAsia="等线" w:hAnsi="Book Antiqua" w:cs="Times New Roman"/>
          <w:kern w:val="2"/>
          <w:sz w:val="24"/>
          <w:szCs w:val="24"/>
          <w:lang w:val="en-US" w:eastAsia="zh-CN"/>
        </w:rPr>
        <w:t>28</w:t>
      </w:r>
      <w:r w:rsidRPr="00251400">
        <w:rPr>
          <w:rFonts w:ascii="Book Antiqua" w:eastAsia="等线" w:hAnsi="Book Antiqua" w:cs="Times New Roman"/>
          <w:b/>
          <w:bCs/>
          <w:kern w:val="2"/>
          <w:sz w:val="24"/>
          <w:szCs w:val="24"/>
          <w:lang w:val="en-US" w:eastAsia="zh-CN"/>
        </w:rPr>
        <w:t xml:space="preserve"> Research</w:t>
      </w:r>
      <w:r w:rsidR="00C13A7B" w:rsidRPr="00251400">
        <w:rPr>
          <w:rFonts w:ascii="Book Antiqua" w:eastAsia="等线" w:hAnsi="Book Antiqua" w:cs="Times New Roman"/>
          <w:b/>
          <w:bCs/>
          <w:kern w:val="2"/>
          <w:sz w:val="24"/>
          <w:szCs w:val="24"/>
          <w:lang w:val="en-US" w:eastAsia="zh-CN"/>
        </w:rPr>
        <w:t xml:space="preserve"> </w:t>
      </w:r>
      <w:r w:rsidRPr="00251400">
        <w:rPr>
          <w:rFonts w:ascii="Book Antiqua" w:eastAsia="等线" w:hAnsi="Book Antiqua" w:cs="Times New Roman"/>
          <w:b/>
          <w:bCs/>
          <w:kern w:val="2"/>
          <w:sz w:val="24"/>
          <w:szCs w:val="24"/>
          <w:lang w:val="en-US" w:eastAsia="zh-CN"/>
        </w:rPr>
        <w:t>2</w:t>
      </w:r>
      <w:r w:rsidR="00C13A7B" w:rsidRPr="00251400">
        <w:rPr>
          <w:rFonts w:ascii="Book Antiqua" w:eastAsia="等线" w:hAnsi="Book Antiqua" w:cs="Times New Roman"/>
          <w:b/>
          <w:bCs/>
          <w:kern w:val="2"/>
          <w:sz w:val="24"/>
          <w:szCs w:val="24"/>
          <w:lang w:val="en-US" w:eastAsia="zh-CN"/>
        </w:rPr>
        <w:t xml:space="preserve"> </w:t>
      </w:r>
      <w:r w:rsidRPr="00251400">
        <w:rPr>
          <w:rFonts w:ascii="Book Antiqua" w:eastAsia="等线" w:hAnsi="Book Antiqua" w:cs="Times New Roman"/>
          <w:b/>
          <w:bCs/>
          <w:kern w:val="2"/>
          <w:sz w:val="24"/>
          <w:szCs w:val="24"/>
          <w:lang w:val="en-US" w:eastAsia="zh-CN"/>
        </w:rPr>
        <w:t>Guidance.</w:t>
      </w:r>
      <w:r w:rsidRPr="00251400">
        <w:rPr>
          <w:rFonts w:ascii="Book Antiqua" w:eastAsia="等线" w:hAnsi="Book Antiqua" w:cs="Times New Roman"/>
          <w:kern w:val="2"/>
          <w:sz w:val="24"/>
          <w:szCs w:val="24"/>
          <w:lang w:val="en-US" w:eastAsia="zh-CN"/>
        </w:rPr>
        <w:t xml:space="preserve"> mHealth Economics 2017 – Current Status and Future Trends in Mobile Health. [accessed 2020 Feb 20]. Available from: https://research2guidance.com/product/mhealth-economics-2017-current-status-</w:t>
      </w:r>
      <w:r w:rsidRPr="00251400">
        <w:rPr>
          <w:rFonts w:ascii="Book Antiqua" w:eastAsia="等线" w:hAnsi="Book Antiqua" w:cs="Times New Roman"/>
          <w:kern w:val="2"/>
          <w:sz w:val="24"/>
          <w:szCs w:val="24"/>
          <w:lang w:val="en-US" w:eastAsia="zh-CN"/>
        </w:rPr>
        <w:lastRenderedPageBreak/>
        <w:t>and-future-trends-in-mobile-health/</w:t>
      </w:r>
    </w:p>
    <w:p w14:paraId="58248813" w14:textId="21138709"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29 </w:t>
      </w:r>
      <w:r w:rsidRPr="00251400">
        <w:rPr>
          <w:rFonts w:ascii="Book Antiqua" w:eastAsia="等线" w:hAnsi="Book Antiqua" w:cs="Times New Roman"/>
          <w:b/>
          <w:kern w:val="2"/>
          <w:sz w:val="24"/>
          <w:szCs w:val="24"/>
          <w:lang w:val="en-US" w:eastAsia="zh-CN"/>
        </w:rPr>
        <w:t>Magrabi F</w:t>
      </w:r>
      <w:r w:rsidRPr="00251400">
        <w:rPr>
          <w:rFonts w:ascii="Book Antiqua" w:eastAsia="等线" w:hAnsi="Book Antiqua" w:cs="Times New Roman"/>
          <w:kern w:val="2"/>
          <w:sz w:val="24"/>
          <w:szCs w:val="24"/>
          <w:lang w:val="en-US" w:eastAsia="zh-CN"/>
        </w:rPr>
        <w:t xml:space="preserve">, Habli I, Sujan M, Wong D, Thimbleby H, Baker M, Coiera E. Why is it so difficult to govern mobile apps in healthcare? </w:t>
      </w:r>
      <w:r w:rsidRPr="00251400">
        <w:rPr>
          <w:rFonts w:ascii="Book Antiqua" w:eastAsia="等线" w:hAnsi="Book Antiqua" w:cs="Times New Roman"/>
          <w:i/>
          <w:kern w:val="2"/>
          <w:sz w:val="24"/>
          <w:szCs w:val="24"/>
          <w:lang w:val="en-US" w:eastAsia="zh-CN"/>
        </w:rPr>
        <w:t>BMJ Health Care Inform</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26</w:t>
      </w:r>
      <w:r w:rsidRPr="00251400">
        <w:rPr>
          <w:rFonts w:ascii="Book Antiqua" w:eastAsia="等线" w:hAnsi="Book Antiqua" w:cs="Times New Roman"/>
          <w:kern w:val="2"/>
          <w:sz w:val="24"/>
          <w:szCs w:val="24"/>
          <w:lang w:val="en-US" w:eastAsia="zh-CN"/>
        </w:rPr>
        <w:t xml:space="preserve">: </w:t>
      </w:r>
      <w:r w:rsidR="00FF09D8" w:rsidRPr="00251400">
        <w:rPr>
          <w:rFonts w:ascii="Book Antiqua" w:eastAsia="等线" w:hAnsi="Book Antiqua" w:cs="Times New Roman"/>
          <w:kern w:val="2"/>
          <w:sz w:val="24"/>
          <w:szCs w:val="24"/>
          <w:lang w:val="en-US" w:eastAsia="zh-CN"/>
        </w:rPr>
        <w:t xml:space="preserve">e100006 </w:t>
      </w:r>
      <w:r w:rsidRPr="00251400">
        <w:rPr>
          <w:rFonts w:ascii="Book Antiqua" w:eastAsia="等线" w:hAnsi="Book Antiqua" w:cs="Times New Roman"/>
          <w:kern w:val="2"/>
          <w:sz w:val="24"/>
          <w:szCs w:val="24"/>
          <w:lang w:val="en-US" w:eastAsia="zh-CN"/>
        </w:rPr>
        <w:t>[PMID: 31744843 DOI: 10.1136/bmjhci-2019-100006]</w:t>
      </w:r>
    </w:p>
    <w:p w14:paraId="0C853891"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30 </w:t>
      </w:r>
      <w:r w:rsidRPr="00251400">
        <w:rPr>
          <w:rFonts w:ascii="Book Antiqua" w:eastAsia="等线" w:hAnsi="Book Antiqua" w:cs="Times New Roman"/>
          <w:b/>
          <w:kern w:val="2"/>
          <w:sz w:val="24"/>
          <w:szCs w:val="24"/>
          <w:lang w:val="en-US" w:eastAsia="zh-CN"/>
        </w:rPr>
        <w:t>Alami H</w:t>
      </w:r>
      <w:r w:rsidRPr="00251400">
        <w:rPr>
          <w:rFonts w:ascii="Book Antiqua" w:eastAsia="等线" w:hAnsi="Book Antiqua" w:cs="Times New Roman"/>
          <w:kern w:val="2"/>
          <w:sz w:val="24"/>
          <w:szCs w:val="24"/>
          <w:lang w:val="en-US" w:eastAsia="zh-CN"/>
        </w:rPr>
        <w:t xml:space="preserve">, Gagnon MP, Fortin JP. Digital health and the challenge of health systems transformation. </w:t>
      </w:r>
      <w:r w:rsidRPr="00251400">
        <w:rPr>
          <w:rFonts w:ascii="Book Antiqua" w:eastAsia="等线" w:hAnsi="Book Antiqua" w:cs="Times New Roman"/>
          <w:i/>
          <w:kern w:val="2"/>
          <w:sz w:val="24"/>
          <w:szCs w:val="24"/>
          <w:lang w:val="en-US" w:eastAsia="zh-CN"/>
        </w:rPr>
        <w:t>Mhealth</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3</w:t>
      </w:r>
      <w:r w:rsidRPr="00251400">
        <w:rPr>
          <w:rFonts w:ascii="Book Antiqua" w:eastAsia="等线" w:hAnsi="Book Antiqua" w:cs="Times New Roman"/>
          <w:kern w:val="2"/>
          <w:sz w:val="24"/>
          <w:szCs w:val="24"/>
          <w:lang w:val="en-US" w:eastAsia="zh-CN"/>
        </w:rPr>
        <w:t>: 31 [PMID: 28894741 DOI: 10.21037/mhealth.2017.07.02]</w:t>
      </w:r>
    </w:p>
    <w:p w14:paraId="6DD7C939"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31 </w:t>
      </w:r>
      <w:r w:rsidRPr="00251400">
        <w:rPr>
          <w:rFonts w:ascii="Book Antiqua" w:eastAsia="等线" w:hAnsi="Book Antiqua" w:cs="Times New Roman"/>
          <w:b/>
          <w:kern w:val="2"/>
          <w:sz w:val="24"/>
          <w:szCs w:val="24"/>
          <w:lang w:val="en-US" w:eastAsia="zh-CN"/>
        </w:rPr>
        <w:t>Lorenzo-Zúñiga V</w:t>
      </w:r>
      <w:r w:rsidRPr="00251400">
        <w:rPr>
          <w:rFonts w:ascii="Book Antiqua" w:eastAsia="等线" w:hAnsi="Book Antiqua" w:cs="Times New Roman"/>
          <w:kern w:val="2"/>
          <w:sz w:val="24"/>
          <w:szCs w:val="24"/>
          <w:lang w:val="en-US" w:eastAsia="zh-CN"/>
        </w:rPr>
        <w:t xml:space="preserve">, Moreno de Vega V, Marín I, Barberá M, Boix J. Improving the quality of colonoscopy bowel preparation using a smart phone application: a randomized trial. </w:t>
      </w:r>
      <w:r w:rsidRPr="00251400">
        <w:rPr>
          <w:rFonts w:ascii="Book Antiqua" w:eastAsia="等线" w:hAnsi="Book Antiqua" w:cs="Times New Roman"/>
          <w:i/>
          <w:kern w:val="2"/>
          <w:sz w:val="24"/>
          <w:szCs w:val="24"/>
          <w:lang w:val="en-US" w:eastAsia="zh-CN"/>
        </w:rPr>
        <w:t>Dig Endosc</w:t>
      </w:r>
      <w:r w:rsidRPr="00251400">
        <w:rPr>
          <w:rFonts w:ascii="Book Antiqua" w:eastAsia="等线" w:hAnsi="Book Antiqua" w:cs="Times New Roman"/>
          <w:kern w:val="2"/>
          <w:sz w:val="24"/>
          <w:szCs w:val="24"/>
          <w:lang w:val="en-US" w:eastAsia="zh-CN"/>
        </w:rPr>
        <w:t xml:space="preserve"> 2015; </w:t>
      </w:r>
      <w:r w:rsidRPr="00251400">
        <w:rPr>
          <w:rFonts w:ascii="Book Antiqua" w:eastAsia="等线" w:hAnsi="Book Antiqua" w:cs="Times New Roman"/>
          <w:b/>
          <w:kern w:val="2"/>
          <w:sz w:val="24"/>
          <w:szCs w:val="24"/>
          <w:lang w:val="en-US" w:eastAsia="zh-CN"/>
        </w:rPr>
        <w:t>27</w:t>
      </w:r>
      <w:r w:rsidRPr="00251400">
        <w:rPr>
          <w:rFonts w:ascii="Book Antiqua" w:eastAsia="等线" w:hAnsi="Book Antiqua" w:cs="Times New Roman"/>
          <w:kern w:val="2"/>
          <w:sz w:val="24"/>
          <w:szCs w:val="24"/>
          <w:lang w:val="en-US" w:eastAsia="zh-CN"/>
        </w:rPr>
        <w:t>: 590-595 [PMID: 25708251 DOI: 10.1111/den.12467]</w:t>
      </w:r>
    </w:p>
    <w:p w14:paraId="0A4F728B"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32 </w:t>
      </w:r>
      <w:r w:rsidRPr="00251400">
        <w:rPr>
          <w:rFonts w:ascii="Book Antiqua" w:eastAsia="等线" w:hAnsi="Book Antiqua" w:cs="Times New Roman"/>
          <w:b/>
          <w:kern w:val="2"/>
          <w:sz w:val="24"/>
          <w:szCs w:val="24"/>
          <w:lang w:val="en-US" w:eastAsia="zh-CN"/>
        </w:rPr>
        <w:t>Johnson DA</w:t>
      </w:r>
      <w:r w:rsidRPr="00251400">
        <w:rPr>
          <w:rFonts w:ascii="Book Antiqua" w:eastAsia="等线" w:hAnsi="Book Antiqua" w:cs="Times New Roman"/>
          <w:kern w:val="2"/>
          <w:sz w:val="24"/>
          <w:szCs w:val="24"/>
          <w:lang w:val="en-US" w:eastAsia="zh-CN"/>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sidRPr="00251400">
        <w:rPr>
          <w:rFonts w:ascii="Book Antiqua" w:eastAsia="等线" w:hAnsi="Book Antiqua" w:cs="Times New Roman"/>
          <w:i/>
          <w:kern w:val="2"/>
          <w:sz w:val="24"/>
          <w:szCs w:val="24"/>
          <w:lang w:val="en-US" w:eastAsia="zh-CN"/>
        </w:rPr>
        <w:t>Gastroenterology</w:t>
      </w:r>
      <w:r w:rsidRPr="00251400">
        <w:rPr>
          <w:rFonts w:ascii="Book Antiqua" w:eastAsia="等线" w:hAnsi="Book Antiqua" w:cs="Times New Roman"/>
          <w:kern w:val="2"/>
          <w:sz w:val="24"/>
          <w:szCs w:val="24"/>
          <w:lang w:val="en-US" w:eastAsia="zh-CN"/>
        </w:rPr>
        <w:t xml:space="preserve"> 2014; </w:t>
      </w:r>
      <w:r w:rsidRPr="00251400">
        <w:rPr>
          <w:rFonts w:ascii="Book Antiqua" w:eastAsia="等线" w:hAnsi="Book Antiqua" w:cs="Times New Roman"/>
          <w:b/>
          <w:kern w:val="2"/>
          <w:sz w:val="24"/>
          <w:szCs w:val="24"/>
          <w:lang w:val="en-US" w:eastAsia="zh-CN"/>
        </w:rPr>
        <w:t>147</w:t>
      </w:r>
      <w:r w:rsidRPr="00251400">
        <w:rPr>
          <w:rFonts w:ascii="Book Antiqua" w:eastAsia="等线" w:hAnsi="Book Antiqua" w:cs="Times New Roman"/>
          <w:kern w:val="2"/>
          <w:sz w:val="24"/>
          <w:szCs w:val="24"/>
          <w:lang w:val="en-US" w:eastAsia="zh-CN"/>
        </w:rPr>
        <w:t>: 903-924 [PMID: 25239068 DOI: 10.1053/j.gastro.2014.07.002]</w:t>
      </w:r>
    </w:p>
    <w:p w14:paraId="24E9E217"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33 </w:t>
      </w:r>
      <w:r w:rsidRPr="00251400">
        <w:rPr>
          <w:rFonts w:ascii="Book Antiqua" w:eastAsia="等线" w:hAnsi="Book Antiqua" w:cs="Times New Roman"/>
          <w:b/>
          <w:kern w:val="2"/>
          <w:sz w:val="24"/>
          <w:szCs w:val="24"/>
          <w:lang w:val="en-US" w:eastAsia="zh-CN"/>
        </w:rPr>
        <w:t>Liu Z</w:t>
      </w:r>
      <w:r w:rsidRPr="00251400">
        <w:rPr>
          <w:rFonts w:ascii="Book Antiqua" w:eastAsia="等线" w:hAnsi="Book Antiqua" w:cs="Times New Roman"/>
          <w:kern w:val="2"/>
          <w:sz w:val="24"/>
          <w:szCs w:val="24"/>
          <w:lang w:val="en-US" w:eastAsia="zh-CN"/>
        </w:rPr>
        <w:t xml:space="preserve">, Zhang MM, Li YY, Li LX, Li YQ. Enhanced education for bowel preparation before colonoscopy: A state-of-the-art review. </w:t>
      </w:r>
      <w:r w:rsidRPr="00251400">
        <w:rPr>
          <w:rFonts w:ascii="Book Antiqua" w:eastAsia="等线" w:hAnsi="Book Antiqua" w:cs="Times New Roman"/>
          <w:i/>
          <w:kern w:val="2"/>
          <w:sz w:val="24"/>
          <w:szCs w:val="24"/>
          <w:lang w:val="en-US" w:eastAsia="zh-CN"/>
        </w:rPr>
        <w:t>J Dig Dis</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18</w:t>
      </w:r>
      <w:r w:rsidRPr="00251400">
        <w:rPr>
          <w:rFonts w:ascii="Book Antiqua" w:eastAsia="等线" w:hAnsi="Book Antiqua" w:cs="Times New Roman"/>
          <w:kern w:val="2"/>
          <w:sz w:val="24"/>
          <w:szCs w:val="24"/>
          <w:lang w:val="en-US" w:eastAsia="zh-CN"/>
        </w:rPr>
        <w:t>: 84-91 [PMID: 28067463 DOI: 10.1111/1751-2980.12446]</w:t>
      </w:r>
    </w:p>
    <w:p w14:paraId="3B934A8C"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34 </w:t>
      </w:r>
      <w:r w:rsidRPr="00251400">
        <w:rPr>
          <w:rFonts w:ascii="Book Antiqua" w:eastAsia="等线" w:hAnsi="Book Antiqua" w:cs="Times New Roman"/>
          <w:b/>
          <w:kern w:val="2"/>
          <w:sz w:val="24"/>
          <w:szCs w:val="24"/>
          <w:lang w:val="en-US" w:eastAsia="zh-CN"/>
        </w:rPr>
        <w:t>Kurlander JE</w:t>
      </w:r>
      <w:r w:rsidRPr="00251400">
        <w:rPr>
          <w:rFonts w:ascii="Book Antiqua" w:eastAsia="等线" w:hAnsi="Book Antiqua" w:cs="Times New Roman"/>
          <w:kern w:val="2"/>
          <w:sz w:val="24"/>
          <w:szCs w:val="24"/>
          <w:lang w:val="en-US" w:eastAsia="zh-CN"/>
        </w:rPr>
        <w:t xml:space="preserve">, Sondhi AR, Waljee AK, Menees SB, Connell CM, Schoenfeld PS, Saini SD. How Efficacious Are Patient Education Interventions to Improve Bowel Preparation for Colonoscopy? A Systematic Review. </w:t>
      </w:r>
      <w:r w:rsidRPr="00251400">
        <w:rPr>
          <w:rFonts w:ascii="Book Antiqua" w:eastAsia="等线" w:hAnsi="Book Antiqua" w:cs="Times New Roman"/>
          <w:i/>
          <w:kern w:val="2"/>
          <w:sz w:val="24"/>
          <w:szCs w:val="24"/>
          <w:lang w:val="en-US" w:eastAsia="zh-CN"/>
        </w:rPr>
        <w:t>PLoS One</w:t>
      </w:r>
      <w:r w:rsidRPr="00251400">
        <w:rPr>
          <w:rFonts w:ascii="Book Antiqua" w:eastAsia="等线" w:hAnsi="Book Antiqua" w:cs="Times New Roman"/>
          <w:kern w:val="2"/>
          <w:sz w:val="24"/>
          <w:szCs w:val="24"/>
          <w:lang w:val="en-US" w:eastAsia="zh-CN"/>
        </w:rPr>
        <w:t xml:space="preserve"> 2016; </w:t>
      </w:r>
      <w:r w:rsidRPr="00251400">
        <w:rPr>
          <w:rFonts w:ascii="Book Antiqua" w:eastAsia="等线" w:hAnsi="Book Antiqua" w:cs="Times New Roman"/>
          <w:b/>
          <w:kern w:val="2"/>
          <w:sz w:val="24"/>
          <w:szCs w:val="24"/>
          <w:lang w:val="en-US" w:eastAsia="zh-CN"/>
        </w:rPr>
        <w:t>11</w:t>
      </w:r>
      <w:r w:rsidRPr="00251400">
        <w:rPr>
          <w:rFonts w:ascii="Book Antiqua" w:eastAsia="等线" w:hAnsi="Book Antiqua" w:cs="Times New Roman"/>
          <w:kern w:val="2"/>
          <w:sz w:val="24"/>
          <w:szCs w:val="24"/>
          <w:lang w:val="en-US" w:eastAsia="zh-CN"/>
        </w:rPr>
        <w:t>: e0164442 [PMID: 27741260 DOI: 10.1371/journal.pone.0164442]</w:t>
      </w:r>
    </w:p>
    <w:p w14:paraId="1C9FAD8F"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35 </w:t>
      </w:r>
      <w:r w:rsidRPr="00251400">
        <w:rPr>
          <w:rFonts w:ascii="Book Antiqua" w:eastAsia="等线" w:hAnsi="Book Antiqua" w:cs="Times New Roman"/>
          <w:b/>
          <w:kern w:val="2"/>
          <w:sz w:val="24"/>
          <w:szCs w:val="24"/>
          <w:lang w:val="en-US" w:eastAsia="zh-CN"/>
        </w:rPr>
        <w:t>Guo X</w:t>
      </w:r>
      <w:r w:rsidRPr="00251400">
        <w:rPr>
          <w:rFonts w:ascii="Book Antiqua" w:eastAsia="等线" w:hAnsi="Book Antiqua" w:cs="Times New Roman"/>
          <w:kern w:val="2"/>
          <w:sz w:val="24"/>
          <w:szCs w:val="24"/>
          <w:lang w:val="en-US" w:eastAsia="zh-CN"/>
        </w:rPr>
        <w:t xml:space="preserve">, Yang Z, Zhao L, Leung F, Luo H, Kang X, Li X, Jia H, Yang S, Tao Q, Pan Y, Guo X. Enhanced instructions improve the quality of bowel preparation for colonoscopy: a meta-analysis of randomized controlled trials. </w:t>
      </w:r>
      <w:r w:rsidRPr="00251400">
        <w:rPr>
          <w:rFonts w:ascii="Book Antiqua" w:eastAsia="等线" w:hAnsi="Book Antiqua" w:cs="Times New Roman"/>
          <w:i/>
          <w:kern w:val="2"/>
          <w:sz w:val="24"/>
          <w:szCs w:val="24"/>
          <w:lang w:val="en-US" w:eastAsia="zh-CN"/>
        </w:rPr>
        <w:t>Gastrointest Endosc</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85</w:t>
      </w:r>
      <w:r w:rsidRPr="00251400">
        <w:rPr>
          <w:rFonts w:ascii="Book Antiqua" w:eastAsia="等线" w:hAnsi="Book Antiqua" w:cs="Times New Roman"/>
          <w:kern w:val="2"/>
          <w:sz w:val="24"/>
          <w:szCs w:val="24"/>
          <w:lang w:val="en-US" w:eastAsia="zh-CN"/>
        </w:rPr>
        <w:t>: 90-97.e6 [PMID: 27189659 DOI: 10.1016/j.gie.2016.05.012]</w:t>
      </w:r>
    </w:p>
    <w:p w14:paraId="34D2127A"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36 </w:t>
      </w:r>
      <w:r w:rsidRPr="00251400">
        <w:rPr>
          <w:rFonts w:ascii="Book Antiqua" w:eastAsia="等线" w:hAnsi="Book Antiqua" w:cs="Times New Roman"/>
          <w:b/>
          <w:kern w:val="2"/>
          <w:sz w:val="24"/>
          <w:szCs w:val="24"/>
          <w:lang w:val="en-US" w:eastAsia="zh-CN"/>
        </w:rPr>
        <w:t>Desai M</w:t>
      </w:r>
      <w:r w:rsidRPr="00251400">
        <w:rPr>
          <w:rFonts w:ascii="Book Antiqua" w:eastAsia="等线" w:hAnsi="Book Antiqua" w:cs="Times New Roman"/>
          <w:kern w:val="2"/>
          <w:sz w:val="24"/>
          <w:szCs w:val="24"/>
          <w:lang w:val="en-US" w:eastAsia="zh-CN"/>
        </w:rPr>
        <w:t xml:space="preserve">, Nutalapati V, Bansal A, Buckles D, Bonino J, Olyaee M, Rastogi A. Use of smartphone applications to improve quality of bowel preparation for colonoscopy: a systematic review and meta-analysis. </w:t>
      </w:r>
      <w:r w:rsidRPr="00251400">
        <w:rPr>
          <w:rFonts w:ascii="Book Antiqua" w:eastAsia="等线" w:hAnsi="Book Antiqua" w:cs="Times New Roman"/>
          <w:i/>
          <w:kern w:val="2"/>
          <w:sz w:val="24"/>
          <w:szCs w:val="24"/>
          <w:lang w:val="en-US" w:eastAsia="zh-CN"/>
        </w:rPr>
        <w:t>Endosc Int Open</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7</w:t>
      </w:r>
      <w:r w:rsidRPr="00251400">
        <w:rPr>
          <w:rFonts w:ascii="Book Antiqua" w:eastAsia="等线" w:hAnsi="Book Antiqua" w:cs="Times New Roman"/>
          <w:kern w:val="2"/>
          <w:sz w:val="24"/>
          <w:szCs w:val="24"/>
          <w:lang w:val="en-US" w:eastAsia="zh-CN"/>
        </w:rPr>
        <w:t>: E216-E224 [PMID: 30705956 DOI: 10.1055/a-0796-6423]</w:t>
      </w:r>
    </w:p>
    <w:p w14:paraId="7A1BAFC1"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lastRenderedPageBreak/>
        <w:t xml:space="preserve">37 </w:t>
      </w:r>
      <w:r w:rsidRPr="00251400">
        <w:rPr>
          <w:rFonts w:ascii="Book Antiqua" w:eastAsia="等线" w:hAnsi="Book Antiqua" w:cs="Times New Roman"/>
          <w:b/>
          <w:kern w:val="2"/>
          <w:sz w:val="24"/>
          <w:szCs w:val="24"/>
          <w:lang w:val="en-US" w:eastAsia="zh-CN"/>
        </w:rPr>
        <w:t>Harewood GC</w:t>
      </w:r>
      <w:r w:rsidRPr="00251400">
        <w:rPr>
          <w:rFonts w:ascii="Book Antiqua" w:eastAsia="等线" w:hAnsi="Book Antiqua" w:cs="Times New Roman"/>
          <w:kern w:val="2"/>
          <w:sz w:val="24"/>
          <w:szCs w:val="24"/>
          <w:lang w:val="en-US" w:eastAsia="zh-CN"/>
        </w:rPr>
        <w:t xml:space="preserve">, Sharma VK, de Garmo P. Impact of colonoscopy preparation quality on detection of suspected colonic neoplasia. </w:t>
      </w:r>
      <w:r w:rsidRPr="00251400">
        <w:rPr>
          <w:rFonts w:ascii="Book Antiqua" w:eastAsia="等线" w:hAnsi="Book Antiqua" w:cs="Times New Roman"/>
          <w:i/>
          <w:kern w:val="2"/>
          <w:sz w:val="24"/>
          <w:szCs w:val="24"/>
          <w:lang w:val="en-US" w:eastAsia="zh-CN"/>
        </w:rPr>
        <w:t>Gastrointest Endosc</w:t>
      </w:r>
      <w:r w:rsidRPr="00251400">
        <w:rPr>
          <w:rFonts w:ascii="Book Antiqua" w:eastAsia="等线" w:hAnsi="Book Antiqua" w:cs="Times New Roman"/>
          <w:kern w:val="2"/>
          <w:sz w:val="24"/>
          <w:szCs w:val="24"/>
          <w:lang w:val="en-US" w:eastAsia="zh-CN"/>
        </w:rPr>
        <w:t xml:space="preserve"> 2003; </w:t>
      </w:r>
      <w:r w:rsidRPr="00251400">
        <w:rPr>
          <w:rFonts w:ascii="Book Antiqua" w:eastAsia="等线" w:hAnsi="Book Antiqua" w:cs="Times New Roman"/>
          <w:b/>
          <w:kern w:val="2"/>
          <w:sz w:val="24"/>
          <w:szCs w:val="24"/>
          <w:lang w:val="en-US" w:eastAsia="zh-CN"/>
        </w:rPr>
        <w:t>58</w:t>
      </w:r>
      <w:r w:rsidRPr="00251400">
        <w:rPr>
          <w:rFonts w:ascii="Book Antiqua" w:eastAsia="等线" w:hAnsi="Book Antiqua" w:cs="Times New Roman"/>
          <w:kern w:val="2"/>
          <w:sz w:val="24"/>
          <w:szCs w:val="24"/>
          <w:lang w:val="en-US" w:eastAsia="zh-CN"/>
        </w:rPr>
        <w:t>: 76-79 [PMID: 12838225 DOI: 10.1067/mge.2003.294]</w:t>
      </w:r>
    </w:p>
    <w:p w14:paraId="13326C5D"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38 </w:t>
      </w:r>
      <w:r w:rsidRPr="00251400">
        <w:rPr>
          <w:rFonts w:ascii="Book Antiqua" w:eastAsia="等线" w:hAnsi="Book Antiqua" w:cs="Times New Roman"/>
          <w:b/>
          <w:kern w:val="2"/>
          <w:sz w:val="24"/>
          <w:szCs w:val="24"/>
          <w:lang w:val="en-US" w:eastAsia="zh-CN"/>
        </w:rPr>
        <w:t>Mazzotti A</w:t>
      </w:r>
      <w:r w:rsidRPr="00251400">
        <w:rPr>
          <w:rFonts w:ascii="Book Antiqua" w:eastAsia="等线" w:hAnsi="Book Antiqua" w:cs="Times New Roman"/>
          <w:kern w:val="2"/>
          <w:sz w:val="24"/>
          <w:szCs w:val="24"/>
          <w:lang w:val="en-US" w:eastAsia="zh-CN"/>
        </w:rPr>
        <w:t xml:space="preserve">, Caletti MT, Brodosi L, Di Domizio S, Forchielli ML, Petta S, Bugianesi E, Bianchi G, Marchesini G. An internet-based approach for lifestyle changes in patients with NAFLD: Two-year effects on weight loss and surrogate markers. </w:t>
      </w:r>
      <w:r w:rsidRPr="00251400">
        <w:rPr>
          <w:rFonts w:ascii="Book Antiqua" w:eastAsia="等线" w:hAnsi="Book Antiqua" w:cs="Times New Roman"/>
          <w:i/>
          <w:kern w:val="2"/>
          <w:sz w:val="24"/>
          <w:szCs w:val="24"/>
          <w:lang w:val="en-US" w:eastAsia="zh-CN"/>
        </w:rPr>
        <w:t>J Hepatol</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69</w:t>
      </w:r>
      <w:r w:rsidRPr="00251400">
        <w:rPr>
          <w:rFonts w:ascii="Book Antiqua" w:eastAsia="等线" w:hAnsi="Book Antiqua" w:cs="Times New Roman"/>
          <w:kern w:val="2"/>
          <w:sz w:val="24"/>
          <w:szCs w:val="24"/>
          <w:lang w:val="en-US" w:eastAsia="zh-CN"/>
        </w:rPr>
        <w:t>: 1155-1163 [PMID: 30290973 DOI: 10.1016/j.jhep.2018.07.013]</w:t>
      </w:r>
    </w:p>
    <w:p w14:paraId="1073D8F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39 </w:t>
      </w:r>
      <w:r w:rsidRPr="00251400">
        <w:rPr>
          <w:rFonts w:ascii="Book Antiqua" w:eastAsia="等线" w:hAnsi="Book Antiqua" w:cs="Times New Roman"/>
          <w:b/>
          <w:kern w:val="2"/>
          <w:sz w:val="24"/>
          <w:szCs w:val="24"/>
          <w:lang w:val="en-US" w:eastAsia="zh-CN"/>
        </w:rPr>
        <w:t>Kelso M</w:t>
      </w:r>
      <w:r w:rsidRPr="00251400">
        <w:rPr>
          <w:rFonts w:ascii="Book Antiqua" w:eastAsia="等线" w:hAnsi="Book Antiqua" w:cs="Times New Roman"/>
          <w:kern w:val="2"/>
          <w:sz w:val="24"/>
          <w:szCs w:val="24"/>
          <w:lang w:val="en-US" w:eastAsia="zh-CN"/>
        </w:rPr>
        <w:t xml:space="preserve">, Feagins LA. Can Smartphones Help Deliver Smarter Care for Patients With Inflammatory Bowel Disease? </w:t>
      </w:r>
      <w:r w:rsidRPr="00251400">
        <w:rPr>
          <w:rFonts w:ascii="Book Antiqua" w:eastAsia="等线" w:hAnsi="Book Antiqua" w:cs="Times New Roman"/>
          <w:i/>
          <w:kern w:val="2"/>
          <w:sz w:val="24"/>
          <w:szCs w:val="24"/>
          <w:lang w:val="en-US" w:eastAsia="zh-CN"/>
        </w:rPr>
        <w:t>Inflamm Bowel Dis</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24</w:t>
      </w:r>
      <w:r w:rsidRPr="00251400">
        <w:rPr>
          <w:rFonts w:ascii="Book Antiqua" w:eastAsia="等线" w:hAnsi="Book Antiqua" w:cs="Times New Roman"/>
          <w:kern w:val="2"/>
          <w:sz w:val="24"/>
          <w:szCs w:val="24"/>
          <w:lang w:val="en-US" w:eastAsia="zh-CN"/>
        </w:rPr>
        <w:t>: 1453-1459 [PMID: 29868764 DOI: 10.1093/ibd/izy162]</w:t>
      </w:r>
    </w:p>
    <w:p w14:paraId="475769E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40 </w:t>
      </w:r>
      <w:r w:rsidRPr="00251400">
        <w:rPr>
          <w:rFonts w:ascii="Book Antiqua" w:eastAsia="等线" w:hAnsi="Book Antiqua" w:cs="Times New Roman"/>
          <w:b/>
          <w:kern w:val="2"/>
          <w:sz w:val="24"/>
          <w:szCs w:val="24"/>
          <w:lang w:val="en-US" w:eastAsia="zh-CN"/>
        </w:rPr>
        <w:t>Con D</w:t>
      </w:r>
      <w:r w:rsidRPr="00251400">
        <w:rPr>
          <w:rFonts w:ascii="Book Antiqua" w:eastAsia="等线" w:hAnsi="Book Antiqua" w:cs="Times New Roman"/>
          <w:kern w:val="2"/>
          <w:sz w:val="24"/>
          <w:szCs w:val="24"/>
          <w:lang w:val="en-US" w:eastAsia="zh-CN"/>
        </w:rPr>
        <w:t xml:space="preserve">, De Cruz P. Mobile Phone Apps for Inflammatory Bowel Disease Self-Management: A Systematic Assessment of Content and Tools.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2016; </w:t>
      </w:r>
      <w:r w:rsidRPr="00251400">
        <w:rPr>
          <w:rFonts w:ascii="Book Antiqua" w:eastAsia="等线" w:hAnsi="Book Antiqua" w:cs="Times New Roman"/>
          <w:b/>
          <w:kern w:val="2"/>
          <w:sz w:val="24"/>
          <w:szCs w:val="24"/>
          <w:lang w:val="en-US" w:eastAsia="zh-CN"/>
        </w:rPr>
        <w:t>4</w:t>
      </w:r>
      <w:r w:rsidRPr="00251400">
        <w:rPr>
          <w:rFonts w:ascii="Book Antiqua" w:eastAsia="等线" w:hAnsi="Book Antiqua" w:cs="Times New Roman"/>
          <w:kern w:val="2"/>
          <w:sz w:val="24"/>
          <w:szCs w:val="24"/>
          <w:lang w:val="en-US" w:eastAsia="zh-CN"/>
        </w:rPr>
        <w:t>: e13 [PMID: 26831935 DOI: 10.2196/mhealth.4874]</w:t>
      </w:r>
    </w:p>
    <w:p w14:paraId="7F8590A9"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41 </w:t>
      </w:r>
      <w:r w:rsidRPr="00251400">
        <w:rPr>
          <w:rFonts w:ascii="Book Antiqua" w:eastAsia="等线" w:hAnsi="Book Antiqua" w:cs="Times New Roman"/>
          <w:b/>
          <w:kern w:val="2"/>
          <w:sz w:val="24"/>
          <w:szCs w:val="24"/>
          <w:lang w:val="en-US" w:eastAsia="zh-CN"/>
        </w:rPr>
        <w:t>Conley S</w:t>
      </w:r>
      <w:r w:rsidRPr="00251400">
        <w:rPr>
          <w:rFonts w:ascii="Book Antiqua" w:eastAsia="等线" w:hAnsi="Book Antiqua" w:cs="Times New Roman"/>
          <w:kern w:val="2"/>
          <w:sz w:val="24"/>
          <w:szCs w:val="24"/>
          <w:lang w:val="en-US" w:eastAsia="zh-CN"/>
        </w:rPr>
        <w:t xml:space="preserve">, Redeker N. A Systematic Review of Self-Management Interventions for Inflammatory Bowel Disease. </w:t>
      </w:r>
      <w:r w:rsidRPr="00251400">
        <w:rPr>
          <w:rFonts w:ascii="Book Antiqua" w:eastAsia="等线" w:hAnsi="Book Antiqua" w:cs="Times New Roman"/>
          <w:i/>
          <w:kern w:val="2"/>
          <w:sz w:val="24"/>
          <w:szCs w:val="24"/>
          <w:lang w:val="en-US" w:eastAsia="zh-CN"/>
        </w:rPr>
        <w:t>J Nurs Scholarsh</w:t>
      </w:r>
      <w:r w:rsidRPr="00251400">
        <w:rPr>
          <w:rFonts w:ascii="Book Antiqua" w:eastAsia="等线" w:hAnsi="Book Antiqua" w:cs="Times New Roman"/>
          <w:kern w:val="2"/>
          <w:sz w:val="24"/>
          <w:szCs w:val="24"/>
          <w:lang w:val="en-US" w:eastAsia="zh-CN"/>
        </w:rPr>
        <w:t xml:space="preserve"> 2016; </w:t>
      </w:r>
      <w:r w:rsidRPr="00251400">
        <w:rPr>
          <w:rFonts w:ascii="Book Antiqua" w:eastAsia="等线" w:hAnsi="Book Antiqua" w:cs="Times New Roman"/>
          <w:b/>
          <w:kern w:val="2"/>
          <w:sz w:val="24"/>
          <w:szCs w:val="24"/>
          <w:lang w:val="en-US" w:eastAsia="zh-CN"/>
        </w:rPr>
        <w:t>48</w:t>
      </w:r>
      <w:r w:rsidRPr="00251400">
        <w:rPr>
          <w:rFonts w:ascii="Book Antiqua" w:eastAsia="等线" w:hAnsi="Book Antiqua" w:cs="Times New Roman"/>
          <w:kern w:val="2"/>
          <w:sz w:val="24"/>
          <w:szCs w:val="24"/>
          <w:lang w:val="en-US" w:eastAsia="zh-CN"/>
        </w:rPr>
        <w:t>: 118-127 [PMID: 26756193 DOI: 10.1111/jnu.12189]</w:t>
      </w:r>
    </w:p>
    <w:p w14:paraId="420B9EE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42 </w:t>
      </w:r>
      <w:r w:rsidRPr="00251400">
        <w:rPr>
          <w:rFonts w:ascii="Book Antiqua" w:eastAsia="等线" w:hAnsi="Book Antiqua" w:cs="Times New Roman"/>
          <w:b/>
          <w:kern w:val="2"/>
          <w:sz w:val="24"/>
          <w:szCs w:val="24"/>
          <w:lang w:val="en-US" w:eastAsia="zh-CN"/>
        </w:rPr>
        <w:t>Zia JK</w:t>
      </w:r>
      <w:r w:rsidRPr="00251400">
        <w:rPr>
          <w:rFonts w:ascii="Book Antiqua" w:eastAsia="等线" w:hAnsi="Book Antiqua" w:cs="Times New Roman"/>
          <w:kern w:val="2"/>
          <w:sz w:val="24"/>
          <w:szCs w:val="24"/>
          <w:lang w:val="en-US" w:eastAsia="zh-CN"/>
        </w:rPr>
        <w:t xml:space="preserve">, Le T, Munson S, Heitkemper MM, Demiris G. Download Alert: Understanding Gastroenterology Patients' Perspectives on Health-Related Smartphone Apps. </w:t>
      </w:r>
      <w:r w:rsidRPr="00251400">
        <w:rPr>
          <w:rFonts w:ascii="Book Antiqua" w:eastAsia="等线" w:hAnsi="Book Antiqua" w:cs="Times New Roman"/>
          <w:i/>
          <w:kern w:val="2"/>
          <w:sz w:val="24"/>
          <w:szCs w:val="24"/>
          <w:lang w:val="en-US" w:eastAsia="zh-CN"/>
        </w:rPr>
        <w:t>Clin Transl Gastroenterol</w:t>
      </w:r>
      <w:r w:rsidRPr="00251400">
        <w:rPr>
          <w:rFonts w:ascii="Book Antiqua" w:eastAsia="等线" w:hAnsi="Book Antiqua" w:cs="Times New Roman"/>
          <w:kern w:val="2"/>
          <w:sz w:val="24"/>
          <w:szCs w:val="24"/>
          <w:lang w:val="en-US" w:eastAsia="zh-CN"/>
        </w:rPr>
        <w:t xml:space="preserve"> 2015; </w:t>
      </w:r>
      <w:r w:rsidRPr="00251400">
        <w:rPr>
          <w:rFonts w:ascii="Book Antiqua" w:eastAsia="等线" w:hAnsi="Book Antiqua" w:cs="Times New Roman"/>
          <w:b/>
          <w:kern w:val="2"/>
          <w:sz w:val="24"/>
          <w:szCs w:val="24"/>
          <w:lang w:val="en-US" w:eastAsia="zh-CN"/>
        </w:rPr>
        <w:t>6</w:t>
      </w:r>
      <w:r w:rsidRPr="00251400">
        <w:rPr>
          <w:rFonts w:ascii="Book Antiqua" w:eastAsia="等线" w:hAnsi="Book Antiqua" w:cs="Times New Roman"/>
          <w:kern w:val="2"/>
          <w:sz w:val="24"/>
          <w:szCs w:val="24"/>
          <w:lang w:val="en-US" w:eastAsia="zh-CN"/>
        </w:rPr>
        <w:t>: e96 [PMID: 26133109 DOI: 10.1038/ctg.2015.25]</w:t>
      </w:r>
    </w:p>
    <w:p w14:paraId="52DADE67"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43 </w:t>
      </w:r>
      <w:r w:rsidRPr="00251400">
        <w:rPr>
          <w:rFonts w:ascii="Book Antiqua" w:eastAsia="等线" w:hAnsi="Book Antiqua" w:cs="Times New Roman"/>
          <w:b/>
          <w:kern w:val="2"/>
          <w:sz w:val="24"/>
          <w:szCs w:val="24"/>
          <w:lang w:val="en-US" w:eastAsia="zh-CN"/>
        </w:rPr>
        <w:t>Mileski M</w:t>
      </w:r>
      <w:r w:rsidRPr="00251400">
        <w:rPr>
          <w:rFonts w:ascii="Book Antiqua" w:eastAsia="等线" w:hAnsi="Book Antiqua" w:cs="Times New Roman"/>
          <w:kern w:val="2"/>
          <w:sz w:val="24"/>
          <w:szCs w:val="24"/>
          <w:lang w:val="en-US" w:eastAsia="zh-CN"/>
        </w:rPr>
        <w:t xml:space="preserve">, Kruse CS, Catalani J, Haderer T. Adopting Telemedicine for the Self-Management of Hypertension: Systematic Review. </w:t>
      </w:r>
      <w:r w:rsidRPr="00251400">
        <w:rPr>
          <w:rFonts w:ascii="Book Antiqua" w:eastAsia="等线" w:hAnsi="Book Antiqua" w:cs="Times New Roman"/>
          <w:i/>
          <w:kern w:val="2"/>
          <w:sz w:val="24"/>
          <w:szCs w:val="24"/>
          <w:lang w:val="en-US" w:eastAsia="zh-CN"/>
        </w:rPr>
        <w:t>JMIR Med Inform</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5</w:t>
      </w:r>
      <w:r w:rsidRPr="00251400">
        <w:rPr>
          <w:rFonts w:ascii="Book Antiqua" w:eastAsia="等线" w:hAnsi="Book Antiqua" w:cs="Times New Roman"/>
          <w:kern w:val="2"/>
          <w:sz w:val="24"/>
          <w:szCs w:val="24"/>
          <w:lang w:val="en-US" w:eastAsia="zh-CN"/>
        </w:rPr>
        <w:t>: e41 [PMID: 29066424 DOI: 10.2196/medinform.6603]</w:t>
      </w:r>
    </w:p>
    <w:p w14:paraId="3192E5E4"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44 </w:t>
      </w:r>
      <w:r w:rsidRPr="00251400">
        <w:rPr>
          <w:rFonts w:ascii="Book Antiqua" w:eastAsia="等线" w:hAnsi="Book Antiqua" w:cs="Times New Roman"/>
          <w:b/>
          <w:kern w:val="2"/>
          <w:sz w:val="24"/>
          <w:szCs w:val="24"/>
          <w:lang w:val="en-US" w:eastAsia="zh-CN"/>
        </w:rPr>
        <w:t>Kruse CS</w:t>
      </w:r>
      <w:r w:rsidRPr="00251400">
        <w:rPr>
          <w:rFonts w:ascii="Book Antiqua" w:eastAsia="等线" w:hAnsi="Book Antiqua" w:cs="Times New Roman"/>
          <w:kern w:val="2"/>
          <w:sz w:val="24"/>
          <w:szCs w:val="24"/>
          <w:lang w:val="en-US" w:eastAsia="zh-CN"/>
        </w:rPr>
        <w:t xml:space="preserve">, Soma M, Pulluri D, Nemali NT, Brooks M. The effectiveness of telemedicine in the management of chronic heart disease - a systematic review. </w:t>
      </w:r>
      <w:r w:rsidRPr="00251400">
        <w:rPr>
          <w:rFonts w:ascii="Book Antiqua" w:eastAsia="等线" w:hAnsi="Book Antiqua" w:cs="Times New Roman"/>
          <w:i/>
          <w:kern w:val="2"/>
          <w:sz w:val="24"/>
          <w:szCs w:val="24"/>
          <w:lang w:val="en-US" w:eastAsia="zh-CN"/>
        </w:rPr>
        <w:t>JRSM Open</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8</w:t>
      </w:r>
      <w:r w:rsidRPr="00251400">
        <w:rPr>
          <w:rFonts w:ascii="Book Antiqua" w:eastAsia="等线" w:hAnsi="Book Antiqua" w:cs="Times New Roman"/>
          <w:kern w:val="2"/>
          <w:sz w:val="24"/>
          <w:szCs w:val="24"/>
          <w:lang w:val="en-US" w:eastAsia="zh-CN"/>
        </w:rPr>
        <w:t>: 2054270416681747 [PMID: 28321319 DOI: 10.1177/2054270416681747]</w:t>
      </w:r>
    </w:p>
    <w:p w14:paraId="6B8A38D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45 </w:t>
      </w:r>
      <w:r w:rsidRPr="00251400">
        <w:rPr>
          <w:rFonts w:ascii="Book Antiqua" w:eastAsia="等线" w:hAnsi="Book Antiqua" w:cs="Times New Roman"/>
          <w:b/>
          <w:kern w:val="2"/>
          <w:sz w:val="24"/>
          <w:szCs w:val="24"/>
          <w:lang w:val="en-US" w:eastAsia="zh-CN"/>
        </w:rPr>
        <w:t>Lee JY</w:t>
      </w:r>
      <w:r w:rsidRPr="00251400">
        <w:rPr>
          <w:rFonts w:ascii="Book Antiqua" w:eastAsia="等线" w:hAnsi="Book Antiqua" w:cs="Times New Roman"/>
          <w:kern w:val="2"/>
          <w:sz w:val="24"/>
          <w:szCs w:val="24"/>
          <w:lang w:val="en-US" w:eastAsia="zh-CN"/>
        </w:rPr>
        <w:t xml:space="preserve">, Lee SWH. Telemedicine Cost-Effectiveness for Diabetes Management: A Systematic Review. </w:t>
      </w:r>
      <w:r w:rsidRPr="00251400">
        <w:rPr>
          <w:rFonts w:ascii="Book Antiqua" w:eastAsia="等线" w:hAnsi="Book Antiqua" w:cs="Times New Roman"/>
          <w:i/>
          <w:kern w:val="2"/>
          <w:sz w:val="24"/>
          <w:szCs w:val="24"/>
          <w:lang w:val="en-US" w:eastAsia="zh-CN"/>
        </w:rPr>
        <w:t>Diabetes Technol Ther</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20</w:t>
      </w:r>
      <w:r w:rsidRPr="00251400">
        <w:rPr>
          <w:rFonts w:ascii="Book Antiqua" w:eastAsia="等线" w:hAnsi="Book Antiqua" w:cs="Times New Roman"/>
          <w:kern w:val="2"/>
          <w:sz w:val="24"/>
          <w:szCs w:val="24"/>
          <w:lang w:val="en-US" w:eastAsia="zh-CN"/>
        </w:rPr>
        <w:t>: 492-500 [PMID: 29812965 DOI: 10.1089/dia.2018.0098]</w:t>
      </w:r>
    </w:p>
    <w:p w14:paraId="30B26D5D"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46 </w:t>
      </w:r>
      <w:r w:rsidRPr="00251400">
        <w:rPr>
          <w:rFonts w:ascii="Book Antiqua" w:eastAsia="等线" w:hAnsi="Book Antiqua" w:cs="Times New Roman"/>
          <w:b/>
          <w:kern w:val="2"/>
          <w:sz w:val="24"/>
          <w:szCs w:val="24"/>
          <w:lang w:val="en-US" w:eastAsia="zh-CN"/>
        </w:rPr>
        <w:t>Basit SA</w:t>
      </w:r>
      <w:r w:rsidRPr="00251400">
        <w:rPr>
          <w:rFonts w:ascii="Book Antiqua" w:eastAsia="等线" w:hAnsi="Book Antiqua" w:cs="Times New Roman"/>
          <w:kern w:val="2"/>
          <w:sz w:val="24"/>
          <w:szCs w:val="24"/>
          <w:lang w:val="en-US" w:eastAsia="zh-CN"/>
        </w:rPr>
        <w:t xml:space="preserve">, Mathews N, Kunik ME. Telemedicine interventions for medication adherence in mental illness: A systematic review. </w:t>
      </w:r>
      <w:r w:rsidRPr="00251400">
        <w:rPr>
          <w:rFonts w:ascii="Book Antiqua" w:eastAsia="等线" w:hAnsi="Book Antiqua" w:cs="Times New Roman"/>
          <w:i/>
          <w:kern w:val="2"/>
          <w:sz w:val="24"/>
          <w:szCs w:val="24"/>
          <w:lang w:val="en-US" w:eastAsia="zh-CN"/>
        </w:rPr>
        <w:t>Gen Hosp Psychiatry</w:t>
      </w:r>
      <w:r w:rsidRPr="00251400">
        <w:rPr>
          <w:rFonts w:ascii="Book Antiqua" w:eastAsia="等线" w:hAnsi="Book Antiqua" w:cs="Times New Roman"/>
          <w:kern w:val="2"/>
          <w:sz w:val="24"/>
          <w:szCs w:val="24"/>
          <w:lang w:val="en-US" w:eastAsia="zh-CN"/>
        </w:rPr>
        <w:t xml:space="preserve"> 2020; </w:t>
      </w:r>
      <w:r w:rsidRPr="00251400">
        <w:rPr>
          <w:rFonts w:ascii="Book Antiqua" w:eastAsia="等线" w:hAnsi="Book Antiqua" w:cs="Times New Roman"/>
          <w:b/>
          <w:kern w:val="2"/>
          <w:sz w:val="24"/>
          <w:szCs w:val="24"/>
          <w:lang w:val="en-US" w:eastAsia="zh-CN"/>
        </w:rPr>
        <w:t>62</w:t>
      </w:r>
      <w:r w:rsidRPr="00251400">
        <w:rPr>
          <w:rFonts w:ascii="Book Antiqua" w:eastAsia="等线" w:hAnsi="Book Antiqua" w:cs="Times New Roman"/>
          <w:kern w:val="2"/>
          <w:sz w:val="24"/>
          <w:szCs w:val="24"/>
          <w:lang w:val="en-US" w:eastAsia="zh-CN"/>
        </w:rPr>
        <w:t>: 28-36 [PMID: 31775066 DOI: 10.1016/j.genhosppsych.2019.11.004]</w:t>
      </w:r>
    </w:p>
    <w:p w14:paraId="481A4E8B"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lastRenderedPageBreak/>
        <w:t xml:space="preserve">47 </w:t>
      </w:r>
      <w:r w:rsidRPr="00251400">
        <w:rPr>
          <w:rFonts w:ascii="Book Antiqua" w:eastAsia="等线" w:hAnsi="Book Antiqua" w:cs="Times New Roman"/>
          <w:b/>
          <w:kern w:val="2"/>
          <w:sz w:val="24"/>
          <w:szCs w:val="24"/>
          <w:lang w:val="en-US" w:eastAsia="zh-CN"/>
        </w:rPr>
        <w:t>Seed TM</w:t>
      </w:r>
      <w:r w:rsidRPr="00251400">
        <w:rPr>
          <w:rFonts w:ascii="Book Antiqua" w:eastAsia="等线" w:hAnsi="Book Antiqua" w:cs="Times New Roman"/>
          <w:kern w:val="2"/>
          <w:sz w:val="24"/>
          <w:szCs w:val="24"/>
          <w:lang w:val="en-US" w:eastAsia="zh-CN"/>
        </w:rPr>
        <w:t xml:space="preserve">, Husseini SG, Knospe WH. The ultrastructure of hematopoietic stroma on cellulose ester membranes implanted intraperitoneally into Sl/Sld and Sl+/Sl+ mice. </w:t>
      </w:r>
      <w:r w:rsidRPr="00251400">
        <w:rPr>
          <w:rFonts w:ascii="Book Antiqua" w:eastAsia="等线" w:hAnsi="Book Antiqua" w:cs="Times New Roman"/>
          <w:i/>
          <w:kern w:val="2"/>
          <w:sz w:val="24"/>
          <w:szCs w:val="24"/>
          <w:lang w:val="en-US" w:eastAsia="zh-CN"/>
        </w:rPr>
        <w:t>Exp Hematol</w:t>
      </w:r>
      <w:r w:rsidRPr="00251400">
        <w:rPr>
          <w:rFonts w:ascii="Book Antiqua" w:eastAsia="等线" w:hAnsi="Book Antiqua" w:cs="Times New Roman"/>
          <w:kern w:val="2"/>
          <w:sz w:val="24"/>
          <w:szCs w:val="24"/>
          <w:lang w:val="en-US" w:eastAsia="zh-CN"/>
        </w:rPr>
        <w:t xml:space="preserve"> 1988; </w:t>
      </w:r>
      <w:r w:rsidRPr="00251400">
        <w:rPr>
          <w:rFonts w:ascii="Book Antiqua" w:eastAsia="等线" w:hAnsi="Book Antiqua" w:cs="Times New Roman"/>
          <w:b/>
          <w:kern w:val="2"/>
          <w:sz w:val="24"/>
          <w:szCs w:val="24"/>
          <w:lang w:val="en-US" w:eastAsia="zh-CN"/>
        </w:rPr>
        <w:t>16</w:t>
      </w:r>
      <w:r w:rsidRPr="00251400">
        <w:rPr>
          <w:rFonts w:ascii="Book Antiqua" w:eastAsia="等线" w:hAnsi="Book Antiqua" w:cs="Times New Roman"/>
          <w:kern w:val="2"/>
          <w:sz w:val="24"/>
          <w:szCs w:val="24"/>
          <w:lang w:val="en-US" w:eastAsia="zh-CN"/>
        </w:rPr>
        <w:t>: 705-711 [PMID: 3402558 DOI: 10.4258/hir.2012.18.2.153]</w:t>
      </w:r>
    </w:p>
    <w:p w14:paraId="34440875"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48 </w:t>
      </w:r>
      <w:r w:rsidRPr="00251400">
        <w:rPr>
          <w:rFonts w:ascii="Book Antiqua" w:eastAsia="等线" w:hAnsi="Book Antiqua" w:cs="Times New Roman"/>
          <w:b/>
          <w:kern w:val="2"/>
          <w:sz w:val="24"/>
          <w:szCs w:val="24"/>
          <w:lang w:val="en-US" w:eastAsia="zh-CN"/>
        </w:rPr>
        <w:t>The Lancet Gastroenterology Hepatology</w:t>
      </w:r>
      <w:r w:rsidRPr="00251400">
        <w:rPr>
          <w:rFonts w:ascii="Book Antiqua" w:eastAsia="等线" w:hAnsi="Book Antiqua" w:cs="Times New Roman"/>
          <w:kern w:val="2"/>
          <w:sz w:val="24"/>
          <w:szCs w:val="24"/>
          <w:lang w:val="en-US" w:eastAsia="zh-CN"/>
        </w:rPr>
        <w:t xml:space="preserve">. The potential of telemedicine in digestive diseases. </w:t>
      </w:r>
      <w:r w:rsidRPr="00251400">
        <w:rPr>
          <w:rFonts w:ascii="Book Antiqua" w:eastAsia="等线" w:hAnsi="Book Antiqua" w:cs="Times New Roman"/>
          <w:i/>
          <w:kern w:val="2"/>
          <w:sz w:val="24"/>
          <w:szCs w:val="24"/>
          <w:lang w:val="en-US" w:eastAsia="zh-CN"/>
        </w:rPr>
        <w:t>Lancet Gastroenterol Hepatol</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4</w:t>
      </w:r>
      <w:r w:rsidRPr="00251400">
        <w:rPr>
          <w:rFonts w:ascii="Book Antiqua" w:eastAsia="等线" w:hAnsi="Book Antiqua" w:cs="Times New Roman"/>
          <w:kern w:val="2"/>
          <w:sz w:val="24"/>
          <w:szCs w:val="24"/>
          <w:lang w:val="en-US" w:eastAsia="zh-CN"/>
        </w:rPr>
        <w:t>: 185 [PMID: 30739659 DOI: 10.1016/S2468-1253(18)30359-5]</w:t>
      </w:r>
    </w:p>
    <w:p w14:paraId="310541CD"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49 </w:t>
      </w:r>
      <w:r w:rsidRPr="00251400">
        <w:rPr>
          <w:rFonts w:ascii="Book Antiqua" w:eastAsia="等线" w:hAnsi="Book Antiqua" w:cs="Times New Roman"/>
          <w:b/>
          <w:kern w:val="2"/>
          <w:sz w:val="24"/>
          <w:szCs w:val="24"/>
          <w:lang w:val="en-US" w:eastAsia="zh-CN"/>
        </w:rPr>
        <w:t>Stotts MJ</w:t>
      </w:r>
      <w:r w:rsidRPr="00251400">
        <w:rPr>
          <w:rFonts w:ascii="Book Antiqua" w:eastAsia="等线" w:hAnsi="Book Antiqua" w:cs="Times New Roman"/>
          <w:kern w:val="2"/>
          <w:sz w:val="24"/>
          <w:szCs w:val="24"/>
          <w:lang w:val="en-US" w:eastAsia="zh-CN"/>
        </w:rPr>
        <w:t xml:space="preserve">, Grischkan JA, Khungar V. Improving cirrhosis care: The potential for telemedicine and mobile health technologies. </w:t>
      </w:r>
      <w:r w:rsidRPr="00251400">
        <w:rPr>
          <w:rFonts w:ascii="Book Antiqua" w:eastAsia="等线" w:hAnsi="Book Antiqua" w:cs="Times New Roman"/>
          <w:i/>
          <w:kern w:val="2"/>
          <w:sz w:val="24"/>
          <w:szCs w:val="24"/>
          <w:lang w:val="en-US" w:eastAsia="zh-CN"/>
        </w:rPr>
        <w:t>World J Gastroenterol</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25</w:t>
      </w:r>
      <w:r w:rsidRPr="00251400">
        <w:rPr>
          <w:rFonts w:ascii="Book Antiqua" w:eastAsia="等线" w:hAnsi="Book Antiqua" w:cs="Times New Roman"/>
          <w:kern w:val="2"/>
          <w:sz w:val="24"/>
          <w:szCs w:val="24"/>
          <w:lang w:val="en-US" w:eastAsia="zh-CN"/>
        </w:rPr>
        <w:t>: 3849-3856 [PMID: 31413523 DOI: 10.3748/wjg.v25.i29.3849]</w:t>
      </w:r>
    </w:p>
    <w:p w14:paraId="31BA3263"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50 </w:t>
      </w:r>
      <w:r w:rsidRPr="00251400">
        <w:rPr>
          <w:rFonts w:ascii="Book Antiqua" w:eastAsia="等线" w:hAnsi="Book Antiqua" w:cs="Times New Roman"/>
          <w:b/>
          <w:kern w:val="2"/>
          <w:sz w:val="24"/>
          <w:szCs w:val="24"/>
          <w:lang w:val="en-US" w:eastAsia="zh-CN"/>
        </w:rPr>
        <w:t>Hong SN</w:t>
      </w:r>
      <w:r w:rsidRPr="00251400">
        <w:rPr>
          <w:rFonts w:ascii="Book Antiqua" w:eastAsia="等线" w:hAnsi="Book Antiqua" w:cs="Times New Roman"/>
          <w:kern w:val="2"/>
          <w:sz w:val="24"/>
          <w:szCs w:val="24"/>
          <w:lang w:val="en-US" w:eastAsia="zh-CN"/>
        </w:rPr>
        <w:t xml:space="preserve">. Clinical usefulness of remote patient monitoring using e-Health technologies in patients with inflammatory bowel diseases. </w:t>
      </w:r>
      <w:r w:rsidRPr="00251400">
        <w:rPr>
          <w:rFonts w:ascii="Book Antiqua" w:eastAsia="等线" w:hAnsi="Book Antiqua" w:cs="Times New Roman"/>
          <w:i/>
          <w:kern w:val="2"/>
          <w:sz w:val="24"/>
          <w:szCs w:val="24"/>
          <w:lang w:val="en-US" w:eastAsia="zh-CN"/>
        </w:rPr>
        <w:t>Korean J Intern Med</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33</w:t>
      </w:r>
      <w:r w:rsidRPr="00251400">
        <w:rPr>
          <w:rFonts w:ascii="Book Antiqua" w:eastAsia="等线" w:hAnsi="Book Antiqua" w:cs="Times New Roman"/>
          <w:kern w:val="2"/>
          <w:sz w:val="24"/>
          <w:szCs w:val="24"/>
          <w:lang w:val="en-US" w:eastAsia="zh-CN"/>
        </w:rPr>
        <w:t>: 876-878 [PMID: 30180515 DOI: 10.3904/kjim.2018.298]</w:t>
      </w:r>
    </w:p>
    <w:p w14:paraId="4F2BBC6E"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51 </w:t>
      </w:r>
      <w:r w:rsidRPr="00251400">
        <w:rPr>
          <w:rFonts w:ascii="Book Antiqua" w:eastAsia="等线" w:hAnsi="Book Antiqua" w:cs="Times New Roman"/>
          <w:b/>
          <w:kern w:val="2"/>
          <w:sz w:val="24"/>
          <w:szCs w:val="24"/>
          <w:lang w:val="en-US" w:eastAsia="zh-CN"/>
        </w:rPr>
        <w:t>Cross RK</w:t>
      </w:r>
      <w:r w:rsidRPr="00251400">
        <w:rPr>
          <w:rFonts w:ascii="Book Antiqua" w:eastAsia="等线" w:hAnsi="Book Antiqua" w:cs="Times New Roman"/>
          <w:kern w:val="2"/>
          <w:sz w:val="24"/>
          <w:szCs w:val="24"/>
          <w:lang w:val="en-US" w:eastAsia="zh-CN"/>
        </w:rPr>
        <w:t xml:space="preserve">, Kane S. Integration of Telemedicine Into Clinical Gastroenterology and Hepatology Practice. </w:t>
      </w:r>
      <w:r w:rsidRPr="00251400">
        <w:rPr>
          <w:rFonts w:ascii="Book Antiqua" w:eastAsia="等线" w:hAnsi="Book Antiqua" w:cs="Times New Roman"/>
          <w:i/>
          <w:kern w:val="2"/>
          <w:sz w:val="24"/>
          <w:szCs w:val="24"/>
          <w:lang w:val="en-US" w:eastAsia="zh-CN"/>
        </w:rPr>
        <w:t>Clin Gastroenterol Hepatol</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15</w:t>
      </w:r>
      <w:r w:rsidRPr="00251400">
        <w:rPr>
          <w:rFonts w:ascii="Book Antiqua" w:eastAsia="等线" w:hAnsi="Book Antiqua" w:cs="Times New Roman"/>
          <w:kern w:val="2"/>
          <w:sz w:val="24"/>
          <w:szCs w:val="24"/>
          <w:lang w:val="en-US" w:eastAsia="zh-CN"/>
        </w:rPr>
        <w:t>: 175-181 [PMID: 27989663 DOI: 10.1016/j.cgh.2016.09.011]</w:t>
      </w:r>
    </w:p>
    <w:p w14:paraId="5BE8B834"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52 </w:t>
      </w:r>
      <w:r w:rsidRPr="00251400">
        <w:rPr>
          <w:rFonts w:ascii="Book Antiqua" w:eastAsia="等线" w:hAnsi="Book Antiqua" w:cs="Times New Roman"/>
          <w:b/>
          <w:kern w:val="2"/>
          <w:sz w:val="24"/>
          <w:szCs w:val="24"/>
          <w:lang w:val="en-US" w:eastAsia="zh-CN"/>
        </w:rPr>
        <w:t>Piao C</w:t>
      </w:r>
      <w:r w:rsidRPr="00251400">
        <w:rPr>
          <w:rFonts w:ascii="Book Antiqua" w:eastAsia="等线" w:hAnsi="Book Antiqua" w:cs="Times New Roman"/>
          <w:kern w:val="2"/>
          <w:sz w:val="24"/>
          <w:szCs w:val="24"/>
          <w:lang w:val="en-US" w:eastAsia="zh-CN"/>
        </w:rPr>
        <w:t xml:space="preserve">, Terrault NA, Sarkar S. Telemedicine: An Evolving Field in Hepatology. </w:t>
      </w:r>
      <w:r w:rsidRPr="00251400">
        <w:rPr>
          <w:rFonts w:ascii="Book Antiqua" w:eastAsia="等线" w:hAnsi="Book Antiqua" w:cs="Times New Roman"/>
          <w:i/>
          <w:kern w:val="2"/>
          <w:sz w:val="24"/>
          <w:szCs w:val="24"/>
          <w:lang w:val="en-US" w:eastAsia="zh-CN"/>
        </w:rPr>
        <w:t>Hepatol Commun</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3</w:t>
      </w:r>
      <w:r w:rsidRPr="00251400">
        <w:rPr>
          <w:rFonts w:ascii="Book Antiqua" w:eastAsia="等线" w:hAnsi="Book Antiqua" w:cs="Times New Roman"/>
          <w:kern w:val="2"/>
          <w:sz w:val="24"/>
          <w:szCs w:val="24"/>
          <w:lang w:val="en-US" w:eastAsia="zh-CN"/>
        </w:rPr>
        <w:t>: 716-721 [PMID: 31061958 DOI: 10.1002/hep4.1340]</w:t>
      </w:r>
    </w:p>
    <w:p w14:paraId="09EF807B"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53 </w:t>
      </w:r>
      <w:r w:rsidRPr="00251400">
        <w:rPr>
          <w:rFonts w:ascii="Book Antiqua" w:eastAsia="等线" w:hAnsi="Book Antiqua" w:cs="Times New Roman"/>
          <w:b/>
          <w:kern w:val="2"/>
          <w:sz w:val="24"/>
          <w:szCs w:val="24"/>
          <w:lang w:val="en-US" w:eastAsia="zh-CN"/>
        </w:rPr>
        <w:t>Helsel BC</w:t>
      </w:r>
      <w:r w:rsidRPr="00251400">
        <w:rPr>
          <w:rFonts w:ascii="Book Antiqua" w:eastAsia="等线" w:hAnsi="Book Antiqua" w:cs="Times New Roman"/>
          <w:kern w:val="2"/>
          <w:sz w:val="24"/>
          <w:szCs w:val="24"/>
          <w:lang w:val="en-US" w:eastAsia="zh-CN"/>
        </w:rPr>
        <w:t xml:space="preserve">, Williams JE, Lawson K, Liang J, Markowitz J. Telemedicine and Mobile Health Technology Are Effective in the Management of Digestive Diseases: A Systematic Review. </w:t>
      </w:r>
      <w:r w:rsidRPr="00251400">
        <w:rPr>
          <w:rFonts w:ascii="Book Antiqua" w:eastAsia="等线" w:hAnsi="Book Antiqua" w:cs="Times New Roman"/>
          <w:i/>
          <w:kern w:val="2"/>
          <w:sz w:val="24"/>
          <w:szCs w:val="24"/>
          <w:lang w:val="en-US" w:eastAsia="zh-CN"/>
        </w:rPr>
        <w:t>Dig Dis Sci</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63</w:t>
      </w:r>
      <w:r w:rsidRPr="00251400">
        <w:rPr>
          <w:rFonts w:ascii="Book Antiqua" w:eastAsia="等线" w:hAnsi="Book Antiqua" w:cs="Times New Roman"/>
          <w:kern w:val="2"/>
          <w:sz w:val="24"/>
          <w:szCs w:val="24"/>
          <w:lang w:val="en-US" w:eastAsia="zh-CN"/>
        </w:rPr>
        <w:t>: 1392-1408 [PMID: 29663265 DOI: 10.1007/s10620-018-5054-z]</w:t>
      </w:r>
    </w:p>
    <w:p w14:paraId="44209D24"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54 </w:t>
      </w:r>
      <w:r w:rsidRPr="00251400">
        <w:rPr>
          <w:rFonts w:ascii="Book Antiqua" w:eastAsia="等线" w:hAnsi="Book Antiqua" w:cs="Times New Roman"/>
          <w:b/>
          <w:kern w:val="2"/>
          <w:sz w:val="24"/>
          <w:szCs w:val="24"/>
          <w:lang w:val="en-US" w:eastAsia="zh-CN"/>
        </w:rPr>
        <w:t>de Jong MJ</w:t>
      </w:r>
      <w:r w:rsidRPr="00251400">
        <w:rPr>
          <w:rFonts w:ascii="Book Antiqua" w:eastAsia="等线" w:hAnsi="Book Antiqua" w:cs="Times New Roman"/>
          <w:kern w:val="2"/>
          <w:sz w:val="24"/>
          <w:szCs w:val="24"/>
          <w:lang w:val="en-US" w:eastAsia="zh-CN"/>
        </w:rPr>
        <w:t xml:space="preserve">, van der Meulen-de Jong AE, Romberg-Camps MJ, Becx MC, Maljaars JP, Cilissen M, van Bodegraven AA, Mahmmod N, Markus T, Hameeteman WM, Dijkstra G, Masclee AA, Boonen A, Winkens B, van Tubergen A, Jonkers DM, Pierik MJ. Telemedicine for management of inflammatory bowel disease (myIBDcoach): a pragmatic, multicentre, randomised controlled trial. </w:t>
      </w:r>
      <w:r w:rsidRPr="00251400">
        <w:rPr>
          <w:rFonts w:ascii="Book Antiqua" w:eastAsia="等线" w:hAnsi="Book Antiqua" w:cs="Times New Roman"/>
          <w:i/>
          <w:kern w:val="2"/>
          <w:sz w:val="24"/>
          <w:szCs w:val="24"/>
          <w:lang w:val="en-US" w:eastAsia="zh-CN"/>
        </w:rPr>
        <w:t>Lancet</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390</w:t>
      </w:r>
      <w:r w:rsidRPr="00251400">
        <w:rPr>
          <w:rFonts w:ascii="Book Antiqua" w:eastAsia="等线" w:hAnsi="Book Antiqua" w:cs="Times New Roman"/>
          <w:kern w:val="2"/>
          <w:sz w:val="24"/>
          <w:szCs w:val="24"/>
          <w:lang w:val="en-US" w:eastAsia="zh-CN"/>
        </w:rPr>
        <w:t>: 959-968 [PMID: 28716313 DOI: 10.1016/S0140-6736(17)31327-2]</w:t>
      </w:r>
    </w:p>
    <w:p w14:paraId="3239393B"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55 </w:t>
      </w:r>
      <w:r w:rsidRPr="00251400">
        <w:rPr>
          <w:rFonts w:ascii="Book Antiqua" w:eastAsia="等线" w:hAnsi="Book Antiqua" w:cs="Times New Roman"/>
          <w:b/>
          <w:kern w:val="2"/>
          <w:sz w:val="24"/>
          <w:szCs w:val="24"/>
          <w:lang w:val="en-US" w:eastAsia="zh-CN"/>
        </w:rPr>
        <w:t>Del Hoyo J</w:t>
      </w:r>
      <w:r w:rsidRPr="00251400">
        <w:rPr>
          <w:rFonts w:ascii="Book Antiqua" w:eastAsia="等线" w:hAnsi="Book Antiqua" w:cs="Times New Roman"/>
          <w:kern w:val="2"/>
          <w:sz w:val="24"/>
          <w:szCs w:val="24"/>
          <w:lang w:val="en-US" w:eastAsia="zh-CN"/>
        </w:rPr>
        <w:t xml:space="preserve">, Nos P, Bastida G, Faubel R, Muñoz D, Garrido-Marín A, Valero-Pérez E, Bejar-Serrano S, Aguas M. Telemonitoring of Crohn's Disease and Ulcerative Colitis (TECCU): Cost-Effectiveness Analysis.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21</w:t>
      </w:r>
      <w:r w:rsidRPr="00251400">
        <w:rPr>
          <w:rFonts w:ascii="Book Antiqua" w:eastAsia="等线" w:hAnsi="Book Antiqua" w:cs="Times New Roman"/>
          <w:kern w:val="2"/>
          <w:sz w:val="24"/>
          <w:szCs w:val="24"/>
          <w:lang w:val="en-US" w:eastAsia="zh-CN"/>
        </w:rPr>
        <w:t>: e15505 [PMID: 31538948 DOI: 10.2196/15505]</w:t>
      </w:r>
    </w:p>
    <w:p w14:paraId="58556D64"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56 </w:t>
      </w:r>
      <w:r w:rsidRPr="00251400">
        <w:rPr>
          <w:rFonts w:ascii="Book Antiqua" w:eastAsia="等线" w:hAnsi="Book Antiqua" w:cs="Times New Roman"/>
          <w:b/>
          <w:kern w:val="2"/>
          <w:sz w:val="24"/>
          <w:szCs w:val="24"/>
          <w:lang w:val="en-US" w:eastAsia="zh-CN"/>
        </w:rPr>
        <w:t>Le LB</w:t>
      </w:r>
      <w:r w:rsidRPr="00251400">
        <w:rPr>
          <w:rFonts w:ascii="Book Antiqua" w:eastAsia="等线" w:hAnsi="Book Antiqua" w:cs="Times New Roman"/>
          <w:kern w:val="2"/>
          <w:sz w:val="24"/>
          <w:szCs w:val="24"/>
          <w:lang w:val="en-US" w:eastAsia="zh-CN"/>
        </w:rPr>
        <w:t xml:space="preserve">, Rahal HK, Viramontes MR, Meneses KG, Dong TS, Saab S. Patient </w:t>
      </w:r>
      <w:r w:rsidRPr="00251400">
        <w:rPr>
          <w:rFonts w:ascii="Book Antiqua" w:eastAsia="等线" w:hAnsi="Book Antiqua" w:cs="Times New Roman"/>
          <w:kern w:val="2"/>
          <w:sz w:val="24"/>
          <w:szCs w:val="24"/>
          <w:lang w:val="en-US" w:eastAsia="zh-CN"/>
        </w:rPr>
        <w:lastRenderedPageBreak/>
        <w:t xml:space="preserve">Satisfaction and Healthcare Utilization Using Telemedicine in Liver Transplant Recipients. </w:t>
      </w:r>
      <w:r w:rsidRPr="00251400">
        <w:rPr>
          <w:rFonts w:ascii="Book Antiqua" w:eastAsia="等线" w:hAnsi="Book Antiqua" w:cs="Times New Roman"/>
          <w:i/>
          <w:kern w:val="2"/>
          <w:sz w:val="24"/>
          <w:szCs w:val="24"/>
          <w:lang w:val="en-US" w:eastAsia="zh-CN"/>
        </w:rPr>
        <w:t>Dig Dis Sci</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64</w:t>
      </w:r>
      <w:r w:rsidRPr="00251400">
        <w:rPr>
          <w:rFonts w:ascii="Book Antiqua" w:eastAsia="等线" w:hAnsi="Book Antiqua" w:cs="Times New Roman"/>
          <w:kern w:val="2"/>
          <w:sz w:val="24"/>
          <w:szCs w:val="24"/>
          <w:lang w:val="en-US" w:eastAsia="zh-CN"/>
        </w:rPr>
        <w:t>: 1150-1157 [PMID: 30519848 DOI: 10.1007/s10620-018-5397-5]</w:t>
      </w:r>
    </w:p>
    <w:p w14:paraId="605270D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57 </w:t>
      </w:r>
      <w:r w:rsidRPr="00251400">
        <w:rPr>
          <w:rFonts w:ascii="Book Antiqua" w:eastAsia="等线" w:hAnsi="Book Antiqua" w:cs="Times New Roman"/>
          <w:b/>
          <w:kern w:val="2"/>
          <w:sz w:val="24"/>
          <w:szCs w:val="24"/>
          <w:lang w:val="en-US" w:eastAsia="zh-CN"/>
        </w:rPr>
        <w:t>Hu Y</w:t>
      </w:r>
      <w:r w:rsidRPr="00251400">
        <w:rPr>
          <w:rFonts w:ascii="Book Antiqua" w:eastAsia="等线" w:hAnsi="Book Antiqua" w:cs="Times New Roman"/>
          <w:kern w:val="2"/>
          <w:sz w:val="24"/>
          <w:szCs w:val="24"/>
          <w:lang w:val="en-US" w:eastAsia="zh-CN"/>
        </w:rPr>
        <w:t xml:space="preserve">, Wen X, Wang F, Yang D, Liu S, Li P, Xu J. Effect of telemedicine intervention on hypoglycaemia in diabetes patients: A systematic review and meta-analysis of randomised controlled trials. </w:t>
      </w:r>
      <w:r w:rsidRPr="00251400">
        <w:rPr>
          <w:rFonts w:ascii="Book Antiqua" w:eastAsia="等线" w:hAnsi="Book Antiqua" w:cs="Times New Roman"/>
          <w:i/>
          <w:kern w:val="2"/>
          <w:sz w:val="24"/>
          <w:szCs w:val="24"/>
          <w:lang w:val="en-US" w:eastAsia="zh-CN"/>
        </w:rPr>
        <w:t>J Telemed Telecare</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25</w:t>
      </w:r>
      <w:r w:rsidRPr="00251400">
        <w:rPr>
          <w:rFonts w:ascii="Book Antiqua" w:eastAsia="等线" w:hAnsi="Book Antiqua" w:cs="Times New Roman"/>
          <w:kern w:val="2"/>
          <w:sz w:val="24"/>
          <w:szCs w:val="24"/>
          <w:lang w:val="en-US" w:eastAsia="zh-CN"/>
        </w:rPr>
        <w:t>: 402-413 [PMID: 29909748 DOI: 10.1177/1357633X18776823]</w:t>
      </w:r>
    </w:p>
    <w:p w14:paraId="55BED372"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58 </w:t>
      </w:r>
      <w:r w:rsidRPr="00251400">
        <w:rPr>
          <w:rFonts w:ascii="Book Antiqua" w:eastAsia="等线" w:hAnsi="Book Antiqua" w:cs="Times New Roman"/>
          <w:b/>
          <w:kern w:val="2"/>
          <w:sz w:val="24"/>
          <w:szCs w:val="24"/>
          <w:lang w:val="en-US" w:eastAsia="zh-CN"/>
        </w:rPr>
        <w:t>Beinke JH</w:t>
      </w:r>
      <w:r w:rsidRPr="00251400">
        <w:rPr>
          <w:rFonts w:ascii="Book Antiqua" w:eastAsia="等线" w:hAnsi="Book Antiqua" w:cs="Times New Roman"/>
          <w:kern w:val="2"/>
          <w:sz w:val="24"/>
          <w:szCs w:val="24"/>
          <w:lang w:val="en-US" w:eastAsia="zh-CN"/>
        </w:rPr>
        <w:t xml:space="preserve">, Fitte C, Teuteberg F. Towards a Stakeholder-Oriented Blockchain-Based Architecture for Electronic Health Records: Design Science Research Study.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21</w:t>
      </w:r>
      <w:r w:rsidRPr="00251400">
        <w:rPr>
          <w:rFonts w:ascii="Book Antiqua" w:eastAsia="等线" w:hAnsi="Book Antiqua" w:cs="Times New Roman"/>
          <w:kern w:val="2"/>
          <w:sz w:val="24"/>
          <w:szCs w:val="24"/>
          <w:lang w:val="en-US" w:eastAsia="zh-CN"/>
        </w:rPr>
        <w:t>: e13585 [PMID: 31593548 DOI: 10.2196/13585]</w:t>
      </w:r>
    </w:p>
    <w:p w14:paraId="14C2AE3C"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59 </w:t>
      </w:r>
      <w:r w:rsidRPr="00251400">
        <w:rPr>
          <w:rFonts w:ascii="Book Antiqua" w:eastAsia="等线" w:hAnsi="Book Antiqua" w:cs="Times New Roman"/>
          <w:b/>
          <w:kern w:val="2"/>
          <w:sz w:val="24"/>
          <w:szCs w:val="24"/>
          <w:lang w:val="en-US" w:eastAsia="zh-CN"/>
        </w:rPr>
        <w:t>Gunter TD</w:t>
      </w:r>
      <w:r w:rsidRPr="00251400">
        <w:rPr>
          <w:rFonts w:ascii="Book Antiqua" w:eastAsia="等线" w:hAnsi="Book Antiqua" w:cs="Times New Roman"/>
          <w:kern w:val="2"/>
          <w:sz w:val="24"/>
          <w:szCs w:val="24"/>
          <w:lang w:val="en-US" w:eastAsia="zh-CN"/>
        </w:rPr>
        <w:t xml:space="preserve">, Terry NP. The emergence of national electronic health record architectures in the United States and Australia: models, costs, and questions.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2005; </w:t>
      </w:r>
      <w:r w:rsidRPr="00251400">
        <w:rPr>
          <w:rFonts w:ascii="Book Antiqua" w:eastAsia="等线" w:hAnsi="Book Antiqua" w:cs="Times New Roman"/>
          <w:b/>
          <w:kern w:val="2"/>
          <w:sz w:val="24"/>
          <w:szCs w:val="24"/>
          <w:lang w:val="en-US" w:eastAsia="zh-CN"/>
        </w:rPr>
        <w:t>7</w:t>
      </w:r>
      <w:r w:rsidRPr="00251400">
        <w:rPr>
          <w:rFonts w:ascii="Book Antiqua" w:eastAsia="等线" w:hAnsi="Book Antiqua" w:cs="Times New Roman"/>
          <w:kern w:val="2"/>
          <w:sz w:val="24"/>
          <w:szCs w:val="24"/>
          <w:lang w:val="en-US" w:eastAsia="zh-CN"/>
        </w:rPr>
        <w:t>: e3 [PMID: 15829475 DOI: 10.2196/jmir.7.1.e3]</w:t>
      </w:r>
    </w:p>
    <w:p w14:paraId="0BA2E3E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60 </w:t>
      </w:r>
      <w:r w:rsidRPr="00251400">
        <w:rPr>
          <w:rFonts w:ascii="Book Antiqua" w:eastAsia="等线" w:hAnsi="Book Antiqua" w:cs="Times New Roman"/>
          <w:b/>
          <w:kern w:val="2"/>
          <w:sz w:val="24"/>
          <w:szCs w:val="24"/>
          <w:lang w:val="en-US" w:eastAsia="zh-CN"/>
        </w:rPr>
        <w:t>Kruse CS</w:t>
      </w:r>
      <w:r w:rsidRPr="00251400">
        <w:rPr>
          <w:rFonts w:ascii="Book Antiqua" w:eastAsia="等线" w:hAnsi="Book Antiqua" w:cs="Times New Roman"/>
          <w:kern w:val="2"/>
          <w:sz w:val="24"/>
          <w:szCs w:val="24"/>
          <w:lang w:val="en-US" w:eastAsia="zh-CN"/>
        </w:rPr>
        <w:t xml:space="preserve">, Stein A, Thomas H, Kaur H. The use of Electronic Health Records to Support Population Health: A Systematic Review of the Literature. </w:t>
      </w:r>
      <w:r w:rsidRPr="00251400">
        <w:rPr>
          <w:rFonts w:ascii="Book Antiqua" w:eastAsia="等线" w:hAnsi="Book Antiqua" w:cs="Times New Roman"/>
          <w:i/>
          <w:kern w:val="2"/>
          <w:sz w:val="24"/>
          <w:szCs w:val="24"/>
          <w:lang w:val="en-US" w:eastAsia="zh-CN"/>
        </w:rPr>
        <w:t>J Med Syst</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42</w:t>
      </w:r>
      <w:r w:rsidRPr="00251400">
        <w:rPr>
          <w:rFonts w:ascii="Book Antiqua" w:eastAsia="等线" w:hAnsi="Book Antiqua" w:cs="Times New Roman"/>
          <w:kern w:val="2"/>
          <w:sz w:val="24"/>
          <w:szCs w:val="24"/>
          <w:lang w:val="en-US" w:eastAsia="zh-CN"/>
        </w:rPr>
        <w:t>: 214 [PMID: 30269237 DOI: 10.1007/s10916-018-1075-6]</w:t>
      </w:r>
    </w:p>
    <w:p w14:paraId="030DDFED"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61 </w:t>
      </w:r>
      <w:r w:rsidRPr="00251400">
        <w:rPr>
          <w:rFonts w:ascii="Book Antiqua" w:eastAsia="等线" w:hAnsi="Book Antiqua" w:cs="Times New Roman"/>
          <w:b/>
          <w:kern w:val="2"/>
          <w:sz w:val="24"/>
          <w:szCs w:val="24"/>
          <w:lang w:val="en-US" w:eastAsia="zh-CN"/>
        </w:rPr>
        <w:t>Huang MZ</w:t>
      </w:r>
      <w:r w:rsidRPr="00251400">
        <w:rPr>
          <w:rFonts w:ascii="Book Antiqua" w:eastAsia="等线" w:hAnsi="Book Antiqua" w:cs="Times New Roman"/>
          <w:kern w:val="2"/>
          <w:sz w:val="24"/>
          <w:szCs w:val="24"/>
          <w:lang w:val="en-US" w:eastAsia="zh-CN"/>
        </w:rPr>
        <w:t xml:space="preserve">, Gibson CJ, Terry AL. Measuring Electronic Health Record Use in Primary Care: A Scoping Review. </w:t>
      </w:r>
      <w:r w:rsidRPr="00251400">
        <w:rPr>
          <w:rFonts w:ascii="Book Antiqua" w:eastAsia="等线" w:hAnsi="Book Antiqua" w:cs="Times New Roman"/>
          <w:i/>
          <w:kern w:val="2"/>
          <w:sz w:val="24"/>
          <w:szCs w:val="24"/>
          <w:lang w:val="en-US" w:eastAsia="zh-CN"/>
        </w:rPr>
        <w:t>Appl Clin Inform</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9</w:t>
      </w:r>
      <w:r w:rsidRPr="00251400">
        <w:rPr>
          <w:rFonts w:ascii="Book Antiqua" w:eastAsia="等线" w:hAnsi="Book Antiqua" w:cs="Times New Roman"/>
          <w:kern w:val="2"/>
          <w:sz w:val="24"/>
          <w:szCs w:val="24"/>
          <w:lang w:val="en-US" w:eastAsia="zh-CN"/>
        </w:rPr>
        <w:t>: 15-33 [PMID: 29320797 DOI: 10.1055/s-0037-1615807]</w:t>
      </w:r>
    </w:p>
    <w:p w14:paraId="465433C1"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62 </w:t>
      </w:r>
      <w:r w:rsidRPr="00251400">
        <w:rPr>
          <w:rFonts w:ascii="Book Antiqua" w:eastAsia="等线" w:hAnsi="Book Antiqua" w:cs="Times New Roman"/>
          <w:b/>
          <w:kern w:val="2"/>
          <w:sz w:val="24"/>
          <w:szCs w:val="24"/>
          <w:lang w:val="en-US" w:eastAsia="zh-CN"/>
        </w:rPr>
        <w:t>Kim HY</w:t>
      </w:r>
      <w:r w:rsidRPr="00251400">
        <w:rPr>
          <w:rFonts w:ascii="Book Antiqua" w:eastAsia="等线" w:hAnsi="Book Antiqua" w:cs="Times New Roman"/>
          <w:kern w:val="2"/>
          <w:sz w:val="24"/>
          <w:szCs w:val="24"/>
          <w:lang w:val="en-US" w:eastAsia="zh-CN"/>
        </w:rPr>
        <w:t xml:space="preserve">, Lee J. Effects of health information technology on malpractice insurance premiums. </w:t>
      </w:r>
      <w:r w:rsidRPr="00251400">
        <w:rPr>
          <w:rFonts w:ascii="Book Antiqua" w:eastAsia="等线" w:hAnsi="Book Antiqua" w:cs="Times New Roman"/>
          <w:i/>
          <w:kern w:val="2"/>
          <w:sz w:val="24"/>
          <w:szCs w:val="24"/>
          <w:lang w:val="en-US" w:eastAsia="zh-CN"/>
        </w:rPr>
        <w:t>Healthc Inform Res</w:t>
      </w:r>
      <w:r w:rsidRPr="00251400">
        <w:rPr>
          <w:rFonts w:ascii="Book Antiqua" w:eastAsia="等线" w:hAnsi="Book Antiqua" w:cs="Times New Roman"/>
          <w:kern w:val="2"/>
          <w:sz w:val="24"/>
          <w:szCs w:val="24"/>
          <w:lang w:val="en-US" w:eastAsia="zh-CN"/>
        </w:rPr>
        <w:t xml:space="preserve"> 2015; </w:t>
      </w:r>
      <w:r w:rsidRPr="00251400">
        <w:rPr>
          <w:rFonts w:ascii="Book Antiqua" w:eastAsia="等线" w:hAnsi="Book Antiqua" w:cs="Times New Roman"/>
          <w:b/>
          <w:kern w:val="2"/>
          <w:sz w:val="24"/>
          <w:szCs w:val="24"/>
          <w:lang w:val="en-US" w:eastAsia="zh-CN"/>
        </w:rPr>
        <w:t>21</w:t>
      </w:r>
      <w:r w:rsidRPr="00251400">
        <w:rPr>
          <w:rFonts w:ascii="Book Antiqua" w:eastAsia="等线" w:hAnsi="Book Antiqua" w:cs="Times New Roman"/>
          <w:kern w:val="2"/>
          <w:sz w:val="24"/>
          <w:szCs w:val="24"/>
          <w:lang w:val="en-US" w:eastAsia="zh-CN"/>
        </w:rPr>
        <w:t>: 118-124 [PMID: 25995964 DOI: 10.4258/hir.2015.21.2.118]</w:t>
      </w:r>
    </w:p>
    <w:p w14:paraId="275256D9"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63 </w:t>
      </w:r>
      <w:r w:rsidRPr="00251400">
        <w:rPr>
          <w:rFonts w:ascii="Book Antiqua" w:eastAsia="等线" w:hAnsi="Book Antiqua" w:cs="Times New Roman"/>
          <w:b/>
          <w:kern w:val="2"/>
          <w:sz w:val="24"/>
          <w:szCs w:val="24"/>
          <w:lang w:val="en-US" w:eastAsia="zh-CN"/>
        </w:rPr>
        <w:t>Burton LC</w:t>
      </w:r>
      <w:r w:rsidRPr="00251400">
        <w:rPr>
          <w:rFonts w:ascii="Book Antiqua" w:eastAsia="等线" w:hAnsi="Book Antiqua" w:cs="Times New Roman"/>
          <w:kern w:val="2"/>
          <w:sz w:val="24"/>
          <w:szCs w:val="24"/>
          <w:lang w:val="en-US" w:eastAsia="zh-CN"/>
        </w:rPr>
        <w:t xml:space="preserve">, Anderson GF, Kues IW. Using electronic health records to help coordinate care. </w:t>
      </w:r>
      <w:r w:rsidRPr="00251400">
        <w:rPr>
          <w:rFonts w:ascii="Book Antiqua" w:eastAsia="等线" w:hAnsi="Book Antiqua" w:cs="Times New Roman"/>
          <w:i/>
          <w:kern w:val="2"/>
          <w:sz w:val="24"/>
          <w:szCs w:val="24"/>
          <w:lang w:val="en-US" w:eastAsia="zh-CN"/>
        </w:rPr>
        <w:t>Milbank Q</w:t>
      </w:r>
      <w:r w:rsidRPr="00251400">
        <w:rPr>
          <w:rFonts w:ascii="Book Antiqua" w:eastAsia="等线" w:hAnsi="Book Antiqua" w:cs="Times New Roman"/>
          <w:kern w:val="2"/>
          <w:sz w:val="24"/>
          <w:szCs w:val="24"/>
          <w:lang w:val="en-US" w:eastAsia="zh-CN"/>
        </w:rPr>
        <w:t xml:space="preserve"> 2004; </w:t>
      </w:r>
      <w:r w:rsidRPr="00251400">
        <w:rPr>
          <w:rFonts w:ascii="Book Antiqua" w:eastAsia="等线" w:hAnsi="Book Antiqua" w:cs="Times New Roman"/>
          <w:b/>
          <w:kern w:val="2"/>
          <w:sz w:val="24"/>
          <w:szCs w:val="24"/>
          <w:lang w:val="en-US" w:eastAsia="zh-CN"/>
        </w:rPr>
        <w:t>82</w:t>
      </w:r>
      <w:r w:rsidRPr="00251400">
        <w:rPr>
          <w:rFonts w:ascii="Book Antiqua" w:eastAsia="等线" w:hAnsi="Book Antiqua" w:cs="Times New Roman"/>
          <w:kern w:val="2"/>
          <w:sz w:val="24"/>
          <w:szCs w:val="24"/>
          <w:lang w:val="en-US" w:eastAsia="zh-CN"/>
        </w:rPr>
        <w:t>: 457-481, table of contents [PMID: 15330973 DOI: 10.1111/j.0887-378X.2004.00318.x]</w:t>
      </w:r>
    </w:p>
    <w:p w14:paraId="1CDA843F"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64 </w:t>
      </w:r>
      <w:r w:rsidRPr="00251400">
        <w:rPr>
          <w:rFonts w:ascii="Book Antiqua" w:eastAsia="等线" w:hAnsi="Book Antiqua" w:cs="Times New Roman"/>
          <w:b/>
          <w:kern w:val="2"/>
          <w:sz w:val="24"/>
          <w:szCs w:val="24"/>
          <w:lang w:val="en-US" w:eastAsia="zh-CN"/>
        </w:rPr>
        <w:t>Bush RA</w:t>
      </w:r>
      <w:r w:rsidRPr="00251400">
        <w:rPr>
          <w:rFonts w:ascii="Book Antiqua" w:eastAsia="等线" w:hAnsi="Book Antiqua" w:cs="Times New Roman"/>
          <w:kern w:val="2"/>
          <w:sz w:val="24"/>
          <w:szCs w:val="24"/>
          <w:lang w:val="en-US" w:eastAsia="zh-CN"/>
        </w:rPr>
        <w:t xml:space="preserve">, Pérez A, Baum T, Etland C, Connelly CD. A systematic review of the use of the electronic health record for patient identification, communication, and clinical support in palliative care. </w:t>
      </w:r>
      <w:r w:rsidRPr="00251400">
        <w:rPr>
          <w:rFonts w:ascii="Book Antiqua" w:eastAsia="等线" w:hAnsi="Book Antiqua" w:cs="Times New Roman"/>
          <w:i/>
          <w:kern w:val="2"/>
          <w:sz w:val="24"/>
          <w:szCs w:val="24"/>
          <w:lang w:val="en-US" w:eastAsia="zh-CN"/>
        </w:rPr>
        <w:t>JAMIA Open</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1</w:t>
      </w:r>
      <w:r w:rsidRPr="00251400">
        <w:rPr>
          <w:rFonts w:ascii="Book Antiqua" w:eastAsia="等线" w:hAnsi="Book Antiqua" w:cs="Times New Roman"/>
          <w:kern w:val="2"/>
          <w:sz w:val="24"/>
          <w:szCs w:val="24"/>
          <w:lang w:val="en-US" w:eastAsia="zh-CN"/>
        </w:rPr>
        <w:t>: 294-303 [PMID: 30842998 DOI: 10.1093/jamiaopen/ooy028]</w:t>
      </w:r>
    </w:p>
    <w:p w14:paraId="06102E52"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65 </w:t>
      </w:r>
      <w:r w:rsidRPr="00251400">
        <w:rPr>
          <w:rFonts w:ascii="Book Antiqua" w:eastAsia="等线" w:hAnsi="Book Antiqua" w:cs="Times New Roman"/>
          <w:b/>
          <w:kern w:val="2"/>
          <w:sz w:val="24"/>
          <w:szCs w:val="24"/>
          <w:lang w:val="en-US" w:eastAsia="zh-CN"/>
        </w:rPr>
        <w:t>Blandford A</w:t>
      </w:r>
      <w:r w:rsidRPr="00251400">
        <w:rPr>
          <w:rFonts w:ascii="Book Antiqua" w:eastAsia="等线" w:hAnsi="Book Antiqua" w:cs="Times New Roman"/>
          <w:kern w:val="2"/>
          <w:sz w:val="24"/>
          <w:szCs w:val="24"/>
          <w:lang w:val="en-US" w:eastAsia="zh-CN"/>
        </w:rPr>
        <w:t xml:space="preserve">, Gibbs J, Newhouse N, Perski O, Singh A, Murray E. Seven lessons for interdisciplinary research on interactive digital health interventions. </w:t>
      </w:r>
      <w:r w:rsidRPr="00251400">
        <w:rPr>
          <w:rFonts w:ascii="Book Antiqua" w:eastAsia="等线" w:hAnsi="Book Antiqua" w:cs="Times New Roman"/>
          <w:i/>
          <w:kern w:val="2"/>
          <w:sz w:val="24"/>
          <w:szCs w:val="24"/>
          <w:lang w:val="en-US" w:eastAsia="zh-CN"/>
        </w:rPr>
        <w:t>Digit Health</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4</w:t>
      </w:r>
      <w:r w:rsidRPr="00251400">
        <w:rPr>
          <w:rFonts w:ascii="Book Antiqua" w:eastAsia="等线" w:hAnsi="Book Antiqua" w:cs="Times New Roman"/>
          <w:kern w:val="2"/>
          <w:sz w:val="24"/>
          <w:szCs w:val="24"/>
          <w:lang w:val="en-US" w:eastAsia="zh-CN"/>
        </w:rPr>
        <w:t>: 2055207618770325 [PMID: 29942629 DOI: 10.1177/2055207618770325]</w:t>
      </w:r>
    </w:p>
    <w:p w14:paraId="35CDB391"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lastRenderedPageBreak/>
        <w:t xml:space="preserve">66 </w:t>
      </w:r>
      <w:r w:rsidRPr="00251400">
        <w:rPr>
          <w:rFonts w:ascii="Book Antiqua" w:eastAsia="等线" w:hAnsi="Book Antiqua" w:cs="Times New Roman"/>
          <w:b/>
          <w:kern w:val="2"/>
          <w:sz w:val="24"/>
          <w:szCs w:val="24"/>
          <w:lang w:val="en-US" w:eastAsia="zh-CN"/>
        </w:rPr>
        <w:t>Kruse CS</w:t>
      </w:r>
      <w:r w:rsidRPr="00251400">
        <w:rPr>
          <w:rFonts w:ascii="Book Antiqua" w:eastAsia="等线" w:hAnsi="Book Antiqua" w:cs="Times New Roman"/>
          <w:kern w:val="2"/>
          <w:sz w:val="24"/>
          <w:szCs w:val="24"/>
          <w:lang w:val="en-US" w:eastAsia="zh-CN"/>
        </w:rPr>
        <w:t xml:space="preserve">, Kristof C, Jones B, Mitchell E, Martinez A. Barriers to Electronic Health Record Adoption: a Systematic Literature Review. </w:t>
      </w:r>
      <w:r w:rsidRPr="00251400">
        <w:rPr>
          <w:rFonts w:ascii="Book Antiqua" w:eastAsia="等线" w:hAnsi="Book Antiqua" w:cs="Times New Roman"/>
          <w:i/>
          <w:kern w:val="2"/>
          <w:sz w:val="24"/>
          <w:szCs w:val="24"/>
          <w:lang w:val="en-US" w:eastAsia="zh-CN"/>
        </w:rPr>
        <w:t>J Med Syst</w:t>
      </w:r>
      <w:r w:rsidRPr="00251400">
        <w:rPr>
          <w:rFonts w:ascii="Book Antiqua" w:eastAsia="等线" w:hAnsi="Book Antiqua" w:cs="Times New Roman"/>
          <w:kern w:val="2"/>
          <w:sz w:val="24"/>
          <w:szCs w:val="24"/>
          <w:lang w:val="en-US" w:eastAsia="zh-CN"/>
        </w:rPr>
        <w:t xml:space="preserve"> 2016; </w:t>
      </w:r>
      <w:r w:rsidRPr="00251400">
        <w:rPr>
          <w:rFonts w:ascii="Book Antiqua" w:eastAsia="等线" w:hAnsi="Book Antiqua" w:cs="Times New Roman"/>
          <w:b/>
          <w:kern w:val="2"/>
          <w:sz w:val="24"/>
          <w:szCs w:val="24"/>
          <w:lang w:val="en-US" w:eastAsia="zh-CN"/>
        </w:rPr>
        <w:t>40</w:t>
      </w:r>
      <w:r w:rsidRPr="00251400">
        <w:rPr>
          <w:rFonts w:ascii="Book Antiqua" w:eastAsia="等线" w:hAnsi="Book Antiqua" w:cs="Times New Roman"/>
          <w:kern w:val="2"/>
          <w:sz w:val="24"/>
          <w:szCs w:val="24"/>
          <w:lang w:val="en-US" w:eastAsia="zh-CN"/>
        </w:rPr>
        <w:t>: 252 [PMID: 27714560 DOI: 10.1007/s10916-016-0628-9]</w:t>
      </w:r>
    </w:p>
    <w:p w14:paraId="2F6E88DC" w14:textId="731F122D"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67 </w:t>
      </w:r>
      <w:r w:rsidRPr="00251400">
        <w:rPr>
          <w:rFonts w:ascii="Book Antiqua" w:eastAsia="等线" w:hAnsi="Book Antiqua" w:cs="Times New Roman"/>
          <w:b/>
          <w:bCs/>
          <w:kern w:val="2"/>
          <w:sz w:val="24"/>
          <w:szCs w:val="24"/>
          <w:lang w:val="en-US" w:eastAsia="zh-CN"/>
        </w:rPr>
        <w:t>World Health Organization.</w:t>
      </w:r>
      <w:r w:rsidRPr="00251400">
        <w:rPr>
          <w:rFonts w:ascii="Book Antiqua" w:eastAsia="等线" w:hAnsi="Book Antiqua" w:cs="Times New Roman"/>
          <w:kern w:val="2"/>
          <w:sz w:val="24"/>
          <w:szCs w:val="24"/>
          <w:lang w:val="en-US" w:eastAsia="zh-CN"/>
        </w:rPr>
        <w:t xml:space="preserve"> Atlas of eHealth country profiles</w:t>
      </w:r>
      <w:r w:rsidR="00C13A7B" w:rsidRPr="00251400">
        <w:rPr>
          <w:rFonts w:ascii="Book Antiqua" w:eastAsia="等线" w:hAnsi="Book Antiqua" w:cs="Times New Roman"/>
          <w:kern w:val="2"/>
          <w:sz w:val="24"/>
          <w:szCs w:val="24"/>
          <w:lang w:val="en-US" w:eastAsia="zh-CN"/>
        </w:rPr>
        <w:t>:</w:t>
      </w:r>
      <w:r w:rsidRPr="00251400">
        <w:rPr>
          <w:rFonts w:ascii="Book Antiqua" w:eastAsia="等线" w:hAnsi="Book Antiqua" w:cs="Times New Roman"/>
          <w:kern w:val="2"/>
          <w:sz w:val="24"/>
          <w:szCs w:val="24"/>
          <w:lang w:val="en-US" w:eastAsia="zh-CN"/>
        </w:rPr>
        <w:t xml:space="preserve"> The use of eHealth in support of universal health coverage. Based on the findings of the third global survey on eHealth 2015</w:t>
      </w:r>
      <w:r w:rsidR="00C13A7B" w:rsidRPr="00251400">
        <w:rPr>
          <w:rFonts w:ascii="Book Antiqua" w:eastAsia="等线" w:hAnsi="Book Antiqua" w:cs="Times New Roman"/>
          <w:kern w:val="2"/>
          <w:sz w:val="24"/>
          <w:szCs w:val="24"/>
          <w:lang w:val="en-US" w:eastAsia="zh-CN"/>
        </w:rPr>
        <w:t>.</w:t>
      </w:r>
      <w:r w:rsidR="00B71FCE" w:rsidRPr="00251400">
        <w:rPr>
          <w:rFonts w:ascii="Book Antiqua" w:eastAsia="等线" w:hAnsi="Book Antiqua" w:cs="Times New Roman"/>
          <w:kern w:val="2"/>
          <w:sz w:val="24"/>
          <w:szCs w:val="24"/>
          <w:lang w:val="en-US" w:eastAsia="zh-CN"/>
        </w:rPr>
        <w:t xml:space="preserve"> 2016</w:t>
      </w:r>
      <w:r w:rsidR="00C13A7B" w:rsidRPr="00251400">
        <w:rPr>
          <w:rFonts w:ascii="Book Antiqua" w:eastAsia="等线" w:hAnsi="Book Antiqua" w:cs="Times New Roman"/>
          <w:kern w:val="2"/>
          <w:sz w:val="24"/>
          <w:szCs w:val="24"/>
          <w:lang w:val="en-US" w:eastAsia="zh-CN"/>
        </w:rPr>
        <w:t xml:space="preserve"> </w:t>
      </w:r>
      <w:r w:rsidR="00C13A7B" w:rsidRPr="00251400">
        <w:rPr>
          <w:rFonts w:ascii="Book Antiqua" w:hAnsi="Book Antiqua"/>
          <w:bCs/>
          <w:color w:val="000000" w:themeColor="text1"/>
          <w:sz w:val="24"/>
          <w:szCs w:val="24"/>
        </w:rPr>
        <w:t>Available from: https://apps.who.int/iris/bitstream/handle/10665/204523/9789241565219_eng.pdf;sequence=1</w:t>
      </w:r>
    </w:p>
    <w:p w14:paraId="3E8528D4"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68 </w:t>
      </w:r>
      <w:r w:rsidRPr="00251400">
        <w:rPr>
          <w:rFonts w:ascii="Book Antiqua" w:eastAsia="等线" w:hAnsi="Book Antiqua" w:cs="Times New Roman"/>
          <w:b/>
          <w:kern w:val="2"/>
          <w:sz w:val="24"/>
          <w:szCs w:val="24"/>
          <w:lang w:val="en-US" w:eastAsia="zh-CN"/>
        </w:rPr>
        <w:t>Aronson JK</w:t>
      </w:r>
      <w:r w:rsidRPr="00251400">
        <w:rPr>
          <w:rFonts w:ascii="Book Antiqua" w:eastAsia="等线" w:hAnsi="Book Antiqua" w:cs="Times New Roman"/>
          <w:kern w:val="2"/>
          <w:sz w:val="24"/>
          <w:szCs w:val="24"/>
          <w:lang w:val="en-US" w:eastAsia="zh-CN"/>
        </w:rPr>
        <w:t xml:space="preserve">, Ferner RE. Biomarkers-A General Review. </w:t>
      </w:r>
      <w:r w:rsidRPr="00251400">
        <w:rPr>
          <w:rFonts w:ascii="Book Antiqua" w:eastAsia="等线" w:hAnsi="Book Antiqua" w:cs="Times New Roman"/>
          <w:i/>
          <w:kern w:val="2"/>
          <w:sz w:val="24"/>
          <w:szCs w:val="24"/>
          <w:lang w:val="en-US" w:eastAsia="zh-CN"/>
        </w:rPr>
        <w:t>Curr Protoc Pharmacol</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76</w:t>
      </w:r>
      <w:r w:rsidRPr="00251400">
        <w:rPr>
          <w:rFonts w:ascii="Book Antiqua" w:eastAsia="等线" w:hAnsi="Book Antiqua" w:cs="Times New Roman"/>
          <w:kern w:val="2"/>
          <w:sz w:val="24"/>
          <w:szCs w:val="24"/>
          <w:lang w:val="en-US" w:eastAsia="zh-CN"/>
        </w:rPr>
        <w:t>: 9.23.1-9.23.17 [PMID: 28306150 DOI: 10.1002/cpph.19]</w:t>
      </w:r>
    </w:p>
    <w:p w14:paraId="157C1CBE"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69 </w:t>
      </w:r>
      <w:r w:rsidRPr="00251400">
        <w:rPr>
          <w:rFonts w:ascii="Book Antiqua" w:eastAsia="等线" w:hAnsi="Book Antiqua" w:cs="Times New Roman"/>
          <w:b/>
          <w:kern w:val="2"/>
          <w:sz w:val="24"/>
          <w:szCs w:val="24"/>
          <w:lang w:val="en-US" w:eastAsia="zh-CN"/>
        </w:rPr>
        <w:t>Strimbu K</w:t>
      </w:r>
      <w:r w:rsidRPr="00251400">
        <w:rPr>
          <w:rFonts w:ascii="Book Antiqua" w:eastAsia="等线" w:hAnsi="Book Antiqua" w:cs="Times New Roman"/>
          <w:kern w:val="2"/>
          <w:sz w:val="24"/>
          <w:szCs w:val="24"/>
          <w:lang w:val="en-US" w:eastAsia="zh-CN"/>
        </w:rPr>
        <w:t xml:space="preserve">, Tavel JA. What are biomarkers? </w:t>
      </w:r>
      <w:r w:rsidRPr="00251400">
        <w:rPr>
          <w:rFonts w:ascii="Book Antiqua" w:eastAsia="等线" w:hAnsi="Book Antiqua" w:cs="Times New Roman"/>
          <w:i/>
          <w:kern w:val="2"/>
          <w:sz w:val="24"/>
          <w:szCs w:val="24"/>
          <w:lang w:val="en-US" w:eastAsia="zh-CN"/>
        </w:rPr>
        <w:t>Curr Opin HIV AIDS</w:t>
      </w:r>
      <w:r w:rsidRPr="00251400">
        <w:rPr>
          <w:rFonts w:ascii="Book Antiqua" w:eastAsia="等线" w:hAnsi="Book Antiqua" w:cs="Times New Roman"/>
          <w:kern w:val="2"/>
          <w:sz w:val="24"/>
          <w:szCs w:val="24"/>
          <w:lang w:val="en-US" w:eastAsia="zh-CN"/>
        </w:rPr>
        <w:t xml:space="preserve"> 2010; </w:t>
      </w:r>
      <w:r w:rsidRPr="00251400">
        <w:rPr>
          <w:rFonts w:ascii="Book Antiqua" w:eastAsia="等线" w:hAnsi="Book Antiqua" w:cs="Times New Roman"/>
          <w:b/>
          <w:kern w:val="2"/>
          <w:sz w:val="24"/>
          <w:szCs w:val="24"/>
          <w:lang w:val="en-US" w:eastAsia="zh-CN"/>
        </w:rPr>
        <w:t>5</w:t>
      </w:r>
      <w:r w:rsidRPr="00251400">
        <w:rPr>
          <w:rFonts w:ascii="Book Antiqua" w:eastAsia="等线" w:hAnsi="Book Antiqua" w:cs="Times New Roman"/>
          <w:kern w:val="2"/>
          <w:sz w:val="24"/>
          <w:szCs w:val="24"/>
          <w:lang w:val="en-US" w:eastAsia="zh-CN"/>
        </w:rPr>
        <w:t>: 463-466 [PMID: 20978388 DOI: 10.1097/COH.0b013e32833ed177]</w:t>
      </w:r>
    </w:p>
    <w:p w14:paraId="556762B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70 </w:t>
      </w:r>
      <w:r w:rsidRPr="00251400">
        <w:rPr>
          <w:rFonts w:ascii="Book Antiqua" w:eastAsia="等线" w:hAnsi="Book Antiqua" w:cs="Times New Roman"/>
          <w:b/>
          <w:kern w:val="2"/>
          <w:sz w:val="24"/>
          <w:szCs w:val="24"/>
          <w:lang w:val="en-US" w:eastAsia="zh-CN"/>
        </w:rPr>
        <w:t>Cagney DN</w:t>
      </w:r>
      <w:r w:rsidRPr="00251400">
        <w:rPr>
          <w:rFonts w:ascii="Book Antiqua" w:eastAsia="等线" w:hAnsi="Book Antiqua" w:cs="Times New Roman"/>
          <w:kern w:val="2"/>
          <w:sz w:val="24"/>
          <w:szCs w:val="24"/>
          <w:lang w:val="en-US" w:eastAsia="zh-CN"/>
        </w:rPr>
        <w:t xml:space="preserve">, Sul J, Huang RY, Ligon KL, Wen PY, Alexander BM. The FDA NIH Biomarkers, EndpointS, and other Tools (BEST) resource in neuro-oncology. </w:t>
      </w:r>
      <w:r w:rsidRPr="00251400">
        <w:rPr>
          <w:rFonts w:ascii="Book Antiqua" w:eastAsia="等线" w:hAnsi="Book Antiqua" w:cs="Times New Roman"/>
          <w:i/>
          <w:kern w:val="2"/>
          <w:sz w:val="24"/>
          <w:szCs w:val="24"/>
          <w:lang w:val="en-US" w:eastAsia="zh-CN"/>
        </w:rPr>
        <w:t>Neuro Oncol</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20</w:t>
      </w:r>
      <w:r w:rsidRPr="00251400">
        <w:rPr>
          <w:rFonts w:ascii="Book Antiqua" w:eastAsia="等线" w:hAnsi="Book Antiqua" w:cs="Times New Roman"/>
          <w:kern w:val="2"/>
          <w:sz w:val="24"/>
          <w:szCs w:val="24"/>
          <w:lang w:val="en-US" w:eastAsia="zh-CN"/>
        </w:rPr>
        <w:t>: 1162-1172 [PMID: 29294069 DOI: 10.1093/neuonc/nox242]</w:t>
      </w:r>
    </w:p>
    <w:p w14:paraId="7A41E695" w14:textId="49976F9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71 </w:t>
      </w:r>
      <w:r w:rsidRPr="00251400">
        <w:rPr>
          <w:rFonts w:ascii="Book Antiqua" w:eastAsia="等线" w:hAnsi="Book Antiqua" w:cs="Times New Roman"/>
          <w:b/>
          <w:kern w:val="2"/>
          <w:sz w:val="24"/>
          <w:szCs w:val="24"/>
          <w:lang w:val="en-US" w:eastAsia="zh-CN"/>
        </w:rPr>
        <w:t>Coravos A</w:t>
      </w:r>
      <w:r w:rsidRPr="00251400">
        <w:rPr>
          <w:rFonts w:ascii="Book Antiqua" w:eastAsia="等线" w:hAnsi="Book Antiqua" w:cs="Times New Roman"/>
          <w:kern w:val="2"/>
          <w:sz w:val="24"/>
          <w:szCs w:val="24"/>
          <w:lang w:val="en-US" w:eastAsia="zh-CN"/>
        </w:rPr>
        <w:t xml:space="preserve">, Khozin S, Mandl KD. Developing and adopting safe and effective digital biomarkers to improve patient outcomes. </w:t>
      </w:r>
      <w:r w:rsidRPr="00251400">
        <w:rPr>
          <w:rFonts w:ascii="Book Antiqua" w:eastAsia="等线" w:hAnsi="Book Antiqua" w:cs="Times New Roman"/>
          <w:i/>
          <w:kern w:val="2"/>
          <w:sz w:val="24"/>
          <w:szCs w:val="24"/>
          <w:lang w:val="en-US" w:eastAsia="zh-CN"/>
        </w:rPr>
        <w:t>NPJ Digit Med</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w:t>
      </w:r>
      <w:r w:rsidRPr="00251400">
        <w:rPr>
          <w:rFonts w:ascii="Book Antiqua" w:eastAsia="等线" w:hAnsi="Book Antiqua" w:cs="Times New Roman"/>
          <w:kern w:val="2"/>
          <w:sz w:val="24"/>
          <w:szCs w:val="24"/>
          <w:lang w:val="en-US" w:eastAsia="zh-CN"/>
        </w:rPr>
        <w:t xml:space="preserve">: </w:t>
      </w:r>
      <w:r w:rsidR="00C13A7B" w:rsidRPr="00251400">
        <w:rPr>
          <w:rFonts w:ascii="Book Antiqua" w:eastAsia="等线" w:hAnsi="Book Antiqua" w:cs="Times New Roman"/>
          <w:kern w:val="2"/>
          <w:sz w:val="24"/>
          <w:szCs w:val="24"/>
          <w:lang w:val="en-US" w:eastAsia="zh-CN"/>
        </w:rPr>
        <w:t>14</w:t>
      </w:r>
      <w:r w:rsidRPr="00251400">
        <w:rPr>
          <w:rFonts w:ascii="Book Antiqua" w:eastAsia="等线" w:hAnsi="Book Antiqua" w:cs="Times New Roman"/>
          <w:kern w:val="2"/>
          <w:sz w:val="24"/>
          <w:szCs w:val="24"/>
          <w:lang w:val="en-US" w:eastAsia="zh-CN"/>
        </w:rPr>
        <w:t xml:space="preserve"> [PMID: 30868107 DOI: 10.1038/s41746-019-0090-4]</w:t>
      </w:r>
    </w:p>
    <w:p w14:paraId="4D37CA81"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72 </w:t>
      </w:r>
      <w:r w:rsidRPr="00251400">
        <w:rPr>
          <w:rFonts w:ascii="Book Antiqua" w:eastAsia="等线" w:hAnsi="Book Antiqua" w:cs="Times New Roman"/>
          <w:b/>
          <w:kern w:val="2"/>
          <w:sz w:val="24"/>
          <w:szCs w:val="24"/>
          <w:lang w:val="en-US" w:eastAsia="zh-CN"/>
        </w:rPr>
        <w:t>Hudson KL</w:t>
      </w:r>
      <w:r w:rsidRPr="00251400">
        <w:rPr>
          <w:rFonts w:ascii="Book Antiqua" w:eastAsia="等线" w:hAnsi="Book Antiqua" w:cs="Times New Roman"/>
          <w:kern w:val="2"/>
          <w:sz w:val="24"/>
          <w:szCs w:val="24"/>
          <w:lang w:val="en-US" w:eastAsia="zh-CN"/>
        </w:rPr>
        <w:t xml:space="preserve">, Collins FS. The 21st Century Cures Act - A View from the NIH. </w:t>
      </w:r>
      <w:r w:rsidRPr="00251400">
        <w:rPr>
          <w:rFonts w:ascii="Book Antiqua" w:eastAsia="等线" w:hAnsi="Book Antiqua" w:cs="Times New Roman"/>
          <w:i/>
          <w:kern w:val="2"/>
          <w:sz w:val="24"/>
          <w:szCs w:val="24"/>
          <w:lang w:val="en-US" w:eastAsia="zh-CN"/>
        </w:rPr>
        <w:t>N Engl J Med</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376</w:t>
      </w:r>
      <w:r w:rsidRPr="00251400">
        <w:rPr>
          <w:rFonts w:ascii="Book Antiqua" w:eastAsia="等线" w:hAnsi="Book Antiqua" w:cs="Times New Roman"/>
          <w:kern w:val="2"/>
          <w:sz w:val="24"/>
          <w:szCs w:val="24"/>
          <w:lang w:val="en-US" w:eastAsia="zh-CN"/>
        </w:rPr>
        <w:t>: 111-113 [PMID: 27959585 DOI: 10.1056/NEJMp1615745]</w:t>
      </w:r>
    </w:p>
    <w:p w14:paraId="706091C0" w14:textId="3431C5D8"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73 Rodler S. The Role of Digital Biomarkers in Cancer Research and Patient Care. </w:t>
      </w:r>
      <w:r w:rsidRPr="00251400">
        <w:rPr>
          <w:rFonts w:ascii="Book Antiqua" w:eastAsia="等线" w:hAnsi="Book Antiqua" w:cs="Times New Roman"/>
          <w:i/>
          <w:iCs/>
          <w:kern w:val="2"/>
          <w:sz w:val="24"/>
          <w:szCs w:val="24"/>
          <w:lang w:val="en-US" w:eastAsia="zh-CN"/>
        </w:rPr>
        <w:t>Biomedical Journal of Scientific &amp; Technical Research</w:t>
      </w:r>
      <w:r w:rsidRPr="00251400">
        <w:rPr>
          <w:rFonts w:ascii="Book Antiqua" w:eastAsia="等线" w:hAnsi="Book Antiqua" w:cs="Times New Roman"/>
          <w:kern w:val="2"/>
          <w:sz w:val="24"/>
          <w:szCs w:val="24"/>
          <w:lang w:val="en-US" w:eastAsia="zh-CN"/>
        </w:rPr>
        <w:t xml:space="preserve"> 2019; 17</w:t>
      </w:r>
      <w:r w:rsidR="00C13A7B" w:rsidRPr="00251400">
        <w:rPr>
          <w:rFonts w:ascii="Book Antiqua" w:eastAsia="等线" w:hAnsi="Book Antiqua" w:cs="Times New Roman"/>
          <w:kern w:val="2"/>
          <w:sz w:val="24"/>
          <w:szCs w:val="24"/>
          <w:lang w:val="en-US" w:eastAsia="zh-CN"/>
        </w:rPr>
        <w:t>: 12870-12872</w:t>
      </w:r>
      <w:r w:rsidRPr="00251400">
        <w:rPr>
          <w:rFonts w:ascii="Book Antiqua" w:eastAsia="等线" w:hAnsi="Book Antiqua" w:cs="Times New Roman"/>
          <w:kern w:val="2"/>
          <w:sz w:val="24"/>
          <w:szCs w:val="24"/>
          <w:lang w:val="en-US" w:eastAsia="zh-CN"/>
        </w:rPr>
        <w:t xml:space="preserve"> [DOI: 10.26717/BJSTR.2019.17.003009]</w:t>
      </w:r>
    </w:p>
    <w:p w14:paraId="43C45941" w14:textId="1FCC9838"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74 </w:t>
      </w:r>
      <w:r w:rsidRPr="00251400">
        <w:rPr>
          <w:rFonts w:ascii="Book Antiqua" w:eastAsia="等线" w:hAnsi="Book Antiqua" w:cs="Times New Roman"/>
          <w:b/>
          <w:kern w:val="2"/>
          <w:sz w:val="24"/>
          <w:szCs w:val="24"/>
          <w:lang w:val="en-US" w:eastAsia="zh-CN"/>
        </w:rPr>
        <w:t>Kourtis LC</w:t>
      </w:r>
      <w:r w:rsidRPr="00251400">
        <w:rPr>
          <w:rFonts w:ascii="Book Antiqua" w:eastAsia="等线" w:hAnsi="Book Antiqua" w:cs="Times New Roman"/>
          <w:kern w:val="2"/>
          <w:sz w:val="24"/>
          <w:szCs w:val="24"/>
          <w:lang w:val="en-US" w:eastAsia="zh-CN"/>
        </w:rPr>
        <w:t xml:space="preserve">, Regele OB, Wright JM, Jones GB. Digital biomarkers for Alzheimer's disease: the mobile/ wearable devices opportunity. </w:t>
      </w:r>
      <w:r w:rsidRPr="00251400">
        <w:rPr>
          <w:rFonts w:ascii="Book Antiqua" w:eastAsia="等线" w:hAnsi="Book Antiqua" w:cs="Times New Roman"/>
          <w:i/>
          <w:kern w:val="2"/>
          <w:sz w:val="24"/>
          <w:szCs w:val="24"/>
          <w:lang w:val="en-US" w:eastAsia="zh-CN"/>
        </w:rPr>
        <w:t>NPJ Digit Med</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w:t>
      </w:r>
      <w:r w:rsidRPr="00251400">
        <w:rPr>
          <w:rFonts w:ascii="Book Antiqua" w:eastAsia="等线" w:hAnsi="Book Antiqua" w:cs="Times New Roman"/>
          <w:kern w:val="2"/>
          <w:sz w:val="24"/>
          <w:szCs w:val="24"/>
          <w:lang w:val="en-US" w:eastAsia="zh-CN"/>
        </w:rPr>
        <w:t xml:space="preserve">: </w:t>
      </w:r>
      <w:r w:rsidR="004A14E6" w:rsidRPr="00251400">
        <w:rPr>
          <w:rFonts w:ascii="Book Antiqua" w:eastAsia="等线" w:hAnsi="Book Antiqua" w:cs="Times New Roman"/>
          <w:kern w:val="2"/>
          <w:sz w:val="24"/>
          <w:szCs w:val="24"/>
          <w:lang w:val="en-US" w:eastAsia="zh-CN"/>
        </w:rPr>
        <w:t xml:space="preserve">9 </w:t>
      </w:r>
      <w:r w:rsidRPr="00251400">
        <w:rPr>
          <w:rFonts w:ascii="Book Antiqua" w:eastAsia="等线" w:hAnsi="Book Antiqua" w:cs="Times New Roman"/>
          <w:kern w:val="2"/>
          <w:sz w:val="24"/>
          <w:szCs w:val="24"/>
          <w:lang w:val="en-US" w:eastAsia="zh-CN"/>
        </w:rPr>
        <w:t xml:space="preserve">[PMID: </w:t>
      </w:r>
      <w:bookmarkStart w:id="8" w:name="OLE_LINK1"/>
      <w:bookmarkStart w:id="9" w:name="OLE_LINK2"/>
      <w:r w:rsidRPr="00251400">
        <w:rPr>
          <w:rFonts w:ascii="Book Antiqua" w:eastAsia="等线" w:hAnsi="Book Antiqua" w:cs="Times New Roman"/>
          <w:kern w:val="2"/>
          <w:sz w:val="24"/>
          <w:szCs w:val="24"/>
          <w:lang w:val="en-US" w:eastAsia="zh-CN"/>
        </w:rPr>
        <w:t>31119198</w:t>
      </w:r>
      <w:bookmarkEnd w:id="8"/>
      <w:bookmarkEnd w:id="9"/>
      <w:r w:rsidRPr="00251400">
        <w:rPr>
          <w:rFonts w:ascii="Book Antiqua" w:eastAsia="等线" w:hAnsi="Book Antiqua" w:cs="Times New Roman"/>
          <w:kern w:val="2"/>
          <w:sz w:val="24"/>
          <w:szCs w:val="24"/>
          <w:lang w:val="en-US" w:eastAsia="zh-CN"/>
        </w:rPr>
        <w:t xml:space="preserve"> DOI: 10.1038/s41746-019-0084-2]</w:t>
      </w:r>
    </w:p>
    <w:p w14:paraId="5EA0D8AB"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75 </w:t>
      </w:r>
      <w:r w:rsidRPr="00251400">
        <w:rPr>
          <w:rFonts w:ascii="Book Antiqua" w:eastAsia="等线" w:hAnsi="Book Antiqua" w:cs="Times New Roman"/>
          <w:b/>
          <w:kern w:val="2"/>
          <w:sz w:val="24"/>
          <w:szCs w:val="24"/>
          <w:lang w:val="en-US" w:eastAsia="zh-CN"/>
        </w:rPr>
        <w:t>Baxter C</w:t>
      </w:r>
      <w:r w:rsidRPr="00251400">
        <w:rPr>
          <w:rFonts w:ascii="Book Antiqua" w:eastAsia="等线" w:hAnsi="Book Antiqua" w:cs="Times New Roman"/>
          <w:kern w:val="2"/>
          <w:sz w:val="24"/>
          <w:szCs w:val="24"/>
          <w:lang w:val="en-US" w:eastAsia="zh-CN"/>
        </w:rPr>
        <w:t xml:space="preserve">, Carroll JA, Keogh B, Vandelanotte C. Assessment of Mobile Health Apps Using Built-In Smartphone Sensors for Diagnosis and Treatment: Systematic Survey of Apps Listed in International Curated Health App Libraries.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2020; </w:t>
      </w:r>
      <w:r w:rsidRPr="00251400">
        <w:rPr>
          <w:rFonts w:ascii="Book Antiqua" w:eastAsia="等线" w:hAnsi="Book Antiqua" w:cs="Times New Roman"/>
          <w:b/>
          <w:kern w:val="2"/>
          <w:sz w:val="24"/>
          <w:szCs w:val="24"/>
          <w:lang w:val="en-US" w:eastAsia="zh-CN"/>
        </w:rPr>
        <w:t>8</w:t>
      </w:r>
      <w:r w:rsidRPr="00251400">
        <w:rPr>
          <w:rFonts w:ascii="Book Antiqua" w:eastAsia="等线" w:hAnsi="Book Antiqua" w:cs="Times New Roman"/>
          <w:kern w:val="2"/>
          <w:sz w:val="24"/>
          <w:szCs w:val="24"/>
          <w:lang w:val="en-US" w:eastAsia="zh-CN"/>
        </w:rPr>
        <w:t>: e16741 [PMID: 32012102 DOI: 10.2196/16741]</w:t>
      </w:r>
    </w:p>
    <w:p w14:paraId="5BA511F4"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76 </w:t>
      </w:r>
      <w:r w:rsidRPr="00251400">
        <w:rPr>
          <w:rFonts w:ascii="Book Antiqua" w:eastAsia="等线" w:hAnsi="Book Antiqua" w:cs="Times New Roman"/>
          <w:b/>
          <w:kern w:val="2"/>
          <w:sz w:val="24"/>
          <w:szCs w:val="24"/>
          <w:lang w:val="en-US" w:eastAsia="zh-CN"/>
        </w:rPr>
        <w:t>Piau A</w:t>
      </w:r>
      <w:r w:rsidRPr="00251400">
        <w:rPr>
          <w:rFonts w:ascii="Book Antiqua" w:eastAsia="等线" w:hAnsi="Book Antiqua" w:cs="Times New Roman"/>
          <w:kern w:val="2"/>
          <w:sz w:val="24"/>
          <w:szCs w:val="24"/>
          <w:lang w:val="en-US" w:eastAsia="zh-CN"/>
        </w:rPr>
        <w:t xml:space="preserve">, Wild K, Mattek N, Kaye J. Current State of Digital Biomarker Technologies for Real-Life, Home-Based Monitoring of Cognitive Function for Mild </w:t>
      </w:r>
      <w:r w:rsidRPr="00251400">
        <w:rPr>
          <w:rFonts w:ascii="Book Antiqua" w:eastAsia="等线" w:hAnsi="Book Antiqua" w:cs="Times New Roman"/>
          <w:kern w:val="2"/>
          <w:sz w:val="24"/>
          <w:szCs w:val="24"/>
          <w:lang w:val="en-US" w:eastAsia="zh-CN"/>
        </w:rPr>
        <w:lastRenderedPageBreak/>
        <w:t xml:space="preserve">Cognitive Impairment to Mild Alzheimer Disease and Implications for Clinical Care: Systematic Review.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21</w:t>
      </w:r>
      <w:r w:rsidRPr="00251400">
        <w:rPr>
          <w:rFonts w:ascii="Book Antiqua" w:eastAsia="等线" w:hAnsi="Book Antiqua" w:cs="Times New Roman"/>
          <w:kern w:val="2"/>
          <w:sz w:val="24"/>
          <w:szCs w:val="24"/>
          <w:lang w:val="en-US" w:eastAsia="zh-CN"/>
        </w:rPr>
        <w:t>: e12785 [PMID: 31471958 DOI: 10.2196/12785]</w:t>
      </w:r>
    </w:p>
    <w:p w14:paraId="66AEA4D1"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77 </w:t>
      </w:r>
      <w:r w:rsidRPr="00251400">
        <w:rPr>
          <w:rFonts w:ascii="Book Antiqua" w:eastAsia="等线" w:hAnsi="Book Antiqua" w:cs="Times New Roman"/>
          <w:b/>
          <w:kern w:val="2"/>
          <w:sz w:val="24"/>
          <w:szCs w:val="24"/>
          <w:lang w:val="en-US" w:eastAsia="zh-CN"/>
        </w:rPr>
        <w:t>Murray E</w:t>
      </w:r>
      <w:r w:rsidRPr="00251400">
        <w:rPr>
          <w:rFonts w:ascii="Book Antiqua" w:eastAsia="等线" w:hAnsi="Book Antiqua" w:cs="Times New Roman"/>
          <w:kern w:val="2"/>
          <w:sz w:val="24"/>
          <w:szCs w:val="24"/>
          <w:lang w:val="en-US" w:eastAsia="zh-CN"/>
        </w:rPr>
        <w:t xml:space="preserve">, Hekler EB, Andersson G, Collins LM, Doherty A, Hollis C, Rivera DE, West R, Wyatt JC. Evaluating Digital Health Interventions: Key Questions and Approaches. </w:t>
      </w:r>
      <w:r w:rsidRPr="00251400">
        <w:rPr>
          <w:rFonts w:ascii="Book Antiqua" w:eastAsia="等线" w:hAnsi="Book Antiqua" w:cs="Times New Roman"/>
          <w:i/>
          <w:kern w:val="2"/>
          <w:sz w:val="24"/>
          <w:szCs w:val="24"/>
          <w:lang w:val="en-US" w:eastAsia="zh-CN"/>
        </w:rPr>
        <w:t>Am J Prev Med</w:t>
      </w:r>
      <w:r w:rsidRPr="00251400">
        <w:rPr>
          <w:rFonts w:ascii="Book Antiqua" w:eastAsia="等线" w:hAnsi="Book Antiqua" w:cs="Times New Roman"/>
          <w:kern w:val="2"/>
          <w:sz w:val="24"/>
          <w:szCs w:val="24"/>
          <w:lang w:val="en-US" w:eastAsia="zh-CN"/>
        </w:rPr>
        <w:t xml:space="preserve"> 2016; </w:t>
      </w:r>
      <w:r w:rsidRPr="00251400">
        <w:rPr>
          <w:rFonts w:ascii="Book Antiqua" w:eastAsia="等线" w:hAnsi="Book Antiqua" w:cs="Times New Roman"/>
          <w:b/>
          <w:kern w:val="2"/>
          <w:sz w:val="24"/>
          <w:szCs w:val="24"/>
          <w:lang w:val="en-US" w:eastAsia="zh-CN"/>
        </w:rPr>
        <w:t>51</w:t>
      </w:r>
      <w:r w:rsidRPr="00251400">
        <w:rPr>
          <w:rFonts w:ascii="Book Antiqua" w:eastAsia="等线" w:hAnsi="Book Antiqua" w:cs="Times New Roman"/>
          <w:kern w:val="2"/>
          <w:sz w:val="24"/>
          <w:szCs w:val="24"/>
          <w:lang w:val="en-US" w:eastAsia="zh-CN"/>
        </w:rPr>
        <w:t>: 843-851 [PMID: 27745684 DOI: 10.1016/j.amepre.2016.06.008]</w:t>
      </w:r>
    </w:p>
    <w:p w14:paraId="54F5C456"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78 </w:t>
      </w:r>
      <w:r w:rsidRPr="00251400">
        <w:rPr>
          <w:rFonts w:ascii="Book Antiqua" w:eastAsia="等线" w:hAnsi="Book Antiqua" w:cs="Times New Roman"/>
          <w:b/>
          <w:kern w:val="2"/>
          <w:sz w:val="24"/>
          <w:szCs w:val="24"/>
          <w:lang w:val="en-US" w:eastAsia="zh-CN"/>
        </w:rPr>
        <w:t>Mathews SC</w:t>
      </w:r>
      <w:r w:rsidRPr="00251400">
        <w:rPr>
          <w:rFonts w:ascii="Book Antiqua" w:eastAsia="等线" w:hAnsi="Book Antiqua" w:cs="Times New Roman"/>
          <w:kern w:val="2"/>
          <w:sz w:val="24"/>
          <w:szCs w:val="24"/>
          <w:lang w:val="en-US" w:eastAsia="zh-CN"/>
        </w:rPr>
        <w:t xml:space="preserve">, McShea MJ, Hanley CL, Ravitz A, Labrique AB, Cohen AB. Digital health: a path to validation. </w:t>
      </w:r>
      <w:r w:rsidRPr="00251400">
        <w:rPr>
          <w:rFonts w:ascii="Book Antiqua" w:eastAsia="等线" w:hAnsi="Book Antiqua" w:cs="Times New Roman"/>
          <w:i/>
          <w:kern w:val="2"/>
          <w:sz w:val="24"/>
          <w:szCs w:val="24"/>
          <w:lang w:val="en-US" w:eastAsia="zh-CN"/>
        </w:rPr>
        <w:t>NPJ Digit Med</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w:t>
      </w:r>
      <w:r w:rsidRPr="00251400">
        <w:rPr>
          <w:rFonts w:ascii="Book Antiqua" w:eastAsia="等线" w:hAnsi="Book Antiqua" w:cs="Times New Roman"/>
          <w:kern w:val="2"/>
          <w:sz w:val="24"/>
          <w:szCs w:val="24"/>
          <w:lang w:val="en-US" w:eastAsia="zh-CN"/>
        </w:rPr>
        <w:t>: 38 [PMID: 31304384 DOI: 10.1038/s41746-019-0111-3]</w:t>
      </w:r>
    </w:p>
    <w:p w14:paraId="7379EBFC"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79 </w:t>
      </w:r>
      <w:r w:rsidRPr="00251400">
        <w:rPr>
          <w:rFonts w:ascii="Book Antiqua" w:eastAsia="等线" w:hAnsi="Book Antiqua" w:cs="Times New Roman"/>
          <w:b/>
          <w:kern w:val="2"/>
          <w:sz w:val="24"/>
          <w:szCs w:val="24"/>
          <w:lang w:val="en-US" w:eastAsia="zh-CN"/>
        </w:rPr>
        <w:t>Huckvale K</w:t>
      </w:r>
      <w:r w:rsidRPr="00251400">
        <w:rPr>
          <w:rFonts w:ascii="Book Antiqua" w:eastAsia="等线" w:hAnsi="Book Antiqua" w:cs="Times New Roman"/>
          <w:kern w:val="2"/>
          <w:sz w:val="24"/>
          <w:szCs w:val="24"/>
          <w:lang w:val="en-US" w:eastAsia="zh-CN"/>
        </w:rPr>
        <w:t xml:space="preserve">, Morrison C, Ouyang J, Ghaghda A, Car J. The evolution of mobile apps for asthma: an updated systematic assessment of content and tools. </w:t>
      </w:r>
      <w:r w:rsidRPr="00251400">
        <w:rPr>
          <w:rFonts w:ascii="Book Antiqua" w:eastAsia="等线" w:hAnsi="Book Antiqua" w:cs="Times New Roman"/>
          <w:i/>
          <w:kern w:val="2"/>
          <w:sz w:val="24"/>
          <w:szCs w:val="24"/>
          <w:lang w:val="en-US" w:eastAsia="zh-CN"/>
        </w:rPr>
        <w:t>BMC Med</w:t>
      </w:r>
      <w:r w:rsidRPr="00251400">
        <w:rPr>
          <w:rFonts w:ascii="Book Antiqua" w:eastAsia="等线" w:hAnsi="Book Antiqua" w:cs="Times New Roman"/>
          <w:kern w:val="2"/>
          <w:sz w:val="24"/>
          <w:szCs w:val="24"/>
          <w:lang w:val="en-US" w:eastAsia="zh-CN"/>
        </w:rPr>
        <w:t xml:space="preserve"> 2015; </w:t>
      </w:r>
      <w:r w:rsidRPr="00251400">
        <w:rPr>
          <w:rFonts w:ascii="Book Antiqua" w:eastAsia="等线" w:hAnsi="Book Antiqua" w:cs="Times New Roman"/>
          <w:b/>
          <w:kern w:val="2"/>
          <w:sz w:val="24"/>
          <w:szCs w:val="24"/>
          <w:lang w:val="en-US" w:eastAsia="zh-CN"/>
        </w:rPr>
        <w:t>13</w:t>
      </w:r>
      <w:r w:rsidRPr="00251400">
        <w:rPr>
          <w:rFonts w:ascii="Book Antiqua" w:eastAsia="等线" w:hAnsi="Book Antiqua" w:cs="Times New Roman"/>
          <w:kern w:val="2"/>
          <w:sz w:val="24"/>
          <w:szCs w:val="24"/>
          <w:lang w:val="en-US" w:eastAsia="zh-CN"/>
        </w:rPr>
        <w:t>: 58 [PMID: 25857569 DOI: 10.1186/s12916-015-0303-x]</w:t>
      </w:r>
    </w:p>
    <w:p w14:paraId="275F0D19"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80 </w:t>
      </w:r>
      <w:r w:rsidRPr="00251400">
        <w:rPr>
          <w:rFonts w:ascii="Book Antiqua" w:eastAsia="等线" w:hAnsi="Book Antiqua" w:cs="Times New Roman"/>
          <w:b/>
          <w:kern w:val="2"/>
          <w:sz w:val="24"/>
          <w:szCs w:val="24"/>
          <w:lang w:val="en-US" w:eastAsia="zh-CN"/>
        </w:rPr>
        <w:t>Huang Z</w:t>
      </w:r>
      <w:r w:rsidRPr="00251400">
        <w:rPr>
          <w:rFonts w:ascii="Book Antiqua" w:eastAsia="等线" w:hAnsi="Book Antiqua" w:cs="Times New Roman"/>
          <w:kern w:val="2"/>
          <w:sz w:val="24"/>
          <w:szCs w:val="24"/>
          <w:lang w:val="en-US" w:eastAsia="zh-CN"/>
        </w:rPr>
        <w:t xml:space="preserve">, Lum E, Jimenez G, Semwal M, Sloot P, Car J. Medication management support in diabetes: a systematic assessment of diabetes self-management apps. </w:t>
      </w:r>
      <w:r w:rsidRPr="00251400">
        <w:rPr>
          <w:rFonts w:ascii="Book Antiqua" w:eastAsia="等线" w:hAnsi="Book Antiqua" w:cs="Times New Roman"/>
          <w:i/>
          <w:kern w:val="2"/>
          <w:sz w:val="24"/>
          <w:szCs w:val="24"/>
          <w:lang w:val="en-US" w:eastAsia="zh-CN"/>
        </w:rPr>
        <w:t>BMC Med</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17</w:t>
      </w:r>
      <w:r w:rsidRPr="00251400">
        <w:rPr>
          <w:rFonts w:ascii="Book Antiqua" w:eastAsia="等线" w:hAnsi="Book Antiqua" w:cs="Times New Roman"/>
          <w:kern w:val="2"/>
          <w:sz w:val="24"/>
          <w:szCs w:val="24"/>
          <w:lang w:val="en-US" w:eastAsia="zh-CN"/>
        </w:rPr>
        <w:t>: 127 [PMID: 31311573 DOI: 10.1186/s12916-019-1362-1]</w:t>
      </w:r>
    </w:p>
    <w:p w14:paraId="048636F3"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81 </w:t>
      </w:r>
      <w:r w:rsidRPr="00251400">
        <w:rPr>
          <w:rFonts w:ascii="Book Antiqua" w:eastAsia="等线" w:hAnsi="Book Antiqua" w:cs="Times New Roman"/>
          <w:b/>
          <w:kern w:val="2"/>
          <w:sz w:val="24"/>
          <w:szCs w:val="24"/>
          <w:lang w:val="en-US" w:eastAsia="zh-CN"/>
        </w:rPr>
        <w:t>Choi YK</w:t>
      </w:r>
      <w:r w:rsidRPr="00251400">
        <w:rPr>
          <w:rFonts w:ascii="Book Antiqua" w:eastAsia="等线" w:hAnsi="Book Antiqua" w:cs="Times New Roman"/>
          <w:kern w:val="2"/>
          <w:sz w:val="24"/>
          <w:szCs w:val="24"/>
          <w:lang w:val="en-US" w:eastAsia="zh-CN"/>
        </w:rPr>
        <w:t xml:space="preserve">, Demiris G, Lin SY, Iribarren SJ, Landis CA, Thompson HJ, McCurry SM, Heitkemper MM, Ward TM. Smartphone Applications to Support Sleep Self-Management: Review and Evaluation. </w:t>
      </w:r>
      <w:r w:rsidRPr="00251400">
        <w:rPr>
          <w:rFonts w:ascii="Book Antiqua" w:eastAsia="等线" w:hAnsi="Book Antiqua" w:cs="Times New Roman"/>
          <w:i/>
          <w:kern w:val="2"/>
          <w:sz w:val="24"/>
          <w:szCs w:val="24"/>
          <w:lang w:val="en-US" w:eastAsia="zh-CN"/>
        </w:rPr>
        <w:t>J Clin Sleep Med</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14</w:t>
      </w:r>
      <w:r w:rsidRPr="00251400">
        <w:rPr>
          <w:rFonts w:ascii="Book Antiqua" w:eastAsia="等线" w:hAnsi="Book Antiqua" w:cs="Times New Roman"/>
          <w:kern w:val="2"/>
          <w:sz w:val="24"/>
          <w:szCs w:val="24"/>
          <w:lang w:val="en-US" w:eastAsia="zh-CN"/>
        </w:rPr>
        <w:t>: 1783-1790 [PMID: 30353814 DOI: 10.5664/jcsm.7396]</w:t>
      </w:r>
    </w:p>
    <w:p w14:paraId="2BF6CAF7"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82 </w:t>
      </w:r>
      <w:r w:rsidRPr="00251400">
        <w:rPr>
          <w:rFonts w:ascii="Book Antiqua" w:eastAsia="等线" w:hAnsi="Book Antiqua" w:cs="Times New Roman"/>
          <w:b/>
          <w:kern w:val="2"/>
          <w:sz w:val="24"/>
          <w:szCs w:val="24"/>
          <w:lang w:val="en-US" w:eastAsia="zh-CN"/>
        </w:rPr>
        <w:t>Vilardaga R</w:t>
      </w:r>
      <w:r w:rsidRPr="00251400">
        <w:rPr>
          <w:rFonts w:ascii="Book Antiqua" w:eastAsia="等线" w:hAnsi="Book Antiqua" w:cs="Times New Roman"/>
          <w:kern w:val="2"/>
          <w:sz w:val="24"/>
          <w:szCs w:val="24"/>
          <w:lang w:val="en-US" w:eastAsia="zh-CN"/>
        </w:rPr>
        <w:t xml:space="preserve">, Casellas-Pujol E, McClernon JF, Garrison KA. Mobile Applications for the Treatment of Tobacco Use and Dependence. </w:t>
      </w:r>
      <w:r w:rsidRPr="00251400">
        <w:rPr>
          <w:rFonts w:ascii="Book Antiqua" w:eastAsia="等线" w:hAnsi="Book Antiqua" w:cs="Times New Roman"/>
          <w:i/>
          <w:kern w:val="2"/>
          <w:sz w:val="24"/>
          <w:szCs w:val="24"/>
          <w:lang w:val="en-US" w:eastAsia="zh-CN"/>
        </w:rPr>
        <w:t>Curr Addict Rep</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6</w:t>
      </w:r>
      <w:r w:rsidRPr="00251400">
        <w:rPr>
          <w:rFonts w:ascii="Book Antiqua" w:eastAsia="等线" w:hAnsi="Book Antiqua" w:cs="Times New Roman"/>
          <w:kern w:val="2"/>
          <w:sz w:val="24"/>
          <w:szCs w:val="24"/>
          <w:lang w:val="en-US" w:eastAsia="zh-CN"/>
        </w:rPr>
        <w:t>: 86-97 [PMID: 32010548 DOI: 10.1007/s40429-019-00248-0]</w:t>
      </w:r>
    </w:p>
    <w:p w14:paraId="35D5328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83 </w:t>
      </w:r>
      <w:r w:rsidRPr="00251400">
        <w:rPr>
          <w:rFonts w:ascii="Book Antiqua" w:eastAsia="等线" w:hAnsi="Book Antiqua" w:cs="Times New Roman"/>
          <w:b/>
          <w:kern w:val="2"/>
          <w:sz w:val="24"/>
          <w:szCs w:val="24"/>
          <w:lang w:val="en-US" w:eastAsia="zh-CN"/>
        </w:rPr>
        <w:t>Alessa T</w:t>
      </w:r>
      <w:r w:rsidRPr="00251400">
        <w:rPr>
          <w:rFonts w:ascii="Book Antiqua" w:eastAsia="等线" w:hAnsi="Book Antiqua" w:cs="Times New Roman"/>
          <w:kern w:val="2"/>
          <w:sz w:val="24"/>
          <w:szCs w:val="24"/>
          <w:lang w:val="en-US" w:eastAsia="zh-CN"/>
        </w:rPr>
        <w:t xml:space="preserve">, Hawley MS, Hock ES, de Witte L. Smartphone Apps to Support Self-Management of Hypertension: Review and Content Analysis.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7</w:t>
      </w:r>
      <w:r w:rsidRPr="00251400">
        <w:rPr>
          <w:rFonts w:ascii="Book Antiqua" w:eastAsia="等线" w:hAnsi="Book Antiqua" w:cs="Times New Roman"/>
          <w:kern w:val="2"/>
          <w:sz w:val="24"/>
          <w:szCs w:val="24"/>
          <w:lang w:val="en-US" w:eastAsia="zh-CN"/>
        </w:rPr>
        <w:t>: e13645 [PMID: 31140434 DOI: 10.2196/13645]</w:t>
      </w:r>
    </w:p>
    <w:p w14:paraId="4F006C37"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84 </w:t>
      </w:r>
      <w:r w:rsidRPr="00251400">
        <w:rPr>
          <w:rFonts w:ascii="Book Antiqua" w:eastAsia="等线" w:hAnsi="Book Antiqua" w:cs="Times New Roman"/>
          <w:b/>
          <w:kern w:val="2"/>
          <w:sz w:val="24"/>
          <w:szCs w:val="24"/>
          <w:lang w:val="en-US" w:eastAsia="zh-CN"/>
        </w:rPr>
        <w:t>Nouri R</w:t>
      </w:r>
      <w:r w:rsidRPr="00251400">
        <w:rPr>
          <w:rFonts w:ascii="Book Antiqua" w:eastAsia="等线" w:hAnsi="Book Antiqua" w:cs="Times New Roman"/>
          <w:kern w:val="2"/>
          <w:sz w:val="24"/>
          <w:szCs w:val="24"/>
          <w:lang w:val="en-US" w:eastAsia="zh-CN"/>
        </w:rPr>
        <w:t xml:space="preserve">, R Niakan Kalhori S, Ghazisaeedi M, Marchand G, Yasini M. Criteria for assessing the quality of mHealth apps: a systematic review. </w:t>
      </w:r>
      <w:r w:rsidRPr="00251400">
        <w:rPr>
          <w:rFonts w:ascii="Book Antiqua" w:eastAsia="等线" w:hAnsi="Book Antiqua" w:cs="Times New Roman"/>
          <w:i/>
          <w:kern w:val="2"/>
          <w:sz w:val="24"/>
          <w:szCs w:val="24"/>
          <w:lang w:val="en-US" w:eastAsia="zh-CN"/>
        </w:rPr>
        <w:t>J Am Med Inform Assoc</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25</w:t>
      </w:r>
      <w:r w:rsidRPr="00251400">
        <w:rPr>
          <w:rFonts w:ascii="Book Antiqua" w:eastAsia="等线" w:hAnsi="Book Antiqua" w:cs="Times New Roman"/>
          <w:kern w:val="2"/>
          <w:sz w:val="24"/>
          <w:szCs w:val="24"/>
          <w:lang w:val="en-US" w:eastAsia="zh-CN"/>
        </w:rPr>
        <w:t>: 1089-1098 [PMID: 29788283 DOI: 10.1093/jamia/ocy050]</w:t>
      </w:r>
    </w:p>
    <w:p w14:paraId="5E44478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85 </w:t>
      </w:r>
      <w:r w:rsidRPr="00251400">
        <w:rPr>
          <w:rFonts w:ascii="Book Antiqua" w:eastAsia="等线" w:hAnsi="Book Antiqua" w:cs="Times New Roman"/>
          <w:b/>
          <w:kern w:val="2"/>
          <w:sz w:val="24"/>
          <w:szCs w:val="24"/>
          <w:lang w:val="en-US" w:eastAsia="zh-CN"/>
        </w:rPr>
        <w:t>Knitza J</w:t>
      </w:r>
      <w:r w:rsidRPr="00251400">
        <w:rPr>
          <w:rFonts w:ascii="Book Antiqua" w:eastAsia="等线" w:hAnsi="Book Antiqua" w:cs="Times New Roman"/>
          <w:kern w:val="2"/>
          <w:sz w:val="24"/>
          <w:szCs w:val="24"/>
          <w:lang w:val="en-US" w:eastAsia="zh-CN"/>
        </w:rPr>
        <w:t xml:space="preserve">, Tascilar K, Messner EM, Meyer M, Vossen D, Pulla A, Bosch P, Kittler J, Kleyer A, Sewerin P, Mucke J, Haase I, Simon D, Krusche M. German Mobile Apps in Rheumatology: Review and Analysis Using the Mobile Application Rating Scale </w:t>
      </w:r>
      <w:r w:rsidRPr="00251400">
        <w:rPr>
          <w:rFonts w:ascii="Book Antiqua" w:eastAsia="等线" w:hAnsi="Book Antiqua" w:cs="Times New Roman"/>
          <w:kern w:val="2"/>
          <w:sz w:val="24"/>
          <w:szCs w:val="24"/>
          <w:lang w:val="en-US" w:eastAsia="zh-CN"/>
        </w:rPr>
        <w:lastRenderedPageBreak/>
        <w:t xml:space="preserve">(MARS).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7</w:t>
      </w:r>
      <w:r w:rsidRPr="00251400">
        <w:rPr>
          <w:rFonts w:ascii="Book Antiqua" w:eastAsia="等线" w:hAnsi="Book Antiqua" w:cs="Times New Roman"/>
          <w:kern w:val="2"/>
          <w:sz w:val="24"/>
          <w:szCs w:val="24"/>
          <w:lang w:val="en-US" w:eastAsia="zh-CN"/>
        </w:rPr>
        <w:t>: e14991 [PMID: 31381501 DOI: 10.2196/14991]</w:t>
      </w:r>
    </w:p>
    <w:p w14:paraId="7C79062B"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86 </w:t>
      </w:r>
      <w:r w:rsidRPr="00251400">
        <w:rPr>
          <w:rFonts w:ascii="Book Antiqua" w:eastAsia="等线" w:hAnsi="Book Antiqua" w:cs="Times New Roman"/>
          <w:b/>
          <w:kern w:val="2"/>
          <w:sz w:val="24"/>
          <w:szCs w:val="24"/>
          <w:lang w:val="en-US" w:eastAsia="zh-CN"/>
        </w:rPr>
        <w:t>Stoyanov SR</w:t>
      </w:r>
      <w:r w:rsidRPr="00251400">
        <w:rPr>
          <w:rFonts w:ascii="Book Antiqua" w:eastAsia="等线" w:hAnsi="Book Antiqua" w:cs="Times New Roman"/>
          <w:kern w:val="2"/>
          <w:sz w:val="24"/>
          <w:szCs w:val="24"/>
          <w:lang w:val="en-US" w:eastAsia="zh-CN"/>
        </w:rPr>
        <w:t xml:space="preserve">, Hides L, Kavanagh DJ, Zelenko O, Tjondronegoro D, Mani M. Mobile app rating scale: a new tool for assessing the quality of health mobile apps.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2015; </w:t>
      </w:r>
      <w:r w:rsidRPr="00251400">
        <w:rPr>
          <w:rFonts w:ascii="Book Antiqua" w:eastAsia="等线" w:hAnsi="Book Antiqua" w:cs="Times New Roman"/>
          <w:b/>
          <w:kern w:val="2"/>
          <w:sz w:val="24"/>
          <w:szCs w:val="24"/>
          <w:lang w:val="en-US" w:eastAsia="zh-CN"/>
        </w:rPr>
        <w:t>3</w:t>
      </w:r>
      <w:r w:rsidRPr="00251400">
        <w:rPr>
          <w:rFonts w:ascii="Book Antiqua" w:eastAsia="等线" w:hAnsi="Book Antiqua" w:cs="Times New Roman"/>
          <w:kern w:val="2"/>
          <w:sz w:val="24"/>
          <w:szCs w:val="24"/>
          <w:lang w:val="en-US" w:eastAsia="zh-CN"/>
        </w:rPr>
        <w:t>: e27 [PMID: 25760773 DOI: 10.2196/mhealth.3422]</w:t>
      </w:r>
    </w:p>
    <w:p w14:paraId="49EE90B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87 </w:t>
      </w:r>
      <w:r w:rsidRPr="00251400">
        <w:rPr>
          <w:rFonts w:ascii="Book Antiqua" w:eastAsia="等线" w:hAnsi="Book Antiqua" w:cs="Times New Roman"/>
          <w:b/>
          <w:kern w:val="2"/>
          <w:sz w:val="24"/>
          <w:szCs w:val="24"/>
          <w:lang w:val="en-US" w:eastAsia="zh-CN"/>
        </w:rPr>
        <w:t>Messner EM</w:t>
      </w:r>
      <w:r w:rsidRPr="00251400">
        <w:rPr>
          <w:rFonts w:ascii="Book Antiqua" w:eastAsia="等线" w:hAnsi="Book Antiqua" w:cs="Times New Roman"/>
          <w:kern w:val="2"/>
          <w:sz w:val="24"/>
          <w:szCs w:val="24"/>
          <w:lang w:val="en-US" w:eastAsia="zh-CN"/>
        </w:rPr>
        <w:t xml:space="preserve">, Terhorst Y, Barke A, Baumeister H, Stoyanov S, Hides L, Kavanagh D, Pryss R, Sander L, Probst T. The German Version of the Mobile App Rating Scale (MARS-G): Development and Validation Study. </w:t>
      </w:r>
      <w:r w:rsidRPr="00251400">
        <w:rPr>
          <w:rFonts w:ascii="Book Antiqua" w:eastAsia="等线" w:hAnsi="Book Antiqua" w:cs="Times New Roman"/>
          <w:i/>
          <w:kern w:val="2"/>
          <w:sz w:val="24"/>
          <w:szCs w:val="24"/>
          <w:lang w:val="en-US" w:eastAsia="zh-CN"/>
        </w:rPr>
        <w:t>JMIR Mhealth Uhealth</w:t>
      </w:r>
      <w:r w:rsidRPr="00251400">
        <w:rPr>
          <w:rFonts w:ascii="Book Antiqua" w:eastAsia="等线" w:hAnsi="Book Antiqua" w:cs="Times New Roman"/>
          <w:kern w:val="2"/>
          <w:sz w:val="24"/>
          <w:szCs w:val="24"/>
          <w:lang w:val="en-US" w:eastAsia="zh-CN"/>
        </w:rPr>
        <w:t xml:space="preserve"> 2020; </w:t>
      </w:r>
      <w:r w:rsidRPr="00251400">
        <w:rPr>
          <w:rFonts w:ascii="Book Antiqua" w:eastAsia="等线" w:hAnsi="Book Antiqua" w:cs="Times New Roman"/>
          <w:b/>
          <w:kern w:val="2"/>
          <w:sz w:val="24"/>
          <w:szCs w:val="24"/>
          <w:lang w:val="en-US" w:eastAsia="zh-CN"/>
        </w:rPr>
        <w:t>8</w:t>
      </w:r>
      <w:r w:rsidRPr="00251400">
        <w:rPr>
          <w:rFonts w:ascii="Book Antiqua" w:eastAsia="等线" w:hAnsi="Book Antiqua" w:cs="Times New Roman"/>
          <w:kern w:val="2"/>
          <w:sz w:val="24"/>
          <w:szCs w:val="24"/>
          <w:lang w:val="en-US" w:eastAsia="zh-CN"/>
        </w:rPr>
        <w:t>: e14479 [PMID: 32217504 DOI: 10.2196/14479]</w:t>
      </w:r>
    </w:p>
    <w:p w14:paraId="60318D85"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88 </w:t>
      </w:r>
      <w:r w:rsidRPr="00251400">
        <w:rPr>
          <w:rFonts w:ascii="Book Antiqua" w:eastAsia="等线" w:hAnsi="Book Antiqua" w:cs="Times New Roman"/>
          <w:b/>
          <w:kern w:val="2"/>
          <w:sz w:val="24"/>
          <w:szCs w:val="24"/>
          <w:lang w:val="en-US" w:eastAsia="zh-CN"/>
        </w:rPr>
        <w:t>Martin Payo R</w:t>
      </w:r>
      <w:r w:rsidRPr="00251400">
        <w:rPr>
          <w:rFonts w:ascii="Book Antiqua" w:eastAsia="等线" w:hAnsi="Book Antiqua" w:cs="Times New Roman"/>
          <w:kern w:val="2"/>
          <w:sz w:val="24"/>
          <w:szCs w:val="24"/>
          <w:lang w:val="en-US" w:eastAsia="zh-CN"/>
        </w:rPr>
        <w:t xml:space="preserve">, Fernandez Álvarez MM, Blanco Díaz M, Cuesta Izquierdo M, Stoyanov SR, Llaneza Suárez E. Spanish adaptation and validation of the Mobile Application Rating Scale questionnaire. </w:t>
      </w:r>
      <w:r w:rsidRPr="00251400">
        <w:rPr>
          <w:rFonts w:ascii="Book Antiqua" w:eastAsia="等线" w:hAnsi="Book Antiqua" w:cs="Times New Roman"/>
          <w:i/>
          <w:kern w:val="2"/>
          <w:sz w:val="24"/>
          <w:szCs w:val="24"/>
          <w:lang w:val="en-US" w:eastAsia="zh-CN"/>
        </w:rPr>
        <w:t>Int J Med Inform</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129</w:t>
      </w:r>
      <w:r w:rsidRPr="00251400">
        <w:rPr>
          <w:rFonts w:ascii="Book Antiqua" w:eastAsia="等线" w:hAnsi="Book Antiqua" w:cs="Times New Roman"/>
          <w:kern w:val="2"/>
          <w:sz w:val="24"/>
          <w:szCs w:val="24"/>
          <w:lang w:val="en-US" w:eastAsia="zh-CN"/>
        </w:rPr>
        <w:t>: 95-99 [PMID: 31445295 DOI: 10.1016/j.ijmedinf.2019.06.005]</w:t>
      </w:r>
    </w:p>
    <w:p w14:paraId="680F227F"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89 </w:t>
      </w:r>
      <w:r w:rsidRPr="00251400">
        <w:rPr>
          <w:rFonts w:ascii="Book Antiqua" w:eastAsia="等线" w:hAnsi="Book Antiqua" w:cs="Times New Roman"/>
          <w:b/>
          <w:kern w:val="2"/>
          <w:sz w:val="24"/>
          <w:szCs w:val="24"/>
          <w:lang w:val="en-US" w:eastAsia="zh-CN"/>
        </w:rPr>
        <w:t>Greaves F</w:t>
      </w:r>
      <w:r w:rsidRPr="00251400">
        <w:rPr>
          <w:rFonts w:ascii="Book Antiqua" w:eastAsia="等线" w:hAnsi="Book Antiqua" w:cs="Times New Roman"/>
          <w:kern w:val="2"/>
          <w:sz w:val="24"/>
          <w:szCs w:val="24"/>
          <w:lang w:val="en-US" w:eastAsia="zh-CN"/>
        </w:rPr>
        <w:t xml:space="preserve">, Joshi I, Campbell M, Roberts S, Patel N, Powell J. What is an appropriate level of evidence for a digital health intervention? </w:t>
      </w:r>
      <w:r w:rsidRPr="00251400">
        <w:rPr>
          <w:rFonts w:ascii="Book Antiqua" w:eastAsia="等线" w:hAnsi="Book Antiqua" w:cs="Times New Roman"/>
          <w:i/>
          <w:kern w:val="2"/>
          <w:sz w:val="24"/>
          <w:szCs w:val="24"/>
          <w:lang w:val="en-US" w:eastAsia="zh-CN"/>
        </w:rPr>
        <w:t>Lancet</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392</w:t>
      </w:r>
      <w:r w:rsidRPr="00251400">
        <w:rPr>
          <w:rFonts w:ascii="Book Antiqua" w:eastAsia="等线" w:hAnsi="Book Antiqua" w:cs="Times New Roman"/>
          <w:kern w:val="2"/>
          <w:sz w:val="24"/>
          <w:szCs w:val="24"/>
          <w:lang w:val="en-US" w:eastAsia="zh-CN"/>
        </w:rPr>
        <w:t>: 2665-2667 [PMID: 30545779 DOI: 10.1016/S0140-6736(18)33129-5]</w:t>
      </w:r>
    </w:p>
    <w:p w14:paraId="27AB53A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90 </w:t>
      </w:r>
      <w:r w:rsidRPr="00251400">
        <w:rPr>
          <w:rFonts w:ascii="Book Antiqua" w:eastAsia="等线" w:hAnsi="Book Antiqua" w:cs="Times New Roman"/>
          <w:b/>
          <w:kern w:val="2"/>
          <w:sz w:val="24"/>
          <w:szCs w:val="24"/>
          <w:lang w:val="en-US" w:eastAsia="zh-CN"/>
        </w:rPr>
        <w:t>Enam A</w:t>
      </w:r>
      <w:r w:rsidRPr="00251400">
        <w:rPr>
          <w:rFonts w:ascii="Book Antiqua" w:eastAsia="等线" w:hAnsi="Book Antiqua" w:cs="Times New Roman"/>
          <w:kern w:val="2"/>
          <w:sz w:val="24"/>
          <w:szCs w:val="24"/>
          <w:lang w:val="en-US" w:eastAsia="zh-CN"/>
        </w:rPr>
        <w:t xml:space="preserve">, Torres-Bonilla J, Eriksson H. Evidence-Based Evaluation of eHealth Interventions: Systematic Literature Review.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20</w:t>
      </w:r>
      <w:r w:rsidRPr="00251400">
        <w:rPr>
          <w:rFonts w:ascii="Book Antiqua" w:eastAsia="等线" w:hAnsi="Book Antiqua" w:cs="Times New Roman"/>
          <w:kern w:val="2"/>
          <w:sz w:val="24"/>
          <w:szCs w:val="24"/>
          <w:lang w:val="en-US" w:eastAsia="zh-CN"/>
        </w:rPr>
        <w:t>: e10971 [PMID: 30470678 DOI: 10.2196/10971]</w:t>
      </w:r>
    </w:p>
    <w:p w14:paraId="72B50E9F"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91 </w:t>
      </w:r>
      <w:r w:rsidRPr="00251400">
        <w:rPr>
          <w:rFonts w:ascii="Book Antiqua" w:eastAsia="等线" w:hAnsi="Book Antiqua" w:cs="Times New Roman"/>
          <w:b/>
          <w:kern w:val="2"/>
          <w:sz w:val="24"/>
          <w:szCs w:val="24"/>
          <w:lang w:val="en-US" w:eastAsia="zh-CN"/>
        </w:rPr>
        <w:t>Wade V</w:t>
      </w:r>
      <w:r w:rsidRPr="00251400">
        <w:rPr>
          <w:rFonts w:ascii="Book Antiqua" w:eastAsia="等线" w:hAnsi="Book Antiqua" w:cs="Times New Roman"/>
          <w:kern w:val="2"/>
          <w:sz w:val="24"/>
          <w:szCs w:val="24"/>
          <w:lang w:val="en-US" w:eastAsia="zh-CN"/>
        </w:rPr>
        <w:t xml:space="preserve">, Gray L, Carati C. Theoretical frameworks in telemedicine research. </w:t>
      </w:r>
      <w:r w:rsidRPr="00251400">
        <w:rPr>
          <w:rFonts w:ascii="Book Antiqua" w:eastAsia="等线" w:hAnsi="Book Antiqua" w:cs="Times New Roman"/>
          <w:i/>
          <w:kern w:val="2"/>
          <w:sz w:val="24"/>
          <w:szCs w:val="24"/>
          <w:lang w:val="en-US" w:eastAsia="zh-CN"/>
        </w:rPr>
        <w:t>J Telemed Telecare</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23</w:t>
      </w:r>
      <w:r w:rsidRPr="00251400">
        <w:rPr>
          <w:rFonts w:ascii="Book Antiqua" w:eastAsia="等线" w:hAnsi="Book Antiqua" w:cs="Times New Roman"/>
          <w:kern w:val="2"/>
          <w:sz w:val="24"/>
          <w:szCs w:val="24"/>
          <w:lang w:val="en-US" w:eastAsia="zh-CN"/>
        </w:rPr>
        <w:t>: 181-187 [PMID: 26787643 DOI: 10.1177/1357633X15626650]</w:t>
      </w:r>
    </w:p>
    <w:p w14:paraId="26FEEB9D"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92 </w:t>
      </w:r>
      <w:r w:rsidRPr="00251400">
        <w:rPr>
          <w:rFonts w:ascii="Book Antiqua" w:eastAsia="等线" w:hAnsi="Book Antiqua" w:cs="Times New Roman"/>
          <w:b/>
          <w:kern w:val="2"/>
          <w:sz w:val="24"/>
          <w:szCs w:val="24"/>
          <w:lang w:val="en-US" w:eastAsia="zh-CN"/>
        </w:rPr>
        <w:t>Holmen H</w:t>
      </w:r>
      <w:r w:rsidRPr="00251400">
        <w:rPr>
          <w:rFonts w:ascii="Book Antiqua" w:eastAsia="等线" w:hAnsi="Book Antiqua" w:cs="Times New Roman"/>
          <w:kern w:val="2"/>
          <w:sz w:val="24"/>
          <w:szCs w:val="24"/>
          <w:lang w:val="en-US" w:eastAsia="zh-CN"/>
        </w:rPr>
        <w:t xml:space="preserve">, Wahl AK, Cvancarova Småstuen M, Ribu L. Tailored Communication Within Mobile Apps for Diabetes Self-Management: A Systematic Review.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19</w:t>
      </w:r>
      <w:r w:rsidRPr="00251400">
        <w:rPr>
          <w:rFonts w:ascii="Book Antiqua" w:eastAsia="等线" w:hAnsi="Book Antiqua" w:cs="Times New Roman"/>
          <w:kern w:val="2"/>
          <w:sz w:val="24"/>
          <w:szCs w:val="24"/>
          <w:lang w:val="en-US" w:eastAsia="zh-CN"/>
        </w:rPr>
        <w:t>: e227 [PMID: 28645890 DOI: 10.2196/jmir.7045]</w:t>
      </w:r>
    </w:p>
    <w:p w14:paraId="1CA1B7A2"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93 </w:t>
      </w:r>
      <w:r w:rsidRPr="00251400">
        <w:rPr>
          <w:rFonts w:ascii="Book Antiqua" w:eastAsia="等线" w:hAnsi="Book Antiqua" w:cs="Times New Roman"/>
          <w:b/>
          <w:kern w:val="2"/>
          <w:sz w:val="24"/>
          <w:szCs w:val="24"/>
          <w:lang w:val="en-US" w:eastAsia="zh-CN"/>
        </w:rPr>
        <w:t>Kidholm K</w:t>
      </w:r>
      <w:r w:rsidRPr="00251400">
        <w:rPr>
          <w:rFonts w:ascii="Book Antiqua" w:eastAsia="等线" w:hAnsi="Book Antiqua" w:cs="Times New Roman"/>
          <w:kern w:val="2"/>
          <w:sz w:val="24"/>
          <w:szCs w:val="24"/>
          <w:lang w:val="en-US" w:eastAsia="zh-CN"/>
        </w:rPr>
        <w:t xml:space="preserve">, Clemensen J, Caffery LJ, Smith AC. The Model for Assessment of Telemedicine (MAST): A scoping review of empirical studies. </w:t>
      </w:r>
      <w:r w:rsidRPr="00251400">
        <w:rPr>
          <w:rFonts w:ascii="Book Antiqua" w:eastAsia="等线" w:hAnsi="Book Antiqua" w:cs="Times New Roman"/>
          <w:i/>
          <w:kern w:val="2"/>
          <w:sz w:val="24"/>
          <w:szCs w:val="24"/>
          <w:lang w:val="en-US" w:eastAsia="zh-CN"/>
        </w:rPr>
        <w:t>J Telemed Telecare</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23</w:t>
      </w:r>
      <w:r w:rsidRPr="00251400">
        <w:rPr>
          <w:rFonts w:ascii="Book Antiqua" w:eastAsia="等线" w:hAnsi="Book Antiqua" w:cs="Times New Roman"/>
          <w:kern w:val="2"/>
          <w:sz w:val="24"/>
          <w:szCs w:val="24"/>
          <w:lang w:val="en-US" w:eastAsia="zh-CN"/>
        </w:rPr>
        <w:t>: 803-813 [PMID: 28758525 DOI: 10.1177/1357633X17721815]</w:t>
      </w:r>
    </w:p>
    <w:p w14:paraId="030E9447"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94 </w:t>
      </w:r>
      <w:r w:rsidRPr="00251400">
        <w:rPr>
          <w:rFonts w:ascii="Book Antiqua" w:eastAsia="等线" w:hAnsi="Book Antiqua" w:cs="Times New Roman"/>
          <w:b/>
          <w:kern w:val="2"/>
          <w:sz w:val="24"/>
          <w:szCs w:val="24"/>
          <w:lang w:val="en-US" w:eastAsia="zh-CN"/>
        </w:rPr>
        <w:t>Kidholm K</w:t>
      </w:r>
      <w:r w:rsidRPr="00251400">
        <w:rPr>
          <w:rFonts w:ascii="Book Antiqua" w:eastAsia="等线" w:hAnsi="Book Antiqua" w:cs="Times New Roman"/>
          <w:kern w:val="2"/>
          <w:sz w:val="24"/>
          <w:szCs w:val="24"/>
          <w:lang w:val="en-US" w:eastAsia="zh-CN"/>
        </w:rPr>
        <w:t xml:space="preserve">, Ekeland AG, Jensen LK, Rasmussen J, Pedersen CD, Bowes A, Flottorp SA, Bech M. A model for assessment of telemedicine applications: mast. </w:t>
      </w:r>
      <w:r w:rsidRPr="00251400">
        <w:rPr>
          <w:rFonts w:ascii="Book Antiqua" w:eastAsia="等线" w:hAnsi="Book Antiqua" w:cs="Times New Roman"/>
          <w:i/>
          <w:kern w:val="2"/>
          <w:sz w:val="24"/>
          <w:szCs w:val="24"/>
          <w:lang w:val="en-US" w:eastAsia="zh-CN"/>
        </w:rPr>
        <w:t>Int J Technol Assess Health Care</w:t>
      </w:r>
      <w:r w:rsidRPr="00251400">
        <w:rPr>
          <w:rFonts w:ascii="Book Antiqua" w:eastAsia="等线" w:hAnsi="Book Antiqua" w:cs="Times New Roman"/>
          <w:kern w:val="2"/>
          <w:sz w:val="24"/>
          <w:szCs w:val="24"/>
          <w:lang w:val="en-US" w:eastAsia="zh-CN"/>
        </w:rPr>
        <w:t xml:space="preserve"> 2012; </w:t>
      </w:r>
      <w:r w:rsidRPr="00251400">
        <w:rPr>
          <w:rFonts w:ascii="Book Antiqua" w:eastAsia="等线" w:hAnsi="Book Antiqua" w:cs="Times New Roman"/>
          <w:b/>
          <w:kern w:val="2"/>
          <w:sz w:val="24"/>
          <w:szCs w:val="24"/>
          <w:lang w:val="en-US" w:eastAsia="zh-CN"/>
        </w:rPr>
        <w:t>28</w:t>
      </w:r>
      <w:r w:rsidRPr="00251400">
        <w:rPr>
          <w:rFonts w:ascii="Book Antiqua" w:eastAsia="等线" w:hAnsi="Book Antiqua" w:cs="Times New Roman"/>
          <w:kern w:val="2"/>
          <w:sz w:val="24"/>
          <w:szCs w:val="24"/>
          <w:lang w:val="en-US" w:eastAsia="zh-CN"/>
        </w:rPr>
        <w:t>: 44-51 [PMID: 22617736 DOI: 10.1017/S0266462311000638]</w:t>
      </w:r>
    </w:p>
    <w:p w14:paraId="615B13C6"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95 </w:t>
      </w:r>
      <w:r w:rsidRPr="00251400">
        <w:rPr>
          <w:rFonts w:ascii="Book Antiqua" w:eastAsia="等线" w:hAnsi="Book Antiqua" w:cs="Times New Roman"/>
          <w:b/>
          <w:bCs/>
          <w:kern w:val="2"/>
          <w:sz w:val="24"/>
          <w:szCs w:val="24"/>
          <w:lang w:val="en-US" w:eastAsia="zh-CN"/>
        </w:rPr>
        <w:t xml:space="preserve">NICE. </w:t>
      </w:r>
      <w:r w:rsidRPr="00251400">
        <w:rPr>
          <w:rFonts w:ascii="Book Antiqua" w:eastAsia="等线" w:hAnsi="Book Antiqua" w:cs="Times New Roman"/>
          <w:kern w:val="2"/>
          <w:sz w:val="24"/>
          <w:szCs w:val="24"/>
          <w:lang w:val="en-US" w:eastAsia="zh-CN"/>
        </w:rPr>
        <w:t>Evidence standards framework for digital health technologies. [accessed 2020 Feb 01]. Available from: https://www.nice.org.uk/about/what-we-do/our-</w:t>
      </w:r>
      <w:r w:rsidRPr="00251400">
        <w:rPr>
          <w:rFonts w:ascii="Book Antiqua" w:eastAsia="等线" w:hAnsi="Book Antiqua" w:cs="Times New Roman"/>
          <w:kern w:val="2"/>
          <w:sz w:val="24"/>
          <w:szCs w:val="24"/>
          <w:lang w:val="en-US" w:eastAsia="zh-CN"/>
        </w:rPr>
        <w:lastRenderedPageBreak/>
        <w:t>programmes/evidence-standards-framework-for-digital-health-technologies</w:t>
      </w:r>
    </w:p>
    <w:p w14:paraId="7E1284AB"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96 </w:t>
      </w:r>
      <w:r w:rsidRPr="00251400">
        <w:rPr>
          <w:rFonts w:ascii="Book Antiqua" w:eastAsia="等线" w:hAnsi="Book Antiqua" w:cs="Times New Roman"/>
          <w:b/>
          <w:kern w:val="2"/>
          <w:sz w:val="24"/>
          <w:szCs w:val="24"/>
          <w:lang w:val="en-US" w:eastAsia="zh-CN"/>
        </w:rPr>
        <w:t>Grünloh C</w:t>
      </w:r>
      <w:r w:rsidRPr="00251400">
        <w:rPr>
          <w:rFonts w:ascii="Book Antiqua" w:eastAsia="等线" w:hAnsi="Book Antiqua" w:cs="Times New Roman"/>
          <w:kern w:val="2"/>
          <w:sz w:val="24"/>
          <w:szCs w:val="24"/>
          <w:lang w:val="en-US" w:eastAsia="zh-CN"/>
        </w:rPr>
        <w:t xml:space="preserve">, Myreteg G, Cajander Å, Rexhepi H. "Why Do They Need to Check Me?" Patient Participation Through eHealth and the Doctor-Patient Relationship: Qualitative Study.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20</w:t>
      </w:r>
      <w:r w:rsidRPr="00251400">
        <w:rPr>
          <w:rFonts w:ascii="Book Antiqua" w:eastAsia="等线" w:hAnsi="Book Antiqua" w:cs="Times New Roman"/>
          <w:kern w:val="2"/>
          <w:sz w:val="24"/>
          <w:szCs w:val="24"/>
          <w:lang w:val="en-US" w:eastAsia="zh-CN"/>
        </w:rPr>
        <w:t>: e11 [PMID: 29335237 DOI: 10.2196/jmir.8444]</w:t>
      </w:r>
    </w:p>
    <w:p w14:paraId="2778A0FD"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97 </w:t>
      </w:r>
      <w:r w:rsidRPr="00251400">
        <w:rPr>
          <w:rFonts w:ascii="Book Antiqua" w:eastAsia="等线" w:hAnsi="Book Antiqua" w:cs="Times New Roman"/>
          <w:b/>
          <w:kern w:val="2"/>
          <w:sz w:val="24"/>
          <w:szCs w:val="24"/>
          <w:lang w:val="en-US" w:eastAsia="zh-CN"/>
        </w:rPr>
        <w:t>Moick M</w:t>
      </w:r>
      <w:r w:rsidRPr="00251400">
        <w:rPr>
          <w:rFonts w:ascii="Book Antiqua" w:eastAsia="等线" w:hAnsi="Book Antiqua" w:cs="Times New Roman"/>
          <w:kern w:val="2"/>
          <w:sz w:val="24"/>
          <w:szCs w:val="24"/>
          <w:lang w:val="en-US" w:eastAsia="zh-CN"/>
        </w:rPr>
        <w:t xml:space="preserve">, Terlutter R. Physicians' motives for professional internet use and differences in attitudes toward the internet-informed patient, physician-patient communication, and prescribing behavior. </w:t>
      </w:r>
      <w:r w:rsidRPr="00251400">
        <w:rPr>
          <w:rFonts w:ascii="Book Antiqua" w:eastAsia="等线" w:hAnsi="Book Antiqua" w:cs="Times New Roman"/>
          <w:i/>
          <w:kern w:val="2"/>
          <w:sz w:val="24"/>
          <w:szCs w:val="24"/>
          <w:lang w:val="en-US" w:eastAsia="zh-CN"/>
        </w:rPr>
        <w:t>Med 2 0</w:t>
      </w:r>
      <w:r w:rsidRPr="00251400">
        <w:rPr>
          <w:rFonts w:ascii="Book Antiqua" w:eastAsia="等线" w:hAnsi="Book Antiqua" w:cs="Times New Roman"/>
          <w:kern w:val="2"/>
          <w:sz w:val="24"/>
          <w:szCs w:val="24"/>
          <w:lang w:val="en-US" w:eastAsia="zh-CN"/>
        </w:rPr>
        <w:t xml:space="preserve"> 2012; </w:t>
      </w:r>
      <w:r w:rsidRPr="00251400">
        <w:rPr>
          <w:rFonts w:ascii="Book Antiqua" w:eastAsia="等线" w:hAnsi="Book Antiqua" w:cs="Times New Roman"/>
          <w:b/>
          <w:kern w:val="2"/>
          <w:sz w:val="24"/>
          <w:szCs w:val="24"/>
          <w:lang w:val="en-US" w:eastAsia="zh-CN"/>
        </w:rPr>
        <w:t>1</w:t>
      </w:r>
      <w:r w:rsidRPr="00251400">
        <w:rPr>
          <w:rFonts w:ascii="Book Antiqua" w:eastAsia="等线" w:hAnsi="Book Antiqua" w:cs="Times New Roman"/>
          <w:kern w:val="2"/>
          <w:sz w:val="24"/>
          <w:szCs w:val="24"/>
          <w:lang w:val="en-US" w:eastAsia="zh-CN"/>
        </w:rPr>
        <w:t>: e2 [PMID: 25075230 DOI: 10.2196/med20.1996]</w:t>
      </w:r>
    </w:p>
    <w:p w14:paraId="59C4CFF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98 </w:t>
      </w:r>
      <w:r w:rsidRPr="00251400">
        <w:rPr>
          <w:rFonts w:ascii="Book Antiqua" w:eastAsia="等线" w:hAnsi="Book Antiqua" w:cs="Times New Roman"/>
          <w:b/>
          <w:kern w:val="2"/>
          <w:sz w:val="24"/>
          <w:szCs w:val="24"/>
          <w:lang w:val="en-US" w:eastAsia="zh-CN"/>
        </w:rPr>
        <w:t>Laugesen J</w:t>
      </w:r>
      <w:r w:rsidRPr="00251400">
        <w:rPr>
          <w:rFonts w:ascii="Book Antiqua" w:eastAsia="等线" w:hAnsi="Book Antiqua" w:cs="Times New Roman"/>
          <w:kern w:val="2"/>
          <w:sz w:val="24"/>
          <w:szCs w:val="24"/>
          <w:lang w:val="en-US" w:eastAsia="zh-CN"/>
        </w:rPr>
        <w:t xml:space="preserve">, Hassanein K, Yuan Y. The Impact of Internet Health Information on Patient Compliance: A Research Model and an Empirical Study.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2015; </w:t>
      </w:r>
      <w:r w:rsidRPr="00251400">
        <w:rPr>
          <w:rFonts w:ascii="Book Antiqua" w:eastAsia="等线" w:hAnsi="Book Antiqua" w:cs="Times New Roman"/>
          <w:b/>
          <w:kern w:val="2"/>
          <w:sz w:val="24"/>
          <w:szCs w:val="24"/>
          <w:lang w:val="en-US" w:eastAsia="zh-CN"/>
        </w:rPr>
        <w:t>17</w:t>
      </w:r>
      <w:r w:rsidRPr="00251400">
        <w:rPr>
          <w:rFonts w:ascii="Book Antiqua" w:eastAsia="等线" w:hAnsi="Book Antiqua" w:cs="Times New Roman"/>
          <w:kern w:val="2"/>
          <w:sz w:val="24"/>
          <w:szCs w:val="24"/>
          <w:lang w:val="en-US" w:eastAsia="zh-CN"/>
        </w:rPr>
        <w:t>: e143 [PMID: 26068214 DOI: 10.2196/jmir.4333]</w:t>
      </w:r>
    </w:p>
    <w:p w14:paraId="6E6B309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99 </w:t>
      </w:r>
      <w:r w:rsidRPr="00251400">
        <w:rPr>
          <w:rFonts w:ascii="Book Antiqua" w:eastAsia="等线" w:hAnsi="Book Antiqua" w:cs="Times New Roman"/>
          <w:b/>
          <w:kern w:val="2"/>
          <w:sz w:val="24"/>
          <w:szCs w:val="24"/>
          <w:lang w:val="en-US" w:eastAsia="zh-CN"/>
        </w:rPr>
        <w:t>Lu X</w:t>
      </w:r>
      <w:r w:rsidRPr="00251400">
        <w:rPr>
          <w:rFonts w:ascii="Book Antiqua" w:eastAsia="等线" w:hAnsi="Book Antiqua" w:cs="Times New Roman"/>
          <w:kern w:val="2"/>
          <w:sz w:val="24"/>
          <w:szCs w:val="24"/>
          <w:lang w:val="en-US" w:eastAsia="zh-CN"/>
        </w:rPr>
        <w:t xml:space="preserve">, Zhang R. Impact of Physician-Patient Communication in Online Health Communities on Patient Compliance: Cross-Sectional Questionnaire Study.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2019; </w:t>
      </w:r>
      <w:r w:rsidRPr="00251400">
        <w:rPr>
          <w:rFonts w:ascii="Book Antiqua" w:eastAsia="等线" w:hAnsi="Book Antiqua" w:cs="Times New Roman"/>
          <w:b/>
          <w:kern w:val="2"/>
          <w:sz w:val="24"/>
          <w:szCs w:val="24"/>
          <w:lang w:val="en-US" w:eastAsia="zh-CN"/>
        </w:rPr>
        <w:t>21</w:t>
      </w:r>
      <w:r w:rsidRPr="00251400">
        <w:rPr>
          <w:rFonts w:ascii="Book Antiqua" w:eastAsia="等线" w:hAnsi="Book Antiqua" w:cs="Times New Roman"/>
          <w:kern w:val="2"/>
          <w:sz w:val="24"/>
          <w:szCs w:val="24"/>
          <w:lang w:val="en-US" w:eastAsia="zh-CN"/>
        </w:rPr>
        <w:t>: e12891 [PMID: 31094342 DOI: 10.2196/12891]</w:t>
      </w:r>
    </w:p>
    <w:p w14:paraId="2132EB7E"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100 </w:t>
      </w:r>
      <w:r w:rsidRPr="00251400">
        <w:rPr>
          <w:rFonts w:ascii="Book Antiqua" w:eastAsia="等线" w:hAnsi="Book Antiqua" w:cs="Times New Roman"/>
          <w:b/>
          <w:kern w:val="2"/>
          <w:sz w:val="24"/>
          <w:szCs w:val="24"/>
          <w:lang w:val="en-US" w:eastAsia="zh-CN"/>
        </w:rPr>
        <w:t>Chaet D</w:t>
      </w:r>
      <w:r w:rsidRPr="00251400">
        <w:rPr>
          <w:rFonts w:ascii="Book Antiqua" w:eastAsia="等线" w:hAnsi="Book Antiqua" w:cs="Times New Roman"/>
          <w:kern w:val="2"/>
          <w:sz w:val="24"/>
          <w:szCs w:val="24"/>
          <w:lang w:val="en-US" w:eastAsia="zh-CN"/>
        </w:rPr>
        <w:t xml:space="preserve">, Clearfield R, Sabin JE, Skimming K; Council on Ethical and Judicial Affairs American Medical Association. Ethical practice in Telehealth and Telemedicine. </w:t>
      </w:r>
      <w:r w:rsidRPr="00251400">
        <w:rPr>
          <w:rFonts w:ascii="Book Antiqua" w:eastAsia="等线" w:hAnsi="Book Antiqua" w:cs="Times New Roman"/>
          <w:i/>
          <w:kern w:val="2"/>
          <w:sz w:val="24"/>
          <w:szCs w:val="24"/>
          <w:lang w:val="en-US" w:eastAsia="zh-CN"/>
        </w:rPr>
        <w:t>J Gen Intern Med</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32</w:t>
      </w:r>
      <w:r w:rsidRPr="00251400">
        <w:rPr>
          <w:rFonts w:ascii="Book Antiqua" w:eastAsia="等线" w:hAnsi="Book Antiqua" w:cs="Times New Roman"/>
          <w:kern w:val="2"/>
          <w:sz w:val="24"/>
          <w:szCs w:val="24"/>
          <w:lang w:val="en-US" w:eastAsia="zh-CN"/>
        </w:rPr>
        <w:t>: 1136-1140 [PMID: 28653233 DOI: 10.1007/s11606-017-4082-2]</w:t>
      </w:r>
    </w:p>
    <w:p w14:paraId="3980F8E5"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101 </w:t>
      </w:r>
      <w:r w:rsidRPr="00251400">
        <w:rPr>
          <w:rFonts w:ascii="Book Antiqua" w:eastAsia="等线" w:hAnsi="Book Antiqua" w:cs="Times New Roman"/>
          <w:b/>
          <w:kern w:val="2"/>
          <w:sz w:val="24"/>
          <w:szCs w:val="24"/>
          <w:lang w:val="en-US" w:eastAsia="zh-CN"/>
        </w:rPr>
        <w:t>Kummervold PE</w:t>
      </w:r>
      <w:r w:rsidRPr="00251400">
        <w:rPr>
          <w:rFonts w:ascii="Book Antiqua" w:eastAsia="等线" w:hAnsi="Book Antiqua" w:cs="Times New Roman"/>
          <w:kern w:val="2"/>
          <w:sz w:val="24"/>
          <w:szCs w:val="24"/>
          <w:lang w:val="en-US" w:eastAsia="zh-CN"/>
        </w:rPr>
        <w:t xml:space="preserve">, Chronaki CE, Lausen B, Prokosch HU, Rasmussen J, Santana S, Staniszewski A, Wangberg SC. eHealth trends in Europe 2005-2007: a population-based survey.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2008; </w:t>
      </w:r>
      <w:r w:rsidRPr="00251400">
        <w:rPr>
          <w:rFonts w:ascii="Book Antiqua" w:eastAsia="等线" w:hAnsi="Book Antiqua" w:cs="Times New Roman"/>
          <w:b/>
          <w:kern w:val="2"/>
          <w:sz w:val="24"/>
          <w:szCs w:val="24"/>
          <w:lang w:val="en-US" w:eastAsia="zh-CN"/>
        </w:rPr>
        <w:t>10</w:t>
      </w:r>
      <w:r w:rsidRPr="00251400">
        <w:rPr>
          <w:rFonts w:ascii="Book Antiqua" w:eastAsia="等线" w:hAnsi="Book Antiqua" w:cs="Times New Roman"/>
          <w:kern w:val="2"/>
          <w:sz w:val="24"/>
          <w:szCs w:val="24"/>
          <w:lang w:val="en-US" w:eastAsia="zh-CN"/>
        </w:rPr>
        <w:t>: e42 [PMID: 19017584 DOI: 10.2196/jmir.1023]</w:t>
      </w:r>
    </w:p>
    <w:p w14:paraId="23D944E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102 </w:t>
      </w:r>
      <w:r w:rsidRPr="00251400">
        <w:rPr>
          <w:rFonts w:ascii="Book Antiqua" w:eastAsia="等线" w:hAnsi="Book Antiqua" w:cs="Times New Roman"/>
          <w:b/>
          <w:kern w:val="2"/>
          <w:sz w:val="24"/>
          <w:szCs w:val="24"/>
          <w:lang w:val="en-US" w:eastAsia="zh-CN"/>
        </w:rPr>
        <w:t>Santana S</w:t>
      </w:r>
      <w:r w:rsidRPr="00251400">
        <w:rPr>
          <w:rFonts w:ascii="Book Antiqua" w:eastAsia="等线" w:hAnsi="Book Antiqua" w:cs="Times New Roman"/>
          <w:kern w:val="2"/>
          <w:sz w:val="24"/>
          <w:szCs w:val="24"/>
          <w:lang w:val="en-US" w:eastAsia="zh-CN"/>
        </w:rPr>
        <w:t xml:space="preserve">, Lausen B, Bujnowska-Fedak M, Chronaki C, Kummervold PE, Rasmussen J, Sorensen T. Online communication between doctors and patients in Europe: status and perspectives.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2010; </w:t>
      </w:r>
      <w:r w:rsidRPr="00251400">
        <w:rPr>
          <w:rFonts w:ascii="Book Antiqua" w:eastAsia="等线" w:hAnsi="Book Antiqua" w:cs="Times New Roman"/>
          <w:b/>
          <w:kern w:val="2"/>
          <w:sz w:val="24"/>
          <w:szCs w:val="24"/>
          <w:lang w:val="en-US" w:eastAsia="zh-CN"/>
        </w:rPr>
        <w:t>12</w:t>
      </w:r>
      <w:r w:rsidRPr="00251400">
        <w:rPr>
          <w:rFonts w:ascii="Book Antiqua" w:eastAsia="等线" w:hAnsi="Book Antiqua" w:cs="Times New Roman"/>
          <w:kern w:val="2"/>
          <w:sz w:val="24"/>
          <w:szCs w:val="24"/>
          <w:lang w:val="en-US" w:eastAsia="zh-CN"/>
        </w:rPr>
        <w:t>: e20 [PMID: 20551011 DOI: 10.2196/jmir.1281]</w:t>
      </w:r>
    </w:p>
    <w:p w14:paraId="6135385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103 </w:t>
      </w:r>
      <w:r w:rsidRPr="00251400">
        <w:rPr>
          <w:rFonts w:ascii="Book Antiqua" w:eastAsia="等线" w:hAnsi="Book Antiqua" w:cs="Times New Roman"/>
          <w:b/>
          <w:kern w:val="2"/>
          <w:sz w:val="24"/>
          <w:szCs w:val="24"/>
          <w:lang w:val="en-US" w:eastAsia="zh-CN"/>
        </w:rPr>
        <w:t>Daniel F</w:t>
      </w:r>
      <w:r w:rsidRPr="00251400">
        <w:rPr>
          <w:rFonts w:ascii="Book Antiqua" w:eastAsia="等线" w:hAnsi="Book Antiqua" w:cs="Times New Roman"/>
          <w:kern w:val="2"/>
          <w:sz w:val="24"/>
          <w:szCs w:val="24"/>
          <w:lang w:val="en-US" w:eastAsia="zh-CN"/>
        </w:rPr>
        <w:t xml:space="preserve">, Jabak S, Sasso R, Chamoun Y, Tamim H. Patient-Physician Communication in the Era of Mobile Phones and Social Media Apps: Cross-Sectional Observational Study on Lebanese Physicians' Perceptions and Attitudes. </w:t>
      </w:r>
      <w:r w:rsidRPr="00251400">
        <w:rPr>
          <w:rFonts w:ascii="Book Antiqua" w:eastAsia="等线" w:hAnsi="Book Antiqua" w:cs="Times New Roman"/>
          <w:i/>
          <w:kern w:val="2"/>
          <w:sz w:val="24"/>
          <w:szCs w:val="24"/>
          <w:lang w:val="en-US" w:eastAsia="zh-CN"/>
        </w:rPr>
        <w:t>JMIR Med Inform</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6</w:t>
      </w:r>
      <w:r w:rsidRPr="00251400">
        <w:rPr>
          <w:rFonts w:ascii="Book Antiqua" w:eastAsia="等线" w:hAnsi="Book Antiqua" w:cs="Times New Roman"/>
          <w:kern w:val="2"/>
          <w:sz w:val="24"/>
          <w:szCs w:val="24"/>
          <w:lang w:val="en-US" w:eastAsia="zh-CN"/>
        </w:rPr>
        <w:t>: e18 [PMID: 29625955 DOI: 10.2196/medinform.8895]</w:t>
      </w:r>
    </w:p>
    <w:p w14:paraId="51BF6D6C"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104 </w:t>
      </w:r>
      <w:r w:rsidRPr="00251400">
        <w:rPr>
          <w:rFonts w:ascii="Book Antiqua" w:eastAsia="等线" w:hAnsi="Book Antiqua" w:cs="Times New Roman"/>
          <w:b/>
          <w:kern w:val="2"/>
          <w:sz w:val="24"/>
          <w:szCs w:val="24"/>
          <w:lang w:val="en-US" w:eastAsia="zh-CN"/>
        </w:rPr>
        <w:t>Agha Z</w:t>
      </w:r>
      <w:r w:rsidRPr="00251400">
        <w:rPr>
          <w:rFonts w:ascii="Book Antiqua" w:eastAsia="等线" w:hAnsi="Book Antiqua" w:cs="Times New Roman"/>
          <w:kern w:val="2"/>
          <w:sz w:val="24"/>
          <w:szCs w:val="24"/>
          <w:lang w:val="en-US" w:eastAsia="zh-CN"/>
        </w:rPr>
        <w:t xml:space="preserve">, Roter DL, Schapira RM. An evaluation of patient-physician </w:t>
      </w:r>
      <w:r w:rsidRPr="00251400">
        <w:rPr>
          <w:rFonts w:ascii="Book Antiqua" w:eastAsia="等线" w:hAnsi="Book Antiqua" w:cs="Times New Roman"/>
          <w:kern w:val="2"/>
          <w:sz w:val="24"/>
          <w:szCs w:val="24"/>
          <w:lang w:val="en-US" w:eastAsia="zh-CN"/>
        </w:rPr>
        <w:lastRenderedPageBreak/>
        <w:t xml:space="preserve">communication style during telemedicine consultations.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2009; </w:t>
      </w:r>
      <w:r w:rsidRPr="00251400">
        <w:rPr>
          <w:rFonts w:ascii="Book Antiqua" w:eastAsia="等线" w:hAnsi="Book Antiqua" w:cs="Times New Roman"/>
          <w:b/>
          <w:kern w:val="2"/>
          <w:sz w:val="24"/>
          <w:szCs w:val="24"/>
          <w:lang w:val="en-US" w:eastAsia="zh-CN"/>
        </w:rPr>
        <w:t>11</w:t>
      </w:r>
      <w:r w:rsidRPr="00251400">
        <w:rPr>
          <w:rFonts w:ascii="Book Antiqua" w:eastAsia="等线" w:hAnsi="Book Antiqua" w:cs="Times New Roman"/>
          <w:kern w:val="2"/>
          <w:sz w:val="24"/>
          <w:szCs w:val="24"/>
          <w:lang w:val="en-US" w:eastAsia="zh-CN"/>
        </w:rPr>
        <w:t>: e36 [PMID: 19793720 DOI: 10.2196/jmir.1193]</w:t>
      </w:r>
    </w:p>
    <w:p w14:paraId="37D59FD4"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105 </w:t>
      </w:r>
      <w:r w:rsidRPr="00251400">
        <w:rPr>
          <w:rFonts w:ascii="Book Antiqua" w:eastAsia="等线" w:hAnsi="Book Antiqua" w:cs="Times New Roman"/>
          <w:b/>
          <w:kern w:val="2"/>
          <w:sz w:val="24"/>
          <w:szCs w:val="24"/>
          <w:lang w:val="en-US" w:eastAsia="zh-CN"/>
        </w:rPr>
        <w:t>Lee K</w:t>
      </w:r>
      <w:r w:rsidRPr="00251400">
        <w:rPr>
          <w:rFonts w:ascii="Book Antiqua" w:eastAsia="等线" w:hAnsi="Book Antiqua" w:cs="Times New Roman"/>
          <w:kern w:val="2"/>
          <w:sz w:val="24"/>
          <w:szCs w:val="24"/>
          <w:lang w:val="en-US" w:eastAsia="zh-CN"/>
        </w:rPr>
        <w:t xml:space="preserve">, Hoti K, Hughes JD, Emmerton LM. Interventions to assist health consumers to find reliable online health information: a comprehensive review. </w:t>
      </w:r>
      <w:r w:rsidRPr="00251400">
        <w:rPr>
          <w:rFonts w:ascii="Book Antiqua" w:eastAsia="等线" w:hAnsi="Book Antiqua" w:cs="Times New Roman"/>
          <w:i/>
          <w:kern w:val="2"/>
          <w:sz w:val="24"/>
          <w:szCs w:val="24"/>
          <w:lang w:val="en-US" w:eastAsia="zh-CN"/>
        </w:rPr>
        <w:t>PLoS One</w:t>
      </w:r>
      <w:r w:rsidRPr="00251400">
        <w:rPr>
          <w:rFonts w:ascii="Book Antiqua" w:eastAsia="等线" w:hAnsi="Book Antiqua" w:cs="Times New Roman"/>
          <w:kern w:val="2"/>
          <w:sz w:val="24"/>
          <w:szCs w:val="24"/>
          <w:lang w:val="en-US" w:eastAsia="zh-CN"/>
        </w:rPr>
        <w:t xml:space="preserve"> 2014; </w:t>
      </w:r>
      <w:r w:rsidRPr="00251400">
        <w:rPr>
          <w:rFonts w:ascii="Book Antiqua" w:eastAsia="等线" w:hAnsi="Book Antiqua" w:cs="Times New Roman"/>
          <w:b/>
          <w:kern w:val="2"/>
          <w:sz w:val="24"/>
          <w:szCs w:val="24"/>
          <w:lang w:val="en-US" w:eastAsia="zh-CN"/>
        </w:rPr>
        <w:t>9</w:t>
      </w:r>
      <w:r w:rsidRPr="00251400">
        <w:rPr>
          <w:rFonts w:ascii="Book Antiqua" w:eastAsia="等线" w:hAnsi="Book Antiqua" w:cs="Times New Roman"/>
          <w:kern w:val="2"/>
          <w:sz w:val="24"/>
          <w:szCs w:val="24"/>
          <w:lang w:val="en-US" w:eastAsia="zh-CN"/>
        </w:rPr>
        <w:t>: e94186 [PMID: 24710348 DOI: 10.1371/journal.pone.0094186]</w:t>
      </w:r>
    </w:p>
    <w:p w14:paraId="19614875"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106 </w:t>
      </w:r>
      <w:r w:rsidRPr="00251400">
        <w:rPr>
          <w:rFonts w:ascii="Book Antiqua" w:eastAsia="等线" w:hAnsi="Book Antiqua" w:cs="Times New Roman"/>
          <w:b/>
          <w:kern w:val="2"/>
          <w:sz w:val="24"/>
          <w:szCs w:val="24"/>
          <w:lang w:val="en-US" w:eastAsia="zh-CN"/>
        </w:rPr>
        <w:t>Schaeffer D</w:t>
      </w:r>
      <w:r w:rsidRPr="00251400">
        <w:rPr>
          <w:rFonts w:ascii="Book Antiqua" w:eastAsia="等线" w:hAnsi="Book Antiqua" w:cs="Times New Roman"/>
          <w:kern w:val="2"/>
          <w:sz w:val="24"/>
          <w:szCs w:val="24"/>
          <w:lang w:val="en-US" w:eastAsia="zh-CN"/>
        </w:rPr>
        <w:t xml:space="preserve">, Berens EM, Vogt D. Health Literacy in the German Population. </w:t>
      </w:r>
      <w:r w:rsidRPr="00251400">
        <w:rPr>
          <w:rFonts w:ascii="Book Antiqua" w:eastAsia="等线" w:hAnsi="Book Antiqua" w:cs="Times New Roman"/>
          <w:i/>
          <w:kern w:val="2"/>
          <w:sz w:val="24"/>
          <w:szCs w:val="24"/>
          <w:lang w:val="en-US" w:eastAsia="zh-CN"/>
        </w:rPr>
        <w:t>Dtsch Arztebl Int</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114</w:t>
      </w:r>
      <w:r w:rsidRPr="00251400">
        <w:rPr>
          <w:rFonts w:ascii="Book Antiqua" w:eastAsia="等线" w:hAnsi="Book Antiqua" w:cs="Times New Roman"/>
          <w:kern w:val="2"/>
          <w:sz w:val="24"/>
          <w:szCs w:val="24"/>
          <w:lang w:val="en-US" w:eastAsia="zh-CN"/>
        </w:rPr>
        <w:t>: 53-60 [PMID: 28211318 DOI: 10.3238/arztebl.2017.0053]</w:t>
      </w:r>
    </w:p>
    <w:p w14:paraId="44256C12"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107 </w:t>
      </w:r>
      <w:r w:rsidRPr="00251400">
        <w:rPr>
          <w:rFonts w:ascii="Book Antiqua" w:eastAsia="等线" w:hAnsi="Book Antiqua" w:cs="Times New Roman"/>
          <w:b/>
          <w:kern w:val="2"/>
          <w:sz w:val="24"/>
          <w:szCs w:val="24"/>
          <w:lang w:val="en-US" w:eastAsia="zh-CN"/>
        </w:rPr>
        <w:t>Norman CD</w:t>
      </w:r>
      <w:r w:rsidRPr="00251400">
        <w:rPr>
          <w:rFonts w:ascii="Book Antiqua" w:eastAsia="等线" w:hAnsi="Book Antiqua" w:cs="Times New Roman"/>
          <w:kern w:val="2"/>
          <w:sz w:val="24"/>
          <w:szCs w:val="24"/>
          <w:lang w:val="en-US" w:eastAsia="zh-CN"/>
        </w:rPr>
        <w:t xml:space="preserve">, Skinner HA. eHEALS: The eHealth Literacy Scale.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2006; </w:t>
      </w:r>
      <w:r w:rsidRPr="00251400">
        <w:rPr>
          <w:rFonts w:ascii="Book Antiqua" w:eastAsia="等线" w:hAnsi="Book Antiqua" w:cs="Times New Roman"/>
          <w:b/>
          <w:kern w:val="2"/>
          <w:sz w:val="24"/>
          <w:szCs w:val="24"/>
          <w:lang w:val="en-US" w:eastAsia="zh-CN"/>
        </w:rPr>
        <w:t>8</w:t>
      </w:r>
      <w:r w:rsidRPr="00251400">
        <w:rPr>
          <w:rFonts w:ascii="Book Antiqua" w:eastAsia="等线" w:hAnsi="Book Antiqua" w:cs="Times New Roman"/>
          <w:kern w:val="2"/>
          <w:sz w:val="24"/>
          <w:szCs w:val="24"/>
          <w:lang w:val="en-US" w:eastAsia="zh-CN"/>
        </w:rPr>
        <w:t>: e27 [PMID: 17213046 DOI: 10.2196/jmir.8.4.e27]</w:t>
      </w:r>
    </w:p>
    <w:p w14:paraId="6AAFD7E3"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108 </w:t>
      </w:r>
      <w:r w:rsidRPr="00251400">
        <w:rPr>
          <w:rFonts w:ascii="Book Antiqua" w:eastAsia="等线" w:hAnsi="Book Antiqua" w:cs="Times New Roman"/>
          <w:b/>
          <w:kern w:val="2"/>
          <w:sz w:val="24"/>
          <w:szCs w:val="24"/>
          <w:lang w:val="en-US" w:eastAsia="zh-CN"/>
        </w:rPr>
        <w:t>Griebel L</w:t>
      </w:r>
      <w:r w:rsidRPr="00251400">
        <w:rPr>
          <w:rFonts w:ascii="Book Antiqua" w:eastAsia="等线" w:hAnsi="Book Antiqua" w:cs="Times New Roman"/>
          <w:kern w:val="2"/>
          <w:sz w:val="24"/>
          <w:szCs w:val="24"/>
          <w:lang w:val="en-US" w:eastAsia="zh-CN"/>
        </w:rPr>
        <w:t xml:space="preserve">, Enwald H, Gilstad H, Pohl AL, Moreland J, Sedlmayr M. eHealth literacy research-Quo vadis? </w:t>
      </w:r>
      <w:r w:rsidRPr="00251400">
        <w:rPr>
          <w:rFonts w:ascii="Book Antiqua" w:eastAsia="等线" w:hAnsi="Book Antiqua" w:cs="Times New Roman"/>
          <w:i/>
          <w:kern w:val="2"/>
          <w:sz w:val="24"/>
          <w:szCs w:val="24"/>
          <w:lang w:val="en-US" w:eastAsia="zh-CN"/>
        </w:rPr>
        <w:t>Inform Health Soc Care</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43</w:t>
      </w:r>
      <w:r w:rsidRPr="00251400">
        <w:rPr>
          <w:rFonts w:ascii="Book Antiqua" w:eastAsia="等线" w:hAnsi="Book Antiqua" w:cs="Times New Roman"/>
          <w:kern w:val="2"/>
          <w:sz w:val="24"/>
          <w:szCs w:val="24"/>
          <w:lang w:val="en-US" w:eastAsia="zh-CN"/>
        </w:rPr>
        <w:t>: 427-442 [PMID: 29045164 DOI: 10.1080/17538157.2017.1364247]</w:t>
      </w:r>
    </w:p>
    <w:p w14:paraId="76FA0823"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109 </w:t>
      </w:r>
      <w:r w:rsidRPr="00251400">
        <w:rPr>
          <w:rFonts w:ascii="Book Antiqua" w:eastAsia="等线" w:hAnsi="Book Antiqua" w:cs="Times New Roman"/>
          <w:b/>
          <w:kern w:val="2"/>
          <w:sz w:val="24"/>
          <w:szCs w:val="24"/>
          <w:lang w:val="en-US" w:eastAsia="zh-CN"/>
        </w:rPr>
        <w:t>Sørensen K</w:t>
      </w:r>
      <w:r w:rsidRPr="00251400">
        <w:rPr>
          <w:rFonts w:ascii="Book Antiqua" w:eastAsia="等线" w:hAnsi="Book Antiqua" w:cs="Times New Roman"/>
          <w:kern w:val="2"/>
          <w:sz w:val="24"/>
          <w:szCs w:val="24"/>
          <w:lang w:val="en-US" w:eastAsia="zh-CN"/>
        </w:rPr>
        <w:t xml:space="preserve">, Van den Broucke S, Fullam J, Doyle G, Pelikan J, Slonska Z, Brand H; (HLS-EU) Consortium Health Literacy Project European. Health literacy and public health: a systematic review and integration of definitions and models. </w:t>
      </w:r>
      <w:r w:rsidRPr="00251400">
        <w:rPr>
          <w:rFonts w:ascii="Book Antiqua" w:eastAsia="等线" w:hAnsi="Book Antiqua" w:cs="Times New Roman"/>
          <w:i/>
          <w:kern w:val="2"/>
          <w:sz w:val="24"/>
          <w:szCs w:val="24"/>
          <w:lang w:val="en-US" w:eastAsia="zh-CN"/>
        </w:rPr>
        <w:t>BMC Public Health</w:t>
      </w:r>
      <w:r w:rsidRPr="00251400">
        <w:rPr>
          <w:rFonts w:ascii="Book Antiqua" w:eastAsia="等线" w:hAnsi="Book Antiqua" w:cs="Times New Roman"/>
          <w:kern w:val="2"/>
          <w:sz w:val="24"/>
          <w:szCs w:val="24"/>
          <w:lang w:val="en-US" w:eastAsia="zh-CN"/>
        </w:rPr>
        <w:t xml:space="preserve"> 2012; </w:t>
      </w:r>
      <w:r w:rsidRPr="00251400">
        <w:rPr>
          <w:rFonts w:ascii="Book Antiqua" w:eastAsia="等线" w:hAnsi="Book Antiqua" w:cs="Times New Roman"/>
          <w:b/>
          <w:kern w:val="2"/>
          <w:sz w:val="24"/>
          <w:szCs w:val="24"/>
          <w:lang w:val="en-US" w:eastAsia="zh-CN"/>
        </w:rPr>
        <w:t>12</w:t>
      </w:r>
      <w:r w:rsidRPr="00251400">
        <w:rPr>
          <w:rFonts w:ascii="Book Antiqua" w:eastAsia="等线" w:hAnsi="Book Antiqua" w:cs="Times New Roman"/>
          <w:kern w:val="2"/>
          <w:sz w:val="24"/>
          <w:szCs w:val="24"/>
          <w:lang w:val="en-US" w:eastAsia="zh-CN"/>
        </w:rPr>
        <w:t>: 80 [PMID: 22276600 DOI: 10.1186/1471-2458-12-80]</w:t>
      </w:r>
    </w:p>
    <w:p w14:paraId="71171D66"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110 </w:t>
      </w:r>
      <w:r w:rsidRPr="00251400">
        <w:rPr>
          <w:rFonts w:ascii="Book Antiqua" w:eastAsia="等线" w:hAnsi="Book Antiqua" w:cs="Times New Roman"/>
          <w:b/>
          <w:kern w:val="2"/>
          <w:sz w:val="24"/>
          <w:szCs w:val="24"/>
          <w:lang w:val="en-US" w:eastAsia="zh-CN"/>
        </w:rPr>
        <w:t>Mitsutake S</w:t>
      </w:r>
      <w:r w:rsidRPr="00251400">
        <w:rPr>
          <w:rFonts w:ascii="Book Antiqua" w:eastAsia="等线" w:hAnsi="Book Antiqua" w:cs="Times New Roman"/>
          <w:kern w:val="2"/>
          <w:sz w:val="24"/>
          <w:szCs w:val="24"/>
          <w:lang w:val="en-US" w:eastAsia="zh-CN"/>
        </w:rPr>
        <w:t xml:space="preserve">, Shibata A, Ishii K, Oka K. Association of eHealth literacy with colorectal cancer knowledge and screening practice among internet users in Japan. </w:t>
      </w:r>
      <w:r w:rsidRPr="00251400">
        <w:rPr>
          <w:rFonts w:ascii="Book Antiqua" w:eastAsia="等线" w:hAnsi="Book Antiqua" w:cs="Times New Roman"/>
          <w:i/>
          <w:kern w:val="2"/>
          <w:sz w:val="24"/>
          <w:szCs w:val="24"/>
          <w:lang w:val="en-US" w:eastAsia="zh-CN"/>
        </w:rPr>
        <w:t>J Med Internet Res</w:t>
      </w:r>
      <w:r w:rsidRPr="00251400">
        <w:rPr>
          <w:rFonts w:ascii="Book Antiqua" w:eastAsia="等线" w:hAnsi="Book Antiqua" w:cs="Times New Roman"/>
          <w:kern w:val="2"/>
          <w:sz w:val="24"/>
          <w:szCs w:val="24"/>
          <w:lang w:val="en-US" w:eastAsia="zh-CN"/>
        </w:rPr>
        <w:t xml:space="preserve"> 2012; </w:t>
      </w:r>
      <w:r w:rsidRPr="00251400">
        <w:rPr>
          <w:rFonts w:ascii="Book Antiqua" w:eastAsia="等线" w:hAnsi="Book Antiqua" w:cs="Times New Roman"/>
          <w:b/>
          <w:kern w:val="2"/>
          <w:sz w:val="24"/>
          <w:szCs w:val="24"/>
          <w:lang w:val="en-US" w:eastAsia="zh-CN"/>
        </w:rPr>
        <w:t>14</w:t>
      </w:r>
      <w:r w:rsidRPr="00251400">
        <w:rPr>
          <w:rFonts w:ascii="Book Antiqua" w:eastAsia="等线" w:hAnsi="Book Antiqua" w:cs="Times New Roman"/>
          <w:kern w:val="2"/>
          <w:sz w:val="24"/>
          <w:szCs w:val="24"/>
          <w:lang w:val="en-US" w:eastAsia="zh-CN"/>
        </w:rPr>
        <w:t>: e153 [PMID: 23149453 DOI: 10.2196/jmir.1927]</w:t>
      </w:r>
    </w:p>
    <w:p w14:paraId="1ECFC778"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111 </w:t>
      </w:r>
      <w:r w:rsidRPr="00251400">
        <w:rPr>
          <w:rFonts w:ascii="Book Antiqua" w:eastAsia="等线" w:hAnsi="Book Antiqua" w:cs="Times New Roman"/>
          <w:b/>
          <w:kern w:val="2"/>
          <w:sz w:val="24"/>
          <w:szCs w:val="24"/>
          <w:lang w:val="en-US" w:eastAsia="zh-CN"/>
        </w:rPr>
        <w:t>Dashti S</w:t>
      </w:r>
      <w:r w:rsidRPr="00251400">
        <w:rPr>
          <w:rFonts w:ascii="Book Antiqua" w:eastAsia="等线" w:hAnsi="Book Antiqua" w:cs="Times New Roman"/>
          <w:kern w:val="2"/>
          <w:sz w:val="24"/>
          <w:szCs w:val="24"/>
          <w:lang w:val="en-US" w:eastAsia="zh-CN"/>
        </w:rPr>
        <w:t xml:space="preserve">, Peyman N, Tajfard M, Esmaeeli H. E-Health literacy of medical and health sciences university students in Mashhad, Iran in 2016: a pilot study. </w:t>
      </w:r>
      <w:r w:rsidRPr="00251400">
        <w:rPr>
          <w:rFonts w:ascii="Book Antiqua" w:eastAsia="等线" w:hAnsi="Book Antiqua" w:cs="Times New Roman"/>
          <w:i/>
          <w:kern w:val="2"/>
          <w:sz w:val="24"/>
          <w:szCs w:val="24"/>
          <w:lang w:val="en-US" w:eastAsia="zh-CN"/>
        </w:rPr>
        <w:t>Electron Physician</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9</w:t>
      </w:r>
      <w:r w:rsidRPr="00251400">
        <w:rPr>
          <w:rFonts w:ascii="Book Antiqua" w:eastAsia="等线" w:hAnsi="Book Antiqua" w:cs="Times New Roman"/>
          <w:kern w:val="2"/>
          <w:sz w:val="24"/>
          <w:szCs w:val="24"/>
          <w:lang w:val="en-US" w:eastAsia="zh-CN"/>
        </w:rPr>
        <w:t>: 3966-3973 [PMID: 28461871 DOI: 10.19082/3966]</w:t>
      </w:r>
    </w:p>
    <w:p w14:paraId="24241259"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112 </w:t>
      </w:r>
      <w:r w:rsidRPr="00251400">
        <w:rPr>
          <w:rFonts w:ascii="Book Antiqua" w:eastAsia="等线" w:hAnsi="Book Antiqua" w:cs="Times New Roman"/>
          <w:b/>
          <w:kern w:val="2"/>
          <w:sz w:val="24"/>
          <w:szCs w:val="24"/>
          <w:lang w:val="en-US" w:eastAsia="zh-CN"/>
        </w:rPr>
        <w:t>Yeung S</w:t>
      </w:r>
      <w:r w:rsidRPr="00251400">
        <w:rPr>
          <w:rFonts w:ascii="Book Antiqua" w:eastAsia="等线" w:hAnsi="Book Antiqua" w:cs="Times New Roman"/>
          <w:kern w:val="2"/>
          <w:sz w:val="24"/>
          <w:szCs w:val="24"/>
          <w:lang w:val="en-US" w:eastAsia="zh-CN"/>
        </w:rPr>
        <w:t xml:space="preserve">, Downing NL, Fei-Fei L, Milstein A. Bedside Computer Vision - Moving Artificial Intelligence from Driver Assistance to Patient Safety. </w:t>
      </w:r>
      <w:r w:rsidRPr="00251400">
        <w:rPr>
          <w:rFonts w:ascii="Book Antiqua" w:eastAsia="等线" w:hAnsi="Book Antiqua" w:cs="Times New Roman"/>
          <w:i/>
          <w:kern w:val="2"/>
          <w:sz w:val="24"/>
          <w:szCs w:val="24"/>
          <w:lang w:val="en-US" w:eastAsia="zh-CN"/>
        </w:rPr>
        <w:t>N Engl J Med</w:t>
      </w:r>
      <w:r w:rsidRPr="00251400">
        <w:rPr>
          <w:rFonts w:ascii="Book Antiqua" w:eastAsia="等线" w:hAnsi="Book Antiqua" w:cs="Times New Roman"/>
          <w:kern w:val="2"/>
          <w:sz w:val="24"/>
          <w:szCs w:val="24"/>
          <w:lang w:val="en-US" w:eastAsia="zh-CN"/>
        </w:rPr>
        <w:t xml:space="preserve"> 2018; </w:t>
      </w:r>
      <w:r w:rsidRPr="00251400">
        <w:rPr>
          <w:rFonts w:ascii="Book Antiqua" w:eastAsia="等线" w:hAnsi="Book Antiqua" w:cs="Times New Roman"/>
          <w:b/>
          <w:kern w:val="2"/>
          <w:sz w:val="24"/>
          <w:szCs w:val="24"/>
          <w:lang w:val="en-US" w:eastAsia="zh-CN"/>
        </w:rPr>
        <w:t>378</w:t>
      </w:r>
      <w:r w:rsidRPr="00251400">
        <w:rPr>
          <w:rFonts w:ascii="Book Antiqua" w:eastAsia="等线" w:hAnsi="Book Antiqua" w:cs="Times New Roman"/>
          <w:kern w:val="2"/>
          <w:sz w:val="24"/>
          <w:szCs w:val="24"/>
          <w:lang w:val="en-US" w:eastAsia="zh-CN"/>
        </w:rPr>
        <w:t>: 1271-1273 [PMID: 29617592 DOI: 10.1056/NEJMp1716891]</w:t>
      </w:r>
    </w:p>
    <w:p w14:paraId="16E0AC50"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113 PWC. Weiterentwicklung der eHealth Strategie - Abschlussfassung. [accessed 2020 Feb 20] 2016. Available from: https://www.bundesgesundheitsministerium.de/fileadmin/Dateien/3_Downloads/E/eHealth/BMG-Weiterentwicklung_der_eHealth-Strategie-Abschlussfassung.pdf.</w:t>
      </w:r>
    </w:p>
    <w:p w14:paraId="443F3395" w14:textId="365D1C3E"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114 </w:t>
      </w:r>
      <w:r w:rsidRPr="00251400">
        <w:rPr>
          <w:rFonts w:ascii="Book Antiqua" w:eastAsia="等线" w:hAnsi="Book Antiqua" w:cs="Times New Roman"/>
          <w:b/>
          <w:kern w:val="2"/>
          <w:sz w:val="24"/>
          <w:szCs w:val="24"/>
          <w:lang w:val="en-US" w:eastAsia="zh-CN"/>
        </w:rPr>
        <w:t>Bork U,</w:t>
      </w:r>
      <w:r w:rsidRPr="00251400">
        <w:rPr>
          <w:rFonts w:ascii="Book Antiqua" w:eastAsia="等线" w:hAnsi="Book Antiqua" w:cs="Times New Roman"/>
          <w:kern w:val="2"/>
          <w:sz w:val="24"/>
          <w:szCs w:val="24"/>
          <w:lang w:val="en-US" w:eastAsia="zh-CN"/>
        </w:rPr>
        <w:t xml:space="preserve"> Weitz Jr, Penter V. Apps und Mobile Health: Viele Potenziale noch nicht ausgeschöpft. [accessed 2020 Feb 20]. Dtsch Arztebl International 2018; 115(3): 62- screens. Available from: https://www.aerzteblatt.de/int/article.asp?id=195817</w:t>
      </w:r>
    </w:p>
    <w:p w14:paraId="47AAAFA6" w14:textId="77777777" w:rsidR="005A44ED"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lastRenderedPageBreak/>
        <w:t xml:space="preserve">115 </w:t>
      </w:r>
      <w:r w:rsidRPr="00251400">
        <w:rPr>
          <w:rFonts w:ascii="Book Antiqua" w:eastAsia="等线" w:hAnsi="Book Antiqua" w:cs="Times New Roman"/>
          <w:b/>
          <w:kern w:val="2"/>
          <w:sz w:val="24"/>
          <w:szCs w:val="24"/>
          <w:lang w:val="en-US" w:eastAsia="zh-CN"/>
        </w:rPr>
        <w:t>Tuckson RV</w:t>
      </w:r>
      <w:r w:rsidRPr="00251400">
        <w:rPr>
          <w:rFonts w:ascii="Book Antiqua" w:eastAsia="等线" w:hAnsi="Book Antiqua" w:cs="Times New Roman"/>
          <w:kern w:val="2"/>
          <w:sz w:val="24"/>
          <w:szCs w:val="24"/>
          <w:lang w:val="en-US" w:eastAsia="zh-CN"/>
        </w:rPr>
        <w:t xml:space="preserve">, Edmunds M, Hodgkins ML. Telehealth. </w:t>
      </w:r>
      <w:r w:rsidRPr="00251400">
        <w:rPr>
          <w:rFonts w:ascii="Book Antiqua" w:eastAsia="等线" w:hAnsi="Book Antiqua" w:cs="Times New Roman"/>
          <w:i/>
          <w:kern w:val="2"/>
          <w:sz w:val="24"/>
          <w:szCs w:val="24"/>
          <w:lang w:val="en-US" w:eastAsia="zh-CN"/>
        </w:rPr>
        <w:t>N Engl J Med</w:t>
      </w:r>
      <w:r w:rsidRPr="00251400">
        <w:rPr>
          <w:rFonts w:ascii="Book Antiqua" w:eastAsia="等线" w:hAnsi="Book Antiqua" w:cs="Times New Roman"/>
          <w:kern w:val="2"/>
          <w:sz w:val="24"/>
          <w:szCs w:val="24"/>
          <w:lang w:val="en-US" w:eastAsia="zh-CN"/>
        </w:rPr>
        <w:t xml:space="preserve"> 2017; </w:t>
      </w:r>
      <w:r w:rsidRPr="00251400">
        <w:rPr>
          <w:rFonts w:ascii="Book Antiqua" w:eastAsia="等线" w:hAnsi="Book Antiqua" w:cs="Times New Roman"/>
          <w:b/>
          <w:kern w:val="2"/>
          <w:sz w:val="24"/>
          <w:szCs w:val="24"/>
          <w:lang w:val="en-US" w:eastAsia="zh-CN"/>
        </w:rPr>
        <w:t>377</w:t>
      </w:r>
      <w:r w:rsidRPr="00251400">
        <w:rPr>
          <w:rFonts w:ascii="Book Antiqua" w:eastAsia="等线" w:hAnsi="Book Antiqua" w:cs="Times New Roman"/>
          <w:kern w:val="2"/>
          <w:sz w:val="24"/>
          <w:szCs w:val="24"/>
          <w:lang w:val="en-US" w:eastAsia="zh-CN"/>
        </w:rPr>
        <w:t>: 1585-1592 [PMID: 29045204 DOI: 10.1056/NEJMsr1503323]</w:t>
      </w:r>
    </w:p>
    <w:p w14:paraId="0D0A7399" w14:textId="0F1A2D0F" w:rsidR="00883298" w:rsidRPr="00251400"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251400">
        <w:rPr>
          <w:rFonts w:ascii="Book Antiqua" w:eastAsia="等线" w:hAnsi="Book Antiqua" w:cs="Times New Roman"/>
          <w:kern w:val="2"/>
          <w:sz w:val="24"/>
          <w:szCs w:val="24"/>
          <w:lang w:val="en-US" w:eastAsia="zh-CN"/>
        </w:rPr>
        <w:t xml:space="preserve">116 </w:t>
      </w:r>
      <w:r w:rsidRPr="00251400">
        <w:rPr>
          <w:rFonts w:ascii="Book Antiqua" w:eastAsia="等线" w:hAnsi="Book Antiqua" w:cs="Times New Roman"/>
          <w:b/>
          <w:kern w:val="2"/>
          <w:sz w:val="24"/>
          <w:szCs w:val="24"/>
          <w:lang w:val="en-US" w:eastAsia="zh-CN"/>
        </w:rPr>
        <w:t>Bork U,</w:t>
      </w:r>
      <w:r w:rsidRPr="00251400">
        <w:rPr>
          <w:rFonts w:ascii="Book Antiqua" w:eastAsia="等线" w:hAnsi="Book Antiqua" w:cs="Times New Roman"/>
          <w:kern w:val="2"/>
          <w:sz w:val="24"/>
          <w:szCs w:val="24"/>
          <w:lang w:val="en-US" w:eastAsia="zh-CN"/>
        </w:rPr>
        <w:t xml:space="preserve"> Weitz Jr. Cloud Computing im Gesundheitswesen: Mehr Chancen als Risiken. [accessed 2020 Feb 17] Dtsch Arztebl International 2019; 116(14): 679- screens. Available from: </w:t>
      </w:r>
      <w:hyperlink r:id="rId10" w:history="1">
        <w:r w:rsidR="009E7D6B" w:rsidRPr="00251400">
          <w:rPr>
            <w:rStyle w:val="ab"/>
            <w:rFonts w:ascii="Book Antiqua" w:eastAsia="等线" w:hAnsi="Book Antiqua" w:cs="Times New Roman"/>
            <w:kern w:val="2"/>
            <w:sz w:val="24"/>
            <w:szCs w:val="24"/>
            <w:lang w:val="en-US" w:eastAsia="zh-CN"/>
          </w:rPr>
          <w:t>https://www.aerzteblatt.de/int/article.asp?id=206602</w:t>
        </w:r>
      </w:hyperlink>
      <w:r w:rsidR="009E7D6B" w:rsidRPr="00251400">
        <w:rPr>
          <w:rFonts w:ascii="Book Antiqua" w:eastAsia="等线" w:hAnsi="Book Antiqua" w:cs="Times New Roman"/>
          <w:kern w:val="2"/>
          <w:sz w:val="24"/>
          <w:szCs w:val="24"/>
          <w:lang w:val="en-US" w:eastAsia="zh-CN"/>
        </w:rPr>
        <w:t xml:space="preserve"> </w:t>
      </w:r>
    </w:p>
    <w:p w14:paraId="65015A6B" w14:textId="77777777" w:rsidR="00883298" w:rsidRPr="00251400" w:rsidRDefault="00883298" w:rsidP="00B0664E">
      <w:pPr>
        <w:adjustRightInd w:val="0"/>
        <w:snapToGrid w:val="0"/>
        <w:spacing w:line="360" w:lineRule="auto"/>
        <w:jc w:val="both"/>
        <w:rPr>
          <w:rFonts w:ascii="Book Antiqua" w:hAnsi="Book Antiqua"/>
          <w:noProof/>
          <w:sz w:val="24"/>
          <w:szCs w:val="24"/>
          <w:lang w:val="en-US"/>
        </w:rPr>
      </w:pPr>
      <w:r w:rsidRPr="00251400">
        <w:rPr>
          <w:rFonts w:ascii="Book Antiqua" w:hAnsi="Book Antiqua"/>
          <w:noProof/>
          <w:sz w:val="24"/>
          <w:szCs w:val="24"/>
          <w:lang w:val="en-US"/>
        </w:rPr>
        <w:br w:type="page"/>
      </w:r>
    </w:p>
    <w:p w14:paraId="35E40B8D" w14:textId="6F64C356"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lastRenderedPageBreak/>
        <w:t>Footnotes</w:t>
      </w:r>
    </w:p>
    <w:p w14:paraId="089BF711" w14:textId="77777777"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 xml:space="preserve">Conflict-of-interest statement: </w:t>
      </w:r>
      <w:r w:rsidRPr="00251400">
        <w:rPr>
          <w:rFonts w:ascii="Book Antiqua" w:hAnsi="Book Antiqua"/>
          <w:sz w:val="24"/>
          <w:szCs w:val="24"/>
          <w:lang w:val="en-US"/>
        </w:rPr>
        <w:t>All authors declare no conflict-of- interest.</w:t>
      </w:r>
    </w:p>
    <w:p w14:paraId="62620EA8" w14:textId="77777777" w:rsidR="00883298" w:rsidRPr="00251400" w:rsidRDefault="00883298" w:rsidP="00B0664E">
      <w:pPr>
        <w:adjustRightInd w:val="0"/>
        <w:snapToGrid w:val="0"/>
        <w:spacing w:line="360" w:lineRule="auto"/>
        <w:jc w:val="both"/>
        <w:rPr>
          <w:rFonts w:ascii="Book Antiqua" w:hAnsi="Book Antiqua"/>
          <w:sz w:val="24"/>
          <w:szCs w:val="24"/>
          <w:lang w:val="en-US"/>
        </w:rPr>
      </w:pPr>
    </w:p>
    <w:p w14:paraId="66D927CF" w14:textId="77777777" w:rsidR="00883298" w:rsidRPr="00251400" w:rsidRDefault="00883298" w:rsidP="00B0664E">
      <w:pPr>
        <w:adjustRightInd w:val="0"/>
        <w:snapToGrid w:val="0"/>
        <w:spacing w:line="360" w:lineRule="auto"/>
        <w:jc w:val="both"/>
        <w:rPr>
          <w:rFonts w:ascii="Book Antiqua" w:hAnsi="Book Antiqua"/>
          <w:bCs/>
          <w:sz w:val="24"/>
          <w:szCs w:val="24"/>
          <w:lang w:val="en-US"/>
        </w:rPr>
      </w:pPr>
      <w:bookmarkStart w:id="10" w:name="_Hlk25573505"/>
      <w:bookmarkStart w:id="11" w:name="OLE_LINK561"/>
      <w:bookmarkStart w:id="12" w:name="_Hlk26521719"/>
      <w:bookmarkStart w:id="13" w:name="OLE_LINK265"/>
      <w:bookmarkStart w:id="14" w:name="OLE_LINK268"/>
      <w:bookmarkStart w:id="15" w:name="OLE_LINK345"/>
      <w:bookmarkStart w:id="16" w:name="OLE_LINK372"/>
      <w:bookmarkStart w:id="17" w:name="OLE_LINK421"/>
      <w:bookmarkStart w:id="18" w:name="OLE_LINK426"/>
      <w:bookmarkStart w:id="19" w:name="OLE_LINK157"/>
      <w:bookmarkStart w:id="20" w:name="OLE_LINK457"/>
      <w:bookmarkStart w:id="21" w:name="OLE_LINK456"/>
      <w:bookmarkStart w:id="22" w:name="OLE_LINK467"/>
      <w:bookmarkStart w:id="23" w:name="OLE_LINK515"/>
      <w:bookmarkStart w:id="24" w:name="OLE_LINK517"/>
      <w:bookmarkStart w:id="25" w:name="OLE_LINK521"/>
      <w:bookmarkStart w:id="26" w:name="OLE_LINK522"/>
      <w:bookmarkStart w:id="27" w:name="OLE_LINK563"/>
      <w:bookmarkStart w:id="28" w:name="OLE_LINK570"/>
      <w:bookmarkStart w:id="29" w:name="OLE_LINK573"/>
      <w:r w:rsidRPr="00251400">
        <w:rPr>
          <w:rFonts w:ascii="Book Antiqua" w:hAnsi="Book Antiqua"/>
          <w:b/>
          <w:sz w:val="24"/>
          <w:szCs w:val="24"/>
          <w:lang w:val="en-US"/>
        </w:rPr>
        <w:t xml:space="preserve">Open-Access: </w:t>
      </w:r>
      <w:bookmarkStart w:id="30" w:name="OLE_LINK524"/>
      <w:r w:rsidRPr="00251400">
        <w:rPr>
          <w:rFonts w:ascii="Book Antiqua" w:hAnsi="Book Antiqua"/>
          <w:bCs/>
          <w:sz w:val="24"/>
          <w:szCs w:val="24"/>
          <w:lang w:val="en-US"/>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251400">
          <w:rPr>
            <w:rStyle w:val="ab"/>
            <w:rFonts w:ascii="Book Antiqua" w:hAnsi="Book Antiqua"/>
            <w:bCs/>
            <w:color w:val="auto"/>
            <w:sz w:val="24"/>
            <w:szCs w:val="24"/>
            <w:lang w:val="en-US"/>
          </w:rPr>
          <w:t>http://creativecommons.org/licenses/by-nc/4.0/</w:t>
        </w:r>
      </w:hyperlink>
      <w:bookmarkEnd w:id="30"/>
    </w:p>
    <w:p w14:paraId="33D915CE" w14:textId="77777777" w:rsidR="00883298" w:rsidRPr="00251400" w:rsidRDefault="00883298" w:rsidP="00B0664E">
      <w:pPr>
        <w:adjustRightInd w:val="0"/>
        <w:snapToGrid w:val="0"/>
        <w:spacing w:line="360" w:lineRule="auto"/>
        <w:jc w:val="both"/>
        <w:rPr>
          <w:rFonts w:ascii="Book Antiqua" w:hAnsi="Book Antiqua" w:cstheme="minorBidi"/>
          <w:sz w:val="24"/>
          <w:szCs w:val="24"/>
          <w:lang w:val="en-US"/>
        </w:rPr>
      </w:pPr>
    </w:p>
    <w:p w14:paraId="2A263F01" w14:textId="1323246A" w:rsidR="00883298" w:rsidRPr="00251400" w:rsidRDefault="00883298" w:rsidP="00B0664E">
      <w:pPr>
        <w:adjustRightInd w:val="0"/>
        <w:snapToGrid w:val="0"/>
        <w:spacing w:line="360" w:lineRule="auto"/>
        <w:jc w:val="both"/>
        <w:rPr>
          <w:rFonts w:ascii="Book Antiqua" w:eastAsia="等线" w:hAnsi="Book Antiqua"/>
          <w:bCs/>
          <w:sz w:val="24"/>
          <w:szCs w:val="24"/>
          <w:lang w:val="en-US"/>
        </w:rPr>
      </w:pPr>
      <w:bookmarkStart w:id="31" w:name="OLE_LINK1103"/>
      <w:bookmarkStart w:id="32" w:name="OLE_LINK1102"/>
      <w:bookmarkStart w:id="33" w:name="OLE_LINK176"/>
      <w:bookmarkStart w:id="34" w:name="OLE_LINK172"/>
      <w:r w:rsidRPr="00251400">
        <w:rPr>
          <w:rFonts w:ascii="Book Antiqua" w:eastAsia="等线" w:hAnsi="Book Antiqua"/>
          <w:b/>
          <w:sz w:val="24"/>
          <w:szCs w:val="24"/>
          <w:lang w:val="en-US"/>
        </w:rPr>
        <w:t>Manuscript source:</w:t>
      </w:r>
      <w:bookmarkEnd w:id="10"/>
      <w:bookmarkEnd w:id="11"/>
      <w:bookmarkEnd w:id="31"/>
      <w:bookmarkEnd w:id="32"/>
      <w:bookmarkEnd w:id="33"/>
      <w:bookmarkEnd w:id="34"/>
      <w:r w:rsidR="00C518F5" w:rsidRPr="00251400">
        <w:rPr>
          <w:rFonts w:ascii="Book Antiqua" w:eastAsia="等线" w:hAnsi="Book Antiqua"/>
          <w:b/>
          <w:sz w:val="24"/>
          <w:szCs w:val="24"/>
          <w:lang w:val="en-US"/>
        </w:rPr>
        <w:t xml:space="preserve"> </w:t>
      </w:r>
      <w:r w:rsidR="00C518F5" w:rsidRPr="00251400">
        <w:rPr>
          <w:rFonts w:ascii="Book Antiqua" w:eastAsia="等线" w:hAnsi="Book Antiqua"/>
          <w:bCs/>
          <w:sz w:val="24"/>
          <w:szCs w:val="24"/>
          <w:lang w:val="en-US"/>
        </w:rPr>
        <w:t>Invited manuscript</w:t>
      </w:r>
    </w:p>
    <w:p w14:paraId="184BC190" w14:textId="77777777" w:rsidR="00883298" w:rsidRPr="00251400" w:rsidRDefault="00883298" w:rsidP="00B0664E">
      <w:pPr>
        <w:adjustRightInd w:val="0"/>
        <w:snapToGrid w:val="0"/>
        <w:spacing w:line="360" w:lineRule="auto"/>
        <w:jc w:val="both"/>
        <w:rPr>
          <w:rFonts w:ascii="Book Antiqua" w:eastAsia="等线" w:hAnsi="Book Antiqua"/>
          <w:sz w:val="24"/>
          <w:szCs w:val="24"/>
          <w:lang w:val="en-US"/>
        </w:rPr>
      </w:pPr>
    </w:p>
    <w:p w14:paraId="2D4D6DA2" w14:textId="3FB4A187" w:rsidR="00883298" w:rsidRPr="00251400" w:rsidRDefault="00883298" w:rsidP="00B0664E">
      <w:pPr>
        <w:adjustRightInd w:val="0"/>
        <w:snapToGrid w:val="0"/>
        <w:spacing w:line="360" w:lineRule="auto"/>
        <w:jc w:val="both"/>
        <w:rPr>
          <w:rFonts w:ascii="Book Antiqua" w:hAnsi="Book Antiqua"/>
          <w:bCs/>
          <w:sz w:val="24"/>
          <w:szCs w:val="24"/>
          <w:lang w:val="en-US"/>
        </w:rPr>
      </w:pPr>
      <w:bookmarkStart w:id="35" w:name="_Hlk26890791"/>
      <w:bookmarkStart w:id="36" w:name="_Hlk26802702"/>
      <w:bookmarkStart w:id="37" w:name="OLE_LINK255"/>
      <w:bookmarkStart w:id="38" w:name="OLE_LINK198"/>
      <w:r w:rsidRPr="00251400">
        <w:rPr>
          <w:rFonts w:ascii="Book Antiqua" w:hAnsi="Book Antiqua"/>
          <w:b/>
          <w:sz w:val="24"/>
          <w:szCs w:val="24"/>
          <w:lang w:val="en-US"/>
        </w:rPr>
        <w:t>Peer-review started:</w:t>
      </w:r>
      <w:r w:rsidR="00C518F5" w:rsidRPr="00251400">
        <w:rPr>
          <w:rFonts w:ascii="Book Antiqua" w:hAnsi="Book Antiqua"/>
          <w:b/>
          <w:sz w:val="24"/>
          <w:szCs w:val="24"/>
          <w:lang w:val="en-US"/>
        </w:rPr>
        <w:t xml:space="preserve"> </w:t>
      </w:r>
      <w:r w:rsidR="00C518F5" w:rsidRPr="00251400">
        <w:rPr>
          <w:rFonts w:ascii="Book Antiqua" w:hAnsi="Book Antiqua"/>
          <w:bCs/>
          <w:sz w:val="24"/>
          <w:szCs w:val="24"/>
          <w:lang w:val="en-US"/>
        </w:rPr>
        <w:t>March 31, 2020</w:t>
      </w:r>
    </w:p>
    <w:p w14:paraId="0E739BCC" w14:textId="44D29F28" w:rsidR="00883298"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
          <w:sz w:val="24"/>
          <w:szCs w:val="24"/>
          <w:lang w:val="en-US"/>
        </w:rPr>
        <w:t>First decision:</w:t>
      </w:r>
      <w:r w:rsidR="00C518F5" w:rsidRPr="00251400">
        <w:rPr>
          <w:rFonts w:ascii="Book Antiqua" w:hAnsi="Book Antiqua"/>
          <w:b/>
          <w:sz w:val="24"/>
          <w:szCs w:val="24"/>
          <w:lang w:val="en-US"/>
        </w:rPr>
        <w:t xml:space="preserve"> </w:t>
      </w:r>
      <w:r w:rsidR="00C518F5" w:rsidRPr="00251400">
        <w:rPr>
          <w:rFonts w:ascii="Book Antiqua" w:hAnsi="Book Antiqua"/>
          <w:bCs/>
          <w:sz w:val="24"/>
          <w:szCs w:val="24"/>
          <w:lang w:val="en-US"/>
        </w:rPr>
        <w:t>April 25, 2020</w:t>
      </w:r>
    </w:p>
    <w:p w14:paraId="042CA094" w14:textId="119CAF88"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Article in press:</w:t>
      </w:r>
      <w:bookmarkEnd w:id="12"/>
      <w:bookmarkEnd w:id="35"/>
      <w:r w:rsidR="002F0F27" w:rsidRPr="00251400">
        <w:rPr>
          <w:rFonts w:ascii="Book Antiqua" w:hAnsi="Book Antiqua"/>
          <w:sz w:val="24"/>
          <w:szCs w:val="24"/>
          <w:lang w:val="en-US"/>
        </w:rPr>
        <w:t xml:space="preserve"> </w:t>
      </w:r>
      <w:r w:rsidR="002F0F27" w:rsidRPr="00251400">
        <w:rPr>
          <w:rFonts w:ascii="Book Antiqua" w:eastAsia="宋体" w:hAnsi="Book Antiqua" w:cs="Times New Roman"/>
          <w:bCs/>
          <w:sz w:val="24"/>
          <w:szCs w:val="24"/>
          <w:lang w:val="en-US" w:eastAsia="zh-CN"/>
        </w:rPr>
        <w:t>July 23, 2020</w:t>
      </w:r>
    </w:p>
    <w:bookmarkEnd w:id="36"/>
    <w:p w14:paraId="3F18FB79" w14:textId="77777777" w:rsidR="00883298" w:rsidRPr="00251400" w:rsidRDefault="00883298" w:rsidP="00B0664E">
      <w:pPr>
        <w:adjustRightInd w:val="0"/>
        <w:snapToGrid w:val="0"/>
        <w:spacing w:line="360" w:lineRule="auto"/>
        <w:jc w:val="both"/>
        <w:rPr>
          <w:rFonts w:ascii="Book Antiqua" w:hAnsi="Book Antiqua" w:cstheme="minorHAnsi"/>
          <w:b/>
          <w:sz w:val="24"/>
          <w:szCs w:val="24"/>
          <w:lang w:val="en-US"/>
        </w:rPr>
      </w:pPr>
    </w:p>
    <w:p w14:paraId="3C742327" w14:textId="4DDE91BA" w:rsidR="00883298" w:rsidRPr="00251400" w:rsidRDefault="00883298" w:rsidP="00B0664E">
      <w:pPr>
        <w:adjustRightInd w:val="0"/>
        <w:snapToGrid w:val="0"/>
        <w:spacing w:line="360" w:lineRule="auto"/>
        <w:jc w:val="both"/>
        <w:rPr>
          <w:rFonts w:ascii="Book Antiqua" w:eastAsia="微软雅黑" w:hAnsi="Book Antiqua" w:cs="宋体"/>
          <w:sz w:val="24"/>
          <w:szCs w:val="24"/>
          <w:lang w:val="en-US"/>
        </w:rPr>
      </w:pPr>
      <w:bookmarkStart w:id="39" w:name="_Hlk26541524"/>
      <w:bookmarkStart w:id="40" w:name="OLE_LINK95"/>
      <w:r w:rsidRPr="00251400">
        <w:rPr>
          <w:rFonts w:ascii="Book Antiqua" w:hAnsi="Book Antiqua" w:cs="宋体"/>
          <w:b/>
          <w:sz w:val="24"/>
          <w:szCs w:val="24"/>
          <w:lang w:val="en-US"/>
        </w:rPr>
        <w:t>Specialty type:</w:t>
      </w:r>
      <w:r w:rsidR="00C518F5" w:rsidRPr="00251400">
        <w:rPr>
          <w:rFonts w:ascii="Book Antiqua" w:hAnsi="Book Antiqua" w:cs="宋体"/>
          <w:b/>
          <w:sz w:val="24"/>
          <w:szCs w:val="24"/>
          <w:lang w:val="en-US"/>
        </w:rPr>
        <w:t xml:space="preserve"> </w:t>
      </w:r>
      <w:r w:rsidR="00C518F5" w:rsidRPr="00251400">
        <w:rPr>
          <w:rFonts w:ascii="Book Antiqua" w:eastAsia="微软雅黑" w:hAnsi="Book Antiqua" w:cs="宋体"/>
          <w:sz w:val="24"/>
          <w:szCs w:val="24"/>
        </w:rPr>
        <w:t>Gastroenterology and hepatology</w:t>
      </w:r>
    </w:p>
    <w:p w14:paraId="4E7572F9" w14:textId="1800123A" w:rsidR="00883298" w:rsidRPr="00251400" w:rsidRDefault="00883298" w:rsidP="00B0664E">
      <w:pPr>
        <w:adjustRightInd w:val="0"/>
        <w:snapToGrid w:val="0"/>
        <w:spacing w:line="360" w:lineRule="auto"/>
        <w:jc w:val="both"/>
        <w:rPr>
          <w:rFonts w:ascii="Book Antiqua" w:hAnsi="Book Antiqua" w:cs="宋体"/>
          <w:sz w:val="24"/>
          <w:szCs w:val="24"/>
          <w:lang w:val="en-US"/>
        </w:rPr>
      </w:pPr>
      <w:r w:rsidRPr="00251400">
        <w:rPr>
          <w:rFonts w:ascii="Book Antiqua" w:hAnsi="Book Antiqua" w:cs="宋体"/>
          <w:b/>
          <w:sz w:val="24"/>
          <w:szCs w:val="24"/>
          <w:lang w:val="en-US"/>
        </w:rPr>
        <w:t>Country/Territory of origin:</w:t>
      </w:r>
      <w:r w:rsidR="00050213" w:rsidRPr="00251400">
        <w:rPr>
          <w:rFonts w:ascii="Book Antiqua" w:hAnsi="Book Antiqua" w:cs="宋体"/>
          <w:b/>
          <w:sz w:val="24"/>
          <w:szCs w:val="24"/>
          <w:lang w:val="en-US"/>
        </w:rPr>
        <w:t xml:space="preserve"> </w:t>
      </w:r>
      <w:r w:rsidR="00050213" w:rsidRPr="00251400">
        <w:rPr>
          <w:rFonts w:ascii="Book Antiqua" w:hAnsi="Book Antiqua" w:cs="宋体"/>
          <w:sz w:val="24"/>
          <w:szCs w:val="24"/>
          <w:lang w:val="en-US"/>
        </w:rPr>
        <w:t>Germany</w:t>
      </w:r>
    </w:p>
    <w:p w14:paraId="0AC89234" w14:textId="77777777" w:rsidR="00883298" w:rsidRPr="00251400" w:rsidRDefault="00883298" w:rsidP="00B0664E">
      <w:pPr>
        <w:adjustRightInd w:val="0"/>
        <w:snapToGrid w:val="0"/>
        <w:spacing w:line="360" w:lineRule="auto"/>
        <w:jc w:val="both"/>
        <w:rPr>
          <w:rFonts w:ascii="Book Antiqua" w:hAnsi="Book Antiqua" w:cs="宋体"/>
          <w:b/>
          <w:sz w:val="24"/>
          <w:szCs w:val="24"/>
          <w:lang w:val="en-US"/>
        </w:rPr>
      </w:pPr>
      <w:bookmarkStart w:id="41" w:name="OLE_LINK487"/>
      <w:bookmarkStart w:id="42" w:name="OLE_LINK463"/>
      <w:bookmarkStart w:id="43" w:name="OLE_LINK425"/>
      <w:bookmarkStart w:id="44" w:name="_Hlk33631519"/>
      <w:r w:rsidRPr="00251400">
        <w:rPr>
          <w:rFonts w:ascii="Book Antiqua" w:hAnsi="Book Antiqua" w:cs="宋体"/>
          <w:b/>
          <w:sz w:val="24"/>
          <w:szCs w:val="24"/>
          <w:lang w:val="en-US"/>
        </w:rPr>
        <w:t>Peer-review report’s scientific quality classification</w:t>
      </w:r>
      <w:bookmarkEnd w:id="41"/>
      <w:bookmarkEnd w:id="42"/>
    </w:p>
    <w:p w14:paraId="4B9D7CE7" w14:textId="41E4FCE7" w:rsidR="00883298" w:rsidRPr="00251400" w:rsidRDefault="00883298" w:rsidP="00B0664E">
      <w:pPr>
        <w:adjustRightInd w:val="0"/>
        <w:snapToGrid w:val="0"/>
        <w:spacing w:line="360" w:lineRule="auto"/>
        <w:jc w:val="both"/>
        <w:rPr>
          <w:rFonts w:ascii="Book Antiqua" w:hAnsi="Book Antiqua" w:cs="宋体"/>
          <w:sz w:val="24"/>
          <w:szCs w:val="24"/>
          <w:lang w:val="en-US"/>
        </w:rPr>
      </w:pPr>
      <w:r w:rsidRPr="00251400">
        <w:rPr>
          <w:rFonts w:ascii="Book Antiqua" w:hAnsi="Book Antiqua" w:cs="宋体"/>
          <w:sz w:val="24"/>
          <w:szCs w:val="24"/>
          <w:lang w:val="en-US"/>
        </w:rPr>
        <w:t>Grade A (Excellent):</w:t>
      </w:r>
      <w:r w:rsidR="00C518F5" w:rsidRPr="00251400">
        <w:rPr>
          <w:rFonts w:ascii="Book Antiqua" w:hAnsi="Book Antiqua" w:cs="宋体"/>
          <w:sz w:val="24"/>
          <w:szCs w:val="24"/>
          <w:lang w:val="en-US"/>
        </w:rPr>
        <w:t xml:space="preserve"> 0</w:t>
      </w:r>
    </w:p>
    <w:p w14:paraId="73CD839B" w14:textId="57F3239C" w:rsidR="00883298" w:rsidRPr="00251400" w:rsidRDefault="00883298" w:rsidP="00B0664E">
      <w:pPr>
        <w:adjustRightInd w:val="0"/>
        <w:snapToGrid w:val="0"/>
        <w:spacing w:line="360" w:lineRule="auto"/>
        <w:jc w:val="both"/>
        <w:rPr>
          <w:rFonts w:ascii="Book Antiqua" w:hAnsi="Book Antiqua" w:cs="宋体"/>
          <w:sz w:val="24"/>
          <w:szCs w:val="24"/>
          <w:lang w:val="en-US"/>
        </w:rPr>
      </w:pPr>
      <w:r w:rsidRPr="00251400">
        <w:rPr>
          <w:rFonts w:ascii="Book Antiqua" w:hAnsi="Book Antiqua" w:cs="宋体"/>
          <w:sz w:val="24"/>
          <w:szCs w:val="24"/>
          <w:lang w:val="en-US"/>
        </w:rPr>
        <w:t>Grade B (Very good):</w:t>
      </w:r>
      <w:r w:rsidR="00C518F5" w:rsidRPr="00251400">
        <w:rPr>
          <w:rFonts w:ascii="Book Antiqua" w:hAnsi="Book Antiqua" w:cs="宋体"/>
          <w:sz w:val="24"/>
          <w:szCs w:val="24"/>
          <w:lang w:val="en-US"/>
        </w:rPr>
        <w:t xml:space="preserve"> B</w:t>
      </w:r>
    </w:p>
    <w:p w14:paraId="2E3EBB69" w14:textId="0626E34C" w:rsidR="00883298" w:rsidRPr="00251400" w:rsidRDefault="00883298" w:rsidP="00B0664E">
      <w:pPr>
        <w:adjustRightInd w:val="0"/>
        <w:snapToGrid w:val="0"/>
        <w:spacing w:line="360" w:lineRule="auto"/>
        <w:jc w:val="both"/>
        <w:rPr>
          <w:rFonts w:ascii="Book Antiqua" w:hAnsi="Book Antiqua" w:cs="宋体"/>
          <w:sz w:val="24"/>
          <w:szCs w:val="24"/>
          <w:lang w:val="en-US"/>
        </w:rPr>
      </w:pPr>
      <w:r w:rsidRPr="00251400">
        <w:rPr>
          <w:rFonts w:ascii="Book Antiqua" w:hAnsi="Book Antiqua" w:cs="宋体"/>
          <w:sz w:val="24"/>
          <w:szCs w:val="24"/>
          <w:lang w:val="en-US"/>
        </w:rPr>
        <w:t>Grade C (Good):</w:t>
      </w:r>
      <w:r w:rsidR="00C518F5" w:rsidRPr="00251400">
        <w:rPr>
          <w:rFonts w:ascii="Book Antiqua" w:hAnsi="Book Antiqua" w:cs="宋体"/>
          <w:sz w:val="24"/>
          <w:szCs w:val="24"/>
          <w:lang w:val="en-US"/>
        </w:rPr>
        <w:t xml:space="preserve"> 0</w:t>
      </w:r>
    </w:p>
    <w:p w14:paraId="37A8666A" w14:textId="6CEC7893" w:rsidR="00883298" w:rsidRPr="00251400" w:rsidRDefault="00883298" w:rsidP="00B0664E">
      <w:pPr>
        <w:adjustRightInd w:val="0"/>
        <w:snapToGrid w:val="0"/>
        <w:spacing w:line="360" w:lineRule="auto"/>
        <w:jc w:val="both"/>
        <w:rPr>
          <w:rFonts w:ascii="Book Antiqua" w:hAnsi="Book Antiqua" w:cs="宋体"/>
          <w:sz w:val="24"/>
          <w:szCs w:val="24"/>
          <w:lang w:val="en-US"/>
        </w:rPr>
      </w:pPr>
      <w:r w:rsidRPr="00251400">
        <w:rPr>
          <w:rFonts w:ascii="Book Antiqua" w:hAnsi="Book Antiqua" w:cs="宋体"/>
          <w:sz w:val="24"/>
          <w:szCs w:val="24"/>
          <w:lang w:val="en-US"/>
        </w:rPr>
        <w:t>Grade D (Fair):</w:t>
      </w:r>
      <w:r w:rsidR="00C518F5" w:rsidRPr="00251400">
        <w:rPr>
          <w:rFonts w:ascii="Book Antiqua" w:hAnsi="Book Antiqua" w:cs="宋体"/>
          <w:sz w:val="24"/>
          <w:szCs w:val="24"/>
          <w:lang w:val="en-US"/>
        </w:rPr>
        <w:t xml:space="preserve"> 0</w:t>
      </w:r>
    </w:p>
    <w:p w14:paraId="526DBDFC" w14:textId="4C914A66" w:rsidR="00883298" w:rsidRPr="00251400" w:rsidRDefault="00883298" w:rsidP="00B0664E">
      <w:pPr>
        <w:adjustRightInd w:val="0"/>
        <w:snapToGrid w:val="0"/>
        <w:spacing w:line="360" w:lineRule="auto"/>
        <w:jc w:val="both"/>
        <w:rPr>
          <w:rFonts w:ascii="Book Antiqua" w:eastAsia="等线" w:hAnsi="Book Antiqua" w:cstheme="minorBidi"/>
          <w:sz w:val="24"/>
          <w:szCs w:val="24"/>
          <w:lang w:val="en-US"/>
        </w:rPr>
      </w:pPr>
      <w:r w:rsidRPr="00251400">
        <w:rPr>
          <w:rFonts w:ascii="Book Antiqua" w:hAnsi="Book Antiqua" w:cs="宋体"/>
          <w:sz w:val="24"/>
          <w:szCs w:val="24"/>
          <w:lang w:val="en-US"/>
        </w:rPr>
        <w:t>Grade E (Poor):</w:t>
      </w:r>
      <w:r w:rsidR="00C518F5" w:rsidRPr="00251400">
        <w:rPr>
          <w:rFonts w:ascii="Book Antiqua" w:hAnsi="Book Antiqua" w:cs="宋体"/>
          <w:sz w:val="24"/>
          <w:szCs w:val="24"/>
          <w:lang w:val="en-US"/>
        </w:rPr>
        <w:t xml:space="preserve"> 0</w:t>
      </w:r>
    </w:p>
    <w:p w14:paraId="571E3F57" w14:textId="77777777" w:rsidR="00883298" w:rsidRPr="00251400" w:rsidRDefault="00883298" w:rsidP="00B0664E">
      <w:pPr>
        <w:adjustRightInd w:val="0"/>
        <w:snapToGrid w:val="0"/>
        <w:spacing w:line="360" w:lineRule="auto"/>
        <w:jc w:val="both"/>
        <w:rPr>
          <w:rFonts w:ascii="Book Antiqua" w:eastAsia="等线" w:hAnsi="Book Antiqua"/>
          <w:sz w:val="24"/>
          <w:szCs w:val="24"/>
          <w:lang w:val="en-US"/>
        </w:rPr>
      </w:pPr>
      <w:bookmarkStart w:id="45" w:name="_GoBack"/>
      <w:bookmarkEnd w:id="45"/>
    </w:p>
    <w:p w14:paraId="452E85D6" w14:textId="71DB3366" w:rsidR="00883298" w:rsidRPr="00251400" w:rsidRDefault="00883298" w:rsidP="00B0664E">
      <w:pPr>
        <w:adjustRightInd w:val="0"/>
        <w:snapToGrid w:val="0"/>
        <w:spacing w:line="360" w:lineRule="auto"/>
        <w:jc w:val="both"/>
        <w:rPr>
          <w:rFonts w:ascii="Book Antiqua" w:hAnsi="Book Antiqua"/>
          <w:sz w:val="24"/>
          <w:szCs w:val="24"/>
          <w:lang w:val="en-US"/>
        </w:rPr>
      </w:pPr>
      <w:bookmarkStart w:id="46" w:name="OLE_LINK357"/>
      <w:bookmarkStart w:id="47" w:name="_Hlk26541535"/>
      <w:bookmarkEnd w:id="39"/>
      <w:r w:rsidRPr="00251400">
        <w:rPr>
          <w:rFonts w:ascii="Book Antiqua" w:hAnsi="Book Antiqua"/>
          <w:b/>
          <w:bCs/>
          <w:sz w:val="24"/>
          <w:szCs w:val="24"/>
          <w:lang w:val="en-US"/>
        </w:rPr>
        <w:t>P-Reviewer:</w:t>
      </w:r>
      <w:r w:rsidR="00C518F5" w:rsidRPr="00251400">
        <w:rPr>
          <w:rFonts w:ascii="Book Antiqua" w:hAnsi="Book Antiqua"/>
          <w:b/>
          <w:bCs/>
          <w:sz w:val="24"/>
          <w:szCs w:val="24"/>
          <w:lang w:val="en-US"/>
        </w:rPr>
        <w:t xml:space="preserve"> </w:t>
      </w:r>
      <w:r w:rsidR="00C518F5" w:rsidRPr="00251400">
        <w:rPr>
          <w:rFonts w:ascii="Book Antiqua" w:hAnsi="Book Antiqua"/>
          <w:sz w:val="24"/>
          <w:szCs w:val="24"/>
          <w:lang w:val="en-US"/>
        </w:rPr>
        <w:t>Pyrsopoulos M</w:t>
      </w:r>
      <w:r w:rsidR="00C518F5" w:rsidRPr="00251400">
        <w:rPr>
          <w:rFonts w:ascii="Book Antiqua" w:eastAsia="宋体" w:hAnsi="Book Antiqua" w:hint="eastAsia"/>
          <w:sz w:val="24"/>
          <w:szCs w:val="24"/>
          <w:lang w:val="en-US" w:eastAsia="zh-CN"/>
        </w:rPr>
        <w:t xml:space="preserve"> </w:t>
      </w:r>
      <w:r w:rsidRPr="00251400">
        <w:rPr>
          <w:rFonts w:ascii="Book Antiqua" w:hAnsi="Book Antiqua"/>
          <w:b/>
          <w:bCs/>
          <w:sz w:val="24"/>
          <w:szCs w:val="24"/>
          <w:lang w:val="en-US"/>
        </w:rPr>
        <w:t>S-Editor:</w:t>
      </w:r>
      <w:r w:rsidR="00C518F5" w:rsidRPr="00251400">
        <w:rPr>
          <w:rFonts w:ascii="Book Antiqua" w:hAnsi="Book Antiqua"/>
          <w:b/>
          <w:bCs/>
          <w:sz w:val="24"/>
          <w:szCs w:val="24"/>
          <w:lang w:val="en-US"/>
        </w:rPr>
        <w:t xml:space="preserve"> </w:t>
      </w:r>
      <w:r w:rsidR="00C518F5" w:rsidRPr="00251400">
        <w:rPr>
          <w:rFonts w:ascii="Book Antiqua" w:hAnsi="Book Antiqua"/>
          <w:sz w:val="24"/>
          <w:szCs w:val="24"/>
          <w:lang w:val="en-US"/>
        </w:rPr>
        <w:t>Liu M</w:t>
      </w:r>
      <w:r w:rsidR="00C518F5" w:rsidRPr="00251400">
        <w:rPr>
          <w:rFonts w:ascii="Book Antiqua" w:eastAsia="宋体" w:hAnsi="Book Antiqua" w:hint="eastAsia"/>
          <w:sz w:val="24"/>
          <w:szCs w:val="24"/>
          <w:lang w:val="en-US" w:eastAsia="zh-CN"/>
        </w:rPr>
        <w:t xml:space="preserve"> </w:t>
      </w:r>
      <w:r w:rsidRPr="00251400">
        <w:rPr>
          <w:rFonts w:ascii="Book Antiqua" w:hAnsi="Book Antiqua"/>
          <w:b/>
          <w:bCs/>
          <w:sz w:val="24"/>
          <w:szCs w:val="24"/>
          <w:lang w:val="en-US"/>
        </w:rPr>
        <w:t>L-Editor:</w:t>
      </w:r>
      <w:r w:rsidR="002F0F27" w:rsidRPr="00251400">
        <w:rPr>
          <w:rFonts w:ascii="Book Antiqua" w:eastAsia="宋体" w:hAnsi="Book Antiqua" w:hint="eastAsia"/>
          <w:b/>
          <w:bCs/>
          <w:sz w:val="24"/>
          <w:szCs w:val="24"/>
          <w:lang w:val="en-US" w:eastAsia="zh-CN"/>
        </w:rPr>
        <w:t xml:space="preserve"> A </w:t>
      </w:r>
      <w:r w:rsidR="00127C5A" w:rsidRPr="00251400">
        <w:rPr>
          <w:rFonts w:ascii="Book Antiqua" w:hAnsi="Book Antiqua"/>
          <w:b/>
          <w:bCs/>
          <w:sz w:val="24"/>
          <w:szCs w:val="24"/>
          <w:lang w:val="en-US"/>
        </w:rPr>
        <w:t xml:space="preserve"> </w:t>
      </w:r>
      <w:r w:rsidRPr="00251400">
        <w:rPr>
          <w:rFonts w:ascii="Book Antiqua" w:hAnsi="Book Antiqua"/>
          <w:b/>
          <w:bCs/>
          <w:sz w:val="24"/>
          <w:szCs w:val="24"/>
          <w:lang w:val="en-US"/>
        </w:rPr>
        <w:t>E-Editor:</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7"/>
      <w:bookmarkEnd w:id="38"/>
      <w:bookmarkEnd w:id="40"/>
      <w:bookmarkEnd w:id="43"/>
      <w:bookmarkEnd w:id="44"/>
      <w:bookmarkEnd w:id="46"/>
      <w:bookmarkEnd w:id="47"/>
      <w:r w:rsidR="002F0F27" w:rsidRPr="00251400">
        <w:rPr>
          <w:rFonts w:ascii="Book Antiqua" w:eastAsia="宋体" w:hAnsi="Book Antiqua" w:hint="eastAsia"/>
          <w:b/>
          <w:bCs/>
          <w:sz w:val="24"/>
          <w:szCs w:val="24"/>
          <w:lang w:val="en-US" w:eastAsia="zh-CN"/>
        </w:rPr>
        <w:t xml:space="preserve"> </w:t>
      </w:r>
      <w:r w:rsidR="002F0F27" w:rsidRPr="00251400">
        <w:rPr>
          <w:rFonts w:ascii="Book Antiqua" w:eastAsia="宋体" w:hAnsi="Book Antiqua" w:hint="eastAsia"/>
          <w:bCs/>
          <w:sz w:val="24"/>
          <w:szCs w:val="24"/>
          <w:lang w:val="en-US" w:eastAsia="zh-CN"/>
        </w:rPr>
        <w:t>Ma YJ</w:t>
      </w:r>
      <w:r w:rsidRPr="00251400">
        <w:rPr>
          <w:rFonts w:ascii="Book Antiqua" w:hAnsi="Book Antiqua"/>
          <w:b/>
          <w:sz w:val="24"/>
          <w:szCs w:val="24"/>
          <w:lang w:val="en-US"/>
        </w:rPr>
        <w:br w:type="page"/>
      </w:r>
    </w:p>
    <w:p w14:paraId="46C72FB1" w14:textId="074C6BF6" w:rsidR="00883298" w:rsidRPr="00251400" w:rsidRDefault="00883298" w:rsidP="00B0664E">
      <w:pPr>
        <w:adjustRightInd w:val="0"/>
        <w:snapToGrid w:val="0"/>
        <w:spacing w:line="360" w:lineRule="auto"/>
        <w:jc w:val="both"/>
        <w:rPr>
          <w:rFonts w:ascii="Book Antiqua" w:hAnsi="Book Antiqua"/>
          <w:b/>
          <w:bCs/>
          <w:sz w:val="24"/>
          <w:szCs w:val="24"/>
          <w:lang w:val="en-US"/>
        </w:rPr>
      </w:pPr>
      <w:bookmarkStart w:id="48" w:name="_Toc527361395"/>
      <w:r w:rsidRPr="00251400">
        <w:rPr>
          <w:rFonts w:ascii="Book Antiqua" w:hAnsi="Book Antiqua"/>
          <w:b/>
          <w:bCs/>
          <w:sz w:val="24"/>
          <w:szCs w:val="24"/>
          <w:lang w:val="en-US"/>
        </w:rPr>
        <w:lastRenderedPageBreak/>
        <w:t xml:space="preserve">Table </w:t>
      </w:r>
      <w:r w:rsidRPr="00251400">
        <w:rPr>
          <w:rFonts w:ascii="Book Antiqua" w:hAnsi="Book Antiqua"/>
          <w:b/>
          <w:sz w:val="24"/>
          <w:szCs w:val="24"/>
          <w:lang w:val="de-DE"/>
        </w:rPr>
        <w:fldChar w:fldCharType="begin"/>
      </w:r>
      <w:r w:rsidRPr="00251400">
        <w:rPr>
          <w:rFonts w:ascii="Book Antiqua" w:hAnsi="Book Antiqua"/>
          <w:b/>
          <w:bCs/>
          <w:sz w:val="24"/>
          <w:szCs w:val="24"/>
          <w:lang w:val="en-US"/>
        </w:rPr>
        <w:instrText xml:space="preserve"> SEQ Tabelle \* ARABIC </w:instrText>
      </w:r>
      <w:r w:rsidRPr="00251400">
        <w:rPr>
          <w:rFonts w:ascii="Book Antiqua" w:hAnsi="Book Antiqua"/>
          <w:b/>
          <w:sz w:val="24"/>
          <w:szCs w:val="24"/>
          <w:lang w:val="de-DE"/>
        </w:rPr>
        <w:fldChar w:fldCharType="separate"/>
      </w:r>
      <w:r w:rsidRPr="00251400">
        <w:rPr>
          <w:rFonts w:ascii="Book Antiqua" w:hAnsi="Book Antiqua"/>
          <w:b/>
          <w:bCs/>
          <w:sz w:val="24"/>
          <w:szCs w:val="24"/>
          <w:lang w:val="en-US"/>
        </w:rPr>
        <w:t>1</w:t>
      </w:r>
      <w:r w:rsidRPr="00251400">
        <w:rPr>
          <w:rFonts w:ascii="Book Antiqua" w:hAnsi="Book Antiqua"/>
          <w:b/>
          <w:sz w:val="24"/>
          <w:szCs w:val="24"/>
          <w:lang w:val="en-US"/>
        </w:rPr>
        <w:fldChar w:fldCharType="end"/>
      </w:r>
      <w:r w:rsidRPr="00251400">
        <w:rPr>
          <w:rFonts w:ascii="Book Antiqua" w:hAnsi="Book Antiqua"/>
          <w:b/>
          <w:bCs/>
          <w:sz w:val="24"/>
          <w:szCs w:val="24"/>
          <w:lang w:val="en-US"/>
        </w:rPr>
        <w:t xml:space="preserve"> Glossary and explanation of digital health terms</w:t>
      </w:r>
      <w:bookmarkEnd w:id="48"/>
    </w:p>
    <w:tbl>
      <w:tblPr>
        <w:tblStyle w:val="ae"/>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5144"/>
      </w:tblGrid>
      <w:tr w:rsidR="00DC48FC" w:rsidRPr="00251400" w14:paraId="3B28CCD6" w14:textId="77777777" w:rsidTr="00C518F5">
        <w:tc>
          <w:tcPr>
            <w:tcW w:w="3895" w:type="dxa"/>
            <w:tcBorders>
              <w:top w:val="single" w:sz="4" w:space="0" w:color="auto"/>
              <w:bottom w:val="single" w:sz="4" w:space="0" w:color="auto"/>
            </w:tcBorders>
            <w:hideMark/>
          </w:tcPr>
          <w:p w14:paraId="627D6653" w14:textId="77777777"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Term</w:t>
            </w:r>
          </w:p>
        </w:tc>
        <w:tc>
          <w:tcPr>
            <w:tcW w:w="5144" w:type="dxa"/>
            <w:tcBorders>
              <w:top w:val="single" w:sz="4" w:space="0" w:color="auto"/>
              <w:bottom w:val="single" w:sz="4" w:space="0" w:color="auto"/>
            </w:tcBorders>
            <w:hideMark/>
          </w:tcPr>
          <w:p w14:paraId="7FCB73DC" w14:textId="77777777" w:rsidR="00883298" w:rsidRPr="00251400" w:rsidRDefault="00883298" w:rsidP="00B0664E">
            <w:pPr>
              <w:adjustRightInd w:val="0"/>
              <w:snapToGrid w:val="0"/>
              <w:spacing w:line="360" w:lineRule="auto"/>
              <w:jc w:val="both"/>
              <w:rPr>
                <w:rFonts w:ascii="Book Antiqua" w:hAnsi="Book Antiqua"/>
                <w:b/>
                <w:sz w:val="24"/>
                <w:szCs w:val="24"/>
                <w:lang w:val="de-DE"/>
              </w:rPr>
            </w:pPr>
            <w:r w:rsidRPr="00251400">
              <w:rPr>
                <w:rFonts w:ascii="Book Antiqua" w:hAnsi="Book Antiqua"/>
                <w:b/>
                <w:sz w:val="24"/>
                <w:szCs w:val="24"/>
                <w:lang w:val="de-DE"/>
              </w:rPr>
              <w:t>Explanation</w:t>
            </w:r>
          </w:p>
        </w:tc>
      </w:tr>
      <w:tr w:rsidR="00DC48FC" w:rsidRPr="00251400" w14:paraId="12C4201E" w14:textId="77777777" w:rsidTr="00C518F5">
        <w:tc>
          <w:tcPr>
            <w:tcW w:w="3895" w:type="dxa"/>
            <w:tcBorders>
              <w:top w:val="single" w:sz="4" w:space="0" w:color="auto"/>
            </w:tcBorders>
            <w:hideMark/>
          </w:tcPr>
          <w:p w14:paraId="274708C8" w14:textId="77777777"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eHealth, electronic health </w:t>
            </w:r>
          </w:p>
        </w:tc>
        <w:tc>
          <w:tcPr>
            <w:tcW w:w="5144" w:type="dxa"/>
            <w:tcBorders>
              <w:top w:val="single" w:sz="4" w:space="0" w:color="auto"/>
            </w:tcBorders>
            <w:hideMark/>
          </w:tcPr>
          <w:p w14:paraId="6B28AEBB" w14:textId="16BAEC4A"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Generic term for digitalization in health care and the associated applications of </w:t>
            </w:r>
            <w:r w:rsidR="00C87E51" w:rsidRPr="00251400">
              <w:rPr>
                <w:rFonts w:ascii="Book Antiqua" w:hAnsi="Book Antiqua"/>
                <w:sz w:val="24"/>
                <w:szCs w:val="24"/>
                <w:lang w:val="en-US"/>
              </w:rPr>
              <w:t>ICT</w:t>
            </w:r>
            <w:r w:rsidRPr="00251400">
              <w:rPr>
                <w:rFonts w:ascii="Book Antiqua" w:hAnsi="Book Antiqua"/>
                <w:sz w:val="24"/>
                <w:szCs w:val="24"/>
                <w:lang w:val="en-US"/>
              </w:rPr>
              <w:t xml:space="preserve"> </w:t>
            </w:r>
          </w:p>
        </w:tc>
      </w:tr>
      <w:tr w:rsidR="00DC48FC" w:rsidRPr="00251400" w14:paraId="549FFE57" w14:textId="77777777" w:rsidTr="00C518F5">
        <w:tc>
          <w:tcPr>
            <w:tcW w:w="3895" w:type="dxa"/>
            <w:hideMark/>
          </w:tcPr>
          <w:p w14:paraId="0910CCD5" w14:textId="77777777"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ICT</w:t>
            </w:r>
          </w:p>
        </w:tc>
        <w:tc>
          <w:tcPr>
            <w:tcW w:w="5144" w:type="dxa"/>
            <w:hideMark/>
          </w:tcPr>
          <w:p w14:paraId="648EC81D" w14:textId="77777777"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Technologies used for communication, storage, processing and evaluation of data</w:t>
            </w:r>
          </w:p>
        </w:tc>
      </w:tr>
      <w:tr w:rsidR="00DC48FC" w:rsidRPr="00251400" w14:paraId="71460830" w14:textId="77777777" w:rsidTr="00C518F5">
        <w:tc>
          <w:tcPr>
            <w:tcW w:w="3895" w:type="dxa"/>
          </w:tcPr>
          <w:p w14:paraId="18ED2879" w14:textId="12274345" w:rsidR="00883298" w:rsidRPr="00251400" w:rsidRDefault="00883298" w:rsidP="00B0664E">
            <w:pPr>
              <w:adjustRightInd w:val="0"/>
              <w:snapToGrid w:val="0"/>
              <w:spacing w:line="360" w:lineRule="auto"/>
              <w:jc w:val="both"/>
              <w:rPr>
                <w:rFonts w:ascii="Book Antiqua" w:hAnsi="Book Antiqua"/>
                <w:sz w:val="24"/>
                <w:szCs w:val="24"/>
                <w:lang w:val="de-DE"/>
              </w:rPr>
            </w:pPr>
            <w:r w:rsidRPr="00251400">
              <w:rPr>
                <w:rFonts w:ascii="Book Antiqua" w:hAnsi="Book Antiqua"/>
                <w:sz w:val="24"/>
                <w:szCs w:val="24"/>
                <w:lang w:val="de-DE"/>
              </w:rPr>
              <w:t>Telemedicine/telehealth</w:t>
            </w:r>
          </w:p>
          <w:p w14:paraId="5D366DC4" w14:textId="77777777" w:rsidR="00883298" w:rsidRPr="00251400" w:rsidRDefault="00883298" w:rsidP="00B0664E">
            <w:pPr>
              <w:adjustRightInd w:val="0"/>
              <w:snapToGrid w:val="0"/>
              <w:spacing w:line="360" w:lineRule="auto"/>
              <w:jc w:val="both"/>
              <w:rPr>
                <w:rFonts w:ascii="Book Antiqua" w:hAnsi="Book Antiqua"/>
                <w:sz w:val="24"/>
                <w:szCs w:val="24"/>
                <w:lang w:val="de-DE"/>
              </w:rPr>
            </w:pPr>
          </w:p>
        </w:tc>
        <w:tc>
          <w:tcPr>
            <w:tcW w:w="5144" w:type="dxa"/>
            <w:hideMark/>
          </w:tcPr>
          <w:p w14:paraId="0C1DE0CE" w14:textId="07B8DB0E"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The physical distance between the medical service provider and recipient is bridged by the use of ICT, </w:t>
            </w:r>
            <w:r w:rsidRPr="00251400">
              <w:rPr>
                <w:rFonts w:ascii="Book Antiqua" w:hAnsi="Book Antiqua"/>
                <w:i/>
                <w:sz w:val="24"/>
                <w:szCs w:val="24"/>
                <w:lang w:val="en-US"/>
              </w:rPr>
              <w:t>e.g.</w:t>
            </w:r>
            <w:r w:rsidR="00C518F5" w:rsidRPr="00251400">
              <w:rPr>
                <w:rFonts w:ascii="Book Antiqua" w:hAnsi="Book Antiqua"/>
                <w:iCs/>
                <w:sz w:val="24"/>
                <w:szCs w:val="24"/>
                <w:lang w:val="en-US"/>
              </w:rPr>
              <w:t>,</w:t>
            </w:r>
            <w:r w:rsidRPr="00251400">
              <w:rPr>
                <w:rFonts w:ascii="Book Antiqua" w:hAnsi="Book Antiqua"/>
                <w:iCs/>
                <w:sz w:val="24"/>
                <w:szCs w:val="24"/>
                <w:lang w:val="en-US"/>
              </w:rPr>
              <w:t xml:space="preserve"> </w:t>
            </w:r>
            <w:r w:rsidRPr="00251400">
              <w:rPr>
                <w:rFonts w:ascii="Book Antiqua" w:hAnsi="Book Antiqua"/>
                <w:sz w:val="24"/>
                <w:szCs w:val="24"/>
                <w:lang w:val="en-US"/>
              </w:rPr>
              <w:t>teleradiology</w:t>
            </w:r>
          </w:p>
        </w:tc>
      </w:tr>
      <w:tr w:rsidR="00DC48FC" w:rsidRPr="00251400" w14:paraId="1CEFCD8A" w14:textId="77777777" w:rsidTr="00C518F5">
        <w:tc>
          <w:tcPr>
            <w:tcW w:w="3895" w:type="dxa"/>
          </w:tcPr>
          <w:p w14:paraId="26B512F9" w14:textId="1B535F96" w:rsidR="00883298" w:rsidRPr="00251400" w:rsidRDefault="00C518F5" w:rsidP="00B0664E">
            <w:pPr>
              <w:adjustRightInd w:val="0"/>
              <w:snapToGrid w:val="0"/>
              <w:spacing w:line="360" w:lineRule="auto"/>
              <w:jc w:val="both"/>
              <w:rPr>
                <w:rFonts w:ascii="Book Antiqua" w:hAnsi="Book Antiqua"/>
                <w:sz w:val="24"/>
                <w:szCs w:val="24"/>
                <w:lang w:val="de-DE"/>
              </w:rPr>
            </w:pPr>
            <w:r w:rsidRPr="00251400">
              <w:rPr>
                <w:rFonts w:ascii="Book Antiqua" w:hAnsi="Book Antiqua"/>
                <w:sz w:val="24"/>
                <w:szCs w:val="24"/>
                <w:lang w:val="de-DE"/>
              </w:rPr>
              <w:t>M</w:t>
            </w:r>
            <w:r w:rsidR="00883298" w:rsidRPr="00251400">
              <w:rPr>
                <w:rFonts w:ascii="Book Antiqua" w:hAnsi="Book Antiqua"/>
                <w:sz w:val="24"/>
                <w:szCs w:val="24"/>
                <w:lang w:val="de-DE"/>
              </w:rPr>
              <w:t>obile health, mHealth</w:t>
            </w:r>
          </w:p>
          <w:p w14:paraId="0BA5A5EA" w14:textId="77777777" w:rsidR="00883298" w:rsidRPr="00251400" w:rsidRDefault="00883298" w:rsidP="00B0664E">
            <w:pPr>
              <w:adjustRightInd w:val="0"/>
              <w:snapToGrid w:val="0"/>
              <w:spacing w:line="360" w:lineRule="auto"/>
              <w:jc w:val="both"/>
              <w:rPr>
                <w:rFonts w:ascii="Book Antiqua" w:hAnsi="Book Antiqua"/>
                <w:sz w:val="24"/>
                <w:szCs w:val="24"/>
                <w:lang w:val="de-DE"/>
              </w:rPr>
            </w:pPr>
          </w:p>
        </w:tc>
        <w:tc>
          <w:tcPr>
            <w:tcW w:w="5144" w:type="dxa"/>
            <w:hideMark/>
          </w:tcPr>
          <w:p w14:paraId="6CDAB21C" w14:textId="6886C858"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Medical applications that can be accessed from mobile devices (</w:t>
            </w:r>
            <w:r w:rsidRPr="00251400">
              <w:rPr>
                <w:rFonts w:ascii="Book Antiqua" w:hAnsi="Book Antiqua"/>
                <w:i/>
                <w:sz w:val="24"/>
                <w:szCs w:val="24"/>
                <w:lang w:val="en-US"/>
              </w:rPr>
              <w:t>e.g.</w:t>
            </w:r>
            <w:r w:rsidR="00C518F5" w:rsidRPr="00251400">
              <w:rPr>
                <w:rFonts w:ascii="Book Antiqua" w:hAnsi="Book Antiqua"/>
                <w:iCs/>
                <w:sz w:val="24"/>
                <w:szCs w:val="24"/>
                <w:lang w:val="en-US"/>
              </w:rPr>
              <w:t>,</w:t>
            </w:r>
            <w:r w:rsidRPr="00251400">
              <w:rPr>
                <w:rFonts w:ascii="Book Antiqua" w:hAnsi="Book Antiqua"/>
                <w:sz w:val="24"/>
                <w:szCs w:val="24"/>
                <w:lang w:val="en-US"/>
              </w:rPr>
              <w:t xml:space="preserve"> tablets, mobile phones, smart watches)</w:t>
            </w:r>
          </w:p>
        </w:tc>
      </w:tr>
      <w:tr w:rsidR="00DC48FC" w:rsidRPr="00251400" w14:paraId="60B79636" w14:textId="77777777" w:rsidTr="00C518F5">
        <w:tc>
          <w:tcPr>
            <w:tcW w:w="3895" w:type="dxa"/>
            <w:hideMark/>
          </w:tcPr>
          <w:p w14:paraId="36ACFA3B" w14:textId="77777777"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Electronic patient file,</w:t>
            </w:r>
          </w:p>
          <w:p w14:paraId="25086DC5" w14:textId="15C0C36B"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electronic health record</w:t>
            </w:r>
            <w:r w:rsidRPr="00251400">
              <w:rPr>
                <w:rFonts w:ascii="Book Antiqua" w:hAnsi="Book Antiqua"/>
                <w:noProof/>
                <w:sz w:val="24"/>
                <w:szCs w:val="24"/>
                <w:vertAlign w:val="superscript"/>
                <w:lang w:val="en-US"/>
              </w:rPr>
              <w:t>[11]</w:t>
            </w:r>
          </w:p>
        </w:tc>
        <w:tc>
          <w:tcPr>
            <w:tcW w:w="5144" w:type="dxa"/>
            <w:hideMark/>
          </w:tcPr>
          <w:p w14:paraId="4F67EB38" w14:textId="77777777" w:rsidR="00883298" w:rsidRPr="00251400" w:rsidRDefault="00883298"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 xml:space="preserve">The central storage of patient data, which can be accessed by different authorized persons independent of the location </w:t>
            </w:r>
          </w:p>
        </w:tc>
      </w:tr>
      <w:tr w:rsidR="00DC48FC" w:rsidRPr="00251400" w14:paraId="336B4DD4" w14:textId="77777777" w:rsidTr="00C518F5">
        <w:tc>
          <w:tcPr>
            <w:tcW w:w="3895" w:type="dxa"/>
          </w:tcPr>
          <w:p w14:paraId="7E0A91C5" w14:textId="37B1C279" w:rsidR="00883298" w:rsidRPr="00251400" w:rsidRDefault="00C518F5" w:rsidP="00B0664E">
            <w:pPr>
              <w:adjustRightInd w:val="0"/>
              <w:snapToGrid w:val="0"/>
              <w:spacing w:line="360" w:lineRule="auto"/>
              <w:jc w:val="both"/>
              <w:rPr>
                <w:rFonts w:ascii="Book Antiqua" w:hAnsi="Book Antiqua"/>
                <w:sz w:val="24"/>
                <w:szCs w:val="24"/>
                <w:lang w:val="de-DE"/>
              </w:rPr>
            </w:pPr>
            <w:r w:rsidRPr="00251400">
              <w:rPr>
                <w:rFonts w:ascii="Book Antiqua" w:hAnsi="Book Antiqua"/>
                <w:sz w:val="24"/>
                <w:szCs w:val="24"/>
                <w:lang w:val="de-DE"/>
              </w:rPr>
              <w:t>H</w:t>
            </w:r>
            <w:r w:rsidR="00883298" w:rsidRPr="00251400">
              <w:rPr>
                <w:rFonts w:ascii="Book Antiqua" w:hAnsi="Book Antiqua"/>
                <w:sz w:val="24"/>
                <w:szCs w:val="24"/>
                <w:lang w:val="de-DE"/>
              </w:rPr>
              <w:t>ealth apps, medicical apps</w:t>
            </w:r>
          </w:p>
          <w:p w14:paraId="768731F1" w14:textId="77777777" w:rsidR="00883298" w:rsidRPr="00251400" w:rsidRDefault="00883298" w:rsidP="00B0664E">
            <w:pPr>
              <w:adjustRightInd w:val="0"/>
              <w:snapToGrid w:val="0"/>
              <w:spacing w:line="360" w:lineRule="auto"/>
              <w:jc w:val="both"/>
              <w:rPr>
                <w:rFonts w:ascii="Book Antiqua" w:hAnsi="Book Antiqua"/>
                <w:sz w:val="24"/>
                <w:szCs w:val="24"/>
                <w:lang w:val="de-DE"/>
              </w:rPr>
            </w:pPr>
          </w:p>
        </w:tc>
        <w:tc>
          <w:tcPr>
            <w:tcW w:w="5144" w:type="dxa"/>
            <w:hideMark/>
          </w:tcPr>
          <w:p w14:paraId="3B93E2A9" w14:textId="62E600A7" w:rsidR="00883298" w:rsidRPr="00251400" w:rsidRDefault="00C518F5"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S</w:t>
            </w:r>
            <w:r w:rsidR="00883298" w:rsidRPr="00251400">
              <w:rPr>
                <w:rFonts w:ascii="Book Antiqua" w:hAnsi="Book Antiqua"/>
                <w:sz w:val="24"/>
                <w:szCs w:val="24"/>
                <w:lang w:val="en-US"/>
              </w:rPr>
              <w:t>pecial software programs/applications for mobile devices that serve medical issues. The transition to fitness ap</w:t>
            </w:r>
            <w:r w:rsidR="00DB28FC" w:rsidRPr="00251400">
              <w:rPr>
                <w:rFonts w:ascii="Book Antiqua" w:hAnsi="Book Antiqua"/>
                <w:sz w:val="24"/>
                <w:szCs w:val="24"/>
                <w:lang w:val="en-US"/>
              </w:rPr>
              <w:t>p</w:t>
            </w:r>
            <w:r w:rsidR="00883298" w:rsidRPr="00251400">
              <w:rPr>
                <w:rFonts w:ascii="Book Antiqua" w:hAnsi="Book Antiqua"/>
                <w:sz w:val="24"/>
                <w:szCs w:val="24"/>
                <w:lang w:val="en-US"/>
              </w:rPr>
              <w:t>s is partly fluent</w:t>
            </w:r>
          </w:p>
        </w:tc>
      </w:tr>
    </w:tbl>
    <w:p w14:paraId="36958F17" w14:textId="6CE8A95B" w:rsidR="00883298" w:rsidRPr="00251400" w:rsidRDefault="00C518F5" w:rsidP="00B0664E">
      <w:pPr>
        <w:adjustRightInd w:val="0"/>
        <w:snapToGrid w:val="0"/>
        <w:spacing w:line="360" w:lineRule="auto"/>
        <w:jc w:val="both"/>
        <w:rPr>
          <w:rFonts w:ascii="Book Antiqua" w:hAnsi="Book Antiqua"/>
          <w:sz w:val="24"/>
          <w:szCs w:val="24"/>
          <w:lang w:val="en-US"/>
        </w:rPr>
      </w:pPr>
      <w:r w:rsidRPr="00251400">
        <w:rPr>
          <w:rFonts w:ascii="Book Antiqua" w:hAnsi="Book Antiqua"/>
          <w:sz w:val="24"/>
          <w:szCs w:val="24"/>
          <w:lang w:val="en-US"/>
        </w:rPr>
        <w:t>ICT: Information and communication technologies.</w:t>
      </w:r>
      <w:r w:rsidR="00883298" w:rsidRPr="00251400">
        <w:rPr>
          <w:rFonts w:ascii="Book Antiqua" w:hAnsi="Book Antiqua"/>
          <w:sz w:val="24"/>
          <w:szCs w:val="24"/>
          <w:lang w:val="en-US"/>
        </w:rPr>
        <w:br w:type="page"/>
      </w:r>
    </w:p>
    <w:p w14:paraId="4F9C119D" w14:textId="41659141" w:rsidR="00883298" w:rsidRPr="00251400" w:rsidRDefault="00883298" w:rsidP="00B0664E">
      <w:pPr>
        <w:adjustRightInd w:val="0"/>
        <w:snapToGrid w:val="0"/>
        <w:spacing w:line="360" w:lineRule="auto"/>
        <w:jc w:val="both"/>
        <w:rPr>
          <w:rFonts w:ascii="Book Antiqua" w:hAnsi="Book Antiqua"/>
          <w:b/>
          <w:bCs/>
          <w:sz w:val="24"/>
          <w:szCs w:val="24"/>
          <w:lang w:val="en-US"/>
        </w:rPr>
      </w:pPr>
      <w:r w:rsidRPr="00251400">
        <w:rPr>
          <w:rFonts w:ascii="Book Antiqua" w:hAnsi="Book Antiqua"/>
          <w:b/>
          <w:bCs/>
          <w:sz w:val="24"/>
          <w:szCs w:val="24"/>
          <w:lang w:val="en-US"/>
        </w:rPr>
        <w:lastRenderedPageBreak/>
        <w:t xml:space="preserve">Table 2 Examples for use of mobile health applications and medical apps </w:t>
      </w:r>
    </w:p>
    <w:tbl>
      <w:tblPr>
        <w:tblStyle w:val="ae"/>
        <w:tblW w:w="89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143"/>
        <w:gridCol w:w="3402"/>
      </w:tblGrid>
      <w:tr w:rsidR="00DC48FC" w:rsidRPr="00251400" w14:paraId="341BFA90" w14:textId="77777777" w:rsidTr="00C518F5">
        <w:tc>
          <w:tcPr>
            <w:tcW w:w="2381" w:type="dxa"/>
            <w:tcBorders>
              <w:top w:val="single" w:sz="4" w:space="0" w:color="auto"/>
              <w:bottom w:val="single" w:sz="4" w:space="0" w:color="auto"/>
            </w:tcBorders>
            <w:hideMark/>
          </w:tcPr>
          <w:p w14:paraId="315CA328" w14:textId="77777777"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Type and mechanism</w:t>
            </w:r>
          </w:p>
        </w:tc>
        <w:tc>
          <w:tcPr>
            <w:tcW w:w="3143" w:type="dxa"/>
            <w:tcBorders>
              <w:top w:val="single" w:sz="4" w:space="0" w:color="auto"/>
              <w:bottom w:val="single" w:sz="4" w:space="0" w:color="auto"/>
            </w:tcBorders>
            <w:hideMark/>
          </w:tcPr>
          <w:p w14:paraId="49EBF751" w14:textId="77777777" w:rsidR="00883298" w:rsidRPr="00251400" w:rsidRDefault="00883298"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
                <w:sz w:val="24"/>
                <w:szCs w:val="24"/>
                <w:lang w:val="en-US"/>
              </w:rPr>
              <w:t>Example</w:t>
            </w:r>
          </w:p>
        </w:tc>
        <w:tc>
          <w:tcPr>
            <w:tcW w:w="3402" w:type="dxa"/>
            <w:tcBorders>
              <w:top w:val="single" w:sz="4" w:space="0" w:color="auto"/>
              <w:bottom w:val="single" w:sz="4" w:space="0" w:color="auto"/>
            </w:tcBorders>
            <w:hideMark/>
          </w:tcPr>
          <w:p w14:paraId="7C7BCAB2" w14:textId="14EB2357" w:rsidR="00883298" w:rsidRPr="00251400" w:rsidRDefault="00883298" w:rsidP="00B0664E">
            <w:pPr>
              <w:adjustRightInd w:val="0"/>
              <w:snapToGrid w:val="0"/>
              <w:spacing w:line="360" w:lineRule="auto"/>
              <w:jc w:val="both"/>
              <w:rPr>
                <w:rFonts w:ascii="Book Antiqua" w:hAnsi="Book Antiqua"/>
                <w:b/>
                <w:sz w:val="24"/>
                <w:szCs w:val="24"/>
                <w:lang w:val="de-DE"/>
              </w:rPr>
            </w:pPr>
            <w:r w:rsidRPr="00251400">
              <w:rPr>
                <w:rFonts w:ascii="Book Antiqua" w:hAnsi="Book Antiqua"/>
                <w:b/>
                <w:sz w:val="24"/>
                <w:szCs w:val="24"/>
                <w:lang w:val="de-DE"/>
              </w:rPr>
              <w:t xml:space="preserve">Possible </w:t>
            </w:r>
            <w:r w:rsidR="008009A3" w:rsidRPr="00251400">
              <w:rPr>
                <w:rFonts w:ascii="Book Antiqua" w:hAnsi="Book Antiqua"/>
                <w:b/>
                <w:sz w:val="24"/>
                <w:szCs w:val="24"/>
                <w:lang w:val="de-DE"/>
              </w:rPr>
              <w:t>b</w:t>
            </w:r>
            <w:r w:rsidRPr="00251400">
              <w:rPr>
                <w:rFonts w:ascii="Book Antiqua" w:hAnsi="Book Antiqua"/>
                <w:b/>
                <w:sz w:val="24"/>
                <w:szCs w:val="24"/>
                <w:lang w:val="de-DE"/>
              </w:rPr>
              <w:t>enefits or harms</w:t>
            </w:r>
          </w:p>
        </w:tc>
      </w:tr>
      <w:tr w:rsidR="00DC48FC" w:rsidRPr="00251400" w14:paraId="0AE3ECE3" w14:textId="77777777" w:rsidTr="00C518F5">
        <w:tc>
          <w:tcPr>
            <w:tcW w:w="2381" w:type="dxa"/>
            <w:tcBorders>
              <w:top w:val="single" w:sz="4" w:space="0" w:color="auto"/>
            </w:tcBorders>
            <w:hideMark/>
          </w:tcPr>
          <w:p w14:paraId="30682F5E" w14:textId="77777777" w:rsidR="00883298" w:rsidRPr="00251400" w:rsidRDefault="00883298" w:rsidP="00B0664E">
            <w:pPr>
              <w:adjustRightInd w:val="0"/>
              <w:snapToGrid w:val="0"/>
              <w:spacing w:line="360" w:lineRule="auto"/>
              <w:jc w:val="both"/>
              <w:rPr>
                <w:rFonts w:ascii="Book Antiqua" w:hAnsi="Book Antiqua"/>
                <w:bCs/>
                <w:sz w:val="24"/>
                <w:szCs w:val="24"/>
                <w:lang w:val="de-DE"/>
              </w:rPr>
            </w:pPr>
            <w:r w:rsidRPr="00251400">
              <w:rPr>
                <w:rFonts w:ascii="Book Antiqua" w:hAnsi="Book Antiqua"/>
                <w:bCs/>
                <w:sz w:val="24"/>
                <w:szCs w:val="24"/>
                <w:lang w:val="de-DE"/>
              </w:rPr>
              <w:t>Patient education</w:t>
            </w:r>
          </w:p>
        </w:tc>
        <w:tc>
          <w:tcPr>
            <w:tcW w:w="3143" w:type="dxa"/>
            <w:tcBorders>
              <w:top w:val="single" w:sz="4" w:space="0" w:color="auto"/>
            </w:tcBorders>
            <w:hideMark/>
          </w:tcPr>
          <w:p w14:paraId="27EE06D0" w14:textId="2178EA1E" w:rsidR="00883298"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Cs/>
                <w:sz w:val="24"/>
                <w:szCs w:val="24"/>
                <w:lang w:val="en-US"/>
              </w:rPr>
              <w:t xml:space="preserve">Teaching app for bowel preparation before </w:t>
            </w:r>
            <w:r w:rsidR="00C518F5" w:rsidRPr="00251400">
              <w:rPr>
                <w:rFonts w:ascii="Book Antiqua" w:hAnsi="Book Antiqua"/>
                <w:bCs/>
                <w:sz w:val="24"/>
                <w:szCs w:val="24"/>
                <w:lang w:val="en-US"/>
              </w:rPr>
              <w:t>colonoscopy</w:t>
            </w:r>
          </w:p>
        </w:tc>
        <w:tc>
          <w:tcPr>
            <w:tcW w:w="3402" w:type="dxa"/>
            <w:tcBorders>
              <w:top w:val="single" w:sz="4" w:space="0" w:color="auto"/>
            </w:tcBorders>
            <w:hideMark/>
          </w:tcPr>
          <w:p w14:paraId="71880EFC" w14:textId="77777777" w:rsidR="00883298"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Cs/>
                <w:sz w:val="24"/>
                <w:szCs w:val="24"/>
                <w:lang w:val="en-US"/>
              </w:rPr>
              <w:t xml:space="preserve">Improvement in results, </w:t>
            </w:r>
          </w:p>
          <w:p w14:paraId="0BB3C6F2" w14:textId="77777777" w:rsidR="00883298"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Cs/>
                <w:sz w:val="24"/>
                <w:szCs w:val="24"/>
                <w:lang w:val="en-US"/>
              </w:rPr>
              <w:t>reduction of costs</w:t>
            </w:r>
          </w:p>
        </w:tc>
      </w:tr>
      <w:tr w:rsidR="00DC48FC" w:rsidRPr="00251400" w14:paraId="64B6E53A" w14:textId="77777777" w:rsidTr="00C518F5">
        <w:tc>
          <w:tcPr>
            <w:tcW w:w="2381" w:type="dxa"/>
            <w:hideMark/>
          </w:tcPr>
          <w:p w14:paraId="65037211" w14:textId="77777777" w:rsidR="00883298" w:rsidRPr="00251400" w:rsidRDefault="00883298" w:rsidP="00B0664E">
            <w:pPr>
              <w:adjustRightInd w:val="0"/>
              <w:snapToGrid w:val="0"/>
              <w:spacing w:line="360" w:lineRule="auto"/>
              <w:jc w:val="both"/>
              <w:rPr>
                <w:rFonts w:ascii="Book Antiqua" w:hAnsi="Book Antiqua"/>
                <w:bCs/>
                <w:sz w:val="24"/>
                <w:szCs w:val="24"/>
                <w:lang w:val="de-DE"/>
              </w:rPr>
            </w:pPr>
            <w:r w:rsidRPr="00251400">
              <w:rPr>
                <w:rFonts w:ascii="Book Antiqua" w:hAnsi="Book Antiqua"/>
                <w:bCs/>
                <w:sz w:val="24"/>
                <w:szCs w:val="24"/>
                <w:lang w:val="de-DE"/>
              </w:rPr>
              <w:t>Telemedicine</w:t>
            </w:r>
          </w:p>
        </w:tc>
        <w:tc>
          <w:tcPr>
            <w:tcW w:w="3143" w:type="dxa"/>
            <w:hideMark/>
          </w:tcPr>
          <w:p w14:paraId="503BD975" w14:textId="77777777" w:rsidR="00883298" w:rsidRPr="00251400" w:rsidRDefault="00883298" w:rsidP="00B0664E">
            <w:pPr>
              <w:adjustRightInd w:val="0"/>
              <w:snapToGrid w:val="0"/>
              <w:spacing w:line="360" w:lineRule="auto"/>
              <w:jc w:val="both"/>
              <w:rPr>
                <w:rFonts w:ascii="Book Antiqua" w:hAnsi="Book Antiqua"/>
                <w:bCs/>
                <w:sz w:val="24"/>
                <w:szCs w:val="24"/>
                <w:lang w:val="de-DE"/>
              </w:rPr>
            </w:pPr>
            <w:r w:rsidRPr="00251400">
              <w:rPr>
                <w:rFonts w:ascii="Book Antiqua" w:hAnsi="Book Antiqua"/>
                <w:bCs/>
                <w:sz w:val="24"/>
                <w:szCs w:val="24"/>
                <w:lang w:val="de-DE"/>
              </w:rPr>
              <w:t>Video or online consultation</w:t>
            </w:r>
          </w:p>
        </w:tc>
        <w:tc>
          <w:tcPr>
            <w:tcW w:w="3402" w:type="dxa"/>
            <w:hideMark/>
          </w:tcPr>
          <w:p w14:paraId="0B01F23E" w14:textId="3218CD0D" w:rsidR="00883298"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Cs/>
                <w:sz w:val="24"/>
                <w:szCs w:val="24"/>
                <w:lang w:val="en-US"/>
              </w:rPr>
              <w:t>Low barrier accessibility of specialists, patient-physician interaction is changed</w:t>
            </w:r>
          </w:p>
        </w:tc>
      </w:tr>
      <w:tr w:rsidR="00DC48FC" w:rsidRPr="00251400" w14:paraId="7BC0960B" w14:textId="77777777" w:rsidTr="00C518F5">
        <w:tc>
          <w:tcPr>
            <w:tcW w:w="2381" w:type="dxa"/>
            <w:hideMark/>
          </w:tcPr>
          <w:p w14:paraId="5784BE75" w14:textId="77777777" w:rsidR="00883298" w:rsidRPr="00251400" w:rsidRDefault="00883298" w:rsidP="00B0664E">
            <w:pPr>
              <w:adjustRightInd w:val="0"/>
              <w:snapToGrid w:val="0"/>
              <w:spacing w:line="360" w:lineRule="auto"/>
              <w:jc w:val="both"/>
              <w:rPr>
                <w:rFonts w:ascii="Book Antiqua" w:hAnsi="Book Antiqua"/>
                <w:bCs/>
                <w:sz w:val="24"/>
                <w:szCs w:val="24"/>
                <w:lang w:val="de-DE"/>
              </w:rPr>
            </w:pPr>
            <w:r w:rsidRPr="00251400">
              <w:rPr>
                <w:rFonts w:ascii="Book Antiqua" w:hAnsi="Book Antiqua"/>
                <w:bCs/>
                <w:sz w:val="24"/>
                <w:szCs w:val="24"/>
                <w:lang w:val="de-DE"/>
              </w:rPr>
              <w:t>eHealth records</w:t>
            </w:r>
          </w:p>
        </w:tc>
        <w:tc>
          <w:tcPr>
            <w:tcW w:w="3143" w:type="dxa"/>
            <w:hideMark/>
          </w:tcPr>
          <w:p w14:paraId="1A8B66EC" w14:textId="77777777" w:rsidR="00883298" w:rsidRPr="00251400" w:rsidRDefault="00883298" w:rsidP="00B0664E">
            <w:pPr>
              <w:adjustRightInd w:val="0"/>
              <w:snapToGrid w:val="0"/>
              <w:spacing w:line="360" w:lineRule="auto"/>
              <w:jc w:val="both"/>
              <w:rPr>
                <w:rFonts w:ascii="Book Antiqua" w:hAnsi="Book Antiqua"/>
                <w:bCs/>
                <w:sz w:val="24"/>
                <w:szCs w:val="24"/>
                <w:lang w:val="de-DE"/>
              </w:rPr>
            </w:pPr>
            <w:r w:rsidRPr="00251400">
              <w:rPr>
                <w:rFonts w:ascii="Book Antiqua" w:hAnsi="Book Antiqua"/>
                <w:bCs/>
                <w:sz w:val="24"/>
                <w:szCs w:val="24"/>
                <w:lang w:val="de-DE"/>
              </w:rPr>
              <w:t>EMR</w:t>
            </w:r>
          </w:p>
        </w:tc>
        <w:tc>
          <w:tcPr>
            <w:tcW w:w="3402" w:type="dxa"/>
            <w:hideMark/>
          </w:tcPr>
          <w:p w14:paraId="70F82C18" w14:textId="527F4A16" w:rsidR="00883298" w:rsidRPr="00251400" w:rsidRDefault="00DB28FC"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Cs/>
                <w:sz w:val="24"/>
                <w:szCs w:val="24"/>
                <w:lang w:val="en-US"/>
              </w:rPr>
              <w:t>S</w:t>
            </w:r>
            <w:r w:rsidR="00883298" w:rsidRPr="00251400">
              <w:rPr>
                <w:rFonts w:ascii="Book Antiqua" w:hAnsi="Book Antiqua"/>
                <w:bCs/>
                <w:sz w:val="24"/>
                <w:szCs w:val="24"/>
                <w:lang w:val="en-US"/>
              </w:rPr>
              <w:t>ecurity and privacy concepts need to be addressed, interoperability issues</w:t>
            </w:r>
          </w:p>
        </w:tc>
      </w:tr>
      <w:tr w:rsidR="00883298" w:rsidRPr="00251400" w14:paraId="30448034" w14:textId="77777777" w:rsidTr="00C518F5">
        <w:tc>
          <w:tcPr>
            <w:tcW w:w="2381" w:type="dxa"/>
            <w:hideMark/>
          </w:tcPr>
          <w:p w14:paraId="2649119E" w14:textId="77777777" w:rsidR="00883298" w:rsidRPr="00251400" w:rsidRDefault="00883298" w:rsidP="00B0664E">
            <w:pPr>
              <w:adjustRightInd w:val="0"/>
              <w:snapToGrid w:val="0"/>
              <w:spacing w:line="360" w:lineRule="auto"/>
              <w:jc w:val="both"/>
              <w:rPr>
                <w:rFonts w:ascii="Book Antiqua" w:hAnsi="Book Antiqua"/>
                <w:bCs/>
                <w:sz w:val="24"/>
                <w:szCs w:val="24"/>
                <w:lang w:val="de-DE"/>
              </w:rPr>
            </w:pPr>
            <w:r w:rsidRPr="00251400">
              <w:rPr>
                <w:rFonts w:ascii="Book Antiqua" w:hAnsi="Book Antiqua"/>
                <w:bCs/>
                <w:sz w:val="24"/>
                <w:szCs w:val="24"/>
                <w:lang w:val="de-DE"/>
              </w:rPr>
              <w:t>Digital biomarkers</w:t>
            </w:r>
          </w:p>
        </w:tc>
        <w:tc>
          <w:tcPr>
            <w:tcW w:w="3143" w:type="dxa"/>
            <w:hideMark/>
          </w:tcPr>
          <w:p w14:paraId="4F23399F" w14:textId="77777777" w:rsidR="00DB28FC"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Cs/>
                <w:sz w:val="24"/>
                <w:szCs w:val="24"/>
                <w:lang w:val="en-US"/>
              </w:rPr>
              <w:t xml:space="preserve">Smartwatch, </w:t>
            </w:r>
          </w:p>
          <w:p w14:paraId="5C35AA58" w14:textId="784A22BA" w:rsidR="00883298"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Cs/>
                <w:sz w:val="24"/>
                <w:szCs w:val="24"/>
                <w:lang w:val="en-US"/>
              </w:rPr>
              <w:t>counting of steps per day</w:t>
            </w:r>
          </w:p>
        </w:tc>
        <w:tc>
          <w:tcPr>
            <w:tcW w:w="3402" w:type="dxa"/>
            <w:hideMark/>
          </w:tcPr>
          <w:p w14:paraId="11D4EAE8" w14:textId="6A445F95" w:rsidR="00883298" w:rsidRPr="00251400" w:rsidRDefault="00883298" w:rsidP="00B0664E">
            <w:pPr>
              <w:adjustRightInd w:val="0"/>
              <w:snapToGrid w:val="0"/>
              <w:spacing w:line="360" w:lineRule="auto"/>
              <w:jc w:val="both"/>
              <w:rPr>
                <w:rFonts w:ascii="Book Antiqua" w:hAnsi="Book Antiqua"/>
                <w:bCs/>
                <w:sz w:val="24"/>
                <w:szCs w:val="24"/>
                <w:lang w:val="en-US"/>
              </w:rPr>
            </w:pPr>
            <w:r w:rsidRPr="00251400">
              <w:rPr>
                <w:rFonts w:ascii="Book Antiqua" w:hAnsi="Book Antiqua"/>
                <w:bCs/>
                <w:sz w:val="24"/>
                <w:szCs w:val="24"/>
                <w:lang w:val="en-US"/>
              </w:rPr>
              <w:t>Individualized strategies for health behavior changes</w:t>
            </w:r>
            <w:r w:rsidR="00DB28FC" w:rsidRPr="00251400">
              <w:rPr>
                <w:rFonts w:ascii="Book Antiqua" w:hAnsi="Book Antiqua"/>
                <w:bCs/>
                <w:sz w:val="24"/>
                <w:szCs w:val="24"/>
                <w:lang w:val="en-US"/>
              </w:rPr>
              <w:t>. So far missing standardization</w:t>
            </w:r>
          </w:p>
        </w:tc>
      </w:tr>
    </w:tbl>
    <w:p w14:paraId="552C1DD3" w14:textId="623ED83F" w:rsidR="00256F67" w:rsidRPr="00EA0B83" w:rsidRDefault="00C518F5" w:rsidP="00B0664E">
      <w:pPr>
        <w:adjustRightInd w:val="0"/>
        <w:snapToGrid w:val="0"/>
        <w:spacing w:line="360" w:lineRule="auto"/>
        <w:jc w:val="both"/>
        <w:rPr>
          <w:rFonts w:ascii="Book Antiqua" w:hAnsi="Book Antiqua"/>
          <w:b/>
          <w:sz w:val="24"/>
          <w:szCs w:val="24"/>
          <w:lang w:val="en-US"/>
        </w:rPr>
      </w:pPr>
      <w:r w:rsidRPr="00251400">
        <w:rPr>
          <w:rFonts w:ascii="Book Antiqua" w:hAnsi="Book Antiqua"/>
          <w:bCs/>
          <w:sz w:val="24"/>
          <w:szCs w:val="24"/>
          <w:lang w:val="de-DE"/>
        </w:rPr>
        <w:t>EMR: Electronic medical records.</w:t>
      </w:r>
    </w:p>
    <w:sectPr w:rsidR="00256F67" w:rsidRPr="00EA0B83" w:rsidSect="00256F67">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7ED14" w14:textId="77777777" w:rsidR="00CC68CB" w:rsidRDefault="00CC68CB" w:rsidP="00DC48FC">
      <w:pPr>
        <w:spacing w:line="240" w:lineRule="auto"/>
      </w:pPr>
      <w:r>
        <w:separator/>
      </w:r>
    </w:p>
  </w:endnote>
  <w:endnote w:type="continuationSeparator" w:id="0">
    <w:p w14:paraId="2A3B24A7" w14:textId="77777777" w:rsidR="00CC68CB" w:rsidRDefault="00CC68CB" w:rsidP="00DC4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19130"/>
      <w:docPartObj>
        <w:docPartGallery w:val="Page Numbers (Bottom of Page)"/>
        <w:docPartUnique/>
      </w:docPartObj>
    </w:sdtPr>
    <w:sdtEndPr/>
    <w:sdtContent>
      <w:sdt>
        <w:sdtPr>
          <w:id w:val="-1705238520"/>
          <w:docPartObj>
            <w:docPartGallery w:val="Page Numbers (Top of Page)"/>
            <w:docPartUnique/>
          </w:docPartObj>
        </w:sdtPr>
        <w:sdtEndPr/>
        <w:sdtContent>
          <w:p w14:paraId="348B35D3" w14:textId="2337CE78" w:rsidR="00E03BA5" w:rsidRDefault="00E03BA5" w:rsidP="00E03BA5">
            <w:pPr>
              <w:pStyle w:val="af"/>
              <w:jc w:val="right"/>
            </w:pPr>
            <w:r>
              <w:rPr>
                <w:lang w:val="zh-CN" w:eastAsia="zh-CN"/>
              </w:rPr>
              <w:t xml:space="preserve"> </w:t>
            </w:r>
            <w:r w:rsidRPr="00E03BA5">
              <w:rPr>
                <w:rFonts w:ascii="Book Antiqua" w:hAnsi="Book Antiqua"/>
                <w:b/>
                <w:bCs/>
                <w:sz w:val="24"/>
                <w:szCs w:val="24"/>
              </w:rPr>
              <w:fldChar w:fldCharType="begin"/>
            </w:r>
            <w:r w:rsidRPr="00E03BA5">
              <w:rPr>
                <w:rFonts w:ascii="Book Antiqua" w:hAnsi="Book Antiqua"/>
                <w:b/>
                <w:bCs/>
                <w:sz w:val="24"/>
                <w:szCs w:val="24"/>
              </w:rPr>
              <w:instrText>PAGE</w:instrText>
            </w:r>
            <w:r w:rsidRPr="00E03BA5">
              <w:rPr>
                <w:rFonts w:ascii="Book Antiqua" w:hAnsi="Book Antiqua"/>
                <w:b/>
                <w:bCs/>
                <w:sz w:val="24"/>
                <w:szCs w:val="24"/>
              </w:rPr>
              <w:fldChar w:fldCharType="separate"/>
            </w:r>
            <w:r w:rsidR="004D075A">
              <w:rPr>
                <w:rFonts w:ascii="Book Antiqua" w:hAnsi="Book Antiqua"/>
                <w:b/>
                <w:bCs/>
                <w:noProof/>
                <w:sz w:val="24"/>
                <w:szCs w:val="24"/>
              </w:rPr>
              <w:t>38</w:t>
            </w:r>
            <w:r w:rsidRPr="00E03BA5">
              <w:rPr>
                <w:rFonts w:ascii="Book Antiqua" w:hAnsi="Book Antiqua"/>
                <w:b/>
                <w:bCs/>
                <w:sz w:val="24"/>
                <w:szCs w:val="24"/>
              </w:rPr>
              <w:fldChar w:fldCharType="end"/>
            </w:r>
            <w:r w:rsidRPr="00E03BA5">
              <w:rPr>
                <w:rFonts w:ascii="Book Antiqua" w:hAnsi="Book Antiqua"/>
                <w:sz w:val="24"/>
                <w:szCs w:val="24"/>
                <w:lang w:val="zh-CN" w:eastAsia="zh-CN"/>
              </w:rPr>
              <w:t xml:space="preserve"> / </w:t>
            </w:r>
            <w:r w:rsidRPr="00E03BA5">
              <w:rPr>
                <w:rFonts w:ascii="Book Antiqua" w:hAnsi="Book Antiqua"/>
                <w:b/>
                <w:bCs/>
                <w:sz w:val="24"/>
                <w:szCs w:val="24"/>
              </w:rPr>
              <w:fldChar w:fldCharType="begin"/>
            </w:r>
            <w:r w:rsidRPr="00E03BA5">
              <w:rPr>
                <w:rFonts w:ascii="Book Antiqua" w:hAnsi="Book Antiqua"/>
                <w:b/>
                <w:bCs/>
                <w:sz w:val="24"/>
                <w:szCs w:val="24"/>
              </w:rPr>
              <w:instrText>NUMPAGES</w:instrText>
            </w:r>
            <w:r w:rsidRPr="00E03BA5">
              <w:rPr>
                <w:rFonts w:ascii="Book Antiqua" w:hAnsi="Book Antiqua"/>
                <w:b/>
                <w:bCs/>
                <w:sz w:val="24"/>
                <w:szCs w:val="24"/>
              </w:rPr>
              <w:fldChar w:fldCharType="separate"/>
            </w:r>
            <w:r w:rsidR="004D075A">
              <w:rPr>
                <w:rFonts w:ascii="Book Antiqua" w:hAnsi="Book Antiqua"/>
                <w:b/>
                <w:bCs/>
                <w:noProof/>
                <w:sz w:val="24"/>
                <w:szCs w:val="24"/>
              </w:rPr>
              <w:t>39</w:t>
            </w:r>
            <w:r w:rsidRPr="00E03BA5">
              <w:rPr>
                <w:rFonts w:ascii="Book Antiqua" w:hAnsi="Book Antiqua"/>
                <w:b/>
                <w:bCs/>
                <w:sz w:val="24"/>
                <w:szCs w:val="24"/>
              </w:rPr>
              <w:fldChar w:fldCharType="end"/>
            </w:r>
          </w:p>
        </w:sdtContent>
      </w:sdt>
    </w:sdtContent>
  </w:sdt>
  <w:p w14:paraId="49824AE6" w14:textId="77777777" w:rsidR="00E03BA5" w:rsidRDefault="00E03B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532F5" w14:textId="77777777" w:rsidR="00CC68CB" w:rsidRDefault="00CC68CB" w:rsidP="00DC48FC">
      <w:pPr>
        <w:spacing w:line="240" w:lineRule="auto"/>
      </w:pPr>
      <w:r>
        <w:separator/>
      </w:r>
    </w:p>
  </w:footnote>
  <w:footnote w:type="continuationSeparator" w:id="0">
    <w:p w14:paraId="25E6AFB5" w14:textId="77777777" w:rsidR="00CC68CB" w:rsidRDefault="00CC68CB" w:rsidP="00DC48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61984"/>
    <w:multiLevelType w:val="hybridMultilevel"/>
    <w:tmpl w:val="1382C7D4"/>
    <w:lvl w:ilvl="0" w:tplc="0DD2A84A">
      <w:start w:val="1"/>
      <w:numFmt w:val="bullet"/>
      <w:lvlText w:val=""/>
      <w:lvlJc w:val="left"/>
      <w:pPr>
        <w:ind w:left="720" w:hanging="360"/>
      </w:pPr>
      <w:rPr>
        <w:rFonts w:ascii="Symbol" w:hAnsi="Symbol" w:hint="default"/>
      </w:rPr>
    </w:lvl>
    <w:lvl w:ilvl="1" w:tplc="909677CE" w:tentative="1">
      <w:start w:val="1"/>
      <w:numFmt w:val="bullet"/>
      <w:lvlText w:val="o"/>
      <w:lvlJc w:val="left"/>
      <w:pPr>
        <w:ind w:left="1440" w:hanging="360"/>
      </w:pPr>
      <w:rPr>
        <w:rFonts w:ascii="Courier New" w:hAnsi="Courier New" w:cs="Courier New" w:hint="default"/>
      </w:rPr>
    </w:lvl>
    <w:lvl w:ilvl="2" w:tplc="7B1E8E7E" w:tentative="1">
      <w:start w:val="1"/>
      <w:numFmt w:val="bullet"/>
      <w:lvlText w:val=""/>
      <w:lvlJc w:val="left"/>
      <w:pPr>
        <w:ind w:left="2160" w:hanging="360"/>
      </w:pPr>
      <w:rPr>
        <w:rFonts w:ascii="Wingdings" w:hAnsi="Wingdings" w:hint="default"/>
      </w:rPr>
    </w:lvl>
    <w:lvl w:ilvl="3" w:tplc="00CAAFF6" w:tentative="1">
      <w:start w:val="1"/>
      <w:numFmt w:val="bullet"/>
      <w:lvlText w:val=""/>
      <w:lvlJc w:val="left"/>
      <w:pPr>
        <w:ind w:left="2880" w:hanging="360"/>
      </w:pPr>
      <w:rPr>
        <w:rFonts w:ascii="Symbol" w:hAnsi="Symbol" w:hint="default"/>
      </w:rPr>
    </w:lvl>
    <w:lvl w:ilvl="4" w:tplc="0212C29A" w:tentative="1">
      <w:start w:val="1"/>
      <w:numFmt w:val="bullet"/>
      <w:lvlText w:val="o"/>
      <w:lvlJc w:val="left"/>
      <w:pPr>
        <w:ind w:left="3600" w:hanging="360"/>
      </w:pPr>
      <w:rPr>
        <w:rFonts w:ascii="Courier New" w:hAnsi="Courier New" w:cs="Courier New" w:hint="default"/>
      </w:rPr>
    </w:lvl>
    <w:lvl w:ilvl="5" w:tplc="1CA677F0" w:tentative="1">
      <w:start w:val="1"/>
      <w:numFmt w:val="bullet"/>
      <w:lvlText w:val=""/>
      <w:lvlJc w:val="left"/>
      <w:pPr>
        <w:ind w:left="4320" w:hanging="360"/>
      </w:pPr>
      <w:rPr>
        <w:rFonts w:ascii="Wingdings" w:hAnsi="Wingdings" w:hint="default"/>
      </w:rPr>
    </w:lvl>
    <w:lvl w:ilvl="6" w:tplc="C39EF6FA" w:tentative="1">
      <w:start w:val="1"/>
      <w:numFmt w:val="bullet"/>
      <w:lvlText w:val=""/>
      <w:lvlJc w:val="left"/>
      <w:pPr>
        <w:ind w:left="5040" w:hanging="360"/>
      </w:pPr>
      <w:rPr>
        <w:rFonts w:ascii="Symbol" w:hAnsi="Symbol" w:hint="default"/>
      </w:rPr>
    </w:lvl>
    <w:lvl w:ilvl="7" w:tplc="909074B0" w:tentative="1">
      <w:start w:val="1"/>
      <w:numFmt w:val="bullet"/>
      <w:lvlText w:val="o"/>
      <w:lvlJc w:val="left"/>
      <w:pPr>
        <w:ind w:left="5760" w:hanging="360"/>
      </w:pPr>
      <w:rPr>
        <w:rFonts w:ascii="Courier New" w:hAnsi="Courier New" w:cs="Courier New" w:hint="default"/>
      </w:rPr>
    </w:lvl>
    <w:lvl w:ilvl="8" w:tplc="F9D86D6C" w:tentative="1">
      <w:start w:val="1"/>
      <w:numFmt w:val="bullet"/>
      <w:lvlText w:val=""/>
      <w:lvlJc w:val="left"/>
      <w:pPr>
        <w:ind w:left="6480" w:hanging="360"/>
      </w:pPr>
      <w:rPr>
        <w:rFonts w:ascii="Wingdings" w:hAnsi="Wingdings" w:hint="default"/>
      </w:rPr>
    </w:lvl>
  </w:abstractNum>
  <w:abstractNum w:abstractNumId="1">
    <w:nsid w:val="6B862F53"/>
    <w:multiLevelType w:val="hybridMultilevel"/>
    <w:tmpl w:val="72EEAED2"/>
    <w:lvl w:ilvl="0" w:tplc="318C0DA2">
      <w:start w:val="1"/>
      <w:numFmt w:val="bullet"/>
      <w:lvlText w:val=""/>
      <w:lvlJc w:val="left"/>
      <w:pPr>
        <w:ind w:left="770" w:hanging="360"/>
      </w:pPr>
      <w:rPr>
        <w:rFonts w:ascii="Symbol" w:hAnsi="Symbol" w:hint="default"/>
      </w:rPr>
    </w:lvl>
    <w:lvl w:ilvl="1" w:tplc="72E2A622" w:tentative="1">
      <w:start w:val="1"/>
      <w:numFmt w:val="bullet"/>
      <w:lvlText w:val="o"/>
      <w:lvlJc w:val="left"/>
      <w:pPr>
        <w:ind w:left="1490" w:hanging="360"/>
      </w:pPr>
      <w:rPr>
        <w:rFonts w:ascii="Courier New" w:hAnsi="Courier New" w:cs="Courier New" w:hint="default"/>
      </w:rPr>
    </w:lvl>
    <w:lvl w:ilvl="2" w:tplc="09EE6F70" w:tentative="1">
      <w:start w:val="1"/>
      <w:numFmt w:val="bullet"/>
      <w:lvlText w:val=""/>
      <w:lvlJc w:val="left"/>
      <w:pPr>
        <w:ind w:left="2210" w:hanging="360"/>
      </w:pPr>
      <w:rPr>
        <w:rFonts w:ascii="Wingdings" w:hAnsi="Wingdings" w:hint="default"/>
      </w:rPr>
    </w:lvl>
    <w:lvl w:ilvl="3" w:tplc="A4886DD8" w:tentative="1">
      <w:start w:val="1"/>
      <w:numFmt w:val="bullet"/>
      <w:lvlText w:val=""/>
      <w:lvlJc w:val="left"/>
      <w:pPr>
        <w:ind w:left="2930" w:hanging="360"/>
      </w:pPr>
      <w:rPr>
        <w:rFonts w:ascii="Symbol" w:hAnsi="Symbol" w:hint="default"/>
      </w:rPr>
    </w:lvl>
    <w:lvl w:ilvl="4" w:tplc="9574F0D4" w:tentative="1">
      <w:start w:val="1"/>
      <w:numFmt w:val="bullet"/>
      <w:lvlText w:val="o"/>
      <w:lvlJc w:val="left"/>
      <w:pPr>
        <w:ind w:left="3650" w:hanging="360"/>
      </w:pPr>
      <w:rPr>
        <w:rFonts w:ascii="Courier New" w:hAnsi="Courier New" w:cs="Courier New" w:hint="default"/>
      </w:rPr>
    </w:lvl>
    <w:lvl w:ilvl="5" w:tplc="B566C04C" w:tentative="1">
      <w:start w:val="1"/>
      <w:numFmt w:val="bullet"/>
      <w:lvlText w:val=""/>
      <w:lvlJc w:val="left"/>
      <w:pPr>
        <w:ind w:left="4370" w:hanging="360"/>
      </w:pPr>
      <w:rPr>
        <w:rFonts w:ascii="Wingdings" w:hAnsi="Wingdings" w:hint="default"/>
      </w:rPr>
    </w:lvl>
    <w:lvl w:ilvl="6" w:tplc="C24C98CC" w:tentative="1">
      <w:start w:val="1"/>
      <w:numFmt w:val="bullet"/>
      <w:lvlText w:val=""/>
      <w:lvlJc w:val="left"/>
      <w:pPr>
        <w:ind w:left="5090" w:hanging="360"/>
      </w:pPr>
      <w:rPr>
        <w:rFonts w:ascii="Symbol" w:hAnsi="Symbol" w:hint="default"/>
      </w:rPr>
    </w:lvl>
    <w:lvl w:ilvl="7" w:tplc="7A8CABAA" w:tentative="1">
      <w:start w:val="1"/>
      <w:numFmt w:val="bullet"/>
      <w:lvlText w:val="o"/>
      <w:lvlJc w:val="left"/>
      <w:pPr>
        <w:ind w:left="5810" w:hanging="360"/>
      </w:pPr>
      <w:rPr>
        <w:rFonts w:ascii="Courier New" w:hAnsi="Courier New" w:cs="Courier New" w:hint="default"/>
      </w:rPr>
    </w:lvl>
    <w:lvl w:ilvl="8" w:tplc="18A0FCC4" w:tentative="1">
      <w:start w:val="1"/>
      <w:numFmt w:val="bullet"/>
      <w:lvlText w:val=""/>
      <w:lvlJc w:val="left"/>
      <w:pPr>
        <w:ind w:left="6530" w:hanging="360"/>
      </w:pPr>
      <w:rPr>
        <w:rFonts w:ascii="Wingdings" w:hAnsi="Wingdings" w:hint="default"/>
      </w:rPr>
    </w:lvl>
  </w:abstractNum>
  <w:abstractNum w:abstractNumId="2">
    <w:nsid w:val="735E2874"/>
    <w:multiLevelType w:val="multilevel"/>
    <w:tmpl w:val="4E488036"/>
    <w:lvl w:ilvl="0">
      <w:start w:val="1"/>
      <w:numFmt w:val="decimal"/>
      <w:lvlText w:val="%1"/>
      <w:lvlJc w:val="left"/>
      <w:pPr>
        <w:ind w:left="432" w:hanging="432"/>
      </w:pPr>
      <w:rPr>
        <w:rFonts w:ascii="Arial" w:hAnsi="Arial" w:cs="Arial" w:hint="default"/>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1&lt;/Suspended&gt;&lt;/ENInstantFormat&gt;"/>
  </w:docVars>
  <w:rsids>
    <w:rsidRoot w:val="00883298"/>
    <w:rsid w:val="00012E82"/>
    <w:rsid w:val="00013285"/>
    <w:rsid w:val="000142A7"/>
    <w:rsid w:val="00016D31"/>
    <w:rsid w:val="00022DD9"/>
    <w:rsid w:val="000305E2"/>
    <w:rsid w:val="0004223A"/>
    <w:rsid w:val="00042B78"/>
    <w:rsid w:val="0004716D"/>
    <w:rsid w:val="00050213"/>
    <w:rsid w:val="00060AA4"/>
    <w:rsid w:val="00061F48"/>
    <w:rsid w:val="000656FE"/>
    <w:rsid w:val="000708D1"/>
    <w:rsid w:val="0007350F"/>
    <w:rsid w:val="000756A7"/>
    <w:rsid w:val="0008472C"/>
    <w:rsid w:val="00091373"/>
    <w:rsid w:val="00094C52"/>
    <w:rsid w:val="000A27E7"/>
    <w:rsid w:val="000A31EF"/>
    <w:rsid w:val="000C3452"/>
    <w:rsid w:val="000C5907"/>
    <w:rsid w:val="000C7917"/>
    <w:rsid w:val="000D399F"/>
    <w:rsid w:val="000D3C39"/>
    <w:rsid w:val="000E2554"/>
    <w:rsid w:val="000E28C0"/>
    <w:rsid w:val="000E7385"/>
    <w:rsid w:val="000F4AE8"/>
    <w:rsid w:val="000F4F6E"/>
    <w:rsid w:val="00101CD8"/>
    <w:rsid w:val="00103B4F"/>
    <w:rsid w:val="001278D5"/>
    <w:rsid w:val="00127C5A"/>
    <w:rsid w:val="00136493"/>
    <w:rsid w:val="00144B86"/>
    <w:rsid w:val="00150BFC"/>
    <w:rsid w:val="00151DF9"/>
    <w:rsid w:val="00155A5B"/>
    <w:rsid w:val="00164B5A"/>
    <w:rsid w:val="00164F54"/>
    <w:rsid w:val="00166786"/>
    <w:rsid w:val="00180823"/>
    <w:rsid w:val="00181E42"/>
    <w:rsid w:val="00191AC2"/>
    <w:rsid w:val="00195DBB"/>
    <w:rsid w:val="001A3A72"/>
    <w:rsid w:val="001B3F1A"/>
    <w:rsid w:val="001B4AB5"/>
    <w:rsid w:val="001C089B"/>
    <w:rsid w:val="001C320B"/>
    <w:rsid w:val="001C5AAC"/>
    <w:rsid w:val="001D05B6"/>
    <w:rsid w:val="001E02B5"/>
    <w:rsid w:val="001F4DEE"/>
    <w:rsid w:val="00200203"/>
    <w:rsid w:val="00204D88"/>
    <w:rsid w:val="002111BC"/>
    <w:rsid w:val="00214CC2"/>
    <w:rsid w:val="00215273"/>
    <w:rsid w:val="002360A6"/>
    <w:rsid w:val="0023631F"/>
    <w:rsid w:val="00246734"/>
    <w:rsid w:val="00247777"/>
    <w:rsid w:val="00251400"/>
    <w:rsid w:val="00256F67"/>
    <w:rsid w:val="002623BF"/>
    <w:rsid w:val="002708AC"/>
    <w:rsid w:val="00274ED6"/>
    <w:rsid w:val="00280287"/>
    <w:rsid w:val="00284024"/>
    <w:rsid w:val="002A2CFF"/>
    <w:rsid w:val="002A51B9"/>
    <w:rsid w:val="002A76EB"/>
    <w:rsid w:val="002B1BAB"/>
    <w:rsid w:val="002C521B"/>
    <w:rsid w:val="002C634C"/>
    <w:rsid w:val="002D524C"/>
    <w:rsid w:val="002E2A2D"/>
    <w:rsid w:val="002E2A54"/>
    <w:rsid w:val="002F0F27"/>
    <w:rsid w:val="002F146D"/>
    <w:rsid w:val="0030140D"/>
    <w:rsid w:val="00303B23"/>
    <w:rsid w:val="003061A2"/>
    <w:rsid w:val="0031397E"/>
    <w:rsid w:val="003241EC"/>
    <w:rsid w:val="00336EE2"/>
    <w:rsid w:val="003453DB"/>
    <w:rsid w:val="00351DF8"/>
    <w:rsid w:val="0035261B"/>
    <w:rsid w:val="00366316"/>
    <w:rsid w:val="003A0795"/>
    <w:rsid w:val="003B02CE"/>
    <w:rsid w:val="003B16B1"/>
    <w:rsid w:val="003B7D6A"/>
    <w:rsid w:val="003C0710"/>
    <w:rsid w:val="003C1034"/>
    <w:rsid w:val="003D11C4"/>
    <w:rsid w:val="003D2BD1"/>
    <w:rsid w:val="003D4790"/>
    <w:rsid w:val="003E7532"/>
    <w:rsid w:val="003F0ADC"/>
    <w:rsid w:val="003F171E"/>
    <w:rsid w:val="00400A9A"/>
    <w:rsid w:val="00401FE5"/>
    <w:rsid w:val="00402BE2"/>
    <w:rsid w:val="00407BE0"/>
    <w:rsid w:val="0041017C"/>
    <w:rsid w:val="00416C2C"/>
    <w:rsid w:val="0042156C"/>
    <w:rsid w:val="00441D09"/>
    <w:rsid w:val="00445A4A"/>
    <w:rsid w:val="00450FAB"/>
    <w:rsid w:val="0046083A"/>
    <w:rsid w:val="00467A8E"/>
    <w:rsid w:val="00475EA3"/>
    <w:rsid w:val="00480B1B"/>
    <w:rsid w:val="00486EE0"/>
    <w:rsid w:val="00491D4C"/>
    <w:rsid w:val="00497589"/>
    <w:rsid w:val="004A13D7"/>
    <w:rsid w:val="004A14E6"/>
    <w:rsid w:val="004B6C0C"/>
    <w:rsid w:val="004C007C"/>
    <w:rsid w:val="004C4C8A"/>
    <w:rsid w:val="004C5F96"/>
    <w:rsid w:val="004C70FB"/>
    <w:rsid w:val="004D075A"/>
    <w:rsid w:val="004D2FF0"/>
    <w:rsid w:val="004E1BFB"/>
    <w:rsid w:val="004E4337"/>
    <w:rsid w:val="004F4825"/>
    <w:rsid w:val="004F5F8C"/>
    <w:rsid w:val="00500274"/>
    <w:rsid w:val="005136F1"/>
    <w:rsid w:val="00520E4B"/>
    <w:rsid w:val="00522B01"/>
    <w:rsid w:val="00522F2A"/>
    <w:rsid w:val="0053235A"/>
    <w:rsid w:val="0053256B"/>
    <w:rsid w:val="00537392"/>
    <w:rsid w:val="0053784C"/>
    <w:rsid w:val="0054254A"/>
    <w:rsid w:val="0054484B"/>
    <w:rsid w:val="00550DF5"/>
    <w:rsid w:val="005556E4"/>
    <w:rsid w:val="00580ADB"/>
    <w:rsid w:val="005901F6"/>
    <w:rsid w:val="00591C31"/>
    <w:rsid w:val="005A12A0"/>
    <w:rsid w:val="005A2F3E"/>
    <w:rsid w:val="005A3CF5"/>
    <w:rsid w:val="005A44ED"/>
    <w:rsid w:val="005A666C"/>
    <w:rsid w:val="005B0EE6"/>
    <w:rsid w:val="005B2E01"/>
    <w:rsid w:val="005C0AE3"/>
    <w:rsid w:val="005C2980"/>
    <w:rsid w:val="005D19E3"/>
    <w:rsid w:val="005D3075"/>
    <w:rsid w:val="005E3586"/>
    <w:rsid w:val="005F7639"/>
    <w:rsid w:val="00601EBC"/>
    <w:rsid w:val="00605723"/>
    <w:rsid w:val="00611EDA"/>
    <w:rsid w:val="006129D6"/>
    <w:rsid w:val="00613630"/>
    <w:rsid w:val="0061368F"/>
    <w:rsid w:val="006139DC"/>
    <w:rsid w:val="00621AFA"/>
    <w:rsid w:val="00622B8A"/>
    <w:rsid w:val="00636DE7"/>
    <w:rsid w:val="00637D9B"/>
    <w:rsid w:val="00640AE3"/>
    <w:rsid w:val="00645E96"/>
    <w:rsid w:val="00647F04"/>
    <w:rsid w:val="0065713D"/>
    <w:rsid w:val="0066358D"/>
    <w:rsid w:val="0066502C"/>
    <w:rsid w:val="00670C9D"/>
    <w:rsid w:val="00672681"/>
    <w:rsid w:val="006727BA"/>
    <w:rsid w:val="006902CB"/>
    <w:rsid w:val="0069043F"/>
    <w:rsid w:val="00693C9D"/>
    <w:rsid w:val="006A0FA9"/>
    <w:rsid w:val="006A6C92"/>
    <w:rsid w:val="006B67F1"/>
    <w:rsid w:val="006C1C17"/>
    <w:rsid w:val="006C67D7"/>
    <w:rsid w:val="006D27DF"/>
    <w:rsid w:val="006D6DEA"/>
    <w:rsid w:val="006D7060"/>
    <w:rsid w:val="006E0737"/>
    <w:rsid w:val="006E110C"/>
    <w:rsid w:val="006E39BA"/>
    <w:rsid w:val="006F1767"/>
    <w:rsid w:val="006F4182"/>
    <w:rsid w:val="00701DAC"/>
    <w:rsid w:val="007147E1"/>
    <w:rsid w:val="0071517E"/>
    <w:rsid w:val="00723569"/>
    <w:rsid w:val="00723813"/>
    <w:rsid w:val="00733741"/>
    <w:rsid w:val="007407F1"/>
    <w:rsid w:val="00753437"/>
    <w:rsid w:val="00775232"/>
    <w:rsid w:val="007775CF"/>
    <w:rsid w:val="00777964"/>
    <w:rsid w:val="00782449"/>
    <w:rsid w:val="00790A00"/>
    <w:rsid w:val="00797CA5"/>
    <w:rsid w:val="007A186B"/>
    <w:rsid w:val="007A2B1E"/>
    <w:rsid w:val="007B2470"/>
    <w:rsid w:val="007B2528"/>
    <w:rsid w:val="007C2A2E"/>
    <w:rsid w:val="007C5C76"/>
    <w:rsid w:val="007E12F0"/>
    <w:rsid w:val="007E2A83"/>
    <w:rsid w:val="007F2452"/>
    <w:rsid w:val="007F7E8B"/>
    <w:rsid w:val="008009A3"/>
    <w:rsid w:val="00804330"/>
    <w:rsid w:val="00804337"/>
    <w:rsid w:val="00816CBE"/>
    <w:rsid w:val="008247EB"/>
    <w:rsid w:val="00827F6F"/>
    <w:rsid w:val="008375FC"/>
    <w:rsid w:val="00837CED"/>
    <w:rsid w:val="0085112D"/>
    <w:rsid w:val="008528A9"/>
    <w:rsid w:val="008676C8"/>
    <w:rsid w:val="00876804"/>
    <w:rsid w:val="00877466"/>
    <w:rsid w:val="00883298"/>
    <w:rsid w:val="00892D7C"/>
    <w:rsid w:val="008A0E22"/>
    <w:rsid w:val="008B6D7D"/>
    <w:rsid w:val="008C3B98"/>
    <w:rsid w:val="008C4E07"/>
    <w:rsid w:val="008C51FC"/>
    <w:rsid w:val="008C6CBE"/>
    <w:rsid w:val="008C6E92"/>
    <w:rsid w:val="008E3FE8"/>
    <w:rsid w:val="008F56DD"/>
    <w:rsid w:val="00901B66"/>
    <w:rsid w:val="00904903"/>
    <w:rsid w:val="00905491"/>
    <w:rsid w:val="009071CE"/>
    <w:rsid w:val="00915234"/>
    <w:rsid w:val="00921986"/>
    <w:rsid w:val="009256D7"/>
    <w:rsid w:val="0093192F"/>
    <w:rsid w:val="00931E0C"/>
    <w:rsid w:val="009477E4"/>
    <w:rsid w:val="00947B46"/>
    <w:rsid w:val="0095547E"/>
    <w:rsid w:val="00960B53"/>
    <w:rsid w:val="00971F09"/>
    <w:rsid w:val="00977116"/>
    <w:rsid w:val="00982ADD"/>
    <w:rsid w:val="00983ABC"/>
    <w:rsid w:val="00997546"/>
    <w:rsid w:val="009B01E3"/>
    <w:rsid w:val="009B2CC0"/>
    <w:rsid w:val="009C7D2D"/>
    <w:rsid w:val="009D126F"/>
    <w:rsid w:val="009D7EDD"/>
    <w:rsid w:val="009E119F"/>
    <w:rsid w:val="009E6F62"/>
    <w:rsid w:val="009E7D6B"/>
    <w:rsid w:val="009F7695"/>
    <w:rsid w:val="00A015C6"/>
    <w:rsid w:val="00A041B4"/>
    <w:rsid w:val="00A126A8"/>
    <w:rsid w:val="00A15228"/>
    <w:rsid w:val="00A2144E"/>
    <w:rsid w:val="00A23477"/>
    <w:rsid w:val="00A31AD3"/>
    <w:rsid w:val="00A37FF8"/>
    <w:rsid w:val="00A4005D"/>
    <w:rsid w:val="00A44B17"/>
    <w:rsid w:val="00A54B47"/>
    <w:rsid w:val="00A57886"/>
    <w:rsid w:val="00A675FD"/>
    <w:rsid w:val="00A72753"/>
    <w:rsid w:val="00A77659"/>
    <w:rsid w:val="00AA022D"/>
    <w:rsid w:val="00AD1E25"/>
    <w:rsid w:val="00AD39C7"/>
    <w:rsid w:val="00AD5372"/>
    <w:rsid w:val="00AD6429"/>
    <w:rsid w:val="00AD6701"/>
    <w:rsid w:val="00AE31DE"/>
    <w:rsid w:val="00AE60C8"/>
    <w:rsid w:val="00AE664F"/>
    <w:rsid w:val="00AF36F0"/>
    <w:rsid w:val="00B010CB"/>
    <w:rsid w:val="00B041C8"/>
    <w:rsid w:val="00B0664E"/>
    <w:rsid w:val="00B10606"/>
    <w:rsid w:val="00B14A15"/>
    <w:rsid w:val="00B305F2"/>
    <w:rsid w:val="00B32317"/>
    <w:rsid w:val="00B342D9"/>
    <w:rsid w:val="00B34994"/>
    <w:rsid w:val="00B456E8"/>
    <w:rsid w:val="00B67677"/>
    <w:rsid w:val="00B7050D"/>
    <w:rsid w:val="00B71FCE"/>
    <w:rsid w:val="00B725C4"/>
    <w:rsid w:val="00B80F80"/>
    <w:rsid w:val="00B83939"/>
    <w:rsid w:val="00B84948"/>
    <w:rsid w:val="00B91E11"/>
    <w:rsid w:val="00B97475"/>
    <w:rsid w:val="00BB1317"/>
    <w:rsid w:val="00BB70CD"/>
    <w:rsid w:val="00BC1124"/>
    <w:rsid w:val="00BC2139"/>
    <w:rsid w:val="00BC4DB6"/>
    <w:rsid w:val="00BD1801"/>
    <w:rsid w:val="00BD2021"/>
    <w:rsid w:val="00BD588E"/>
    <w:rsid w:val="00BE0A85"/>
    <w:rsid w:val="00BF1C14"/>
    <w:rsid w:val="00C07AB0"/>
    <w:rsid w:val="00C13A7B"/>
    <w:rsid w:val="00C15446"/>
    <w:rsid w:val="00C20851"/>
    <w:rsid w:val="00C20F59"/>
    <w:rsid w:val="00C324F5"/>
    <w:rsid w:val="00C366C0"/>
    <w:rsid w:val="00C368C3"/>
    <w:rsid w:val="00C46F4C"/>
    <w:rsid w:val="00C50659"/>
    <w:rsid w:val="00C50FE9"/>
    <w:rsid w:val="00C515AC"/>
    <w:rsid w:val="00C518F5"/>
    <w:rsid w:val="00C51B96"/>
    <w:rsid w:val="00C61CC4"/>
    <w:rsid w:val="00C66BE9"/>
    <w:rsid w:val="00C70F96"/>
    <w:rsid w:val="00C773AB"/>
    <w:rsid w:val="00C86536"/>
    <w:rsid w:val="00C87E51"/>
    <w:rsid w:val="00C95C6C"/>
    <w:rsid w:val="00C976BA"/>
    <w:rsid w:val="00C97BD8"/>
    <w:rsid w:val="00CA3471"/>
    <w:rsid w:val="00CA7344"/>
    <w:rsid w:val="00CB1195"/>
    <w:rsid w:val="00CB3B86"/>
    <w:rsid w:val="00CC1F49"/>
    <w:rsid w:val="00CC68CB"/>
    <w:rsid w:val="00CC701B"/>
    <w:rsid w:val="00CD1A12"/>
    <w:rsid w:val="00CD5C62"/>
    <w:rsid w:val="00CE48AD"/>
    <w:rsid w:val="00CE5A12"/>
    <w:rsid w:val="00CE5F83"/>
    <w:rsid w:val="00D0026A"/>
    <w:rsid w:val="00D17B5F"/>
    <w:rsid w:val="00D22140"/>
    <w:rsid w:val="00D3259A"/>
    <w:rsid w:val="00D3269B"/>
    <w:rsid w:val="00D401BE"/>
    <w:rsid w:val="00D4495F"/>
    <w:rsid w:val="00D45EE4"/>
    <w:rsid w:val="00D73030"/>
    <w:rsid w:val="00D76F87"/>
    <w:rsid w:val="00D8060D"/>
    <w:rsid w:val="00D811FC"/>
    <w:rsid w:val="00D90040"/>
    <w:rsid w:val="00DA4EC9"/>
    <w:rsid w:val="00DB28FC"/>
    <w:rsid w:val="00DB4E4A"/>
    <w:rsid w:val="00DB6873"/>
    <w:rsid w:val="00DB6B29"/>
    <w:rsid w:val="00DC07F1"/>
    <w:rsid w:val="00DC48FC"/>
    <w:rsid w:val="00DE45E3"/>
    <w:rsid w:val="00DF044C"/>
    <w:rsid w:val="00E03BA5"/>
    <w:rsid w:val="00E073E9"/>
    <w:rsid w:val="00E26DDA"/>
    <w:rsid w:val="00E30A72"/>
    <w:rsid w:val="00E457D5"/>
    <w:rsid w:val="00E470D3"/>
    <w:rsid w:val="00E50ECC"/>
    <w:rsid w:val="00E51AA9"/>
    <w:rsid w:val="00E53573"/>
    <w:rsid w:val="00E67F3F"/>
    <w:rsid w:val="00E7221D"/>
    <w:rsid w:val="00E743CF"/>
    <w:rsid w:val="00E82E47"/>
    <w:rsid w:val="00E96165"/>
    <w:rsid w:val="00EA085A"/>
    <w:rsid w:val="00EA0B83"/>
    <w:rsid w:val="00EA4C3C"/>
    <w:rsid w:val="00EA7C58"/>
    <w:rsid w:val="00EB50E0"/>
    <w:rsid w:val="00EC300F"/>
    <w:rsid w:val="00ED448C"/>
    <w:rsid w:val="00EE2264"/>
    <w:rsid w:val="00EE6029"/>
    <w:rsid w:val="00EF1C2B"/>
    <w:rsid w:val="00EF3A3B"/>
    <w:rsid w:val="00F079E6"/>
    <w:rsid w:val="00F209BB"/>
    <w:rsid w:val="00F32830"/>
    <w:rsid w:val="00F53385"/>
    <w:rsid w:val="00F56EF5"/>
    <w:rsid w:val="00F77269"/>
    <w:rsid w:val="00F77BF0"/>
    <w:rsid w:val="00F77EA5"/>
    <w:rsid w:val="00F85D8B"/>
    <w:rsid w:val="00F91AD3"/>
    <w:rsid w:val="00F92C3F"/>
    <w:rsid w:val="00F93636"/>
    <w:rsid w:val="00F95C32"/>
    <w:rsid w:val="00FC0C0F"/>
    <w:rsid w:val="00FC2D9A"/>
    <w:rsid w:val="00FC435E"/>
    <w:rsid w:val="00FD54C4"/>
    <w:rsid w:val="00FE331C"/>
    <w:rsid w:val="00FE33A9"/>
    <w:rsid w:val="00FE3A44"/>
    <w:rsid w:val="00FE7AA2"/>
    <w:rsid w:val="00FF09D8"/>
    <w:rsid w:val="00FF5DFF"/>
    <w:rsid w:val="00FF7454"/>
    <w:rsid w:val="00FF7A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926B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3298"/>
    <w:pPr>
      <w:spacing w:line="276" w:lineRule="auto"/>
    </w:pPr>
    <w:rPr>
      <w:rFonts w:ascii="Arial" w:eastAsiaTheme="minorEastAsia" w:hAnsi="Arial" w:cs="Arial"/>
      <w:sz w:val="22"/>
      <w:szCs w:val="22"/>
      <w:lang w:val="de" w:eastAsia="de-DE"/>
    </w:rPr>
  </w:style>
  <w:style w:type="paragraph" w:styleId="1">
    <w:name w:val="heading 1"/>
    <w:basedOn w:val="a"/>
    <w:next w:val="a"/>
    <w:link w:val="1Char"/>
    <w:rsid w:val="00883298"/>
    <w:pPr>
      <w:keepNext/>
      <w:keepLines/>
      <w:spacing w:before="400" w:after="120"/>
      <w:outlineLvl w:val="0"/>
    </w:pPr>
    <w:rPr>
      <w:sz w:val="40"/>
      <w:szCs w:val="40"/>
    </w:rPr>
  </w:style>
  <w:style w:type="paragraph" w:styleId="2">
    <w:name w:val="heading 2"/>
    <w:basedOn w:val="a"/>
    <w:next w:val="a"/>
    <w:link w:val="2Char"/>
    <w:rsid w:val="00883298"/>
    <w:pPr>
      <w:keepNext/>
      <w:keepLines/>
      <w:spacing w:before="360" w:after="120"/>
      <w:outlineLvl w:val="1"/>
    </w:pPr>
    <w:rPr>
      <w:sz w:val="32"/>
      <w:szCs w:val="32"/>
    </w:rPr>
  </w:style>
  <w:style w:type="paragraph" w:styleId="3">
    <w:name w:val="heading 3"/>
    <w:basedOn w:val="a"/>
    <w:next w:val="a"/>
    <w:link w:val="3Char"/>
    <w:rsid w:val="00883298"/>
    <w:pPr>
      <w:keepNext/>
      <w:keepLines/>
      <w:spacing w:before="320" w:after="80"/>
      <w:outlineLvl w:val="2"/>
    </w:pPr>
    <w:rPr>
      <w:color w:val="434343"/>
      <w:sz w:val="28"/>
      <w:szCs w:val="28"/>
    </w:rPr>
  </w:style>
  <w:style w:type="paragraph" w:styleId="4">
    <w:name w:val="heading 4"/>
    <w:basedOn w:val="a"/>
    <w:next w:val="a"/>
    <w:link w:val="4Char"/>
    <w:rsid w:val="00883298"/>
    <w:pPr>
      <w:keepNext/>
      <w:keepLines/>
      <w:spacing w:before="280" w:after="80"/>
      <w:outlineLvl w:val="3"/>
    </w:pPr>
    <w:rPr>
      <w:color w:val="666666"/>
      <w:sz w:val="24"/>
      <w:szCs w:val="24"/>
    </w:rPr>
  </w:style>
  <w:style w:type="paragraph" w:styleId="5">
    <w:name w:val="heading 5"/>
    <w:basedOn w:val="a"/>
    <w:next w:val="a"/>
    <w:link w:val="5Char"/>
    <w:rsid w:val="00883298"/>
    <w:pPr>
      <w:keepNext/>
      <w:keepLines/>
      <w:spacing w:before="240" w:after="80"/>
      <w:outlineLvl w:val="4"/>
    </w:pPr>
    <w:rPr>
      <w:color w:val="666666"/>
    </w:rPr>
  </w:style>
  <w:style w:type="paragraph" w:styleId="6">
    <w:name w:val="heading 6"/>
    <w:basedOn w:val="a"/>
    <w:next w:val="a"/>
    <w:link w:val="6Char"/>
    <w:rsid w:val="008832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vorlage1">
    <w:name w:val="Formatvorlage1"/>
    <w:basedOn w:val="1"/>
    <w:autoRedefine/>
    <w:qFormat/>
    <w:rsid w:val="00921986"/>
  </w:style>
  <w:style w:type="character" w:customStyle="1" w:styleId="1Char">
    <w:name w:val="标题 1 Char"/>
    <w:basedOn w:val="a0"/>
    <w:link w:val="1"/>
    <w:rsid w:val="00C95C6C"/>
    <w:rPr>
      <w:rFonts w:ascii="Arial" w:eastAsiaTheme="minorEastAsia" w:hAnsi="Arial" w:cs="Arial"/>
      <w:sz w:val="40"/>
      <w:szCs w:val="40"/>
      <w:lang w:val="de" w:eastAsia="de-DE"/>
    </w:rPr>
  </w:style>
  <w:style w:type="character" w:customStyle="1" w:styleId="2Char">
    <w:name w:val="标题 2 Char"/>
    <w:basedOn w:val="a0"/>
    <w:link w:val="2"/>
    <w:rsid w:val="0023631F"/>
    <w:rPr>
      <w:rFonts w:ascii="Arial" w:eastAsiaTheme="minorEastAsia" w:hAnsi="Arial" w:cs="Arial"/>
      <w:sz w:val="32"/>
      <w:szCs w:val="32"/>
      <w:lang w:val="de" w:eastAsia="de-DE"/>
    </w:rPr>
  </w:style>
  <w:style w:type="paragraph" w:customStyle="1" w:styleId="berschrift-Allgemein">
    <w:name w:val="Überschrift-Allgemein"/>
    <w:basedOn w:val="a3"/>
    <w:autoRedefine/>
    <w:qFormat/>
    <w:rsid w:val="003B16B1"/>
    <w:pPr>
      <w:spacing w:before="360"/>
    </w:pPr>
    <w:rPr>
      <w:b/>
      <w:bCs/>
      <w:i/>
      <w:color w:val="83AA59"/>
      <w:sz w:val="40"/>
      <w:szCs w:val="16"/>
    </w:rPr>
  </w:style>
  <w:style w:type="paragraph" w:styleId="a3">
    <w:name w:val="header"/>
    <w:basedOn w:val="a"/>
    <w:link w:val="Char"/>
    <w:uiPriority w:val="99"/>
    <w:unhideWhenUsed/>
    <w:rsid w:val="0088329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83298"/>
    <w:rPr>
      <w:rFonts w:ascii="Arial" w:eastAsiaTheme="minorEastAsia" w:hAnsi="Arial" w:cs="Arial"/>
      <w:sz w:val="18"/>
      <w:szCs w:val="18"/>
      <w:lang w:val="de" w:eastAsia="de-DE"/>
    </w:rPr>
  </w:style>
  <w:style w:type="paragraph" w:customStyle="1" w:styleId="Text-Diss">
    <w:name w:val="Text-Diss"/>
    <w:basedOn w:val="a"/>
    <w:autoRedefine/>
    <w:qFormat/>
    <w:rsid w:val="00C95C6C"/>
    <w:pPr>
      <w:spacing w:line="360" w:lineRule="auto"/>
      <w:jc w:val="both"/>
    </w:pPr>
  </w:style>
  <w:style w:type="paragraph" w:customStyle="1" w:styleId="Formatvorlage2">
    <w:name w:val="Formatvorlage2"/>
    <w:basedOn w:val="1"/>
    <w:autoRedefine/>
    <w:qFormat/>
    <w:rsid w:val="00C95C6C"/>
    <w:pPr>
      <w:keepNext w:val="0"/>
      <w:keepLines w:val="0"/>
      <w:spacing w:before="360" w:line="360" w:lineRule="auto"/>
      <w:jc w:val="both"/>
    </w:pPr>
    <w:rPr>
      <w:rFonts w:eastAsia="Times New Roman"/>
      <w:color w:val="000000"/>
      <w:kern w:val="36"/>
      <w:sz w:val="22"/>
      <w:szCs w:val="22"/>
    </w:rPr>
  </w:style>
  <w:style w:type="paragraph" w:customStyle="1" w:styleId="Diss-Absatz">
    <w:name w:val="Diss-Absatz"/>
    <w:basedOn w:val="a"/>
    <w:autoRedefine/>
    <w:qFormat/>
    <w:rsid w:val="00C95C6C"/>
    <w:pPr>
      <w:spacing w:before="360" w:after="120" w:line="360" w:lineRule="auto"/>
      <w:ind w:firstLine="709"/>
      <w:jc w:val="both"/>
      <w:outlineLvl w:val="0"/>
    </w:pPr>
    <w:rPr>
      <w:rFonts w:eastAsia="Times New Roman"/>
      <w:color w:val="000000"/>
      <w:kern w:val="36"/>
    </w:rPr>
  </w:style>
  <w:style w:type="paragraph" w:customStyle="1" w:styleId="Diss-Text">
    <w:name w:val="Diss-Text"/>
    <w:basedOn w:val="1"/>
    <w:next w:val="Diss-Absatz"/>
    <w:autoRedefine/>
    <w:qFormat/>
    <w:rsid w:val="00C95C6C"/>
    <w:pPr>
      <w:keepNext w:val="0"/>
      <w:keepLines w:val="0"/>
      <w:spacing w:before="40" w:after="40" w:line="360" w:lineRule="auto"/>
      <w:contextualSpacing/>
      <w:jc w:val="both"/>
    </w:pPr>
    <w:rPr>
      <w:rFonts w:eastAsia="Times New Roman"/>
      <w:color w:val="000000"/>
      <w:kern w:val="36"/>
      <w:sz w:val="22"/>
      <w:szCs w:val="22"/>
    </w:rPr>
  </w:style>
  <w:style w:type="paragraph" w:styleId="a4">
    <w:name w:val="Balloon Text"/>
    <w:basedOn w:val="a"/>
    <w:link w:val="Char0"/>
    <w:uiPriority w:val="99"/>
    <w:semiHidden/>
    <w:unhideWhenUsed/>
    <w:rsid w:val="00883298"/>
    <w:pPr>
      <w:spacing w:line="240" w:lineRule="auto"/>
    </w:pPr>
    <w:rPr>
      <w:rFonts w:ascii="Times New Roman" w:hAnsi="Times New Roman" w:cs="Times New Roman"/>
      <w:sz w:val="18"/>
      <w:szCs w:val="18"/>
      <w:lang w:val="en-US"/>
    </w:rPr>
  </w:style>
  <w:style w:type="character" w:customStyle="1" w:styleId="Char0">
    <w:name w:val="批注框文本 Char"/>
    <w:basedOn w:val="a0"/>
    <w:link w:val="a4"/>
    <w:uiPriority w:val="99"/>
    <w:semiHidden/>
    <w:rsid w:val="00883298"/>
    <w:rPr>
      <w:rFonts w:ascii="Times New Roman" w:eastAsiaTheme="minorEastAsia" w:hAnsi="Times New Roman" w:cs="Times New Roman"/>
      <w:sz w:val="18"/>
      <w:szCs w:val="18"/>
      <w:lang w:val="en-US" w:eastAsia="de-DE"/>
    </w:rPr>
  </w:style>
  <w:style w:type="paragraph" w:customStyle="1" w:styleId="Text-Factsheet">
    <w:name w:val="Text-Factsheet"/>
    <w:basedOn w:val="a"/>
    <w:qFormat/>
    <w:rsid w:val="002E2A54"/>
    <w:pPr>
      <w:spacing w:line="360" w:lineRule="auto"/>
      <w:jc w:val="both"/>
    </w:pPr>
  </w:style>
  <w:style w:type="paragraph" w:customStyle="1" w:styleId="berschrift">
    <w:name w:val="Überschrift"/>
    <w:basedOn w:val="a"/>
    <w:qFormat/>
    <w:rsid w:val="002E2A54"/>
    <w:pPr>
      <w:spacing w:after="240"/>
    </w:pPr>
    <w:rPr>
      <w:b/>
      <w:i/>
      <w:color w:val="4472C4" w:themeColor="accent1"/>
      <w:lang w:val="en-GB"/>
    </w:rPr>
  </w:style>
  <w:style w:type="character" w:customStyle="1" w:styleId="3Char">
    <w:name w:val="标题 3 Char"/>
    <w:basedOn w:val="a0"/>
    <w:link w:val="3"/>
    <w:rsid w:val="00883298"/>
    <w:rPr>
      <w:rFonts w:ascii="Arial" w:eastAsiaTheme="minorEastAsia" w:hAnsi="Arial" w:cs="Arial"/>
      <w:color w:val="434343"/>
      <w:sz w:val="28"/>
      <w:szCs w:val="28"/>
      <w:lang w:val="de" w:eastAsia="de-DE"/>
    </w:rPr>
  </w:style>
  <w:style w:type="character" w:customStyle="1" w:styleId="4Char">
    <w:name w:val="标题 4 Char"/>
    <w:basedOn w:val="a0"/>
    <w:link w:val="4"/>
    <w:rsid w:val="00883298"/>
    <w:rPr>
      <w:rFonts w:ascii="Arial" w:eastAsiaTheme="minorEastAsia" w:hAnsi="Arial" w:cs="Arial"/>
      <w:color w:val="666666"/>
      <w:lang w:val="de" w:eastAsia="de-DE"/>
    </w:rPr>
  </w:style>
  <w:style w:type="character" w:customStyle="1" w:styleId="5Char">
    <w:name w:val="标题 5 Char"/>
    <w:basedOn w:val="a0"/>
    <w:link w:val="5"/>
    <w:rsid w:val="00883298"/>
    <w:rPr>
      <w:rFonts w:ascii="Arial" w:eastAsiaTheme="minorEastAsia" w:hAnsi="Arial" w:cs="Arial"/>
      <w:color w:val="666666"/>
      <w:sz w:val="22"/>
      <w:szCs w:val="22"/>
      <w:lang w:val="de" w:eastAsia="de-DE"/>
    </w:rPr>
  </w:style>
  <w:style w:type="character" w:customStyle="1" w:styleId="6Char">
    <w:name w:val="标题 6 Char"/>
    <w:basedOn w:val="a0"/>
    <w:link w:val="6"/>
    <w:rsid w:val="00883298"/>
    <w:rPr>
      <w:rFonts w:ascii="Arial" w:eastAsiaTheme="minorEastAsia" w:hAnsi="Arial" w:cs="Arial"/>
      <w:i/>
      <w:color w:val="666666"/>
      <w:sz w:val="22"/>
      <w:szCs w:val="22"/>
      <w:lang w:val="de" w:eastAsia="de-DE"/>
    </w:rPr>
  </w:style>
  <w:style w:type="table" w:customStyle="1" w:styleId="TableNormal0">
    <w:name w:val="Table Normal_0"/>
    <w:rsid w:val="00883298"/>
    <w:pPr>
      <w:spacing w:line="276" w:lineRule="auto"/>
    </w:pPr>
    <w:rPr>
      <w:rFonts w:ascii="Arial" w:eastAsiaTheme="minorEastAsia" w:hAnsi="Arial" w:cs="Arial"/>
      <w:sz w:val="22"/>
      <w:szCs w:val="22"/>
      <w:lang w:val="de" w:eastAsia="de-DE"/>
    </w:rPr>
    <w:tblPr>
      <w:tblCellMar>
        <w:top w:w="0" w:type="dxa"/>
        <w:left w:w="0" w:type="dxa"/>
        <w:bottom w:w="0" w:type="dxa"/>
        <w:right w:w="0" w:type="dxa"/>
      </w:tblCellMar>
    </w:tblPr>
  </w:style>
  <w:style w:type="paragraph" w:styleId="a5">
    <w:name w:val="Title"/>
    <w:basedOn w:val="a"/>
    <w:next w:val="a"/>
    <w:link w:val="Char1"/>
    <w:rsid w:val="00883298"/>
    <w:pPr>
      <w:keepNext/>
      <w:keepLines/>
      <w:spacing w:after="60"/>
    </w:pPr>
    <w:rPr>
      <w:sz w:val="52"/>
      <w:szCs w:val="52"/>
    </w:rPr>
  </w:style>
  <w:style w:type="character" w:customStyle="1" w:styleId="Char1">
    <w:name w:val="标题 Char"/>
    <w:basedOn w:val="a0"/>
    <w:link w:val="a5"/>
    <w:rsid w:val="00883298"/>
    <w:rPr>
      <w:rFonts w:ascii="Arial" w:eastAsiaTheme="minorEastAsia" w:hAnsi="Arial" w:cs="Arial"/>
      <w:sz w:val="52"/>
      <w:szCs w:val="52"/>
      <w:lang w:val="de" w:eastAsia="de-DE"/>
    </w:rPr>
  </w:style>
  <w:style w:type="paragraph" w:styleId="a6">
    <w:name w:val="Subtitle"/>
    <w:basedOn w:val="a"/>
    <w:next w:val="a"/>
    <w:link w:val="Char2"/>
    <w:rsid w:val="00883298"/>
    <w:pPr>
      <w:keepNext/>
      <w:keepLines/>
      <w:spacing w:after="320"/>
    </w:pPr>
    <w:rPr>
      <w:color w:val="666666"/>
      <w:sz w:val="30"/>
      <w:szCs w:val="30"/>
    </w:rPr>
  </w:style>
  <w:style w:type="character" w:customStyle="1" w:styleId="Char2">
    <w:name w:val="副标题 Char"/>
    <w:basedOn w:val="a0"/>
    <w:link w:val="a6"/>
    <w:rsid w:val="00883298"/>
    <w:rPr>
      <w:rFonts w:ascii="Arial" w:eastAsiaTheme="minorEastAsia" w:hAnsi="Arial" w:cs="Arial"/>
      <w:color w:val="666666"/>
      <w:sz w:val="30"/>
      <w:szCs w:val="30"/>
      <w:lang w:val="de" w:eastAsia="de-DE"/>
    </w:rPr>
  </w:style>
  <w:style w:type="paragraph" w:styleId="a7">
    <w:name w:val="annotation text"/>
    <w:basedOn w:val="a"/>
    <w:link w:val="Char3"/>
    <w:uiPriority w:val="99"/>
    <w:unhideWhenUsed/>
    <w:rsid w:val="00883298"/>
    <w:pPr>
      <w:spacing w:line="240" w:lineRule="auto"/>
    </w:pPr>
    <w:rPr>
      <w:rFonts w:ascii="Tahoma" w:hAnsi="Tahoma" w:cs="Tahoma"/>
      <w:sz w:val="16"/>
      <w:szCs w:val="24"/>
      <w:lang w:val="en-US"/>
    </w:rPr>
  </w:style>
  <w:style w:type="character" w:customStyle="1" w:styleId="Char3">
    <w:name w:val="批注文字 Char"/>
    <w:basedOn w:val="a0"/>
    <w:link w:val="a7"/>
    <w:uiPriority w:val="99"/>
    <w:rsid w:val="00883298"/>
    <w:rPr>
      <w:rFonts w:ascii="Tahoma" w:eastAsiaTheme="minorEastAsia" w:hAnsi="Tahoma" w:cs="Tahoma"/>
      <w:sz w:val="16"/>
      <w:lang w:val="en-US" w:eastAsia="de-DE"/>
    </w:rPr>
  </w:style>
  <w:style w:type="character" w:styleId="a8">
    <w:name w:val="annotation reference"/>
    <w:basedOn w:val="a0"/>
    <w:uiPriority w:val="99"/>
    <w:semiHidden/>
    <w:unhideWhenUsed/>
    <w:rsid w:val="00883298"/>
    <w:rPr>
      <w:rFonts w:ascii="Tahoma" w:hAnsi="Tahoma" w:cs="Tahoma"/>
      <w:b w:val="0"/>
      <w:i w:val="0"/>
      <w:caps w:val="0"/>
      <w:strike w:val="0"/>
      <w:sz w:val="16"/>
      <w:szCs w:val="18"/>
      <w:u w:val="none"/>
    </w:rPr>
  </w:style>
  <w:style w:type="paragraph" w:styleId="a9">
    <w:name w:val="annotation subject"/>
    <w:basedOn w:val="a7"/>
    <w:next w:val="a7"/>
    <w:link w:val="Char4"/>
    <w:uiPriority w:val="99"/>
    <w:semiHidden/>
    <w:unhideWhenUsed/>
    <w:rsid w:val="00883298"/>
    <w:rPr>
      <w:b/>
      <w:bCs/>
      <w:sz w:val="20"/>
      <w:szCs w:val="20"/>
    </w:rPr>
  </w:style>
  <w:style w:type="character" w:customStyle="1" w:styleId="Char4">
    <w:name w:val="批注主题 Char"/>
    <w:basedOn w:val="Char3"/>
    <w:link w:val="a9"/>
    <w:uiPriority w:val="99"/>
    <w:semiHidden/>
    <w:rsid w:val="00883298"/>
    <w:rPr>
      <w:rFonts w:ascii="Tahoma" w:eastAsiaTheme="minorEastAsia" w:hAnsi="Tahoma" w:cs="Tahoma"/>
      <w:b/>
      <w:bCs/>
      <w:sz w:val="20"/>
      <w:szCs w:val="20"/>
      <w:lang w:val="en-US" w:eastAsia="de-DE"/>
    </w:rPr>
  </w:style>
  <w:style w:type="paragraph" w:styleId="aa">
    <w:name w:val="List Paragraph"/>
    <w:basedOn w:val="a"/>
    <w:uiPriority w:val="34"/>
    <w:qFormat/>
    <w:rsid w:val="00883298"/>
    <w:pPr>
      <w:ind w:left="720"/>
      <w:contextualSpacing/>
    </w:pPr>
  </w:style>
  <w:style w:type="paragraph" w:customStyle="1" w:styleId="p1">
    <w:name w:val="p1"/>
    <w:basedOn w:val="a"/>
    <w:rsid w:val="00883298"/>
    <w:pPr>
      <w:spacing w:line="240" w:lineRule="auto"/>
    </w:pPr>
    <w:rPr>
      <w:rFonts w:ascii="Times" w:hAnsi="Times" w:cs="Times New Roman"/>
      <w:color w:val="101010"/>
      <w:sz w:val="15"/>
      <w:szCs w:val="15"/>
      <w:lang w:val="de-DE"/>
    </w:rPr>
  </w:style>
  <w:style w:type="paragraph" w:customStyle="1" w:styleId="EndNoteBibliographyTitle">
    <w:name w:val="EndNote Bibliography Title"/>
    <w:basedOn w:val="a"/>
    <w:rsid w:val="00883298"/>
    <w:pPr>
      <w:jc w:val="center"/>
    </w:pPr>
    <w:rPr>
      <w:rFonts w:ascii="Book Antiqua" w:hAnsi="Book Antiqua"/>
      <w:sz w:val="24"/>
      <w:lang w:val="de-DE"/>
    </w:rPr>
  </w:style>
  <w:style w:type="paragraph" w:customStyle="1" w:styleId="EndNoteBibliography">
    <w:name w:val="EndNote Bibliography"/>
    <w:basedOn w:val="a"/>
    <w:link w:val="EndNoteBibliographyChar"/>
    <w:rsid w:val="00883298"/>
    <w:pPr>
      <w:spacing w:line="240" w:lineRule="auto"/>
    </w:pPr>
    <w:rPr>
      <w:rFonts w:ascii="Book Antiqua" w:hAnsi="Book Antiqua"/>
      <w:sz w:val="24"/>
      <w:lang w:val="de-DE"/>
    </w:rPr>
  </w:style>
  <w:style w:type="character" w:styleId="ab">
    <w:name w:val="Hyperlink"/>
    <w:basedOn w:val="a0"/>
    <w:uiPriority w:val="99"/>
    <w:unhideWhenUsed/>
    <w:rsid w:val="00883298"/>
    <w:rPr>
      <w:color w:val="0563C1" w:themeColor="hyperlink"/>
      <w:u w:val="single"/>
    </w:rPr>
  </w:style>
  <w:style w:type="character" w:customStyle="1" w:styleId="s1">
    <w:name w:val="s1"/>
    <w:basedOn w:val="a0"/>
    <w:rsid w:val="00883298"/>
    <w:rPr>
      <w:color w:val="0000FF"/>
    </w:rPr>
  </w:style>
  <w:style w:type="character" w:customStyle="1" w:styleId="highlight">
    <w:name w:val="highlight"/>
    <w:basedOn w:val="a0"/>
    <w:rsid w:val="00883298"/>
  </w:style>
  <w:style w:type="paragraph" w:styleId="ac">
    <w:name w:val="Revision"/>
    <w:hidden/>
    <w:uiPriority w:val="99"/>
    <w:semiHidden/>
    <w:rsid w:val="00883298"/>
    <w:rPr>
      <w:rFonts w:ascii="Arial" w:eastAsiaTheme="minorEastAsia" w:hAnsi="Arial" w:cs="Arial"/>
      <w:sz w:val="22"/>
      <w:szCs w:val="22"/>
      <w:lang w:val="de" w:eastAsia="de-DE"/>
    </w:rPr>
  </w:style>
  <w:style w:type="paragraph" w:styleId="ad">
    <w:name w:val="Normal (Web)"/>
    <w:basedOn w:val="a"/>
    <w:uiPriority w:val="99"/>
    <w:semiHidden/>
    <w:unhideWhenUsed/>
    <w:rsid w:val="00883298"/>
    <w:pPr>
      <w:spacing w:before="100" w:beforeAutospacing="1" w:after="100" w:afterAutospacing="1" w:line="240" w:lineRule="auto"/>
    </w:pPr>
    <w:rPr>
      <w:rFonts w:ascii="Times New Roman" w:hAnsi="Times New Roman" w:cs="Times New Roman"/>
      <w:sz w:val="24"/>
      <w:szCs w:val="24"/>
      <w:lang w:val="de-DE"/>
    </w:rPr>
  </w:style>
  <w:style w:type="table" w:styleId="ae">
    <w:name w:val="Table Grid"/>
    <w:basedOn w:val="a1"/>
    <w:uiPriority w:val="39"/>
    <w:rsid w:val="00883298"/>
    <w:rPr>
      <w:rFonts w:ascii="Arial" w:eastAsiaTheme="minorEastAsia" w:hAnsi="Arial" w:cs="Arial"/>
      <w:sz w:val="22"/>
      <w:szCs w:val="22"/>
      <w:lang w:val="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Char5"/>
    <w:uiPriority w:val="99"/>
    <w:unhideWhenUsed/>
    <w:rsid w:val="00883298"/>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rsid w:val="00883298"/>
    <w:rPr>
      <w:rFonts w:ascii="Arial" w:eastAsiaTheme="minorEastAsia" w:hAnsi="Arial" w:cs="Arial"/>
      <w:sz w:val="18"/>
      <w:szCs w:val="18"/>
      <w:lang w:val="de" w:eastAsia="de-DE"/>
    </w:rPr>
  </w:style>
  <w:style w:type="character" w:customStyle="1" w:styleId="EndNoteBibliographyChar">
    <w:name w:val="EndNote Bibliography Char"/>
    <w:basedOn w:val="a0"/>
    <w:link w:val="EndNoteBibliography"/>
    <w:locked/>
    <w:rsid w:val="00883298"/>
    <w:rPr>
      <w:rFonts w:ascii="Book Antiqua" w:eastAsiaTheme="minorEastAsia" w:hAnsi="Book Antiqua" w:cs="Arial"/>
      <w:szCs w:val="22"/>
      <w:lang w:eastAsia="de-DE"/>
    </w:rPr>
  </w:style>
  <w:style w:type="character" w:customStyle="1" w:styleId="10">
    <w:name w:val="未处理的提及1"/>
    <w:basedOn w:val="a0"/>
    <w:uiPriority w:val="99"/>
    <w:semiHidden/>
    <w:unhideWhenUsed/>
    <w:rsid w:val="000471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3298"/>
    <w:pPr>
      <w:spacing w:line="276" w:lineRule="auto"/>
    </w:pPr>
    <w:rPr>
      <w:rFonts w:ascii="Arial" w:eastAsiaTheme="minorEastAsia" w:hAnsi="Arial" w:cs="Arial"/>
      <w:sz w:val="22"/>
      <w:szCs w:val="22"/>
      <w:lang w:val="de" w:eastAsia="de-DE"/>
    </w:rPr>
  </w:style>
  <w:style w:type="paragraph" w:styleId="1">
    <w:name w:val="heading 1"/>
    <w:basedOn w:val="a"/>
    <w:next w:val="a"/>
    <w:link w:val="1Char"/>
    <w:rsid w:val="00883298"/>
    <w:pPr>
      <w:keepNext/>
      <w:keepLines/>
      <w:spacing w:before="400" w:after="120"/>
      <w:outlineLvl w:val="0"/>
    </w:pPr>
    <w:rPr>
      <w:sz w:val="40"/>
      <w:szCs w:val="40"/>
    </w:rPr>
  </w:style>
  <w:style w:type="paragraph" w:styleId="2">
    <w:name w:val="heading 2"/>
    <w:basedOn w:val="a"/>
    <w:next w:val="a"/>
    <w:link w:val="2Char"/>
    <w:rsid w:val="00883298"/>
    <w:pPr>
      <w:keepNext/>
      <w:keepLines/>
      <w:spacing w:before="360" w:after="120"/>
      <w:outlineLvl w:val="1"/>
    </w:pPr>
    <w:rPr>
      <w:sz w:val="32"/>
      <w:szCs w:val="32"/>
    </w:rPr>
  </w:style>
  <w:style w:type="paragraph" w:styleId="3">
    <w:name w:val="heading 3"/>
    <w:basedOn w:val="a"/>
    <w:next w:val="a"/>
    <w:link w:val="3Char"/>
    <w:rsid w:val="00883298"/>
    <w:pPr>
      <w:keepNext/>
      <w:keepLines/>
      <w:spacing w:before="320" w:after="80"/>
      <w:outlineLvl w:val="2"/>
    </w:pPr>
    <w:rPr>
      <w:color w:val="434343"/>
      <w:sz w:val="28"/>
      <w:szCs w:val="28"/>
    </w:rPr>
  </w:style>
  <w:style w:type="paragraph" w:styleId="4">
    <w:name w:val="heading 4"/>
    <w:basedOn w:val="a"/>
    <w:next w:val="a"/>
    <w:link w:val="4Char"/>
    <w:rsid w:val="00883298"/>
    <w:pPr>
      <w:keepNext/>
      <w:keepLines/>
      <w:spacing w:before="280" w:after="80"/>
      <w:outlineLvl w:val="3"/>
    </w:pPr>
    <w:rPr>
      <w:color w:val="666666"/>
      <w:sz w:val="24"/>
      <w:szCs w:val="24"/>
    </w:rPr>
  </w:style>
  <w:style w:type="paragraph" w:styleId="5">
    <w:name w:val="heading 5"/>
    <w:basedOn w:val="a"/>
    <w:next w:val="a"/>
    <w:link w:val="5Char"/>
    <w:rsid w:val="00883298"/>
    <w:pPr>
      <w:keepNext/>
      <w:keepLines/>
      <w:spacing w:before="240" w:after="80"/>
      <w:outlineLvl w:val="4"/>
    </w:pPr>
    <w:rPr>
      <w:color w:val="666666"/>
    </w:rPr>
  </w:style>
  <w:style w:type="paragraph" w:styleId="6">
    <w:name w:val="heading 6"/>
    <w:basedOn w:val="a"/>
    <w:next w:val="a"/>
    <w:link w:val="6Char"/>
    <w:rsid w:val="008832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vorlage1">
    <w:name w:val="Formatvorlage1"/>
    <w:basedOn w:val="1"/>
    <w:autoRedefine/>
    <w:qFormat/>
    <w:rsid w:val="00921986"/>
  </w:style>
  <w:style w:type="character" w:customStyle="1" w:styleId="1Char">
    <w:name w:val="标题 1 Char"/>
    <w:basedOn w:val="a0"/>
    <w:link w:val="1"/>
    <w:rsid w:val="00C95C6C"/>
    <w:rPr>
      <w:rFonts w:ascii="Arial" w:eastAsiaTheme="minorEastAsia" w:hAnsi="Arial" w:cs="Arial"/>
      <w:sz w:val="40"/>
      <w:szCs w:val="40"/>
      <w:lang w:val="de" w:eastAsia="de-DE"/>
    </w:rPr>
  </w:style>
  <w:style w:type="character" w:customStyle="1" w:styleId="2Char">
    <w:name w:val="标题 2 Char"/>
    <w:basedOn w:val="a0"/>
    <w:link w:val="2"/>
    <w:rsid w:val="0023631F"/>
    <w:rPr>
      <w:rFonts w:ascii="Arial" w:eastAsiaTheme="minorEastAsia" w:hAnsi="Arial" w:cs="Arial"/>
      <w:sz w:val="32"/>
      <w:szCs w:val="32"/>
      <w:lang w:val="de" w:eastAsia="de-DE"/>
    </w:rPr>
  </w:style>
  <w:style w:type="paragraph" w:customStyle="1" w:styleId="berschrift-Allgemein">
    <w:name w:val="Überschrift-Allgemein"/>
    <w:basedOn w:val="a3"/>
    <w:autoRedefine/>
    <w:qFormat/>
    <w:rsid w:val="003B16B1"/>
    <w:pPr>
      <w:spacing w:before="360"/>
    </w:pPr>
    <w:rPr>
      <w:b/>
      <w:bCs/>
      <w:i/>
      <w:color w:val="83AA59"/>
      <w:sz w:val="40"/>
      <w:szCs w:val="16"/>
    </w:rPr>
  </w:style>
  <w:style w:type="paragraph" w:styleId="a3">
    <w:name w:val="header"/>
    <w:basedOn w:val="a"/>
    <w:link w:val="Char"/>
    <w:uiPriority w:val="99"/>
    <w:unhideWhenUsed/>
    <w:rsid w:val="0088329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83298"/>
    <w:rPr>
      <w:rFonts w:ascii="Arial" w:eastAsiaTheme="minorEastAsia" w:hAnsi="Arial" w:cs="Arial"/>
      <w:sz w:val="18"/>
      <w:szCs w:val="18"/>
      <w:lang w:val="de" w:eastAsia="de-DE"/>
    </w:rPr>
  </w:style>
  <w:style w:type="paragraph" w:customStyle="1" w:styleId="Text-Diss">
    <w:name w:val="Text-Diss"/>
    <w:basedOn w:val="a"/>
    <w:autoRedefine/>
    <w:qFormat/>
    <w:rsid w:val="00C95C6C"/>
    <w:pPr>
      <w:spacing w:line="360" w:lineRule="auto"/>
      <w:jc w:val="both"/>
    </w:pPr>
  </w:style>
  <w:style w:type="paragraph" w:customStyle="1" w:styleId="Formatvorlage2">
    <w:name w:val="Formatvorlage2"/>
    <w:basedOn w:val="1"/>
    <w:autoRedefine/>
    <w:qFormat/>
    <w:rsid w:val="00C95C6C"/>
    <w:pPr>
      <w:keepNext w:val="0"/>
      <w:keepLines w:val="0"/>
      <w:spacing w:before="360" w:line="360" w:lineRule="auto"/>
      <w:jc w:val="both"/>
    </w:pPr>
    <w:rPr>
      <w:rFonts w:eastAsia="Times New Roman"/>
      <w:color w:val="000000"/>
      <w:kern w:val="36"/>
      <w:sz w:val="22"/>
      <w:szCs w:val="22"/>
    </w:rPr>
  </w:style>
  <w:style w:type="paragraph" w:customStyle="1" w:styleId="Diss-Absatz">
    <w:name w:val="Diss-Absatz"/>
    <w:basedOn w:val="a"/>
    <w:autoRedefine/>
    <w:qFormat/>
    <w:rsid w:val="00C95C6C"/>
    <w:pPr>
      <w:spacing w:before="360" w:after="120" w:line="360" w:lineRule="auto"/>
      <w:ind w:firstLine="709"/>
      <w:jc w:val="both"/>
      <w:outlineLvl w:val="0"/>
    </w:pPr>
    <w:rPr>
      <w:rFonts w:eastAsia="Times New Roman"/>
      <w:color w:val="000000"/>
      <w:kern w:val="36"/>
    </w:rPr>
  </w:style>
  <w:style w:type="paragraph" w:customStyle="1" w:styleId="Diss-Text">
    <w:name w:val="Diss-Text"/>
    <w:basedOn w:val="1"/>
    <w:next w:val="Diss-Absatz"/>
    <w:autoRedefine/>
    <w:qFormat/>
    <w:rsid w:val="00C95C6C"/>
    <w:pPr>
      <w:keepNext w:val="0"/>
      <w:keepLines w:val="0"/>
      <w:spacing w:before="40" w:after="40" w:line="360" w:lineRule="auto"/>
      <w:contextualSpacing/>
      <w:jc w:val="both"/>
    </w:pPr>
    <w:rPr>
      <w:rFonts w:eastAsia="Times New Roman"/>
      <w:color w:val="000000"/>
      <w:kern w:val="36"/>
      <w:sz w:val="22"/>
      <w:szCs w:val="22"/>
    </w:rPr>
  </w:style>
  <w:style w:type="paragraph" w:styleId="a4">
    <w:name w:val="Balloon Text"/>
    <w:basedOn w:val="a"/>
    <w:link w:val="Char0"/>
    <w:uiPriority w:val="99"/>
    <w:semiHidden/>
    <w:unhideWhenUsed/>
    <w:rsid w:val="00883298"/>
    <w:pPr>
      <w:spacing w:line="240" w:lineRule="auto"/>
    </w:pPr>
    <w:rPr>
      <w:rFonts w:ascii="Times New Roman" w:hAnsi="Times New Roman" w:cs="Times New Roman"/>
      <w:sz w:val="18"/>
      <w:szCs w:val="18"/>
      <w:lang w:val="en-US"/>
    </w:rPr>
  </w:style>
  <w:style w:type="character" w:customStyle="1" w:styleId="Char0">
    <w:name w:val="批注框文本 Char"/>
    <w:basedOn w:val="a0"/>
    <w:link w:val="a4"/>
    <w:uiPriority w:val="99"/>
    <w:semiHidden/>
    <w:rsid w:val="00883298"/>
    <w:rPr>
      <w:rFonts w:ascii="Times New Roman" w:eastAsiaTheme="minorEastAsia" w:hAnsi="Times New Roman" w:cs="Times New Roman"/>
      <w:sz w:val="18"/>
      <w:szCs w:val="18"/>
      <w:lang w:val="en-US" w:eastAsia="de-DE"/>
    </w:rPr>
  </w:style>
  <w:style w:type="paragraph" w:customStyle="1" w:styleId="Text-Factsheet">
    <w:name w:val="Text-Factsheet"/>
    <w:basedOn w:val="a"/>
    <w:qFormat/>
    <w:rsid w:val="002E2A54"/>
    <w:pPr>
      <w:spacing w:line="360" w:lineRule="auto"/>
      <w:jc w:val="both"/>
    </w:pPr>
  </w:style>
  <w:style w:type="paragraph" w:customStyle="1" w:styleId="berschrift">
    <w:name w:val="Überschrift"/>
    <w:basedOn w:val="a"/>
    <w:qFormat/>
    <w:rsid w:val="002E2A54"/>
    <w:pPr>
      <w:spacing w:after="240"/>
    </w:pPr>
    <w:rPr>
      <w:b/>
      <w:i/>
      <w:color w:val="4472C4" w:themeColor="accent1"/>
      <w:lang w:val="en-GB"/>
    </w:rPr>
  </w:style>
  <w:style w:type="character" w:customStyle="1" w:styleId="3Char">
    <w:name w:val="标题 3 Char"/>
    <w:basedOn w:val="a0"/>
    <w:link w:val="3"/>
    <w:rsid w:val="00883298"/>
    <w:rPr>
      <w:rFonts w:ascii="Arial" w:eastAsiaTheme="minorEastAsia" w:hAnsi="Arial" w:cs="Arial"/>
      <w:color w:val="434343"/>
      <w:sz w:val="28"/>
      <w:szCs w:val="28"/>
      <w:lang w:val="de" w:eastAsia="de-DE"/>
    </w:rPr>
  </w:style>
  <w:style w:type="character" w:customStyle="1" w:styleId="4Char">
    <w:name w:val="标题 4 Char"/>
    <w:basedOn w:val="a0"/>
    <w:link w:val="4"/>
    <w:rsid w:val="00883298"/>
    <w:rPr>
      <w:rFonts w:ascii="Arial" w:eastAsiaTheme="minorEastAsia" w:hAnsi="Arial" w:cs="Arial"/>
      <w:color w:val="666666"/>
      <w:lang w:val="de" w:eastAsia="de-DE"/>
    </w:rPr>
  </w:style>
  <w:style w:type="character" w:customStyle="1" w:styleId="5Char">
    <w:name w:val="标题 5 Char"/>
    <w:basedOn w:val="a0"/>
    <w:link w:val="5"/>
    <w:rsid w:val="00883298"/>
    <w:rPr>
      <w:rFonts w:ascii="Arial" w:eastAsiaTheme="minorEastAsia" w:hAnsi="Arial" w:cs="Arial"/>
      <w:color w:val="666666"/>
      <w:sz w:val="22"/>
      <w:szCs w:val="22"/>
      <w:lang w:val="de" w:eastAsia="de-DE"/>
    </w:rPr>
  </w:style>
  <w:style w:type="character" w:customStyle="1" w:styleId="6Char">
    <w:name w:val="标题 6 Char"/>
    <w:basedOn w:val="a0"/>
    <w:link w:val="6"/>
    <w:rsid w:val="00883298"/>
    <w:rPr>
      <w:rFonts w:ascii="Arial" w:eastAsiaTheme="minorEastAsia" w:hAnsi="Arial" w:cs="Arial"/>
      <w:i/>
      <w:color w:val="666666"/>
      <w:sz w:val="22"/>
      <w:szCs w:val="22"/>
      <w:lang w:val="de" w:eastAsia="de-DE"/>
    </w:rPr>
  </w:style>
  <w:style w:type="table" w:customStyle="1" w:styleId="TableNormal0">
    <w:name w:val="Table Normal_0"/>
    <w:rsid w:val="00883298"/>
    <w:pPr>
      <w:spacing w:line="276" w:lineRule="auto"/>
    </w:pPr>
    <w:rPr>
      <w:rFonts w:ascii="Arial" w:eastAsiaTheme="minorEastAsia" w:hAnsi="Arial" w:cs="Arial"/>
      <w:sz w:val="22"/>
      <w:szCs w:val="22"/>
      <w:lang w:val="de" w:eastAsia="de-DE"/>
    </w:rPr>
    <w:tblPr>
      <w:tblCellMar>
        <w:top w:w="0" w:type="dxa"/>
        <w:left w:w="0" w:type="dxa"/>
        <w:bottom w:w="0" w:type="dxa"/>
        <w:right w:w="0" w:type="dxa"/>
      </w:tblCellMar>
    </w:tblPr>
  </w:style>
  <w:style w:type="paragraph" w:styleId="a5">
    <w:name w:val="Title"/>
    <w:basedOn w:val="a"/>
    <w:next w:val="a"/>
    <w:link w:val="Char1"/>
    <w:rsid w:val="00883298"/>
    <w:pPr>
      <w:keepNext/>
      <w:keepLines/>
      <w:spacing w:after="60"/>
    </w:pPr>
    <w:rPr>
      <w:sz w:val="52"/>
      <w:szCs w:val="52"/>
    </w:rPr>
  </w:style>
  <w:style w:type="character" w:customStyle="1" w:styleId="Char1">
    <w:name w:val="标题 Char"/>
    <w:basedOn w:val="a0"/>
    <w:link w:val="a5"/>
    <w:rsid w:val="00883298"/>
    <w:rPr>
      <w:rFonts w:ascii="Arial" w:eastAsiaTheme="minorEastAsia" w:hAnsi="Arial" w:cs="Arial"/>
      <w:sz w:val="52"/>
      <w:szCs w:val="52"/>
      <w:lang w:val="de" w:eastAsia="de-DE"/>
    </w:rPr>
  </w:style>
  <w:style w:type="paragraph" w:styleId="a6">
    <w:name w:val="Subtitle"/>
    <w:basedOn w:val="a"/>
    <w:next w:val="a"/>
    <w:link w:val="Char2"/>
    <w:rsid w:val="00883298"/>
    <w:pPr>
      <w:keepNext/>
      <w:keepLines/>
      <w:spacing w:after="320"/>
    </w:pPr>
    <w:rPr>
      <w:color w:val="666666"/>
      <w:sz w:val="30"/>
      <w:szCs w:val="30"/>
    </w:rPr>
  </w:style>
  <w:style w:type="character" w:customStyle="1" w:styleId="Char2">
    <w:name w:val="副标题 Char"/>
    <w:basedOn w:val="a0"/>
    <w:link w:val="a6"/>
    <w:rsid w:val="00883298"/>
    <w:rPr>
      <w:rFonts w:ascii="Arial" w:eastAsiaTheme="minorEastAsia" w:hAnsi="Arial" w:cs="Arial"/>
      <w:color w:val="666666"/>
      <w:sz w:val="30"/>
      <w:szCs w:val="30"/>
      <w:lang w:val="de" w:eastAsia="de-DE"/>
    </w:rPr>
  </w:style>
  <w:style w:type="paragraph" w:styleId="a7">
    <w:name w:val="annotation text"/>
    <w:basedOn w:val="a"/>
    <w:link w:val="Char3"/>
    <w:uiPriority w:val="99"/>
    <w:unhideWhenUsed/>
    <w:rsid w:val="00883298"/>
    <w:pPr>
      <w:spacing w:line="240" w:lineRule="auto"/>
    </w:pPr>
    <w:rPr>
      <w:rFonts w:ascii="Tahoma" w:hAnsi="Tahoma" w:cs="Tahoma"/>
      <w:sz w:val="16"/>
      <w:szCs w:val="24"/>
      <w:lang w:val="en-US"/>
    </w:rPr>
  </w:style>
  <w:style w:type="character" w:customStyle="1" w:styleId="Char3">
    <w:name w:val="批注文字 Char"/>
    <w:basedOn w:val="a0"/>
    <w:link w:val="a7"/>
    <w:uiPriority w:val="99"/>
    <w:rsid w:val="00883298"/>
    <w:rPr>
      <w:rFonts w:ascii="Tahoma" w:eastAsiaTheme="minorEastAsia" w:hAnsi="Tahoma" w:cs="Tahoma"/>
      <w:sz w:val="16"/>
      <w:lang w:val="en-US" w:eastAsia="de-DE"/>
    </w:rPr>
  </w:style>
  <w:style w:type="character" w:styleId="a8">
    <w:name w:val="annotation reference"/>
    <w:basedOn w:val="a0"/>
    <w:uiPriority w:val="99"/>
    <w:semiHidden/>
    <w:unhideWhenUsed/>
    <w:rsid w:val="00883298"/>
    <w:rPr>
      <w:rFonts w:ascii="Tahoma" w:hAnsi="Tahoma" w:cs="Tahoma"/>
      <w:b w:val="0"/>
      <w:i w:val="0"/>
      <w:caps w:val="0"/>
      <w:strike w:val="0"/>
      <w:sz w:val="16"/>
      <w:szCs w:val="18"/>
      <w:u w:val="none"/>
    </w:rPr>
  </w:style>
  <w:style w:type="paragraph" w:styleId="a9">
    <w:name w:val="annotation subject"/>
    <w:basedOn w:val="a7"/>
    <w:next w:val="a7"/>
    <w:link w:val="Char4"/>
    <w:uiPriority w:val="99"/>
    <w:semiHidden/>
    <w:unhideWhenUsed/>
    <w:rsid w:val="00883298"/>
    <w:rPr>
      <w:b/>
      <w:bCs/>
      <w:sz w:val="20"/>
      <w:szCs w:val="20"/>
    </w:rPr>
  </w:style>
  <w:style w:type="character" w:customStyle="1" w:styleId="Char4">
    <w:name w:val="批注主题 Char"/>
    <w:basedOn w:val="Char3"/>
    <w:link w:val="a9"/>
    <w:uiPriority w:val="99"/>
    <w:semiHidden/>
    <w:rsid w:val="00883298"/>
    <w:rPr>
      <w:rFonts w:ascii="Tahoma" w:eastAsiaTheme="minorEastAsia" w:hAnsi="Tahoma" w:cs="Tahoma"/>
      <w:b/>
      <w:bCs/>
      <w:sz w:val="20"/>
      <w:szCs w:val="20"/>
      <w:lang w:val="en-US" w:eastAsia="de-DE"/>
    </w:rPr>
  </w:style>
  <w:style w:type="paragraph" w:styleId="aa">
    <w:name w:val="List Paragraph"/>
    <w:basedOn w:val="a"/>
    <w:uiPriority w:val="34"/>
    <w:qFormat/>
    <w:rsid w:val="00883298"/>
    <w:pPr>
      <w:ind w:left="720"/>
      <w:contextualSpacing/>
    </w:pPr>
  </w:style>
  <w:style w:type="paragraph" w:customStyle="1" w:styleId="p1">
    <w:name w:val="p1"/>
    <w:basedOn w:val="a"/>
    <w:rsid w:val="00883298"/>
    <w:pPr>
      <w:spacing w:line="240" w:lineRule="auto"/>
    </w:pPr>
    <w:rPr>
      <w:rFonts w:ascii="Times" w:hAnsi="Times" w:cs="Times New Roman"/>
      <w:color w:val="101010"/>
      <w:sz w:val="15"/>
      <w:szCs w:val="15"/>
      <w:lang w:val="de-DE"/>
    </w:rPr>
  </w:style>
  <w:style w:type="paragraph" w:customStyle="1" w:styleId="EndNoteBibliographyTitle">
    <w:name w:val="EndNote Bibliography Title"/>
    <w:basedOn w:val="a"/>
    <w:rsid w:val="00883298"/>
    <w:pPr>
      <w:jc w:val="center"/>
    </w:pPr>
    <w:rPr>
      <w:rFonts w:ascii="Book Antiqua" w:hAnsi="Book Antiqua"/>
      <w:sz w:val="24"/>
      <w:lang w:val="de-DE"/>
    </w:rPr>
  </w:style>
  <w:style w:type="paragraph" w:customStyle="1" w:styleId="EndNoteBibliography">
    <w:name w:val="EndNote Bibliography"/>
    <w:basedOn w:val="a"/>
    <w:link w:val="EndNoteBibliographyChar"/>
    <w:rsid w:val="00883298"/>
    <w:pPr>
      <w:spacing w:line="240" w:lineRule="auto"/>
    </w:pPr>
    <w:rPr>
      <w:rFonts w:ascii="Book Antiqua" w:hAnsi="Book Antiqua"/>
      <w:sz w:val="24"/>
      <w:lang w:val="de-DE"/>
    </w:rPr>
  </w:style>
  <w:style w:type="character" w:styleId="ab">
    <w:name w:val="Hyperlink"/>
    <w:basedOn w:val="a0"/>
    <w:uiPriority w:val="99"/>
    <w:unhideWhenUsed/>
    <w:rsid w:val="00883298"/>
    <w:rPr>
      <w:color w:val="0563C1" w:themeColor="hyperlink"/>
      <w:u w:val="single"/>
    </w:rPr>
  </w:style>
  <w:style w:type="character" w:customStyle="1" w:styleId="s1">
    <w:name w:val="s1"/>
    <w:basedOn w:val="a0"/>
    <w:rsid w:val="00883298"/>
    <w:rPr>
      <w:color w:val="0000FF"/>
    </w:rPr>
  </w:style>
  <w:style w:type="character" w:customStyle="1" w:styleId="highlight">
    <w:name w:val="highlight"/>
    <w:basedOn w:val="a0"/>
    <w:rsid w:val="00883298"/>
  </w:style>
  <w:style w:type="paragraph" w:styleId="ac">
    <w:name w:val="Revision"/>
    <w:hidden/>
    <w:uiPriority w:val="99"/>
    <w:semiHidden/>
    <w:rsid w:val="00883298"/>
    <w:rPr>
      <w:rFonts w:ascii="Arial" w:eastAsiaTheme="minorEastAsia" w:hAnsi="Arial" w:cs="Arial"/>
      <w:sz w:val="22"/>
      <w:szCs w:val="22"/>
      <w:lang w:val="de" w:eastAsia="de-DE"/>
    </w:rPr>
  </w:style>
  <w:style w:type="paragraph" w:styleId="ad">
    <w:name w:val="Normal (Web)"/>
    <w:basedOn w:val="a"/>
    <w:uiPriority w:val="99"/>
    <w:semiHidden/>
    <w:unhideWhenUsed/>
    <w:rsid w:val="00883298"/>
    <w:pPr>
      <w:spacing w:before="100" w:beforeAutospacing="1" w:after="100" w:afterAutospacing="1" w:line="240" w:lineRule="auto"/>
    </w:pPr>
    <w:rPr>
      <w:rFonts w:ascii="Times New Roman" w:hAnsi="Times New Roman" w:cs="Times New Roman"/>
      <w:sz w:val="24"/>
      <w:szCs w:val="24"/>
      <w:lang w:val="de-DE"/>
    </w:rPr>
  </w:style>
  <w:style w:type="table" w:styleId="ae">
    <w:name w:val="Table Grid"/>
    <w:basedOn w:val="a1"/>
    <w:uiPriority w:val="39"/>
    <w:rsid w:val="00883298"/>
    <w:rPr>
      <w:rFonts w:ascii="Arial" w:eastAsiaTheme="minorEastAsia" w:hAnsi="Arial" w:cs="Arial"/>
      <w:sz w:val="22"/>
      <w:szCs w:val="22"/>
      <w:lang w:val="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Char5"/>
    <w:uiPriority w:val="99"/>
    <w:unhideWhenUsed/>
    <w:rsid w:val="00883298"/>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rsid w:val="00883298"/>
    <w:rPr>
      <w:rFonts w:ascii="Arial" w:eastAsiaTheme="minorEastAsia" w:hAnsi="Arial" w:cs="Arial"/>
      <w:sz w:val="18"/>
      <w:szCs w:val="18"/>
      <w:lang w:val="de" w:eastAsia="de-DE"/>
    </w:rPr>
  </w:style>
  <w:style w:type="character" w:customStyle="1" w:styleId="EndNoteBibliographyChar">
    <w:name w:val="EndNote Bibliography Char"/>
    <w:basedOn w:val="a0"/>
    <w:link w:val="EndNoteBibliography"/>
    <w:locked/>
    <w:rsid w:val="00883298"/>
    <w:rPr>
      <w:rFonts w:ascii="Book Antiqua" w:eastAsiaTheme="minorEastAsia" w:hAnsi="Book Antiqua" w:cs="Arial"/>
      <w:szCs w:val="22"/>
      <w:lang w:eastAsia="de-DE"/>
    </w:rPr>
  </w:style>
  <w:style w:type="character" w:customStyle="1" w:styleId="10">
    <w:name w:val="未处理的提及1"/>
    <w:basedOn w:val="a0"/>
    <w:uiPriority w:val="99"/>
    <w:semiHidden/>
    <w:unhideWhenUsed/>
    <w:rsid w:val="0004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9197">
      <w:bodyDiv w:val="1"/>
      <w:marLeft w:val="0"/>
      <w:marRight w:val="0"/>
      <w:marTop w:val="0"/>
      <w:marBottom w:val="0"/>
      <w:divBdr>
        <w:top w:val="none" w:sz="0" w:space="0" w:color="auto"/>
        <w:left w:val="none" w:sz="0" w:space="0" w:color="auto"/>
        <w:bottom w:val="none" w:sz="0" w:space="0" w:color="auto"/>
        <w:right w:val="none" w:sz="0" w:space="0" w:color="auto"/>
      </w:divBdr>
    </w:div>
    <w:div w:id="879392583">
      <w:bodyDiv w:val="1"/>
      <w:marLeft w:val="0"/>
      <w:marRight w:val="0"/>
      <w:marTop w:val="0"/>
      <w:marBottom w:val="0"/>
      <w:divBdr>
        <w:top w:val="none" w:sz="0" w:space="0" w:color="auto"/>
        <w:left w:val="none" w:sz="0" w:space="0" w:color="auto"/>
        <w:bottom w:val="none" w:sz="0" w:space="0" w:color="auto"/>
        <w:right w:val="none" w:sz="0" w:space="0" w:color="auto"/>
      </w:divBdr>
    </w:div>
    <w:div w:id="912272492">
      <w:bodyDiv w:val="1"/>
      <w:marLeft w:val="0"/>
      <w:marRight w:val="0"/>
      <w:marTop w:val="0"/>
      <w:marBottom w:val="0"/>
      <w:divBdr>
        <w:top w:val="none" w:sz="0" w:space="0" w:color="auto"/>
        <w:left w:val="none" w:sz="0" w:space="0" w:color="auto"/>
        <w:bottom w:val="none" w:sz="0" w:space="0" w:color="auto"/>
        <w:right w:val="none" w:sz="0" w:space="0" w:color="auto"/>
      </w:divBdr>
    </w:div>
    <w:div w:id="1356343621">
      <w:bodyDiv w:val="1"/>
      <w:marLeft w:val="0"/>
      <w:marRight w:val="0"/>
      <w:marTop w:val="0"/>
      <w:marBottom w:val="0"/>
      <w:divBdr>
        <w:top w:val="none" w:sz="0" w:space="0" w:color="auto"/>
        <w:left w:val="none" w:sz="0" w:space="0" w:color="auto"/>
        <w:bottom w:val="none" w:sz="0" w:space="0" w:color="auto"/>
        <w:right w:val="none" w:sz="0" w:space="0" w:color="auto"/>
      </w:divBdr>
    </w:div>
    <w:div w:id="1717581969">
      <w:bodyDiv w:val="1"/>
      <w:marLeft w:val="0"/>
      <w:marRight w:val="0"/>
      <w:marTop w:val="0"/>
      <w:marBottom w:val="0"/>
      <w:divBdr>
        <w:top w:val="none" w:sz="0" w:space="0" w:color="auto"/>
        <w:left w:val="none" w:sz="0" w:space="0" w:color="auto"/>
        <w:bottom w:val="none" w:sz="0" w:space="0" w:color="auto"/>
        <w:right w:val="none" w:sz="0" w:space="0" w:color="auto"/>
      </w:divBdr>
    </w:div>
    <w:div w:id="1930386209">
      <w:bodyDiv w:val="1"/>
      <w:marLeft w:val="0"/>
      <w:marRight w:val="0"/>
      <w:marTop w:val="0"/>
      <w:marBottom w:val="0"/>
      <w:divBdr>
        <w:top w:val="none" w:sz="0" w:space="0" w:color="auto"/>
        <w:left w:val="none" w:sz="0" w:space="0" w:color="auto"/>
        <w:bottom w:val="none" w:sz="0" w:space="0" w:color="auto"/>
        <w:right w:val="none" w:sz="0" w:space="0" w:color="auto"/>
      </w:divBdr>
    </w:div>
    <w:div w:id="2131195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0" Type="http://schemas.openxmlformats.org/officeDocument/2006/relationships/hyperlink" Target="https://www.aerzteblatt.de/int/article.asp?id=206602" TargetMode="External"/><Relationship Id="rId4" Type="http://schemas.microsoft.com/office/2007/relationships/stylesWithEffects" Target="stylesWithEffects.xml"/><Relationship Id="rId9" Type="http://schemas.openxmlformats.org/officeDocument/2006/relationships/hyperlink" Target="mailto:ulrich.bork@uniklinikum-dresden.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032C-F2E5-4935-B3A8-BE84EE52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12072</Words>
  <Characters>68812</Characters>
  <Application>Microsoft Office Word</Application>
  <DocSecurity>0</DocSecurity>
  <Lines>573</Lines>
  <Paragraphs>161</Paragraphs>
  <ScaleCrop>false</ScaleCrop>
  <HeadingPairs>
    <vt:vector size="2" baseType="variant">
      <vt:variant>
        <vt:lpstr>Titel</vt:lpstr>
      </vt:variant>
      <vt:variant>
        <vt:i4>1</vt:i4>
      </vt:variant>
    </vt:vector>
  </HeadingPairs>
  <TitlesOfParts>
    <vt:vector size="1" baseType="lpstr">
      <vt:lpstr/>
    </vt:vector>
  </TitlesOfParts>
  <Company>Universitätsklinik Carl Gustav Carus Dresden</Company>
  <LinksUpToDate>false</LinksUpToDate>
  <CharactersWithSpaces>80723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Kernebeck</dc:creator>
  <cp:lastModifiedBy>Lenovo</cp:lastModifiedBy>
  <cp:revision>2</cp:revision>
  <dcterms:created xsi:type="dcterms:W3CDTF">2020-08-06T08:21:00Z</dcterms:created>
  <dcterms:modified xsi:type="dcterms:W3CDTF">2020-08-06T08:21:00Z</dcterms:modified>
</cp:coreProperties>
</file>