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2C834" w14:textId="33BE7401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5676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5676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5676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2576622" w14:textId="01073919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55770</w:t>
      </w:r>
    </w:p>
    <w:p w14:paraId="3DF5E7C4" w14:textId="34B5520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1DC913A3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460307FE" w14:textId="04E8F035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D566274" w14:textId="3938CBD0" w:rsidR="00772A9B" w:rsidRDefault="002D226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0" w:name="OLE_LINK1760"/>
      <w:bookmarkStart w:id="1" w:name="OLE_LINK1761"/>
      <w:bookmarkStart w:id="2" w:name="OLE_LINK1776"/>
      <w:r>
        <w:rPr>
          <w:rFonts w:ascii="Book Antiqua" w:eastAsia="Book Antiqua" w:hAnsi="Book Antiqua" w:cs="Book Antiqua"/>
          <w:b/>
          <w:bCs/>
          <w:color w:val="000000"/>
        </w:rPr>
        <w:t>Pediatric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non-alcoholic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BBA">
        <w:rPr>
          <w:rFonts w:ascii="Book Antiqua" w:eastAsia="Book Antiqua" w:hAnsi="Book Antiqua" w:cs="Book Antiqua"/>
          <w:b/>
          <w:bCs/>
          <w:color w:val="000000"/>
        </w:rPr>
        <w:t>function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E0BBA">
        <w:rPr>
          <w:rFonts w:ascii="Book Antiqua" w:eastAsia="Book Antiqua" w:hAnsi="Book Antiqua" w:cs="Book Antiqua"/>
          <w:b/>
          <w:bCs/>
          <w:i/>
          <w:color w:val="000000"/>
        </w:rPr>
        <w:t>HSD17B13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variant</w:t>
      </w:r>
    </w:p>
    <w:bookmarkEnd w:id="0"/>
    <w:bookmarkEnd w:id="1"/>
    <w:bookmarkEnd w:id="2"/>
    <w:p w14:paraId="760BEB68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4252EAF1" w14:textId="02736025" w:rsidR="00772A9B" w:rsidRPr="00290BC6" w:rsidRDefault="002D2261">
      <w:pPr>
        <w:spacing w:line="360" w:lineRule="auto"/>
        <w:jc w:val="both"/>
        <w:rPr>
          <w:rFonts w:ascii="Book Antiqua" w:hAnsi="Book Antiqua" w:cs="Book Antiqua"/>
          <w:lang w:val="it-IT"/>
        </w:rPr>
      </w:pPr>
      <w:r w:rsidRPr="00E67E13">
        <w:rPr>
          <w:rFonts w:ascii="Book Antiqua" w:eastAsia="Book Antiqua" w:hAnsi="Book Antiqua" w:cs="Book Antiqua"/>
          <w:color w:val="000000"/>
          <w:lang w:val="it-IT"/>
        </w:rPr>
        <w:t>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i/>
          <w:iCs/>
          <w:color w:val="000000"/>
          <w:lang w:val="it-IT"/>
        </w:rPr>
        <w:t>et</w:t>
      </w:r>
      <w:r w:rsidR="00456768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i/>
          <w:iCs/>
          <w:color w:val="000000"/>
          <w:lang w:val="it-IT"/>
        </w:rPr>
        <w:t>al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.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i/>
          <w:iCs/>
          <w:color w:val="000000"/>
          <w:lang w:val="it-IT"/>
        </w:rPr>
        <w:t>HSD17B13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gene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renal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function</w:t>
      </w:r>
    </w:p>
    <w:p w14:paraId="020C0AA1" w14:textId="77777777" w:rsidR="00772A9B" w:rsidRPr="00290BC6" w:rsidRDefault="00772A9B">
      <w:pPr>
        <w:spacing w:line="360" w:lineRule="auto"/>
        <w:jc w:val="both"/>
        <w:rPr>
          <w:rFonts w:ascii="Book Antiqua" w:hAnsi="Book Antiqua" w:cs="Book Antiqua"/>
          <w:lang w:val="it-IT"/>
        </w:rPr>
      </w:pPr>
    </w:p>
    <w:p w14:paraId="23006542" w14:textId="52DB5263" w:rsidR="00772A9B" w:rsidRPr="00290BC6" w:rsidRDefault="002D2261">
      <w:pPr>
        <w:spacing w:line="360" w:lineRule="auto"/>
        <w:jc w:val="both"/>
        <w:rPr>
          <w:rFonts w:ascii="Book Antiqua" w:hAnsi="Book Antiqua" w:cs="Book Antiqua"/>
          <w:lang w:val="it-IT"/>
        </w:rPr>
      </w:pPr>
      <w:r w:rsidRPr="00290BC6">
        <w:rPr>
          <w:rFonts w:ascii="Book Antiqua" w:eastAsia="Book Antiqua" w:hAnsi="Book Antiqua" w:cs="Book Antiqua"/>
          <w:color w:val="000000"/>
          <w:lang w:val="it-IT"/>
        </w:rPr>
        <w:t>Anna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Sessa,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Giuseppina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Rosaria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Umano,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Grazia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Cirillo,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Antonio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Paride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Passaro,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Valentina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Verde,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Domenico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Cozzolino,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Stefano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Guarino,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Pierluigi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Marzuillo,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Emanuele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del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</w:p>
    <w:p w14:paraId="6139533E" w14:textId="77777777" w:rsidR="00772A9B" w:rsidRPr="00290BC6" w:rsidRDefault="00772A9B">
      <w:pPr>
        <w:spacing w:line="360" w:lineRule="auto"/>
        <w:jc w:val="both"/>
        <w:rPr>
          <w:rFonts w:ascii="Book Antiqua" w:hAnsi="Book Antiqua" w:cs="Book Antiqua"/>
          <w:lang w:val="it-IT"/>
        </w:rPr>
      </w:pPr>
    </w:p>
    <w:p w14:paraId="6F3B6031" w14:textId="13278FDE" w:rsidR="00772A9B" w:rsidRPr="00E67E13" w:rsidRDefault="002D2261">
      <w:pPr>
        <w:spacing w:line="360" w:lineRule="auto"/>
        <w:jc w:val="both"/>
        <w:rPr>
          <w:rFonts w:ascii="Book Antiqua" w:hAnsi="Book Antiqua" w:cs="Book Antiqua"/>
          <w:lang w:val="it-IT"/>
        </w:rPr>
      </w:pP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Anna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Di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Sessa,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Giuseppina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Rosaria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Umano,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Grazia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Cirillo,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Antonio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Paride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Passaro,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Valentina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Verde,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Stefano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Guarino,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Pierluigi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Marzuillo,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Emanuele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Miraglia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del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Giudice,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of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Woman,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Child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of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Specialized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degli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Studi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della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Campania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Luigi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Vanvitelli,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Napoli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80138,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3E61C81" w14:textId="77777777" w:rsidR="00772A9B" w:rsidRPr="00E67E13" w:rsidRDefault="00772A9B">
      <w:pPr>
        <w:spacing w:line="360" w:lineRule="auto"/>
        <w:jc w:val="both"/>
        <w:rPr>
          <w:rFonts w:ascii="Book Antiqua" w:hAnsi="Book Antiqua" w:cs="Book Antiqua"/>
          <w:lang w:val="it-IT"/>
        </w:rPr>
      </w:pPr>
    </w:p>
    <w:p w14:paraId="3DE05F80" w14:textId="7E1AEDCB" w:rsidR="00772A9B" w:rsidRPr="00E67E13" w:rsidRDefault="002D2261">
      <w:pPr>
        <w:spacing w:line="360" w:lineRule="auto"/>
        <w:jc w:val="both"/>
        <w:rPr>
          <w:rFonts w:ascii="Book Antiqua" w:hAnsi="Book Antiqua" w:cs="Book Antiqua"/>
          <w:lang w:val="it-IT"/>
        </w:rPr>
      </w:pP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Domenico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b/>
          <w:bCs/>
          <w:color w:val="000000"/>
          <w:lang w:val="it-IT"/>
        </w:rPr>
        <w:t>Cozzolino,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of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Internal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Medicine,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degli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Studi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della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Campania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Luigi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Vanvitelli,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Napoli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80138,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67E13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3BC74C9" w14:textId="77777777" w:rsidR="00772A9B" w:rsidRPr="00E67E13" w:rsidRDefault="00772A9B">
      <w:pPr>
        <w:spacing w:line="360" w:lineRule="auto"/>
        <w:jc w:val="both"/>
        <w:rPr>
          <w:rFonts w:ascii="Book Antiqua" w:hAnsi="Book Antiqua" w:cs="Book Antiqua"/>
          <w:lang w:val="it-IT"/>
        </w:rPr>
      </w:pPr>
    </w:p>
    <w:p w14:paraId="4FD92134" w14:textId="647D16BF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 w:rsidRPr="00290BC6">
        <w:rPr>
          <w:rFonts w:ascii="Book Antiqua" w:eastAsia="Book Antiqua" w:hAnsi="Book Antiqua" w:cs="Book Antiqua"/>
          <w:b/>
          <w:bCs/>
          <w:color w:val="000000"/>
          <w:lang w:val="it-IT"/>
        </w:rPr>
        <w:t>Author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b/>
          <w:bCs/>
          <w:color w:val="000000"/>
          <w:lang w:val="it-IT"/>
        </w:rPr>
        <w:t>contributions:</w:t>
      </w:r>
      <w:r w:rsidR="0045676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del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the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research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idea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study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des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ign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;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Guarino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Umano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GR,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Passaro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AP,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Verde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data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acquisition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;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Cirillo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Umano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GR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the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molecular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analysis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;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del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Cozzolino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the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data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644EF" w:rsidRPr="00290BC6">
        <w:rPr>
          <w:rFonts w:ascii="Book Antiqua" w:eastAsia="Book Antiqua" w:hAnsi="Book Antiqua" w:cs="Book Antiqua"/>
          <w:color w:val="000000"/>
          <w:lang w:val="it-IT"/>
        </w:rPr>
        <w:t>analysis/interpretation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;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to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statistical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analysis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;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del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to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supervision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or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65209" w:rsidRPr="00290BC6">
        <w:rPr>
          <w:rFonts w:ascii="Book Antiqua" w:eastAsia="Book Antiqua" w:hAnsi="Book Antiqua" w:cs="Book Antiqua"/>
          <w:color w:val="000000"/>
          <w:lang w:val="it-IT"/>
        </w:rPr>
        <w:t>mentorship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.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revision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accountability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pertaining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resolved.</w:t>
      </w:r>
    </w:p>
    <w:p w14:paraId="57DBAE17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1B29F45" w14:textId="45EA412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Pierluigi</w:t>
      </w:r>
      <w:proofErr w:type="spellEnd"/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Marzuillo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Postdoctoral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Università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degli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Studi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della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Campania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Luigi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Vanvitelli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Luigi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Crecchio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Napoli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80138,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pierluigi.marzuillo@gmail.com</w:t>
      </w:r>
    </w:p>
    <w:p w14:paraId="5C94D7A8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55222DB5" w14:textId="5D1AF22D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B406541" w14:textId="51DDD828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07922B1" w14:textId="0D7F757A" w:rsidR="00772A9B" w:rsidRPr="00F957B9" w:rsidRDefault="002D2261" w:rsidP="00F957B9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106"/>
      <w:bookmarkStart w:id="4" w:name="OLE_LINK107"/>
      <w:r w:rsidR="00F957B9">
        <w:rPr>
          <w:rFonts w:ascii="Book Antiqua" w:hAnsi="Book Antiqua" w:cs="Arial"/>
          <w:color w:val="000000" w:themeColor="text1"/>
          <w:shd w:val="clear" w:color="auto" w:fill="FFFFFF"/>
        </w:rPr>
        <w:t>September 4, 2020</w:t>
      </w:r>
      <w:bookmarkEnd w:id="3"/>
      <w:bookmarkEnd w:id="4"/>
    </w:p>
    <w:p w14:paraId="12349CFF" w14:textId="50AE393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7779B10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  <w:sectPr w:rsidR="00772A9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845FAD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571F6D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85D7F8C" w14:textId="6CD19C58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Growing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non-alcoholic fatty liver disease </w:t>
      </w:r>
      <w:r>
        <w:rPr>
          <w:rFonts w:ascii="Book Antiqua" w:eastAsia="Book Antiqua" w:hAnsi="Book Antiqua" w:cs="Book Antiqua"/>
          <w:color w:val="000000"/>
        </w:rPr>
        <w:t>(NAFLD)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patatin</w:t>
      </w:r>
      <w:proofErr w:type="spellEnd"/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like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phospholipase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containing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domain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transmembrane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superfamily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member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hydroxysteroid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17-beta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dehydrogenase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72613567:TA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15F30DE1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868396C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16F9F0E" w14:textId="0EEF917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72613567:TA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7235A61D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0F329210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21A161A" w14:textId="6791D903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10.56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975FB">
        <w:rPr>
          <w:rFonts w:ascii="Book Antiqua" w:eastAsia="Book Antiqua" w:hAnsi="Book Antiqua" w:cs="Book Antiqua"/>
          <w:color w:val="000000"/>
        </w:rPr>
        <w:t>years;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975FB">
        <w:rPr>
          <w:rFonts w:ascii="Book Antiqua" w:eastAsia="Book Antiqua" w:hAnsi="Book Antiqua" w:cs="Book Antiqua"/>
          <w:color w:val="000000"/>
        </w:rPr>
        <w:t>mean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975FB">
        <w:rPr>
          <w:rFonts w:ascii="Book Antiqua" w:eastAsia="Book Antiqua" w:hAnsi="Book Antiqua" w:cs="Book Antiqua"/>
          <w:color w:val="000000"/>
        </w:rPr>
        <w:t>BMI-SDS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975FB">
        <w:rPr>
          <w:rFonts w:ascii="Book Antiqua" w:eastAsia="Book Antiqua" w:hAnsi="Book Antiqua" w:cs="Book Antiqua"/>
          <w:color w:val="000000"/>
        </w:rPr>
        <w:t>2.98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975FB">
        <w:rPr>
          <w:rFonts w:ascii="Book Antiqua" w:eastAsia="Book Antiqua" w:hAnsi="Book Antiqua" w:cs="Book Antiqua"/>
          <w:color w:val="000000"/>
        </w:rPr>
        <w:t>±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975FB">
        <w:rPr>
          <w:rFonts w:ascii="Book Antiqua" w:eastAsia="Book Antiqua" w:hAnsi="Book Antiqua" w:cs="Book Antiqua"/>
          <w:color w:val="000000"/>
        </w:rPr>
        <w:t>0.78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72613567:TA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made.</w:t>
      </w:r>
    </w:p>
    <w:p w14:paraId="5DCEB651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5E351738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35C8985C" w14:textId="735BDC98" w:rsidR="00772A9B" w:rsidRDefault="002D2261" w:rsidP="00B975FB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Theme="minorEastAsia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intercepts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0.94).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intercepts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0.0012;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0.87).</w:t>
      </w:r>
    </w:p>
    <w:p w14:paraId="6B89D32B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176F8FB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C3A7F6F" w14:textId="549DD70A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Carriers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I148M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polymorphisms.</w:t>
      </w:r>
    </w:p>
    <w:p w14:paraId="1B37C5C1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45AA3D7A" w14:textId="287BEA5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Hydroxysteroid;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</w:p>
    <w:p w14:paraId="2F054C49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794C53A0" w14:textId="22914859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 w:rsidRPr="00290BC6">
        <w:rPr>
          <w:rFonts w:ascii="Book Antiqua" w:eastAsia="Book Antiqua" w:hAnsi="Book Antiqua" w:cs="Book Antiqua"/>
          <w:color w:val="000000"/>
          <w:lang w:val="it-IT"/>
        </w:rPr>
        <w:t>Di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Umano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GR,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Cirillo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Passaro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AP,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Verde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Cozzolino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Guarino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S,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P,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del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E.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Pediatric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838E4" w:rsidRPr="00290BC6">
        <w:rPr>
          <w:rFonts w:ascii="Book Antiqua" w:eastAsia="Book Antiqua" w:hAnsi="Book Antiqua" w:cs="Book Antiqua"/>
          <w:color w:val="000000"/>
          <w:lang w:val="it-IT"/>
        </w:rPr>
        <w:t>non-alcoholic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838E4" w:rsidRPr="00290BC6">
        <w:rPr>
          <w:rFonts w:ascii="Book Antiqua" w:eastAsia="Book Antiqua" w:hAnsi="Book Antiqua" w:cs="Book Antiqua"/>
          <w:color w:val="000000"/>
          <w:lang w:val="it-IT"/>
        </w:rPr>
        <w:t>fatty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838E4" w:rsidRPr="00290BC6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838E4" w:rsidRPr="00290BC6">
        <w:rPr>
          <w:rFonts w:ascii="Book Antiqua" w:eastAsia="Book Antiqua" w:hAnsi="Book Antiqua" w:cs="Book Antiqua"/>
          <w:color w:val="000000"/>
          <w:lang w:val="it-IT"/>
        </w:rPr>
        <w:t>disease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and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kidney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function: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aps/>
          <w:color w:val="000000"/>
          <w:lang w:val="it-IT"/>
        </w:rPr>
        <w:t>e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ffect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of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i/>
          <w:color w:val="000000"/>
          <w:lang w:val="it-IT"/>
        </w:rPr>
        <w:t>HSD17B13</w:t>
      </w:r>
      <w:r w:rsidR="00456768">
        <w:rPr>
          <w:rFonts w:ascii="Book Antiqua" w:eastAsia="Book Antiqua" w:hAnsi="Book Antiqua" w:cs="Book Antiqua"/>
          <w:i/>
          <w:color w:val="000000"/>
          <w:lang w:val="it-IT"/>
        </w:rPr>
        <w:t xml:space="preserve"> </w:t>
      </w:r>
      <w:r w:rsidRPr="00290BC6">
        <w:rPr>
          <w:rFonts w:ascii="Book Antiqua" w:eastAsia="Book Antiqua" w:hAnsi="Book Antiqua" w:cs="Book Antiqua"/>
          <w:color w:val="000000"/>
          <w:lang w:val="it-IT"/>
        </w:rPr>
        <w:t>variant.</w:t>
      </w:r>
      <w:r w:rsidR="0045676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0031096E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74436E71" w14:textId="6BB592E2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Compelling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16F14">
        <w:rPr>
          <w:rFonts w:ascii="Book Antiqua" w:eastAsia="Book Antiqua" w:hAnsi="Book Antiqua" w:cs="Book Antiqua"/>
          <w:color w:val="000000"/>
        </w:rPr>
        <w:t>non-alcoholic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16F14">
        <w:rPr>
          <w:rFonts w:ascii="Book Antiqua" w:eastAsia="Book Antiqua" w:hAnsi="Book Antiqua" w:cs="Book Antiqua"/>
          <w:color w:val="000000"/>
        </w:rPr>
        <w:t>fatty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16F14"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16F14"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</w:t>
      </w:r>
      <w:r w:rsidR="001B1521">
        <w:rPr>
          <w:rFonts w:ascii="Book Antiqua" w:eastAsia="Book Antiqua" w:hAnsi="Book Antiqua" w:cs="Book Antiqua"/>
          <w:color w:val="000000"/>
        </w:rPr>
        <w:t>FLD)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1B1521"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1B1521"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1B1521"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1B1521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1D6549"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4B80529B" w14:textId="77777777" w:rsidR="00456768" w:rsidRDefault="00456768">
      <w:pPr>
        <w:spacing w:line="360" w:lineRule="auto"/>
        <w:jc w:val="both"/>
        <w:rPr>
          <w:rFonts w:ascii="Book Antiqua" w:hAnsi="Book Antiqua" w:cs="Book Antiqua"/>
        </w:rPr>
        <w:sectPr w:rsidR="00456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509FF3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114D8BD" w14:textId="43484610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Non-</w:t>
      </w:r>
      <w:r w:rsidR="00BC51BF">
        <w:rPr>
          <w:rFonts w:ascii="Book Antiqua" w:eastAsia="Book Antiqua" w:hAnsi="Book Antiqua" w:cs="Book Antiqua"/>
          <w:color w:val="000000"/>
        </w:rPr>
        <w:t>alcoholic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C51BF">
        <w:rPr>
          <w:rFonts w:ascii="Book Antiqua" w:eastAsia="Book Antiqua" w:hAnsi="Book Antiqua" w:cs="Book Antiqua"/>
          <w:color w:val="000000"/>
        </w:rPr>
        <w:t>fatty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C51BF"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BC51BF"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(NAFLD)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25%-30%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10%-15%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CB8BA0" w14:textId="3AA6A090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34.2%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B83F1B" w14:textId="14EDD263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urinalysis,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biopsy)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1,2,4,5]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obesity-related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influence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6-8]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1559ED2E" w14:textId="63688B11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pieces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1,9,10]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Compelling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patatin</w:t>
      </w:r>
      <w:proofErr w:type="spellEnd"/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like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phospholipase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containing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domain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PNPLA3)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transmembrane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superfamily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member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2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(TM6SF2)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  <w:vertAlign w:val="superscript"/>
        </w:rPr>
        <w:t>[1,5,9-12]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context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5ECAB0B" w14:textId="5B42E475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hydroxysteroid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17-beta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dehydrogenase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3,13,14]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3,13-15]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</w:t>
      </w:r>
      <w:r w:rsidRPr="008D5C7A">
        <w:rPr>
          <w:rFonts w:ascii="Book Antiqua" w:eastAsia="Book Antiqua" w:hAnsi="Book Antiqua" w:cs="Book Antiqua"/>
          <w:color w:val="000000"/>
        </w:rPr>
        <w:t>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represents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splice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region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characterized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adenine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(A)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insertion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coding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region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adjacent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donor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splice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site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exon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6,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leading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8D5C7A"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frame-shift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truncation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536A9AB7" w14:textId="1B86A7A8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CKD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5,8-11]</w:t>
      </w:r>
      <w:r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3BBE3087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0A5880EA" w14:textId="1319B364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5676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5676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0564AA2" w14:textId="1820D0A3" w:rsidR="00772A9B" w:rsidRDefault="002D226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4567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0979D01E" w14:textId="7F880375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17A04"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2150B1"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</w:t>
      </w:r>
      <w:r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percentile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mL/min/1.73m</w:t>
      </w:r>
      <w:proofErr w:type="gramStart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6,16]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mL/min/1.73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hematuria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dipstick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(decreased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proteinuria/hematuria)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Campania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“Luigi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Vanvitelli</w:t>
      </w:r>
      <w:proofErr w:type="spellEnd"/>
      <w:r>
        <w:rPr>
          <w:rFonts w:ascii="Book Antiqua" w:eastAsia="Book Antiqua" w:hAnsi="Book Antiqua" w:cs="Book Antiqua"/>
          <w:color w:val="000000"/>
        </w:rPr>
        <w:t>”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pubertal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Ev</w:t>
      </w:r>
      <w:r>
        <w:rPr>
          <w:rFonts w:ascii="Book Antiqua" w:eastAsia="Book Antiqua" w:hAnsi="Book Antiqua" w:cs="Book Antiqua"/>
          <w:color w:val="000000"/>
        </w:rPr>
        <w:t>aluation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2131C945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0E033107" w14:textId="55BF8317" w:rsidR="00772A9B" w:rsidRDefault="002D226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Laboratory</w:t>
      </w:r>
      <w:r w:rsidR="004567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567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ultrasound</w:t>
      </w:r>
      <w:r w:rsidR="004567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2B7CA363" w14:textId="7F4AFB30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Biochemical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(HOMA-IR)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calculated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Jaffè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(mg/dL)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Schwartz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equation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6,19]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weight-derived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6794D3E2" w14:textId="19FEF49C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high-level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liver–kidney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amplitude.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53916F29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0D626931" w14:textId="77777777" w:rsidR="00772A9B" w:rsidRDefault="002D226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Genotyping</w:t>
      </w:r>
    </w:p>
    <w:p w14:paraId="136A227E" w14:textId="696FF1AC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69B9FD42" w14:textId="46DB9ABE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Genomic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(Promega,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Madison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62102C">
        <w:rPr>
          <w:rFonts w:ascii="Book Antiqua" w:eastAsia="Book Antiqua" w:hAnsi="Book Antiqua" w:cs="Book Antiqua"/>
          <w:color w:val="000000"/>
        </w:rPr>
        <w:t>ucleotide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62102C"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62102C">
        <w:rPr>
          <w:rFonts w:ascii="Book Antiqua" w:eastAsia="Book Antiqua" w:hAnsi="Book Antiqua" w:cs="Book Antiqua"/>
          <w:color w:val="000000"/>
        </w:rPr>
        <w:t>(SNP)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62102C">
        <w:rPr>
          <w:rFonts w:ascii="Book Antiqua" w:eastAsia="Book Antiqua" w:hAnsi="Book Antiqua" w:cs="Book Antiqua"/>
          <w:color w:val="000000"/>
        </w:rPr>
        <w:t>rs</w:t>
      </w:r>
      <w:r>
        <w:rPr>
          <w:rFonts w:ascii="Book Antiqua" w:eastAsia="Book Antiqua" w:hAnsi="Book Antiqua" w:cs="Book Antiqua"/>
          <w:color w:val="000000"/>
        </w:rPr>
        <w:t>72613567: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(ID: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ANNKVTJ)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(Applied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Biosystems,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States)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7900HT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polymorphisms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F35C3BD" w14:textId="77777777" w:rsidR="00772A9B" w:rsidRDefault="00772A9B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6CA2FFAD" w14:textId="463DEFA7" w:rsidR="00772A9B" w:rsidRDefault="002D226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4567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4377DC4" w14:textId="1CE434EE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Hardy-Weinberg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equilibrium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presence/absence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1FE0B407" w14:textId="3CC02D25" w:rsidR="00772A9B" w:rsidRDefault="002D2261" w:rsidP="00456768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Differences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Kruskal-Wallis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non-normally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Not-normally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log-transformed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raw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0A6732A2" w14:textId="6BA16B6B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340E2C45" w14:textId="56F16160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(GLM)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HSD17B13,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PNPLA3,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BMI-SDS,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HOMA,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non-normally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1EC52E7B" w14:textId="7FB4A876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</w:p>
    <w:p w14:paraId="0D94EF3E" w14:textId="193F31D3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</w:t>
      </w:r>
      <w:r w:rsidR="0062102C"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62102C">
        <w:rPr>
          <w:rFonts w:ascii="Book Antiqua" w:eastAsia="Book Antiqua" w:hAnsi="Book Antiqua" w:cs="Book Antiqua"/>
          <w:color w:val="000000"/>
        </w:rPr>
        <w:t>United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62102C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Stat-Graph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XVII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Pr="0062102C">
        <w:rPr>
          <w:rFonts w:ascii="Book Antiqua" w:eastAsia="Book Antiqua" w:hAnsi="Book Antiqua" w:cs="Book Antiqua"/>
          <w:i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-values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25AAC6BC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396F064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090FADA" w14:textId="3CC515E0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10.56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BMI-SDS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2.98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Weinberg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equilibrium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04F464D3" w14:textId="057F4D0D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(AST)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>
        <w:rPr>
          <w:rFonts w:ascii="Book Antiqua" w:eastAsia="Book Antiqua" w:hAnsi="Book Antiqua" w:cs="Book Antiqua"/>
          <w:color w:val="000000"/>
        </w:rPr>
        <w:t>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BMI-SDS,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HOMA,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2ECCAE39" w14:textId="12B5E08C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intercepts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0.94)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intercepts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0.0012;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slopes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7D4483B1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487D05FA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F5B1837" w14:textId="57704C84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rs738409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CKD.</w:t>
      </w:r>
    </w:p>
    <w:p w14:paraId="64BCF25C" w14:textId="60890055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Emerging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I148M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CKD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9,10]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I148M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1,5,10,11]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5,8,9]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AAA158" w14:textId="7A0BAB47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hydroxyl-steroid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17-beta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uncharacterized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hydroxysteroid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17-beta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m-RNA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truncated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13,14]</w:t>
      </w:r>
      <w:r>
        <w:rPr>
          <w:rFonts w:ascii="Book Antiqua" w:eastAsia="Book Antiqua" w:hAnsi="Book Antiqua" w:cs="Book Antiqua"/>
          <w:color w:val="000000"/>
          <w:vertAlign w:val="subscript"/>
        </w:rPr>
        <w:t>.</w:t>
      </w:r>
      <w:r w:rsidR="00456768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fibrogenesis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loss-of-function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14,20]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0FFC725B" w14:textId="0534AE7C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3,13,15]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“protective”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fibrogenesis</w:t>
      </w:r>
    </w:p>
    <w:p w14:paraId="62BBC82D" w14:textId="69095AB8" w:rsidR="00772A9B" w:rsidRDefault="002D226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CKD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(CVD),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coexistence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cardiometabolic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profibrotic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“vicious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circle”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order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counteract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</w:p>
    <w:p w14:paraId="58FB4C40" w14:textId="66741BAC" w:rsidR="00772A9B" w:rsidRDefault="002D226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deserve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mention.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First,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glomerular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filtration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i.e.</w:t>
      </w:r>
      <w:r w:rsidR="00D816E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,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cystatin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C).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resonance.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pathophysiological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evaluating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function,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perspective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567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BA90E4A" w14:textId="77777777" w:rsidR="00D816EE" w:rsidRDefault="00D816EE" w:rsidP="00D816EE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5F95FAF5" w14:textId="77777777" w:rsidR="00D816EE" w:rsidRPr="00D816EE" w:rsidRDefault="00D816EE" w:rsidP="00D816EE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  <w:shd w:val="clear" w:color="auto" w:fill="FFFFFF"/>
        </w:rPr>
      </w:pPr>
      <w:r w:rsidRPr="00D816E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7C96D30" w14:textId="0F40E886" w:rsidR="00772A9B" w:rsidRDefault="002D2261" w:rsidP="00D816EE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rs72613567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I148M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</w:p>
    <w:p w14:paraId="256E784C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1A09B562" w14:textId="547BB714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5676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18025CE" w14:textId="7D496CDC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C3701F7" w14:textId="2A2CA81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Accumulating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non-alcoholic fatty liver disease </w:t>
      </w:r>
      <w:r>
        <w:rPr>
          <w:rFonts w:ascii="Book Antiqua" w:eastAsia="Book Antiqua" w:hAnsi="Book Antiqua" w:cs="Book Antiqua"/>
          <w:color w:val="000000"/>
        </w:rPr>
        <w:t>(NAFLD)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I148M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patatin</w:t>
      </w:r>
      <w:proofErr w:type="spellEnd"/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like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phospholipase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containing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domain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transmembrane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superfamily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member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>
        <w:rPr>
          <w:rFonts w:ascii="Book Antiqua" w:eastAsia="Book Antiqua" w:hAnsi="Book Antiqua" w:cs="Book Antiqua"/>
          <w:color w:val="000000"/>
        </w:rPr>
        <w:t>).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hydroxysteroid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17-beta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dehydrogenase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>
        <w:rPr>
          <w:rFonts w:ascii="Book Antiqua" w:eastAsia="Book Antiqua" w:hAnsi="Book Antiqua" w:cs="Book Antiqua"/>
          <w:color w:val="000000"/>
        </w:rPr>
        <w:t>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55532810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7234D027" w14:textId="01EAB87E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F2264B2" w14:textId="46192B4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Despite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72613567:TA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157DFCAC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1D531DA4" w14:textId="219811B8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8A4D72D" w14:textId="0FE857FE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72613567:TA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2150B1">
        <w:rPr>
          <w:rFonts w:ascii="Book Antiqua" w:eastAsia="Book Antiqua" w:hAnsi="Book Antiqua" w:cs="Book Antiqua"/>
          <w:color w:val="000000"/>
        </w:rPr>
        <w:t>.</w:t>
      </w:r>
    </w:p>
    <w:p w14:paraId="06DF8E7A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4969897B" w14:textId="7067CF98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0CBFF22" w14:textId="079A664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Anthropometric,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684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72613567:TA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</w:p>
    <w:p w14:paraId="5D07B82E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0C31AE3B" w14:textId="124D3680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8F5C806" w14:textId="6BCE7FDF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TM6SF2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allele.</w:t>
      </w:r>
    </w:p>
    <w:p w14:paraId="38079008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152D546E" w14:textId="7A1706F8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70CCB6B" w14:textId="11FA9E5A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rs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72613567:TA</w:t>
      </w:r>
      <w:proofErr w:type="gram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HSD17B13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I148M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TM6SF6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E167K</w:t>
      </w:r>
      <w:r w:rsidR="004567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polymorphisms.</w:t>
      </w:r>
    </w:p>
    <w:p w14:paraId="10E477FA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7DB7CD3" w14:textId="5E7EB802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567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A507DAD" w14:textId="4CAC8AB6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bookmarkStart w:id="5" w:name="OLE_LINK1777"/>
      <w:bookmarkStart w:id="6" w:name="OLE_LINK1778"/>
      <w:r>
        <w:rPr>
          <w:rFonts w:ascii="Book Antiqua" w:eastAsia="Book Antiqua" w:hAnsi="Book Antiqua" w:cs="Book Antiqua"/>
          <w:color w:val="000000"/>
        </w:rPr>
        <w:t>Findings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cardiometabolic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childhood.</w:t>
      </w:r>
    </w:p>
    <w:bookmarkEnd w:id="5"/>
    <w:bookmarkEnd w:id="6"/>
    <w:p w14:paraId="6CF21336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1DD7F5C1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0FBBFC3" w14:textId="7A697433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grateful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families.</w:t>
      </w:r>
    </w:p>
    <w:p w14:paraId="54F85CBA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570A30F3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D04B65D" w14:textId="72444929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Byrne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CD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Targher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NAFLD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driver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chronic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kidney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Hepatol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72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785-801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32059982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10.1016/j.jhep.2020.01.013]</w:t>
      </w:r>
    </w:p>
    <w:p w14:paraId="78D4F0B0" w14:textId="7C130D80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Mantovani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Zaza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Byrne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Lonardo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Zoppini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Bonora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Targher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increases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risk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incident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chronic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kidney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systematic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review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meta-analysis.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Metabolism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79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64-76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29137912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10.1016/j.metabol.2017.11.003]</w:t>
      </w:r>
    </w:p>
    <w:p w14:paraId="1C228727" w14:textId="6014CC37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Di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Sessa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Umano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Cirillo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Marzuillo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Arienzo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MR,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Pedullà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Miraglia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Giudice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rs72613567: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Variant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Hydroxysteroid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17-beta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Dehydrogenase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Reduces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Damage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Obese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Children.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Pediatr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Gastroenterol</w:t>
      </w:r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Nutr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70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371-374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31789772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10.1097/MPG.0000000000002573]</w:t>
      </w:r>
    </w:p>
    <w:p w14:paraId="73A79657" w14:textId="721D3313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Musso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Cassader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Cohney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Michieli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Pinach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Saba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Gambino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Chronic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Kidney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Novel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Mechanistic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Insights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Therapeutic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Opportunities.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Diabetes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Care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2016;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39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1830-1845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27660122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10.2337/dc15-1182]</w:t>
      </w:r>
    </w:p>
    <w:p w14:paraId="7F3F8A21" w14:textId="4C7EF19F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Musso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Cassader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Gambino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PNPLA3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rs738409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TM6SF2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rs58542926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variants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affect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renal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function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Hepatology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2015;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62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658-659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25482317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10.1002/hep.27643]</w:t>
      </w:r>
    </w:p>
    <w:p w14:paraId="43A2FE03" w14:textId="7C154CEE" w:rsidR="00772A9B" w:rsidRPr="00290BC6" w:rsidRDefault="002D2261">
      <w:pPr>
        <w:widowControl w:val="0"/>
        <w:spacing w:line="36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</w:rPr>
        <w:t>6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Marzuillo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Grandone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Sessa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Guarino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Diplomatico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Umano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Polito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Manna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Perrone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Miraglia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Giudice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Anthropometric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Biochemical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Determinants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Estimated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Glomerular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Filtration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Large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Cohort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Obese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Children.</w:t>
      </w:r>
      <w:r w:rsidR="00456768">
        <w:rPr>
          <w:rFonts w:ascii="Book Antiqua" w:hAnsi="Book Antiqua" w:cs="Book Antiqua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J</w:t>
      </w:r>
      <w:r w:rsidR="00456768">
        <w:rPr>
          <w:rFonts w:ascii="Book Antiqua" w:hAnsi="Book Antiqua" w:cs="Book Antiqua"/>
          <w:i/>
          <w:lang w:val="it-IT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Ren</w:t>
      </w:r>
      <w:r w:rsidR="00456768">
        <w:rPr>
          <w:rFonts w:ascii="Book Antiqua" w:hAnsi="Book Antiqua" w:cs="Book Antiqua"/>
          <w:i/>
          <w:lang w:val="it-IT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Nutr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2018;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28</w:t>
      </w:r>
      <w:r w:rsidRPr="00290BC6">
        <w:rPr>
          <w:rFonts w:ascii="Book Antiqua" w:hAnsi="Book Antiqua" w:cs="Book Antiqua"/>
          <w:lang w:val="it-IT"/>
        </w:rPr>
        <w:t>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359-362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[PMID: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29452889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DOI: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10.1053/j.jrn.2018.01.001]</w:t>
      </w:r>
    </w:p>
    <w:p w14:paraId="5EF793D4" w14:textId="2A7185DA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290BC6">
        <w:rPr>
          <w:rFonts w:ascii="Book Antiqua" w:hAnsi="Book Antiqua" w:cs="Book Antiqua"/>
          <w:lang w:val="it-IT"/>
        </w:rPr>
        <w:t>7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Di</w:t>
      </w:r>
      <w:r w:rsidR="00456768">
        <w:rPr>
          <w:rFonts w:ascii="Book Antiqua" w:hAnsi="Book Antiqua" w:cs="Book Antiqua"/>
          <w:b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Bonito</w:t>
      </w:r>
      <w:r w:rsidR="00456768">
        <w:rPr>
          <w:rFonts w:ascii="Book Antiqua" w:hAnsi="Book Antiqua" w:cs="Book Antiqua"/>
          <w:b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P</w:t>
      </w:r>
      <w:r w:rsidRPr="00290BC6">
        <w:rPr>
          <w:rFonts w:ascii="Book Antiqua" w:hAnsi="Book Antiqua" w:cs="Book Antiqua"/>
          <w:lang w:val="it-IT"/>
        </w:rPr>
        <w:t>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Valerio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Licenziati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MR,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Miraglia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Del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Giudice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E,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Baroni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MG,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Morandi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Maffeis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Campana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Spreghini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MR,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Di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Sessa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Morino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Crinò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Chiesa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Pacifico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L,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Manco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M.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High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uric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acid,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reduced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glomerular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filtration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rate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and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non-alcoholic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fatty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liver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in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young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people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with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obesity.</w:t>
      </w:r>
      <w:r w:rsidR="00456768">
        <w:rPr>
          <w:rFonts w:ascii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Endocrinol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Invest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43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461-468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31637675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10.1007/s40618-019-01130-6]</w:t>
      </w:r>
    </w:p>
    <w:p w14:paraId="5AEF0494" w14:textId="0DC400DB" w:rsidR="00772A9B" w:rsidRPr="00290BC6" w:rsidRDefault="002D2261">
      <w:pPr>
        <w:widowControl w:val="0"/>
        <w:spacing w:line="36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</w:rPr>
        <w:t>8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Targher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Mantovani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Alisi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Mosca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Panera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Byrne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Nobili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Relationship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Between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PNPLA3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rs738409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Polymorphism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Decreased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Kidney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Function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Children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NAFLD.</w:t>
      </w:r>
      <w:r w:rsidR="00456768">
        <w:rPr>
          <w:rFonts w:ascii="Book Antiqua" w:hAnsi="Book Antiqua" w:cs="Book Antiqua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Hepatology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2019;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70</w:t>
      </w:r>
      <w:r w:rsidRPr="00290BC6">
        <w:rPr>
          <w:rFonts w:ascii="Book Antiqua" w:hAnsi="Book Antiqua" w:cs="Book Antiqua"/>
          <w:lang w:val="it-IT"/>
        </w:rPr>
        <w:t>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142-153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[PMID: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30912854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DOI: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10.1002/hep.30625]</w:t>
      </w:r>
    </w:p>
    <w:p w14:paraId="1E8F966E" w14:textId="2B29E346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290BC6">
        <w:rPr>
          <w:rFonts w:ascii="Book Antiqua" w:hAnsi="Book Antiqua" w:cs="Book Antiqua"/>
          <w:lang w:val="it-IT"/>
        </w:rPr>
        <w:t>9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Marzuillo</w:t>
      </w:r>
      <w:r w:rsidR="00456768">
        <w:rPr>
          <w:rFonts w:ascii="Book Antiqua" w:hAnsi="Book Antiqua" w:cs="Book Antiqua"/>
          <w:b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P</w:t>
      </w:r>
      <w:r w:rsidRPr="00290BC6">
        <w:rPr>
          <w:rFonts w:ascii="Book Antiqua" w:hAnsi="Book Antiqua" w:cs="Book Antiqua"/>
          <w:lang w:val="it-IT"/>
        </w:rPr>
        <w:t>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Di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Sessa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Cirillo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Umano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GR,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Pedullà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La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Manna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Guarino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S,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Miraglia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Del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Giudice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E.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Transmembrane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6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superfamily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member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2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167K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allele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improves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renal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function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in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children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with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obesity.</w:t>
      </w:r>
      <w:r w:rsidR="00456768">
        <w:rPr>
          <w:rFonts w:ascii="Book Antiqua" w:hAnsi="Book Antiqua" w:cs="Book Antiqua"/>
          <w:lang w:val="it-IT"/>
        </w:rPr>
        <w:t xml:space="preserve"> </w:t>
      </w:r>
      <w:proofErr w:type="spellStart"/>
      <w:r>
        <w:rPr>
          <w:rFonts w:ascii="Book Antiqua" w:hAnsi="Book Antiqua" w:cs="Book Antiqua"/>
          <w:i/>
        </w:rPr>
        <w:t>Pediatr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88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300-304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31923913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10.1038/s41390-020-0753-5]</w:t>
      </w:r>
    </w:p>
    <w:p w14:paraId="058ACCB0" w14:textId="47CFEBE7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10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Marzuillo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Sessa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Guarino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Capalbo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Umano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Pedullà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Manna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Cirillo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Miraglia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Giudice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eGFR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levels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could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linked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PNPLA3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I148M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polymorphism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children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obesity.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Pediatr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Obes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14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e12539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31184438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10.1111/ijpo.12539]</w:t>
      </w:r>
    </w:p>
    <w:p w14:paraId="38DB1D6E" w14:textId="0EC03B78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11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Mantovani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Zusi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Sani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Colecchia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Lippi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Zaza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Valenti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Byrne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Maffeis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Bonora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Targher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Association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between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PNPLA3rs738409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polymorphism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decreased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kidney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function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postmenopausal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type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diabetic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women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without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non-alcoholic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Diabetes</w:t>
      </w:r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Metab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45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480-487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30763699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10.1016/j.diabet.2019.01.011]</w:t>
      </w:r>
    </w:p>
    <w:p w14:paraId="4904E638" w14:textId="6A974A13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Sun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DQ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Zheng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Xu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HL,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HY,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XY,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Zhu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PW,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Targher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G,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Byrne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YP,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Yuan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WJ,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Zheng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MH.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PNPLA3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rs738409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associated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renal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glomerular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tubular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injury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NAFLD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persistently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normal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levels.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Liver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Int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40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107-119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bookmarkStart w:id="7" w:name="OLE_LINK1762"/>
      <w:bookmarkStart w:id="8" w:name="OLE_LINK1763"/>
      <w:r>
        <w:rPr>
          <w:rFonts w:ascii="Book Antiqua" w:hAnsi="Book Antiqua" w:cs="Book Antiqua"/>
        </w:rPr>
        <w:t>31519069</w:t>
      </w:r>
      <w:bookmarkEnd w:id="7"/>
      <w:bookmarkEnd w:id="8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10.1111/</w:t>
      </w:r>
      <w:r w:rsidR="00456768">
        <w:rPr>
          <w:rFonts w:ascii="Book Antiqua" w:hAnsi="Book Antiqua" w:cs="Book Antiqua"/>
        </w:rPr>
        <w:t>liv</w:t>
      </w:r>
      <w:r>
        <w:rPr>
          <w:rFonts w:ascii="Book Antiqua" w:hAnsi="Book Antiqua" w:cs="Book Antiqua"/>
        </w:rPr>
        <w:t>.14251]</w:t>
      </w:r>
    </w:p>
    <w:p w14:paraId="5C00C357" w14:textId="3B9302BA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Abul-</w:t>
      </w:r>
      <w:proofErr w:type="spellStart"/>
      <w:r>
        <w:rPr>
          <w:rFonts w:ascii="Book Antiqua" w:hAnsi="Book Antiqua" w:cs="Book Antiqua"/>
          <w:b/>
        </w:rPr>
        <w:t>Husn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NS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AH,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Schurmann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Stevis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Liu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Kozlitina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Stender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Wood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GC,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Stepanchick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Still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McCarthy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O'Dushlaine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Packer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Balasubramanian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Gosalia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Esopi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Mukherjee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Lopez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AE,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Fuller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Penn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Chu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Luo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JZ,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Mirshahi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UL,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Carey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DJ,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Still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Feldman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Small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Damrauer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SM,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Rader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DJ,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Zambrowicz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Olson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Murphy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AJ,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Borecki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IB,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Shuldiner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AR,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Reid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JG,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Overton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Yancopoulos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Hobbs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HH,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Cohen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JC,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Gottesman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Teslovich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TM,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Baras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Mirshahi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Gromada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Dewey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Protein-Truncating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HSD17B13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Variant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Protection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Chronic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N</w:t>
      </w:r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Engl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378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1096-1106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29562163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10.1056/NEJMoa1712191]</w:t>
      </w:r>
    </w:p>
    <w:p w14:paraId="2452C802" w14:textId="597934E8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14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Pirola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CJ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Garaycoechea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Flichman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Arrese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Martino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Gazzi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Castaño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GO,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Sookoian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Splice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variant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rs72613567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prevents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worst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histologic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outcomes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Lipid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60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176-185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30323112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10.1194/</w:t>
      </w:r>
      <w:proofErr w:type="gramStart"/>
      <w:r>
        <w:rPr>
          <w:rFonts w:ascii="Book Antiqua" w:hAnsi="Book Antiqua" w:cs="Book Antiqua"/>
        </w:rPr>
        <w:t>jlr.P</w:t>
      </w:r>
      <w:proofErr w:type="gramEnd"/>
      <w:r>
        <w:rPr>
          <w:rFonts w:ascii="Book Antiqua" w:hAnsi="Book Antiqua" w:cs="Book Antiqua"/>
        </w:rPr>
        <w:t>089953]</w:t>
      </w:r>
    </w:p>
    <w:p w14:paraId="16CFC1AE" w14:textId="612021A2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15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Gellert-Kristensen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H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Nordestgaard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BG,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Tybjaerg</w:t>
      </w:r>
      <w:proofErr w:type="spellEnd"/>
      <w:r>
        <w:rPr>
          <w:rFonts w:ascii="Book Antiqua" w:hAnsi="Book Antiqua" w:cs="Book Antiqua"/>
        </w:rPr>
        <w:t>-Hansen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Stender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High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Risk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Amplifies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Alanine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Transaminase-Lowering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HSD17B13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Variant.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Hepatology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71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56-66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31155741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10.1002/hep.30799]</w:t>
      </w:r>
    </w:p>
    <w:p w14:paraId="3B45F898" w14:textId="4EFE82E2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16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Cacciari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E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Milani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Balsamo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Spada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Bona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Cavallo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Cerutti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Gargantini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Greggio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Tonini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Cicognani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Italian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cross-sectional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growth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charts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height,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weight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BMI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(2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yr</w:t>
      </w:r>
      <w:proofErr w:type="spellEnd"/>
      <w:r>
        <w:rPr>
          <w:rFonts w:ascii="Book Antiqua" w:hAnsi="Book Antiqua" w:cs="Book Antiqua"/>
        </w:rPr>
        <w:t>).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Endocrinol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Invest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2006;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29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581-593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16957405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10.1007/BF03344156]</w:t>
      </w:r>
    </w:p>
    <w:p w14:paraId="065EA488" w14:textId="468E58F9" w:rsidR="00772A9B" w:rsidRPr="00290BC6" w:rsidRDefault="002D2261">
      <w:pPr>
        <w:widowControl w:val="0"/>
        <w:spacing w:line="36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</w:rPr>
        <w:t>17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Marzuillo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Guarino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Furlan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Pecoraro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Pedullà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Miraglia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Giudice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Manna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Cleaning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genitalia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plain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water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improves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accuracy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urine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dipstick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childhood.</w:t>
      </w:r>
      <w:r w:rsidR="00456768">
        <w:rPr>
          <w:rFonts w:ascii="Book Antiqua" w:hAnsi="Book Antiqua" w:cs="Book Antiqua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Eur</w:t>
      </w:r>
      <w:r w:rsidR="00456768">
        <w:rPr>
          <w:rFonts w:ascii="Book Antiqua" w:hAnsi="Book Antiqua" w:cs="Book Antiqua"/>
          <w:i/>
          <w:lang w:val="it-IT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J</w:t>
      </w:r>
      <w:r w:rsidR="00456768">
        <w:rPr>
          <w:rFonts w:ascii="Book Antiqua" w:hAnsi="Book Antiqua" w:cs="Book Antiqua"/>
          <w:i/>
          <w:lang w:val="it-IT"/>
        </w:rPr>
        <w:t xml:space="preserve"> </w:t>
      </w:r>
      <w:r w:rsidRPr="00290BC6">
        <w:rPr>
          <w:rFonts w:ascii="Book Antiqua" w:hAnsi="Book Antiqua" w:cs="Book Antiqua"/>
          <w:i/>
          <w:lang w:val="it-IT"/>
        </w:rPr>
        <w:t>Pediatr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2018;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177</w:t>
      </w:r>
      <w:r w:rsidRPr="00290BC6">
        <w:rPr>
          <w:rFonts w:ascii="Book Antiqua" w:hAnsi="Book Antiqua" w:cs="Book Antiqua"/>
          <w:lang w:val="it-IT"/>
        </w:rPr>
        <w:t>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1573-1579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[PMID: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30054720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DOI: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10.1007/s00431-018-3215-x]</w:t>
      </w:r>
    </w:p>
    <w:p w14:paraId="77DAA98E" w14:textId="0E082C74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290BC6">
        <w:rPr>
          <w:rFonts w:ascii="Book Antiqua" w:hAnsi="Book Antiqua" w:cs="Book Antiqua"/>
          <w:lang w:val="it-IT"/>
        </w:rPr>
        <w:t>18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Di</w:t>
      </w:r>
      <w:r w:rsidR="00456768">
        <w:rPr>
          <w:rFonts w:ascii="Book Antiqua" w:hAnsi="Book Antiqua" w:cs="Book Antiqua"/>
          <w:b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Sessa</w:t>
      </w:r>
      <w:r w:rsidR="00456768">
        <w:rPr>
          <w:rFonts w:ascii="Book Antiqua" w:hAnsi="Book Antiqua" w:cs="Book Antiqua"/>
          <w:b/>
          <w:lang w:val="it-IT"/>
        </w:rPr>
        <w:t xml:space="preserve"> </w:t>
      </w:r>
      <w:r w:rsidRPr="00290BC6">
        <w:rPr>
          <w:rFonts w:ascii="Book Antiqua" w:hAnsi="Book Antiqua" w:cs="Book Antiqua"/>
          <w:b/>
          <w:lang w:val="it-IT"/>
        </w:rPr>
        <w:t>A</w:t>
      </w:r>
      <w:r w:rsidRPr="00290BC6">
        <w:rPr>
          <w:rFonts w:ascii="Book Antiqua" w:hAnsi="Book Antiqua" w:cs="Book Antiqua"/>
          <w:lang w:val="it-IT"/>
        </w:rPr>
        <w:t>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Umano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GR,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Cirillo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Del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Prete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A,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Iacomino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R,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Marzuillo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P,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Del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Giudice</w:t>
      </w:r>
      <w:r w:rsidR="00456768">
        <w:rPr>
          <w:rFonts w:ascii="Book Antiqua" w:hAnsi="Book Antiqua" w:cs="Book Antiqua"/>
          <w:lang w:val="it-IT"/>
        </w:rPr>
        <w:t xml:space="preserve"> </w:t>
      </w:r>
      <w:r w:rsidRPr="00290BC6">
        <w:rPr>
          <w:rFonts w:ascii="Book Antiqua" w:hAnsi="Book Antiqua" w:cs="Book Antiqua"/>
          <w:lang w:val="it-IT"/>
        </w:rPr>
        <w:t>EM.</w:t>
      </w:r>
      <w:r w:rsidR="00456768">
        <w:rPr>
          <w:rFonts w:ascii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Membrane-bound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O-Acyltransferase7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rs641738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Variant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Pediatric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Nonalcoholic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Pediatr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Gastroenterol</w:t>
      </w:r>
      <w:r w:rsidR="00456768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Nutr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67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69-74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29601441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10.1097/MPG.0000000000001979]</w:t>
      </w:r>
    </w:p>
    <w:p w14:paraId="1AA7969D" w14:textId="1AD7F316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Schwartz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GJ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Brion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LP,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Spitzer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plasma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creatinine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concentration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estimating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glomerular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filtration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infants,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children,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adolescents.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Pediatr</w:t>
      </w:r>
      <w:proofErr w:type="spellEnd"/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Clin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North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Am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1987;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34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571-590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3588043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10.1016/s0031-3955(16)36251-4]</w:t>
      </w:r>
    </w:p>
    <w:p w14:paraId="2A49B969" w14:textId="15E35CF0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20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Trépo</w:t>
      </w:r>
      <w:proofErr w:type="spellEnd"/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E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Valenti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Update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NAFLD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genetics: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new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variants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clinic.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Hepatol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2020;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72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1196-1209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32145256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10.1016/j.jhep.2020.02.020]</w:t>
      </w:r>
    </w:p>
    <w:p w14:paraId="695AC9B5" w14:textId="4E1D1881" w:rsidR="00772A9B" w:rsidRDefault="002D226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21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Di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Sessa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</w:t>
      </w:r>
      <w:r>
        <w:rPr>
          <w:rFonts w:ascii="Book Antiqua" w:hAnsi="Book Antiqua" w:cs="Book Antiqua"/>
        </w:rPr>
        <w:t>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Umano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GR,</w:t>
      </w:r>
      <w:r w:rsidR="00456768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Miraglia</w:t>
      </w:r>
      <w:proofErr w:type="spellEnd"/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Giudice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E,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Santoro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heart: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Cardiac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dysfunction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obese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children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non-alcoholic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fatty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liver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disease.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World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456768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Hepatol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2017;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9</w:t>
      </w:r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69-73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28144387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10.4254/</w:t>
      </w:r>
      <w:proofErr w:type="gramStart"/>
      <w:r>
        <w:rPr>
          <w:rFonts w:ascii="Book Antiqua" w:hAnsi="Book Antiqua" w:cs="Book Antiqua"/>
        </w:rPr>
        <w:t>wjh.v</w:t>
      </w:r>
      <w:proofErr w:type="gramEnd"/>
      <w:r>
        <w:rPr>
          <w:rFonts w:ascii="Book Antiqua" w:hAnsi="Book Antiqua" w:cs="Book Antiqua"/>
        </w:rPr>
        <w:t>9.i2.69]</w:t>
      </w:r>
    </w:p>
    <w:p w14:paraId="5AF9196A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150F098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  <w:sectPr w:rsidR="00772A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2ABF13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7F11D29" w14:textId="17093952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aps/>
          <w:color w:val="000000"/>
        </w:rPr>
        <w:t>t</w:t>
      </w:r>
      <w:r w:rsidR="00791686" w:rsidRPr="00290BC6">
        <w:rPr>
          <w:rFonts w:ascii="Book Antiqua" w:eastAsia="Book Antiqua" w:hAnsi="Book Antiqua" w:cs="Book Antiqua"/>
          <w:color w:val="000000"/>
        </w:rPr>
        <w:t>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study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approved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Institutional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Review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Board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of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1686" w:rsidRPr="00290BC6">
        <w:rPr>
          <w:rFonts w:ascii="Book Antiqua" w:eastAsia="Book Antiqua" w:hAnsi="Book Antiqua" w:cs="Book Antiqua"/>
          <w:color w:val="000000"/>
        </w:rPr>
        <w:t>Università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1686" w:rsidRPr="00290BC6">
        <w:rPr>
          <w:rFonts w:ascii="Book Antiqua" w:eastAsia="Book Antiqua" w:hAnsi="Book Antiqua" w:cs="Book Antiqua"/>
          <w:color w:val="000000"/>
        </w:rPr>
        <w:t>degli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1686" w:rsidRPr="00290BC6">
        <w:rPr>
          <w:rFonts w:ascii="Book Antiqua" w:eastAsia="Book Antiqua" w:hAnsi="Book Antiqua" w:cs="Book Antiqua"/>
          <w:color w:val="000000"/>
        </w:rPr>
        <w:t>Studi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1686" w:rsidRPr="00290BC6">
        <w:rPr>
          <w:rFonts w:ascii="Book Antiqua" w:eastAsia="Book Antiqua" w:hAnsi="Book Antiqua" w:cs="Book Antiqua"/>
          <w:color w:val="000000"/>
        </w:rPr>
        <w:t>della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Campania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Luigi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1686" w:rsidRPr="00290BC6">
        <w:rPr>
          <w:rFonts w:ascii="Book Antiqua" w:eastAsia="Book Antiqua" w:hAnsi="Book Antiqua" w:cs="Book Antiqua"/>
          <w:color w:val="000000"/>
        </w:rPr>
        <w:t>Vanvitelli</w:t>
      </w:r>
      <w:proofErr w:type="spellEnd"/>
      <w:r w:rsidR="00791686">
        <w:rPr>
          <w:rFonts w:ascii="Book Antiqua" w:eastAsia="Book Antiqua" w:hAnsi="Book Antiqua" w:cs="Book Antiqua"/>
          <w:color w:val="000000"/>
        </w:rPr>
        <w:t>.</w:t>
      </w:r>
    </w:p>
    <w:p w14:paraId="37F87EE5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5328D83A" w14:textId="09E56D62" w:rsidR="00EC28A4" w:rsidRDefault="00EC28A4">
      <w:pPr>
        <w:spacing w:line="360" w:lineRule="auto"/>
        <w:jc w:val="both"/>
        <w:rPr>
          <w:rFonts w:ascii="Book Antiqua" w:hAnsi="Book Antiqua" w:cs="Book Antiqua"/>
          <w:b/>
        </w:rPr>
      </w:pPr>
      <w:r w:rsidRPr="00EC28A4">
        <w:rPr>
          <w:rFonts w:ascii="Book Antiqua" w:hAnsi="Book Antiqua" w:cs="Book Antiqua"/>
          <w:b/>
        </w:rPr>
        <w:t>Informed</w:t>
      </w:r>
      <w:r w:rsidR="00456768">
        <w:rPr>
          <w:rFonts w:ascii="Book Antiqua" w:hAnsi="Book Antiqua" w:cs="Book Antiqua"/>
          <w:b/>
        </w:rPr>
        <w:t xml:space="preserve"> </w:t>
      </w:r>
      <w:r w:rsidRPr="00EC28A4">
        <w:rPr>
          <w:rFonts w:ascii="Book Antiqua" w:hAnsi="Book Antiqua" w:cs="Book Antiqua"/>
          <w:b/>
        </w:rPr>
        <w:t>consent</w:t>
      </w:r>
      <w:r w:rsidR="00456768">
        <w:rPr>
          <w:rFonts w:ascii="Book Antiqua" w:hAnsi="Book Antiqua" w:cs="Book Antiqua"/>
          <w:b/>
        </w:rPr>
        <w:t xml:space="preserve"> </w:t>
      </w:r>
      <w:r w:rsidRPr="00EC28A4">
        <w:rPr>
          <w:rFonts w:ascii="Book Antiqua" w:hAnsi="Book Antiqua" w:cs="Book Antiqua"/>
          <w:b/>
        </w:rPr>
        <w:t>statement</w:t>
      </w:r>
      <w:r>
        <w:rPr>
          <w:rFonts w:ascii="Book Antiqua" w:hAnsi="Book Antiqua" w:cs="Book Antiqua"/>
          <w:b/>
        </w:rPr>
        <w:t>:</w:t>
      </w:r>
      <w:r w:rsidR="00456768">
        <w:rPr>
          <w:rFonts w:ascii="Book Antiqua" w:hAnsi="Book Antiqua" w:cs="Book Antiqua"/>
          <w:b/>
        </w:rPr>
        <w:t xml:space="preserve"> </w:t>
      </w:r>
      <w:bookmarkStart w:id="9" w:name="OLE_LINK1779"/>
      <w:bookmarkStart w:id="10" w:name="OLE_LINK1780"/>
      <w:r w:rsidR="002150B1"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bookmarkEnd w:id="9"/>
    <w:bookmarkEnd w:id="10"/>
    <w:p w14:paraId="60FC1C62" w14:textId="77777777" w:rsidR="00EC28A4" w:rsidRPr="00EC28A4" w:rsidRDefault="00EC28A4">
      <w:pPr>
        <w:spacing w:line="360" w:lineRule="auto"/>
        <w:jc w:val="both"/>
        <w:rPr>
          <w:rFonts w:ascii="Book Antiqua" w:hAnsi="Book Antiqua" w:cs="Book Antiqua"/>
          <w:b/>
        </w:rPr>
      </w:pPr>
    </w:p>
    <w:p w14:paraId="42D9CA59" w14:textId="62560C95" w:rsidR="00772A9B" w:rsidRPr="00791686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aps/>
          <w:color w:val="000000"/>
        </w:rPr>
        <w:t>n</w:t>
      </w:r>
      <w:r w:rsidR="00791686">
        <w:rPr>
          <w:rFonts w:ascii="Book Antiqua" w:eastAsia="Book Antiqua" w:hAnsi="Book Antiqua" w:cs="Book Antiqua"/>
          <w:color w:val="000000"/>
        </w:rPr>
        <w:t>othing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>
        <w:rPr>
          <w:rFonts w:ascii="Book Antiqua" w:eastAsia="Book Antiqua" w:hAnsi="Book Antiqua" w:cs="Book Antiqua"/>
          <w:color w:val="000000"/>
        </w:rPr>
        <w:t>declare.</w:t>
      </w:r>
    </w:p>
    <w:p w14:paraId="38347DA4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50C4D717" w14:textId="5B785E10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1686" w:rsidRPr="003E72C8">
        <w:rPr>
          <w:rFonts w:ascii="Book Antiqua" w:eastAsia="Book Antiqua" w:hAnsi="Book Antiqua" w:cs="Book Antiqua"/>
          <w:caps/>
          <w:color w:val="000000"/>
        </w:rPr>
        <w:t>d</w:t>
      </w:r>
      <w:r w:rsidR="00791686" w:rsidRPr="00290BC6">
        <w:rPr>
          <w:rFonts w:ascii="Book Antiqua" w:eastAsia="Book Antiqua" w:hAnsi="Book Antiqua" w:cs="Book Antiqua"/>
          <w:color w:val="000000"/>
        </w:rPr>
        <w:t>atasets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generated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during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analyses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are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available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791686" w:rsidRPr="00290BC6">
        <w:rPr>
          <w:rFonts w:ascii="Book Antiqua" w:eastAsia="Book Antiqua" w:hAnsi="Book Antiqua" w:cs="Book Antiqua"/>
          <w:color w:val="000000"/>
        </w:rPr>
        <w:t>request.</w:t>
      </w:r>
    </w:p>
    <w:p w14:paraId="2A7C7761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03FC9EE8" w14:textId="077DD720" w:rsidR="00B51B21" w:rsidRDefault="007844E8">
      <w:pPr>
        <w:spacing w:line="360" w:lineRule="auto"/>
        <w:jc w:val="both"/>
        <w:rPr>
          <w:rFonts w:ascii="Book Antiqua" w:hAnsi="Book Antiqua" w:cs="Garamond-Bold"/>
          <w:bCs/>
          <w:color w:val="000000" w:themeColor="text1"/>
        </w:rPr>
      </w:pPr>
      <w:r w:rsidRPr="00BE5881">
        <w:rPr>
          <w:rFonts w:ascii="Book Antiqua" w:hAnsi="Book Antiqua"/>
          <w:b/>
        </w:rPr>
        <w:t>STROBE</w:t>
      </w:r>
      <w:r w:rsidR="00456768">
        <w:rPr>
          <w:rFonts w:ascii="Book Antiqua" w:hAnsi="Book Antiqua"/>
          <w:b/>
        </w:rPr>
        <w:t xml:space="preserve"> </w:t>
      </w:r>
      <w:r w:rsidRPr="00BE5881">
        <w:rPr>
          <w:rFonts w:ascii="Book Antiqua" w:hAnsi="Book Antiqua"/>
          <w:b/>
        </w:rPr>
        <w:t>statement</w:t>
      </w:r>
      <w:r w:rsidRPr="007844E8">
        <w:rPr>
          <w:rFonts w:ascii="Book Antiqua" w:hAnsi="Book Antiqua" w:cs="Garamond-Bold"/>
          <w:b/>
          <w:bCs/>
          <w:color w:val="000000" w:themeColor="text1"/>
        </w:rPr>
        <w:t>:</w:t>
      </w:r>
      <w:r w:rsidR="00456768">
        <w:rPr>
          <w:rFonts w:ascii="Book Antiqua" w:hAnsi="Book Antiqua" w:cs="Garamond-Bold"/>
          <w:b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The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authors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have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read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the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STROBE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Statement—checklist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of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items,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and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the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manuscript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was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prepared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and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revised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according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to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the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STROBE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Statement—checklist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of</w:t>
      </w:r>
      <w:r w:rsidR="00456768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BE5881">
        <w:rPr>
          <w:rFonts w:ascii="Book Antiqua" w:hAnsi="Book Antiqua" w:cs="Garamond-Bold"/>
          <w:bCs/>
          <w:color w:val="000000" w:themeColor="text1"/>
        </w:rPr>
        <w:t>items.</w:t>
      </w:r>
    </w:p>
    <w:p w14:paraId="0D68D585" w14:textId="77777777" w:rsidR="007844E8" w:rsidRDefault="007844E8">
      <w:pPr>
        <w:spacing w:line="360" w:lineRule="auto"/>
        <w:jc w:val="both"/>
        <w:rPr>
          <w:rFonts w:ascii="Book Antiqua" w:hAnsi="Book Antiqua" w:cs="Book Antiqua"/>
        </w:rPr>
      </w:pPr>
    </w:p>
    <w:p w14:paraId="09D3FB61" w14:textId="5A7DC681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567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45F6439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7A94AA15" w14:textId="508A2AF8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 w:rsidR="00E21A98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344DDD7E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A36F9F9" w14:textId="49E0A39D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A209F13" w14:textId="42F6CBE4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708358AB" w14:textId="5E3E5D2A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9ED7DDF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2702C7A1" w14:textId="7CA6C0FF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6768" w:rsidRPr="00E700C2">
        <w:rPr>
          <w:rFonts w:ascii="Book Antiqua" w:eastAsia="微软雅黑" w:hAnsi="Book Antiqua" w:cs="宋体"/>
        </w:rPr>
        <w:t>Gastroenterology and hepatology</w:t>
      </w:r>
    </w:p>
    <w:p w14:paraId="30B12975" w14:textId="02D82F1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1790294D" w14:textId="0A6E208D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8D2081" w14:textId="584FDC38" w:rsidR="00772A9B" w:rsidRDefault="002D226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24909">
        <w:rPr>
          <w:rFonts w:ascii="Book Antiqua" w:eastAsia="Book Antiqua" w:hAnsi="Book Antiqua" w:cs="Book Antiqua"/>
          <w:color w:val="000000"/>
        </w:rPr>
        <w:t>, A</w:t>
      </w:r>
    </w:p>
    <w:p w14:paraId="1124AAD1" w14:textId="10E547AE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6B9BF02" w14:textId="333C54D8" w:rsidR="00772A9B" w:rsidRDefault="002D226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EE19A93" w14:textId="0D2028E3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FF3D3FE" w14:textId="462B74BB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81881E8" w14:textId="77777777" w:rsidR="00772A9B" w:rsidRDefault="00772A9B">
      <w:pPr>
        <w:spacing w:line="360" w:lineRule="auto"/>
        <w:jc w:val="both"/>
        <w:rPr>
          <w:rFonts w:ascii="Book Antiqua" w:hAnsi="Book Antiqua" w:cs="Book Antiqua"/>
        </w:rPr>
      </w:pPr>
    </w:p>
    <w:p w14:paraId="7F3C5175" w14:textId="4E1044D0" w:rsidR="00772A9B" w:rsidRDefault="002D2261">
      <w:pPr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Reviewer: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Inamo</w:t>
      </w:r>
      <w:proofErr w:type="spellEnd"/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456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80DEDD7" w14:textId="77777777" w:rsidR="00772A9B" w:rsidRDefault="00772A9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96A2027" w14:textId="0B197E5F" w:rsidR="00772A9B" w:rsidRDefault="002D2261">
      <w:pPr>
        <w:spacing w:line="360" w:lineRule="auto"/>
        <w:jc w:val="both"/>
        <w:rPr>
          <w:rFonts w:ascii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/>
          <w:b/>
          <w:lang w:val="en-GB"/>
        </w:rPr>
        <w:lastRenderedPageBreak/>
        <w:t>Figure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Legend</w:t>
      </w:r>
      <w:r>
        <w:rPr>
          <w:rFonts w:ascii="Book Antiqua" w:hAnsi="Book Antiqua" w:cs="Book Antiqua"/>
          <w:b/>
        </w:rPr>
        <w:t>s</w:t>
      </w:r>
    </w:p>
    <w:p w14:paraId="57606A35" w14:textId="77777777" w:rsidR="00772A9B" w:rsidRDefault="002D2261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  <w:lang w:eastAsia="zh-CN"/>
        </w:rPr>
        <w:drawing>
          <wp:inline distT="0" distB="0" distL="114300" distR="114300" wp14:anchorId="202EE93E" wp14:editId="42B6AB0E">
            <wp:extent cx="5939790" cy="2493645"/>
            <wp:effectExtent l="0" t="0" r="381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75EA1" w14:textId="19A612E4" w:rsidR="00772A9B" w:rsidRDefault="002D2261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 w:cs="Book Antiqua"/>
          <w:lang w:val="en-GB"/>
        </w:rPr>
      </w:pPr>
      <w:r>
        <w:rPr>
          <w:rFonts w:ascii="Book Antiqua" w:hAnsi="Book Antiqua" w:cs="Book Antiqua"/>
          <w:b/>
          <w:lang w:val="en-GB"/>
        </w:rPr>
        <w:t>Figure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1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Regression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analysis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describing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the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relationship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between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estimated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glomerular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filtration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rate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  <w:lang w:val="en-GB"/>
        </w:rPr>
        <w:t>and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age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according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to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i/>
          <w:lang w:val="en-GB"/>
        </w:rPr>
        <w:t>HSD17B13</w:t>
      </w:r>
      <w:r w:rsidR="00456768">
        <w:rPr>
          <w:rFonts w:ascii="Book Antiqua" w:hAnsi="Book Antiqua" w:cs="Book Antiqua"/>
          <w:b/>
          <w:i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genotype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in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patients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with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non-alcoholic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  <w:r>
        <w:rPr>
          <w:rFonts w:ascii="Book Antiqua" w:hAnsi="Book Antiqua" w:cs="Book Antiqua"/>
          <w:b/>
          <w:lang w:val="en-GB"/>
        </w:rPr>
        <w:t>.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lang w:val="en-GB"/>
        </w:rPr>
        <w:t>The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regression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described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by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the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equation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color w:val="000000"/>
          <w:lang w:val="en-GB"/>
        </w:rPr>
        <w:t>y</w:t>
      </w:r>
      <w:r w:rsidR="00456768">
        <w:rPr>
          <w:rFonts w:ascii="Book Antiqua" w:hAnsi="Book Antiqua" w:cs="Book Antiqua"/>
          <w:color w:val="000000"/>
          <w:lang w:val="en-GB"/>
        </w:rPr>
        <w:t xml:space="preserve"> </w:t>
      </w:r>
      <w:r>
        <w:rPr>
          <w:rFonts w:ascii="Book Antiqua" w:hAnsi="Book Antiqua" w:cs="Book Antiqua"/>
          <w:color w:val="000000"/>
          <w:lang w:val="en-GB"/>
        </w:rPr>
        <w:t>=</w:t>
      </w:r>
      <w:r w:rsidR="00456768">
        <w:rPr>
          <w:rFonts w:ascii="Book Antiqua" w:hAnsi="Book Antiqua" w:cs="Book Antiqua"/>
          <w:color w:val="000000"/>
          <w:lang w:val="en-GB"/>
        </w:rPr>
        <w:t xml:space="preserve"> </w:t>
      </w:r>
      <w:r>
        <w:rPr>
          <w:rFonts w:ascii="Book Antiqua" w:hAnsi="Book Antiqua" w:cs="Book Antiqua"/>
          <w:color w:val="000000"/>
        </w:rPr>
        <w:t>5</w:t>
      </w:r>
      <w:r w:rsidR="00B51B21"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</w:rPr>
        <w:t>49596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C32B80">
        <w:rPr>
          <w:rFonts w:ascii="Book Antiqua" w:hAnsi="Book Antiqua" w:cs="Book Antiqua"/>
          <w:color w:val="000000"/>
        </w:rPr>
        <w:t>–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0</w:t>
      </w:r>
      <w:r w:rsidR="00B51B21">
        <w:rPr>
          <w:rFonts w:ascii="Book Antiqua" w:hAnsi="Book Antiqua" w:cs="Book Antiqua"/>
          <w:color w:val="000000"/>
        </w:rPr>
        <w:t>.</w:t>
      </w:r>
      <w:r w:rsidR="00F157C0">
        <w:rPr>
          <w:rFonts w:ascii="Book Antiqua" w:hAnsi="Book Antiqua" w:cs="Book Antiqua"/>
          <w:color w:val="000000"/>
        </w:rPr>
        <w:t>0205849</w:t>
      </w:r>
      <w:r>
        <w:rPr>
          <w:rFonts w:ascii="Book Antiqua" w:hAnsi="Book Antiqua" w:cs="Book Antiqua"/>
          <w:color w:val="000000"/>
        </w:rPr>
        <w:t>x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–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0</w:t>
      </w:r>
      <w:r w:rsidR="00B51B21"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</w:rPr>
        <w:t>0688943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F157C0" w:rsidRPr="00276E00">
        <w:rPr>
          <w:rFonts w:ascii="Book Antiqua" w:hAnsi="Book Antiqua" w:cs="Times New Roman"/>
          <w:lang w:val="pl-PL"/>
        </w:rPr>
        <w:t>×</w:t>
      </w:r>
      <w:r w:rsidR="00456768">
        <w:rPr>
          <w:rFonts w:ascii="Book Antiqua" w:hAnsi="Book Antiqua" w:cs="Times New Roman"/>
          <w:lang w:val="pl-PL"/>
        </w:rPr>
        <w:t xml:space="preserve"> </w:t>
      </w:r>
      <w:r>
        <w:rPr>
          <w:rFonts w:ascii="Book Antiqua" w:hAnsi="Book Antiqua" w:cs="Book Antiqua"/>
          <w:color w:val="000000"/>
        </w:rPr>
        <w:t>(hsd17b13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=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1)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+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0</w:t>
      </w:r>
      <w:r w:rsidR="00B51B21"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</w:rPr>
        <w:t>000541</w:t>
      </w:r>
      <w:r w:rsidR="00F157C0">
        <w:rPr>
          <w:rFonts w:ascii="Book Antiqua" w:hAnsi="Book Antiqua" w:cs="Book Antiqua"/>
          <w:color w:val="000000"/>
        </w:rPr>
        <w:t>99</w:t>
      </w:r>
      <w:r>
        <w:rPr>
          <w:rFonts w:ascii="Book Antiqua" w:hAnsi="Book Antiqua" w:cs="Book Antiqua"/>
          <w:color w:val="000000"/>
        </w:rPr>
        <w:t>x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F157C0" w:rsidRPr="00276E00">
        <w:rPr>
          <w:rFonts w:ascii="Book Antiqua" w:hAnsi="Book Antiqua" w:cs="Times New Roman"/>
          <w:lang w:val="pl-PL"/>
        </w:rPr>
        <w:t>×</w:t>
      </w:r>
      <w:r w:rsidR="00456768">
        <w:rPr>
          <w:rFonts w:ascii="Book Antiqua" w:hAnsi="Book Antiqua" w:cs="Times New Roman"/>
          <w:lang w:val="pl-PL"/>
        </w:rPr>
        <w:t xml:space="preserve"> </w:t>
      </w:r>
      <w:r>
        <w:rPr>
          <w:rFonts w:ascii="Book Antiqua" w:hAnsi="Book Antiqua" w:cs="Book Antiqua"/>
          <w:color w:val="000000"/>
        </w:rPr>
        <w:t>(hsd17b13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=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1).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i/>
          <w:iCs/>
          <w:lang w:val="en-GB"/>
        </w:rPr>
        <w:t>P</w:t>
      </w:r>
      <w:r w:rsidR="00B24909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value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for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intercepts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0.005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while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for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slopes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0.94.</w:t>
      </w:r>
    </w:p>
    <w:p w14:paraId="69560520" w14:textId="77777777" w:rsidR="00772A9B" w:rsidRDefault="002D2261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br w:type="page"/>
      </w:r>
      <w:r>
        <w:rPr>
          <w:rFonts w:ascii="Book Antiqua" w:hAnsi="Book Antiqua" w:cs="Book Antiqua"/>
          <w:noProof/>
          <w:lang w:eastAsia="zh-CN"/>
        </w:rPr>
        <w:lastRenderedPageBreak/>
        <w:drawing>
          <wp:inline distT="0" distB="0" distL="114300" distR="114300" wp14:anchorId="74CD0AC4" wp14:editId="7922FF14">
            <wp:extent cx="5939155" cy="2491105"/>
            <wp:effectExtent l="0" t="0" r="444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F9723" w14:textId="1D98E050" w:rsidR="00772A9B" w:rsidRDefault="002D2261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 w:cs="Book Antiqua"/>
          <w:lang w:val="en-GB"/>
        </w:rPr>
      </w:pPr>
      <w:bookmarkStart w:id="11" w:name="OLE_LINK1783"/>
      <w:bookmarkStart w:id="12" w:name="OLE_LINK1784"/>
      <w:r>
        <w:rPr>
          <w:rFonts w:ascii="Book Antiqua" w:hAnsi="Book Antiqua" w:cs="Book Antiqua"/>
          <w:b/>
          <w:lang w:val="en-GB"/>
        </w:rPr>
        <w:t>Figure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2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Regression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analysis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describing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the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relationship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between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estimated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glomerular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filtration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rate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and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age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according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to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i/>
          <w:lang w:val="en-GB"/>
        </w:rPr>
        <w:t>HSD17B13</w:t>
      </w:r>
      <w:r w:rsidR="00456768">
        <w:rPr>
          <w:rFonts w:ascii="Book Antiqua" w:hAnsi="Book Antiqua" w:cs="Book Antiqua"/>
          <w:b/>
          <w:i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genotype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in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patients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without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non-alcoholic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  <w:r>
        <w:rPr>
          <w:rFonts w:ascii="Book Antiqua" w:hAnsi="Book Antiqua" w:cs="Book Antiqua"/>
          <w:b/>
          <w:lang w:val="en-GB"/>
        </w:rPr>
        <w:t>.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lang w:val="en-GB"/>
        </w:rPr>
        <w:t>The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regression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described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by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the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equation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color w:val="000000"/>
        </w:rPr>
        <w:t>y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=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5</w:t>
      </w:r>
      <w:r w:rsidR="00B51B21"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</w:rPr>
        <w:t>54093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B51B21">
        <w:rPr>
          <w:rFonts w:ascii="Book Antiqua" w:hAnsi="Book Antiqua" w:cs="Book Antiqua"/>
          <w:color w:val="000000"/>
        </w:rPr>
        <w:t>–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0</w:t>
      </w:r>
      <w:r w:rsidR="00B51B21">
        <w:rPr>
          <w:rFonts w:ascii="Book Antiqua" w:hAnsi="Book Antiqua" w:cs="Book Antiqua"/>
          <w:color w:val="000000"/>
        </w:rPr>
        <w:t>.0266856</w:t>
      </w:r>
      <w:r>
        <w:rPr>
          <w:rFonts w:ascii="Book Antiqua" w:hAnsi="Book Antiqua" w:cs="Book Antiqua"/>
          <w:color w:val="000000"/>
        </w:rPr>
        <w:t>x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B51B21">
        <w:rPr>
          <w:rFonts w:ascii="Book Antiqua" w:hAnsi="Book Antiqua" w:cs="Book Antiqua"/>
          <w:color w:val="000000"/>
        </w:rPr>
        <w:t>–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0</w:t>
      </w:r>
      <w:r w:rsidR="00B51B21"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</w:rPr>
        <w:t>0508993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B51B21" w:rsidRPr="00276E00">
        <w:rPr>
          <w:rFonts w:ascii="Book Antiqua" w:hAnsi="Book Antiqua" w:cs="Times New Roman"/>
          <w:lang w:val="pl-PL"/>
        </w:rPr>
        <w:t>×</w:t>
      </w:r>
      <w:r w:rsidR="00456768">
        <w:rPr>
          <w:rFonts w:ascii="Book Antiqua" w:hAnsi="Book Antiqua" w:cs="Times New Roman"/>
          <w:lang w:val="pl-PL"/>
        </w:rPr>
        <w:t xml:space="preserve"> </w:t>
      </w:r>
      <w:r w:rsidR="004143FA">
        <w:rPr>
          <w:rFonts w:ascii="Book Antiqua" w:hAnsi="Book Antiqua" w:cs="Book Antiqua"/>
          <w:color w:val="000000"/>
        </w:rPr>
        <w:t>(hsd17b13=</w:t>
      </w:r>
      <w:r>
        <w:rPr>
          <w:rFonts w:ascii="Book Antiqua" w:hAnsi="Book Antiqua" w:cs="Book Antiqua"/>
          <w:color w:val="000000"/>
        </w:rPr>
        <w:t>1)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3322B9">
        <w:rPr>
          <w:rFonts w:ascii="Book Antiqua" w:hAnsi="Book Antiqua" w:cs="Book Antiqua"/>
          <w:color w:val="000000"/>
        </w:rPr>
        <w:t>–</w:t>
      </w:r>
      <w:r w:rsidR="00456768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0</w:t>
      </w:r>
      <w:r w:rsidR="00B51B21">
        <w:rPr>
          <w:rFonts w:ascii="Book Antiqua" w:hAnsi="Book Antiqua" w:cs="Book Antiqua"/>
          <w:color w:val="000000"/>
        </w:rPr>
        <w:t>.00105742</w:t>
      </w:r>
      <w:r>
        <w:rPr>
          <w:rFonts w:ascii="Book Antiqua" w:hAnsi="Book Antiqua" w:cs="Book Antiqua"/>
          <w:color w:val="000000"/>
        </w:rPr>
        <w:t>x</w:t>
      </w:r>
      <w:r w:rsidR="00456768">
        <w:rPr>
          <w:rFonts w:ascii="Book Antiqua" w:hAnsi="Book Antiqua" w:cs="Book Antiqua"/>
          <w:color w:val="000000"/>
        </w:rPr>
        <w:t xml:space="preserve"> </w:t>
      </w:r>
      <w:r w:rsidR="00B51B21" w:rsidRPr="00276E00">
        <w:rPr>
          <w:rFonts w:ascii="Book Antiqua" w:hAnsi="Book Antiqua" w:cs="Times New Roman"/>
          <w:lang w:val="pl-PL"/>
        </w:rPr>
        <w:t>×</w:t>
      </w:r>
      <w:r w:rsidR="00456768">
        <w:rPr>
          <w:rFonts w:ascii="Book Antiqua" w:hAnsi="Book Antiqua" w:cs="Times New Roman"/>
          <w:lang w:val="pl-PL"/>
        </w:rPr>
        <w:t xml:space="preserve"> </w:t>
      </w:r>
      <w:r w:rsidR="004143FA">
        <w:rPr>
          <w:rFonts w:ascii="Book Antiqua" w:hAnsi="Book Antiqua" w:cs="Book Antiqua"/>
          <w:color w:val="000000"/>
        </w:rPr>
        <w:t>(hsd17b13=</w:t>
      </w:r>
      <w:r>
        <w:rPr>
          <w:rFonts w:ascii="Book Antiqua" w:hAnsi="Book Antiqua" w:cs="Book Antiqua"/>
          <w:color w:val="000000"/>
        </w:rPr>
        <w:t>1)</w:t>
      </w:r>
      <w:r>
        <w:rPr>
          <w:rFonts w:ascii="Book Antiqua" w:hAnsi="Book Antiqua" w:cs="Book Antiqua"/>
          <w:lang w:val="en-GB"/>
        </w:rPr>
        <w:t>.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i/>
          <w:iCs/>
          <w:lang w:val="en-GB"/>
        </w:rPr>
        <w:t>P</w:t>
      </w:r>
      <w:r w:rsidR="00B24909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value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for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intercepts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0.0012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while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for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slopes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is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0.87.</w:t>
      </w:r>
    </w:p>
    <w:bookmarkEnd w:id="11"/>
    <w:bookmarkEnd w:id="12"/>
    <w:p w14:paraId="0525CC85" w14:textId="0F8C0F5C" w:rsidR="00772A9B" w:rsidRDefault="002D2261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Book Antiqua"/>
          <w:b/>
        </w:rPr>
      </w:pPr>
      <w:r>
        <w:rPr>
          <w:rFonts w:ascii="Book Antiqua" w:hAnsi="Book Antiqua" w:cs="Book Antiqua"/>
        </w:rPr>
        <w:br w:type="page"/>
      </w:r>
      <w:r>
        <w:rPr>
          <w:rFonts w:ascii="Book Antiqua" w:eastAsia="Calibri" w:hAnsi="Book Antiqua" w:cs="Book Antiqua"/>
          <w:b/>
        </w:rPr>
        <w:lastRenderedPageBreak/>
        <w:t>Table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1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Main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features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in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patients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with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non-alcoholic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according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to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  <w:i/>
        </w:rPr>
        <w:t>HSD17B13</w:t>
      </w:r>
      <w:r w:rsidR="00456768">
        <w:rPr>
          <w:rFonts w:ascii="Book Antiqua" w:eastAsia="Calibri" w:hAnsi="Book Antiqua" w:cs="Book Antiqua"/>
          <w:b/>
          <w:i/>
        </w:rPr>
        <w:t xml:space="preserve"> </w:t>
      </w:r>
      <w:r>
        <w:rPr>
          <w:rFonts w:ascii="Book Antiqua" w:eastAsia="Calibri" w:hAnsi="Book Antiqua" w:cs="Book Antiqua"/>
          <w:b/>
        </w:rPr>
        <w:t>genotypes</w:t>
      </w:r>
    </w:p>
    <w:tbl>
      <w:tblPr>
        <w:tblpPr w:leftFromText="141" w:rightFromText="141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828"/>
        <w:gridCol w:w="2188"/>
        <w:gridCol w:w="2210"/>
      </w:tblGrid>
      <w:tr w:rsidR="004143FA" w14:paraId="40C36D15" w14:textId="77777777" w:rsidTr="004143FA">
        <w:trPr>
          <w:trHeight w:val="878"/>
        </w:trPr>
        <w:tc>
          <w:tcPr>
            <w:tcW w:w="3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3C3A4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51C54" w14:textId="2D06FA33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</w:rPr>
              <w:t>HSD17B13</w:t>
            </w:r>
            <w:r w:rsidR="00456768">
              <w:rPr>
                <w:rFonts w:ascii="Book Antiqua" w:eastAsia="Calibri" w:hAnsi="Book Antiqua" w:cs="Book Antiqua"/>
                <w:b/>
                <w:bCs/>
                <w:i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</w:rPr>
              <w:t>TT</w:t>
            </w:r>
            <w:r w:rsidR="00456768">
              <w:rPr>
                <w:rFonts w:ascii="Book Antiqua" w:eastAsia="Calibri" w:hAnsi="Book Antiqua" w:cs="Book Antiqua"/>
                <w:b/>
                <w:bCs/>
                <w:i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(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</w:rPr>
              <w:t>n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=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218)</w:t>
            </w:r>
          </w:p>
        </w:tc>
        <w:tc>
          <w:tcPr>
            <w:tcW w:w="21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CB3BB" w14:textId="4CA23620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</w:rPr>
              <w:t>HSD17B13</w:t>
            </w:r>
            <w:r w:rsidR="00456768">
              <w:rPr>
                <w:rFonts w:ascii="Book Antiqua" w:eastAsia="Calibri" w:hAnsi="Book Antiqua" w:cs="Book Antiqua"/>
                <w:b/>
                <w:bCs/>
                <w:i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</w:rPr>
              <w:t>TA/AA</w:t>
            </w:r>
            <w:r w:rsidR="00456768">
              <w:rPr>
                <w:rFonts w:ascii="Book Antiqua" w:eastAsia="Calibri" w:hAnsi="Book Antiqua" w:cs="Book Antiqua"/>
                <w:b/>
                <w:bCs/>
                <w:i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(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</w:rPr>
              <w:t>n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=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100)</w:t>
            </w:r>
          </w:p>
        </w:tc>
        <w:tc>
          <w:tcPr>
            <w:tcW w:w="22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7F875" w14:textId="44F28CE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value</w:t>
            </w:r>
          </w:p>
        </w:tc>
      </w:tr>
      <w:tr w:rsidR="004143FA" w14:paraId="51489609" w14:textId="77777777" w:rsidTr="004143FA">
        <w:trPr>
          <w:trHeight w:val="458"/>
        </w:trPr>
        <w:tc>
          <w:tcPr>
            <w:tcW w:w="30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3C8A89" w14:textId="31732D68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Age,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Calibri" w:hAnsi="Book Antiqua" w:cs="Book Antiqua"/>
              </w:rPr>
              <w:t>yr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B5D52" w14:textId="216C141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10.72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2.88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7EB6F" w14:textId="26161FC0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10.60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2.80</w:t>
            </w:r>
          </w:p>
        </w:tc>
        <w:tc>
          <w:tcPr>
            <w:tcW w:w="2210" w:type="dxa"/>
            <w:tcBorders>
              <w:left w:val="nil"/>
              <w:bottom w:val="nil"/>
              <w:right w:val="nil"/>
            </w:tcBorders>
          </w:tcPr>
          <w:p w14:paraId="47EFB03B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0.67</w:t>
            </w:r>
          </w:p>
        </w:tc>
      </w:tr>
      <w:tr w:rsidR="004143FA" w14:paraId="6452FDB0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ADE2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BMI-SDS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D0BB667" w14:textId="6843CAA6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2.98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0.73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25617E90" w14:textId="00D5CCC5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3.00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0.75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41186E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0.85</w:t>
            </w:r>
          </w:p>
        </w:tc>
      </w:tr>
      <w:tr w:rsidR="004143FA" w14:paraId="5CD616E7" w14:textId="77777777" w:rsidTr="004143FA">
        <w:trPr>
          <w:trHeight w:val="44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3EF3" w14:textId="31B522D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Duration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of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obesity,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Calibri" w:hAnsi="Book Antiqua" w:cs="Book Antiqua"/>
              </w:rPr>
              <w:t>yr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1C0ACD57" w14:textId="0B32E1A2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4.65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1.93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5744D02" w14:textId="4585BFB0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4.64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2.17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9BB2DBA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0.60</w:t>
            </w:r>
          </w:p>
        </w:tc>
      </w:tr>
      <w:tr w:rsidR="004143FA" w14:paraId="2965CA9A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9900F" w14:textId="6964334D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Sex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(male),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75857C1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53.3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432B6BD1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51.2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D40F8F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0.82</w:t>
            </w:r>
          </w:p>
        </w:tc>
      </w:tr>
      <w:tr w:rsidR="004143FA" w14:paraId="5E8D0E02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2DEB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SBP-SDS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4605E26" w14:textId="5020C323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1.00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1.15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2008A01D" w14:textId="6ABA71B4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1.12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1.14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5F336E1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0.33</w:t>
            </w:r>
          </w:p>
        </w:tc>
      </w:tr>
      <w:tr w:rsidR="004143FA" w14:paraId="4CA49AEF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F4C60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DBP-SDS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701DD10" w14:textId="307BB4D4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0.25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0.89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D8A6EA6" w14:textId="4DD63AF2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0.30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0.91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2C3CD38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0.54</w:t>
            </w:r>
          </w:p>
        </w:tc>
      </w:tr>
      <w:tr w:rsidR="004143FA" w14:paraId="1AB987CA" w14:textId="77777777" w:rsidTr="004143FA">
        <w:trPr>
          <w:trHeight w:val="44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A880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W/</w:t>
            </w:r>
            <w:proofErr w:type="spellStart"/>
            <w:r>
              <w:rPr>
                <w:rFonts w:ascii="Book Antiqua" w:eastAsia="Calibri" w:hAnsi="Book Antiqua" w:cs="Book Antiqua"/>
              </w:rPr>
              <w:t>Hr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FC522FF" w14:textId="00094D24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0.05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8DC6B13" w14:textId="1B76B95E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0.63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0.06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049AF6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0.04</w:t>
            </w:r>
          </w:p>
        </w:tc>
      </w:tr>
      <w:tr w:rsidR="004143FA" w14:paraId="485DF6CC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B219B" w14:textId="30339BBD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ALT,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U/L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0C650D41" w14:textId="44DB6E06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35.45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21.69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1BBA3734" w14:textId="2DFA8786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30.60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21.52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E48F65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0.02</w:t>
            </w:r>
          </w:p>
        </w:tc>
      </w:tr>
      <w:tr w:rsidR="004143FA" w14:paraId="1D69EFD7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D988" w14:textId="2037C719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AST,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U/L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893260D" w14:textId="2A3BAAA4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26.86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10.18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30278CED" w14:textId="071AA9E9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24.49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8.86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562F85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0.01</w:t>
            </w:r>
          </w:p>
        </w:tc>
      </w:tr>
      <w:tr w:rsidR="004143FA" w14:paraId="075E3296" w14:textId="77777777" w:rsidTr="004143FA">
        <w:trPr>
          <w:trHeight w:val="44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2BB97" w14:textId="6612931B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GGT,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U/L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38330F9" w14:textId="30922886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20.42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9.73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1AFAA53D" w14:textId="007C070A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19.70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9.49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A1D467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0.45</w:t>
            </w:r>
          </w:p>
        </w:tc>
      </w:tr>
      <w:tr w:rsidR="004143FA" w14:paraId="070CE86B" w14:textId="77777777" w:rsidTr="004143FA">
        <w:trPr>
          <w:trHeight w:val="8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5CB0" w14:textId="373DFF80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Total-Cholesterol,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23BAE9E" w14:textId="3638B983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160.13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33.85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6A6C5B4" w14:textId="65D6DE8F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158.19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30.80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6FB7038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0.55</w:t>
            </w:r>
          </w:p>
        </w:tc>
      </w:tr>
      <w:tr w:rsidR="004143FA" w14:paraId="6F6EDAB8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FCB5" w14:textId="484A1E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LDL,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FB76932" w14:textId="17649CB2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95.84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29.31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1A4B7AE8" w14:textId="5C685ACF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93.38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23.93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CB6E4A8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0.40</w:t>
            </w:r>
          </w:p>
        </w:tc>
      </w:tr>
      <w:tr w:rsidR="004143FA" w14:paraId="41839375" w14:textId="77777777" w:rsidTr="004143FA">
        <w:trPr>
          <w:trHeight w:val="44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AEF2" w14:textId="3E7B5BA5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HDL,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7649352E" w14:textId="3BEF9E30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44.07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10.68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718A198C" w14:textId="043B25F9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45.30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11.24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A03092B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0.67</w:t>
            </w:r>
          </w:p>
        </w:tc>
      </w:tr>
      <w:tr w:rsidR="004143FA" w14:paraId="06B43866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CB5D" w14:textId="005B08D4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Triglycerides,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8D2A326" w14:textId="3CCCED1F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101.21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51.36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03C9C618" w14:textId="1D0422DB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99.92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47.62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C13FA9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0.79</w:t>
            </w:r>
          </w:p>
        </w:tc>
      </w:tr>
      <w:tr w:rsidR="004143FA" w14:paraId="2F7FF9C6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45A3A" w14:textId="73A2006A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Glycaemia,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5662D40" w14:textId="7F3A754A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83.05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9.10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2BE2C359" w14:textId="224B5AD1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81.80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8.44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6CF1AB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0.14</w:t>
            </w:r>
          </w:p>
        </w:tc>
      </w:tr>
      <w:tr w:rsidR="004143FA" w14:paraId="46E50F37" w14:textId="77777777" w:rsidTr="004143FA">
        <w:trPr>
          <w:trHeight w:val="4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F3CD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HOMA-IR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59ED544" w14:textId="2FC060FB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6.19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5.35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49686AB8" w14:textId="4F10E17B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5.94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3.86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5D2E697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0.62</w:t>
            </w:r>
          </w:p>
        </w:tc>
      </w:tr>
      <w:tr w:rsidR="004143FA" w14:paraId="678476A7" w14:textId="77777777" w:rsidTr="004143FA">
        <w:trPr>
          <w:trHeight w:val="63"/>
        </w:trPr>
        <w:tc>
          <w:tcPr>
            <w:tcW w:w="30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857B15" w14:textId="03F61292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>
              <w:rPr>
                <w:rFonts w:ascii="Book Antiqua" w:eastAsia="Calibri" w:hAnsi="Book Antiqua" w:cs="Book Antiqua"/>
              </w:rPr>
              <w:t>eGFR,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mL/min/1.73m</w:t>
            </w:r>
            <w:r>
              <w:rPr>
                <w:rFonts w:ascii="Book Antiqua" w:eastAsia="Calibri" w:hAnsi="Book Antiqua" w:cs="Book Antiqua"/>
                <w:vertAlign w:val="superscript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FC720" w14:textId="0EE6259A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186.71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36.55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6B8B8" w14:textId="11FA24B3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197.45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34.92</w:t>
            </w:r>
          </w:p>
        </w:tc>
        <w:tc>
          <w:tcPr>
            <w:tcW w:w="2210" w:type="dxa"/>
            <w:tcBorders>
              <w:top w:val="nil"/>
              <w:left w:val="nil"/>
              <w:right w:val="nil"/>
            </w:tcBorders>
          </w:tcPr>
          <w:p w14:paraId="07B93720" w14:textId="77777777" w:rsidR="004143FA" w:rsidRDefault="004143FA" w:rsidP="00414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0.01</w:t>
            </w:r>
          </w:p>
        </w:tc>
      </w:tr>
    </w:tbl>
    <w:p w14:paraId="5FC8CF11" w14:textId="73DCF23B" w:rsidR="00772A9B" w:rsidRDefault="002D2261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lang w:val="en-GB"/>
        </w:rPr>
        <w:t>ALT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Alanine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transaminase;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AST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Aspartate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transaminase;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BMI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Body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mass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index;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DBP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Diastolic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blood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pressure;</w:t>
      </w:r>
      <w:r w:rsidR="00456768">
        <w:rPr>
          <w:rFonts w:ascii="Book Antiqua" w:eastAsia="Calibri" w:hAnsi="Book Antiqua" w:cs="Book Antiqua"/>
          <w:i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eGFR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Estimated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glomerular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filtration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rate;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GLM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General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linear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model;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HDL-C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</w:rPr>
        <w:t>High-density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eastAsia="Calibri" w:hAnsi="Book Antiqua" w:cs="Book Antiqua"/>
        </w:rPr>
        <w:t>lipoprotein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eastAsia="Calibri" w:hAnsi="Book Antiqua" w:cs="Book Antiqua"/>
        </w:rPr>
        <w:t>cholesterol;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eastAsia="Calibri" w:hAnsi="Book Antiqua" w:cs="Book Antiqua"/>
        </w:rPr>
        <w:t>HOMA: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hAnsi="Book Antiqua" w:cs="Book Antiqua"/>
        </w:rPr>
        <w:t>Homeostasis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assessment;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eastAsia="Calibri" w:hAnsi="Book Antiqua" w:cs="Book Antiqua"/>
          <w:lang w:val="en-GB"/>
        </w:rPr>
        <w:t>LDL-C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Low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density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lipoprotein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cholesterol;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SBP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Systolic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blood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pressure;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hAnsi="Book Antiqua" w:cs="Book Antiqua"/>
        </w:rPr>
        <w:t>SDS: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Standard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deviation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score;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W/</w:t>
      </w:r>
      <w:proofErr w:type="spellStart"/>
      <w:r>
        <w:rPr>
          <w:rFonts w:ascii="Book Antiqua" w:hAnsi="Book Antiqua" w:cs="Book Antiqua"/>
        </w:rPr>
        <w:t>Hr</w:t>
      </w:r>
      <w:proofErr w:type="spellEnd"/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Waist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height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ratio.</w:t>
      </w:r>
    </w:p>
    <w:p w14:paraId="35BC9651" w14:textId="03364573" w:rsidR="00772A9B" w:rsidRDefault="002D226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</w:rPr>
      </w:pPr>
      <w:r>
        <w:rPr>
          <w:rFonts w:ascii="Book Antiqua" w:eastAsia="Calibri" w:hAnsi="Book Antiqua" w:cs="Book Antiqua"/>
          <w:b/>
        </w:rPr>
        <w:br w:type="page"/>
      </w:r>
      <w:r>
        <w:rPr>
          <w:rFonts w:ascii="Book Antiqua" w:hAnsi="Book Antiqua" w:cs="Book Antiqua"/>
          <w:b/>
        </w:rPr>
        <w:lastRenderedPageBreak/>
        <w:t>Table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2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Main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features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in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patients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without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non-alcoholic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according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to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  <w:i/>
        </w:rPr>
        <w:t>HSD17B13</w:t>
      </w:r>
      <w:r w:rsidR="004567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genotypes</w:t>
      </w:r>
    </w:p>
    <w:tbl>
      <w:tblPr>
        <w:tblW w:w="941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293"/>
        <w:gridCol w:w="2507"/>
        <w:gridCol w:w="1391"/>
      </w:tblGrid>
      <w:tr w:rsidR="00772A9B" w14:paraId="0D726552" w14:textId="77777777" w:rsidTr="00A81B88">
        <w:tc>
          <w:tcPr>
            <w:tcW w:w="32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F84C8" w14:textId="77777777" w:rsidR="00772A9B" w:rsidRDefault="00772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</w:p>
        </w:tc>
        <w:tc>
          <w:tcPr>
            <w:tcW w:w="22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5C0F2" w14:textId="76A49ECE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-358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</w:rPr>
              <w:t>HSD17B13</w:t>
            </w:r>
            <w:r w:rsidR="00456768">
              <w:rPr>
                <w:rFonts w:ascii="Book Antiqua" w:eastAsia="Calibri" w:hAnsi="Book Antiqua" w:cs="Book Antiqua"/>
                <w:b/>
                <w:bCs/>
                <w:i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</w:rPr>
              <w:t>TT</w:t>
            </w:r>
          </w:p>
          <w:p w14:paraId="11F81162" w14:textId="58E5BEA8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-358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</w:rPr>
              <w:t>(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</w:rPr>
              <w:t>n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=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199)</w:t>
            </w:r>
          </w:p>
        </w:tc>
        <w:tc>
          <w:tcPr>
            <w:tcW w:w="2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F8DAD" w14:textId="495C6F3E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-474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</w:rPr>
              <w:t>HSD17B13</w:t>
            </w:r>
            <w:r w:rsidR="00456768">
              <w:rPr>
                <w:rFonts w:ascii="Book Antiqua" w:eastAsia="Calibri" w:hAnsi="Book Antiqua" w:cs="Book Antiqua"/>
                <w:b/>
                <w:bCs/>
                <w:i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</w:rPr>
              <w:t>TA/AA</w:t>
            </w:r>
          </w:p>
          <w:p w14:paraId="73AB2513" w14:textId="5341C0A3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-474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</w:rPr>
              <w:t>(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</w:rPr>
              <w:t>n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=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167)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</w:tcPr>
          <w:p w14:paraId="07BA343B" w14:textId="29ABB3F3" w:rsidR="00772A9B" w:rsidRDefault="002D2261" w:rsidP="00A81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456768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</w:rPr>
              <w:t>value</w:t>
            </w:r>
          </w:p>
        </w:tc>
      </w:tr>
      <w:tr w:rsidR="00772A9B" w14:paraId="2042B495" w14:textId="77777777" w:rsidTr="00A81B88">
        <w:tc>
          <w:tcPr>
            <w:tcW w:w="32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A5C2DE" w14:textId="510EB1B6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Age,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Calibri" w:hAnsi="Book Antiqua" w:cs="Book Antiqua"/>
              </w:rPr>
              <w:t>yr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1B4D0" w14:textId="0B21888E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10.36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2.98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25446" w14:textId="4DB3CC2F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10.36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3.20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7E97CA8E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0.89</w:t>
            </w:r>
          </w:p>
        </w:tc>
      </w:tr>
      <w:tr w:rsidR="00772A9B" w14:paraId="2135F6E9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6982" w14:textId="7AEB620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Duration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of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obesity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8DA6E9B" w14:textId="773018B0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2.96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0.79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ED1E3A3" w14:textId="2BB481FC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2.95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0.96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516A7F4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0.94</w:t>
            </w:r>
          </w:p>
        </w:tc>
      </w:tr>
      <w:tr w:rsidR="00772A9B" w14:paraId="45D38A1F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E161F" w14:textId="50CBF045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BMI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-SDS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4B37610" w14:textId="479F3A08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4.41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1.84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73C4EC45" w14:textId="72751440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4.88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2.51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4A91690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0.24</w:t>
            </w:r>
          </w:p>
        </w:tc>
      </w:tr>
      <w:tr w:rsidR="00772A9B" w14:paraId="4ECE5AB0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B21C" w14:textId="366E869C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Sex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(male),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%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1CBB6C4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50.5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7F2F2177" w14:textId="77777777" w:rsidR="00772A9B" w:rsidRDefault="002D2261">
            <w:pPr>
              <w:tabs>
                <w:tab w:val="center" w:pos="1079"/>
              </w:tabs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55.5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E23CF23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0.68</w:t>
            </w:r>
          </w:p>
        </w:tc>
      </w:tr>
      <w:tr w:rsidR="00772A9B" w14:paraId="5B08FA91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FE22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SBP-SDS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2C174348" w14:textId="024A4B82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1.08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1.24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37CEE56" w14:textId="1ADCE066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0.79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1.20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AD0102A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0.09</w:t>
            </w:r>
          </w:p>
        </w:tc>
      </w:tr>
      <w:tr w:rsidR="00772A9B" w14:paraId="513EC59E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16851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DBP-SDS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398BA486" w14:textId="387A3D48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0.18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0.75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D336BE5" w14:textId="2027817C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1.03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1.15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8BEF80B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0.64</w:t>
            </w:r>
          </w:p>
        </w:tc>
      </w:tr>
      <w:tr w:rsidR="00772A9B" w14:paraId="4B26C059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0F8B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W/</w:t>
            </w:r>
            <w:proofErr w:type="spellStart"/>
            <w:r>
              <w:rPr>
                <w:rFonts w:ascii="Book Antiqua" w:eastAsia="Calibri" w:hAnsi="Book Antiqua" w:cs="Book Antiqua"/>
              </w:rPr>
              <w:t>Hr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7ED13CD5" w14:textId="2EE676B4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0.61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0.05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C17A29A" w14:textId="4A936541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0.60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0.05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1C5C516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0.21</w:t>
            </w:r>
          </w:p>
        </w:tc>
      </w:tr>
      <w:tr w:rsidR="00772A9B" w14:paraId="303A840E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EAC7" w14:textId="07EE5178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ALT,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U/L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3314A2F8" w14:textId="10C120EA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22.95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6.90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9BCD34B" w14:textId="6B127B59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20.30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6.56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C02BDDD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0.003</w:t>
            </w:r>
          </w:p>
        </w:tc>
      </w:tr>
      <w:tr w:rsidR="00772A9B" w14:paraId="7AB937ED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CC7A" w14:textId="54641192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AST,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U/L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30F9316C" w14:textId="64249A9C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23.03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4.92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62E9D28D" w14:textId="02AA9D68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21.35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6.07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F3F4EA7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0.004</w:t>
            </w:r>
          </w:p>
        </w:tc>
      </w:tr>
      <w:tr w:rsidR="00772A9B" w14:paraId="701A2AC7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38871" w14:textId="58D4F6DB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GGT,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U/L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52B62EF1" w14:textId="6C1E67DD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16.70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5.80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233AFDD" w14:textId="03A00B6D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17.38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4.34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3EE82BC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0.33</w:t>
            </w:r>
          </w:p>
        </w:tc>
      </w:tr>
      <w:tr w:rsidR="00772A9B" w14:paraId="5100E8BD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153F" w14:textId="771BDC33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Total-Cholesterol,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083DC98" w14:textId="44DB8FFC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160.66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27.11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DB26A5D" w14:textId="265024B9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161.84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33.11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0A76601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0.76</w:t>
            </w:r>
          </w:p>
        </w:tc>
      </w:tr>
      <w:tr w:rsidR="00772A9B" w14:paraId="15619E01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733A" w14:textId="1A1E4909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LDL-C,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726A465E" w14:textId="61BD0B85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93.74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24.59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721A7D3B" w14:textId="0DEB5F63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98.10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28.27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D432EA6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0.36</w:t>
            </w:r>
          </w:p>
        </w:tc>
      </w:tr>
      <w:tr w:rsidR="00772A9B" w14:paraId="702ABD5E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73E0A" w14:textId="1C48B50A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HDL-C,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1413EFE2" w14:textId="13AA5349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48.18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15.28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BE67A4E" w14:textId="23B42DD8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45.96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8.97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3EEEDEF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0.50</w:t>
            </w:r>
          </w:p>
        </w:tc>
      </w:tr>
      <w:tr w:rsidR="00772A9B" w14:paraId="093A9DA8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AD4B" w14:textId="5104FB31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Triglycerides,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1897F0B0" w14:textId="1873BC81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96.90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59.74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7F94CA2" w14:textId="2D82ED99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95.77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38.79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1FD9B46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0.87</w:t>
            </w:r>
          </w:p>
        </w:tc>
      </w:tr>
      <w:tr w:rsidR="00772A9B" w14:paraId="7CB880A4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EE59D" w14:textId="79D3B5CC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Glycaemia,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mg/dL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3E7B78A0" w14:textId="034F2469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79.95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7.34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21CF5BA2" w14:textId="4BD78200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80.52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7.66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AFB1099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0.08</w:t>
            </w:r>
          </w:p>
        </w:tc>
      </w:tr>
      <w:tr w:rsidR="00772A9B" w14:paraId="4804A0E9" w14:textId="77777777" w:rsidTr="00A81B8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0339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HOMA-IR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2C846E0F" w14:textId="31B5B27D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4.63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3.16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6F7F12CF" w14:textId="5BDDE601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5.16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3.75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9017579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0.27</w:t>
            </w:r>
          </w:p>
        </w:tc>
      </w:tr>
      <w:tr w:rsidR="00772A9B" w14:paraId="4AFC1E23" w14:textId="77777777" w:rsidTr="00A81B88">
        <w:tc>
          <w:tcPr>
            <w:tcW w:w="32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9DF185" w14:textId="58AD6C3D" w:rsidR="00772A9B" w:rsidRDefault="002D22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>
              <w:rPr>
                <w:rFonts w:ascii="Book Antiqua" w:eastAsia="Calibri" w:hAnsi="Book Antiqua" w:cs="Book Antiqua"/>
              </w:rPr>
              <w:t>eGFR,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mL/min/1.73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m</w:t>
            </w:r>
            <w:r>
              <w:rPr>
                <w:rFonts w:ascii="Book Antiqua" w:eastAsia="Calibri" w:hAnsi="Book Antiqua" w:cs="Book Antiqua"/>
                <w:vertAlign w:val="superscript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76437" w14:textId="4B6620DD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187.34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37.76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C7735" w14:textId="4337645F" w:rsidR="00772A9B" w:rsidRDefault="002D2261">
            <w:pPr>
              <w:autoSpaceDE w:val="0"/>
              <w:autoSpaceDN w:val="0"/>
              <w:adjustRightInd w:val="0"/>
              <w:spacing w:line="360" w:lineRule="auto"/>
              <w:ind w:left="235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197.82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±</w:t>
            </w:r>
            <w:r w:rsidR="00456768">
              <w:rPr>
                <w:rFonts w:ascii="Book Antiqua" w:eastAsia="Calibri" w:hAnsi="Book Antiqua" w:cs="Book Antiqua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>39.78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57D6154D" w14:textId="77777777" w:rsidR="00772A9B" w:rsidRDefault="002D2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0.007</w:t>
            </w:r>
          </w:p>
        </w:tc>
      </w:tr>
    </w:tbl>
    <w:p w14:paraId="451D0586" w14:textId="2F7D8258" w:rsidR="00772A9B" w:rsidRDefault="002D226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Calibri" w:hAnsi="Book Antiqua" w:cs="Book Antiqua"/>
          <w:lang w:val="en-GB"/>
        </w:rPr>
        <w:t>ALT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Alanine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transaminase;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AST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Aspartate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hAnsi="Book Antiqua" w:cs="Book Antiqua"/>
          <w:lang w:val="en-GB"/>
        </w:rPr>
        <w:t>transaminase;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BMI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Body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mass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index;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DBP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Diastolic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blood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pressure;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eGFR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Estimated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glomerular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filtration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rate;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HDL-C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</w:rPr>
        <w:t>High-density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eastAsia="Calibri" w:hAnsi="Book Antiqua" w:cs="Book Antiqua"/>
        </w:rPr>
        <w:t>lipoprotein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eastAsia="Calibri" w:hAnsi="Book Antiqua" w:cs="Book Antiqua"/>
        </w:rPr>
        <w:t>cholesterol;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</w:rPr>
        <w:t>HOMA: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hAnsi="Book Antiqua" w:cs="Book Antiqua"/>
        </w:rPr>
        <w:t>Homeostasis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assessment;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eastAsia="Calibri" w:hAnsi="Book Antiqua" w:cs="Book Antiqua"/>
          <w:lang w:val="en-GB"/>
        </w:rPr>
        <w:t>LDL-C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Low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density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lipoprotein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cholesterol;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SBP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Systolic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blood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pressure;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hAnsi="Book Antiqua" w:cs="Book Antiqua"/>
        </w:rPr>
        <w:t>SDS: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Standard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deviation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score;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W/</w:t>
      </w:r>
      <w:proofErr w:type="spellStart"/>
      <w:r>
        <w:rPr>
          <w:rFonts w:ascii="Book Antiqua" w:hAnsi="Book Antiqua" w:cs="Book Antiqua"/>
        </w:rPr>
        <w:t>Hr</w:t>
      </w:r>
      <w:proofErr w:type="spellEnd"/>
      <w:r>
        <w:rPr>
          <w:rFonts w:ascii="Book Antiqua" w:hAnsi="Book Antiqua" w:cs="Book Antiqua"/>
        </w:rPr>
        <w:t>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Waist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height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ratio.</w:t>
      </w:r>
    </w:p>
    <w:p w14:paraId="0569B33C" w14:textId="681C9AA5" w:rsidR="00772A9B" w:rsidRDefault="002D2261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Book Antiqua"/>
          <w:b/>
        </w:rPr>
      </w:pPr>
      <w:r>
        <w:rPr>
          <w:rFonts w:ascii="Book Antiqua" w:hAnsi="Book Antiqua" w:cs="Book Antiqua"/>
        </w:rPr>
        <w:br w:type="page"/>
      </w:r>
      <w:bookmarkStart w:id="13" w:name="OLE_LINK1764"/>
      <w:bookmarkStart w:id="14" w:name="OLE_LINK1765"/>
      <w:r>
        <w:rPr>
          <w:rFonts w:ascii="Book Antiqua" w:eastAsia="Calibri" w:hAnsi="Book Antiqua" w:cs="Book Antiqua"/>
          <w:b/>
        </w:rPr>
        <w:lastRenderedPageBreak/>
        <w:t>Table</w:t>
      </w:r>
      <w:bookmarkEnd w:id="13"/>
      <w:bookmarkEnd w:id="14"/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3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General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linear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model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for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analysis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of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variance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of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hAnsi="Book Antiqua" w:cs="Book Antiqua"/>
          <w:b/>
          <w:lang w:val="en-GB"/>
        </w:rPr>
        <w:t>estimated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glomerular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filtration</w:t>
      </w:r>
      <w:r w:rsidR="00456768">
        <w:rPr>
          <w:rFonts w:ascii="Book Antiqua" w:hAnsi="Book Antiqua" w:cs="Book Antiqua"/>
          <w:b/>
          <w:lang w:val="en-GB"/>
        </w:rPr>
        <w:t xml:space="preserve"> </w:t>
      </w:r>
      <w:r>
        <w:rPr>
          <w:rFonts w:ascii="Book Antiqua" w:hAnsi="Book Antiqua" w:cs="Book Antiqua"/>
          <w:b/>
          <w:lang w:val="en-GB"/>
        </w:rPr>
        <w:t>rate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both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among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patients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with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and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Calibri" w:hAnsi="Book Antiqua" w:cs="Book Antiqua"/>
          <w:b/>
        </w:rPr>
        <w:t>without</w:t>
      </w:r>
      <w:r w:rsidR="00456768">
        <w:rPr>
          <w:rFonts w:ascii="Book Antiqua" w:eastAsia="Calibri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non-alcoholic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4567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</w:p>
    <w:tbl>
      <w:tblPr>
        <w:tblpPr w:leftFromText="141" w:rightFromText="141" w:vertAnchor="text" w:horzAnchor="page" w:tblpX="1498" w:tblpY="2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813"/>
        <w:gridCol w:w="1108"/>
        <w:gridCol w:w="1554"/>
        <w:gridCol w:w="1114"/>
        <w:gridCol w:w="1365"/>
      </w:tblGrid>
      <w:tr w:rsidR="00772A9B" w14:paraId="03CE34C5" w14:textId="77777777" w:rsidTr="00CF1B16">
        <w:tc>
          <w:tcPr>
            <w:tcW w:w="237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30DB833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lang w:val="en-GB"/>
              </w:rPr>
            </w:pPr>
            <w:r>
              <w:rPr>
                <w:rFonts w:ascii="Book Antiqua" w:eastAsia="Calibri" w:hAnsi="Book Antiqua" w:cs="Book Antiqua"/>
                <w:b/>
                <w:lang w:val="en-GB"/>
              </w:rPr>
              <w:t>Source</w:t>
            </w:r>
          </w:p>
        </w:tc>
        <w:tc>
          <w:tcPr>
            <w:tcW w:w="319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0473C" w14:textId="3A8CDFEB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>Patients</w:t>
            </w:r>
            <w:r w:rsidR="00456768"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</w:rPr>
              <w:t>with</w:t>
            </w:r>
            <w:r w:rsidR="00456768"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</w:rPr>
              <w:t>NAFLD</w:t>
            </w:r>
          </w:p>
        </w:tc>
        <w:tc>
          <w:tcPr>
            <w:tcW w:w="40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997FF3" w14:textId="47C75DAB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>Patients</w:t>
            </w:r>
            <w:r w:rsidR="00456768"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</w:rPr>
              <w:t>without</w:t>
            </w:r>
            <w:r w:rsidR="00456768"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</w:rPr>
              <w:t>NAFLD</w:t>
            </w:r>
          </w:p>
        </w:tc>
      </w:tr>
      <w:tr w:rsidR="00772A9B" w14:paraId="7CDA3A22" w14:textId="77777777" w:rsidTr="00CF1B16">
        <w:trPr>
          <w:trHeight w:val="285"/>
        </w:trPr>
        <w:tc>
          <w:tcPr>
            <w:tcW w:w="23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B20DB" w14:textId="77777777" w:rsidR="00772A9B" w:rsidRDefault="00772A9B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83E17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>Coefficient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2C4B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>F-ratio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1311D" w14:textId="1EDF2BAF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  <w:i/>
                <w:iCs/>
              </w:rPr>
              <w:t>P</w:t>
            </w:r>
            <w:r w:rsidR="00456768"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</w:rPr>
              <w:t>value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60BD0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>Coefficient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00215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>F-ratio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C991A" w14:textId="57D0D86F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  <w:i/>
                <w:iCs/>
              </w:rPr>
              <w:t>P</w:t>
            </w:r>
            <w:r w:rsidR="00456768"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</w:rPr>
              <w:t>value</w:t>
            </w:r>
          </w:p>
        </w:tc>
      </w:tr>
      <w:tr w:rsidR="00772A9B" w14:paraId="134AB6FF" w14:textId="77777777" w:rsidTr="004E34D1"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F51353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  <w:lang w:val="en-GB"/>
              </w:rPr>
              <w:t>Model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F3436D" w14:textId="77777777" w:rsidR="00772A9B" w:rsidRDefault="00772A9B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6E7222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6.24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1D4B68" w14:textId="1E77CE62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&lt;</w:t>
            </w:r>
            <w:r w:rsidR="00456768">
              <w:rPr>
                <w:rFonts w:ascii="Book Antiqua" w:eastAsia="Calibri" w:hAnsi="Book Antiqua" w:cs="Book Antiqua"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</w:rPr>
              <w:t>0.0001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E2B270" w14:textId="77777777" w:rsidR="00772A9B" w:rsidRDefault="00772A9B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E474D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3.30</w:t>
            </w: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63233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0.001</w:t>
            </w:r>
          </w:p>
        </w:tc>
      </w:tr>
      <w:tr w:rsidR="00772A9B" w14:paraId="403492C9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091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  <w:lang w:val="en-GB"/>
              </w:rPr>
              <w:t>Gender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87087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-0.78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B538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21ECE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0.43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892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F29A3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0.09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D251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0.75</w:t>
            </w:r>
          </w:p>
        </w:tc>
      </w:tr>
      <w:tr w:rsidR="00772A9B" w14:paraId="3E71CE53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00209" w14:textId="7D3085EB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Duration</w:t>
            </w:r>
            <w:r w:rsidR="00456768">
              <w:rPr>
                <w:rFonts w:ascii="Book Antiqua" w:eastAsia="Calibri" w:hAnsi="Book Antiqua" w:cs="Book Antiqua"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</w:rPr>
              <w:t>of</w:t>
            </w:r>
            <w:r w:rsidR="00456768">
              <w:rPr>
                <w:rFonts w:ascii="Book Antiqua" w:eastAsia="Calibri" w:hAnsi="Book Antiqua" w:cs="Book Antiqua"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</w:rPr>
              <w:t>obesity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E505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-2.48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0AAD0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6.17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B7A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103F2B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-0.47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F8316EB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313174D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0.63</w:t>
            </w:r>
          </w:p>
        </w:tc>
      </w:tr>
      <w:tr w:rsidR="00772A9B" w14:paraId="060D96CF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5089D" w14:textId="7C1A4125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  <w:i/>
                <w:lang w:val="en-GB"/>
              </w:rPr>
              <w:t>HSD17B13</w:t>
            </w:r>
            <w:r w:rsidR="00456768">
              <w:rPr>
                <w:rFonts w:ascii="Book Antiqua" w:eastAsia="Calibri" w:hAnsi="Book Antiqua" w:cs="Book Antiqua"/>
                <w:bCs/>
                <w:i/>
                <w:lang w:val="en-GB"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  <w:lang w:val="en-GB"/>
              </w:rPr>
              <w:t>genotype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84D4B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1.89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236A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42.58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8C60" w14:textId="04182884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&lt;</w:t>
            </w:r>
            <w:r w:rsidR="00456768">
              <w:rPr>
                <w:rFonts w:ascii="Book Antiqua" w:eastAsia="Calibri" w:hAnsi="Book Antiqua" w:cs="Book Antiqua"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</w:rPr>
              <w:t>0.0001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E1F03E2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4.63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6E4DA1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21.49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49011F3" w14:textId="2CB4043F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&lt;</w:t>
            </w:r>
            <w:r w:rsidR="00456768">
              <w:rPr>
                <w:rFonts w:ascii="Book Antiqua" w:eastAsia="Calibri" w:hAnsi="Book Antiqua" w:cs="Book Antiqua"/>
                <w:bCs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</w:rPr>
              <w:t>0.0001</w:t>
            </w:r>
          </w:p>
        </w:tc>
      </w:tr>
      <w:tr w:rsidR="00772A9B" w14:paraId="6B5834E5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3C85" w14:textId="3B9D2D5C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  <w:i/>
                <w:lang w:val="en-GB"/>
              </w:rPr>
            </w:pPr>
            <w:r>
              <w:rPr>
                <w:rFonts w:ascii="Book Antiqua" w:eastAsia="Calibri" w:hAnsi="Book Antiqua" w:cs="Book Antiqua"/>
                <w:bCs/>
                <w:i/>
                <w:lang w:val="en-GB"/>
              </w:rPr>
              <w:t>PNPLA3</w:t>
            </w:r>
            <w:r w:rsidR="00456768">
              <w:rPr>
                <w:rFonts w:ascii="Book Antiqua" w:eastAsia="Calibri" w:hAnsi="Book Antiqua" w:cs="Book Antiqua"/>
                <w:bCs/>
                <w:i/>
                <w:lang w:val="en-GB"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  <w:lang w:val="en-GB"/>
              </w:rPr>
              <w:t>genotype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926F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-3.80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772E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11.19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7E4CD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8312BB8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-0.90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16701DF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0.81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7BF9231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0.36</w:t>
            </w:r>
          </w:p>
        </w:tc>
      </w:tr>
      <w:tr w:rsidR="00772A9B" w14:paraId="6A35DCC2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21FE4" w14:textId="4FE5B28F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  <w:lang w:val="en-GB"/>
              </w:rPr>
            </w:pPr>
            <w:r>
              <w:rPr>
                <w:rFonts w:ascii="Book Antiqua" w:eastAsia="Calibri" w:hAnsi="Book Antiqua" w:cs="Book Antiqua"/>
                <w:bCs/>
                <w:i/>
                <w:lang w:val="en-GB"/>
              </w:rPr>
              <w:t>TM6SF2</w:t>
            </w:r>
            <w:r w:rsidR="00456768">
              <w:rPr>
                <w:rFonts w:ascii="Book Antiqua" w:eastAsia="Calibri" w:hAnsi="Book Antiqua" w:cs="Book Antiqua"/>
                <w:bCs/>
                <w:i/>
                <w:lang w:val="en-GB"/>
              </w:rPr>
              <w:t xml:space="preserve"> </w:t>
            </w:r>
            <w:r>
              <w:rPr>
                <w:rFonts w:ascii="Book Antiqua" w:eastAsia="Calibri" w:hAnsi="Book Antiqua" w:cs="Book Antiqua"/>
                <w:bCs/>
                <w:lang w:val="en-GB"/>
              </w:rPr>
              <w:t>genotype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E3A7B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1.13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538F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11.82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04462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35C1641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1.40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ECE8D5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1.97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511E2C8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0.16</w:t>
            </w:r>
          </w:p>
        </w:tc>
      </w:tr>
      <w:tr w:rsidR="00772A9B" w14:paraId="4AF65513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F0F8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  <w:lang w:val="en-GB"/>
              </w:rPr>
              <w:t>BMI-SDS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228E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4780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CFE5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0.53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64645F3A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9A62881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66CE767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0.61</w:t>
            </w:r>
          </w:p>
        </w:tc>
      </w:tr>
      <w:tr w:rsidR="00772A9B" w14:paraId="71EC2A4D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A114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  <w:lang w:val="en-GB"/>
              </w:rPr>
              <w:t>HOMA-IR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25AA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-1.20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D7397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1.44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5268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0.23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E1E1E7F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484C940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0.40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529714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0.52</w:t>
            </w:r>
          </w:p>
        </w:tc>
      </w:tr>
      <w:tr w:rsidR="00772A9B" w14:paraId="68D947A2" w14:textId="77777777" w:rsidTr="004E34D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FC6EF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  <w:lang w:val="en-GB"/>
              </w:rPr>
              <w:t>Triglycerides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752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-0.94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00BA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DC2D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0.34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8E186CF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EFD9295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0.90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0ED40B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0.34</w:t>
            </w:r>
          </w:p>
        </w:tc>
      </w:tr>
      <w:tr w:rsidR="00772A9B" w14:paraId="00B09F4E" w14:textId="77777777" w:rsidTr="004E34D1">
        <w:trPr>
          <w:trHeight w:val="333"/>
        </w:trPr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9DFBC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Book Antiqua"/>
                <w:bCs/>
                <w:lang w:val="en-GB"/>
              </w:rPr>
            </w:pPr>
            <w:r>
              <w:rPr>
                <w:rFonts w:ascii="Book Antiqua" w:eastAsia="Calibri" w:hAnsi="Book Antiqua" w:cs="Book Antiqua"/>
                <w:bCs/>
                <w:lang w:val="en-GB"/>
              </w:rPr>
              <w:t>LDL-Cholesterol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D1BB2B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0.69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06366A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0.47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625986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0.49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14:paraId="23113B6E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223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0.23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6721A4F4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ind w:left="112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0.05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14:paraId="10C2151C" w14:textId="77777777" w:rsidR="00772A9B" w:rsidRDefault="002D2261" w:rsidP="004E3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Calibri" w:hAnsi="Book Antiqua" w:cs="Book Antiqua"/>
                <w:bCs/>
              </w:rPr>
            </w:pPr>
            <w:r>
              <w:rPr>
                <w:rFonts w:ascii="Book Antiqua" w:eastAsia="Calibri" w:hAnsi="Book Antiqua" w:cs="Book Antiqua"/>
                <w:bCs/>
              </w:rPr>
              <w:t>0.81</w:t>
            </w:r>
          </w:p>
        </w:tc>
      </w:tr>
    </w:tbl>
    <w:p w14:paraId="12DC156E" w14:textId="7B109036" w:rsidR="00772A9B" w:rsidRDefault="002D2261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Cs/>
          <w:lang w:eastAsia="it-IT"/>
        </w:rPr>
        <w:t>NAFLD: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Model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r2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0.39,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adjusted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r2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0.33;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Non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NAFLD:</w:t>
      </w:r>
      <w:r w:rsidR="00456768">
        <w:rPr>
          <w:rFonts w:ascii="Book Antiqua" w:eastAsia="Calibri" w:hAnsi="Book Antiqua" w:cs="Book Antiqua"/>
          <w:bCs/>
          <w:lang w:eastAsia="it-IT"/>
        </w:rPr>
        <w:t xml:space="preserve"> </w:t>
      </w:r>
      <w:r>
        <w:rPr>
          <w:rFonts w:ascii="Book Antiqua" w:eastAsia="Calibri" w:hAnsi="Book Antiqua" w:cs="Book Antiqua"/>
          <w:bCs/>
          <w:lang w:eastAsia="it-IT"/>
        </w:rPr>
        <w:t>Mo</w:t>
      </w:r>
      <w:r>
        <w:rPr>
          <w:rFonts w:ascii="Book Antiqua" w:eastAsia="Calibri" w:hAnsi="Book Antiqua" w:cs="Book Antiqua"/>
          <w:lang w:eastAsia="it-IT"/>
        </w:rPr>
        <w:t>del</w:t>
      </w:r>
      <w:r w:rsidR="00456768">
        <w:rPr>
          <w:rFonts w:ascii="Book Antiqua" w:eastAsia="Calibri" w:hAnsi="Book Antiqua" w:cs="Book Antiqua"/>
          <w:lang w:eastAsia="it-IT"/>
        </w:rPr>
        <w:t xml:space="preserve"> </w:t>
      </w:r>
      <w:r>
        <w:rPr>
          <w:rFonts w:ascii="Book Antiqua" w:eastAsia="Calibri" w:hAnsi="Book Antiqua" w:cs="Book Antiqua"/>
          <w:lang w:eastAsia="it-IT"/>
        </w:rPr>
        <w:t>r2</w:t>
      </w:r>
      <w:r w:rsidR="00456768">
        <w:rPr>
          <w:rFonts w:ascii="Book Antiqua" w:eastAsia="Calibri" w:hAnsi="Book Antiqua" w:cs="Book Antiqua"/>
          <w:lang w:eastAsia="it-IT"/>
        </w:rPr>
        <w:t xml:space="preserve"> </w:t>
      </w:r>
      <w:r>
        <w:rPr>
          <w:rFonts w:ascii="Book Antiqua" w:eastAsia="Calibri" w:hAnsi="Book Antiqua" w:cs="Book Antiqua"/>
          <w:lang w:eastAsia="it-IT"/>
        </w:rPr>
        <w:t>0.16,</w:t>
      </w:r>
      <w:r w:rsidR="00456768">
        <w:rPr>
          <w:rFonts w:ascii="Book Antiqua" w:eastAsia="Calibri" w:hAnsi="Book Antiqua" w:cs="Book Antiqua"/>
          <w:lang w:eastAsia="it-IT"/>
        </w:rPr>
        <w:t xml:space="preserve"> </w:t>
      </w:r>
      <w:r>
        <w:rPr>
          <w:rFonts w:ascii="Book Antiqua" w:eastAsia="Calibri" w:hAnsi="Book Antiqua" w:cs="Book Antiqua"/>
          <w:lang w:eastAsia="it-IT"/>
        </w:rPr>
        <w:t>adjusted</w:t>
      </w:r>
      <w:r w:rsidR="00456768">
        <w:rPr>
          <w:rFonts w:ascii="Book Antiqua" w:eastAsia="Calibri" w:hAnsi="Book Antiqua" w:cs="Book Antiqua"/>
          <w:lang w:eastAsia="it-IT"/>
        </w:rPr>
        <w:t xml:space="preserve"> </w:t>
      </w:r>
      <w:r>
        <w:rPr>
          <w:rFonts w:ascii="Book Antiqua" w:eastAsia="Calibri" w:hAnsi="Book Antiqua" w:cs="Book Antiqua"/>
          <w:lang w:eastAsia="it-IT"/>
        </w:rPr>
        <w:t>r2</w:t>
      </w:r>
      <w:r w:rsidR="00456768">
        <w:rPr>
          <w:rFonts w:ascii="Book Antiqua" w:eastAsia="Calibri" w:hAnsi="Book Antiqua" w:cs="Book Antiqua"/>
          <w:lang w:eastAsia="it-IT"/>
        </w:rPr>
        <w:t xml:space="preserve"> </w:t>
      </w:r>
      <w:r>
        <w:rPr>
          <w:rFonts w:ascii="Book Antiqua" w:eastAsia="Calibri" w:hAnsi="Book Antiqua" w:cs="Book Antiqua"/>
          <w:lang w:eastAsia="it-IT"/>
        </w:rPr>
        <w:t>0.11.</w:t>
      </w:r>
      <w:r w:rsidR="00456768">
        <w:rPr>
          <w:rFonts w:ascii="Book Antiqua" w:eastAsia="Calibri" w:hAnsi="Book Antiqua" w:cs="Book Antiqua"/>
          <w:lang w:eastAsia="it-IT"/>
        </w:rPr>
        <w:t xml:space="preserve"> </w:t>
      </w:r>
      <w:r>
        <w:rPr>
          <w:rFonts w:ascii="Book Antiqua" w:eastAsia="Calibri" w:hAnsi="Book Antiqua" w:cs="Book Antiqua"/>
          <w:lang w:val="en-GB"/>
        </w:rPr>
        <w:t>ALT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Alanine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transaminase</w:t>
      </w:r>
      <w:r>
        <w:rPr>
          <w:rFonts w:ascii="Book Antiqua" w:hAnsi="Book Antiqua" w:cs="Book Antiqua"/>
          <w:lang w:val="en-GB"/>
        </w:rPr>
        <w:t>;</w:t>
      </w:r>
      <w:r w:rsidR="00456768">
        <w:rPr>
          <w:rFonts w:ascii="Book Antiqua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BMI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Body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mass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index;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eGFR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Estimated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glomerular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filtration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rate;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GLM</w:t>
      </w:r>
      <w:r>
        <w:rPr>
          <w:rFonts w:ascii="Book Antiqua" w:eastAsia="Calibri" w:hAnsi="Book Antiqua" w:cs="Book Antiqua"/>
        </w:rPr>
        <w:t>: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General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linear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  <w:lang w:val="en-GB"/>
        </w:rPr>
        <w:t>model;</w:t>
      </w:r>
      <w:r w:rsidR="00456768">
        <w:rPr>
          <w:rFonts w:ascii="Book Antiqua" w:eastAsia="Calibri" w:hAnsi="Book Antiqua" w:cs="Book Antiqua"/>
          <w:lang w:val="en-GB"/>
        </w:rPr>
        <w:t xml:space="preserve"> </w:t>
      </w:r>
      <w:r>
        <w:rPr>
          <w:rFonts w:ascii="Book Antiqua" w:eastAsia="Calibri" w:hAnsi="Book Antiqua" w:cs="Book Antiqua"/>
        </w:rPr>
        <w:t>HOMA:</w:t>
      </w:r>
      <w:r w:rsidR="00456768">
        <w:rPr>
          <w:rFonts w:ascii="Book Antiqua" w:eastAsia="Calibri" w:hAnsi="Book Antiqua" w:cs="Book Antiqua"/>
        </w:rPr>
        <w:t xml:space="preserve"> </w:t>
      </w:r>
      <w:r>
        <w:rPr>
          <w:rFonts w:ascii="Book Antiqua" w:hAnsi="Book Antiqua" w:cs="Book Antiqua"/>
        </w:rPr>
        <w:t>Homeostasis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model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assessment;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LDL: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Low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density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lipoprotein;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SDS: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Standard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deviation</w:t>
      </w:r>
      <w:r w:rsidR="0045676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score.</w:t>
      </w:r>
    </w:p>
    <w:sectPr w:rsidR="0077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148C" w14:textId="77777777" w:rsidR="00BB0042" w:rsidRDefault="00BB0042" w:rsidP="00EE0BBA">
      <w:r>
        <w:separator/>
      </w:r>
    </w:p>
  </w:endnote>
  <w:endnote w:type="continuationSeparator" w:id="0">
    <w:p w14:paraId="258C1775" w14:textId="77777777" w:rsidR="00BB0042" w:rsidRDefault="00BB0042" w:rsidP="00EE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11848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E0F9AA" w14:textId="0C6E8B92" w:rsidR="00EE0BBA" w:rsidRDefault="00456768" w:rsidP="00EE0BBA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 w:rsidR="00EE0BBA">
              <w:rPr>
                <w:b/>
                <w:bCs/>
                <w:sz w:val="24"/>
                <w:szCs w:val="24"/>
              </w:rPr>
              <w:fldChar w:fldCharType="begin"/>
            </w:r>
            <w:r w:rsidR="00EE0BBA">
              <w:rPr>
                <w:b/>
                <w:bCs/>
              </w:rPr>
              <w:instrText>PAGE</w:instrText>
            </w:r>
            <w:r w:rsidR="00EE0BBA">
              <w:rPr>
                <w:b/>
                <w:bCs/>
                <w:sz w:val="24"/>
                <w:szCs w:val="24"/>
              </w:rPr>
              <w:fldChar w:fldCharType="separate"/>
            </w:r>
            <w:r w:rsidR="00B16F14">
              <w:rPr>
                <w:b/>
                <w:bCs/>
                <w:noProof/>
              </w:rPr>
              <w:t>4</w:t>
            </w:r>
            <w:r w:rsidR="00EE0BB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EE0BBA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EE0BBA">
              <w:rPr>
                <w:b/>
                <w:bCs/>
                <w:sz w:val="24"/>
                <w:szCs w:val="24"/>
              </w:rPr>
              <w:fldChar w:fldCharType="begin"/>
            </w:r>
            <w:r w:rsidR="00EE0BBA">
              <w:rPr>
                <w:b/>
                <w:bCs/>
              </w:rPr>
              <w:instrText>NUMPAGES</w:instrText>
            </w:r>
            <w:r w:rsidR="00EE0BBA">
              <w:rPr>
                <w:b/>
                <w:bCs/>
                <w:sz w:val="24"/>
                <w:szCs w:val="24"/>
              </w:rPr>
              <w:fldChar w:fldCharType="separate"/>
            </w:r>
            <w:r w:rsidR="00B16F14">
              <w:rPr>
                <w:b/>
                <w:bCs/>
                <w:noProof/>
              </w:rPr>
              <w:t>23</w:t>
            </w:r>
            <w:r w:rsidR="00EE0B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6D3D7" w14:textId="77777777" w:rsidR="00EE0BBA" w:rsidRDefault="00EE0B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934E" w14:textId="77777777" w:rsidR="00BB0042" w:rsidRDefault="00BB0042" w:rsidP="00EE0BBA">
      <w:r>
        <w:separator/>
      </w:r>
    </w:p>
  </w:footnote>
  <w:footnote w:type="continuationSeparator" w:id="0">
    <w:p w14:paraId="187E8672" w14:textId="77777777" w:rsidR="00BB0042" w:rsidRDefault="00BB0042" w:rsidP="00EE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1A17F"/>
    <w:multiLevelType w:val="singleLevel"/>
    <w:tmpl w:val="4911A17F"/>
    <w:lvl w:ilvl="0">
      <w:start w:val="16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5222"/>
    <w:rsid w:val="000F6FEC"/>
    <w:rsid w:val="001276CF"/>
    <w:rsid w:val="00146508"/>
    <w:rsid w:val="001625B5"/>
    <w:rsid w:val="00172787"/>
    <w:rsid w:val="00195D4E"/>
    <w:rsid w:val="001B1521"/>
    <w:rsid w:val="001B4FAB"/>
    <w:rsid w:val="001D6549"/>
    <w:rsid w:val="001E5786"/>
    <w:rsid w:val="00214B0D"/>
    <w:rsid w:val="002150B1"/>
    <w:rsid w:val="00290BC6"/>
    <w:rsid w:val="002C319C"/>
    <w:rsid w:val="002D2261"/>
    <w:rsid w:val="00304660"/>
    <w:rsid w:val="00323F86"/>
    <w:rsid w:val="003322B9"/>
    <w:rsid w:val="003336AC"/>
    <w:rsid w:val="0036365A"/>
    <w:rsid w:val="00366505"/>
    <w:rsid w:val="003E72C8"/>
    <w:rsid w:val="0040076A"/>
    <w:rsid w:val="004143FA"/>
    <w:rsid w:val="00456768"/>
    <w:rsid w:val="004836E1"/>
    <w:rsid w:val="004B2C28"/>
    <w:rsid w:val="004B38E9"/>
    <w:rsid w:val="004E34D1"/>
    <w:rsid w:val="00505051"/>
    <w:rsid w:val="00505C6F"/>
    <w:rsid w:val="00565209"/>
    <w:rsid w:val="005744FE"/>
    <w:rsid w:val="005A2316"/>
    <w:rsid w:val="0062102C"/>
    <w:rsid w:val="0062646C"/>
    <w:rsid w:val="00637ABD"/>
    <w:rsid w:val="00671EDD"/>
    <w:rsid w:val="006D2181"/>
    <w:rsid w:val="00714D8C"/>
    <w:rsid w:val="0072613D"/>
    <w:rsid w:val="00754DEB"/>
    <w:rsid w:val="00772A9B"/>
    <w:rsid w:val="007844E8"/>
    <w:rsid w:val="00791686"/>
    <w:rsid w:val="007A330A"/>
    <w:rsid w:val="007D4E55"/>
    <w:rsid w:val="0082539A"/>
    <w:rsid w:val="008558CC"/>
    <w:rsid w:val="008D5C7A"/>
    <w:rsid w:val="009321CF"/>
    <w:rsid w:val="00944F12"/>
    <w:rsid w:val="009801FA"/>
    <w:rsid w:val="00992F3A"/>
    <w:rsid w:val="00A17A04"/>
    <w:rsid w:val="00A4584C"/>
    <w:rsid w:val="00A636CE"/>
    <w:rsid w:val="00A77B3E"/>
    <w:rsid w:val="00A81B88"/>
    <w:rsid w:val="00B16F14"/>
    <w:rsid w:val="00B24909"/>
    <w:rsid w:val="00B51B21"/>
    <w:rsid w:val="00B975FB"/>
    <w:rsid w:val="00BB0042"/>
    <w:rsid w:val="00BC51BF"/>
    <w:rsid w:val="00C004E4"/>
    <w:rsid w:val="00C15E2F"/>
    <w:rsid w:val="00C1786E"/>
    <w:rsid w:val="00C32B80"/>
    <w:rsid w:val="00C97D32"/>
    <w:rsid w:val="00CA2A55"/>
    <w:rsid w:val="00CE4127"/>
    <w:rsid w:val="00CF1B16"/>
    <w:rsid w:val="00D74A9E"/>
    <w:rsid w:val="00D816EE"/>
    <w:rsid w:val="00DB3281"/>
    <w:rsid w:val="00DE33DB"/>
    <w:rsid w:val="00E21A98"/>
    <w:rsid w:val="00E27A97"/>
    <w:rsid w:val="00E67E13"/>
    <w:rsid w:val="00E838E4"/>
    <w:rsid w:val="00EC28A4"/>
    <w:rsid w:val="00EE0BBA"/>
    <w:rsid w:val="00EF4CED"/>
    <w:rsid w:val="00F157C0"/>
    <w:rsid w:val="00F644EF"/>
    <w:rsid w:val="00F740DE"/>
    <w:rsid w:val="00F957B9"/>
    <w:rsid w:val="00FD185F"/>
    <w:rsid w:val="00FE35F0"/>
    <w:rsid w:val="0C71582A"/>
    <w:rsid w:val="3AEF72C2"/>
    <w:rsid w:val="40AA26F7"/>
    <w:rsid w:val="41A61482"/>
    <w:rsid w:val="43C00A8C"/>
    <w:rsid w:val="5094656D"/>
    <w:rsid w:val="53B961BD"/>
    <w:rsid w:val="60503478"/>
    <w:rsid w:val="6083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1D3F6"/>
  <w15:docId w15:val="{90F10B27-7963-4A60-9B05-BE32A7E9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a4">
    <w:name w:val="header"/>
    <w:basedOn w:val="a"/>
    <w:link w:val="a5"/>
    <w:rsid w:val="00EE0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E0BBA"/>
    <w:rPr>
      <w:rFonts w:ascii="Times New Roman" w:eastAsia="Times New Roman" w:hAnsi="Times New Roman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rsid w:val="00EE0B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0BBA"/>
    <w:rPr>
      <w:rFonts w:ascii="Times New Roman" w:eastAsia="Times New Roman" w:hAnsi="Times New Roman"/>
      <w:sz w:val="18"/>
      <w:szCs w:val="18"/>
      <w:lang w:eastAsia="en-US"/>
    </w:rPr>
  </w:style>
  <w:style w:type="character" w:styleId="a8">
    <w:name w:val="annotation reference"/>
    <w:basedOn w:val="a0"/>
    <w:uiPriority w:val="99"/>
    <w:rsid w:val="007D4E55"/>
    <w:rPr>
      <w:sz w:val="21"/>
      <w:szCs w:val="21"/>
    </w:rPr>
  </w:style>
  <w:style w:type="paragraph" w:styleId="a9">
    <w:name w:val="annotation text"/>
    <w:basedOn w:val="a"/>
    <w:link w:val="aa"/>
    <w:rsid w:val="007D4E55"/>
  </w:style>
  <w:style w:type="character" w:customStyle="1" w:styleId="aa">
    <w:name w:val="批注文字 字符"/>
    <w:basedOn w:val="a0"/>
    <w:link w:val="a9"/>
    <w:rsid w:val="007D4E55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annotation subject"/>
    <w:basedOn w:val="a9"/>
    <w:next w:val="a9"/>
    <w:link w:val="ac"/>
    <w:rsid w:val="007D4E55"/>
    <w:rPr>
      <w:b/>
      <w:bCs/>
    </w:rPr>
  </w:style>
  <w:style w:type="character" w:customStyle="1" w:styleId="ac">
    <w:name w:val="批注主题 字符"/>
    <w:basedOn w:val="aa"/>
    <w:link w:val="ab"/>
    <w:rsid w:val="007D4E5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d">
    <w:name w:val="Balloon Text"/>
    <w:basedOn w:val="a"/>
    <w:link w:val="ae"/>
    <w:rsid w:val="007D4E55"/>
    <w:rPr>
      <w:sz w:val="18"/>
      <w:szCs w:val="18"/>
    </w:rPr>
  </w:style>
  <w:style w:type="character" w:customStyle="1" w:styleId="ae">
    <w:name w:val="批注框文本 字符"/>
    <w:basedOn w:val="a0"/>
    <w:link w:val="ad"/>
    <w:rsid w:val="007D4E55"/>
    <w:rPr>
      <w:rFonts w:ascii="Times New Roman" w:eastAsia="Times New Roman" w:hAnsi="Times New Roman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79168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Liansheng Ma</cp:lastModifiedBy>
  <cp:revision>2</cp:revision>
  <cp:lastPrinted>2020-09-01T06:54:00Z</cp:lastPrinted>
  <dcterms:created xsi:type="dcterms:W3CDTF">2020-09-04T02:30:00Z</dcterms:created>
  <dcterms:modified xsi:type="dcterms:W3CDTF">2020-09-04T02:30:00Z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