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450D8B0" w14:textId="0EE22B6E" w:rsidR="001A3B87" w:rsidRPr="000C178D" w:rsidRDefault="001A3B87" w:rsidP="000C178D">
      <w:pPr>
        <w:snapToGrid w:val="0"/>
        <w:spacing w:after="0" w:line="360" w:lineRule="auto"/>
        <w:jc w:val="both"/>
        <w:rPr>
          <w:rFonts w:ascii="Book Antiqua" w:eastAsia="Times New Roman" w:hAnsi="Book Antiqua" w:cs="Times New Roman"/>
          <w:i/>
          <w:color w:val="000000"/>
          <w:sz w:val="24"/>
          <w:szCs w:val="24"/>
          <w:lang w:eastAsia="de-DE"/>
        </w:rPr>
      </w:pPr>
      <w:bookmarkStart w:id="0" w:name="OLE_LINK1"/>
      <w:r w:rsidRPr="000C178D">
        <w:rPr>
          <w:rFonts w:ascii="Book Antiqua" w:eastAsia="Times New Roman" w:hAnsi="Book Antiqua" w:cs="Times New Roman"/>
          <w:b/>
          <w:color w:val="000000"/>
          <w:sz w:val="24"/>
          <w:szCs w:val="24"/>
          <w:lang w:eastAsia="de-DE"/>
        </w:rPr>
        <w:t>Name of Journal:</w:t>
      </w:r>
      <w:r w:rsidRPr="000C178D">
        <w:rPr>
          <w:rFonts w:ascii="Book Antiqua" w:eastAsia="Times New Roman" w:hAnsi="Book Antiqua" w:cs="Times New Roman"/>
          <w:color w:val="000000"/>
          <w:sz w:val="24"/>
          <w:szCs w:val="24"/>
          <w:lang w:eastAsia="de-DE"/>
        </w:rPr>
        <w:t xml:space="preserve"> </w:t>
      </w:r>
      <w:r w:rsidRPr="000C178D">
        <w:rPr>
          <w:rFonts w:ascii="Book Antiqua" w:eastAsia="Times New Roman" w:hAnsi="Book Antiqua" w:cs="Times New Roman"/>
          <w:i/>
          <w:color w:val="000000"/>
          <w:sz w:val="24"/>
          <w:szCs w:val="24"/>
          <w:lang w:eastAsia="de-DE"/>
        </w:rPr>
        <w:t>World Journal of</w:t>
      </w:r>
      <w:r w:rsidR="00206ECD" w:rsidRPr="000C178D">
        <w:rPr>
          <w:rFonts w:ascii="Book Antiqua" w:eastAsia="Times New Roman" w:hAnsi="Book Antiqua" w:cs="Times New Roman"/>
          <w:i/>
          <w:color w:val="000000"/>
          <w:sz w:val="24"/>
          <w:szCs w:val="24"/>
          <w:lang w:eastAsia="de-DE"/>
        </w:rPr>
        <w:t xml:space="preserve"> Clinical Cases</w:t>
      </w:r>
    </w:p>
    <w:p w14:paraId="6C95B765" w14:textId="199BE479" w:rsidR="001A3B87" w:rsidRPr="000C178D" w:rsidRDefault="001A3B87" w:rsidP="000C178D">
      <w:pPr>
        <w:snapToGrid w:val="0"/>
        <w:spacing w:after="0" w:line="360" w:lineRule="auto"/>
        <w:jc w:val="both"/>
        <w:rPr>
          <w:rFonts w:ascii="Book Antiqua" w:eastAsia="Times New Roman" w:hAnsi="Book Antiqua" w:cs="Times New Roman"/>
          <w:color w:val="000000"/>
          <w:sz w:val="24"/>
          <w:szCs w:val="24"/>
          <w:lang w:eastAsia="de-DE"/>
        </w:rPr>
      </w:pPr>
      <w:r w:rsidRPr="000C178D">
        <w:rPr>
          <w:rFonts w:ascii="Book Antiqua" w:eastAsia="Times New Roman" w:hAnsi="Book Antiqua" w:cs="Times New Roman"/>
          <w:b/>
          <w:color w:val="000000"/>
          <w:sz w:val="24"/>
          <w:szCs w:val="24"/>
          <w:lang w:eastAsia="de-DE"/>
        </w:rPr>
        <w:t>Manuscript NO:</w:t>
      </w:r>
      <w:r w:rsidR="00BB67EB" w:rsidRPr="000C178D">
        <w:rPr>
          <w:rFonts w:ascii="Book Antiqua" w:eastAsia="Times New Roman" w:hAnsi="Book Antiqua" w:cs="Times New Roman"/>
          <w:color w:val="000000"/>
          <w:sz w:val="24"/>
          <w:szCs w:val="24"/>
          <w:lang w:eastAsia="de-DE"/>
        </w:rPr>
        <w:t xml:space="preserve"> </w:t>
      </w:r>
      <w:r w:rsidR="00DF3C08" w:rsidRPr="000C178D">
        <w:rPr>
          <w:rFonts w:ascii="Book Antiqua" w:eastAsia="Times New Roman" w:hAnsi="Book Antiqua" w:cs="Times New Roman"/>
          <w:color w:val="000000"/>
          <w:sz w:val="24"/>
          <w:szCs w:val="24"/>
          <w:lang w:eastAsia="de-DE"/>
        </w:rPr>
        <w:t>55886</w:t>
      </w:r>
    </w:p>
    <w:p w14:paraId="46A98744" w14:textId="05A0527F" w:rsidR="001A3B87" w:rsidRPr="000C178D" w:rsidRDefault="001A3B87" w:rsidP="000C178D">
      <w:pPr>
        <w:adjustRightInd w:val="0"/>
        <w:snapToGrid w:val="0"/>
        <w:spacing w:after="0" w:line="360" w:lineRule="auto"/>
        <w:rPr>
          <w:rFonts w:ascii="Book Antiqua" w:eastAsia="Times New Roman" w:hAnsi="Book Antiqua" w:cs="Times New Roman"/>
          <w:snapToGrid w:val="0"/>
          <w:color w:val="000000"/>
          <w:sz w:val="24"/>
          <w:szCs w:val="24"/>
          <w:lang w:eastAsia="de-DE" w:bidi="en-US"/>
        </w:rPr>
      </w:pPr>
      <w:r w:rsidRPr="000C178D">
        <w:rPr>
          <w:rFonts w:ascii="Book Antiqua" w:eastAsia="Times New Roman" w:hAnsi="Book Antiqua" w:cs="Times New Roman"/>
          <w:b/>
          <w:snapToGrid w:val="0"/>
          <w:color w:val="000000"/>
          <w:sz w:val="24"/>
          <w:szCs w:val="24"/>
          <w:lang w:eastAsia="de-DE" w:bidi="en-US"/>
        </w:rPr>
        <w:t xml:space="preserve">Manuscript Type: </w:t>
      </w:r>
      <w:r w:rsidRPr="000C178D">
        <w:rPr>
          <w:rFonts w:ascii="Book Antiqua" w:eastAsia="Times New Roman" w:hAnsi="Book Antiqua" w:cs="Times New Roman"/>
          <w:snapToGrid w:val="0"/>
          <w:color w:val="000000"/>
          <w:sz w:val="24"/>
          <w:szCs w:val="24"/>
          <w:lang w:eastAsia="de-DE" w:bidi="en-US"/>
        </w:rPr>
        <w:t>CASE REPORT</w:t>
      </w:r>
    </w:p>
    <w:p w14:paraId="123A7197" w14:textId="77777777" w:rsidR="001A3B87" w:rsidRPr="000C178D" w:rsidRDefault="001A3B87" w:rsidP="000C178D">
      <w:pPr>
        <w:snapToGrid w:val="0"/>
        <w:spacing w:after="0" w:line="360" w:lineRule="auto"/>
        <w:rPr>
          <w:rFonts w:ascii="Book Antiqua" w:hAnsi="Book Antiqua" w:cs="Times New Roman"/>
          <w:sz w:val="24"/>
          <w:szCs w:val="24"/>
        </w:rPr>
      </w:pPr>
    </w:p>
    <w:p w14:paraId="31A84A51" w14:textId="5DB3F1B3" w:rsidR="001A3B87" w:rsidRPr="000C178D" w:rsidRDefault="005C145E" w:rsidP="000C178D">
      <w:pPr>
        <w:snapToGrid w:val="0"/>
        <w:spacing w:after="0" w:line="360" w:lineRule="auto"/>
        <w:jc w:val="both"/>
        <w:rPr>
          <w:rFonts w:ascii="Book Antiqua" w:hAnsi="Book Antiqua" w:cs="Times New Roman"/>
          <w:b/>
          <w:sz w:val="24"/>
          <w:szCs w:val="24"/>
        </w:rPr>
      </w:pPr>
      <w:r w:rsidRPr="000C178D">
        <w:rPr>
          <w:rFonts w:ascii="Book Antiqua" w:hAnsi="Book Antiqua" w:cs="Times New Roman"/>
          <w:b/>
          <w:sz w:val="24"/>
          <w:szCs w:val="24"/>
        </w:rPr>
        <w:t>Multi-organ IgG4-related disease continues to mislead clinicians: A case report and literature review</w:t>
      </w:r>
      <w:r w:rsidR="001A3B87" w:rsidRPr="000C178D">
        <w:rPr>
          <w:rFonts w:ascii="Book Antiqua" w:hAnsi="Book Antiqua" w:cs="Times New Roman"/>
          <w:b/>
          <w:sz w:val="24"/>
          <w:szCs w:val="24"/>
        </w:rPr>
        <w:t xml:space="preserve"> </w:t>
      </w:r>
    </w:p>
    <w:p w14:paraId="51B64EC8" w14:textId="77777777" w:rsidR="003D1BB5" w:rsidRPr="000C178D" w:rsidRDefault="003D1BB5" w:rsidP="000C178D">
      <w:pPr>
        <w:snapToGrid w:val="0"/>
        <w:spacing w:after="0" w:line="360" w:lineRule="auto"/>
        <w:jc w:val="both"/>
        <w:rPr>
          <w:rFonts w:ascii="Book Antiqua" w:hAnsi="Book Antiqua" w:cs="Times New Roman"/>
          <w:b/>
          <w:sz w:val="24"/>
          <w:szCs w:val="24"/>
        </w:rPr>
      </w:pPr>
    </w:p>
    <w:p w14:paraId="3A608B91" w14:textId="65C95339" w:rsidR="001A3B87" w:rsidRPr="000C178D" w:rsidRDefault="001A3B87" w:rsidP="000C178D">
      <w:pPr>
        <w:adjustRightInd w:val="0"/>
        <w:snapToGrid w:val="0"/>
        <w:spacing w:after="0" w:line="360" w:lineRule="auto"/>
        <w:jc w:val="both"/>
        <w:rPr>
          <w:rFonts w:ascii="Book Antiqua" w:eastAsia="Times New Roman" w:hAnsi="Book Antiqua" w:cs="Times New Roman"/>
          <w:color w:val="000000"/>
          <w:sz w:val="24"/>
          <w:szCs w:val="24"/>
          <w:lang w:eastAsia="de-DE" w:bidi="en-US"/>
        </w:rPr>
      </w:pPr>
      <w:proofErr w:type="spellStart"/>
      <w:r w:rsidRPr="000C178D">
        <w:rPr>
          <w:rFonts w:ascii="Book Antiqua" w:eastAsia="Times New Roman" w:hAnsi="Book Antiqua" w:cs="Times New Roman"/>
          <w:color w:val="000000"/>
          <w:sz w:val="24"/>
          <w:szCs w:val="24"/>
          <w:lang w:eastAsia="de-DE" w:bidi="en-US"/>
        </w:rPr>
        <w:t>Strainiene</w:t>
      </w:r>
      <w:proofErr w:type="spellEnd"/>
      <w:r w:rsidRPr="000C178D">
        <w:rPr>
          <w:rFonts w:ascii="Book Antiqua" w:eastAsia="Times New Roman" w:hAnsi="Book Antiqua" w:cs="Times New Roman"/>
          <w:color w:val="000000"/>
          <w:sz w:val="24"/>
          <w:szCs w:val="24"/>
          <w:lang w:eastAsia="de-DE" w:bidi="en-US"/>
        </w:rPr>
        <w:t xml:space="preserve"> S </w:t>
      </w:r>
      <w:r w:rsidRPr="000C178D">
        <w:rPr>
          <w:rFonts w:ascii="Book Antiqua" w:eastAsia="Times New Roman" w:hAnsi="Book Antiqua" w:cs="Times New Roman"/>
          <w:i/>
          <w:color w:val="000000"/>
          <w:sz w:val="24"/>
          <w:szCs w:val="24"/>
          <w:lang w:eastAsia="de-DE" w:bidi="en-US"/>
        </w:rPr>
        <w:t xml:space="preserve">et al. </w:t>
      </w:r>
      <w:r w:rsidR="00CB4756" w:rsidRPr="000C178D">
        <w:rPr>
          <w:rFonts w:ascii="Book Antiqua" w:eastAsia="Times New Roman" w:hAnsi="Book Antiqua" w:cs="Times New Roman"/>
          <w:color w:val="000000"/>
          <w:sz w:val="24"/>
          <w:szCs w:val="24"/>
          <w:lang w:eastAsia="de-DE" w:bidi="en-US"/>
        </w:rPr>
        <w:t>I</w:t>
      </w:r>
      <w:r w:rsidRPr="000C178D">
        <w:rPr>
          <w:rFonts w:ascii="Book Antiqua" w:eastAsia="Times New Roman" w:hAnsi="Book Antiqua" w:cs="Times New Roman"/>
          <w:color w:val="000000"/>
          <w:sz w:val="24"/>
          <w:szCs w:val="24"/>
          <w:lang w:eastAsia="de-DE" w:bidi="en-US"/>
        </w:rPr>
        <w:t>gG</w:t>
      </w:r>
      <w:r w:rsidR="00CB4756" w:rsidRPr="000C178D">
        <w:rPr>
          <w:rFonts w:ascii="Book Antiqua" w:eastAsia="Times New Roman" w:hAnsi="Book Antiqua" w:cs="Times New Roman"/>
          <w:color w:val="000000"/>
          <w:sz w:val="24"/>
          <w:szCs w:val="24"/>
          <w:lang w:eastAsia="de-DE" w:bidi="en-US"/>
        </w:rPr>
        <w:t>4-RD</w:t>
      </w:r>
      <w:r w:rsidR="0028757C" w:rsidRPr="000C178D">
        <w:rPr>
          <w:rFonts w:ascii="Book Antiqua" w:eastAsia="Times New Roman" w:hAnsi="Book Antiqua" w:cs="Times New Roman"/>
          <w:color w:val="000000"/>
          <w:sz w:val="24"/>
          <w:szCs w:val="24"/>
          <w:lang w:eastAsia="de-DE" w:bidi="en-US"/>
        </w:rPr>
        <w:t xml:space="preserve"> case report</w:t>
      </w:r>
      <w:r w:rsidR="00CB4756" w:rsidRPr="000C178D">
        <w:rPr>
          <w:rFonts w:ascii="Book Antiqua" w:eastAsia="Times New Roman" w:hAnsi="Book Antiqua" w:cs="Times New Roman"/>
          <w:color w:val="000000"/>
          <w:sz w:val="24"/>
          <w:szCs w:val="24"/>
          <w:lang w:eastAsia="de-DE" w:bidi="en-US"/>
        </w:rPr>
        <w:t xml:space="preserve"> </w:t>
      </w:r>
    </w:p>
    <w:p w14:paraId="440CE149" w14:textId="77777777" w:rsidR="00C052A1" w:rsidRPr="000C178D" w:rsidRDefault="00C052A1" w:rsidP="000C178D">
      <w:pPr>
        <w:adjustRightInd w:val="0"/>
        <w:snapToGrid w:val="0"/>
        <w:spacing w:after="0" w:line="360" w:lineRule="auto"/>
        <w:jc w:val="both"/>
        <w:rPr>
          <w:rFonts w:ascii="Book Antiqua" w:eastAsia="Times New Roman" w:hAnsi="Book Antiqua" w:cs="Times New Roman"/>
          <w:color w:val="000000"/>
          <w:sz w:val="24"/>
          <w:szCs w:val="24"/>
          <w:lang w:eastAsia="de-DE" w:bidi="en-US"/>
        </w:rPr>
      </w:pPr>
    </w:p>
    <w:p w14:paraId="6803986B" w14:textId="2F970A94" w:rsidR="001A3B87" w:rsidRPr="000C178D" w:rsidRDefault="001A3B87" w:rsidP="000C178D">
      <w:pPr>
        <w:snapToGrid w:val="0"/>
        <w:spacing w:after="0" w:line="360" w:lineRule="auto"/>
        <w:jc w:val="both"/>
        <w:rPr>
          <w:rFonts w:ascii="Book Antiqua" w:eastAsia="Times New Roman" w:hAnsi="Book Antiqua" w:cs="Times New Roman"/>
          <w:color w:val="000000"/>
          <w:sz w:val="24"/>
          <w:szCs w:val="24"/>
          <w:lang w:val="sv-SE" w:eastAsia="de-DE" w:bidi="en-US"/>
        </w:rPr>
      </w:pPr>
      <w:r w:rsidRPr="000C178D">
        <w:rPr>
          <w:rFonts w:ascii="Book Antiqua" w:eastAsia="Times New Roman" w:hAnsi="Book Antiqua" w:cs="Times New Roman"/>
          <w:color w:val="000000"/>
          <w:sz w:val="24"/>
          <w:szCs w:val="24"/>
          <w:lang w:val="sv-SE" w:eastAsia="de-DE" w:bidi="en-US"/>
        </w:rPr>
        <w:t>Sandra Strainiene, Lukas Sarlauskas, Ilona Savlan, Valentina Liakina, Ieva Stundiene, Jonas Valantinas</w:t>
      </w:r>
    </w:p>
    <w:p w14:paraId="507D961F" w14:textId="77777777" w:rsidR="00C052A1" w:rsidRPr="000C178D" w:rsidRDefault="00C052A1" w:rsidP="000C178D">
      <w:pPr>
        <w:snapToGrid w:val="0"/>
        <w:spacing w:after="0" w:line="360" w:lineRule="auto"/>
        <w:rPr>
          <w:rFonts w:ascii="Book Antiqua" w:eastAsia="Times New Roman" w:hAnsi="Book Antiqua" w:cs="Times New Roman"/>
          <w:color w:val="000000"/>
          <w:sz w:val="24"/>
          <w:szCs w:val="24"/>
          <w:lang w:val="sv-SE" w:eastAsia="de-DE" w:bidi="en-US"/>
        </w:rPr>
      </w:pPr>
    </w:p>
    <w:p w14:paraId="6CFB37A1" w14:textId="336179DF" w:rsidR="001A3B87" w:rsidRPr="000C178D" w:rsidRDefault="001A3B87" w:rsidP="000C178D">
      <w:pPr>
        <w:adjustRightInd w:val="0"/>
        <w:snapToGrid w:val="0"/>
        <w:spacing w:after="0" w:line="360" w:lineRule="auto"/>
        <w:jc w:val="both"/>
        <w:rPr>
          <w:rFonts w:ascii="Book Antiqua" w:eastAsia="Times New Roman" w:hAnsi="Book Antiqua" w:cs="Times New Roman"/>
          <w:color w:val="000000"/>
          <w:sz w:val="24"/>
          <w:szCs w:val="24"/>
          <w:lang w:eastAsia="de-DE" w:bidi="en-US"/>
        </w:rPr>
      </w:pPr>
      <w:r w:rsidRPr="000C178D">
        <w:rPr>
          <w:rFonts w:ascii="Book Antiqua" w:eastAsia="Times New Roman" w:hAnsi="Book Antiqua" w:cs="Times New Roman"/>
          <w:b/>
          <w:color w:val="000000"/>
          <w:sz w:val="24"/>
          <w:szCs w:val="24"/>
          <w:lang w:eastAsia="de-DE" w:bidi="en-US"/>
        </w:rPr>
        <w:t xml:space="preserve">Sandra </w:t>
      </w:r>
      <w:proofErr w:type="spellStart"/>
      <w:r w:rsidRPr="000C178D">
        <w:rPr>
          <w:rFonts w:ascii="Book Antiqua" w:eastAsia="Times New Roman" w:hAnsi="Book Antiqua" w:cs="Times New Roman"/>
          <w:b/>
          <w:color w:val="000000"/>
          <w:sz w:val="24"/>
          <w:szCs w:val="24"/>
          <w:lang w:eastAsia="de-DE" w:bidi="en-US"/>
        </w:rPr>
        <w:t>Strainiene</w:t>
      </w:r>
      <w:proofErr w:type="spellEnd"/>
      <w:r w:rsidRPr="000C178D">
        <w:rPr>
          <w:rFonts w:ascii="Book Antiqua" w:eastAsia="Times New Roman" w:hAnsi="Book Antiqua" w:cs="Times New Roman"/>
          <w:b/>
          <w:color w:val="000000"/>
          <w:sz w:val="24"/>
          <w:szCs w:val="24"/>
          <w:lang w:eastAsia="de-DE" w:bidi="en-US"/>
        </w:rPr>
        <w:t xml:space="preserve">, Ilona </w:t>
      </w:r>
      <w:proofErr w:type="spellStart"/>
      <w:r w:rsidRPr="000C178D">
        <w:rPr>
          <w:rFonts w:ascii="Book Antiqua" w:eastAsia="Times New Roman" w:hAnsi="Book Antiqua" w:cs="Times New Roman"/>
          <w:b/>
          <w:color w:val="000000"/>
          <w:sz w:val="24"/>
          <w:szCs w:val="24"/>
          <w:lang w:eastAsia="de-DE" w:bidi="en-US"/>
        </w:rPr>
        <w:t>Savlan</w:t>
      </w:r>
      <w:proofErr w:type="spellEnd"/>
      <w:r w:rsidRPr="000C178D">
        <w:rPr>
          <w:rFonts w:ascii="Book Antiqua" w:eastAsia="Times New Roman" w:hAnsi="Book Antiqua" w:cs="Times New Roman"/>
          <w:b/>
          <w:color w:val="000000"/>
          <w:sz w:val="24"/>
          <w:szCs w:val="24"/>
          <w:lang w:eastAsia="de-DE" w:bidi="en-US"/>
        </w:rPr>
        <w:t xml:space="preserve">, Valentina </w:t>
      </w:r>
      <w:proofErr w:type="spellStart"/>
      <w:r w:rsidRPr="000C178D">
        <w:rPr>
          <w:rFonts w:ascii="Book Antiqua" w:eastAsia="Times New Roman" w:hAnsi="Book Antiqua" w:cs="Times New Roman"/>
          <w:b/>
          <w:color w:val="000000"/>
          <w:sz w:val="24"/>
          <w:szCs w:val="24"/>
          <w:lang w:eastAsia="de-DE" w:bidi="en-US"/>
        </w:rPr>
        <w:t>Liakina</w:t>
      </w:r>
      <w:proofErr w:type="spellEnd"/>
      <w:r w:rsidRPr="000C178D">
        <w:rPr>
          <w:rFonts w:ascii="Book Antiqua" w:eastAsia="Times New Roman" w:hAnsi="Book Antiqua" w:cs="Times New Roman"/>
          <w:b/>
          <w:color w:val="000000"/>
          <w:sz w:val="24"/>
          <w:szCs w:val="24"/>
          <w:lang w:eastAsia="de-DE" w:bidi="en-US"/>
        </w:rPr>
        <w:t xml:space="preserve">, </w:t>
      </w:r>
      <w:proofErr w:type="spellStart"/>
      <w:r w:rsidRPr="000C178D">
        <w:rPr>
          <w:rFonts w:ascii="Book Antiqua" w:eastAsia="Times New Roman" w:hAnsi="Book Antiqua" w:cs="Times New Roman"/>
          <w:b/>
          <w:color w:val="000000"/>
          <w:sz w:val="24"/>
          <w:szCs w:val="24"/>
          <w:lang w:eastAsia="de-DE" w:bidi="en-US"/>
        </w:rPr>
        <w:t>Ieva</w:t>
      </w:r>
      <w:proofErr w:type="spellEnd"/>
      <w:r w:rsidRPr="000C178D">
        <w:rPr>
          <w:rFonts w:ascii="Book Antiqua" w:eastAsia="Times New Roman" w:hAnsi="Book Antiqua" w:cs="Times New Roman"/>
          <w:b/>
          <w:color w:val="000000"/>
          <w:sz w:val="24"/>
          <w:szCs w:val="24"/>
          <w:lang w:eastAsia="de-DE" w:bidi="en-US"/>
        </w:rPr>
        <w:t xml:space="preserve"> </w:t>
      </w:r>
      <w:proofErr w:type="spellStart"/>
      <w:r w:rsidRPr="000C178D">
        <w:rPr>
          <w:rFonts w:ascii="Book Antiqua" w:eastAsia="Times New Roman" w:hAnsi="Book Antiqua" w:cs="Times New Roman"/>
          <w:b/>
          <w:color w:val="000000"/>
          <w:sz w:val="24"/>
          <w:szCs w:val="24"/>
          <w:lang w:eastAsia="de-DE" w:bidi="en-US"/>
        </w:rPr>
        <w:t>Stundiene</w:t>
      </w:r>
      <w:proofErr w:type="spellEnd"/>
      <w:r w:rsidRPr="000C178D">
        <w:rPr>
          <w:rFonts w:ascii="Book Antiqua" w:eastAsia="Times New Roman" w:hAnsi="Book Antiqua" w:cs="Times New Roman"/>
          <w:b/>
          <w:color w:val="000000"/>
          <w:sz w:val="24"/>
          <w:szCs w:val="24"/>
          <w:lang w:eastAsia="de-DE" w:bidi="en-US"/>
        </w:rPr>
        <w:t xml:space="preserve"> and Jonas </w:t>
      </w:r>
      <w:proofErr w:type="spellStart"/>
      <w:r w:rsidRPr="000C178D">
        <w:rPr>
          <w:rFonts w:ascii="Book Antiqua" w:eastAsia="Times New Roman" w:hAnsi="Book Antiqua" w:cs="Times New Roman"/>
          <w:b/>
          <w:color w:val="000000"/>
          <w:sz w:val="24"/>
          <w:szCs w:val="24"/>
          <w:lang w:eastAsia="de-DE" w:bidi="en-US"/>
        </w:rPr>
        <w:t>Valantinas</w:t>
      </w:r>
      <w:proofErr w:type="spellEnd"/>
      <w:r w:rsidRPr="000C178D">
        <w:rPr>
          <w:rFonts w:ascii="Book Antiqua" w:eastAsia="Times New Roman" w:hAnsi="Book Antiqua" w:cs="Times New Roman"/>
          <w:b/>
          <w:color w:val="000000"/>
          <w:sz w:val="24"/>
          <w:szCs w:val="24"/>
          <w:lang w:eastAsia="de-DE" w:bidi="en-US"/>
        </w:rPr>
        <w:t xml:space="preserve">, </w:t>
      </w:r>
      <w:r w:rsidR="00AD4D95" w:rsidRPr="000C178D">
        <w:rPr>
          <w:rFonts w:ascii="Book Antiqua" w:eastAsia="Times New Roman" w:hAnsi="Book Antiqua" w:cs="Times New Roman"/>
          <w:color w:val="000000"/>
          <w:sz w:val="24"/>
          <w:szCs w:val="24"/>
          <w:lang w:eastAsia="de-DE"/>
        </w:rPr>
        <w:t xml:space="preserve">Clinic of Gastroenterology, </w:t>
      </w:r>
      <w:proofErr w:type="spellStart"/>
      <w:r w:rsidR="00AD4D95" w:rsidRPr="000C178D">
        <w:rPr>
          <w:rFonts w:ascii="Book Antiqua" w:eastAsia="Times New Roman" w:hAnsi="Book Antiqua" w:cs="Times New Roman"/>
          <w:color w:val="000000"/>
          <w:sz w:val="24"/>
          <w:szCs w:val="24"/>
          <w:lang w:eastAsia="de-DE"/>
        </w:rPr>
        <w:t>Nephrourology</w:t>
      </w:r>
      <w:proofErr w:type="spellEnd"/>
      <w:r w:rsidR="00AD4D95" w:rsidRPr="000C178D">
        <w:rPr>
          <w:rFonts w:ascii="Book Antiqua" w:eastAsia="Times New Roman" w:hAnsi="Book Antiqua" w:cs="Times New Roman"/>
          <w:color w:val="000000"/>
          <w:sz w:val="24"/>
          <w:szCs w:val="24"/>
          <w:lang w:eastAsia="de-DE"/>
        </w:rPr>
        <w:t xml:space="preserve"> and Surgery,</w:t>
      </w:r>
      <w:r w:rsidR="00AD4D95" w:rsidRPr="000C178D">
        <w:rPr>
          <w:rFonts w:ascii="Book Antiqua" w:hAnsi="Book Antiqua" w:cs="Times New Roman"/>
          <w:sz w:val="24"/>
          <w:szCs w:val="24"/>
        </w:rPr>
        <w:t xml:space="preserve"> Centre of Hepatology, Gastroenterology and Dietetics, </w:t>
      </w:r>
      <w:r w:rsidR="00AD4D95" w:rsidRPr="000C178D">
        <w:rPr>
          <w:rFonts w:ascii="Book Antiqua" w:eastAsia="Times New Roman" w:hAnsi="Book Antiqua" w:cs="Times New Roman"/>
          <w:color w:val="000000"/>
          <w:sz w:val="24"/>
          <w:szCs w:val="24"/>
          <w:lang w:eastAsia="de-DE" w:bidi="en-US"/>
        </w:rPr>
        <w:t>Institute of Clinical Medicine</w:t>
      </w:r>
      <w:r w:rsidRPr="000C178D">
        <w:rPr>
          <w:rFonts w:ascii="Book Antiqua" w:eastAsia="Times New Roman" w:hAnsi="Book Antiqua" w:cs="Times New Roman"/>
          <w:color w:val="000000"/>
          <w:sz w:val="24"/>
          <w:szCs w:val="24"/>
          <w:lang w:eastAsia="de-DE" w:bidi="en-US"/>
        </w:rPr>
        <w:t>, Vilnius University,</w:t>
      </w:r>
      <w:r w:rsidR="001428E0" w:rsidRPr="000C178D">
        <w:rPr>
          <w:rFonts w:ascii="Book Antiqua" w:eastAsia="Times New Roman" w:hAnsi="Book Antiqua" w:cs="Times New Roman"/>
          <w:color w:val="000000"/>
          <w:sz w:val="24"/>
          <w:szCs w:val="24"/>
          <w:lang w:eastAsia="de-DE" w:bidi="en-US"/>
        </w:rPr>
        <w:t xml:space="preserve"> </w:t>
      </w:r>
      <w:r w:rsidRPr="000C178D">
        <w:rPr>
          <w:rFonts w:ascii="Book Antiqua" w:eastAsia="Times New Roman" w:hAnsi="Book Antiqua" w:cs="Times New Roman"/>
          <w:color w:val="000000"/>
          <w:sz w:val="24"/>
          <w:szCs w:val="24"/>
          <w:lang w:eastAsia="de-DE" w:bidi="en-US"/>
        </w:rPr>
        <w:t xml:space="preserve">Vilnius </w:t>
      </w:r>
      <w:r w:rsidR="00AD4D95" w:rsidRPr="000C178D">
        <w:rPr>
          <w:rFonts w:ascii="Book Antiqua" w:eastAsia="Times New Roman" w:hAnsi="Book Antiqua" w:cs="Times New Roman"/>
          <w:color w:val="000000"/>
          <w:sz w:val="24"/>
          <w:szCs w:val="24"/>
          <w:lang w:eastAsia="de-DE" w:bidi="en-US"/>
        </w:rPr>
        <w:t>01513</w:t>
      </w:r>
      <w:r w:rsidRPr="000C178D">
        <w:rPr>
          <w:rFonts w:ascii="Book Antiqua" w:eastAsia="Times New Roman" w:hAnsi="Book Antiqua" w:cs="Times New Roman"/>
          <w:color w:val="000000"/>
          <w:sz w:val="24"/>
          <w:szCs w:val="24"/>
          <w:lang w:eastAsia="de-DE" w:bidi="en-US"/>
        </w:rPr>
        <w:t xml:space="preserve">, Lithuania </w:t>
      </w:r>
    </w:p>
    <w:p w14:paraId="7C9217DE" w14:textId="77777777" w:rsidR="001A3B87" w:rsidRPr="000C178D" w:rsidRDefault="001A3B87" w:rsidP="000C178D">
      <w:pPr>
        <w:snapToGrid w:val="0"/>
        <w:spacing w:after="0" w:line="360" w:lineRule="auto"/>
        <w:jc w:val="both"/>
        <w:rPr>
          <w:rFonts w:ascii="Book Antiqua" w:eastAsia="Times New Roman" w:hAnsi="Book Antiqua" w:cs="Times New Roman"/>
          <w:color w:val="000000"/>
          <w:sz w:val="24"/>
          <w:szCs w:val="24"/>
          <w:lang w:eastAsia="de-DE" w:bidi="en-US"/>
        </w:rPr>
      </w:pPr>
    </w:p>
    <w:p w14:paraId="0BAA8D92" w14:textId="68758BFD" w:rsidR="001A3B87" w:rsidRPr="000C178D" w:rsidRDefault="001A3B87" w:rsidP="000C178D">
      <w:pPr>
        <w:snapToGrid w:val="0"/>
        <w:spacing w:after="0" w:line="360" w:lineRule="auto"/>
        <w:jc w:val="both"/>
        <w:rPr>
          <w:rFonts w:ascii="Book Antiqua" w:eastAsia="Times New Roman" w:hAnsi="Book Antiqua" w:cs="Times New Roman"/>
          <w:color w:val="000000"/>
          <w:sz w:val="24"/>
          <w:szCs w:val="24"/>
          <w:lang w:eastAsia="de-DE" w:bidi="en-US"/>
        </w:rPr>
      </w:pPr>
      <w:r w:rsidRPr="000C178D">
        <w:rPr>
          <w:rFonts w:ascii="Book Antiqua" w:eastAsia="Times New Roman" w:hAnsi="Book Antiqua" w:cs="Times New Roman"/>
          <w:b/>
          <w:color w:val="000000"/>
          <w:sz w:val="24"/>
          <w:szCs w:val="24"/>
          <w:lang w:eastAsia="de-DE" w:bidi="en-US"/>
        </w:rPr>
        <w:t xml:space="preserve">Lukas </w:t>
      </w:r>
      <w:proofErr w:type="spellStart"/>
      <w:r w:rsidRPr="000C178D">
        <w:rPr>
          <w:rFonts w:ascii="Book Antiqua" w:eastAsia="Times New Roman" w:hAnsi="Book Antiqua" w:cs="Times New Roman"/>
          <w:b/>
          <w:color w:val="000000"/>
          <w:sz w:val="24"/>
          <w:szCs w:val="24"/>
          <w:lang w:eastAsia="de-DE" w:bidi="en-US"/>
        </w:rPr>
        <w:t>Sarlauskas</w:t>
      </w:r>
      <w:proofErr w:type="spellEnd"/>
      <w:r w:rsidRPr="000C178D">
        <w:rPr>
          <w:rFonts w:ascii="Book Antiqua" w:eastAsia="Times New Roman" w:hAnsi="Book Antiqua" w:cs="Times New Roman"/>
          <w:color w:val="000000"/>
          <w:sz w:val="24"/>
          <w:szCs w:val="24"/>
          <w:lang w:eastAsia="de-DE" w:bidi="en-US"/>
        </w:rPr>
        <w:t xml:space="preserve">, </w:t>
      </w:r>
      <w:r w:rsidR="00AD4D95" w:rsidRPr="000C178D">
        <w:rPr>
          <w:rFonts w:ascii="Book Antiqua" w:eastAsia="Times New Roman" w:hAnsi="Book Antiqua" w:cs="Times New Roman"/>
          <w:color w:val="000000"/>
          <w:sz w:val="24"/>
          <w:szCs w:val="24"/>
          <w:lang w:eastAsia="de-DE" w:bidi="en-US"/>
        </w:rPr>
        <w:t xml:space="preserve">Clinic of Internal Diseases, Family Medicine and Oncology, </w:t>
      </w:r>
      <w:r w:rsidRPr="000C178D">
        <w:rPr>
          <w:rFonts w:ascii="Book Antiqua" w:eastAsia="Times New Roman" w:hAnsi="Book Antiqua" w:cs="Times New Roman"/>
          <w:color w:val="000000"/>
          <w:sz w:val="24"/>
          <w:szCs w:val="24"/>
          <w:lang w:eastAsia="de-DE" w:bidi="en-US"/>
        </w:rPr>
        <w:t>Centre of Internal Diseases,</w:t>
      </w:r>
      <w:r w:rsidR="00AD4D95" w:rsidRPr="000C178D">
        <w:rPr>
          <w:rFonts w:ascii="Book Antiqua" w:eastAsia="Times New Roman" w:hAnsi="Book Antiqua" w:cs="Times New Roman"/>
          <w:color w:val="000000"/>
          <w:sz w:val="24"/>
          <w:szCs w:val="24"/>
          <w:lang w:eastAsia="de-DE" w:bidi="en-US"/>
        </w:rPr>
        <w:t xml:space="preserve"> Institute of Clinical Medicine</w:t>
      </w:r>
      <w:r w:rsidR="0041234A" w:rsidRPr="000C178D">
        <w:rPr>
          <w:rFonts w:ascii="Book Antiqua" w:eastAsia="Times New Roman" w:hAnsi="Book Antiqua" w:cs="Times New Roman"/>
          <w:color w:val="000000"/>
          <w:sz w:val="24"/>
          <w:szCs w:val="24"/>
          <w:lang w:eastAsia="de-DE" w:bidi="en-US"/>
        </w:rPr>
        <w:t xml:space="preserve">, Vilnius University, </w:t>
      </w:r>
      <w:r w:rsidR="00AD4D95" w:rsidRPr="000C178D">
        <w:rPr>
          <w:rFonts w:ascii="Book Antiqua" w:eastAsia="Times New Roman" w:hAnsi="Book Antiqua" w:cs="Times New Roman"/>
          <w:color w:val="000000"/>
          <w:sz w:val="24"/>
          <w:szCs w:val="24"/>
          <w:lang w:eastAsia="de-DE" w:bidi="en-US"/>
        </w:rPr>
        <w:t xml:space="preserve">Vilnius 01513, </w:t>
      </w:r>
      <w:r w:rsidRPr="000C178D">
        <w:rPr>
          <w:rFonts w:ascii="Book Antiqua" w:eastAsia="Times New Roman" w:hAnsi="Book Antiqua" w:cs="Times New Roman"/>
          <w:color w:val="000000"/>
          <w:sz w:val="24"/>
          <w:szCs w:val="24"/>
          <w:lang w:eastAsia="de-DE" w:bidi="en-US"/>
        </w:rPr>
        <w:t>Lithuania</w:t>
      </w:r>
    </w:p>
    <w:p w14:paraId="2905DF80" w14:textId="77777777" w:rsidR="001A3B87" w:rsidRPr="000C178D" w:rsidRDefault="001A3B87" w:rsidP="000C178D">
      <w:pPr>
        <w:snapToGrid w:val="0"/>
        <w:spacing w:after="0" w:line="360" w:lineRule="auto"/>
        <w:jc w:val="both"/>
        <w:rPr>
          <w:rFonts w:ascii="Book Antiqua" w:eastAsia="Times New Roman" w:hAnsi="Book Antiqua" w:cs="Times New Roman"/>
          <w:color w:val="000000"/>
          <w:sz w:val="24"/>
          <w:szCs w:val="24"/>
          <w:lang w:val="lt-LT" w:eastAsia="de-DE" w:bidi="en-US"/>
        </w:rPr>
      </w:pPr>
    </w:p>
    <w:p w14:paraId="615BF396" w14:textId="716B179B" w:rsidR="001A3B87" w:rsidRPr="000C178D" w:rsidRDefault="001A3B87" w:rsidP="000C178D">
      <w:pPr>
        <w:snapToGrid w:val="0"/>
        <w:spacing w:after="0" w:line="360" w:lineRule="auto"/>
        <w:jc w:val="both"/>
        <w:rPr>
          <w:rFonts w:ascii="Book Antiqua" w:eastAsia="Times New Roman" w:hAnsi="Book Antiqua" w:cs="Times New Roman"/>
          <w:color w:val="000000"/>
          <w:sz w:val="24"/>
          <w:szCs w:val="24"/>
          <w:lang w:eastAsia="de-DE"/>
        </w:rPr>
      </w:pPr>
      <w:r w:rsidRPr="000C178D">
        <w:rPr>
          <w:rFonts w:ascii="Book Antiqua" w:eastAsia="Times New Roman" w:hAnsi="Book Antiqua" w:cs="Times New Roman"/>
          <w:b/>
          <w:color w:val="000000"/>
          <w:sz w:val="24"/>
          <w:szCs w:val="24"/>
          <w:lang w:eastAsia="de-DE"/>
        </w:rPr>
        <w:t xml:space="preserve">Valentina </w:t>
      </w:r>
      <w:proofErr w:type="spellStart"/>
      <w:r w:rsidRPr="000C178D">
        <w:rPr>
          <w:rFonts w:ascii="Book Antiqua" w:eastAsia="Times New Roman" w:hAnsi="Book Antiqua" w:cs="Times New Roman"/>
          <w:b/>
          <w:color w:val="000000"/>
          <w:sz w:val="24"/>
          <w:szCs w:val="24"/>
          <w:lang w:eastAsia="de-DE"/>
        </w:rPr>
        <w:t>Liakina</w:t>
      </w:r>
      <w:proofErr w:type="spellEnd"/>
      <w:r w:rsidRPr="000C178D">
        <w:rPr>
          <w:rFonts w:ascii="Book Antiqua" w:eastAsia="Times New Roman" w:hAnsi="Book Antiqua" w:cs="Times New Roman"/>
          <w:b/>
          <w:color w:val="000000"/>
          <w:sz w:val="24"/>
          <w:szCs w:val="24"/>
          <w:lang w:eastAsia="de-DE"/>
        </w:rPr>
        <w:t xml:space="preserve">, </w:t>
      </w:r>
      <w:r w:rsidRPr="000C178D">
        <w:rPr>
          <w:rFonts w:ascii="Book Antiqua" w:eastAsia="Times New Roman" w:hAnsi="Book Antiqua" w:cs="Times New Roman"/>
          <w:color w:val="000000"/>
          <w:sz w:val="24"/>
          <w:szCs w:val="24"/>
          <w:lang w:eastAsia="de-DE"/>
        </w:rPr>
        <w:t>Department of</w:t>
      </w:r>
      <w:r w:rsidRPr="000C178D">
        <w:rPr>
          <w:rFonts w:ascii="Book Antiqua" w:eastAsia="Times New Roman" w:hAnsi="Book Antiqua" w:cs="Times New Roman"/>
          <w:b/>
          <w:color w:val="000000"/>
          <w:sz w:val="24"/>
          <w:szCs w:val="24"/>
          <w:lang w:eastAsia="de-DE"/>
        </w:rPr>
        <w:t xml:space="preserve"> </w:t>
      </w:r>
      <w:r w:rsidRPr="000C178D">
        <w:rPr>
          <w:rFonts w:ascii="Book Antiqua" w:eastAsia="Times New Roman" w:hAnsi="Book Antiqua" w:cs="Times New Roman"/>
          <w:color w:val="000000"/>
          <w:sz w:val="24"/>
          <w:szCs w:val="24"/>
          <w:lang w:eastAsia="de-DE"/>
        </w:rPr>
        <w:t>Chemistry and Bioengineering,</w:t>
      </w:r>
      <w:r w:rsidRPr="000C178D">
        <w:rPr>
          <w:rFonts w:ascii="Book Antiqua" w:eastAsia="Times New Roman" w:hAnsi="Book Antiqua" w:cs="Times New Roman"/>
          <w:b/>
          <w:color w:val="000000"/>
          <w:sz w:val="24"/>
          <w:szCs w:val="24"/>
          <w:lang w:eastAsia="de-DE"/>
        </w:rPr>
        <w:t xml:space="preserve"> </w:t>
      </w:r>
      <w:r w:rsidRPr="000C178D">
        <w:rPr>
          <w:rFonts w:ascii="Book Antiqua" w:eastAsia="Times New Roman" w:hAnsi="Book Antiqua" w:cs="Times New Roman"/>
          <w:color w:val="000000"/>
          <w:sz w:val="24"/>
          <w:szCs w:val="24"/>
          <w:lang w:eastAsia="de-DE"/>
        </w:rPr>
        <w:t>Faculty of Fundamental Science, Vilnius Gediminas Technical University,</w:t>
      </w:r>
      <w:r w:rsidR="00A11DC6" w:rsidRPr="000C178D">
        <w:rPr>
          <w:rFonts w:ascii="Book Antiqua" w:eastAsia="Times New Roman" w:hAnsi="Book Antiqua" w:cs="Times New Roman"/>
          <w:color w:val="000000"/>
          <w:sz w:val="24"/>
          <w:szCs w:val="24"/>
          <w:lang w:eastAsia="de-DE"/>
        </w:rPr>
        <w:t xml:space="preserve"> </w:t>
      </w:r>
      <w:r w:rsidR="00C71F97" w:rsidRPr="000C178D">
        <w:rPr>
          <w:rFonts w:ascii="Book Antiqua" w:eastAsia="Times New Roman" w:hAnsi="Book Antiqua" w:cs="Times New Roman"/>
          <w:color w:val="000000"/>
          <w:sz w:val="24"/>
          <w:szCs w:val="24"/>
          <w:lang w:eastAsia="de-DE"/>
        </w:rPr>
        <w:t>Vilnius 10223, Lithuania</w:t>
      </w:r>
    </w:p>
    <w:p w14:paraId="65EC6CC9" w14:textId="77777777" w:rsidR="008151AA" w:rsidRPr="000C178D" w:rsidRDefault="008151AA" w:rsidP="000C178D">
      <w:pPr>
        <w:adjustRightInd w:val="0"/>
        <w:snapToGrid w:val="0"/>
        <w:spacing w:after="0" w:line="360" w:lineRule="auto"/>
        <w:rPr>
          <w:rFonts w:ascii="Book Antiqua" w:eastAsia="Times New Roman" w:hAnsi="Book Antiqua" w:cs="Times New Roman"/>
          <w:color w:val="000000"/>
          <w:sz w:val="24"/>
          <w:szCs w:val="24"/>
          <w:lang w:val="sv-SE" w:eastAsia="de-DE"/>
        </w:rPr>
      </w:pPr>
    </w:p>
    <w:p w14:paraId="444AC994" w14:textId="7B9BF5C0" w:rsidR="00081638" w:rsidRPr="000C178D" w:rsidRDefault="00081638" w:rsidP="000C178D">
      <w:pPr>
        <w:tabs>
          <w:tab w:val="left" w:pos="1470"/>
        </w:tabs>
        <w:adjustRightInd w:val="0"/>
        <w:snapToGrid w:val="0"/>
        <w:spacing w:after="0" w:line="360" w:lineRule="auto"/>
        <w:jc w:val="both"/>
        <w:rPr>
          <w:rFonts w:ascii="Book Antiqua" w:eastAsia="Times New Roman" w:hAnsi="Book Antiqua" w:cs="Times New Roman"/>
          <w:color w:val="000000" w:themeColor="text1"/>
          <w:sz w:val="24"/>
          <w:szCs w:val="24"/>
        </w:rPr>
      </w:pPr>
      <w:r w:rsidRPr="000C178D">
        <w:rPr>
          <w:rFonts w:ascii="Book Antiqua" w:eastAsia="Times New Roman" w:hAnsi="Book Antiqua" w:cs="Times New Roman"/>
          <w:b/>
          <w:color w:val="000000"/>
          <w:sz w:val="24"/>
          <w:szCs w:val="24"/>
          <w:lang w:eastAsia="de-DE"/>
        </w:rPr>
        <w:t>Author contributions</w:t>
      </w:r>
      <w:r w:rsidRPr="000C178D">
        <w:rPr>
          <w:rFonts w:ascii="Book Antiqua" w:eastAsia="Times New Roman" w:hAnsi="Book Antiqua" w:cs="Times New Roman"/>
          <w:color w:val="000000"/>
          <w:sz w:val="24"/>
          <w:szCs w:val="24"/>
          <w:lang w:eastAsia="de-DE"/>
        </w:rPr>
        <w:t xml:space="preserve">: </w:t>
      </w:r>
      <w:proofErr w:type="spellStart"/>
      <w:r w:rsidRPr="000C178D">
        <w:rPr>
          <w:rFonts w:ascii="Book Antiqua" w:hAnsi="Book Antiqua"/>
          <w:bCs/>
          <w:sz w:val="24"/>
          <w:szCs w:val="24"/>
        </w:rPr>
        <w:t>Savlan</w:t>
      </w:r>
      <w:proofErr w:type="spellEnd"/>
      <w:r w:rsidRPr="000C178D">
        <w:rPr>
          <w:rFonts w:ascii="Book Antiqua" w:hAnsi="Book Antiqua"/>
          <w:bCs/>
          <w:sz w:val="24"/>
          <w:szCs w:val="24"/>
        </w:rPr>
        <w:t xml:space="preserve"> I was the gastroenterologist who follow</w:t>
      </w:r>
      <w:r w:rsidR="00C71F97" w:rsidRPr="000C178D">
        <w:rPr>
          <w:rFonts w:ascii="Book Antiqua" w:hAnsi="Book Antiqua"/>
          <w:bCs/>
          <w:sz w:val="24"/>
          <w:szCs w:val="24"/>
        </w:rPr>
        <w:t>ed</w:t>
      </w:r>
      <w:r w:rsidRPr="000C178D">
        <w:rPr>
          <w:rFonts w:ascii="Book Antiqua" w:hAnsi="Book Antiqua"/>
          <w:bCs/>
          <w:sz w:val="24"/>
          <w:szCs w:val="24"/>
        </w:rPr>
        <w:t>-up the patient</w:t>
      </w:r>
      <w:r w:rsidR="000C2BE6" w:rsidRPr="000C178D">
        <w:rPr>
          <w:rFonts w:ascii="Book Antiqua" w:hAnsi="Book Antiqua"/>
          <w:bCs/>
          <w:sz w:val="24"/>
          <w:szCs w:val="24"/>
          <w:lang w:eastAsia="zh-CN"/>
        </w:rPr>
        <w:t>;</w:t>
      </w:r>
      <w:r w:rsidRPr="000C178D">
        <w:rPr>
          <w:rFonts w:ascii="Book Antiqua" w:hAnsi="Book Antiqua"/>
          <w:sz w:val="24"/>
          <w:szCs w:val="24"/>
        </w:rPr>
        <w:t xml:space="preserve"> </w:t>
      </w:r>
      <w:proofErr w:type="spellStart"/>
      <w:r w:rsidRPr="000C178D">
        <w:rPr>
          <w:rFonts w:ascii="Book Antiqua" w:hAnsi="Book Antiqua"/>
          <w:sz w:val="24"/>
          <w:szCs w:val="24"/>
        </w:rPr>
        <w:t>Strainiene</w:t>
      </w:r>
      <w:proofErr w:type="spellEnd"/>
      <w:r w:rsidRPr="000C178D">
        <w:rPr>
          <w:rFonts w:ascii="Book Antiqua" w:hAnsi="Book Antiqua"/>
          <w:sz w:val="24"/>
          <w:szCs w:val="24"/>
        </w:rPr>
        <w:t xml:space="preserve"> S, </w:t>
      </w:r>
      <w:proofErr w:type="spellStart"/>
      <w:r w:rsidRPr="000C178D">
        <w:rPr>
          <w:rFonts w:ascii="Book Antiqua" w:hAnsi="Book Antiqua"/>
          <w:sz w:val="24"/>
          <w:szCs w:val="24"/>
        </w:rPr>
        <w:t>Sarlauskas</w:t>
      </w:r>
      <w:proofErr w:type="spellEnd"/>
      <w:r w:rsidRPr="000C178D">
        <w:rPr>
          <w:rFonts w:ascii="Book Antiqua" w:hAnsi="Book Antiqua"/>
          <w:sz w:val="24"/>
          <w:szCs w:val="24"/>
        </w:rPr>
        <w:t xml:space="preserve"> L</w:t>
      </w:r>
      <w:r w:rsidR="00691138" w:rsidRPr="000C178D">
        <w:rPr>
          <w:rFonts w:ascii="Book Antiqua" w:hAnsi="Book Antiqua"/>
          <w:sz w:val="24"/>
          <w:szCs w:val="24"/>
        </w:rPr>
        <w:t xml:space="preserve"> and </w:t>
      </w:r>
      <w:proofErr w:type="spellStart"/>
      <w:r w:rsidRPr="000C178D">
        <w:rPr>
          <w:rFonts w:ascii="Book Antiqua" w:hAnsi="Book Antiqua"/>
          <w:sz w:val="24"/>
          <w:szCs w:val="24"/>
        </w:rPr>
        <w:t>Savlan</w:t>
      </w:r>
      <w:proofErr w:type="spellEnd"/>
      <w:r w:rsidR="00C71F97" w:rsidRPr="000C178D">
        <w:rPr>
          <w:rFonts w:ascii="Book Antiqua" w:hAnsi="Book Antiqua"/>
          <w:sz w:val="24"/>
          <w:szCs w:val="24"/>
        </w:rPr>
        <w:t xml:space="preserve"> I</w:t>
      </w:r>
      <w:r w:rsidRPr="000C178D">
        <w:rPr>
          <w:rFonts w:ascii="Book Antiqua" w:hAnsi="Book Antiqua"/>
          <w:sz w:val="24"/>
          <w:szCs w:val="24"/>
        </w:rPr>
        <w:t xml:space="preserve"> </w:t>
      </w:r>
      <w:r w:rsidRPr="000C178D">
        <w:rPr>
          <w:rFonts w:ascii="Book Antiqua" w:eastAsia="Times New Roman" w:hAnsi="Book Antiqua" w:cs="Times New Roman"/>
          <w:color w:val="000000"/>
          <w:sz w:val="24"/>
          <w:szCs w:val="24"/>
          <w:lang w:eastAsia="de-DE"/>
        </w:rPr>
        <w:t>performed patient's data extraction</w:t>
      </w:r>
      <w:r w:rsidR="000C2BE6" w:rsidRPr="000C178D">
        <w:rPr>
          <w:rFonts w:ascii="Book Antiqua" w:eastAsia="Times New Roman" w:hAnsi="Book Antiqua" w:cs="Times New Roman"/>
          <w:sz w:val="24"/>
          <w:szCs w:val="24"/>
          <w:lang w:eastAsia="de-DE"/>
        </w:rPr>
        <w:t>;</w:t>
      </w:r>
      <w:r w:rsidRPr="000C178D">
        <w:rPr>
          <w:rFonts w:ascii="Book Antiqua" w:eastAsia="Times New Roman" w:hAnsi="Book Antiqua" w:cs="Times New Roman"/>
          <w:sz w:val="24"/>
          <w:szCs w:val="24"/>
          <w:lang w:eastAsia="de-DE"/>
        </w:rPr>
        <w:t xml:space="preserve"> </w:t>
      </w:r>
      <w:proofErr w:type="spellStart"/>
      <w:r w:rsidRPr="000C178D">
        <w:rPr>
          <w:rFonts w:ascii="Book Antiqua" w:eastAsia="Times New Roman" w:hAnsi="Book Antiqua" w:cs="Times New Roman"/>
          <w:sz w:val="24"/>
          <w:szCs w:val="24"/>
          <w:lang w:eastAsia="de-DE"/>
        </w:rPr>
        <w:t>Strainiene</w:t>
      </w:r>
      <w:proofErr w:type="spellEnd"/>
      <w:r w:rsidRPr="000C178D">
        <w:rPr>
          <w:rFonts w:ascii="Book Antiqua" w:eastAsia="Times New Roman" w:hAnsi="Book Antiqua" w:cs="Times New Roman"/>
          <w:sz w:val="24"/>
          <w:szCs w:val="24"/>
          <w:lang w:eastAsia="de-DE"/>
        </w:rPr>
        <w:t xml:space="preserve"> S</w:t>
      </w:r>
      <w:r w:rsidR="00B55F03" w:rsidRPr="000C178D">
        <w:rPr>
          <w:rFonts w:ascii="Book Antiqua" w:eastAsia="Times New Roman" w:hAnsi="Book Antiqua" w:cs="Times New Roman"/>
          <w:sz w:val="24"/>
          <w:szCs w:val="24"/>
          <w:lang w:eastAsia="de-DE"/>
        </w:rPr>
        <w:t xml:space="preserve"> and </w:t>
      </w:r>
      <w:proofErr w:type="spellStart"/>
      <w:r w:rsidRPr="000C178D">
        <w:rPr>
          <w:rFonts w:ascii="Book Antiqua" w:eastAsia="Times New Roman" w:hAnsi="Book Antiqua" w:cs="Times New Roman"/>
          <w:sz w:val="24"/>
          <w:szCs w:val="24"/>
          <w:lang w:eastAsia="de-DE"/>
        </w:rPr>
        <w:t>Sarlauskas</w:t>
      </w:r>
      <w:proofErr w:type="spellEnd"/>
      <w:r w:rsidRPr="000C178D">
        <w:rPr>
          <w:rFonts w:ascii="Book Antiqua" w:eastAsia="Times New Roman" w:hAnsi="Book Antiqua" w:cs="Times New Roman"/>
          <w:sz w:val="24"/>
          <w:szCs w:val="24"/>
          <w:lang w:eastAsia="de-DE"/>
        </w:rPr>
        <w:t xml:space="preserve"> L </w:t>
      </w:r>
      <w:r w:rsidRPr="000C178D">
        <w:rPr>
          <w:rFonts w:ascii="Book Antiqua" w:eastAsia="Times New Roman" w:hAnsi="Book Antiqua" w:cs="Times New Roman"/>
          <w:color w:val="000000"/>
          <w:sz w:val="24"/>
          <w:szCs w:val="24"/>
          <w:lang w:eastAsia="de-DE"/>
        </w:rPr>
        <w:t xml:space="preserve">wrote the </w:t>
      </w:r>
      <w:r w:rsidRPr="000C178D">
        <w:rPr>
          <w:rFonts w:ascii="Book Antiqua" w:eastAsia="Times New Roman" w:hAnsi="Book Antiqua" w:cs="Times New Roman"/>
          <w:sz w:val="24"/>
          <w:szCs w:val="24"/>
          <w:lang w:eastAsia="de-DE"/>
        </w:rPr>
        <w:t xml:space="preserve">original </w:t>
      </w:r>
      <w:r w:rsidRPr="000C178D">
        <w:rPr>
          <w:rFonts w:ascii="Book Antiqua" w:eastAsia="Times New Roman" w:hAnsi="Book Antiqua" w:cs="Times New Roman"/>
          <w:color w:val="000000"/>
          <w:sz w:val="24"/>
          <w:szCs w:val="24"/>
          <w:lang w:eastAsia="de-DE"/>
        </w:rPr>
        <w:t>manuscript</w:t>
      </w:r>
      <w:r w:rsidRPr="000C178D">
        <w:rPr>
          <w:rFonts w:ascii="Book Antiqua" w:eastAsia="Times New Roman" w:hAnsi="Book Antiqua" w:cs="Times New Roman"/>
          <w:sz w:val="24"/>
          <w:szCs w:val="24"/>
          <w:lang w:eastAsia="de-DE"/>
        </w:rPr>
        <w:t xml:space="preserve"> and </w:t>
      </w:r>
      <w:r w:rsidRPr="000C178D">
        <w:rPr>
          <w:rFonts w:ascii="Book Antiqua" w:hAnsi="Book Antiqua"/>
          <w:bCs/>
          <w:sz w:val="24"/>
          <w:szCs w:val="24"/>
        </w:rPr>
        <w:t>r</w:t>
      </w:r>
      <w:r w:rsidRPr="000C178D">
        <w:rPr>
          <w:rFonts w:ascii="Book Antiqua" w:hAnsi="Book Antiqua"/>
          <w:sz w:val="24"/>
          <w:szCs w:val="24"/>
        </w:rPr>
        <w:t>eviewed the literature</w:t>
      </w:r>
      <w:r w:rsidR="000C2BE6" w:rsidRPr="000C178D">
        <w:rPr>
          <w:rFonts w:ascii="Book Antiqua" w:eastAsia="Times New Roman" w:hAnsi="Book Antiqua" w:cs="Times New Roman"/>
          <w:sz w:val="24"/>
          <w:szCs w:val="24"/>
          <w:lang w:eastAsia="de-DE"/>
        </w:rPr>
        <w:t>;</w:t>
      </w:r>
      <w:r w:rsidRPr="000C178D">
        <w:rPr>
          <w:rFonts w:ascii="Book Antiqua" w:eastAsia="Times New Roman" w:hAnsi="Book Antiqua" w:cs="Times New Roman"/>
          <w:sz w:val="24"/>
          <w:szCs w:val="24"/>
          <w:lang w:eastAsia="de-DE"/>
        </w:rPr>
        <w:t xml:space="preserve"> </w:t>
      </w:r>
      <w:proofErr w:type="spellStart"/>
      <w:r w:rsidRPr="000C178D">
        <w:rPr>
          <w:rFonts w:ascii="Book Antiqua" w:eastAsia="Times New Roman" w:hAnsi="Book Antiqua" w:cs="Times New Roman"/>
          <w:sz w:val="24"/>
          <w:szCs w:val="24"/>
          <w:lang w:eastAsia="de-DE"/>
        </w:rPr>
        <w:t>Savlan</w:t>
      </w:r>
      <w:proofErr w:type="spellEnd"/>
      <w:r w:rsidRPr="000C178D">
        <w:rPr>
          <w:rFonts w:ascii="Book Antiqua" w:eastAsia="Times New Roman" w:hAnsi="Book Antiqua" w:cs="Times New Roman"/>
          <w:sz w:val="24"/>
          <w:szCs w:val="24"/>
          <w:lang w:eastAsia="de-DE"/>
        </w:rPr>
        <w:t xml:space="preserve"> I, </w:t>
      </w:r>
      <w:proofErr w:type="spellStart"/>
      <w:r w:rsidRPr="000C178D">
        <w:rPr>
          <w:rFonts w:ascii="Book Antiqua" w:eastAsia="Times New Roman" w:hAnsi="Book Antiqua" w:cs="Times New Roman"/>
          <w:sz w:val="24"/>
          <w:szCs w:val="24"/>
          <w:lang w:eastAsia="de-DE"/>
        </w:rPr>
        <w:t>Liakina</w:t>
      </w:r>
      <w:proofErr w:type="spellEnd"/>
      <w:r w:rsidRPr="000C178D">
        <w:rPr>
          <w:rFonts w:ascii="Book Antiqua" w:eastAsia="Times New Roman" w:hAnsi="Book Antiqua" w:cs="Times New Roman"/>
          <w:sz w:val="24"/>
          <w:szCs w:val="24"/>
          <w:lang w:eastAsia="de-DE"/>
        </w:rPr>
        <w:t xml:space="preserve"> V</w:t>
      </w:r>
      <w:r w:rsidR="003559A2" w:rsidRPr="000C178D">
        <w:rPr>
          <w:rFonts w:ascii="Book Antiqua" w:eastAsia="Times New Roman" w:hAnsi="Book Antiqua" w:cs="Times New Roman"/>
          <w:sz w:val="24"/>
          <w:szCs w:val="24"/>
          <w:lang w:eastAsia="de-DE"/>
        </w:rPr>
        <w:t xml:space="preserve"> and </w:t>
      </w:r>
      <w:proofErr w:type="spellStart"/>
      <w:r w:rsidRPr="000C178D">
        <w:rPr>
          <w:rFonts w:ascii="Book Antiqua" w:eastAsia="Times New Roman" w:hAnsi="Book Antiqua" w:cs="Times New Roman"/>
          <w:sz w:val="24"/>
          <w:szCs w:val="24"/>
          <w:lang w:eastAsia="de-DE"/>
        </w:rPr>
        <w:t>Stundiene</w:t>
      </w:r>
      <w:proofErr w:type="spellEnd"/>
      <w:r w:rsidRPr="000C178D">
        <w:rPr>
          <w:rFonts w:ascii="Book Antiqua" w:eastAsia="Times New Roman" w:hAnsi="Book Antiqua" w:cs="Times New Roman"/>
          <w:sz w:val="24"/>
          <w:szCs w:val="24"/>
          <w:lang w:eastAsia="de-DE"/>
        </w:rPr>
        <w:t xml:space="preserve"> I </w:t>
      </w:r>
      <w:r w:rsidRPr="000C178D">
        <w:rPr>
          <w:rFonts w:ascii="Book Antiqua" w:eastAsia="Times New Roman" w:hAnsi="Book Antiqua" w:cs="Times New Roman"/>
          <w:color w:val="000000"/>
          <w:sz w:val="24"/>
          <w:szCs w:val="24"/>
          <w:lang w:eastAsia="de-DE"/>
        </w:rPr>
        <w:t>reviewed and edited the manuscript</w:t>
      </w:r>
      <w:r w:rsidR="000C2BE6" w:rsidRPr="000C178D">
        <w:rPr>
          <w:rFonts w:ascii="Book Antiqua" w:eastAsia="Times New Roman" w:hAnsi="Book Antiqua" w:cs="Times New Roman"/>
          <w:sz w:val="24"/>
          <w:szCs w:val="24"/>
          <w:lang w:eastAsia="de-DE"/>
        </w:rPr>
        <w:t>;</w:t>
      </w:r>
      <w:r w:rsidRPr="000C178D">
        <w:rPr>
          <w:rFonts w:ascii="Book Antiqua" w:eastAsia="Times New Roman" w:hAnsi="Book Antiqua" w:cs="Times New Roman"/>
          <w:sz w:val="24"/>
          <w:szCs w:val="24"/>
          <w:lang w:eastAsia="de-DE"/>
        </w:rPr>
        <w:t xml:space="preserve"> </w:t>
      </w:r>
      <w:proofErr w:type="spellStart"/>
      <w:r w:rsidRPr="000C178D">
        <w:rPr>
          <w:rFonts w:ascii="Book Antiqua" w:hAnsi="Book Antiqua"/>
          <w:sz w:val="24"/>
          <w:szCs w:val="24"/>
        </w:rPr>
        <w:t>Savlan</w:t>
      </w:r>
      <w:proofErr w:type="spellEnd"/>
      <w:r w:rsidRPr="000C178D">
        <w:rPr>
          <w:rFonts w:ascii="Book Antiqua" w:hAnsi="Book Antiqua"/>
          <w:sz w:val="24"/>
          <w:szCs w:val="24"/>
        </w:rPr>
        <w:t xml:space="preserve"> I, </w:t>
      </w:r>
      <w:proofErr w:type="spellStart"/>
      <w:r w:rsidRPr="000C178D">
        <w:rPr>
          <w:rFonts w:ascii="Book Antiqua" w:hAnsi="Book Antiqua"/>
          <w:sz w:val="24"/>
          <w:szCs w:val="24"/>
        </w:rPr>
        <w:t>Liakina</w:t>
      </w:r>
      <w:proofErr w:type="spellEnd"/>
      <w:r w:rsidRPr="000C178D">
        <w:rPr>
          <w:rFonts w:ascii="Book Antiqua" w:hAnsi="Book Antiqua"/>
          <w:sz w:val="24"/>
          <w:szCs w:val="24"/>
        </w:rPr>
        <w:t xml:space="preserve"> V, </w:t>
      </w:r>
      <w:proofErr w:type="spellStart"/>
      <w:r w:rsidRPr="000C178D">
        <w:rPr>
          <w:rFonts w:ascii="Book Antiqua" w:hAnsi="Book Antiqua"/>
          <w:sz w:val="24"/>
          <w:szCs w:val="24"/>
        </w:rPr>
        <w:t>St</w:t>
      </w:r>
      <w:r w:rsidR="00C71F97" w:rsidRPr="000C178D">
        <w:rPr>
          <w:rFonts w:ascii="Book Antiqua" w:hAnsi="Book Antiqua"/>
          <w:sz w:val="24"/>
          <w:szCs w:val="24"/>
        </w:rPr>
        <w:t>undiene</w:t>
      </w:r>
      <w:proofErr w:type="spellEnd"/>
      <w:r w:rsidR="00C71F97" w:rsidRPr="000C178D">
        <w:rPr>
          <w:rFonts w:ascii="Book Antiqua" w:hAnsi="Book Antiqua"/>
          <w:sz w:val="24"/>
          <w:szCs w:val="24"/>
        </w:rPr>
        <w:t xml:space="preserve"> I</w:t>
      </w:r>
      <w:r w:rsidRPr="000C178D">
        <w:rPr>
          <w:rFonts w:ascii="Book Antiqua" w:hAnsi="Book Antiqua"/>
          <w:sz w:val="24"/>
          <w:szCs w:val="24"/>
        </w:rPr>
        <w:t xml:space="preserve"> and </w:t>
      </w:r>
      <w:proofErr w:type="spellStart"/>
      <w:r w:rsidRPr="000C178D">
        <w:rPr>
          <w:rFonts w:ascii="Book Antiqua" w:hAnsi="Book Antiqua"/>
          <w:sz w:val="24"/>
          <w:szCs w:val="24"/>
        </w:rPr>
        <w:t>Valantinas</w:t>
      </w:r>
      <w:proofErr w:type="spellEnd"/>
      <w:r w:rsidRPr="000C178D">
        <w:rPr>
          <w:rFonts w:ascii="Book Antiqua" w:hAnsi="Book Antiqua"/>
          <w:sz w:val="24"/>
          <w:szCs w:val="24"/>
        </w:rPr>
        <w:t xml:space="preserve"> J were responsible for the revision of the manuscript for </w:t>
      </w:r>
      <w:r w:rsidR="006241BE" w:rsidRPr="000C178D">
        <w:rPr>
          <w:rFonts w:ascii="Book Antiqua" w:hAnsi="Book Antiqua"/>
          <w:sz w:val="24"/>
          <w:szCs w:val="24"/>
        </w:rPr>
        <w:t xml:space="preserve">the </w:t>
      </w:r>
      <w:r w:rsidRPr="000C178D">
        <w:rPr>
          <w:rFonts w:ascii="Book Antiqua" w:hAnsi="Book Antiqua"/>
          <w:sz w:val="24"/>
          <w:szCs w:val="24"/>
        </w:rPr>
        <w:t xml:space="preserve">important intellectual </w:t>
      </w:r>
      <w:r w:rsidRPr="000C178D">
        <w:rPr>
          <w:rFonts w:ascii="Book Antiqua" w:hAnsi="Book Antiqua"/>
          <w:sz w:val="24"/>
          <w:szCs w:val="24"/>
        </w:rPr>
        <w:lastRenderedPageBreak/>
        <w:t>content</w:t>
      </w:r>
      <w:r w:rsidR="000C2BE6" w:rsidRPr="000C178D">
        <w:rPr>
          <w:rFonts w:ascii="Book Antiqua" w:hAnsi="Book Antiqua"/>
          <w:sz w:val="24"/>
          <w:szCs w:val="24"/>
        </w:rPr>
        <w:t>;</w:t>
      </w:r>
      <w:r w:rsidRPr="000C178D">
        <w:rPr>
          <w:rFonts w:ascii="Book Antiqua" w:hAnsi="Book Antiqua"/>
          <w:sz w:val="24"/>
          <w:szCs w:val="24"/>
        </w:rPr>
        <w:t xml:space="preserve"> </w:t>
      </w:r>
      <w:r w:rsidR="005B4BBA" w:rsidRPr="000C178D">
        <w:rPr>
          <w:rFonts w:ascii="Book Antiqua" w:hAnsi="Book Antiqua"/>
          <w:sz w:val="24"/>
          <w:szCs w:val="24"/>
        </w:rPr>
        <w:t>a</w:t>
      </w:r>
      <w:r w:rsidRPr="000C178D">
        <w:rPr>
          <w:rFonts w:ascii="Book Antiqua" w:hAnsi="Book Antiqua"/>
          <w:sz w:val="24"/>
          <w:szCs w:val="24"/>
        </w:rPr>
        <w:t xml:space="preserve">ll </w:t>
      </w:r>
      <w:r w:rsidR="006F1122" w:rsidRPr="000C178D">
        <w:rPr>
          <w:rFonts w:ascii="Book Antiqua" w:hAnsi="Book Antiqua"/>
          <w:sz w:val="24"/>
          <w:szCs w:val="24"/>
        </w:rPr>
        <w:t xml:space="preserve">the </w:t>
      </w:r>
      <w:r w:rsidRPr="000C178D">
        <w:rPr>
          <w:rFonts w:ascii="Book Antiqua" w:hAnsi="Book Antiqua"/>
          <w:sz w:val="24"/>
          <w:szCs w:val="24"/>
        </w:rPr>
        <w:t xml:space="preserve">authors issued </w:t>
      </w:r>
      <w:r w:rsidR="006F1122" w:rsidRPr="000C178D">
        <w:rPr>
          <w:rFonts w:ascii="Book Antiqua" w:hAnsi="Book Antiqua"/>
          <w:sz w:val="24"/>
          <w:szCs w:val="24"/>
        </w:rPr>
        <w:t xml:space="preserve">the </w:t>
      </w:r>
      <w:r w:rsidRPr="000C178D">
        <w:rPr>
          <w:rFonts w:ascii="Book Antiqua" w:hAnsi="Book Antiqua"/>
          <w:sz w:val="24"/>
          <w:szCs w:val="24"/>
        </w:rPr>
        <w:t>final approval for the version to be submitted and a</w:t>
      </w:r>
      <w:r w:rsidRPr="000C178D">
        <w:rPr>
          <w:rFonts w:ascii="Book Antiqua" w:hAnsi="Book Antiqua" w:cs="Arial"/>
          <w:color w:val="333333"/>
          <w:sz w:val="24"/>
          <w:szCs w:val="24"/>
          <w:shd w:val="clear" w:color="auto" w:fill="FFFFFF"/>
        </w:rPr>
        <w:t>greed to be accountable for all aspects of the work.</w:t>
      </w:r>
    </w:p>
    <w:bookmarkEnd w:id="0"/>
    <w:p w14:paraId="2DE32F02" w14:textId="77777777" w:rsidR="00856671" w:rsidRPr="000C178D" w:rsidRDefault="00856671" w:rsidP="000C178D">
      <w:pPr>
        <w:snapToGrid w:val="0"/>
        <w:spacing w:after="0" w:line="360" w:lineRule="auto"/>
        <w:jc w:val="both"/>
        <w:rPr>
          <w:rFonts w:ascii="Book Antiqua" w:eastAsia="Times New Roman" w:hAnsi="Book Antiqua" w:cs="Times New Roman"/>
          <w:b/>
          <w:color w:val="000000"/>
          <w:sz w:val="24"/>
          <w:szCs w:val="24"/>
          <w:lang w:eastAsia="de-DE"/>
        </w:rPr>
      </w:pPr>
    </w:p>
    <w:p w14:paraId="4E142171" w14:textId="48101A90" w:rsidR="006F35C2" w:rsidRPr="000C178D" w:rsidRDefault="00856671" w:rsidP="000C178D">
      <w:pPr>
        <w:snapToGrid w:val="0"/>
        <w:spacing w:after="0" w:line="360" w:lineRule="auto"/>
        <w:jc w:val="both"/>
        <w:rPr>
          <w:rStyle w:val="a4"/>
          <w:rFonts w:ascii="Book Antiqua" w:hAnsi="Book Antiqua" w:cs="Times New Roman"/>
          <w:sz w:val="24"/>
          <w:szCs w:val="24"/>
        </w:rPr>
      </w:pPr>
      <w:r w:rsidRPr="000C178D">
        <w:rPr>
          <w:rFonts w:ascii="Book Antiqua" w:eastAsia="Times New Roman" w:hAnsi="Book Antiqua" w:cs="Times New Roman"/>
          <w:b/>
          <w:color w:val="000000"/>
          <w:sz w:val="24"/>
          <w:szCs w:val="24"/>
          <w:lang w:eastAsia="de-DE"/>
        </w:rPr>
        <w:t xml:space="preserve">Corresponding author: </w:t>
      </w:r>
      <w:r w:rsidRPr="000C178D">
        <w:rPr>
          <w:rFonts w:ascii="Book Antiqua" w:hAnsi="Book Antiqua" w:cs="Times New Roman"/>
          <w:b/>
          <w:bCs/>
          <w:sz w:val="24"/>
          <w:szCs w:val="24"/>
        </w:rPr>
        <w:t xml:space="preserve">Sandra </w:t>
      </w:r>
      <w:proofErr w:type="spellStart"/>
      <w:r w:rsidRPr="000C178D">
        <w:rPr>
          <w:rFonts w:ascii="Book Antiqua" w:hAnsi="Book Antiqua" w:cs="Times New Roman"/>
          <w:b/>
          <w:bCs/>
          <w:sz w:val="24"/>
          <w:szCs w:val="24"/>
        </w:rPr>
        <w:t>Strainiene</w:t>
      </w:r>
      <w:proofErr w:type="spellEnd"/>
      <w:r w:rsidRPr="000C178D">
        <w:rPr>
          <w:rFonts w:ascii="Book Antiqua" w:hAnsi="Book Antiqua" w:cs="Times New Roman"/>
          <w:b/>
          <w:bCs/>
          <w:sz w:val="24"/>
          <w:szCs w:val="24"/>
        </w:rPr>
        <w:t>, MD</w:t>
      </w:r>
      <w:r w:rsidR="00A060AF" w:rsidRPr="000C178D">
        <w:rPr>
          <w:rFonts w:ascii="Book Antiqua" w:hAnsi="Book Antiqua" w:cs="Times New Roman"/>
          <w:b/>
          <w:bCs/>
          <w:sz w:val="24"/>
          <w:szCs w:val="24"/>
        </w:rPr>
        <w:t>,</w:t>
      </w:r>
      <w:r w:rsidRPr="000C178D">
        <w:rPr>
          <w:rFonts w:ascii="Book Antiqua" w:hAnsi="Book Antiqua" w:cs="Times New Roman"/>
          <w:sz w:val="24"/>
          <w:szCs w:val="24"/>
        </w:rPr>
        <w:t xml:space="preserve"> </w:t>
      </w:r>
      <w:r w:rsidR="00FB7571" w:rsidRPr="00FB7571">
        <w:rPr>
          <w:rFonts w:ascii="Book Antiqua" w:hAnsi="Book Antiqua" w:cs="Times New Roman"/>
          <w:b/>
          <w:sz w:val="24"/>
          <w:szCs w:val="24"/>
        </w:rPr>
        <w:t xml:space="preserve">Doctor, </w:t>
      </w:r>
      <w:r w:rsidRPr="000C178D">
        <w:rPr>
          <w:rFonts w:ascii="Book Antiqua" w:eastAsia="Times New Roman" w:hAnsi="Book Antiqua" w:cs="Times New Roman"/>
          <w:color w:val="000000"/>
          <w:sz w:val="24"/>
          <w:szCs w:val="24"/>
          <w:lang w:eastAsia="de-DE"/>
        </w:rPr>
        <w:t xml:space="preserve">Clinic of Gastroenterology, </w:t>
      </w:r>
      <w:proofErr w:type="spellStart"/>
      <w:r w:rsidRPr="000C178D">
        <w:rPr>
          <w:rFonts w:ascii="Book Antiqua" w:eastAsia="Times New Roman" w:hAnsi="Book Antiqua" w:cs="Times New Roman"/>
          <w:color w:val="000000"/>
          <w:sz w:val="24"/>
          <w:szCs w:val="24"/>
          <w:lang w:eastAsia="de-DE"/>
        </w:rPr>
        <w:t>Nephrourology</w:t>
      </w:r>
      <w:proofErr w:type="spellEnd"/>
      <w:r w:rsidRPr="000C178D">
        <w:rPr>
          <w:rFonts w:ascii="Book Antiqua" w:eastAsia="Times New Roman" w:hAnsi="Book Antiqua" w:cs="Times New Roman"/>
          <w:color w:val="000000"/>
          <w:sz w:val="24"/>
          <w:szCs w:val="24"/>
          <w:lang w:eastAsia="de-DE"/>
        </w:rPr>
        <w:t xml:space="preserve"> and Surgery,</w:t>
      </w:r>
      <w:r w:rsidRPr="000C178D">
        <w:rPr>
          <w:rFonts w:ascii="Book Antiqua" w:hAnsi="Book Antiqua" w:cs="Times New Roman"/>
          <w:sz w:val="24"/>
          <w:szCs w:val="24"/>
        </w:rPr>
        <w:t xml:space="preserve"> Centre of Hepatology, Gastroenterology and Dietetics, </w:t>
      </w:r>
      <w:r w:rsidR="00AD4D95" w:rsidRPr="000C178D">
        <w:rPr>
          <w:rFonts w:ascii="Book Antiqua" w:hAnsi="Book Antiqua" w:cs="Times New Roman"/>
          <w:sz w:val="24"/>
          <w:szCs w:val="24"/>
        </w:rPr>
        <w:t xml:space="preserve">Institute of Clinical Medicine, </w:t>
      </w:r>
      <w:r w:rsidRPr="000C178D">
        <w:rPr>
          <w:rFonts w:ascii="Book Antiqua" w:hAnsi="Book Antiqua" w:cs="Times New Roman"/>
          <w:sz w:val="24"/>
          <w:szCs w:val="24"/>
        </w:rPr>
        <w:t xml:space="preserve">Vilnius University, </w:t>
      </w:r>
      <w:r w:rsidR="00AD4D95" w:rsidRPr="000C178D">
        <w:rPr>
          <w:rFonts w:ascii="Book Antiqua" w:hAnsi="Book Antiqua" w:cs="Times New Roman"/>
          <w:sz w:val="24"/>
          <w:szCs w:val="24"/>
        </w:rPr>
        <w:t xml:space="preserve">3 </w:t>
      </w:r>
      <w:proofErr w:type="spellStart"/>
      <w:r w:rsidR="00AD4D95" w:rsidRPr="000C178D">
        <w:rPr>
          <w:rFonts w:ascii="Book Antiqua" w:hAnsi="Book Antiqua" w:cs="Times New Roman"/>
          <w:sz w:val="24"/>
          <w:szCs w:val="24"/>
        </w:rPr>
        <w:t>Universi</w:t>
      </w:r>
      <w:r w:rsidR="00D461CC" w:rsidRPr="000C178D">
        <w:rPr>
          <w:rFonts w:ascii="Book Antiqua" w:hAnsi="Book Antiqua" w:cs="Times New Roman"/>
          <w:sz w:val="24"/>
          <w:szCs w:val="24"/>
        </w:rPr>
        <w:t>teto</w:t>
      </w:r>
      <w:proofErr w:type="spellEnd"/>
      <w:r w:rsidR="00AD4D95" w:rsidRPr="000C178D">
        <w:rPr>
          <w:rFonts w:ascii="Book Antiqua" w:hAnsi="Book Antiqua" w:cs="Times New Roman"/>
          <w:sz w:val="24"/>
          <w:szCs w:val="24"/>
        </w:rPr>
        <w:t xml:space="preserve"> </w:t>
      </w:r>
      <w:r w:rsidRPr="000C178D">
        <w:rPr>
          <w:rFonts w:ascii="Book Antiqua" w:hAnsi="Book Antiqua" w:cs="Times New Roman"/>
          <w:sz w:val="24"/>
          <w:szCs w:val="24"/>
        </w:rPr>
        <w:t>Street, Vilnius 0</w:t>
      </w:r>
      <w:r w:rsidR="00D461CC" w:rsidRPr="000C178D">
        <w:rPr>
          <w:rFonts w:ascii="Book Antiqua" w:hAnsi="Book Antiqua" w:cs="Times New Roman"/>
          <w:sz w:val="24"/>
          <w:szCs w:val="24"/>
        </w:rPr>
        <w:t>1513,</w:t>
      </w:r>
      <w:r w:rsidRPr="000C178D">
        <w:rPr>
          <w:rFonts w:ascii="Book Antiqua" w:hAnsi="Book Antiqua" w:cs="Times New Roman"/>
          <w:sz w:val="24"/>
          <w:szCs w:val="24"/>
        </w:rPr>
        <w:t xml:space="preserve"> Lithuania</w:t>
      </w:r>
      <w:r w:rsidR="00A060AF" w:rsidRPr="000C178D">
        <w:rPr>
          <w:rFonts w:ascii="Book Antiqua" w:hAnsi="Book Antiqua" w:cs="Times New Roman"/>
          <w:sz w:val="24"/>
          <w:szCs w:val="24"/>
        </w:rPr>
        <w:t>.</w:t>
      </w:r>
      <w:r w:rsidRPr="000C178D">
        <w:rPr>
          <w:rFonts w:ascii="Book Antiqua" w:hAnsi="Book Antiqua" w:cs="Times New Roman"/>
          <w:sz w:val="24"/>
          <w:szCs w:val="24"/>
        </w:rPr>
        <w:t xml:space="preserve"> </w:t>
      </w:r>
      <w:hyperlink r:id="rId8" w:history="1">
        <w:r w:rsidRPr="000C178D">
          <w:rPr>
            <w:rStyle w:val="a4"/>
            <w:rFonts w:ascii="Book Antiqua" w:hAnsi="Book Antiqua" w:cs="Times New Roman"/>
            <w:sz w:val="24"/>
            <w:szCs w:val="24"/>
          </w:rPr>
          <w:t>sandra.strainiene@santa.lt</w:t>
        </w:r>
      </w:hyperlink>
    </w:p>
    <w:p w14:paraId="329AD8A1" w14:textId="77777777" w:rsidR="00856671" w:rsidRPr="000C178D" w:rsidRDefault="00856671" w:rsidP="000C178D">
      <w:pPr>
        <w:snapToGrid w:val="0"/>
        <w:spacing w:after="0" w:line="360" w:lineRule="auto"/>
        <w:jc w:val="both"/>
        <w:rPr>
          <w:rFonts w:ascii="Book Antiqua" w:eastAsia="Times New Roman" w:hAnsi="Book Antiqua" w:cs="Times New Roman"/>
          <w:color w:val="000000"/>
          <w:sz w:val="24"/>
          <w:szCs w:val="24"/>
          <w:lang w:eastAsia="de-DE"/>
        </w:rPr>
      </w:pPr>
    </w:p>
    <w:p w14:paraId="7975588C" w14:textId="309EE4DA" w:rsidR="00856671" w:rsidRPr="000C178D" w:rsidRDefault="00856671" w:rsidP="000C178D">
      <w:pPr>
        <w:snapToGrid w:val="0"/>
        <w:spacing w:after="0" w:line="360" w:lineRule="auto"/>
        <w:jc w:val="both"/>
        <w:rPr>
          <w:rFonts w:ascii="Book Antiqua" w:eastAsia="Times New Roman" w:hAnsi="Book Antiqua" w:cs="Times New Roman"/>
          <w:color w:val="000000"/>
          <w:sz w:val="24"/>
          <w:szCs w:val="24"/>
          <w:lang w:eastAsia="de-DE"/>
        </w:rPr>
      </w:pPr>
      <w:r w:rsidRPr="000C178D">
        <w:rPr>
          <w:rFonts w:ascii="Book Antiqua" w:eastAsia="Times New Roman" w:hAnsi="Book Antiqua" w:cs="Times New Roman"/>
          <w:b/>
          <w:color w:val="000000"/>
          <w:sz w:val="24"/>
          <w:szCs w:val="24"/>
          <w:lang w:eastAsia="de-DE"/>
        </w:rPr>
        <w:t>Received:</w:t>
      </w:r>
      <w:r w:rsidR="00A563D0" w:rsidRPr="000C178D">
        <w:rPr>
          <w:rFonts w:ascii="Book Antiqua" w:eastAsia="Times New Roman" w:hAnsi="Book Antiqua" w:cs="Times New Roman"/>
          <w:b/>
          <w:color w:val="000000"/>
          <w:sz w:val="24"/>
          <w:szCs w:val="24"/>
          <w:lang w:eastAsia="de-DE"/>
        </w:rPr>
        <w:t xml:space="preserve"> </w:t>
      </w:r>
      <w:r w:rsidR="009E7CAF" w:rsidRPr="000C178D">
        <w:rPr>
          <w:rFonts w:ascii="Book Antiqua" w:eastAsia="Times New Roman" w:hAnsi="Book Antiqua" w:cs="Times New Roman"/>
          <w:color w:val="000000"/>
          <w:sz w:val="24"/>
          <w:szCs w:val="24"/>
          <w:lang w:eastAsia="de-DE"/>
        </w:rPr>
        <w:t>April 1</w:t>
      </w:r>
      <w:r w:rsidR="00C74A8F" w:rsidRPr="000C178D">
        <w:rPr>
          <w:rFonts w:ascii="Book Antiqua" w:eastAsia="Times New Roman" w:hAnsi="Book Antiqua" w:cs="Times New Roman"/>
          <w:color w:val="000000"/>
          <w:sz w:val="24"/>
          <w:szCs w:val="24"/>
          <w:lang w:eastAsia="de-DE"/>
        </w:rPr>
        <w:t>5</w:t>
      </w:r>
      <w:r w:rsidR="009E7CAF" w:rsidRPr="000C178D">
        <w:rPr>
          <w:rFonts w:ascii="Book Antiqua" w:eastAsia="Times New Roman" w:hAnsi="Book Antiqua" w:cs="Times New Roman"/>
          <w:color w:val="000000"/>
          <w:sz w:val="24"/>
          <w:szCs w:val="24"/>
          <w:lang w:eastAsia="de-DE"/>
        </w:rPr>
        <w:t>,</w:t>
      </w:r>
      <w:r w:rsidR="009E7CAF" w:rsidRPr="000C178D">
        <w:rPr>
          <w:rFonts w:ascii="Book Antiqua" w:eastAsia="Times New Roman" w:hAnsi="Book Antiqua" w:cs="Times New Roman"/>
          <w:b/>
          <w:color w:val="000000"/>
          <w:sz w:val="24"/>
          <w:szCs w:val="24"/>
          <w:lang w:eastAsia="de-DE"/>
        </w:rPr>
        <w:t xml:space="preserve"> </w:t>
      </w:r>
      <w:r w:rsidR="00A563D0" w:rsidRPr="000C178D">
        <w:rPr>
          <w:rFonts w:ascii="Book Antiqua" w:eastAsia="Times New Roman" w:hAnsi="Book Antiqua" w:cs="Times New Roman"/>
          <w:color w:val="000000"/>
          <w:sz w:val="24"/>
          <w:szCs w:val="24"/>
          <w:lang w:eastAsia="de-DE"/>
        </w:rPr>
        <w:t>2020</w:t>
      </w:r>
    </w:p>
    <w:p w14:paraId="25D2FEAD" w14:textId="06F61217" w:rsidR="00856671" w:rsidRPr="000C178D" w:rsidRDefault="00856671" w:rsidP="000C178D">
      <w:pPr>
        <w:snapToGrid w:val="0"/>
        <w:spacing w:after="0" w:line="360" w:lineRule="auto"/>
        <w:jc w:val="both"/>
        <w:rPr>
          <w:rFonts w:ascii="Book Antiqua" w:eastAsia="Times New Roman" w:hAnsi="Book Antiqua" w:cs="Times New Roman"/>
          <w:color w:val="000000"/>
          <w:sz w:val="24"/>
          <w:szCs w:val="24"/>
          <w:lang w:eastAsia="de-DE"/>
        </w:rPr>
      </w:pPr>
      <w:r w:rsidRPr="000C178D">
        <w:rPr>
          <w:rFonts w:ascii="Book Antiqua" w:eastAsia="Times New Roman" w:hAnsi="Book Antiqua" w:cs="Times New Roman"/>
          <w:b/>
          <w:color w:val="000000"/>
          <w:sz w:val="24"/>
          <w:szCs w:val="24"/>
          <w:lang w:eastAsia="de-DE"/>
        </w:rPr>
        <w:t>Revised:</w:t>
      </w:r>
      <w:r w:rsidR="00AA7C98" w:rsidRPr="000C178D">
        <w:rPr>
          <w:rFonts w:ascii="Book Antiqua" w:eastAsia="Times New Roman" w:hAnsi="Book Antiqua" w:cs="Times New Roman"/>
          <w:b/>
          <w:color w:val="000000"/>
          <w:sz w:val="24"/>
          <w:szCs w:val="24"/>
          <w:lang w:eastAsia="de-DE"/>
        </w:rPr>
        <w:t xml:space="preserve"> </w:t>
      </w:r>
      <w:r w:rsidR="00E77303" w:rsidRPr="000C178D">
        <w:rPr>
          <w:rFonts w:ascii="Book Antiqua" w:eastAsia="Times New Roman" w:hAnsi="Book Antiqua" w:cs="Times New Roman"/>
          <w:color w:val="000000"/>
          <w:sz w:val="24"/>
          <w:szCs w:val="24"/>
          <w:lang w:eastAsia="de-DE"/>
        </w:rPr>
        <w:t xml:space="preserve">May </w:t>
      </w:r>
      <w:r w:rsidR="00F80C8F" w:rsidRPr="000C178D">
        <w:rPr>
          <w:rFonts w:ascii="Book Antiqua" w:eastAsia="Times New Roman" w:hAnsi="Book Antiqua" w:cs="Times New Roman"/>
          <w:color w:val="000000"/>
          <w:sz w:val="24"/>
          <w:szCs w:val="24"/>
          <w:lang w:eastAsia="de-DE"/>
        </w:rPr>
        <w:t>7, 2020</w:t>
      </w:r>
    </w:p>
    <w:p w14:paraId="2A810A97" w14:textId="4BE16FBB" w:rsidR="00856671" w:rsidRPr="000C178D" w:rsidRDefault="00856671" w:rsidP="000C178D">
      <w:pPr>
        <w:snapToGrid w:val="0"/>
        <w:spacing w:after="0" w:line="360" w:lineRule="auto"/>
        <w:jc w:val="both"/>
        <w:rPr>
          <w:rFonts w:ascii="Book Antiqua" w:eastAsia="Times New Roman" w:hAnsi="Book Antiqua" w:cs="Times New Roman"/>
          <w:b/>
          <w:color w:val="000000"/>
          <w:sz w:val="24"/>
          <w:szCs w:val="24"/>
          <w:lang w:eastAsia="de-DE"/>
        </w:rPr>
      </w:pPr>
      <w:r w:rsidRPr="000C178D">
        <w:rPr>
          <w:rFonts w:ascii="Book Antiqua" w:eastAsia="Times New Roman" w:hAnsi="Book Antiqua" w:cs="Times New Roman"/>
          <w:b/>
          <w:color w:val="000000"/>
          <w:sz w:val="24"/>
          <w:szCs w:val="24"/>
          <w:lang w:eastAsia="de-DE"/>
        </w:rPr>
        <w:t>Accepted:</w:t>
      </w:r>
      <w:r w:rsidR="00EE060F" w:rsidRPr="00EE060F">
        <w:rPr>
          <w:rFonts w:ascii="Book Antiqua" w:hAnsi="Book Antiqua"/>
          <w:sz w:val="24"/>
          <w:szCs w:val="24"/>
        </w:rPr>
        <w:t xml:space="preserve"> </w:t>
      </w:r>
      <w:r w:rsidR="00EE060F">
        <w:rPr>
          <w:rFonts w:ascii="Book Antiqua" w:hAnsi="Book Antiqua"/>
          <w:sz w:val="24"/>
          <w:szCs w:val="24"/>
        </w:rPr>
        <w:t>July 15, 2020</w:t>
      </w:r>
    </w:p>
    <w:p w14:paraId="3380113B" w14:textId="6488B8FC" w:rsidR="00856671" w:rsidRPr="000C178D" w:rsidRDefault="00856671" w:rsidP="000C178D">
      <w:pPr>
        <w:snapToGrid w:val="0"/>
        <w:spacing w:after="0" w:line="360" w:lineRule="auto"/>
        <w:jc w:val="both"/>
        <w:rPr>
          <w:rFonts w:ascii="Book Antiqua" w:eastAsia="Times New Roman" w:hAnsi="Book Antiqua" w:cs="Times New Roman"/>
          <w:b/>
          <w:color w:val="000000"/>
          <w:sz w:val="24"/>
          <w:szCs w:val="24"/>
          <w:lang w:eastAsia="de-DE"/>
        </w:rPr>
      </w:pPr>
      <w:r w:rsidRPr="000C178D">
        <w:rPr>
          <w:rFonts w:ascii="Book Antiqua" w:eastAsia="Times New Roman" w:hAnsi="Book Antiqua" w:cs="Times New Roman"/>
          <w:b/>
          <w:color w:val="000000"/>
          <w:sz w:val="24"/>
          <w:szCs w:val="24"/>
          <w:lang w:eastAsia="de-DE"/>
        </w:rPr>
        <w:t>Published online:</w:t>
      </w:r>
    </w:p>
    <w:p w14:paraId="6C2D8B91" w14:textId="76CCC6AB" w:rsidR="002216C4" w:rsidRPr="000C178D" w:rsidRDefault="002216C4" w:rsidP="000C178D">
      <w:pPr>
        <w:snapToGrid w:val="0"/>
        <w:spacing w:after="0" w:line="360" w:lineRule="auto"/>
        <w:rPr>
          <w:rFonts w:ascii="Book Antiqua" w:eastAsia="Times New Roman" w:hAnsi="Book Antiqua" w:cs="Times New Roman"/>
          <w:b/>
          <w:color w:val="000000"/>
          <w:sz w:val="24"/>
          <w:szCs w:val="24"/>
          <w:lang w:eastAsia="de-DE"/>
        </w:rPr>
      </w:pPr>
      <w:r w:rsidRPr="000C178D">
        <w:rPr>
          <w:rFonts w:ascii="Book Antiqua" w:eastAsia="Times New Roman" w:hAnsi="Book Antiqua" w:cs="Times New Roman"/>
          <w:b/>
          <w:color w:val="000000"/>
          <w:sz w:val="24"/>
          <w:szCs w:val="24"/>
          <w:lang w:eastAsia="de-DE"/>
        </w:rPr>
        <w:br w:type="page"/>
      </w:r>
    </w:p>
    <w:p w14:paraId="6DE00755" w14:textId="77777777" w:rsidR="00385DBD" w:rsidRPr="000C178D" w:rsidRDefault="002D2E82" w:rsidP="000C178D">
      <w:pPr>
        <w:snapToGrid w:val="0"/>
        <w:spacing w:after="0" w:line="360" w:lineRule="auto"/>
        <w:rPr>
          <w:rFonts w:ascii="Book Antiqua" w:hAnsi="Book Antiqua" w:cs="Times New Roman"/>
          <w:b/>
          <w:sz w:val="24"/>
          <w:szCs w:val="24"/>
        </w:rPr>
      </w:pPr>
      <w:r w:rsidRPr="000C178D">
        <w:rPr>
          <w:rFonts w:ascii="Book Antiqua" w:hAnsi="Book Antiqua" w:cs="Times New Roman"/>
          <w:b/>
          <w:sz w:val="24"/>
          <w:szCs w:val="24"/>
        </w:rPr>
        <w:lastRenderedPageBreak/>
        <w:t>Abstract</w:t>
      </w:r>
    </w:p>
    <w:p w14:paraId="7F8EE9D3" w14:textId="2CED27FF" w:rsidR="00CE7809" w:rsidRPr="000C178D" w:rsidRDefault="00CE7809" w:rsidP="000C178D">
      <w:pPr>
        <w:pStyle w:val="a5"/>
        <w:snapToGrid w:val="0"/>
        <w:spacing w:before="0" w:beforeAutospacing="0" w:after="0" w:afterAutospacing="0" w:line="360" w:lineRule="auto"/>
        <w:jc w:val="both"/>
        <w:rPr>
          <w:rFonts w:ascii="Book Antiqua" w:hAnsi="Book Antiqua"/>
          <w:b/>
          <w:color w:val="0E101A"/>
        </w:rPr>
      </w:pPr>
      <w:r w:rsidRPr="000C178D">
        <w:rPr>
          <w:rStyle w:val="a7"/>
          <w:rFonts w:ascii="Book Antiqua" w:hAnsi="Book Antiqua"/>
          <w:b w:val="0"/>
          <w:color w:val="0E101A"/>
        </w:rPr>
        <w:t>BACKGROUND</w:t>
      </w:r>
      <w:r w:rsidR="002D2E82" w:rsidRPr="000C178D">
        <w:rPr>
          <w:rFonts w:ascii="Book Antiqua" w:hAnsi="Book Antiqua"/>
          <w:b/>
          <w:color w:val="0E101A"/>
        </w:rPr>
        <w:t xml:space="preserve"> </w:t>
      </w:r>
    </w:p>
    <w:p w14:paraId="46862AB6" w14:textId="05713897" w:rsidR="00385DBD" w:rsidRPr="000C178D" w:rsidRDefault="00385DBD" w:rsidP="000C178D">
      <w:pPr>
        <w:pStyle w:val="a5"/>
        <w:snapToGrid w:val="0"/>
        <w:spacing w:before="0" w:beforeAutospacing="0" w:after="0" w:afterAutospacing="0" w:line="360" w:lineRule="auto"/>
        <w:jc w:val="both"/>
        <w:rPr>
          <w:rFonts w:ascii="Book Antiqua" w:hAnsi="Book Antiqua"/>
          <w:color w:val="0E101A"/>
        </w:rPr>
      </w:pPr>
      <w:bookmarkStart w:id="1" w:name="_Hlk45181353"/>
      <w:r w:rsidRPr="000C178D">
        <w:rPr>
          <w:rFonts w:ascii="Book Antiqua" w:hAnsi="Book Antiqua"/>
          <w:color w:val="0E101A"/>
        </w:rPr>
        <w:t>Immunoglobulin G4-related disease</w:t>
      </w:r>
      <w:bookmarkEnd w:id="1"/>
      <w:r w:rsidRPr="000C178D">
        <w:rPr>
          <w:rFonts w:ascii="Book Antiqua" w:hAnsi="Book Antiqua"/>
          <w:color w:val="0E101A"/>
        </w:rPr>
        <w:t xml:space="preserve"> (IgG4-RD) is a multisystemic mass forming immune-mediated disease that affects almost every organ and is a diagnostic challenge for every clinician. There is a lack of adequate epidemiological data worldwide,</w:t>
      </w:r>
      <w:r w:rsidRPr="000C178D">
        <w:rPr>
          <w:rFonts w:ascii="Book Antiqua" w:hAnsi="Book Antiqua"/>
        </w:rPr>
        <w:t xml:space="preserve"> </w:t>
      </w:r>
      <w:r w:rsidRPr="000C178D">
        <w:rPr>
          <w:rFonts w:ascii="Book Antiqua" w:hAnsi="Book Antiqua"/>
          <w:color w:val="0E101A"/>
        </w:rPr>
        <w:t xml:space="preserve">and evidence-based treatment recommendations are not yet established. We report the first case of IgG4-RD from Lithuania and the Baltic </w:t>
      </w:r>
      <w:r w:rsidR="006F1122" w:rsidRPr="000C178D">
        <w:rPr>
          <w:rFonts w:ascii="Book Antiqua" w:hAnsi="Book Antiqua"/>
          <w:color w:val="0E101A"/>
        </w:rPr>
        <w:t>S</w:t>
      </w:r>
      <w:r w:rsidRPr="000C178D">
        <w:rPr>
          <w:rFonts w:ascii="Book Antiqua" w:hAnsi="Book Antiqua"/>
          <w:color w:val="0E101A"/>
        </w:rPr>
        <w:t>ea region present</w:t>
      </w:r>
      <w:r w:rsidR="006241BE" w:rsidRPr="000C178D">
        <w:rPr>
          <w:rFonts w:ascii="Book Antiqua" w:hAnsi="Book Antiqua"/>
          <w:color w:val="0E101A"/>
        </w:rPr>
        <w:t>ed</w:t>
      </w:r>
      <w:r w:rsidRPr="000C178D">
        <w:rPr>
          <w:rFonts w:ascii="Book Antiqua" w:hAnsi="Book Antiqua"/>
          <w:color w:val="0E101A"/>
        </w:rPr>
        <w:t xml:space="preserve"> with thyroiditis, orbital myositis</w:t>
      </w:r>
      <w:r w:rsidR="006241BE" w:rsidRPr="000C178D">
        <w:rPr>
          <w:rFonts w:ascii="Book Antiqua" w:hAnsi="Book Antiqua"/>
          <w:color w:val="0E101A"/>
        </w:rPr>
        <w:t>, orbitopathy,</w:t>
      </w:r>
      <w:r w:rsidRPr="000C178D">
        <w:rPr>
          <w:rFonts w:ascii="Book Antiqua" w:hAnsi="Book Antiqua"/>
          <w:color w:val="0E101A"/>
        </w:rPr>
        <w:t xml:space="preserve"> uveitis, scleritis, sialadenitis, autoimmune pancreatitis and prostatitis.</w:t>
      </w:r>
    </w:p>
    <w:p w14:paraId="64414279" w14:textId="77777777" w:rsidR="003D1BB5" w:rsidRPr="000C178D" w:rsidRDefault="003D1BB5" w:rsidP="000C178D">
      <w:pPr>
        <w:pStyle w:val="a5"/>
        <w:snapToGrid w:val="0"/>
        <w:spacing w:before="0" w:beforeAutospacing="0" w:after="0" w:afterAutospacing="0" w:line="360" w:lineRule="auto"/>
        <w:jc w:val="both"/>
        <w:rPr>
          <w:rStyle w:val="a7"/>
          <w:rFonts w:ascii="Book Antiqua" w:hAnsi="Book Antiqua"/>
          <w:color w:val="0E101A"/>
        </w:rPr>
      </w:pPr>
    </w:p>
    <w:p w14:paraId="64D3D858" w14:textId="1FCE9BED" w:rsidR="00CE7809" w:rsidRPr="000C178D" w:rsidRDefault="002D2E82" w:rsidP="000C178D">
      <w:pPr>
        <w:pStyle w:val="a5"/>
        <w:snapToGrid w:val="0"/>
        <w:spacing w:before="0" w:beforeAutospacing="0" w:after="0" w:afterAutospacing="0" w:line="360" w:lineRule="auto"/>
        <w:jc w:val="both"/>
        <w:rPr>
          <w:rFonts w:ascii="Book Antiqua" w:hAnsi="Book Antiqua"/>
          <w:b/>
        </w:rPr>
      </w:pPr>
      <w:r w:rsidRPr="000C178D">
        <w:rPr>
          <w:rStyle w:val="a7"/>
          <w:rFonts w:ascii="Book Antiqua" w:hAnsi="Book Antiqua"/>
          <w:b w:val="0"/>
          <w:color w:val="0E101A"/>
        </w:rPr>
        <w:t xml:space="preserve">CASE </w:t>
      </w:r>
      <w:r w:rsidR="006F35C2" w:rsidRPr="000C178D">
        <w:rPr>
          <w:rStyle w:val="a7"/>
          <w:rFonts w:ascii="Book Antiqua" w:hAnsi="Book Antiqua"/>
          <w:b w:val="0"/>
          <w:color w:val="0E101A"/>
        </w:rPr>
        <w:t>SUMMARY</w:t>
      </w:r>
    </w:p>
    <w:p w14:paraId="24215213" w14:textId="74AC5DD9" w:rsidR="00385DBD" w:rsidRPr="000C178D" w:rsidRDefault="00385DBD" w:rsidP="000C178D">
      <w:pPr>
        <w:pStyle w:val="a5"/>
        <w:snapToGrid w:val="0"/>
        <w:spacing w:before="0" w:beforeAutospacing="0" w:after="0" w:afterAutospacing="0" w:line="360" w:lineRule="auto"/>
        <w:jc w:val="both"/>
        <w:rPr>
          <w:rFonts w:ascii="Book Antiqua" w:hAnsi="Book Antiqua"/>
          <w:color w:val="0E101A"/>
        </w:rPr>
      </w:pPr>
      <w:r w:rsidRPr="000C178D">
        <w:rPr>
          <w:rFonts w:ascii="Book Antiqua" w:hAnsi="Book Antiqua"/>
        </w:rPr>
        <w:t>A 54-year-old Caucasian male was adm</w:t>
      </w:r>
      <w:r w:rsidR="003C6D1B" w:rsidRPr="000C178D">
        <w:rPr>
          <w:rFonts w:ascii="Book Antiqua" w:hAnsi="Book Antiqua"/>
        </w:rPr>
        <w:t>itted to our tertiary C</w:t>
      </w:r>
      <w:r w:rsidRPr="000C178D">
        <w:rPr>
          <w:rFonts w:ascii="Book Antiqua" w:hAnsi="Book Antiqua"/>
        </w:rPr>
        <w:t xml:space="preserve">entre complaining of severe weight loss, </w:t>
      </w:r>
      <w:proofErr w:type="spellStart"/>
      <w:r w:rsidRPr="000C178D">
        <w:rPr>
          <w:rFonts w:ascii="Book Antiqua" w:hAnsi="Book Antiqua"/>
        </w:rPr>
        <w:t>diarrhoea</w:t>
      </w:r>
      <w:proofErr w:type="spellEnd"/>
      <w:r w:rsidRPr="000C178D">
        <w:rPr>
          <w:rFonts w:ascii="Book Antiqua" w:hAnsi="Book Antiqua"/>
        </w:rPr>
        <w:t>, abdominal pain, salivary gland swelling, sicca symptoms and diplopia. On examination, bilateral palpable masses in the projection of major salivary glands, severe protrusion of the left eyeball and cachexia were noted</w:t>
      </w:r>
      <w:r w:rsidRPr="000C178D">
        <w:rPr>
          <w:rFonts w:ascii="Book Antiqua" w:hAnsi="Book Antiqua"/>
          <w:color w:val="000000" w:themeColor="text1"/>
        </w:rPr>
        <w:t xml:space="preserve">. </w:t>
      </w:r>
      <w:r w:rsidRPr="000C178D">
        <w:rPr>
          <w:rFonts w:ascii="Book Antiqua" w:hAnsi="Book Antiqua"/>
          <w:color w:val="0E101A"/>
        </w:rPr>
        <w:t xml:space="preserve">The patient was previously diagnosed with autoimmune thyroiditis and endocrine ophthalmopathy. The magnetic resonance imaging (MRI) of the head revealed enlarged extraocular muscles indicating orbital myositis. The biopsy from </w:t>
      </w:r>
      <w:r w:rsidR="006F1122" w:rsidRPr="000C178D">
        <w:rPr>
          <w:rFonts w:ascii="Book Antiqua" w:hAnsi="Book Antiqua"/>
          <w:color w:val="0E101A"/>
        </w:rPr>
        <w:t xml:space="preserve">the </w:t>
      </w:r>
      <w:r w:rsidRPr="000C178D">
        <w:rPr>
          <w:rFonts w:ascii="Book Antiqua" w:hAnsi="Book Antiqua"/>
          <w:color w:val="0E101A"/>
        </w:rPr>
        <w:t xml:space="preserve">salivary gland mass indicated sialadenitis. Abdominal MRI showed signs of autoimmune pancreatitis, and a serological </w:t>
      </w:r>
      <w:r w:rsidRPr="000C178D">
        <w:rPr>
          <w:rFonts w:ascii="Book Antiqua" w:hAnsi="Book Antiqua"/>
        </w:rPr>
        <w:t xml:space="preserve">test revealed </w:t>
      </w:r>
      <w:r w:rsidR="006F1122" w:rsidRPr="000C178D">
        <w:rPr>
          <w:rFonts w:ascii="Book Antiqua" w:hAnsi="Book Antiqua"/>
        </w:rPr>
        <w:t xml:space="preserve">the </w:t>
      </w:r>
      <w:r w:rsidRPr="000C178D">
        <w:rPr>
          <w:rFonts w:ascii="Book Antiqua" w:hAnsi="Book Antiqua"/>
        </w:rPr>
        <w:t>elevated serum IgG4 concentration</w:t>
      </w:r>
      <w:r w:rsidRPr="000C178D">
        <w:rPr>
          <w:rFonts w:ascii="Book Antiqua" w:hAnsi="Book Antiqua"/>
          <w:color w:val="0E101A"/>
        </w:rPr>
        <w:t xml:space="preserve">. The patient was then diagnosed with IgG4-RD and successfully treated with prednisolone. There was a significant clinical, serological and radiological improvement after one month of treatment and no signs of relapse within </w:t>
      </w:r>
      <w:r w:rsidR="002216C4" w:rsidRPr="000C178D">
        <w:rPr>
          <w:rFonts w:ascii="Book Antiqua" w:hAnsi="Book Antiqua"/>
          <w:color w:val="0E101A"/>
        </w:rPr>
        <w:t>twenty</w:t>
      </w:r>
      <w:r w:rsidRPr="000C178D">
        <w:rPr>
          <w:rFonts w:ascii="Book Antiqua" w:hAnsi="Book Antiqua"/>
          <w:color w:val="0E101A"/>
        </w:rPr>
        <w:t xml:space="preserve"> months. However, it took almost </w:t>
      </w:r>
      <w:r w:rsidR="002216C4" w:rsidRPr="000C178D">
        <w:rPr>
          <w:rFonts w:ascii="Book Antiqua" w:hAnsi="Book Antiqua"/>
          <w:color w:val="0E101A"/>
        </w:rPr>
        <w:t>18</w:t>
      </w:r>
      <w:r w:rsidRPr="000C178D">
        <w:rPr>
          <w:rFonts w:ascii="Book Antiqua" w:hAnsi="Book Antiqua"/>
          <w:color w:val="0E101A"/>
        </w:rPr>
        <w:t xml:space="preserve"> years and </w:t>
      </w:r>
      <w:r w:rsidR="006F1122" w:rsidRPr="000C178D">
        <w:rPr>
          <w:rFonts w:ascii="Book Antiqua" w:hAnsi="Book Antiqua"/>
          <w:color w:val="0E101A"/>
        </w:rPr>
        <w:t xml:space="preserve">the </w:t>
      </w:r>
      <w:r w:rsidRPr="000C178D">
        <w:rPr>
          <w:rFonts w:ascii="Book Antiqua" w:hAnsi="Book Antiqua"/>
          <w:color w:val="0E101A"/>
        </w:rPr>
        <w:t xml:space="preserve">efforts of eight different </w:t>
      </w:r>
      <w:r w:rsidRPr="000C178D">
        <w:rPr>
          <w:rFonts w:ascii="Book Antiqua" w:hAnsi="Book Antiqua"/>
          <w:color w:val="000000" w:themeColor="text1"/>
        </w:rPr>
        <w:t xml:space="preserve">medical specialists </w:t>
      </w:r>
      <w:r w:rsidRPr="000C178D">
        <w:rPr>
          <w:rFonts w:ascii="Book Antiqua" w:hAnsi="Book Antiqua"/>
          <w:color w:val="0E101A"/>
        </w:rPr>
        <w:t>to establish the correct diagnosis.</w:t>
      </w:r>
    </w:p>
    <w:p w14:paraId="16DD2AF0" w14:textId="77777777" w:rsidR="006F35C2" w:rsidRPr="000C178D" w:rsidRDefault="006F35C2" w:rsidP="000C178D">
      <w:pPr>
        <w:pStyle w:val="a5"/>
        <w:snapToGrid w:val="0"/>
        <w:spacing w:before="0" w:beforeAutospacing="0" w:after="0" w:afterAutospacing="0" w:line="360" w:lineRule="auto"/>
        <w:jc w:val="both"/>
        <w:rPr>
          <w:rFonts w:ascii="Book Antiqua" w:hAnsi="Book Antiqua"/>
          <w:color w:val="0E101A"/>
        </w:rPr>
      </w:pPr>
    </w:p>
    <w:p w14:paraId="5396B8A5" w14:textId="3C3917EB" w:rsidR="00CE7809" w:rsidRPr="000C178D" w:rsidRDefault="002D2E82" w:rsidP="000C178D">
      <w:pPr>
        <w:pStyle w:val="a5"/>
        <w:snapToGrid w:val="0"/>
        <w:spacing w:before="0" w:beforeAutospacing="0" w:after="0" w:afterAutospacing="0" w:line="360" w:lineRule="auto"/>
        <w:jc w:val="both"/>
        <w:rPr>
          <w:rStyle w:val="a7"/>
          <w:rFonts w:ascii="Book Antiqua" w:hAnsi="Book Antiqua"/>
          <w:b w:val="0"/>
          <w:color w:val="0E101A"/>
        </w:rPr>
      </w:pPr>
      <w:r w:rsidRPr="000C178D">
        <w:rPr>
          <w:rStyle w:val="a7"/>
          <w:rFonts w:ascii="Book Antiqua" w:hAnsi="Book Antiqua"/>
          <w:b w:val="0"/>
          <w:color w:val="0E101A"/>
        </w:rPr>
        <w:t>CONCLUSION</w:t>
      </w:r>
    </w:p>
    <w:p w14:paraId="65D7A66A" w14:textId="4AD11EC8" w:rsidR="002D2E82" w:rsidRPr="000C178D" w:rsidRDefault="002D2E82" w:rsidP="000C178D">
      <w:pPr>
        <w:pStyle w:val="a5"/>
        <w:snapToGrid w:val="0"/>
        <w:spacing w:before="0" w:beforeAutospacing="0" w:after="0" w:afterAutospacing="0" w:line="360" w:lineRule="auto"/>
        <w:jc w:val="both"/>
        <w:rPr>
          <w:rFonts w:ascii="Book Antiqua" w:hAnsi="Book Antiqua"/>
          <w:color w:val="0E101A"/>
        </w:rPr>
      </w:pPr>
      <w:r w:rsidRPr="000C178D">
        <w:rPr>
          <w:rFonts w:ascii="Book Antiqua" w:hAnsi="Book Antiqua"/>
          <w:color w:val="0E101A"/>
        </w:rPr>
        <w:t>A comprehensive approach to the patient is essential to improving the recognition of rare immune system conditions, such as IgG4-RD.</w:t>
      </w:r>
    </w:p>
    <w:p w14:paraId="7A8E045B" w14:textId="1142B43D" w:rsidR="001C4A46" w:rsidRPr="000C178D" w:rsidRDefault="00385DBD" w:rsidP="000C178D">
      <w:pPr>
        <w:pStyle w:val="a5"/>
        <w:snapToGrid w:val="0"/>
        <w:spacing w:before="0" w:beforeAutospacing="0" w:after="0" w:afterAutospacing="0" w:line="360" w:lineRule="auto"/>
        <w:jc w:val="both"/>
        <w:rPr>
          <w:rFonts w:ascii="Book Antiqua" w:hAnsi="Book Antiqua"/>
          <w:color w:val="0E101A"/>
        </w:rPr>
      </w:pPr>
      <w:r w:rsidRPr="000C178D">
        <w:rPr>
          <w:rStyle w:val="a7"/>
          <w:rFonts w:ascii="Book Antiqua" w:hAnsi="Book Antiqua"/>
          <w:color w:val="0E101A"/>
        </w:rPr>
        <w:lastRenderedPageBreak/>
        <w:t>Key</w:t>
      </w:r>
      <w:r w:rsidR="006F35C2" w:rsidRPr="000C178D">
        <w:rPr>
          <w:rStyle w:val="a7"/>
          <w:rFonts w:ascii="Book Antiqua" w:hAnsi="Book Antiqua"/>
          <w:color w:val="0E101A"/>
        </w:rPr>
        <w:t xml:space="preserve"> </w:t>
      </w:r>
      <w:r w:rsidRPr="000C178D">
        <w:rPr>
          <w:rStyle w:val="a7"/>
          <w:rFonts w:ascii="Book Antiqua" w:hAnsi="Book Antiqua"/>
          <w:color w:val="0E101A"/>
        </w:rPr>
        <w:t>words:</w:t>
      </w:r>
      <w:r w:rsidRPr="000C178D">
        <w:rPr>
          <w:rFonts w:ascii="Book Antiqua" w:hAnsi="Book Antiqua"/>
          <w:color w:val="0E101A"/>
        </w:rPr>
        <w:t xml:space="preserve"> IgG4-related disease</w:t>
      </w:r>
      <w:r w:rsidR="00CE7809" w:rsidRPr="000C178D">
        <w:rPr>
          <w:rFonts w:ascii="Book Antiqua" w:hAnsi="Book Antiqua"/>
          <w:color w:val="0E101A"/>
        </w:rPr>
        <w:t>;</w:t>
      </w:r>
      <w:r w:rsidRPr="000C178D">
        <w:rPr>
          <w:rFonts w:ascii="Book Antiqua" w:hAnsi="Book Antiqua"/>
          <w:color w:val="0E101A"/>
        </w:rPr>
        <w:t xml:space="preserve"> </w:t>
      </w:r>
      <w:r w:rsidR="00CE7809" w:rsidRPr="000C178D">
        <w:rPr>
          <w:rFonts w:ascii="Book Antiqua" w:hAnsi="Book Antiqua"/>
          <w:color w:val="0E101A"/>
        </w:rPr>
        <w:t>Autoimmune pancreatitis;</w:t>
      </w:r>
      <w:r w:rsidRPr="000C178D">
        <w:rPr>
          <w:rFonts w:ascii="Book Antiqua" w:hAnsi="Book Antiqua"/>
          <w:color w:val="0E101A"/>
        </w:rPr>
        <w:t xml:space="preserve"> </w:t>
      </w:r>
      <w:r w:rsidR="00CE7809" w:rsidRPr="000C178D">
        <w:rPr>
          <w:rFonts w:ascii="Book Antiqua" w:hAnsi="Book Antiqua"/>
          <w:color w:val="0E101A"/>
        </w:rPr>
        <w:t>S</w:t>
      </w:r>
      <w:r w:rsidRPr="000C178D">
        <w:rPr>
          <w:rFonts w:ascii="Book Antiqua" w:hAnsi="Book Antiqua"/>
          <w:color w:val="0E101A"/>
        </w:rPr>
        <w:t>ialadenitis</w:t>
      </w:r>
      <w:r w:rsidR="00CE7809" w:rsidRPr="000C178D">
        <w:rPr>
          <w:rFonts w:ascii="Book Antiqua" w:hAnsi="Book Antiqua"/>
          <w:color w:val="0E101A"/>
        </w:rPr>
        <w:t>;</w:t>
      </w:r>
      <w:r w:rsidRPr="000C178D">
        <w:rPr>
          <w:rFonts w:ascii="Book Antiqua" w:hAnsi="Book Antiqua"/>
          <w:color w:val="0E101A"/>
        </w:rPr>
        <w:t xml:space="preserve"> </w:t>
      </w:r>
      <w:r w:rsidR="00CE7809" w:rsidRPr="000C178D">
        <w:rPr>
          <w:rFonts w:ascii="Book Antiqua" w:hAnsi="Book Antiqua"/>
          <w:color w:val="0E101A"/>
        </w:rPr>
        <w:t>O</w:t>
      </w:r>
      <w:r w:rsidRPr="000C178D">
        <w:rPr>
          <w:rFonts w:ascii="Book Antiqua" w:hAnsi="Book Antiqua"/>
          <w:color w:val="0E101A"/>
        </w:rPr>
        <w:t>rbitopathy</w:t>
      </w:r>
      <w:r w:rsidR="00CE7809" w:rsidRPr="000C178D">
        <w:rPr>
          <w:rFonts w:ascii="Book Antiqua" w:hAnsi="Book Antiqua"/>
          <w:color w:val="0E101A"/>
        </w:rPr>
        <w:t>;</w:t>
      </w:r>
      <w:r w:rsidRPr="000C178D">
        <w:rPr>
          <w:rFonts w:ascii="Book Antiqua" w:hAnsi="Book Antiqua"/>
          <w:color w:val="0E101A"/>
        </w:rPr>
        <w:t xml:space="preserve"> </w:t>
      </w:r>
      <w:r w:rsidR="00CE7809" w:rsidRPr="000C178D">
        <w:rPr>
          <w:rFonts w:ascii="Book Antiqua" w:hAnsi="Book Antiqua"/>
          <w:color w:val="0E101A"/>
        </w:rPr>
        <w:t>A</w:t>
      </w:r>
      <w:r w:rsidRPr="000C178D">
        <w:rPr>
          <w:rFonts w:ascii="Book Antiqua" w:hAnsi="Book Antiqua"/>
          <w:color w:val="0E101A"/>
        </w:rPr>
        <w:t>utoi</w:t>
      </w:r>
      <w:r w:rsidR="00CE7809" w:rsidRPr="000C178D">
        <w:rPr>
          <w:rFonts w:ascii="Book Antiqua" w:hAnsi="Book Antiqua"/>
          <w:color w:val="0E101A"/>
        </w:rPr>
        <w:t xml:space="preserve">mmune </w:t>
      </w:r>
      <w:r w:rsidR="00226315" w:rsidRPr="000C178D">
        <w:rPr>
          <w:rFonts w:ascii="Book Antiqua" w:hAnsi="Book Antiqua"/>
          <w:color w:val="0E101A"/>
        </w:rPr>
        <w:t>thyroiditis; Case</w:t>
      </w:r>
      <w:r w:rsidR="00CE7809" w:rsidRPr="000C178D">
        <w:rPr>
          <w:rFonts w:ascii="Book Antiqua" w:hAnsi="Book Antiqua"/>
          <w:color w:val="0E101A"/>
        </w:rPr>
        <w:t xml:space="preserve"> report</w:t>
      </w:r>
      <w:r w:rsidR="003C6D1B" w:rsidRPr="000C178D">
        <w:rPr>
          <w:rFonts w:ascii="Book Antiqua" w:hAnsi="Book Antiqua"/>
          <w:color w:val="0E101A"/>
        </w:rPr>
        <w:t>; Literature review</w:t>
      </w:r>
    </w:p>
    <w:p w14:paraId="14193D25" w14:textId="77777777" w:rsidR="009E7CAF" w:rsidRPr="000C178D" w:rsidRDefault="009E7CAF" w:rsidP="000C178D">
      <w:pPr>
        <w:pStyle w:val="a5"/>
        <w:snapToGrid w:val="0"/>
        <w:spacing w:before="0" w:beforeAutospacing="0" w:after="0" w:afterAutospacing="0" w:line="360" w:lineRule="auto"/>
        <w:jc w:val="both"/>
        <w:rPr>
          <w:rFonts w:ascii="Book Antiqua" w:hAnsi="Book Antiqua"/>
          <w:color w:val="0E101A"/>
        </w:rPr>
      </w:pPr>
    </w:p>
    <w:p w14:paraId="6EA6954E" w14:textId="458392F6" w:rsidR="001A6AD0" w:rsidRPr="000C178D" w:rsidRDefault="001A6AD0" w:rsidP="000C178D">
      <w:pPr>
        <w:pStyle w:val="a5"/>
        <w:snapToGrid w:val="0"/>
        <w:spacing w:before="0" w:beforeAutospacing="0" w:after="0" w:afterAutospacing="0" w:line="360" w:lineRule="auto"/>
        <w:jc w:val="both"/>
        <w:rPr>
          <w:rFonts w:ascii="Book Antiqua" w:hAnsi="Book Antiqua"/>
          <w:color w:val="0E101A"/>
        </w:rPr>
      </w:pPr>
      <w:proofErr w:type="spellStart"/>
      <w:r w:rsidRPr="000C178D">
        <w:rPr>
          <w:rFonts w:ascii="Book Antiqua" w:hAnsi="Book Antiqua"/>
          <w:bCs/>
          <w:color w:val="0E101A"/>
        </w:rPr>
        <w:t>Strainiene</w:t>
      </w:r>
      <w:proofErr w:type="spellEnd"/>
      <w:r w:rsidRPr="000C178D">
        <w:rPr>
          <w:rFonts w:ascii="Book Antiqua" w:hAnsi="Book Antiqua"/>
          <w:bCs/>
          <w:color w:val="0E101A"/>
        </w:rPr>
        <w:t xml:space="preserve"> S</w:t>
      </w:r>
      <w:r w:rsidR="00012382" w:rsidRPr="000C178D">
        <w:rPr>
          <w:rFonts w:ascii="Book Antiqua" w:hAnsi="Book Antiqua"/>
          <w:bCs/>
          <w:color w:val="0E101A"/>
        </w:rPr>
        <w:t>,</w:t>
      </w:r>
      <w:r w:rsidR="00012382" w:rsidRPr="000C178D">
        <w:rPr>
          <w:rFonts w:ascii="Book Antiqua" w:hAnsi="Book Antiqua"/>
          <w:color w:val="0E101A"/>
        </w:rPr>
        <w:t xml:space="preserve"> </w:t>
      </w:r>
      <w:proofErr w:type="spellStart"/>
      <w:r w:rsidRPr="000C178D">
        <w:rPr>
          <w:rFonts w:ascii="Book Antiqua" w:hAnsi="Book Antiqua"/>
          <w:color w:val="0E101A"/>
        </w:rPr>
        <w:t>Sarlauskas</w:t>
      </w:r>
      <w:proofErr w:type="spellEnd"/>
      <w:r w:rsidRPr="000C178D">
        <w:rPr>
          <w:rFonts w:ascii="Book Antiqua" w:hAnsi="Book Antiqua"/>
          <w:color w:val="0E101A"/>
        </w:rPr>
        <w:t xml:space="preserve"> L, </w:t>
      </w:r>
      <w:proofErr w:type="spellStart"/>
      <w:r w:rsidRPr="000C178D">
        <w:rPr>
          <w:rFonts w:ascii="Book Antiqua" w:hAnsi="Book Antiqua"/>
          <w:color w:val="0E101A"/>
        </w:rPr>
        <w:t>Savlan</w:t>
      </w:r>
      <w:proofErr w:type="spellEnd"/>
      <w:r w:rsidRPr="000C178D">
        <w:rPr>
          <w:rFonts w:ascii="Book Antiqua" w:hAnsi="Book Antiqua"/>
          <w:color w:val="0E101A"/>
        </w:rPr>
        <w:t xml:space="preserve"> I, </w:t>
      </w:r>
      <w:proofErr w:type="spellStart"/>
      <w:r w:rsidRPr="000C178D">
        <w:rPr>
          <w:rFonts w:ascii="Book Antiqua" w:hAnsi="Book Antiqua"/>
          <w:color w:val="0E101A"/>
        </w:rPr>
        <w:t>Liakina</w:t>
      </w:r>
      <w:proofErr w:type="spellEnd"/>
      <w:r w:rsidRPr="000C178D">
        <w:rPr>
          <w:rFonts w:ascii="Book Antiqua" w:hAnsi="Book Antiqua"/>
          <w:color w:val="0E101A"/>
        </w:rPr>
        <w:t xml:space="preserve"> V, </w:t>
      </w:r>
      <w:proofErr w:type="spellStart"/>
      <w:r w:rsidRPr="000C178D">
        <w:rPr>
          <w:rFonts w:ascii="Book Antiqua" w:hAnsi="Book Antiqua"/>
          <w:color w:val="0E101A"/>
        </w:rPr>
        <w:t>Stundiene</w:t>
      </w:r>
      <w:proofErr w:type="spellEnd"/>
      <w:r w:rsidRPr="000C178D">
        <w:rPr>
          <w:rFonts w:ascii="Book Antiqua" w:hAnsi="Book Antiqua"/>
          <w:color w:val="0E101A"/>
        </w:rPr>
        <w:t xml:space="preserve"> I, </w:t>
      </w:r>
      <w:proofErr w:type="spellStart"/>
      <w:r w:rsidRPr="000C178D">
        <w:rPr>
          <w:rFonts w:ascii="Book Antiqua" w:hAnsi="Book Antiqua"/>
          <w:color w:val="0E101A"/>
        </w:rPr>
        <w:t>Valantinas</w:t>
      </w:r>
      <w:proofErr w:type="spellEnd"/>
      <w:r w:rsidRPr="000C178D">
        <w:rPr>
          <w:rFonts w:ascii="Book Antiqua" w:hAnsi="Book Antiqua"/>
          <w:color w:val="0E101A"/>
        </w:rPr>
        <w:t xml:space="preserve"> J. </w:t>
      </w:r>
      <w:r w:rsidR="005C145E" w:rsidRPr="000C178D">
        <w:rPr>
          <w:rFonts w:ascii="Book Antiqua" w:hAnsi="Book Antiqua"/>
          <w:color w:val="0E101A"/>
        </w:rPr>
        <w:t>Multi-organ IgG4-related disease continues to mislead clinicians: A case report and literature review.</w:t>
      </w:r>
      <w:r w:rsidR="000C2BE6" w:rsidRPr="000C178D">
        <w:rPr>
          <w:rFonts w:ascii="Book Antiqua" w:hAnsi="Book Antiqua"/>
          <w:i/>
          <w:iCs/>
        </w:rPr>
        <w:t xml:space="preserve"> World J Clin Cases</w:t>
      </w:r>
      <w:r w:rsidR="000C2BE6" w:rsidRPr="000C178D">
        <w:rPr>
          <w:rFonts w:ascii="Book Antiqua" w:hAnsi="Book Antiqua"/>
          <w:i/>
          <w:iCs/>
          <w:lang w:eastAsia="zh-CN"/>
        </w:rPr>
        <w:t xml:space="preserve"> </w:t>
      </w:r>
      <w:r w:rsidR="000C2BE6" w:rsidRPr="000C178D">
        <w:rPr>
          <w:rFonts w:ascii="Book Antiqua" w:hAnsi="Book Antiqua"/>
          <w:iCs/>
          <w:lang w:eastAsia="zh-CN"/>
        </w:rPr>
        <w:t>20</w:t>
      </w:r>
      <w:r w:rsidR="000C2BE6" w:rsidRPr="000C178D">
        <w:rPr>
          <w:rFonts w:ascii="Book Antiqua" w:eastAsiaTheme="minorEastAsia" w:hAnsi="Book Antiqua"/>
          <w:iCs/>
          <w:lang w:eastAsia="zh-CN"/>
        </w:rPr>
        <w:t>20</w:t>
      </w:r>
      <w:r w:rsidR="000C2BE6" w:rsidRPr="000C178D">
        <w:rPr>
          <w:rFonts w:ascii="Book Antiqua" w:hAnsi="Book Antiqua"/>
          <w:bCs/>
        </w:rPr>
        <w:t xml:space="preserve">; </w:t>
      </w:r>
      <w:r w:rsidR="000C2BE6" w:rsidRPr="000C178D">
        <w:rPr>
          <w:rFonts w:ascii="Book Antiqua" w:hAnsi="Book Antiqua"/>
          <w:bCs/>
          <w:lang w:eastAsia="zh-CN"/>
        </w:rPr>
        <w:t>In press</w:t>
      </w:r>
    </w:p>
    <w:p w14:paraId="4A71497D" w14:textId="77777777" w:rsidR="00012382" w:rsidRPr="000C178D" w:rsidRDefault="00012382" w:rsidP="000C178D">
      <w:pPr>
        <w:pStyle w:val="a5"/>
        <w:snapToGrid w:val="0"/>
        <w:spacing w:before="0" w:beforeAutospacing="0" w:after="0" w:afterAutospacing="0" w:line="360" w:lineRule="auto"/>
        <w:jc w:val="both"/>
        <w:rPr>
          <w:rFonts w:ascii="Book Antiqua" w:hAnsi="Book Antiqua"/>
          <w:color w:val="0E101A"/>
        </w:rPr>
      </w:pPr>
    </w:p>
    <w:p w14:paraId="7F6F128A" w14:textId="77777777" w:rsidR="00A46B2A" w:rsidRPr="000C178D" w:rsidRDefault="001C4A46" w:rsidP="000C178D">
      <w:pPr>
        <w:pStyle w:val="a5"/>
        <w:snapToGrid w:val="0"/>
        <w:spacing w:before="0" w:beforeAutospacing="0" w:after="0" w:afterAutospacing="0" w:line="360" w:lineRule="auto"/>
        <w:jc w:val="both"/>
        <w:rPr>
          <w:rFonts w:ascii="Book Antiqua" w:hAnsi="Book Antiqua"/>
          <w:color w:val="0E101A"/>
        </w:rPr>
      </w:pPr>
      <w:r w:rsidRPr="000C178D">
        <w:rPr>
          <w:rFonts w:ascii="Book Antiqua" w:hAnsi="Book Antiqua"/>
          <w:b/>
          <w:bCs/>
          <w:color w:val="333333"/>
          <w:shd w:val="clear" w:color="auto" w:fill="FFFFFF"/>
        </w:rPr>
        <w:t>Core tip:</w:t>
      </w:r>
      <w:r w:rsidRPr="000C178D">
        <w:rPr>
          <w:rFonts w:ascii="Book Antiqua" w:hAnsi="Book Antiqua"/>
          <w:color w:val="333333"/>
          <w:shd w:val="clear" w:color="auto" w:fill="FFFFFF"/>
        </w:rPr>
        <w:t xml:space="preserve"> </w:t>
      </w:r>
      <w:r w:rsidR="000C2BE6" w:rsidRPr="000C178D">
        <w:rPr>
          <w:rFonts w:ascii="Book Antiqua" w:hAnsi="Book Antiqua"/>
          <w:color w:val="0E101A"/>
        </w:rPr>
        <w:t>Immunoglobulin G4-related disease</w:t>
      </w:r>
      <w:r w:rsidR="000C2BE6" w:rsidRPr="000C178D">
        <w:rPr>
          <w:rFonts w:ascii="Book Antiqua" w:hAnsi="Book Antiqua"/>
          <w:color w:val="333333"/>
          <w:shd w:val="clear" w:color="auto" w:fill="FFFFFF"/>
        </w:rPr>
        <w:t xml:space="preserve"> </w:t>
      </w:r>
      <w:r w:rsidR="000C2BE6" w:rsidRPr="000C178D">
        <w:rPr>
          <w:rFonts w:ascii="Book Antiqua" w:eastAsia="宋体" w:hAnsi="Book Antiqua" w:cs="宋体"/>
          <w:color w:val="333333"/>
          <w:shd w:val="clear" w:color="auto" w:fill="FFFFFF"/>
          <w:lang w:eastAsia="zh-CN"/>
        </w:rPr>
        <w:t>(</w:t>
      </w:r>
      <w:r w:rsidRPr="000C178D">
        <w:rPr>
          <w:rFonts w:ascii="Book Antiqua" w:hAnsi="Book Antiqua"/>
          <w:color w:val="333333"/>
          <w:shd w:val="clear" w:color="auto" w:fill="FFFFFF"/>
        </w:rPr>
        <w:t>IgG4-RD</w:t>
      </w:r>
      <w:r w:rsidR="000C2BE6" w:rsidRPr="000C178D">
        <w:rPr>
          <w:rFonts w:ascii="Book Antiqua" w:hAnsi="Book Antiqua"/>
          <w:color w:val="333333"/>
          <w:shd w:val="clear" w:color="auto" w:fill="FFFFFF"/>
        </w:rPr>
        <w:t>)</w:t>
      </w:r>
      <w:r w:rsidRPr="000C178D">
        <w:rPr>
          <w:rFonts w:ascii="Book Antiqua" w:hAnsi="Book Antiqua"/>
          <w:color w:val="333333"/>
          <w:shd w:val="clear" w:color="auto" w:fill="FFFFFF"/>
        </w:rPr>
        <w:t xml:space="preserve"> is a rare</w:t>
      </w:r>
      <w:r w:rsidRPr="000C178D">
        <w:rPr>
          <w:rFonts w:ascii="Book Antiqua" w:hAnsi="Book Antiqua"/>
          <w:color w:val="0E101A"/>
        </w:rPr>
        <w:t xml:space="preserve"> multisystemic immune-mediated disease that affects almost every organ and mimics </w:t>
      </w:r>
      <w:r w:rsidR="00267282" w:rsidRPr="000C178D">
        <w:rPr>
          <w:rFonts w:ascii="Book Antiqua" w:hAnsi="Book Antiqua"/>
          <w:lang w:val="lt-LT"/>
        </w:rPr>
        <w:t>various malignant, infectious or other inflammatory conditions</w:t>
      </w:r>
      <w:r w:rsidRPr="000C178D">
        <w:rPr>
          <w:rFonts w:ascii="Book Antiqua" w:hAnsi="Book Antiqua"/>
          <w:color w:val="0E101A"/>
        </w:rPr>
        <w:t xml:space="preserve">. </w:t>
      </w:r>
      <w:r w:rsidR="00E72E6E" w:rsidRPr="000C178D">
        <w:rPr>
          <w:rFonts w:ascii="Book Antiqua" w:hAnsi="Book Antiqua"/>
          <w:color w:val="0E101A"/>
        </w:rPr>
        <w:t>Therefore,</w:t>
      </w:r>
      <w:r w:rsidRPr="000C178D">
        <w:rPr>
          <w:rFonts w:ascii="Book Antiqua" w:hAnsi="Book Antiqua"/>
          <w:color w:val="0E101A"/>
        </w:rPr>
        <w:t xml:space="preserve"> the correct diagnosis and proper treatment </w:t>
      </w:r>
      <w:r w:rsidR="00B82086" w:rsidRPr="000C178D">
        <w:rPr>
          <w:rFonts w:ascii="Book Antiqua" w:hAnsi="Book Antiqua"/>
          <w:color w:val="0E101A"/>
        </w:rPr>
        <w:t>are</w:t>
      </w:r>
      <w:r w:rsidRPr="000C178D">
        <w:rPr>
          <w:rFonts w:ascii="Book Antiqua" w:hAnsi="Book Antiqua"/>
          <w:color w:val="0E101A"/>
        </w:rPr>
        <w:t xml:space="preserve"> often delayed. We present the first clinical case of </w:t>
      </w:r>
      <w:r w:rsidR="003065A3" w:rsidRPr="000C178D">
        <w:rPr>
          <w:rFonts w:ascii="Book Antiqua" w:hAnsi="Book Antiqua"/>
          <w:color w:val="0E101A"/>
        </w:rPr>
        <w:t xml:space="preserve">multi-organ </w:t>
      </w:r>
      <w:r w:rsidRPr="000C178D">
        <w:rPr>
          <w:rFonts w:ascii="Book Antiqua" w:hAnsi="Book Antiqua"/>
          <w:color w:val="0E101A"/>
        </w:rPr>
        <w:t xml:space="preserve">IgG4-RD from Lithuania and the Baltic </w:t>
      </w:r>
      <w:r w:rsidR="006F1122" w:rsidRPr="000C178D">
        <w:rPr>
          <w:rFonts w:ascii="Book Antiqua" w:hAnsi="Book Antiqua"/>
          <w:color w:val="0E101A"/>
        </w:rPr>
        <w:t>S</w:t>
      </w:r>
      <w:r w:rsidRPr="000C178D">
        <w:rPr>
          <w:rFonts w:ascii="Book Antiqua" w:hAnsi="Book Antiqua"/>
          <w:color w:val="0E101A"/>
        </w:rPr>
        <w:t>ea region</w:t>
      </w:r>
      <w:r w:rsidR="00E72E6E" w:rsidRPr="000C178D">
        <w:rPr>
          <w:rFonts w:ascii="Book Antiqua" w:hAnsi="Book Antiqua"/>
          <w:color w:val="0E101A"/>
        </w:rPr>
        <w:t xml:space="preserve"> </w:t>
      </w:r>
      <w:r w:rsidR="003065A3" w:rsidRPr="000C178D">
        <w:rPr>
          <w:rFonts w:ascii="Book Antiqua" w:hAnsi="Book Antiqua"/>
          <w:color w:val="0E101A"/>
        </w:rPr>
        <w:t>that</w:t>
      </w:r>
      <w:r w:rsidRPr="000C178D">
        <w:rPr>
          <w:rFonts w:ascii="Book Antiqua" w:hAnsi="Book Antiqua"/>
          <w:color w:val="0E101A"/>
        </w:rPr>
        <w:t xml:space="preserve"> reveals the importance of a comprehensive approach to the patient in order to achieve effective recognition of the rare immune system malfunction conditions such as IgG4-RD.</w:t>
      </w:r>
    </w:p>
    <w:p w14:paraId="41EC807E" w14:textId="63272E71" w:rsidR="00480ECC" w:rsidRPr="000C178D" w:rsidRDefault="00480ECC" w:rsidP="000C178D">
      <w:pPr>
        <w:pStyle w:val="a5"/>
        <w:snapToGrid w:val="0"/>
        <w:spacing w:before="0" w:beforeAutospacing="0" w:after="0" w:afterAutospacing="0" w:line="360" w:lineRule="auto"/>
        <w:jc w:val="both"/>
        <w:rPr>
          <w:rFonts w:ascii="Book Antiqua" w:hAnsi="Book Antiqua"/>
          <w:color w:val="0E101A"/>
        </w:rPr>
      </w:pPr>
      <w:r w:rsidRPr="000C178D">
        <w:rPr>
          <w:rFonts w:ascii="Book Antiqua" w:hAnsi="Book Antiqua"/>
          <w:color w:val="0E101A"/>
        </w:rPr>
        <w:br w:type="page"/>
      </w:r>
    </w:p>
    <w:p w14:paraId="05C6886E" w14:textId="0CCCFF25" w:rsidR="00385DBD" w:rsidRPr="000C178D" w:rsidRDefault="001C4A46" w:rsidP="000C178D">
      <w:pPr>
        <w:snapToGrid w:val="0"/>
        <w:spacing w:after="0" w:line="360" w:lineRule="auto"/>
        <w:rPr>
          <w:rFonts w:ascii="Book Antiqua" w:hAnsi="Book Antiqua" w:cs="Times New Roman"/>
          <w:b/>
          <w:sz w:val="24"/>
          <w:szCs w:val="24"/>
          <w:u w:val="single"/>
        </w:rPr>
      </w:pPr>
      <w:r w:rsidRPr="000C178D">
        <w:rPr>
          <w:rFonts w:ascii="Book Antiqua" w:hAnsi="Book Antiqua" w:cs="Times New Roman"/>
          <w:b/>
          <w:sz w:val="24"/>
          <w:szCs w:val="24"/>
          <w:u w:val="single"/>
        </w:rPr>
        <w:lastRenderedPageBreak/>
        <w:t>INTRODUCTION</w:t>
      </w:r>
    </w:p>
    <w:p w14:paraId="4F203620" w14:textId="23294273" w:rsidR="00AC6D92" w:rsidRPr="000C178D" w:rsidRDefault="00385DBD" w:rsidP="000C178D">
      <w:pPr>
        <w:widowControl w:val="0"/>
        <w:autoSpaceDE w:val="0"/>
        <w:autoSpaceDN w:val="0"/>
        <w:adjustRightInd w:val="0"/>
        <w:snapToGrid w:val="0"/>
        <w:spacing w:after="0" w:line="360" w:lineRule="auto"/>
        <w:jc w:val="both"/>
        <w:rPr>
          <w:rFonts w:ascii="Book Antiqua" w:hAnsi="Book Antiqua" w:cs="Times New Roman"/>
          <w:sz w:val="24"/>
          <w:szCs w:val="24"/>
          <w:lang w:val="lt-LT"/>
        </w:rPr>
      </w:pPr>
      <w:r w:rsidRPr="000C178D">
        <w:rPr>
          <w:rFonts w:ascii="Book Antiqua" w:hAnsi="Book Antiqua" w:cs="Times New Roman"/>
          <w:sz w:val="24"/>
          <w:szCs w:val="24"/>
        </w:rPr>
        <w:t xml:space="preserve">Immunoglobulin G4-related disease (IgG4-RD) is a rare systemic chronic fibroinflammatory condition, characterized by </w:t>
      </w:r>
      <w:proofErr w:type="spellStart"/>
      <w:r w:rsidRPr="000C178D">
        <w:rPr>
          <w:rFonts w:ascii="Book Antiqua" w:hAnsi="Book Antiqua" w:cs="Times New Roman"/>
          <w:color w:val="000000"/>
          <w:sz w:val="24"/>
          <w:szCs w:val="24"/>
          <w:shd w:val="clear" w:color="auto" w:fill="FFFFFF"/>
        </w:rPr>
        <w:t>tumour</w:t>
      </w:r>
      <w:proofErr w:type="spellEnd"/>
      <w:r w:rsidRPr="000C178D">
        <w:rPr>
          <w:rFonts w:ascii="Book Antiqua" w:hAnsi="Book Antiqua" w:cs="Times New Roman"/>
          <w:color w:val="000000"/>
          <w:sz w:val="24"/>
          <w:szCs w:val="24"/>
          <w:shd w:val="clear" w:color="auto" w:fill="FFFFFF"/>
        </w:rPr>
        <w:t>-like tissue infiltrations</w:t>
      </w:r>
      <w:r w:rsidRPr="000C178D">
        <w:rPr>
          <w:rFonts w:ascii="Book Antiqua" w:hAnsi="Book Antiqua" w:cs="Times New Roman"/>
          <w:sz w:val="24"/>
          <w:szCs w:val="24"/>
        </w:rPr>
        <w:t xml:space="preserve"> with lymphocytes and IgG4-secreting plasma cells, storiform fibrosis and often, but not always, elevated serum levels of IgG4, resulting in organ swelling, scaring and dysfunction</w:t>
      </w:r>
      <w:r w:rsidR="00CE726F" w:rsidRPr="000C178D">
        <w:rPr>
          <w:rFonts w:ascii="Book Antiqua" w:hAnsi="Book Antiqua" w:cs="Times New Roman"/>
          <w:sz w:val="24"/>
          <w:szCs w:val="24"/>
          <w:vertAlign w:val="superscript"/>
        </w:rPr>
        <w:t>[</w:t>
      </w:r>
      <w:r w:rsidRPr="000C178D">
        <w:rPr>
          <w:rFonts w:ascii="Book Antiqua" w:hAnsi="Book Antiqua" w:cs="Times New Roman"/>
          <w:sz w:val="24"/>
          <w:szCs w:val="24"/>
        </w:rPr>
        <w:fldChar w:fldCharType="begin" w:fldLock="1"/>
      </w:r>
      <w:r w:rsidR="001867B4" w:rsidRPr="000C178D">
        <w:rPr>
          <w:rFonts w:ascii="Book Antiqua" w:hAnsi="Book Antiqua" w:cs="Times New Roman"/>
          <w:sz w:val="24"/>
          <w:szCs w:val="24"/>
        </w:rPr>
        <w:instrText>ADDIN CSL_CITATION {"citationItems":[{"id":"ITEM-1","itemData":{"DOI":"10.1038/modpathol.2012.72","ISSN":"08933952","abstract":"IgG4-related disease is a newly recognized fibro-inflammatory condition characterized by several features: a tendency to form tumefactive lesions in multiple sites; a characteristic histopathological appearance; andoften but not alwayselevated serum IgG4 concentrations. An international symposium on IgG4-related disease was held in Boston, MA, on 4-7 October 2011. The organizing committee comprising 35 IgG4-related disease experts from Japan, Korea, Hong Kong, the United Kingdom, Germany, Italy, Holland, Canada, and the United States, including the clinicians, pathologists, radiologists, and basic scientists. This group represents broad subspecialty expertise in pathology, rheumatology, gastroenterology, allergy, immunology, nephrology, pulmonary medicine, oncology, ophthalmology, and surgery. The histopathology of IgG4-related disease was a specific focus of the international symposium. The primary purpose of this statement is to provide practicing pathologists with a set of guidelines for the diagnosis of IgG4-related disease. The diagnosis of IgG4-related disease rests on the combined presence of the characteristic histopathological appearance and increased numbers of IgG4 plasma cells. The critical histopathological features are a dense lymphoplasmacytic infiltrate, a storiform pattern of fibrosis, and obliterative phlebitis. We propose a terminology scheme for the diagnosis of IgG4-related disease that is based primarily on the morphological appearance on biopsy. Tissue IgG4 counts and IgG4:IgG ratios are secondary in importance. The guidelines proposed in this statement do not supplant careful clinicopathological correlation and sound clinical judgment. As the spectrum of this disease continues to expand, we advocate the use of strict criteria for accepting newly proposed entities or sites as components of the IgG4-related disease spectrum. © 2012 USCAP, Inc. All rights reserved.","author":[{"dropping-particle":"","family":"Deshpande","given":"Vikram","non-dropping-particle":"","parse-names":false,"suffix":""},{"dropping-particle":"","family":"Zen","given":"Yoh","non-dropping-particle":"","parse-names":false,"suffix":""},{"dropping-particle":"","family":"Chan","given":"John K.C.","non-dropping-particle":"","parse-names":false,"suffix":""},{"dropping-particle":"","family":"Yi","given":"Eunhee E.","non-dropping-particle":"","parse-names":false,"suffix":""},{"dropping-particle":"","family":"Sato","given":"Yasuharu","non-dropping-particle":"","parse-names":false,"suffix":""},{"dropping-particle":"","family":"Yoshino","given":"Tadashi","non-dropping-particle":"","parse-names":false,"suffix":""},{"dropping-particle":"","family":"Klöppel","given":"Günter","non-dropping-particle":"","parse-names":false,"suffix":""},{"dropping-particle":"","family":"Godfrey Heathcote","given":"J.","non-dropping-particle":"","parse-names":false,"suffix":""},{"dropping-particle":"","family":"Khosroshahi","given":"Arezou","non-dropping-particle":"","parse-names":false,"suffix":""},{"dropping-particle":"","family":"Ferry","given":"Judith A.","non-dropping-particle":"","parse-names":false,"suffix":""},{"dropping-particle":"","family":"Aalberse","given":"Rob C.","non-dropping-particle":"","parse-names":false,"suffix":""},{"dropping-particle":"","family":"Bloch","given":"Donald B.","non-dropping-particle":"","parse-names":false,"suffix":""},{"dropping-particle":"","family":"Brugge","given":"William R.","non-dropping-particle":"","parse-names":false,"suffix":""},{"dropping-particle":"","family":"Bateman","given":"Adrian C.","non-dropping-particle":"","parse-names":false,"suffix":""},{"dropping-particle":"","family":"Carruthers","given":"Mollie N.","non-dropping-particle":"","parse-names":false,"suffix":""},{"dropping-particle":"","family":"Chari","given":"Suresh T.","non-dropping-particle":"","parse-names":false,"suffix":""},{"dropping-particle":"","family":"Cheuk","given":"Wah","non-dropping-particle":"","parse-names":false,"suffix":""},{"dropping-particle":"","family":"Cornell","given":"Lynn D.","non-dropping-particle":"","parse-names":false,"suffix":""},{"dropping-particle":"","family":"Fernandez-Del Castillo","given":"Carlos","non-dropping-particle":"","parse-names":false,"suffix":""},{"dropping-particle":"","family":"Forcione","given":"David G.","non-dropping-particle":"","parse-names":false,"suffix":""},{"dropping-particle":"","family":"Hamilos","given":"Daniel L.","non-dropping-particle":"","parse-names":false,"suffix":""},{"dropping-particle":"","family":"Kamisawa","given":"Terumi","non-dropping-particle":"","parse-names":false,"suffix":""},{"dropping-particle":"","family":"Kasashima","given":"Satomi","non-dropping-particle":"","parse-names":false,"suffix":""},{"dropping-particle":"","family":"Kawa","given":"Shigeyuki","non-dropping-particle":"","parse-names":false,"suffix":""},{"dropping-particle":"","family":"Kawano","given":"Mitsuhiro","non-dropping-particle":"","parse-names":false,"suffix":""},{"dropping-particle":"","family":"Lauwers","given":"Gregory Y.","non-dropping-particle":"","parse-names":false,"suffix":""},{"dropping-particle":"","family":"Masaki","given":"Yasufumi","non-dropping-particle":"","parse-names":false,"suffix":""},{"dropping-particle":"","family":"Nakanuma","given":"Yasuni","non-dropping-particle":"","parse-names":false,"suffix":""},{"dropping-particle":"","family":"Notohara","given":"Kenji","non-dropping-particle":"","parse-names":false,"suffix":""},{"dropping-particle":"","family":"Okazaki","given":"Kazuichi","non-dropping-particle":"","parse-names":false,"suffix":""},{"dropping-particle":"","family":"Ryu","given":"Ji Kon","non-dropping-particle":"","parse-names":false,"suffix":""},{"dropping-particle":"","family":"Saeki","given":"Takako","non-dropping-particle":"","parse-names":false,"suffix":""},{"dropping-particle":"V.","family":"Sahani","given":"Dushyant","non-dropping-particle":"","parse-names":false,"suffix":""},{"dropping-particle":"","family":"Smyrk","given":"Thomas C.","non-dropping-particle":"","parse-names":false,"suffix":""},{"dropping-particle":"","family":"Stone","given":"James R.","non-dropping-particle":"","parse-names":false,"suffix":""},{"dropping-particle":"","family":"Takahira","given":"Masayuki","non-dropping-particle":"","parse-names":false,"suffix":""},{"dropping-particle":"","family":"Webster","given":"George J.","non-dropping-particle":"","parse-names":false,"suffix":""},{"dropping-particle":"","family":"Yamamoto","given":"Motohisa","non-dropping-particle":"","parse-names":false,"suffix":""},{"dropping-particle":"","family":"Zamboni","given":"Giuseppe","non-dropping-particle":"","parse-names":false,"suffix":""},{"dropping-particle":"","family":"Umehara","given":"Hisanori","non-dropping-particle":"","parse-names":false,"suffix":""},{"dropping-particle":"","family":"Stone","given":"John H.","non-dropping-particle":"","parse-names":false,"suffix":""}],"container-title":"Modern Pathology","id":"ITEM-1","issue":"9","issued":{"date-parts":[["2012"]]},"page":"1181-1192","title":"Consensus statement on the pathology of IgG4-related disease","type":"article-journal","volume":"25"},"uris":["http://www.mendeley.com/documents/?uuid=3f43fcc4-f4e9-4cf4-83b3-d3905de2090d"]},{"id":"ITEM-2","itemData":{"DOI":"10.1016/j.ejim.2015.09.022","ISSN":"09536205","abstract":"IgG4-related disease (IgG4-RD) is a recently recognized chronic fibrotic inflammation, which can affect almost every organ, and may come to clinical attention first due to visible organ swelling or organ dysfunction, or is identified incidentally by imaging and specific biopsy. The disorder has an allergic background and is immune-mediated. Up-regulated responses of T helper 2 and T regulatory cells and their cytokines play a major role in disease progression. About 30-50% of patients are atopic or have mild eosinophilia. IgG4-RD predominantly affects middle-aged male patients. The cornerstones of diagnosis of the disease are compatible clinical features and typical histopathology. Swelling of salivary and lacrimal glands, lymphadenopathy, and type 1 autoimmune pancreatitis (AIP) are the most common manifestations of the disease. However, other tissues and organs, such as retroperitoneum, lung, kidney, aorta, upper airways, thyroid gland, meninges, heart, mesenterium and skin may be involved. Typical histopathology is lymphoplasmacytic infiltration abundant in IgG4-positive plasma cells, storiform-type fibrosis, and obliterative phlebitis. Elevated serum IgG4 concentration supports the diagnosis. Characteristic imaging features such as a »capsule-like rim» surrounding the pancreatic lesions is highly specific to type 1 AIP. 18F-fluorodeoxyglucose positron emission tomography/computed tomography enables mapping the sites of inflammation, permits evaluation of the extent of the disease, helps in guiding biopsy decision, and may be used in monitoring response to treatment. Glucocorticoids alone or in combination with B-cell depletion with rituximab induces prompt clinical response to IgG4-RD. This article reviews the current understanding, different clinical manifestations, and approaches to diagnosis and treatment of IgG4-RD.","author":[{"dropping-particle":"","family":"Vasaitis","given":"Lilian","non-dropping-particle":"","parse-names":false,"suffix":""}],"container-title":"European Journal of Internal Medicine","id":"ITEM-2","issued":{"date-parts":[["2016","1"]]},"page":"1-9","title":"IgG4-related disease: A relatively new concept for clinicians","type":"article-journal","volume":"27"},"uris":["http://www.mendeley.com/documents/?uuid=ca0ef16d-e19e-3fea-b5e5-d9d2dada3243"]},{"id":"ITEM-3","itemData":{"DOI":"10.1136/rmdopen-2018-000787","ISSN":"20565933","abstract":"Immunoglobulin G4-related diseases (IgG4-RD) are a group of chronic relapsing–remitting inflammatory conditions, characterised by tissue infiltration with lymphocytes and IgG4-secreting plasma cells, fibrosis and a usually favourable response to steroids.In this narrative review, we summarise the results of a systematic literature research, which was performed as part of the European Reference Network ReCONNET, aimed at evaluating existing clinical practice guidelines (CPGs) and recommendations in IgG4-RD. From 167 publications initially obtained from a systematic literature search, only one was identified as a systematic multispecialist, evidence-based, consensus guidance statement on diagnosis and treatment of IgG4-RD, which may be recommended for use as CPG in IgG4-RD.With the recognition of a limited evidence based in this increasingly recognised disease, the group discussion has identified the following unmet needs: lack of shared classification criteria, absence of formal guidelines on diagnosis, no evidence-based therapeutic recommendations and lack of activity and damage indices. Areas of unmet needs include the difficulties in diagnosis, management and monitoring and the scarcity of expert centres.","author":[{"dropping-particle":"","family":"Iaccarino","given":"Luca","non-dropping-particle":"","parse-names":false,"suffix":""},{"dropping-particle":"","family":"Talarico","given":"Rosaria","non-dropping-particle":"","parse-names":false,"suffix":""},{"dropping-particle":"","family":"Scirè","given":"Carlo Alberto","non-dropping-particle":"","parse-names":false,"suffix":""},{"dropping-particle":"","family":"Amoura","given":"Zahir","non-dropping-particle":"","parse-names":false,"suffix":""},{"dropping-particle":"","family":"Burmester","given":"Gerd","non-dropping-particle":"","parse-names":false,"suffix":""},{"dropping-particle":"","family":"Doria","given":"Andrea","non-dropping-particle":"","parse-names":false,"suffix":""},{"dropping-particle":"","family":"Faiz","given":"Karim","non-dropping-particle":"","parse-names":false,"suffix":""},{"dropping-particle":"","family":"Frank","given":"Charissa","non-dropping-particle":"","parse-names":false,"suffix":""},{"dropping-particle":"","family":"Hachulla","given":"Eric","non-dropping-particle":"","parse-names":false,"suffix":""},{"dropping-particle":"","family":"Hie","given":"Miguel","non-dropping-particle":"","parse-names":false,"suffix":""},{"dropping-particle":"","family":"Launay","given":"David","non-dropping-particle":"","parse-names":false,"suffix":""},{"dropping-particle":"","family":"Montecucco","given":"Carlomaurizio","non-dropping-particle":"","parse-names":false,"suffix":""},{"dropping-particle":"","family":"Monti","given":"Sara","non-dropping-particle":"","parse-names":false,"suffix":""},{"dropping-particle":"","family":"Mouthon","given":"Luc","non-dropping-particle":"","parse-names":false,"suffix":""},{"dropping-particle":"","family":"Tincani","given":"Angela","non-dropping-particle":"","parse-names":false,"suffix":""},{"dropping-particle":"","family":"Toniati","given":"Paola","non-dropping-particle":"","parse-names":false,"suffix":""},{"dropping-particle":"","family":"Hagen","given":"Pieter Martin","non-dropping-particle":"Van","parse-names":false,"suffix":""},{"dropping-particle":"","family":"Vollenhoven","given":"Ronald F.","non-dropping-particle":"Van","parse-names":false,"suffix":""},{"dropping-particle":"","family":"Bombardieri","given":"Stefano","non-dropping-particle":"","parse-names":false,"suffix":""},{"dropping-particle":"","family":"Mueller-Ladner","given":"Ulf","non-dropping-particle":"","parse-names":false,"suffix":""},{"dropping-particle":"","family":"Schneider","given":"Matthias","non-dropping-particle":"","parse-names":false,"suffix":""},{"dropping-particle":"","family":"Smith","given":"Vanessa","non-dropping-particle":"","parse-names":false,"suffix":""},{"dropping-particle":"","family":"Cutolo","given":"Maurizio","non-dropping-particle":"","parse-names":false,"suffix":""},{"dropping-particle":"","family":"Mosca","given":"Marta","non-dropping-particle":"","parse-names":false,"suffix":""},{"dropping-particle":"","family":"Alexander","given":"Tobias","non-dropping-particle":"","parse-names":false,"suffix":""}],"container-title":"RMD Open","id":"ITEM-3","issued":{"date-parts":[["2019"]]},"page":"1-5","title":"IgG4-related diseases: State of the art on clinical practice guidelines","type":"article-journal","volume":"4"},"uris":["http://www.mendeley.com/documents/?uuid=d8594ae6-1f71-4bb2-ad2c-395f95fbede6"]}],"mendeley":{"formattedCitation":"&lt;sup&gt;1–3&lt;/sup&gt;","plainTextFormattedCitation":"1–3","previouslyFormattedCitation":"[1–3]"},"properties":{"noteIndex":0},"schema":"https://github.com/citation-style-language/schema/raw/master/csl-citation.json"}</w:instrText>
      </w:r>
      <w:r w:rsidRPr="000C178D">
        <w:rPr>
          <w:rFonts w:ascii="Book Antiqua" w:hAnsi="Book Antiqua" w:cs="Times New Roman"/>
          <w:sz w:val="24"/>
          <w:szCs w:val="24"/>
        </w:rPr>
        <w:fldChar w:fldCharType="separate"/>
      </w:r>
      <w:r w:rsidR="001867B4" w:rsidRPr="000C178D">
        <w:rPr>
          <w:rFonts w:ascii="Book Antiqua" w:hAnsi="Book Antiqua" w:cs="Times New Roman"/>
          <w:noProof/>
          <w:sz w:val="24"/>
          <w:szCs w:val="24"/>
          <w:vertAlign w:val="superscript"/>
        </w:rPr>
        <w:t>1–3</w:t>
      </w:r>
      <w:r w:rsidRPr="000C178D">
        <w:rPr>
          <w:rFonts w:ascii="Book Antiqua" w:hAnsi="Book Antiqua" w:cs="Times New Roman"/>
          <w:sz w:val="24"/>
          <w:szCs w:val="24"/>
        </w:rPr>
        <w:fldChar w:fldCharType="end"/>
      </w:r>
      <w:r w:rsidR="00CE726F" w:rsidRPr="000C178D">
        <w:rPr>
          <w:rFonts w:ascii="Book Antiqua" w:hAnsi="Book Antiqua" w:cs="Times New Roman"/>
          <w:sz w:val="24"/>
          <w:szCs w:val="24"/>
          <w:vertAlign w:val="superscript"/>
        </w:rPr>
        <w:t>]</w:t>
      </w:r>
      <w:r w:rsidRPr="000C178D">
        <w:rPr>
          <w:rFonts w:ascii="Book Antiqua" w:hAnsi="Book Antiqua" w:cs="Times New Roman"/>
          <w:sz w:val="24"/>
          <w:szCs w:val="24"/>
        </w:rPr>
        <w:t xml:space="preserve">. </w:t>
      </w:r>
      <w:r w:rsidRPr="000C178D">
        <w:rPr>
          <w:rFonts w:ascii="Book Antiqua" w:hAnsi="Book Antiqua" w:cs="Times New Roman"/>
          <w:color w:val="333333"/>
          <w:sz w:val="24"/>
          <w:szCs w:val="24"/>
          <w:shd w:val="clear" w:color="auto" w:fill="FFFFFF"/>
        </w:rPr>
        <w:t>The disease can affect almost every organ, usually pancreas, biliary ducts, salivary glands, orbits, kidneys, and lymph nodes</w:t>
      </w:r>
      <w:r w:rsidR="00CE726F" w:rsidRPr="000C178D">
        <w:rPr>
          <w:rFonts w:ascii="Book Antiqua" w:hAnsi="Book Antiqua" w:cs="Times New Roman"/>
          <w:sz w:val="24"/>
          <w:szCs w:val="24"/>
          <w:vertAlign w:val="superscript"/>
          <w:lang w:val="lt-LT"/>
        </w:rPr>
        <w:t>[</w:t>
      </w:r>
      <w:r w:rsidRPr="000C178D">
        <w:rPr>
          <w:rFonts w:ascii="Book Antiqua" w:hAnsi="Book Antiqua" w:cs="Times New Roman"/>
          <w:sz w:val="24"/>
          <w:szCs w:val="24"/>
        </w:rPr>
        <w:fldChar w:fldCharType="begin" w:fldLock="1"/>
      </w:r>
      <w:r w:rsidR="001867B4" w:rsidRPr="000C178D">
        <w:rPr>
          <w:rFonts w:ascii="Book Antiqua" w:hAnsi="Book Antiqua" w:cs="Times New Roman"/>
          <w:sz w:val="24"/>
          <w:szCs w:val="24"/>
        </w:rPr>
        <w:instrText>ADDIN CSL_CITATION {"citationItems":[{"id":"ITEM-1","itemData":{"DOI":"10.1038/modpathol.2012.72","ISSN":"08933952","abstract":"IgG4-related disease is a newly recognized fibro-inflammatory condition characterized by several features: a tendency to form tumefactive lesions in multiple sites; a characteristic histopathological appearance; andoften but not alwayselevated serum IgG4 concentrations. An international symposium on IgG4-related disease was held in Boston, MA, on 4-7 October 2011. The organizing committee comprising 35 IgG4-related disease experts from Japan, Korea, Hong Kong, the United Kingdom, Germany, Italy, Holland, Canada, and the United States, including the clinicians, pathologists, radiologists, and basic scientists. This group represents broad subspecialty expertise in pathology, rheumatology, gastroenterology, allergy, immunology, nephrology, pulmonary medicine, oncology, ophthalmology, and surgery. The histopathology of IgG4-related disease was a specific focus of the international symposium. The primary purpose of this statement is to provide practicing pathologists with a set of guidelines for the diagnosis of IgG4-related disease. The diagnosis of IgG4-related disease rests on the combined presence of the characteristic histopathological appearance and increased numbers of IgG4 plasma cells. The critical histopathological features are a dense lymphoplasmacytic infiltrate, a storiform pattern of fibrosis, and obliterative phlebitis. We propose a terminology scheme for the diagnosis of IgG4-related disease that is based primarily on the morphological appearance on biopsy. Tissue IgG4 counts and IgG4:IgG ratios are secondary in importance. The guidelines proposed in this statement do not supplant careful clinicopathological correlation and sound clinical judgment. As the spectrum of this disease continues to expand, we advocate the use of strict criteria for accepting newly proposed entities or sites as components of the IgG4-related disease spectrum. © 2012 USCAP, Inc. All rights reserved.","author":[{"dropping-particle":"","family":"Deshpande","given":"Vikram","non-dropping-particle":"","parse-names":false,"suffix":""},{"dropping-particle":"","family":"Zen","given":"Yoh","non-dropping-particle":"","parse-names":false,"suffix":""},{"dropping-particle":"","family":"Chan","given":"John K.C.","non-dropping-particle":"","parse-names":false,"suffix":""},{"dropping-particle":"","family":"Yi","given":"Eunhee E.","non-dropping-particle":"","parse-names":false,"suffix":""},{"dropping-particle":"","family":"Sato","given":"Yasuharu","non-dropping-particle":"","parse-names":false,"suffix":""},{"dropping-particle":"","family":"Yoshino","given":"Tadashi","non-dropping-particle":"","parse-names":false,"suffix":""},{"dropping-particle":"","family":"Klöppel","given":"Günter","non-dropping-particle":"","parse-names":false,"suffix":""},{"dropping-particle":"","family":"Godfrey Heathcote","given":"J.","non-dropping-particle":"","parse-names":false,"suffix":""},{"dropping-particle":"","family":"Khosroshahi","given":"Arezou","non-dropping-particle":"","parse-names":false,"suffix":""},{"dropping-particle":"","family":"Ferry","given":"Judith A.","non-dropping-particle":"","parse-names":false,"suffix":""},{"dropping-particle":"","family":"Aalberse","given":"Rob C.","non-dropping-particle":"","parse-names":false,"suffix":""},{"dropping-particle":"","family":"Bloch","given":"Donald B.","non-dropping-particle":"","parse-names":false,"suffix":""},{"dropping-particle":"","family":"Brugge","given":"William R.","non-dropping-particle":"","parse-names":false,"suffix":""},{"dropping-particle":"","family":"Bateman","given":"Adrian C.","non-dropping-particle":"","parse-names":false,"suffix":""},{"dropping-particle":"","family":"Carruthers","given":"Mollie N.","non-dropping-particle":"","parse-names":false,"suffix":""},{"dropping-particle":"","family":"Chari","given":"Suresh T.","non-dropping-particle":"","parse-names":false,"suffix":""},{"dropping-particle":"","family":"Cheuk","given":"Wah","non-dropping-particle":"","parse-names":false,"suffix":""},{"dropping-particle":"","family":"Cornell","given":"Lynn D.","non-dropping-particle":"","parse-names":false,"suffix":""},{"dropping-particle":"","family":"Fernandez-Del Castillo","given":"Carlos","non-dropping-particle":"","parse-names":false,"suffix":""},{"dropping-particle":"","family":"Forcione","given":"David G.","non-dropping-particle":"","parse-names":false,"suffix":""},{"dropping-particle":"","family":"Hamilos","given":"Daniel L.","non-dropping-particle":"","parse-names":false,"suffix":""},{"dropping-particle":"","family":"Kamisawa","given":"Terumi","non-dropping-particle":"","parse-names":false,"suffix":""},{"dropping-particle":"","family":"Kasashima","given":"Satomi","non-dropping-particle":"","parse-names":false,"suffix":""},{"dropping-particle":"","family":"Kawa","given":"Shigeyuki","non-dropping-particle":"","parse-names":false,"suffix":""},{"dropping-particle":"","family":"Kawano","given":"Mitsuhiro","non-dropping-particle":"","parse-names":false,"suffix":""},{"dropping-particle":"","family":"Lauwers","given":"Gregory Y.","non-dropping-particle":"","parse-names":false,"suffix":""},{"dropping-particle":"","family":"Masaki","given":"Yasufumi","non-dropping-particle":"","parse-names":false,"suffix":""},{"dropping-particle":"","family":"Nakanuma","given":"Yasuni","non-dropping-particle":"","parse-names":false,"suffix":""},{"dropping-particle":"","family":"Notohara","given":"Kenji","non-dropping-particle":"","parse-names":false,"suffix":""},{"dropping-particle":"","family":"Okazaki","given":"Kazuichi","non-dropping-particle":"","parse-names":false,"suffix":""},{"dropping-particle":"","family":"Ryu","given":"Ji Kon","non-dropping-particle":"","parse-names":false,"suffix":""},{"dropping-particle":"","family":"Saeki","given":"Takako","non-dropping-particle":"","parse-names":false,"suffix":""},{"dropping-particle":"V.","family":"Sahani","given":"Dushyant","non-dropping-particle":"","parse-names":false,"suffix":""},{"dropping-particle":"","family":"Smyrk","given":"Thomas C.","non-dropping-particle":"","parse-names":false,"suffix":""},{"dropping-particle":"","family":"Stone","given":"James R.","non-dropping-particle":"","parse-names":false,"suffix":""},{"dropping-particle":"","family":"Takahira","given":"Masayuki","non-dropping-particle":"","parse-names":false,"suffix":""},{"dropping-particle":"","family":"Webster","given":"George J.","non-dropping-particle":"","parse-names":false,"suffix":""},{"dropping-particle":"","family":"Yamamoto","given":"Motohisa","non-dropping-particle":"","parse-names":false,"suffix":""},{"dropping-particle":"","family":"Zamboni","given":"Giuseppe","non-dropping-particle":"","parse-names":false,"suffix":""},{"dropping-particle":"","family":"Umehara","given":"Hisanori","non-dropping-particle":"","parse-names":false,"suffix":""},{"dropping-particle":"","family":"Stone","given":"John H.","non-dropping-particle":"","parse-names":false,"suffix":""}],"container-title":"Modern Pathology","id":"ITEM-1","issue":"9","issued":{"date-parts":[["2012"]]},"page":"1181-1192","title":"Consensus statement on the pathology of IgG4-related disease","type":"article-journal","volume":"25"},"uris":["http://www.mendeley.com/documents/?uuid=3f43fcc4-f4e9-4cf4-83b3-d3905de2090d"]},{"id":"ITEM-2","itemData":{"DOI":"10.1016/j.ejim.2015.09.022","ISSN":"09536205","abstract":"IgG4-related disease (IgG4-RD) is a recently recognized chronic fibrotic inflammation, which can affect almost every organ, and may come to clinical attention first due to visible organ swelling or organ dysfunction, or is identified incidentally by imaging and specific biopsy. The disorder has an allergic background and is immune-mediated. Up-regulated responses of T helper 2 and T regulatory cells and their cytokines play a major role in disease progression. About 30-50% of patients are atopic or have mild eosinophilia. IgG4-RD predominantly affects middle-aged male patients. The cornerstones of diagnosis of the disease are compatible clinical features and typical histopathology. Swelling of salivary and lacrimal glands, lymphadenopathy, and type 1 autoimmune pancreatitis (AIP) are the most common manifestations of the disease. However, other tissues and organs, such as retroperitoneum, lung, kidney, aorta, upper airways, thyroid gland, meninges, heart, mesenterium and skin may be involved. Typical histopathology is lymphoplasmacytic infiltration abundant in IgG4-positive plasma cells, storiform-type fibrosis, and obliterative phlebitis. Elevated serum IgG4 concentration supports the diagnosis. Characteristic imaging features such as a »capsule-like rim» surrounding the pancreatic lesions is highly specific to type 1 AIP. 18F-fluorodeoxyglucose positron emission tomography/computed tomography enables mapping the sites of inflammation, permits evaluation of the extent of the disease, helps in guiding biopsy decision, and may be used in monitoring response to treatment. Glucocorticoids alone or in combination with B-cell depletion with rituximab induces prompt clinical response to IgG4-RD. This article reviews the current understanding, different clinical manifestations, and approaches to diagnosis and treatment of IgG4-RD.","author":[{"dropping-particle":"","family":"Vasaitis","given":"Lilian","non-dropping-particle":"","parse-names":false,"suffix":""}],"container-title":"European Journal of Internal Medicine","id":"ITEM-2","issued":{"date-parts":[["2016","1"]]},"page":"1-9","title":"IgG4-related disease: A relatively new concept for clinicians","type":"article-journal","volume":"27"},"uris":["http://www.mendeley.com/documents/?uuid=ca0ef16d-e19e-3fea-b5e5-d9d2dada3243"]},{"id":"ITEM-3","itemData":{"DOI":"10.1053/j.gastro.2018.06.082","ISSN":"15280012","abstract":"IgG4-related disease (IgG4-RD) is a chronic relapsing multi-organ fibro-inflammatory syndrome of presumed autoimmune etiology. It is characterized by increased serum levels of IgG4 and tissue infiltration by IgG4+ cells. Increased titers of autoantibodies against a spectrum of self-antigens and response to steroids have led to its characterization as an autoimmune disease. However, the pathognomonic antigens probably differ among manifestations, and different antigens or autoantibodies produce similar immune reactions in different organs. Little is known about the pathogenic effects, if any, of serum IgG4 or IgG4+ plasma cells in tissues. Despite several animal models of the disease, none truly recapitulates human IgG4-RD. Histologic analyses of tissues from patients with IgG4-RD reveal a dense lymphoplasmacytic infiltrate rich in IgG4+ plasma cells, storiform fibrosis, and obliterative phlebitis, although these features vary among organs. Typical presentation and imaging findings include mass-forming synchronous or metachronous lesions in almost any organ, but most commonly in the pancreas, bile duct, retroperitoneum, kidneys, lungs, salivary and lacrimal glands, orbit, and lymph nodes. In all organs, inflammation can be reduced by corticosteroids and drugs that deplete B cells, such as rituximab. Patients with IgG4-RD have relapses that respond to primary therapy. Intense fibrosis accompanies the inflammatory response, leading to permanent organ damage and insufficiency. Death from IgG4-RD is rare. IgG4-RD is a multi-organ disease with predominant pancreatico-biliary involvement. Despite its relapsing–remitting course, patients have an excellent prognosis.","author":[{"dropping-particle":"","family":"Miyabe","given":"Katsuyuki","non-dropping-particle":"","parse-names":false,"suffix":""},{"dropping-particle":"","family":"Zen","given":"Yoh","non-dropping-particle":"","parse-names":false,"suffix":""},{"dropping-particle":"","family":"Cornell","given":"Lynn D.","non-dropping-particle":"","parse-names":false,"suffix":""},{"dropping-particle":"","family":"Rajagopalan","given":"Govindarajan","non-dropping-particle":"","parse-names":false,"suffix":""},{"dropping-particle":"","family":"Chowdhary","given":"Vaidehi R.","non-dropping-particle":"","parse-names":false,"suffix":""},{"dropping-particle":"","family":"Roberts","given":"Lewis R.","non-dropping-particle":"","parse-names":false,"suffix":""},{"dropping-particle":"","family":"Chari","given":"Suresh T.","non-dropping-particle":"","parse-names":false,"suffix":""}],"container-title":"Gastroenterology","id":"ITEM-3","issue":"4","issued":{"date-parts":[["2018"]]},"page":"990-1003.e1","publisher":"Elsevier, Inc","title":"Gastrointestinal and Extra-Intestinal Manifestations of IgG4–Related Disease","type":"article-journal","volume":"155"},"uris":["http://www.mendeley.com/documents/?uuid=54bfed4a-66dc-4bc2-9ebf-922dd5c760a3"]}],"mendeley":{"formattedCitation":"&lt;sup&gt;1,2,4&lt;/sup&gt;","plainTextFormattedCitation":"1,2,4","previouslyFormattedCitation":"[1,2,4]"},"properties":{"noteIndex":0},"schema":"https://github.com/citation-style-language/schema/raw/master/csl-citation.json"}</w:instrText>
      </w:r>
      <w:r w:rsidRPr="000C178D">
        <w:rPr>
          <w:rFonts w:ascii="Book Antiqua" w:hAnsi="Book Antiqua" w:cs="Times New Roman"/>
          <w:sz w:val="24"/>
          <w:szCs w:val="24"/>
        </w:rPr>
        <w:fldChar w:fldCharType="separate"/>
      </w:r>
      <w:r w:rsidR="001867B4" w:rsidRPr="000C178D">
        <w:rPr>
          <w:rFonts w:ascii="Book Antiqua" w:hAnsi="Book Antiqua" w:cs="Times New Roman"/>
          <w:noProof/>
          <w:sz w:val="24"/>
          <w:szCs w:val="24"/>
          <w:vertAlign w:val="superscript"/>
        </w:rPr>
        <w:t>1,2,4</w:t>
      </w:r>
      <w:r w:rsidRPr="000C178D">
        <w:rPr>
          <w:rFonts w:ascii="Book Antiqua" w:hAnsi="Book Antiqua" w:cs="Times New Roman"/>
          <w:sz w:val="24"/>
          <w:szCs w:val="24"/>
        </w:rPr>
        <w:fldChar w:fldCharType="end"/>
      </w:r>
      <w:r w:rsidR="00CE726F" w:rsidRPr="000C178D">
        <w:rPr>
          <w:rFonts w:ascii="Book Antiqua" w:hAnsi="Book Antiqua" w:cs="Times New Roman"/>
          <w:sz w:val="24"/>
          <w:szCs w:val="24"/>
          <w:vertAlign w:val="superscript"/>
        </w:rPr>
        <w:t>]</w:t>
      </w:r>
      <w:r w:rsidRPr="000C178D">
        <w:rPr>
          <w:rFonts w:ascii="Book Antiqua" w:hAnsi="Book Antiqua" w:cs="Times New Roman"/>
          <w:sz w:val="24"/>
          <w:szCs w:val="24"/>
        </w:rPr>
        <w:t xml:space="preserve">. </w:t>
      </w:r>
      <w:r w:rsidRPr="000C178D">
        <w:rPr>
          <w:rFonts w:ascii="Book Antiqua" w:hAnsi="Book Antiqua" w:cs="Times New Roman"/>
          <w:color w:val="333333"/>
          <w:sz w:val="24"/>
          <w:szCs w:val="24"/>
          <w:shd w:val="clear" w:color="auto" w:fill="FFFFFF"/>
        </w:rPr>
        <w:t>The systemic nature of this disease has been recognized only in the 21</w:t>
      </w:r>
      <w:r w:rsidRPr="000C178D">
        <w:rPr>
          <w:rFonts w:ascii="Book Antiqua" w:hAnsi="Book Antiqua" w:cs="Times New Roman"/>
          <w:color w:val="333333"/>
          <w:sz w:val="24"/>
          <w:szCs w:val="24"/>
          <w:shd w:val="clear" w:color="auto" w:fill="FFFFFF"/>
          <w:vertAlign w:val="superscript"/>
        </w:rPr>
        <w:t>st</w:t>
      </w:r>
      <w:r w:rsidR="001C4A46" w:rsidRPr="000C178D">
        <w:rPr>
          <w:rFonts w:ascii="Book Antiqua" w:hAnsi="Book Antiqua" w:cs="Times New Roman"/>
          <w:color w:val="333333"/>
          <w:sz w:val="24"/>
          <w:szCs w:val="24"/>
          <w:shd w:val="clear" w:color="auto" w:fill="FFFFFF"/>
        </w:rPr>
        <w:t xml:space="preserve"> </w:t>
      </w:r>
      <w:r w:rsidRPr="000C178D">
        <w:rPr>
          <w:rFonts w:ascii="Book Antiqua" w:hAnsi="Book Antiqua" w:cs="Times New Roman"/>
          <w:color w:val="333333"/>
          <w:sz w:val="24"/>
          <w:szCs w:val="24"/>
          <w:shd w:val="clear" w:color="auto" w:fill="FFFFFF"/>
        </w:rPr>
        <w:t>century by Hamano et al. in Japan</w:t>
      </w:r>
      <w:r w:rsidR="00CE726F" w:rsidRPr="000C178D">
        <w:rPr>
          <w:rFonts w:ascii="Book Antiqua" w:hAnsi="Book Antiqua" w:cs="Times New Roman"/>
          <w:color w:val="333333"/>
          <w:sz w:val="24"/>
          <w:szCs w:val="24"/>
          <w:shd w:val="clear" w:color="auto" w:fill="FFFFFF"/>
          <w:vertAlign w:val="superscript"/>
        </w:rPr>
        <w:t>[</w:t>
      </w:r>
      <w:r w:rsidRPr="000C178D">
        <w:rPr>
          <w:rFonts w:ascii="Book Antiqua" w:hAnsi="Book Antiqua" w:cs="Times New Roman"/>
          <w:color w:val="000000" w:themeColor="text1"/>
          <w:sz w:val="24"/>
          <w:szCs w:val="24"/>
          <w:shd w:val="clear" w:color="auto" w:fill="FFFFFF"/>
        </w:rPr>
        <w:fldChar w:fldCharType="begin" w:fldLock="1"/>
      </w:r>
      <w:r w:rsidR="001867B4" w:rsidRPr="000C178D">
        <w:rPr>
          <w:rFonts w:ascii="Book Antiqua" w:hAnsi="Book Antiqua" w:cs="Times New Roman"/>
          <w:color w:val="000000" w:themeColor="text1"/>
          <w:sz w:val="24"/>
          <w:szCs w:val="24"/>
          <w:shd w:val="clear" w:color="auto" w:fill="FFFFFF"/>
        </w:rPr>
        <w:instrText>ADDIN CSL_CITATION {"citationItems":[{"id":"ITEM-1","itemData":{"DOI":"10.1056/NEJM200103083441005","ISSN":"0028-4793","PMID":"11236777","abstract":"BACKGROUND Sclerosing pancreatitis is a unique form of pancreatitis that is characterized by irregular narrowing of the main pancreatic duct, lymphoplasmacytic inflammation of the pancreas, and hypergammaglobulinemia and that responds to glucocorticoid treatment. Preliminary studies suggested that serum IgG4 concentrations are elevated in this disease but not in other diseases of the pancreas or biliary tract. METHODS We measured serum IgG4 concentrations using single radial immunodiffusion and an enzyme-linked immunosorbent assay in 20 patients with sclerosing pancreatitis, 20 age- and sex-matched normal subjects, and 154 patients with pancreatic cancer, ordinary chronic pancreatitis, primary biliary cirrhosis, primary sclerosing cholangitis, or Sjögren's syndrome. Serum concentrations of immune complexes and the IgG4 subclass of immune complexes were determined by means of an enzyme-linked immunosorbent assay with monoclonal rheumatoid factor. RESULTS The median serum IgG4 concentration in the patients with sclerosing pancreatitis was 663 mg per deciliter (5th and 95th percentiles, 136 and 1150), as compared with 51 mg per deciliter (5th and 95th percentiles, 15 and 128) in normal subjects (P&lt;0.001). The serum IgG4 concentrations in the other groups of patients were similar to those in the normal subjects. In patients with sclerosing pancreatitis, serum concentrations of immune complexes and the IgG4 subclass of immune complexes were significantly higher before glucocorticoid therapy than after four weeks of such therapy. Glucocorticoid therapy induced clinical remissions and significantly decreased serum concentrations of IgG4, immune complexes, and the IgG4 subclass of immune complexes. CONCLUSIONS Patients with sclerosing pancreatitis have high serum IgG4 concentrations, providing a useful means of distinguishing this disorder from other diseases of the pancreas or biliary tract.","author":[{"dropping-particle":"","family":"Hamano","given":"H","non-dropping-particle":"","parse-names":false,"suffix":""},{"dropping-particle":"","family":"Kawa","given":"S","non-dropping-particle":"","parse-names":false,"suffix":""},{"dropping-particle":"","family":"Horiuchi","given":"A","non-dropping-particle":"","parse-names":false,"suffix":""},{"dropping-particle":"","family":"Unno","given":"H","non-dropping-particle":"","parse-names":false,"suffix":""},{"dropping-particle":"","family":"Furuya","given":"N","non-dropping-particle":"","parse-names":false,"suffix":""},{"dropping-particle":"","family":"Akamatsu","given":"T","non-dropping-particle":"","parse-names":false,"suffix":""},{"dropping-particle":"","family":"Fukushima","given":"M","non-dropping-particle":"","parse-names":false,"suffix":""},{"dropping-particle":"","family":"Nikaido","given":"T","non-dropping-particle":"","parse-names":false,"suffix":""},{"dropping-particle":"","family":"Nakayama","given":"K","non-dropping-particle":"","parse-names":false,"suffix":""},{"dropping-particle":"","family":"Usuda","given":"N","non-dropping-particle":"","parse-names":false,"suffix":""},{"dropping-particle":"","family":"Kiyosawa","given":"K","non-dropping-particle":"","parse-names":false,"suffix":""}],"container-title":"The New England journal of medicine","id":"ITEM-1","issue":"10","issued":{"date-parts":[["2001","3","8"]]},"page":"732-8","title":"High serum IgG4 concentrations in patients with sclerosing pancreatitis.","type":"article-journal","volume":"344"},"uris":["http://www.mendeley.com/documents/?uuid=764f9032-be60-311a-ae4d-466bab83da27"]},{"id":"ITEM-2","itemData":{"DOI":"10.1186/s13023-014-0110-z","ISSN":"17501172","abstract":"Immunoglobulin G4- related disease (IgG4-RD) is a rare systemic fibro-inflammatory disorder (ORPHA284264). Although patients have been described more than 100 years ago, the systemic nature of this disease has been recognized in the 21 st century only. Type 1 autoimmune pancreatitis is the most frequent manifestation of IgG4-RD. However, IgG4-RD can affect any organ such as salivary glands, orbits, retroperitoneum and many others. Recent research enabled a clear clinical and histopathological description of IgG4-RD. Typically, lymphoplasmacellular inflammation, storiform fibrosis and obliterative phlebitis are found in IgG4-RD biopsies and the tissue invading plasma cells largely produce IgG4. Elevated serum IgG4 levels are found in many but not all patients. Consequently, diagnostic criteria for IgG4-RD have been proposed recently. Treatment is largely based on clinical experience and retrospective case series. Glucocorticoids are the mainstay of therapy, although adjunctive immunosuppressive agents are used in relapsing patients. This review summarizes current knowledge on clinical manifestations, pathophysiology and treatment of IgG4-RD. © 2014 Pieringer et al.; licensee Biomedcentral Ltd.","author":[{"dropping-particle":"","family":"Pieringer","given":"Herwig","non-dropping-particle":"","parse-names":false,"suffix":""},{"dropping-particle":"","family":"Parzer","given":"Ilse","non-dropping-particle":"","parse-names":false,"suffix":""},{"dropping-particle":"","family":"Wöhrer","given":"Adelheid","non-dropping-particle":"","parse-names":false,"suffix":""},{"dropping-particle":"","family":"Reis","given":"Petra","non-dropping-particle":"","parse-names":false,"suffix":""},{"dropping-particle":"","family":"Oppl","given":"Bastian","non-dropping-particle":"","parse-names":false,"suffix":""},{"dropping-particle":"","family":"Zwerina","given":"Jochen","non-dropping-particle":"","parse-names":false,"suffix":""}],"container-title":"Orphanet Journal of Rare Diseases","id":"ITEM-2","issued":{"date-parts":[["2014","7","16"]]},"page":"110","title":"IgG4- related disease: An orphan disease with many faces","type":"article-journal","volume":"9"},"uris":["http://www.mendeley.com/documents/?uuid=4f7f1db2-6b63-3db0-be4e-52b338cd8fc6"]}],"mendeley":{"formattedCitation":"&lt;sup&gt;5,6&lt;/sup&gt;","plainTextFormattedCitation":"5,6","previouslyFormattedCitation":"[5,6]"},"properties":{"noteIndex":0},"schema":"https://github.com/citation-style-language/schema/raw/master/csl-citation.json"}</w:instrText>
      </w:r>
      <w:r w:rsidRPr="000C178D">
        <w:rPr>
          <w:rFonts w:ascii="Book Antiqua" w:hAnsi="Book Antiqua" w:cs="Times New Roman"/>
          <w:color w:val="000000" w:themeColor="text1"/>
          <w:sz w:val="24"/>
          <w:szCs w:val="24"/>
          <w:shd w:val="clear" w:color="auto" w:fill="FFFFFF"/>
        </w:rPr>
        <w:fldChar w:fldCharType="separate"/>
      </w:r>
      <w:r w:rsidR="001867B4" w:rsidRPr="000C178D">
        <w:rPr>
          <w:rFonts w:ascii="Book Antiqua" w:hAnsi="Book Antiqua" w:cs="Times New Roman"/>
          <w:noProof/>
          <w:color w:val="000000" w:themeColor="text1"/>
          <w:sz w:val="24"/>
          <w:szCs w:val="24"/>
          <w:shd w:val="clear" w:color="auto" w:fill="FFFFFF"/>
          <w:vertAlign w:val="superscript"/>
        </w:rPr>
        <w:t>5,6</w:t>
      </w:r>
      <w:r w:rsidRPr="000C178D">
        <w:rPr>
          <w:rFonts w:ascii="Book Antiqua" w:hAnsi="Book Antiqua" w:cs="Times New Roman"/>
          <w:color w:val="000000" w:themeColor="text1"/>
          <w:sz w:val="24"/>
          <w:szCs w:val="24"/>
          <w:shd w:val="clear" w:color="auto" w:fill="FFFFFF"/>
        </w:rPr>
        <w:fldChar w:fldCharType="end"/>
      </w:r>
      <w:r w:rsidR="00CE726F" w:rsidRPr="000C178D">
        <w:rPr>
          <w:rFonts w:ascii="Book Antiqua" w:hAnsi="Book Antiqua" w:cs="Times New Roman"/>
          <w:color w:val="000000" w:themeColor="text1"/>
          <w:sz w:val="24"/>
          <w:szCs w:val="24"/>
          <w:shd w:val="clear" w:color="auto" w:fill="FFFFFF"/>
          <w:vertAlign w:val="superscript"/>
        </w:rPr>
        <w:t>]</w:t>
      </w:r>
      <w:r w:rsidRPr="000C178D">
        <w:rPr>
          <w:rFonts w:ascii="Book Antiqua" w:hAnsi="Book Antiqua" w:cs="Times New Roman"/>
          <w:color w:val="000000" w:themeColor="text1"/>
          <w:sz w:val="24"/>
          <w:szCs w:val="24"/>
          <w:shd w:val="clear" w:color="auto" w:fill="FFFFFF"/>
        </w:rPr>
        <w:t xml:space="preserve">. </w:t>
      </w:r>
      <w:r w:rsidRPr="000C178D">
        <w:rPr>
          <w:rFonts w:ascii="Book Antiqua" w:hAnsi="Book Antiqua" w:cs="Times New Roman"/>
          <w:color w:val="333333"/>
          <w:sz w:val="24"/>
          <w:szCs w:val="24"/>
          <w:shd w:val="clear" w:color="auto" w:fill="FFFFFF"/>
        </w:rPr>
        <w:t xml:space="preserve">Despite the growing recognition of this new condition, </w:t>
      </w:r>
      <w:r w:rsidRPr="000C178D">
        <w:rPr>
          <w:rFonts w:ascii="Book Antiqua" w:hAnsi="Book Antiqua" w:cs="Times New Roman"/>
          <w:sz w:val="24"/>
          <w:szCs w:val="24"/>
          <w:lang w:val="lt-LT"/>
        </w:rPr>
        <w:t>adequate epidemiological data, and unified evidence-based guidelines for IgG4-RD diagnosis and management are still lacking. Our knowledge about IgG</w:t>
      </w:r>
      <w:r w:rsidRPr="000C178D">
        <w:rPr>
          <w:rFonts w:ascii="Book Antiqua" w:hAnsi="Book Antiqua" w:cs="Times New Roman"/>
          <w:sz w:val="24"/>
          <w:szCs w:val="24"/>
        </w:rPr>
        <w:t>4-RD prevalence and</w:t>
      </w:r>
      <w:r w:rsidR="006F1122" w:rsidRPr="000C178D">
        <w:rPr>
          <w:rFonts w:ascii="Book Antiqua" w:hAnsi="Book Antiqua" w:cs="Times New Roman"/>
          <w:sz w:val="24"/>
          <w:szCs w:val="24"/>
        </w:rPr>
        <w:t xml:space="preserve"> manifestation in Europe and</w:t>
      </w:r>
      <w:r w:rsidRPr="000C178D">
        <w:rPr>
          <w:rFonts w:ascii="Book Antiqua" w:hAnsi="Book Antiqua" w:cs="Times New Roman"/>
          <w:sz w:val="24"/>
          <w:szCs w:val="24"/>
        </w:rPr>
        <w:t xml:space="preserve"> other Western countries is limited, as t</w:t>
      </w:r>
      <w:r w:rsidRPr="000C178D">
        <w:rPr>
          <w:rFonts w:ascii="Book Antiqua" w:hAnsi="Book Antiqua" w:cs="Times New Roman"/>
          <w:sz w:val="24"/>
          <w:szCs w:val="24"/>
          <w:lang w:val="lt-LT"/>
        </w:rPr>
        <w:t>he majority of clinical data analysis has been performed in Asia, mostly Japan</w:t>
      </w:r>
      <w:r w:rsidR="00CE726F" w:rsidRPr="000C178D">
        <w:rPr>
          <w:rFonts w:ascii="Book Antiqua" w:hAnsi="Book Antiqua" w:cs="Times New Roman"/>
          <w:sz w:val="24"/>
          <w:szCs w:val="24"/>
          <w:vertAlign w:val="superscript"/>
          <w:lang w:val="lt-LT"/>
        </w:rPr>
        <w:t>[</w:t>
      </w:r>
      <w:r w:rsidRPr="000C178D">
        <w:rPr>
          <w:rFonts w:ascii="Book Antiqua" w:hAnsi="Book Antiqua" w:cs="Times New Roman"/>
          <w:sz w:val="24"/>
          <w:szCs w:val="24"/>
          <w:lang w:val="lt-LT"/>
        </w:rPr>
        <w:fldChar w:fldCharType="begin" w:fldLock="1"/>
      </w:r>
      <w:r w:rsidR="001867B4" w:rsidRPr="000C178D">
        <w:rPr>
          <w:rFonts w:ascii="Book Antiqua" w:hAnsi="Book Antiqua" w:cs="Times New Roman"/>
          <w:sz w:val="24"/>
          <w:szCs w:val="24"/>
          <w:lang w:val="lt-LT"/>
        </w:rPr>
        <w:instrText>ADDIN CSL_CITATION {"citationItems":[{"id":"ITEM-1","itemData":{"DOI":"10.1155/2012/358371","ISSN":"16879260","abstract":"The number of patients with autoimmune pancreatitis who visited hospitals in Japan in 2007 was approximately 2709 (95% confidence interval; range 2540–3040). Because IgG4-related disease is a new clinical entity, there are no data with regard to its prevalence. To estimate the number of patients with IgG4-related disease in Japan, we randomly selected hospitals using stratification and asked them how many patients they had with IgG4-related disease in 2009. The number of patients with Mikulicz’s disease, IgG4-related retroperitoneal fibrosis, IgG4-related renal disease, IgG4-related pulmonary disease, and IgG4-related lymphadenopathy who visited hospitals in Japan in 2009 was approximately 4304 (95% confidence interval; range 3360–5048), 272 (95% confidence interval; range 264–306), 57 (95% confidence interval; range 47–66), 354 (95% confidence interval; range 283–424), and 203 (95% confidence interval; range 187–240), respectively. The total number of patients with IgG4-related disease without autoimmune pancreatitis in Japan was approximately 5190 (95% confidence interval; range 4141–6084). The male : female ratio was 1 : 0.77, and the average of age of disease onset was 58.8 years. The total number of patients with IgG4-related disease in Japan in 2009, including autoimmune pancreatitis, was approximately 8000.","author":[{"dropping-particle":"","family":"Uchida","given":"Kazushige","non-dropping-particle":"","parse-names":false,"suffix":""},{"dropping-particle":"","family":"Masamune","given":"Atsushi","non-dropping-particle":"","parse-names":false,"suffix":""},{"dropping-particle":"","family":"Shimosegawa","given":"Tooru","non-dropping-particle":"","parse-names":false,"suffix":""},{"dropping-particle":"","family":"Okazaki","given":"Kazuichi","non-dropping-particle":"","parse-names":false,"suffix":""}],"container-title":"International Journal of Rheumatology","id":"ITEM-1","issue":"358371","issued":{"date-parts":[["2012"]]},"page":"1-5","title":"Prevalence of IgG4-related disease in Japan based on nationwide survey in 2009","type":"article-journal","volume":"2012"},"uris":["http://www.mendeley.com/documents/?uuid=ac110582-9a6f-3ffc-ad88-5425e659cf11"]},{"id":"ITEM-2","itemData":{"DOI":"10.1016/j.autrev.2014.08.013","ISSN":"18730183","abstract":"IgG4-related disease (IgG4-RD) is an emerging immune-mediated disease with the capability of involving essentially any organ. The epidemiology of this disease has not been explored in detail. A majority of patients reported in the literature to date are from Japan, but the condition has been described all across the world and there is no strong evidence to suggest a predilection for Asian populations. The mean age at diagnosis is approximately 60. years and there is a decided male predominance for many clinical features, with an overall male:female ratio of 8:3. A cardinal feature of IgG4-RD is single or multiple organ swelling that often raises concern for malignancy. IgG4-RD should be suspected in patients presenting with unexplained enlargement or swelling of one or more organs. Presenting features vary substantially according to the specialty to which patients present first; in addition, the disease can be diagnosed unexpectedly in pathological specimens or identified incidentally on radiology studies. Involvement of major organs is common and IgG4-RD may lead to organ failure, particularly in the pancreas, liver and biliary tree, kidneys, thyroid gland, lungs, and aorta. The diagnosis of IgG4-RD relies on the coexistence of various clinical, laboratory and histopathological findings, although none is pathognomonic by itself.","author":[{"dropping-particle":"","family":"Brito-Zerón","given":"Pilar","non-dropping-particle":"","parse-names":false,"suffix":""},{"dropping-particle":"","family":"Ramos-Casals","given":"Manuel","non-dropping-particle":"","parse-names":false,"suffix":""},{"dropping-particle":"","family":"Bosch","given":"Xavier","non-dropping-particle":"","parse-names":false,"suffix":""},{"dropping-particle":"","family":"Stone","given":"John H.","non-dropping-particle":"","parse-names":false,"suffix":""}],"container-title":"Autoimmunity Reviews","id":"ITEM-2","issue":"12","issued":{"date-parts":[["2014"]]},"page":"1203-1210","publisher":"Elsevier B.V.","title":"The clinical spectrum of IgG4-related disease","type":"article-journal","volume":"13"},"uris":["http://www.mendeley.com/documents/?uuid=d97bc05d-1ccd-4c25-bccc-dde6547692f1"]}],"mendeley":{"formattedCitation":"&lt;sup&gt;7,8&lt;/sup&gt;","plainTextFormattedCitation":"7,8","previouslyFormattedCitation":"[7,8]"},"properties":{"noteIndex":0},"schema":"https://github.com/citation-style-language/schema/raw/master/csl-citation.json"}</w:instrText>
      </w:r>
      <w:r w:rsidRPr="000C178D">
        <w:rPr>
          <w:rFonts w:ascii="Book Antiqua" w:hAnsi="Book Antiqua" w:cs="Times New Roman"/>
          <w:sz w:val="24"/>
          <w:szCs w:val="24"/>
          <w:lang w:val="lt-LT"/>
        </w:rPr>
        <w:fldChar w:fldCharType="separate"/>
      </w:r>
      <w:r w:rsidR="001867B4" w:rsidRPr="000C178D">
        <w:rPr>
          <w:rFonts w:ascii="Book Antiqua" w:hAnsi="Book Antiqua" w:cs="Times New Roman"/>
          <w:noProof/>
          <w:sz w:val="24"/>
          <w:szCs w:val="24"/>
          <w:vertAlign w:val="superscript"/>
          <w:lang w:val="lt-LT"/>
        </w:rPr>
        <w:t>7,8</w:t>
      </w:r>
      <w:r w:rsidRPr="000C178D">
        <w:rPr>
          <w:rFonts w:ascii="Book Antiqua" w:hAnsi="Book Antiqua" w:cs="Times New Roman"/>
          <w:sz w:val="24"/>
          <w:szCs w:val="24"/>
          <w:lang w:val="lt-LT"/>
        </w:rPr>
        <w:fldChar w:fldCharType="end"/>
      </w:r>
      <w:r w:rsidR="00CE726F" w:rsidRPr="000C178D">
        <w:rPr>
          <w:rFonts w:ascii="Book Antiqua" w:hAnsi="Book Antiqua" w:cs="Times New Roman"/>
          <w:sz w:val="24"/>
          <w:szCs w:val="24"/>
          <w:vertAlign w:val="superscript"/>
          <w:lang w:val="lt-LT"/>
        </w:rPr>
        <w:t>]</w:t>
      </w:r>
      <w:r w:rsidRPr="000C178D">
        <w:rPr>
          <w:rFonts w:ascii="Book Antiqua" w:hAnsi="Book Antiqua" w:cs="Times New Roman"/>
          <w:sz w:val="24"/>
          <w:szCs w:val="24"/>
          <w:lang w:val="lt-LT"/>
        </w:rPr>
        <w:t xml:space="preserve">. The diagnostic process of </w:t>
      </w:r>
      <w:r w:rsidRPr="000C178D">
        <w:rPr>
          <w:rFonts w:ascii="Book Antiqua" w:hAnsi="Book Antiqua" w:cs="Times New Roman"/>
          <w:sz w:val="24"/>
          <w:szCs w:val="24"/>
        </w:rPr>
        <w:t>IgG4-RD is challenging</w:t>
      </w:r>
      <w:r w:rsidRPr="000C178D">
        <w:rPr>
          <w:rFonts w:ascii="Book Antiqua" w:hAnsi="Book Antiqua" w:cs="Times New Roman"/>
          <w:color w:val="000000" w:themeColor="text1"/>
          <w:sz w:val="24"/>
          <w:szCs w:val="24"/>
        </w:rPr>
        <w:t>, as it</w:t>
      </w:r>
      <w:r w:rsidRPr="000C178D">
        <w:rPr>
          <w:rFonts w:ascii="Book Antiqua" w:hAnsi="Book Antiqua" w:cs="Times New Roman"/>
          <w:color w:val="000000" w:themeColor="text1"/>
          <w:sz w:val="24"/>
          <w:szCs w:val="24"/>
          <w:lang w:val="lt-LT"/>
        </w:rPr>
        <w:t xml:space="preserve"> takes time and referrals </w:t>
      </w:r>
      <w:r w:rsidRPr="000C178D">
        <w:rPr>
          <w:rFonts w:ascii="Book Antiqua" w:hAnsi="Book Antiqua" w:cs="Times New Roman"/>
          <w:sz w:val="24"/>
          <w:szCs w:val="24"/>
          <w:lang w:val="lt-LT"/>
        </w:rPr>
        <w:t xml:space="preserve">to many different specialists to establish the correct diagnosis. </w:t>
      </w:r>
    </w:p>
    <w:p w14:paraId="5DEECA5D" w14:textId="659EBAF7" w:rsidR="00385DBD" w:rsidRPr="000C178D" w:rsidRDefault="00385DBD" w:rsidP="000C178D">
      <w:pPr>
        <w:widowControl w:val="0"/>
        <w:autoSpaceDE w:val="0"/>
        <w:autoSpaceDN w:val="0"/>
        <w:adjustRightInd w:val="0"/>
        <w:snapToGrid w:val="0"/>
        <w:spacing w:after="0" w:line="360" w:lineRule="auto"/>
        <w:ind w:firstLine="284"/>
        <w:jc w:val="both"/>
        <w:rPr>
          <w:rFonts w:ascii="Book Antiqua" w:hAnsi="Book Antiqua" w:cs="Times New Roman"/>
          <w:color w:val="131413"/>
          <w:sz w:val="24"/>
          <w:szCs w:val="24"/>
        </w:rPr>
      </w:pPr>
      <w:r w:rsidRPr="000C178D">
        <w:rPr>
          <w:rFonts w:ascii="Book Antiqua" w:hAnsi="Book Antiqua" w:cs="Times New Roman"/>
          <w:color w:val="000000" w:themeColor="text1"/>
          <w:sz w:val="24"/>
          <w:szCs w:val="24"/>
        </w:rPr>
        <w:t xml:space="preserve">We report a case of IgG4-RD </w:t>
      </w:r>
      <w:r w:rsidRPr="000C178D">
        <w:rPr>
          <w:rFonts w:ascii="Book Antiqua" w:hAnsi="Book Antiqua" w:cs="Times New Roman"/>
          <w:color w:val="131413"/>
          <w:sz w:val="24"/>
          <w:szCs w:val="24"/>
        </w:rPr>
        <w:t>manifest</w:t>
      </w:r>
      <w:r w:rsidR="006241BE" w:rsidRPr="000C178D">
        <w:rPr>
          <w:rFonts w:ascii="Book Antiqua" w:hAnsi="Book Antiqua" w:cs="Times New Roman"/>
          <w:color w:val="131413"/>
          <w:sz w:val="24"/>
          <w:szCs w:val="24"/>
        </w:rPr>
        <w:t>ed</w:t>
      </w:r>
      <w:r w:rsidRPr="000C178D">
        <w:rPr>
          <w:rFonts w:ascii="Book Antiqua" w:hAnsi="Book Antiqua" w:cs="Times New Roman"/>
          <w:color w:val="131413"/>
          <w:sz w:val="24"/>
          <w:szCs w:val="24"/>
        </w:rPr>
        <w:t xml:space="preserve"> as thyroiditis, </w:t>
      </w:r>
      <w:r w:rsidRPr="000C178D">
        <w:rPr>
          <w:rFonts w:ascii="Book Antiqua" w:hAnsi="Book Antiqua" w:cs="Times New Roman"/>
          <w:color w:val="131413"/>
          <w:sz w:val="24"/>
          <w:szCs w:val="24"/>
          <w:lang w:val="lt-LT"/>
        </w:rPr>
        <w:t>orbital myositis,</w:t>
      </w:r>
      <w:r w:rsidR="006241BE" w:rsidRPr="000C178D">
        <w:rPr>
          <w:rFonts w:ascii="Book Antiqua" w:hAnsi="Book Antiqua" w:cs="Times New Roman"/>
          <w:color w:val="131413"/>
          <w:sz w:val="24"/>
          <w:szCs w:val="24"/>
          <w:lang w:val="lt-LT"/>
        </w:rPr>
        <w:t xml:space="preserve"> orbitopathy,</w:t>
      </w:r>
      <w:r w:rsidRPr="000C178D">
        <w:rPr>
          <w:rFonts w:ascii="Book Antiqua" w:hAnsi="Book Antiqua" w:cs="Times New Roman"/>
          <w:color w:val="131413"/>
          <w:sz w:val="24"/>
          <w:szCs w:val="24"/>
          <w:lang w:val="lt-LT"/>
        </w:rPr>
        <w:t xml:space="preserve"> uveitis, scleritis, </w:t>
      </w:r>
      <w:r w:rsidRPr="000C178D">
        <w:rPr>
          <w:rFonts w:ascii="Book Antiqua" w:hAnsi="Book Antiqua" w:cs="Times New Roman"/>
          <w:color w:val="131413"/>
          <w:sz w:val="24"/>
          <w:szCs w:val="24"/>
        </w:rPr>
        <w:t xml:space="preserve">sialadenitis, autoimmune pancreatitis (AIP) and prostatitis in a 55-year-old man. It is the first presented case from Lithuania </w:t>
      </w:r>
      <w:r w:rsidRPr="000C178D">
        <w:rPr>
          <w:rFonts w:ascii="Book Antiqua" w:hAnsi="Book Antiqua" w:cs="Times New Roman"/>
          <w:color w:val="000000" w:themeColor="text1"/>
          <w:sz w:val="24"/>
          <w:szCs w:val="24"/>
        </w:rPr>
        <w:t>as well as from</w:t>
      </w:r>
      <w:r w:rsidRPr="000C178D">
        <w:rPr>
          <w:rFonts w:ascii="Book Antiqua" w:hAnsi="Book Antiqua" w:cs="Times New Roman"/>
          <w:color w:val="131413"/>
          <w:sz w:val="24"/>
          <w:szCs w:val="24"/>
        </w:rPr>
        <w:t xml:space="preserve"> the Baltic </w:t>
      </w:r>
      <w:r w:rsidR="006F1122" w:rsidRPr="000C178D">
        <w:rPr>
          <w:rFonts w:ascii="Book Antiqua" w:hAnsi="Book Antiqua" w:cs="Times New Roman"/>
          <w:color w:val="131413"/>
          <w:sz w:val="24"/>
          <w:szCs w:val="24"/>
        </w:rPr>
        <w:t xml:space="preserve">Sea </w:t>
      </w:r>
      <w:r w:rsidRPr="000C178D">
        <w:rPr>
          <w:rFonts w:ascii="Book Antiqua" w:hAnsi="Book Antiqua" w:cs="Times New Roman"/>
          <w:color w:val="131413"/>
          <w:sz w:val="24"/>
          <w:szCs w:val="24"/>
        </w:rPr>
        <w:t xml:space="preserve">region. Our goal is to take a closer look at this rare disease and its manifestations, differential diagnosis and management, according to the latest evidence-based data. </w:t>
      </w:r>
    </w:p>
    <w:p w14:paraId="2CD64C85" w14:textId="77777777" w:rsidR="00385DBD" w:rsidRPr="000C178D" w:rsidRDefault="00385DBD" w:rsidP="000C178D">
      <w:pPr>
        <w:widowControl w:val="0"/>
        <w:autoSpaceDE w:val="0"/>
        <w:autoSpaceDN w:val="0"/>
        <w:adjustRightInd w:val="0"/>
        <w:snapToGrid w:val="0"/>
        <w:spacing w:after="0" w:line="360" w:lineRule="auto"/>
        <w:jc w:val="both"/>
        <w:rPr>
          <w:rFonts w:ascii="Book Antiqua" w:hAnsi="Book Antiqua" w:cs="Times New Roman"/>
          <w:color w:val="131413"/>
          <w:sz w:val="24"/>
          <w:szCs w:val="24"/>
        </w:rPr>
      </w:pPr>
    </w:p>
    <w:p w14:paraId="34425206" w14:textId="34F26676" w:rsidR="00385DBD" w:rsidRPr="000C178D" w:rsidRDefault="00385DBD" w:rsidP="000C178D">
      <w:pPr>
        <w:snapToGrid w:val="0"/>
        <w:spacing w:after="0" w:line="360" w:lineRule="auto"/>
        <w:rPr>
          <w:rFonts w:ascii="Book Antiqua" w:hAnsi="Book Antiqua" w:cs="Times New Roman"/>
          <w:b/>
          <w:sz w:val="24"/>
          <w:szCs w:val="24"/>
          <w:u w:val="single"/>
        </w:rPr>
      </w:pPr>
      <w:r w:rsidRPr="000C178D">
        <w:rPr>
          <w:rFonts w:ascii="Book Antiqua" w:hAnsi="Book Antiqua" w:cs="Times New Roman"/>
          <w:b/>
          <w:sz w:val="24"/>
          <w:szCs w:val="24"/>
          <w:u w:val="single"/>
        </w:rPr>
        <w:t xml:space="preserve">CASE </w:t>
      </w:r>
      <w:r w:rsidR="001A6AD0" w:rsidRPr="000C178D">
        <w:rPr>
          <w:rFonts w:ascii="Book Antiqua" w:hAnsi="Book Antiqua" w:cs="Times New Roman"/>
          <w:b/>
          <w:sz w:val="24"/>
          <w:szCs w:val="24"/>
          <w:u w:val="single"/>
        </w:rPr>
        <w:t>PRESENTATION</w:t>
      </w:r>
    </w:p>
    <w:p w14:paraId="6F51837F" w14:textId="77777777" w:rsidR="00385DBD" w:rsidRPr="000C178D" w:rsidRDefault="00385DBD" w:rsidP="000C178D">
      <w:pPr>
        <w:snapToGrid w:val="0"/>
        <w:spacing w:after="0" w:line="360" w:lineRule="auto"/>
        <w:jc w:val="both"/>
        <w:rPr>
          <w:rFonts w:ascii="Book Antiqua" w:eastAsia="Times New Roman" w:hAnsi="Book Antiqua" w:cs="Times New Roman"/>
          <w:color w:val="0E101A"/>
          <w:sz w:val="24"/>
          <w:szCs w:val="24"/>
        </w:rPr>
      </w:pPr>
      <w:r w:rsidRPr="000C178D">
        <w:rPr>
          <w:rFonts w:ascii="Book Antiqua" w:hAnsi="Book Antiqua" w:cs="Times New Roman"/>
          <w:b/>
          <w:bCs/>
          <w:i/>
          <w:iCs/>
          <w:sz w:val="24"/>
          <w:szCs w:val="24"/>
        </w:rPr>
        <w:t>Chief complaints</w:t>
      </w:r>
    </w:p>
    <w:p w14:paraId="392B3892" w14:textId="63B215FE" w:rsidR="002919E8" w:rsidRPr="000C178D" w:rsidRDefault="00385DBD" w:rsidP="000C178D">
      <w:pPr>
        <w:snapToGrid w:val="0"/>
        <w:spacing w:after="0" w:line="360" w:lineRule="auto"/>
        <w:jc w:val="both"/>
        <w:rPr>
          <w:rFonts w:ascii="Book Antiqua" w:eastAsia="Times New Roman" w:hAnsi="Book Antiqua" w:cs="Times New Roman"/>
          <w:sz w:val="24"/>
          <w:szCs w:val="24"/>
          <w:lang w:val="lt-LT"/>
        </w:rPr>
      </w:pPr>
      <w:r w:rsidRPr="000C178D">
        <w:rPr>
          <w:rFonts w:ascii="Book Antiqua" w:eastAsia="Times New Roman" w:hAnsi="Book Antiqua" w:cs="Times New Roman"/>
          <w:color w:val="0E101A"/>
          <w:sz w:val="24"/>
          <w:szCs w:val="24"/>
        </w:rPr>
        <w:t>A 54-year-old Caucasian male was admitted to the Centre of Hepatology, Gastroenterology and Dietetics presenting with complaints in various organ systems.</w:t>
      </w:r>
      <w:r w:rsidRPr="000C178D">
        <w:rPr>
          <w:rFonts w:ascii="Book Antiqua" w:eastAsia="Times New Roman" w:hAnsi="Book Antiqua" w:cs="Times New Roman"/>
          <w:sz w:val="24"/>
          <w:szCs w:val="24"/>
          <w:lang w:val="lt-LT"/>
        </w:rPr>
        <w:t xml:space="preserve"> The patient was complaining of fatigue, weight loss (lost over 30 kg</w:t>
      </w:r>
      <w:r w:rsidRPr="000C178D">
        <w:rPr>
          <w:rFonts w:ascii="Book Antiqua" w:eastAsia="Times New Roman" w:hAnsi="Book Antiqua" w:cs="Times New Roman"/>
          <w:i/>
          <w:color w:val="002060"/>
          <w:sz w:val="24"/>
          <w:szCs w:val="24"/>
          <w:lang w:val="lt-LT"/>
        </w:rPr>
        <w:t xml:space="preserve"> </w:t>
      </w:r>
      <w:r w:rsidRPr="000C178D">
        <w:rPr>
          <w:rFonts w:ascii="Book Antiqua" w:eastAsia="Times New Roman" w:hAnsi="Book Antiqua" w:cs="Times New Roman"/>
          <w:sz w:val="24"/>
          <w:szCs w:val="24"/>
          <w:lang w:val="lt-LT"/>
        </w:rPr>
        <w:t>in 9 mo despite good appetite), frequent bowel movements (up to 3 times daily), dryness of the mouth along with changes of facial appearance due to bilateral salivary gland swelling, and difficulty urinating</w:t>
      </w:r>
      <w:r w:rsidR="00181555" w:rsidRPr="000C178D">
        <w:rPr>
          <w:rFonts w:ascii="Book Antiqua" w:eastAsia="Times New Roman" w:hAnsi="Book Antiqua" w:cs="Times New Roman"/>
          <w:sz w:val="24"/>
          <w:szCs w:val="24"/>
          <w:lang w:val="lt-LT"/>
        </w:rPr>
        <w:t>.</w:t>
      </w:r>
    </w:p>
    <w:p w14:paraId="2E1A1CAB" w14:textId="77777777" w:rsidR="00385DBD" w:rsidRPr="000C178D" w:rsidRDefault="00385DBD" w:rsidP="000C178D">
      <w:pPr>
        <w:snapToGrid w:val="0"/>
        <w:spacing w:after="0" w:line="360" w:lineRule="auto"/>
        <w:jc w:val="both"/>
        <w:rPr>
          <w:rFonts w:ascii="Book Antiqua" w:hAnsi="Book Antiqua" w:cs="Times New Roman"/>
          <w:b/>
          <w:bCs/>
          <w:i/>
          <w:iCs/>
          <w:sz w:val="24"/>
          <w:szCs w:val="24"/>
        </w:rPr>
      </w:pPr>
      <w:r w:rsidRPr="000C178D">
        <w:rPr>
          <w:rFonts w:ascii="Book Antiqua" w:hAnsi="Book Antiqua" w:cs="Times New Roman"/>
          <w:b/>
          <w:bCs/>
          <w:i/>
          <w:iCs/>
          <w:sz w:val="24"/>
          <w:szCs w:val="24"/>
        </w:rPr>
        <w:lastRenderedPageBreak/>
        <w:t>History of past illness</w:t>
      </w:r>
    </w:p>
    <w:p w14:paraId="3ACA896A" w14:textId="42826A5C" w:rsidR="00385DBD" w:rsidRPr="000C178D" w:rsidRDefault="00385DBD" w:rsidP="000C178D">
      <w:pPr>
        <w:snapToGrid w:val="0"/>
        <w:spacing w:after="0" w:line="360" w:lineRule="auto"/>
        <w:jc w:val="both"/>
        <w:rPr>
          <w:rFonts w:ascii="Book Antiqua" w:eastAsia="Times New Roman" w:hAnsi="Book Antiqua" w:cs="Times New Roman"/>
          <w:color w:val="0E101A"/>
          <w:sz w:val="24"/>
          <w:szCs w:val="24"/>
        </w:rPr>
      </w:pPr>
      <w:r w:rsidRPr="000C178D">
        <w:rPr>
          <w:rFonts w:ascii="Book Antiqua" w:eastAsia="Times New Roman" w:hAnsi="Book Antiqua" w:cs="Times New Roman"/>
          <w:color w:val="0E101A"/>
          <w:sz w:val="24"/>
          <w:szCs w:val="24"/>
        </w:rPr>
        <w:t>At the age of 36, the patient was diagnosed with autoimmune thyroiditis</w:t>
      </w:r>
      <w:r w:rsidR="002216C4" w:rsidRPr="000C178D">
        <w:rPr>
          <w:rFonts w:ascii="Book Antiqua" w:eastAsia="Times New Roman" w:hAnsi="Book Antiqua" w:cs="Times New Roman"/>
          <w:color w:val="0E101A"/>
          <w:sz w:val="24"/>
          <w:szCs w:val="24"/>
        </w:rPr>
        <w:t>. It</w:t>
      </w:r>
      <w:r w:rsidRPr="000C178D">
        <w:rPr>
          <w:rFonts w:ascii="Book Antiqua" w:eastAsia="Times New Roman" w:hAnsi="Book Antiqua" w:cs="Times New Roman"/>
          <w:color w:val="0E101A"/>
          <w:sz w:val="24"/>
          <w:szCs w:val="24"/>
        </w:rPr>
        <w:t xml:space="preserve"> was managed with a low dose of prednisolone. The disease re-occurred as subacute thyroiditis several times </w:t>
      </w:r>
      <w:r w:rsidR="002216C4" w:rsidRPr="000C178D">
        <w:rPr>
          <w:rFonts w:ascii="Book Antiqua" w:eastAsia="Times New Roman" w:hAnsi="Book Antiqua" w:cs="Times New Roman"/>
          <w:color w:val="0E101A"/>
          <w:sz w:val="24"/>
          <w:szCs w:val="24"/>
        </w:rPr>
        <w:t>within</w:t>
      </w:r>
      <w:r w:rsidRPr="000C178D">
        <w:rPr>
          <w:rFonts w:ascii="Book Antiqua" w:eastAsia="Times New Roman" w:hAnsi="Book Antiqua" w:cs="Times New Roman"/>
          <w:color w:val="0E101A"/>
          <w:sz w:val="24"/>
          <w:szCs w:val="24"/>
        </w:rPr>
        <w:t xml:space="preserve"> </w:t>
      </w:r>
      <w:r w:rsidR="002216C4" w:rsidRPr="000C178D">
        <w:rPr>
          <w:rFonts w:ascii="Book Antiqua" w:eastAsia="Times New Roman" w:hAnsi="Book Antiqua" w:cs="Times New Roman"/>
          <w:color w:val="0E101A"/>
          <w:sz w:val="24"/>
          <w:szCs w:val="24"/>
        </w:rPr>
        <w:t xml:space="preserve">15 </w:t>
      </w:r>
      <w:r w:rsidR="00E52D41" w:rsidRPr="000C178D">
        <w:rPr>
          <w:rFonts w:ascii="Book Antiqua" w:eastAsia="Times New Roman" w:hAnsi="Book Antiqua" w:cs="Times New Roman"/>
          <w:color w:val="0E101A"/>
          <w:sz w:val="24"/>
          <w:szCs w:val="24"/>
        </w:rPr>
        <w:t>years</w:t>
      </w:r>
      <w:r w:rsidR="002216C4" w:rsidRPr="000C178D">
        <w:rPr>
          <w:rFonts w:ascii="Book Antiqua" w:eastAsia="Times New Roman" w:hAnsi="Book Antiqua" w:cs="Times New Roman"/>
          <w:color w:val="0E101A"/>
          <w:sz w:val="24"/>
          <w:szCs w:val="24"/>
        </w:rPr>
        <w:t>. This</w:t>
      </w:r>
      <w:r w:rsidRPr="000C178D">
        <w:rPr>
          <w:rFonts w:ascii="Book Antiqua" w:eastAsia="Times New Roman" w:hAnsi="Book Antiqua" w:cs="Times New Roman"/>
          <w:color w:val="0E101A"/>
          <w:sz w:val="24"/>
          <w:szCs w:val="24"/>
        </w:rPr>
        <w:t xml:space="preserve"> result</w:t>
      </w:r>
      <w:r w:rsidR="002216C4" w:rsidRPr="000C178D">
        <w:rPr>
          <w:rFonts w:ascii="Book Antiqua" w:eastAsia="Times New Roman" w:hAnsi="Book Antiqua" w:cs="Times New Roman"/>
          <w:color w:val="0E101A"/>
          <w:sz w:val="24"/>
          <w:szCs w:val="24"/>
        </w:rPr>
        <w:t>ed</w:t>
      </w:r>
      <w:r w:rsidRPr="000C178D">
        <w:rPr>
          <w:rFonts w:ascii="Book Antiqua" w:eastAsia="Times New Roman" w:hAnsi="Book Antiqua" w:cs="Times New Roman"/>
          <w:color w:val="0E101A"/>
          <w:sz w:val="24"/>
          <w:szCs w:val="24"/>
        </w:rPr>
        <w:t xml:space="preserve"> in hypothyroidism, and 50 mcg of levothyroxine was added. The patient also had bronchial asthma, which was</w:t>
      </w:r>
      <w:r w:rsidR="001E4A17" w:rsidRPr="000C178D">
        <w:rPr>
          <w:rFonts w:ascii="Book Antiqua" w:eastAsia="Times New Roman" w:hAnsi="Book Antiqua" w:cs="Times New Roman"/>
          <w:color w:val="0E101A"/>
          <w:sz w:val="24"/>
          <w:szCs w:val="24"/>
        </w:rPr>
        <w:t xml:space="preserve"> well</w:t>
      </w:r>
      <w:r w:rsidRPr="000C178D">
        <w:rPr>
          <w:rFonts w:ascii="Book Antiqua" w:eastAsia="Times New Roman" w:hAnsi="Book Antiqua" w:cs="Times New Roman"/>
          <w:color w:val="0E101A"/>
          <w:sz w:val="24"/>
          <w:szCs w:val="24"/>
        </w:rPr>
        <w:t xml:space="preserve"> </w:t>
      </w:r>
      <w:r w:rsidR="000307AB" w:rsidRPr="000C178D">
        <w:rPr>
          <w:rFonts w:ascii="Book Antiqua" w:eastAsia="Times New Roman" w:hAnsi="Book Antiqua" w:cs="Times New Roman"/>
          <w:color w:val="0E101A"/>
          <w:sz w:val="24"/>
          <w:szCs w:val="24"/>
        </w:rPr>
        <w:t>controlled</w:t>
      </w:r>
      <w:r w:rsidRPr="000C178D">
        <w:rPr>
          <w:rFonts w:ascii="Book Antiqua" w:eastAsia="Times New Roman" w:hAnsi="Book Antiqua" w:cs="Times New Roman"/>
          <w:color w:val="0E101A"/>
          <w:sz w:val="24"/>
          <w:szCs w:val="24"/>
        </w:rPr>
        <w:t xml:space="preserve"> with bronchodilators on demand and currently in remission. Whereas the patient had a familial a</w:t>
      </w:r>
      <w:r w:rsidR="001F6DF4" w:rsidRPr="000C178D">
        <w:rPr>
          <w:rFonts w:ascii="Book Antiqua" w:eastAsia="Times New Roman" w:hAnsi="Book Antiqua" w:cs="Times New Roman"/>
          <w:color w:val="0E101A"/>
          <w:sz w:val="24"/>
          <w:szCs w:val="24"/>
        </w:rPr>
        <w:t>namnesis of the thyroid disease,</w:t>
      </w:r>
      <w:r w:rsidRPr="000C178D">
        <w:rPr>
          <w:rFonts w:ascii="Book Antiqua" w:eastAsia="Times New Roman" w:hAnsi="Book Antiqua" w:cs="Times New Roman"/>
          <w:color w:val="0E101A"/>
          <w:sz w:val="24"/>
          <w:szCs w:val="24"/>
        </w:rPr>
        <w:t xml:space="preserve"> no additional testing for other possible reasons of thyroid disease was made at that time. </w:t>
      </w:r>
    </w:p>
    <w:p w14:paraId="1D35E0AF" w14:textId="6DEA2371" w:rsidR="00385DBD" w:rsidRPr="000C178D" w:rsidRDefault="00385DBD" w:rsidP="000C178D">
      <w:pPr>
        <w:snapToGrid w:val="0"/>
        <w:spacing w:after="0" w:line="360" w:lineRule="auto"/>
        <w:ind w:firstLine="284"/>
        <w:jc w:val="both"/>
        <w:rPr>
          <w:rFonts w:ascii="Book Antiqua" w:eastAsia="Times New Roman" w:hAnsi="Book Antiqua" w:cs="Times New Roman"/>
          <w:color w:val="000000" w:themeColor="text1"/>
          <w:sz w:val="24"/>
          <w:szCs w:val="24"/>
        </w:rPr>
      </w:pPr>
      <w:r w:rsidRPr="000C178D">
        <w:rPr>
          <w:rFonts w:ascii="Book Antiqua" w:eastAsia="Times New Roman" w:hAnsi="Book Antiqua" w:cs="Times New Roman"/>
          <w:color w:val="0E101A"/>
          <w:sz w:val="24"/>
          <w:szCs w:val="24"/>
        </w:rPr>
        <w:t xml:space="preserve">At the age of 52, the patient approached the ophthalmologist with a swollen right eye and visual impairment. The treatment </w:t>
      </w:r>
      <w:r w:rsidRPr="000C178D">
        <w:rPr>
          <w:rFonts w:ascii="Book Antiqua" w:eastAsia="Times New Roman" w:hAnsi="Book Antiqua" w:cs="Times New Roman"/>
          <w:color w:val="0E101A"/>
          <w:sz w:val="24"/>
          <w:szCs w:val="24"/>
          <w:shd w:val="clear" w:color="auto" w:fill="FFFFFF" w:themeFill="background1"/>
        </w:rPr>
        <w:t xml:space="preserve">with anti-inflammatory ointments, antibiotics and </w:t>
      </w:r>
      <w:r w:rsidR="001E3235" w:rsidRPr="000C178D">
        <w:rPr>
          <w:rFonts w:ascii="Book Antiqua" w:eastAsia="Times New Roman" w:hAnsi="Book Antiqua" w:cs="Times New Roman"/>
          <w:color w:val="0E101A"/>
          <w:sz w:val="24"/>
          <w:szCs w:val="24"/>
          <w:shd w:val="clear" w:color="auto" w:fill="FFFFFF" w:themeFill="background1"/>
        </w:rPr>
        <w:t>corticosteroid eye</w:t>
      </w:r>
      <w:r w:rsidRPr="000C178D">
        <w:rPr>
          <w:rFonts w:ascii="Book Antiqua" w:eastAsia="Times New Roman" w:hAnsi="Book Antiqua" w:cs="Times New Roman"/>
          <w:color w:val="0E101A"/>
          <w:sz w:val="24"/>
          <w:szCs w:val="24"/>
          <w:shd w:val="clear" w:color="auto" w:fill="FFFFFF" w:themeFill="background1"/>
        </w:rPr>
        <w:t xml:space="preserve"> drops was initiated. However, the symptoms pro</w:t>
      </w:r>
      <w:r w:rsidRPr="000C178D">
        <w:rPr>
          <w:rFonts w:ascii="Book Antiqua" w:eastAsia="Times New Roman" w:hAnsi="Book Antiqua" w:cs="Times New Roman"/>
          <w:color w:val="0E101A"/>
          <w:sz w:val="24"/>
          <w:szCs w:val="24"/>
        </w:rPr>
        <w:t>gressed, and the patient developed diplopia</w:t>
      </w:r>
      <w:r w:rsidR="00467ADD" w:rsidRPr="000C178D">
        <w:rPr>
          <w:rFonts w:ascii="Book Antiqua" w:eastAsia="Times New Roman" w:hAnsi="Book Antiqua" w:cs="Times New Roman"/>
          <w:color w:val="0E101A"/>
          <w:sz w:val="24"/>
          <w:szCs w:val="24"/>
        </w:rPr>
        <w:t xml:space="preserve"> and strabismus</w:t>
      </w:r>
      <w:r w:rsidRPr="000C178D">
        <w:rPr>
          <w:rFonts w:ascii="Book Antiqua" w:eastAsia="Times New Roman" w:hAnsi="Book Antiqua" w:cs="Times New Roman"/>
          <w:color w:val="0E101A"/>
          <w:sz w:val="24"/>
          <w:szCs w:val="24"/>
        </w:rPr>
        <w:t xml:space="preserve">, which did not respond to the vision correction with </w:t>
      </w:r>
      <w:r w:rsidRPr="000C178D">
        <w:rPr>
          <w:rFonts w:ascii="Book Antiqua" w:eastAsia="Times New Roman" w:hAnsi="Book Antiqua" w:cs="Times New Roman"/>
          <w:color w:val="000000" w:themeColor="text1"/>
          <w:sz w:val="24"/>
          <w:szCs w:val="24"/>
        </w:rPr>
        <w:t>prism lenses</w:t>
      </w:r>
      <w:r w:rsidRPr="000C178D">
        <w:rPr>
          <w:rFonts w:ascii="Book Antiqua" w:eastAsia="Times New Roman" w:hAnsi="Book Antiqua" w:cs="Times New Roman"/>
          <w:color w:val="0E101A"/>
          <w:sz w:val="24"/>
          <w:szCs w:val="24"/>
        </w:rPr>
        <w:t xml:space="preserve">. The neurologist then consulted the patient to differentiate possible mass of the </w:t>
      </w:r>
      <w:proofErr w:type="spellStart"/>
      <w:r w:rsidRPr="000C178D">
        <w:rPr>
          <w:rFonts w:ascii="Book Antiqua" w:eastAsia="Times New Roman" w:hAnsi="Book Antiqua" w:cs="Times New Roman"/>
          <w:i/>
          <w:color w:val="0E101A"/>
          <w:sz w:val="24"/>
          <w:szCs w:val="24"/>
        </w:rPr>
        <w:t>sella</w:t>
      </w:r>
      <w:proofErr w:type="spellEnd"/>
      <w:r w:rsidRPr="000C178D">
        <w:rPr>
          <w:rFonts w:ascii="Book Antiqua" w:eastAsia="Times New Roman" w:hAnsi="Book Antiqua" w:cs="Times New Roman"/>
          <w:i/>
          <w:color w:val="0E101A"/>
          <w:sz w:val="24"/>
          <w:szCs w:val="24"/>
        </w:rPr>
        <w:t xml:space="preserve"> turcica</w:t>
      </w:r>
      <w:r w:rsidRPr="000C178D">
        <w:rPr>
          <w:rFonts w:ascii="Book Antiqua" w:eastAsia="Times New Roman" w:hAnsi="Book Antiqua" w:cs="Times New Roman"/>
          <w:color w:val="0E101A"/>
          <w:sz w:val="24"/>
          <w:szCs w:val="24"/>
        </w:rPr>
        <w:t xml:space="preserve">. Magnetic resonance imaging (MRI) of the </w:t>
      </w:r>
      <w:r w:rsidRPr="000C178D">
        <w:rPr>
          <w:rFonts w:ascii="Book Antiqua" w:eastAsia="Times New Roman" w:hAnsi="Book Antiqua" w:cs="Times New Roman"/>
          <w:color w:val="0E101A"/>
          <w:sz w:val="24"/>
          <w:szCs w:val="24"/>
          <w:lang w:val="lt-LT"/>
        </w:rPr>
        <w:t>head</w:t>
      </w:r>
      <w:r w:rsidRPr="000C178D">
        <w:rPr>
          <w:rFonts w:ascii="Book Antiqua" w:eastAsia="Times New Roman" w:hAnsi="Book Antiqua" w:cs="Times New Roman"/>
          <w:color w:val="0E101A"/>
          <w:sz w:val="24"/>
          <w:szCs w:val="24"/>
        </w:rPr>
        <w:t xml:space="preserve"> showed no pathology. Though the patient's symptoms further progressed and he developed the significant protrusion of both eyes, photophobia, eye-watering and impaired diplopia. At this point, the neurologist and ophthalmologist repeatedly consulted the patient. </w:t>
      </w:r>
      <w:r w:rsidRPr="000C178D">
        <w:rPr>
          <w:rFonts w:ascii="Book Antiqua" w:eastAsia="Times New Roman" w:hAnsi="Book Antiqua" w:cs="Times New Roman"/>
          <w:sz w:val="24"/>
          <w:szCs w:val="24"/>
        </w:rPr>
        <w:t xml:space="preserve">Negative antibodies against acetylcholine and </w:t>
      </w:r>
      <w:proofErr w:type="spellStart"/>
      <w:r w:rsidRPr="000C178D">
        <w:rPr>
          <w:rFonts w:ascii="Book Antiqua" w:eastAsia="Times New Roman" w:hAnsi="Book Antiqua" w:cs="Times New Roman"/>
          <w:color w:val="0E101A"/>
          <w:sz w:val="24"/>
          <w:szCs w:val="24"/>
        </w:rPr>
        <w:t>neuromyography</w:t>
      </w:r>
      <w:proofErr w:type="spellEnd"/>
      <w:r w:rsidRPr="000C178D">
        <w:rPr>
          <w:rFonts w:ascii="Book Antiqua" w:eastAsia="Times New Roman" w:hAnsi="Book Antiqua" w:cs="Times New Roman"/>
          <w:sz w:val="24"/>
          <w:szCs w:val="24"/>
        </w:rPr>
        <w:t xml:space="preserve"> excluded </w:t>
      </w:r>
      <w:r w:rsidRPr="000C178D">
        <w:rPr>
          <w:rFonts w:ascii="Book Antiqua" w:eastAsia="Times New Roman" w:hAnsi="Book Antiqua" w:cs="Times New Roman"/>
          <w:i/>
          <w:sz w:val="24"/>
          <w:szCs w:val="24"/>
        </w:rPr>
        <w:t>m</w:t>
      </w:r>
      <w:r w:rsidRPr="000C178D">
        <w:rPr>
          <w:rFonts w:ascii="Book Antiqua" w:eastAsia="Times New Roman" w:hAnsi="Book Antiqua" w:cs="Times New Roman"/>
          <w:i/>
          <w:iCs/>
          <w:sz w:val="24"/>
          <w:szCs w:val="24"/>
        </w:rPr>
        <w:t>yasthenia gravis</w:t>
      </w:r>
      <w:r w:rsidRPr="000C178D">
        <w:rPr>
          <w:rFonts w:ascii="Book Antiqua" w:eastAsia="Times New Roman" w:hAnsi="Book Antiqua" w:cs="Times New Roman"/>
          <w:sz w:val="24"/>
          <w:szCs w:val="24"/>
        </w:rPr>
        <w:t>.</w:t>
      </w:r>
      <w:r w:rsidRPr="000C178D">
        <w:rPr>
          <w:rFonts w:ascii="Book Antiqua" w:eastAsia="Times New Roman" w:hAnsi="Book Antiqua" w:cs="Times New Roman"/>
          <w:color w:val="0E101A"/>
          <w:sz w:val="24"/>
          <w:szCs w:val="24"/>
        </w:rPr>
        <w:t xml:space="preserve"> Ultrasound examination of the e</w:t>
      </w:r>
      <w:r w:rsidRPr="000C178D">
        <w:rPr>
          <w:rFonts w:ascii="Book Antiqua" w:eastAsia="Times New Roman" w:hAnsi="Book Antiqua" w:cs="Times New Roman"/>
          <w:color w:val="000000" w:themeColor="text1"/>
          <w:sz w:val="24"/>
          <w:szCs w:val="24"/>
        </w:rPr>
        <w:t xml:space="preserve">xtracranial cerebrovascular system showed no </w:t>
      </w:r>
      <w:r w:rsidRPr="000C178D">
        <w:rPr>
          <w:rFonts w:ascii="Book Antiqua" w:eastAsia="Times New Roman" w:hAnsi="Book Antiqua" w:cs="Times New Roman"/>
          <w:i/>
          <w:color w:val="000000" w:themeColor="text1"/>
          <w:sz w:val="24"/>
          <w:szCs w:val="24"/>
        </w:rPr>
        <w:t xml:space="preserve">sinus </w:t>
      </w:r>
      <w:proofErr w:type="spellStart"/>
      <w:r w:rsidRPr="000C178D">
        <w:rPr>
          <w:rFonts w:ascii="Book Antiqua" w:eastAsia="Times New Roman" w:hAnsi="Book Antiqua" w:cs="Times New Roman"/>
          <w:i/>
          <w:color w:val="000000" w:themeColor="text1"/>
          <w:sz w:val="24"/>
          <w:szCs w:val="24"/>
        </w:rPr>
        <w:t>cavernosus</w:t>
      </w:r>
      <w:proofErr w:type="spellEnd"/>
      <w:r w:rsidRPr="000C178D">
        <w:rPr>
          <w:rFonts w:ascii="Book Antiqua" w:eastAsia="Times New Roman" w:hAnsi="Book Antiqua" w:cs="Times New Roman"/>
          <w:color w:val="000000" w:themeColor="text1"/>
          <w:sz w:val="24"/>
          <w:szCs w:val="24"/>
        </w:rPr>
        <w:t xml:space="preserve"> pathology or carotid artery stenosis. Additionally, </w:t>
      </w:r>
      <w:r w:rsidR="006F1122" w:rsidRPr="000C178D">
        <w:rPr>
          <w:rFonts w:ascii="Book Antiqua" w:eastAsia="Times New Roman" w:hAnsi="Book Antiqua" w:cs="Times New Roman"/>
          <w:color w:val="000000" w:themeColor="text1"/>
          <w:sz w:val="24"/>
          <w:szCs w:val="24"/>
        </w:rPr>
        <w:t xml:space="preserve">the </w:t>
      </w:r>
      <w:r w:rsidRPr="000C178D">
        <w:rPr>
          <w:rFonts w:ascii="Book Antiqua" w:eastAsia="Times New Roman" w:hAnsi="Book Antiqua" w:cs="Times New Roman"/>
          <w:color w:val="000000" w:themeColor="text1"/>
          <w:sz w:val="24"/>
          <w:szCs w:val="24"/>
        </w:rPr>
        <w:t xml:space="preserve">inconsistent size heterogenic mass was spotted </w:t>
      </w:r>
      <w:proofErr w:type="spellStart"/>
      <w:r w:rsidRPr="000C178D">
        <w:rPr>
          <w:rFonts w:ascii="Book Antiqua" w:eastAsia="Times New Roman" w:hAnsi="Book Antiqua" w:cs="Times New Roman"/>
          <w:color w:val="000000" w:themeColor="text1"/>
          <w:sz w:val="24"/>
          <w:szCs w:val="24"/>
        </w:rPr>
        <w:t>transorbital</w:t>
      </w:r>
      <w:r w:rsidR="006F1122" w:rsidRPr="000C178D">
        <w:rPr>
          <w:rFonts w:ascii="Book Antiqua" w:eastAsia="Times New Roman" w:hAnsi="Book Antiqua" w:cs="Times New Roman"/>
          <w:color w:val="000000" w:themeColor="text1"/>
          <w:sz w:val="24"/>
          <w:szCs w:val="24"/>
        </w:rPr>
        <w:t>l</w:t>
      </w:r>
      <w:r w:rsidRPr="000C178D">
        <w:rPr>
          <w:rFonts w:ascii="Book Antiqua" w:eastAsia="Times New Roman" w:hAnsi="Book Antiqua" w:cs="Times New Roman"/>
          <w:color w:val="000000" w:themeColor="text1"/>
          <w:sz w:val="24"/>
          <w:szCs w:val="24"/>
        </w:rPr>
        <w:t>y</w:t>
      </w:r>
      <w:proofErr w:type="spellEnd"/>
      <w:r w:rsidRPr="000C178D">
        <w:rPr>
          <w:rFonts w:ascii="Book Antiqua" w:eastAsia="Times New Roman" w:hAnsi="Book Antiqua" w:cs="Times New Roman"/>
          <w:color w:val="000000" w:themeColor="text1"/>
          <w:sz w:val="24"/>
          <w:szCs w:val="24"/>
        </w:rPr>
        <w:t xml:space="preserve"> on the left orbital cavity (</w:t>
      </w:r>
      <w:hyperlink w:anchor="Figure1" w:history="1">
        <w:r w:rsidRPr="000C178D">
          <w:rPr>
            <w:rStyle w:val="a4"/>
            <w:rFonts w:ascii="Book Antiqua" w:eastAsia="Times New Roman" w:hAnsi="Book Antiqua" w:cs="Times New Roman"/>
            <w:color w:val="auto"/>
            <w:sz w:val="24"/>
            <w:szCs w:val="24"/>
            <w:u w:val="none"/>
          </w:rPr>
          <w:t>Figure 1</w:t>
        </w:r>
      </w:hyperlink>
      <w:r w:rsidRPr="000C178D">
        <w:rPr>
          <w:rFonts w:ascii="Book Antiqua" w:eastAsia="Times New Roman" w:hAnsi="Book Antiqua" w:cs="Times New Roman"/>
          <w:sz w:val="24"/>
          <w:szCs w:val="24"/>
        </w:rPr>
        <w:t>)</w:t>
      </w:r>
      <w:r w:rsidRPr="000C178D">
        <w:rPr>
          <w:rFonts w:ascii="Book Antiqua" w:eastAsia="Times New Roman" w:hAnsi="Book Antiqua" w:cs="Times New Roman"/>
          <w:color w:val="000000" w:themeColor="text1"/>
          <w:sz w:val="24"/>
          <w:szCs w:val="24"/>
        </w:rPr>
        <w:t>.</w:t>
      </w:r>
    </w:p>
    <w:p w14:paraId="2B144636" w14:textId="643600E9" w:rsidR="008679E3" w:rsidRPr="000C178D" w:rsidRDefault="00206ECD" w:rsidP="000C178D">
      <w:pPr>
        <w:snapToGrid w:val="0"/>
        <w:spacing w:after="0" w:line="360" w:lineRule="auto"/>
        <w:ind w:firstLine="284"/>
        <w:jc w:val="both"/>
        <w:rPr>
          <w:rFonts w:ascii="Book Antiqua" w:eastAsia="Times New Roman" w:hAnsi="Book Antiqua" w:cs="Times New Roman"/>
          <w:color w:val="0E101A"/>
          <w:sz w:val="24"/>
          <w:szCs w:val="24"/>
        </w:rPr>
      </w:pPr>
      <w:r w:rsidRPr="000C178D">
        <w:rPr>
          <w:rFonts w:ascii="Book Antiqua" w:eastAsia="Times New Roman" w:hAnsi="Book Antiqua" w:cs="Times New Roman"/>
          <w:color w:val="0E101A"/>
          <w:sz w:val="24"/>
          <w:szCs w:val="24"/>
        </w:rPr>
        <w:t>The 1</w:t>
      </w:r>
      <w:r w:rsidR="00990A21" w:rsidRPr="000C178D">
        <w:rPr>
          <w:rFonts w:ascii="Book Antiqua" w:eastAsia="Times New Roman" w:hAnsi="Book Antiqua" w:cs="Times New Roman"/>
          <w:color w:val="0E101A"/>
          <w:sz w:val="24"/>
          <w:szCs w:val="24"/>
        </w:rPr>
        <w:t>.</w:t>
      </w:r>
      <w:r w:rsidRPr="000C178D">
        <w:rPr>
          <w:rFonts w:ascii="Book Antiqua" w:eastAsia="Times New Roman" w:hAnsi="Book Antiqua" w:cs="Times New Roman"/>
          <w:color w:val="0E101A"/>
          <w:sz w:val="24"/>
          <w:szCs w:val="24"/>
        </w:rPr>
        <w:t xml:space="preserve">5-T </w:t>
      </w:r>
      <w:r w:rsidR="00B47351" w:rsidRPr="000C178D">
        <w:rPr>
          <w:rFonts w:ascii="Book Antiqua" w:eastAsia="Times New Roman" w:hAnsi="Book Antiqua" w:cs="Times New Roman"/>
          <w:color w:val="0E101A"/>
          <w:sz w:val="24"/>
          <w:szCs w:val="24"/>
        </w:rPr>
        <w:t>MRI scan</w:t>
      </w:r>
      <w:r w:rsidRPr="000C178D">
        <w:rPr>
          <w:rFonts w:ascii="Book Antiqua" w:eastAsia="Times New Roman" w:hAnsi="Book Antiqua" w:cs="Times New Roman"/>
          <w:color w:val="0E101A"/>
          <w:sz w:val="24"/>
          <w:szCs w:val="24"/>
        </w:rPr>
        <w:t xml:space="preserve"> </w:t>
      </w:r>
      <w:r w:rsidR="00B47351" w:rsidRPr="000C178D">
        <w:rPr>
          <w:rFonts w:ascii="Book Antiqua" w:eastAsia="Times New Roman" w:hAnsi="Book Antiqua" w:cs="Times New Roman"/>
          <w:color w:val="0E101A"/>
          <w:sz w:val="24"/>
          <w:szCs w:val="24"/>
        </w:rPr>
        <w:t xml:space="preserve">of the orbital cavity pointed out the substantial enlargement in extraocular muscles (left lateral and inferior rectus muscles, right superior rectus muscle), sinusitis, and no signs of lacrimal glands pathology </w:t>
      </w:r>
      <w:r w:rsidR="00B47351" w:rsidRPr="000C178D">
        <w:rPr>
          <w:rFonts w:ascii="Book Antiqua" w:eastAsia="Times New Roman" w:hAnsi="Book Antiqua" w:cs="Times New Roman"/>
          <w:sz w:val="24"/>
          <w:szCs w:val="24"/>
        </w:rPr>
        <w:t>(</w:t>
      </w:r>
      <w:hyperlink w:anchor="Figure2" w:history="1">
        <w:r w:rsidR="00B47351" w:rsidRPr="000C178D">
          <w:rPr>
            <w:rStyle w:val="a4"/>
            <w:rFonts w:ascii="Book Antiqua" w:eastAsia="Times New Roman" w:hAnsi="Book Antiqua" w:cs="Times New Roman"/>
            <w:color w:val="auto"/>
            <w:sz w:val="24"/>
            <w:szCs w:val="24"/>
            <w:u w:val="none"/>
          </w:rPr>
          <w:t>Figure 2</w:t>
        </w:r>
      </w:hyperlink>
      <w:r w:rsidR="00B47351" w:rsidRPr="000C178D">
        <w:rPr>
          <w:rFonts w:ascii="Book Antiqua" w:eastAsia="Times New Roman" w:hAnsi="Book Antiqua" w:cs="Times New Roman"/>
          <w:color w:val="0E101A"/>
          <w:sz w:val="24"/>
          <w:szCs w:val="24"/>
        </w:rPr>
        <w:t xml:space="preserve">). The symptoms were attributed to </w:t>
      </w:r>
      <w:r w:rsidR="00467ADD" w:rsidRPr="000C178D">
        <w:rPr>
          <w:rFonts w:ascii="Book Antiqua" w:eastAsia="Times New Roman" w:hAnsi="Book Antiqua" w:cs="Times New Roman"/>
          <w:color w:val="0E101A"/>
          <w:sz w:val="24"/>
          <w:szCs w:val="24"/>
        </w:rPr>
        <w:t>endocrine ophthalmopathy (Grave</w:t>
      </w:r>
      <w:r w:rsidR="00B47351" w:rsidRPr="000C178D">
        <w:rPr>
          <w:rFonts w:ascii="Book Antiqua" w:eastAsia="Times New Roman" w:hAnsi="Book Antiqua" w:cs="Times New Roman"/>
          <w:color w:val="0E101A"/>
          <w:sz w:val="24"/>
          <w:szCs w:val="24"/>
        </w:rPr>
        <w:t>s</w:t>
      </w:r>
      <w:r w:rsidR="00F80C8F" w:rsidRPr="000C178D">
        <w:rPr>
          <w:rFonts w:ascii="Book Antiqua" w:eastAsia="Times New Roman" w:hAnsi="Book Antiqua" w:cs="Times New Roman"/>
          <w:color w:val="0E101A"/>
          <w:sz w:val="24"/>
          <w:szCs w:val="24"/>
        </w:rPr>
        <w:t>'</w:t>
      </w:r>
      <w:r w:rsidR="00B47351" w:rsidRPr="000C178D">
        <w:rPr>
          <w:rFonts w:ascii="Book Antiqua" w:eastAsia="Times New Roman" w:hAnsi="Book Antiqua" w:cs="Times New Roman"/>
          <w:color w:val="0E101A"/>
          <w:sz w:val="24"/>
          <w:szCs w:val="24"/>
        </w:rPr>
        <w:t xml:space="preserve"> disease)</w:t>
      </w:r>
      <w:r w:rsidR="006241BE" w:rsidRPr="000C178D">
        <w:rPr>
          <w:rFonts w:ascii="Book Antiqua" w:eastAsia="Times New Roman" w:hAnsi="Book Antiqua" w:cs="Times New Roman"/>
          <w:color w:val="0E101A"/>
          <w:sz w:val="24"/>
          <w:szCs w:val="24"/>
        </w:rPr>
        <w:t>,</w:t>
      </w:r>
      <w:r w:rsidR="001F6DF4" w:rsidRPr="000C178D">
        <w:rPr>
          <w:rFonts w:ascii="Book Antiqua" w:eastAsia="Times New Roman" w:hAnsi="Book Antiqua" w:cs="Times New Roman"/>
          <w:color w:val="0E101A"/>
          <w:sz w:val="24"/>
          <w:szCs w:val="24"/>
        </w:rPr>
        <w:t xml:space="preserve"> and t</w:t>
      </w:r>
      <w:r w:rsidR="00B47351" w:rsidRPr="000C178D">
        <w:rPr>
          <w:rFonts w:ascii="Book Antiqua" w:eastAsia="Times New Roman" w:hAnsi="Book Antiqua" w:cs="Times New Roman"/>
          <w:color w:val="0E101A"/>
          <w:sz w:val="24"/>
          <w:szCs w:val="24"/>
        </w:rPr>
        <w:t>he patien</w:t>
      </w:r>
      <w:r w:rsidR="004C59CE" w:rsidRPr="000C178D">
        <w:rPr>
          <w:rFonts w:ascii="Book Antiqua" w:eastAsia="Times New Roman" w:hAnsi="Book Antiqua" w:cs="Times New Roman"/>
          <w:color w:val="0E101A"/>
          <w:sz w:val="24"/>
          <w:szCs w:val="24"/>
        </w:rPr>
        <w:t>t was referred to the tertiary C</w:t>
      </w:r>
      <w:r w:rsidR="00B47351" w:rsidRPr="000C178D">
        <w:rPr>
          <w:rFonts w:ascii="Book Antiqua" w:eastAsia="Times New Roman" w:hAnsi="Book Antiqua" w:cs="Times New Roman"/>
          <w:color w:val="0E101A"/>
          <w:sz w:val="24"/>
          <w:szCs w:val="24"/>
        </w:rPr>
        <w:t xml:space="preserve">entre of endocrinology. At the time of </w:t>
      </w:r>
      <w:r w:rsidR="00226315" w:rsidRPr="000C178D">
        <w:rPr>
          <w:rFonts w:ascii="Book Antiqua" w:eastAsia="Times New Roman" w:hAnsi="Book Antiqua" w:cs="Times New Roman"/>
          <w:color w:val="0E101A"/>
          <w:sz w:val="24"/>
          <w:szCs w:val="24"/>
        </w:rPr>
        <w:t>admission,</w:t>
      </w:r>
      <w:r w:rsidR="00B47351" w:rsidRPr="000C178D">
        <w:rPr>
          <w:rFonts w:ascii="Book Antiqua" w:eastAsia="Times New Roman" w:hAnsi="Book Antiqua" w:cs="Times New Roman"/>
          <w:color w:val="0E101A"/>
          <w:sz w:val="24"/>
          <w:szCs w:val="24"/>
        </w:rPr>
        <w:t xml:space="preserve"> </w:t>
      </w:r>
      <w:r w:rsidR="006F1122" w:rsidRPr="000C178D">
        <w:rPr>
          <w:rFonts w:ascii="Book Antiqua" w:eastAsia="Times New Roman" w:hAnsi="Book Antiqua" w:cs="Times New Roman"/>
          <w:color w:val="0E101A"/>
          <w:sz w:val="24"/>
          <w:szCs w:val="24"/>
        </w:rPr>
        <w:t xml:space="preserve">the patient’s </w:t>
      </w:r>
      <w:r w:rsidR="00B47351" w:rsidRPr="000C178D">
        <w:rPr>
          <w:rFonts w:ascii="Book Antiqua" w:eastAsia="Times New Roman" w:hAnsi="Book Antiqua" w:cs="Times New Roman"/>
          <w:color w:val="0E101A"/>
          <w:sz w:val="24"/>
          <w:szCs w:val="24"/>
        </w:rPr>
        <w:t>laboratory test</w:t>
      </w:r>
      <w:r w:rsidR="001F6DF4" w:rsidRPr="000C178D">
        <w:rPr>
          <w:rFonts w:ascii="Book Antiqua" w:eastAsia="Times New Roman" w:hAnsi="Book Antiqua" w:cs="Times New Roman"/>
          <w:color w:val="0E101A"/>
          <w:sz w:val="24"/>
          <w:szCs w:val="24"/>
        </w:rPr>
        <w:t>s</w:t>
      </w:r>
      <w:r w:rsidR="00B47351" w:rsidRPr="000C178D">
        <w:rPr>
          <w:rFonts w:ascii="Book Antiqua" w:eastAsia="Times New Roman" w:hAnsi="Book Antiqua" w:cs="Times New Roman"/>
          <w:color w:val="0E101A"/>
          <w:sz w:val="24"/>
          <w:szCs w:val="24"/>
        </w:rPr>
        <w:t xml:space="preserve"> showed normal</w:t>
      </w:r>
      <w:r w:rsidR="001F6DF4" w:rsidRPr="000C178D">
        <w:rPr>
          <w:rFonts w:ascii="Book Antiqua" w:eastAsia="Times New Roman" w:hAnsi="Book Antiqua" w:cs="Times New Roman"/>
          <w:color w:val="0E101A"/>
          <w:sz w:val="24"/>
          <w:szCs w:val="24"/>
        </w:rPr>
        <w:t xml:space="preserve"> </w:t>
      </w:r>
      <w:r w:rsidR="006241BE" w:rsidRPr="000C178D">
        <w:rPr>
          <w:rFonts w:ascii="Book Antiqua" w:eastAsia="Times New Roman" w:hAnsi="Book Antiqua" w:cs="Times New Roman"/>
          <w:color w:val="0E101A"/>
          <w:sz w:val="24"/>
          <w:szCs w:val="24"/>
        </w:rPr>
        <w:t>levels</w:t>
      </w:r>
      <w:r w:rsidR="001F6DF4" w:rsidRPr="000C178D">
        <w:rPr>
          <w:rFonts w:ascii="Book Antiqua" w:eastAsia="Times New Roman" w:hAnsi="Book Antiqua" w:cs="Times New Roman"/>
          <w:color w:val="0E101A"/>
          <w:sz w:val="24"/>
          <w:szCs w:val="24"/>
        </w:rPr>
        <w:t xml:space="preserve"> of</w:t>
      </w:r>
      <w:r w:rsidR="00B47351" w:rsidRPr="000C178D">
        <w:rPr>
          <w:rFonts w:ascii="Book Antiqua" w:eastAsia="Times New Roman" w:hAnsi="Book Antiqua" w:cs="Times New Roman"/>
          <w:color w:val="0E101A"/>
          <w:sz w:val="24"/>
          <w:szCs w:val="24"/>
        </w:rPr>
        <w:t xml:space="preserve"> thyrotropin hormone (TTH)</w:t>
      </w:r>
      <w:r w:rsidR="0029403B" w:rsidRPr="000C178D">
        <w:rPr>
          <w:rFonts w:ascii="Book Antiqua" w:eastAsia="Times New Roman" w:hAnsi="Book Antiqua" w:cs="Times New Roman"/>
          <w:color w:val="0E101A"/>
          <w:sz w:val="24"/>
          <w:szCs w:val="24"/>
        </w:rPr>
        <w:t xml:space="preserve"> at 1.28 </w:t>
      </w:r>
      <w:proofErr w:type="spellStart"/>
      <w:r w:rsidR="0029403B" w:rsidRPr="000C178D">
        <w:rPr>
          <w:rFonts w:ascii="Book Antiqua" w:eastAsia="Times New Roman" w:hAnsi="Book Antiqua" w:cs="Times New Roman"/>
          <w:color w:val="0E101A"/>
          <w:sz w:val="24"/>
          <w:szCs w:val="24"/>
        </w:rPr>
        <w:t>mU</w:t>
      </w:r>
      <w:proofErr w:type="spellEnd"/>
      <w:r w:rsidR="0029403B" w:rsidRPr="000C178D">
        <w:rPr>
          <w:rFonts w:ascii="Book Antiqua" w:eastAsia="Times New Roman" w:hAnsi="Book Antiqua" w:cs="Times New Roman"/>
          <w:color w:val="0E101A"/>
          <w:sz w:val="24"/>
          <w:szCs w:val="24"/>
        </w:rPr>
        <w:t>/</w:t>
      </w:r>
      <w:r w:rsidR="002125CC" w:rsidRPr="000C178D">
        <w:rPr>
          <w:rFonts w:ascii="Book Antiqua" w:eastAsia="Times New Roman" w:hAnsi="Book Antiqua" w:cs="Times New Roman"/>
          <w:color w:val="0E101A"/>
          <w:sz w:val="24"/>
          <w:szCs w:val="24"/>
        </w:rPr>
        <w:t>L</w:t>
      </w:r>
      <w:r w:rsidR="0029403B" w:rsidRPr="000C178D">
        <w:rPr>
          <w:rFonts w:ascii="Book Antiqua" w:eastAsia="Times New Roman" w:hAnsi="Book Antiqua" w:cs="Times New Roman"/>
          <w:color w:val="0E101A"/>
          <w:sz w:val="24"/>
          <w:szCs w:val="24"/>
        </w:rPr>
        <w:t xml:space="preserve"> (normal </w:t>
      </w:r>
      <w:r w:rsidR="0029403B" w:rsidRPr="000C178D">
        <w:rPr>
          <w:rFonts w:ascii="Book Antiqua" w:eastAsia="Times New Roman" w:hAnsi="Book Antiqua" w:cs="Times New Roman"/>
          <w:color w:val="0E101A"/>
          <w:sz w:val="24"/>
          <w:szCs w:val="24"/>
        </w:rPr>
        <w:lastRenderedPageBreak/>
        <w:t xml:space="preserve">range </w:t>
      </w:r>
      <w:r w:rsidR="0029403B" w:rsidRPr="000C178D">
        <w:rPr>
          <w:rFonts w:ascii="Book Antiqua" w:hAnsi="Book Antiqua" w:cs="Times New Roman"/>
          <w:color w:val="000000"/>
          <w:sz w:val="24"/>
          <w:szCs w:val="24"/>
          <w:shd w:val="clear" w:color="auto" w:fill="FFFFFF"/>
        </w:rPr>
        <w:t>0.4</w:t>
      </w:r>
      <w:r w:rsidR="007063C9" w:rsidRPr="000C178D">
        <w:rPr>
          <w:rFonts w:ascii="Book Antiqua" w:hAnsi="Book Antiqua" w:cs="Times New Roman"/>
          <w:color w:val="000000"/>
          <w:sz w:val="24"/>
          <w:szCs w:val="24"/>
          <w:shd w:val="clear" w:color="auto" w:fill="FFFFFF"/>
        </w:rPr>
        <w:t>-</w:t>
      </w:r>
      <w:r w:rsidR="0029403B" w:rsidRPr="000C178D">
        <w:rPr>
          <w:rFonts w:ascii="Book Antiqua" w:hAnsi="Book Antiqua" w:cs="Times New Roman"/>
          <w:color w:val="000000"/>
          <w:sz w:val="24"/>
          <w:szCs w:val="24"/>
          <w:shd w:val="clear" w:color="auto" w:fill="FFFFFF"/>
        </w:rPr>
        <w:t xml:space="preserve">4.0 </w:t>
      </w:r>
      <w:proofErr w:type="spellStart"/>
      <w:r w:rsidR="0029403B" w:rsidRPr="000C178D">
        <w:rPr>
          <w:rFonts w:ascii="Book Antiqua" w:hAnsi="Book Antiqua" w:cs="Times New Roman"/>
          <w:color w:val="000000"/>
          <w:sz w:val="24"/>
          <w:szCs w:val="24"/>
          <w:shd w:val="clear" w:color="auto" w:fill="FFFFFF"/>
        </w:rPr>
        <w:t>mU</w:t>
      </w:r>
      <w:proofErr w:type="spellEnd"/>
      <w:r w:rsidR="0029403B" w:rsidRPr="000C178D">
        <w:rPr>
          <w:rFonts w:ascii="Book Antiqua" w:hAnsi="Book Antiqua" w:cs="Times New Roman"/>
          <w:color w:val="000000"/>
          <w:sz w:val="24"/>
          <w:szCs w:val="24"/>
          <w:shd w:val="clear" w:color="auto" w:fill="FFFFFF"/>
        </w:rPr>
        <w:t>/</w:t>
      </w:r>
      <w:r w:rsidR="002125CC" w:rsidRPr="000C178D">
        <w:rPr>
          <w:rFonts w:ascii="Book Antiqua" w:hAnsi="Book Antiqua" w:cs="Times New Roman"/>
          <w:color w:val="000000"/>
          <w:sz w:val="24"/>
          <w:szCs w:val="24"/>
          <w:shd w:val="clear" w:color="auto" w:fill="FFFFFF"/>
        </w:rPr>
        <w:t>L</w:t>
      </w:r>
      <w:r w:rsidR="0029403B" w:rsidRPr="000C178D">
        <w:rPr>
          <w:rFonts w:ascii="Book Antiqua" w:hAnsi="Book Antiqua" w:cs="Times New Roman"/>
          <w:color w:val="000000"/>
          <w:sz w:val="24"/>
          <w:szCs w:val="24"/>
          <w:shd w:val="clear" w:color="auto" w:fill="FFFFFF"/>
        </w:rPr>
        <w:t xml:space="preserve">), free thyroxine (FT4) 18.71 </w:t>
      </w:r>
      <w:proofErr w:type="spellStart"/>
      <w:r w:rsidR="0029403B" w:rsidRPr="000C178D">
        <w:rPr>
          <w:rFonts w:ascii="Book Antiqua" w:hAnsi="Book Antiqua" w:cs="Times New Roman"/>
          <w:color w:val="000000"/>
          <w:sz w:val="24"/>
          <w:szCs w:val="24"/>
          <w:shd w:val="clear" w:color="auto" w:fill="FFFFFF"/>
        </w:rPr>
        <w:t>pmol</w:t>
      </w:r>
      <w:proofErr w:type="spellEnd"/>
      <w:r w:rsidR="0029403B" w:rsidRPr="000C178D">
        <w:rPr>
          <w:rFonts w:ascii="Book Antiqua" w:hAnsi="Book Antiqua" w:cs="Times New Roman"/>
          <w:color w:val="000000"/>
          <w:sz w:val="24"/>
          <w:szCs w:val="24"/>
          <w:shd w:val="clear" w:color="auto" w:fill="FFFFFF"/>
        </w:rPr>
        <w:t>/</w:t>
      </w:r>
      <w:r w:rsidR="002125CC" w:rsidRPr="000C178D">
        <w:rPr>
          <w:rFonts w:ascii="Book Antiqua" w:hAnsi="Book Antiqua" w:cs="Times New Roman"/>
          <w:color w:val="000000"/>
          <w:sz w:val="24"/>
          <w:szCs w:val="24"/>
          <w:shd w:val="clear" w:color="auto" w:fill="FFFFFF"/>
        </w:rPr>
        <w:t>L</w:t>
      </w:r>
      <w:r w:rsidR="0029403B" w:rsidRPr="000C178D">
        <w:rPr>
          <w:rFonts w:ascii="Book Antiqua" w:hAnsi="Book Antiqua" w:cs="Times New Roman"/>
          <w:color w:val="000000"/>
          <w:sz w:val="24"/>
          <w:szCs w:val="24"/>
          <w:shd w:val="clear" w:color="auto" w:fill="FFFFFF"/>
        </w:rPr>
        <w:t xml:space="preserve"> (normal range 12–22 </w:t>
      </w:r>
      <w:proofErr w:type="spellStart"/>
      <w:r w:rsidR="0029403B" w:rsidRPr="000C178D">
        <w:rPr>
          <w:rFonts w:ascii="Book Antiqua" w:hAnsi="Book Antiqua" w:cs="Times New Roman"/>
          <w:color w:val="000000"/>
          <w:sz w:val="24"/>
          <w:szCs w:val="24"/>
          <w:shd w:val="clear" w:color="auto" w:fill="FFFFFF"/>
        </w:rPr>
        <w:t>pmol</w:t>
      </w:r>
      <w:proofErr w:type="spellEnd"/>
      <w:r w:rsidR="0029403B" w:rsidRPr="000C178D">
        <w:rPr>
          <w:rFonts w:ascii="Book Antiqua" w:hAnsi="Book Antiqua" w:cs="Times New Roman"/>
          <w:color w:val="000000"/>
          <w:sz w:val="24"/>
          <w:szCs w:val="24"/>
          <w:shd w:val="clear" w:color="auto" w:fill="FFFFFF"/>
        </w:rPr>
        <w:t>/</w:t>
      </w:r>
      <w:r w:rsidR="002125CC" w:rsidRPr="000C178D">
        <w:rPr>
          <w:rFonts w:ascii="Book Antiqua" w:hAnsi="Book Antiqua" w:cs="Times New Roman"/>
          <w:color w:val="000000"/>
          <w:sz w:val="24"/>
          <w:szCs w:val="24"/>
          <w:shd w:val="clear" w:color="auto" w:fill="FFFFFF"/>
        </w:rPr>
        <w:t>L</w:t>
      </w:r>
      <w:r w:rsidR="0029403B" w:rsidRPr="000C178D">
        <w:rPr>
          <w:rFonts w:ascii="Book Antiqua" w:hAnsi="Book Antiqua" w:cs="Times New Roman"/>
          <w:color w:val="000000"/>
          <w:sz w:val="24"/>
          <w:szCs w:val="24"/>
          <w:shd w:val="clear" w:color="auto" w:fill="FFFFFF"/>
        </w:rPr>
        <w:t xml:space="preserve">) </w:t>
      </w:r>
      <w:r w:rsidR="00806FAE" w:rsidRPr="000C178D">
        <w:rPr>
          <w:rFonts w:ascii="Book Antiqua" w:eastAsia="Times New Roman" w:hAnsi="Book Antiqua" w:cs="Times New Roman"/>
          <w:color w:val="0E101A"/>
          <w:sz w:val="24"/>
          <w:szCs w:val="24"/>
        </w:rPr>
        <w:t>and anti-thyroid peroxidase (anti-TPO) antibodies</w:t>
      </w:r>
      <w:r w:rsidR="000832FE" w:rsidRPr="000C178D">
        <w:rPr>
          <w:rFonts w:ascii="Book Antiqua" w:eastAsia="Times New Roman" w:hAnsi="Book Antiqua" w:cs="Times New Roman"/>
          <w:color w:val="0E101A"/>
          <w:sz w:val="24"/>
          <w:szCs w:val="24"/>
        </w:rPr>
        <w:t xml:space="preserve"> at 0</w:t>
      </w:r>
      <w:r w:rsidR="00990A21" w:rsidRPr="000C178D">
        <w:rPr>
          <w:rFonts w:ascii="Book Antiqua" w:eastAsia="Times New Roman" w:hAnsi="Book Antiqua" w:cs="Times New Roman"/>
          <w:color w:val="0E101A"/>
          <w:sz w:val="24"/>
          <w:szCs w:val="24"/>
        </w:rPr>
        <w:t>.</w:t>
      </w:r>
      <w:r w:rsidR="000832FE" w:rsidRPr="000C178D">
        <w:rPr>
          <w:rFonts w:ascii="Book Antiqua" w:eastAsia="Times New Roman" w:hAnsi="Book Antiqua" w:cs="Times New Roman"/>
          <w:color w:val="0E101A"/>
          <w:sz w:val="24"/>
          <w:szCs w:val="24"/>
        </w:rPr>
        <w:t xml:space="preserve">6 </w:t>
      </w:r>
      <w:proofErr w:type="spellStart"/>
      <w:r w:rsidR="000832FE" w:rsidRPr="000C178D">
        <w:rPr>
          <w:rFonts w:ascii="Book Antiqua" w:eastAsia="Times New Roman" w:hAnsi="Book Antiqua" w:cs="Times New Roman"/>
          <w:color w:val="0E101A"/>
          <w:sz w:val="24"/>
          <w:szCs w:val="24"/>
        </w:rPr>
        <w:t>kU</w:t>
      </w:r>
      <w:proofErr w:type="spellEnd"/>
      <w:r w:rsidR="000832FE" w:rsidRPr="000C178D">
        <w:rPr>
          <w:rFonts w:ascii="Book Antiqua" w:eastAsia="Times New Roman" w:hAnsi="Book Antiqua" w:cs="Times New Roman"/>
          <w:color w:val="0E101A"/>
          <w:sz w:val="24"/>
          <w:szCs w:val="24"/>
        </w:rPr>
        <w:t>/L (normal range &lt; 5</w:t>
      </w:r>
      <w:r w:rsidR="00990A21" w:rsidRPr="000C178D">
        <w:rPr>
          <w:rFonts w:ascii="Book Antiqua" w:eastAsia="Times New Roman" w:hAnsi="Book Antiqua" w:cs="Times New Roman"/>
          <w:color w:val="0E101A"/>
          <w:sz w:val="24"/>
          <w:szCs w:val="24"/>
        </w:rPr>
        <w:t>.</w:t>
      </w:r>
      <w:r w:rsidR="000832FE" w:rsidRPr="000C178D">
        <w:rPr>
          <w:rFonts w:ascii="Book Antiqua" w:eastAsia="Times New Roman" w:hAnsi="Book Antiqua" w:cs="Times New Roman"/>
          <w:color w:val="0E101A"/>
          <w:sz w:val="24"/>
          <w:szCs w:val="24"/>
        </w:rPr>
        <w:t>61)</w:t>
      </w:r>
      <w:r w:rsidR="00806FAE" w:rsidRPr="000C178D">
        <w:rPr>
          <w:rFonts w:ascii="Book Antiqua" w:eastAsia="Times New Roman" w:hAnsi="Book Antiqua" w:cs="Times New Roman"/>
          <w:color w:val="0E101A"/>
          <w:sz w:val="24"/>
          <w:szCs w:val="24"/>
        </w:rPr>
        <w:t xml:space="preserve">, </w:t>
      </w:r>
      <w:r w:rsidR="001F6DF4" w:rsidRPr="000C178D">
        <w:rPr>
          <w:rFonts w:ascii="Book Antiqua" w:eastAsia="Times New Roman" w:hAnsi="Book Antiqua" w:cs="Times New Roman"/>
          <w:color w:val="0E101A"/>
          <w:sz w:val="24"/>
          <w:szCs w:val="24"/>
        </w:rPr>
        <w:t>also</w:t>
      </w:r>
      <w:r w:rsidR="00B47351" w:rsidRPr="000C178D">
        <w:rPr>
          <w:rFonts w:ascii="Book Antiqua" w:eastAsia="Times New Roman" w:hAnsi="Book Antiqua" w:cs="Times New Roman"/>
          <w:color w:val="0E101A"/>
          <w:sz w:val="24"/>
          <w:szCs w:val="24"/>
        </w:rPr>
        <w:t xml:space="preserve"> negative</w:t>
      </w:r>
      <w:r w:rsidR="00704576" w:rsidRPr="000C178D">
        <w:rPr>
          <w:rFonts w:ascii="Book Antiqua" w:eastAsia="Times New Roman" w:hAnsi="Book Antiqua" w:cs="Times New Roman"/>
          <w:color w:val="0E101A"/>
          <w:sz w:val="24"/>
          <w:szCs w:val="24"/>
        </w:rPr>
        <w:t xml:space="preserve"> thyrotropin receptor </w:t>
      </w:r>
      <w:r w:rsidR="00806FAE" w:rsidRPr="000C178D">
        <w:rPr>
          <w:rFonts w:ascii="Book Antiqua" w:eastAsia="Times New Roman" w:hAnsi="Book Antiqua" w:cs="Times New Roman"/>
          <w:color w:val="0E101A"/>
          <w:sz w:val="24"/>
          <w:szCs w:val="24"/>
        </w:rPr>
        <w:t>antibodies (</w:t>
      </w:r>
      <w:proofErr w:type="spellStart"/>
      <w:r w:rsidR="00806FAE" w:rsidRPr="000C178D">
        <w:rPr>
          <w:rFonts w:ascii="Book Antiqua" w:eastAsia="Times New Roman" w:hAnsi="Book Antiqua"/>
          <w:color w:val="0E101A"/>
          <w:sz w:val="24"/>
          <w:szCs w:val="24"/>
        </w:rPr>
        <w:t>TRAb</w:t>
      </w:r>
      <w:proofErr w:type="spellEnd"/>
      <w:r w:rsidR="00806FAE" w:rsidRPr="000C178D">
        <w:rPr>
          <w:rFonts w:ascii="Book Antiqua" w:eastAsia="Times New Roman" w:hAnsi="Book Antiqua" w:cs="Times New Roman"/>
          <w:color w:val="0E101A"/>
          <w:sz w:val="24"/>
          <w:szCs w:val="24"/>
        </w:rPr>
        <w:t>)</w:t>
      </w:r>
      <w:r w:rsidR="000832FE" w:rsidRPr="000C178D">
        <w:rPr>
          <w:rFonts w:ascii="Book Antiqua" w:eastAsia="Times New Roman" w:hAnsi="Book Antiqua" w:cs="Times New Roman"/>
          <w:color w:val="0E101A"/>
          <w:sz w:val="24"/>
          <w:szCs w:val="24"/>
        </w:rPr>
        <w:t xml:space="preserve"> at 5</w:t>
      </w:r>
      <w:r w:rsidR="00E52D41" w:rsidRPr="000C178D">
        <w:rPr>
          <w:rFonts w:ascii="Book Antiqua" w:eastAsia="Times New Roman" w:hAnsi="Book Antiqua" w:cs="Times New Roman"/>
          <w:color w:val="0E101A"/>
          <w:sz w:val="24"/>
          <w:szCs w:val="24"/>
        </w:rPr>
        <w:t>.</w:t>
      </w:r>
      <w:r w:rsidR="000832FE" w:rsidRPr="000C178D">
        <w:rPr>
          <w:rFonts w:ascii="Book Antiqua" w:eastAsia="Times New Roman" w:hAnsi="Book Antiqua" w:cs="Times New Roman"/>
          <w:color w:val="0E101A"/>
          <w:sz w:val="24"/>
          <w:szCs w:val="24"/>
        </w:rPr>
        <w:t xml:space="preserve">1 U/L (negative </w:t>
      </w:r>
      <w:r w:rsidR="00704576" w:rsidRPr="000C178D">
        <w:rPr>
          <w:rFonts w:ascii="Book Antiqua" w:eastAsia="Times New Roman" w:hAnsi="Book Antiqua" w:cs="Times New Roman"/>
          <w:color w:val="0E101A"/>
          <w:sz w:val="24"/>
          <w:szCs w:val="24"/>
        </w:rPr>
        <w:t>w</w:t>
      </w:r>
      <w:r w:rsidR="000832FE" w:rsidRPr="000C178D">
        <w:rPr>
          <w:rFonts w:ascii="Book Antiqua" w:eastAsia="Times New Roman" w:hAnsi="Book Antiqua" w:cs="Times New Roman"/>
          <w:color w:val="0E101A"/>
          <w:sz w:val="24"/>
          <w:szCs w:val="24"/>
        </w:rPr>
        <w:t>hen &lt; 9)</w:t>
      </w:r>
      <w:r w:rsidR="00B47351" w:rsidRPr="000C178D">
        <w:rPr>
          <w:rFonts w:ascii="Book Antiqua" w:eastAsia="Times New Roman" w:hAnsi="Book Antiqua" w:cs="Times New Roman"/>
          <w:color w:val="0E101A"/>
          <w:sz w:val="24"/>
          <w:szCs w:val="24"/>
        </w:rPr>
        <w:t>. The patient then received twelve courses of weekly intravenous methylprednisolone (in total 4.5 g of methylprednisolone). Although the periorbital swelling decreased, diplopia, photophobia</w:t>
      </w:r>
      <w:r w:rsidR="002216C4" w:rsidRPr="000C178D">
        <w:rPr>
          <w:rFonts w:ascii="Book Antiqua" w:eastAsia="Times New Roman" w:hAnsi="Book Antiqua" w:cs="Times New Roman"/>
          <w:color w:val="0E101A"/>
          <w:sz w:val="24"/>
          <w:szCs w:val="24"/>
        </w:rPr>
        <w:t>,</w:t>
      </w:r>
      <w:r w:rsidR="00B47351" w:rsidRPr="000C178D">
        <w:rPr>
          <w:rFonts w:ascii="Book Antiqua" w:eastAsia="Times New Roman" w:hAnsi="Book Antiqua" w:cs="Times New Roman"/>
          <w:color w:val="0E101A"/>
          <w:sz w:val="24"/>
          <w:szCs w:val="24"/>
        </w:rPr>
        <w:t xml:space="preserve"> and tearing remained. The patient then received a course of orbital radiotherapy for steroid-refractory endocrine ophthalmopathy. However, this treatment was also not sufficient enough.</w:t>
      </w:r>
      <w:r w:rsidR="00CB7F1C" w:rsidRPr="000C178D">
        <w:rPr>
          <w:rFonts w:ascii="Book Antiqua" w:eastAsia="Times New Roman" w:hAnsi="Book Antiqua" w:cs="Times New Roman"/>
          <w:color w:val="0E101A"/>
          <w:sz w:val="24"/>
          <w:szCs w:val="24"/>
        </w:rPr>
        <w:t xml:space="preserve"> </w:t>
      </w:r>
      <w:r w:rsidR="00D44578" w:rsidRPr="000C178D">
        <w:rPr>
          <w:rFonts w:ascii="Book Antiqua" w:eastAsia="Times New Roman" w:hAnsi="Book Antiqua" w:cs="Times New Roman"/>
          <w:color w:val="0E101A"/>
          <w:sz w:val="24"/>
          <w:szCs w:val="24"/>
        </w:rPr>
        <w:t xml:space="preserve">The patient was referred to otolaryngologist regarding the indications for the left orbital decompression due to aggressive exophthalmos. The surgical treatment was not indicated, though. </w:t>
      </w:r>
      <w:r w:rsidR="00CB7F1C" w:rsidRPr="000C178D">
        <w:rPr>
          <w:rFonts w:ascii="Book Antiqua" w:eastAsia="Times New Roman" w:hAnsi="Book Antiqua" w:cs="Times New Roman"/>
          <w:color w:val="0E101A"/>
          <w:sz w:val="24"/>
          <w:szCs w:val="24"/>
        </w:rPr>
        <w:t>The endocrinologists then doubted the diagnosis of Graves</w:t>
      </w:r>
      <w:r w:rsidR="00F80C8F" w:rsidRPr="000C178D">
        <w:rPr>
          <w:rFonts w:ascii="Book Antiqua" w:eastAsia="Times New Roman" w:hAnsi="Book Antiqua" w:cs="Times New Roman"/>
          <w:color w:val="0E101A"/>
          <w:sz w:val="24"/>
          <w:szCs w:val="24"/>
        </w:rPr>
        <w:t>'</w:t>
      </w:r>
      <w:r w:rsidR="00CB7F1C" w:rsidRPr="000C178D">
        <w:rPr>
          <w:rFonts w:ascii="Book Antiqua" w:eastAsia="Times New Roman" w:hAnsi="Book Antiqua" w:cs="Times New Roman"/>
          <w:color w:val="0E101A"/>
          <w:sz w:val="24"/>
          <w:szCs w:val="24"/>
        </w:rPr>
        <w:t xml:space="preserve"> disease and thought of idiopathic orbital inflammation, which can be treated with </w:t>
      </w:r>
      <w:r w:rsidR="00D44578" w:rsidRPr="000C178D">
        <w:rPr>
          <w:rFonts w:ascii="Book Antiqua" w:eastAsia="Times New Roman" w:hAnsi="Book Antiqua" w:cs="Times New Roman"/>
          <w:color w:val="0E101A"/>
          <w:sz w:val="24"/>
          <w:szCs w:val="24"/>
        </w:rPr>
        <w:t>retrobulbar</w:t>
      </w:r>
      <w:r w:rsidR="00CB7F1C" w:rsidRPr="000C178D">
        <w:rPr>
          <w:rFonts w:ascii="Book Antiqua" w:eastAsia="Times New Roman" w:hAnsi="Book Antiqua" w:cs="Times New Roman"/>
          <w:color w:val="0E101A"/>
          <w:sz w:val="24"/>
          <w:szCs w:val="24"/>
        </w:rPr>
        <w:t xml:space="preserve"> steroid injections.</w:t>
      </w:r>
      <w:r w:rsidR="00B47351" w:rsidRPr="000C178D">
        <w:rPr>
          <w:rFonts w:ascii="Book Antiqua" w:eastAsia="Times New Roman" w:hAnsi="Book Antiqua" w:cs="Times New Roman"/>
          <w:color w:val="0E101A"/>
          <w:sz w:val="24"/>
          <w:szCs w:val="24"/>
        </w:rPr>
        <w:t xml:space="preserve"> </w:t>
      </w:r>
      <w:r w:rsidR="00CB7F1C" w:rsidRPr="000C178D">
        <w:rPr>
          <w:rFonts w:ascii="Book Antiqua" w:eastAsia="Times New Roman" w:hAnsi="Book Antiqua" w:cs="Times New Roman"/>
          <w:color w:val="0E101A"/>
          <w:sz w:val="24"/>
          <w:szCs w:val="24"/>
        </w:rPr>
        <w:t xml:space="preserve">However, the </w:t>
      </w:r>
      <w:r w:rsidR="00D44578" w:rsidRPr="000C178D">
        <w:rPr>
          <w:rFonts w:ascii="Book Antiqua" w:eastAsia="Times New Roman" w:hAnsi="Book Antiqua" w:cs="Times New Roman"/>
          <w:color w:val="0E101A"/>
          <w:sz w:val="24"/>
          <w:szCs w:val="24"/>
        </w:rPr>
        <w:t xml:space="preserve">patient refused this treatment after several injections and was out of reach for a </w:t>
      </w:r>
      <w:bookmarkStart w:id="2" w:name="_Hlk45181709"/>
      <w:r w:rsidR="00D44578" w:rsidRPr="000C178D">
        <w:rPr>
          <w:rFonts w:ascii="Book Antiqua" w:eastAsia="Times New Roman" w:hAnsi="Book Antiqua" w:cs="Times New Roman"/>
          <w:color w:val="0E101A"/>
          <w:sz w:val="24"/>
          <w:szCs w:val="24"/>
        </w:rPr>
        <w:t>year.</w:t>
      </w:r>
    </w:p>
    <w:bookmarkEnd w:id="2"/>
    <w:p w14:paraId="48D6A075" w14:textId="2FB22FB9" w:rsidR="008679E3" w:rsidRPr="000C178D" w:rsidRDefault="008679E3" w:rsidP="000C178D">
      <w:pPr>
        <w:snapToGrid w:val="0"/>
        <w:spacing w:after="0" w:line="360" w:lineRule="auto"/>
        <w:ind w:firstLineChars="100" w:firstLine="240"/>
        <w:jc w:val="both"/>
        <w:rPr>
          <w:rFonts w:ascii="Book Antiqua" w:eastAsia="Times New Roman" w:hAnsi="Book Antiqua" w:cs="Times New Roman"/>
          <w:sz w:val="24"/>
          <w:szCs w:val="24"/>
          <w:lang w:val="lt-LT"/>
        </w:rPr>
      </w:pPr>
      <w:r w:rsidRPr="000C178D">
        <w:rPr>
          <w:rFonts w:ascii="Book Antiqua" w:eastAsia="Times New Roman" w:hAnsi="Book Antiqua" w:cs="Times New Roman"/>
          <w:sz w:val="24"/>
          <w:szCs w:val="24"/>
          <w:lang w:val="lt-LT"/>
        </w:rPr>
        <w:t xml:space="preserve">Two years later, the patient started complaining of abdominal pain, diarrhoea, severe weight loss (lost 20 kg per half-year), fatigue and urinary problems. Internal medicine doctor </w:t>
      </w:r>
      <w:r w:rsidRPr="000C178D">
        <w:rPr>
          <w:rFonts w:ascii="Book Antiqua" w:eastAsia="Times New Roman" w:hAnsi="Book Antiqua" w:cs="Times New Roman"/>
          <w:color w:val="000000" w:themeColor="text1"/>
          <w:sz w:val="24"/>
          <w:szCs w:val="24"/>
          <w:lang w:val="lt-LT"/>
        </w:rPr>
        <w:t xml:space="preserve">referred him to the </w:t>
      </w:r>
      <w:r w:rsidRPr="000C178D">
        <w:rPr>
          <w:rFonts w:ascii="Book Antiqua" w:eastAsia="Times New Roman" w:hAnsi="Book Antiqua" w:cs="Times New Roman"/>
          <w:sz w:val="24"/>
          <w:szCs w:val="24"/>
          <w:lang w:val="lt-LT"/>
        </w:rPr>
        <w:t>gastroenterologist.</w:t>
      </w:r>
      <w:r w:rsidRPr="000C178D">
        <w:rPr>
          <w:rFonts w:ascii="Book Antiqua" w:eastAsia="Times New Roman" w:hAnsi="Book Antiqua" w:cs="Times New Roman"/>
          <w:color w:val="000000" w:themeColor="text1"/>
          <w:sz w:val="24"/>
          <w:szCs w:val="24"/>
          <w:lang w:val="lt-LT"/>
        </w:rPr>
        <w:t xml:space="preserve"> </w:t>
      </w:r>
      <w:r w:rsidRPr="000C178D">
        <w:rPr>
          <w:rFonts w:ascii="Book Antiqua" w:eastAsia="Times New Roman" w:hAnsi="Book Antiqua" w:cs="Times New Roman"/>
          <w:sz w:val="24"/>
          <w:szCs w:val="24"/>
          <w:lang w:val="lt-LT"/>
        </w:rPr>
        <w:t>Ultrasound of the abdomen showed hepatosteatosis, gastroscopy – erosive gastropathy, duodenal biopsy specimens revealed no signs of</w:t>
      </w:r>
      <w:r w:rsidRPr="000C178D">
        <w:rPr>
          <w:rFonts w:ascii="Book Antiqua" w:eastAsia="Times New Roman" w:hAnsi="Book Antiqua" w:cs="Times New Roman"/>
          <w:color w:val="FF0000"/>
          <w:sz w:val="24"/>
          <w:szCs w:val="24"/>
          <w:lang w:val="lt-LT"/>
        </w:rPr>
        <w:t xml:space="preserve"> </w:t>
      </w:r>
      <w:r w:rsidRPr="000C178D">
        <w:rPr>
          <w:rFonts w:ascii="Book Antiqua" w:eastAsia="Times New Roman" w:hAnsi="Book Antiqua" w:cs="Times New Roman"/>
          <w:sz w:val="24"/>
          <w:szCs w:val="24"/>
          <w:lang w:val="lt-LT"/>
        </w:rPr>
        <w:t>the celiac disease</w:t>
      </w:r>
      <w:r w:rsidRPr="000C178D">
        <w:rPr>
          <w:rFonts w:ascii="Book Antiqua" w:eastAsia="Times New Roman" w:hAnsi="Book Antiqua" w:cs="Times New Roman"/>
          <w:color w:val="0E101A"/>
          <w:sz w:val="24"/>
          <w:szCs w:val="24"/>
        </w:rPr>
        <w:t xml:space="preserve"> </w:t>
      </w:r>
      <w:r w:rsidRPr="000C178D">
        <w:rPr>
          <w:rFonts w:ascii="Book Antiqua" w:eastAsia="Times New Roman" w:hAnsi="Book Antiqua" w:cs="Times New Roman"/>
          <w:sz w:val="24"/>
          <w:szCs w:val="24"/>
          <w:lang w:val="lt-LT"/>
        </w:rPr>
        <w:t>and colonoscopy indicated tubular adenoma. The patient had a urologist</w:t>
      </w:r>
      <w:r w:rsidR="00F80C8F" w:rsidRPr="000C178D">
        <w:rPr>
          <w:rFonts w:ascii="Book Antiqua" w:eastAsia="Times New Roman" w:hAnsi="Book Antiqua" w:cs="Times New Roman"/>
          <w:sz w:val="24"/>
          <w:szCs w:val="24"/>
          <w:lang w:val="lt-LT"/>
        </w:rPr>
        <w:t>'</w:t>
      </w:r>
      <w:r w:rsidRPr="000C178D">
        <w:rPr>
          <w:rFonts w:ascii="Book Antiqua" w:eastAsia="Times New Roman" w:hAnsi="Book Antiqua" w:cs="Times New Roman"/>
          <w:sz w:val="24"/>
          <w:szCs w:val="24"/>
          <w:lang w:val="lt-LT"/>
        </w:rPr>
        <w:t xml:space="preserve">s consultation due to urinary </w:t>
      </w:r>
      <w:r w:rsidR="0053554B" w:rsidRPr="000C178D">
        <w:rPr>
          <w:rFonts w:ascii="Book Antiqua" w:eastAsia="Times New Roman" w:hAnsi="Book Antiqua" w:cs="Times New Roman"/>
          <w:sz w:val="24"/>
          <w:szCs w:val="24"/>
          <w:lang w:val="lt-LT"/>
        </w:rPr>
        <w:t>hesitancy</w:t>
      </w:r>
      <w:r w:rsidRPr="000C178D">
        <w:rPr>
          <w:rFonts w:ascii="Book Antiqua" w:eastAsia="Times New Roman" w:hAnsi="Book Antiqua" w:cs="Times New Roman"/>
          <w:sz w:val="24"/>
          <w:szCs w:val="24"/>
          <w:lang w:val="lt-LT"/>
        </w:rPr>
        <w:t xml:space="preserve"> which w</w:t>
      </w:r>
      <w:r w:rsidR="0053554B" w:rsidRPr="000C178D">
        <w:rPr>
          <w:rFonts w:ascii="Book Antiqua" w:eastAsia="Times New Roman" w:hAnsi="Book Antiqua" w:cs="Times New Roman"/>
          <w:sz w:val="24"/>
          <w:szCs w:val="24"/>
          <w:lang w:val="lt-LT"/>
        </w:rPr>
        <w:t>as</w:t>
      </w:r>
      <w:r w:rsidRPr="000C178D">
        <w:rPr>
          <w:rFonts w:ascii="Book Antiqua" w:eastAsia="Times New Roman" w:hAnsi="Book Antiqua" w:cs="Times New Roman"/>
          <w:sz w:val="24"/>
          <w:szCs w:val="24"/>
          <w:lang w:val="lt-LT"/>
        </w:rPr>
        <w:t xml:space="preserve"> </w:t>
      </w:r>
      <w:r w:rsidR="0053554B" w:rsidRPr="000C178D">
        <w:rPr>
          <w:rFonts w:ascii="Book Antiqua" w:eastAsia="Times New Roman" w:hAnsi="Book Antiqua" w:cs="Times New Roman"/>
          <w:sz w:val="24"/>
          <w:szCs w:val="24"/>
          <w:lang w:val="lt-LT"/>
        </w:rPr>
        <w:t>attributed</w:t>
      </w:r>
      <w:r w:rsidRPr="000C178D">
        <w:rPr>
          <w:rFonts w:ascii="Book Antiqua" w:eastAsia="Times New Roman" w:hAnsi="Book Antiqua" w:cs="Times New Roman"/>
          <w:sz w:val="24"/>
          <w:szCs w:val="24"/>
          <w:lang w:val="lt-LT"/>
        </w:rPr>
        <w:t xml:space="preserve"> to benign prostatic hyperplasia. </w:t>
      </w:r>
      <w:r w:rsidRPr="000C178D">
        <w:rPr>
          <w:rFonts w:ascii="Book Antiqua" w:hAnsi="Book Antiqua" w:cs="Times New Roman"/>
          <w:sz w:val="24"/>
          <w:szCs w:val="24"/>
          <w:lang w:val="lt-LT"/>
        </w:rPr>
        <w:t>At this period, the patient was also diagnosed with diabetes, which was managed with a strict diet and metformin.</w:t>
      </w:r>
      <w:r w:rsidRPr="000C178D">
        <w:rPr>
          <w:rFonts w:ascii="Book Antiqua" w:hAnsi="Book Antiqua"/>
          <w:sz w:val="24"/>
          <w:szCs w:val="24"/>
          <w:lang w:val="lt-LT"/>
        </w:rPr>
        <w:t xml:space="preserve"> </w:t>
      </w:r>
    </w:p>
    <w:p w14:paraId="41571018" w14:textId="4E2AF596" w:rsidR="00385DBD" w:rsidRPr="000C178D" w:rsidRDefault="00385DBD" w:rsidP="000C178D">
      <w:pPr>
        <w:snapToGrid w:val="0"/>
        <w:spacing w:after="0" w:line="360" w:lineRule="auto"/>
        <w:ind w:firstLine="284"/>
        <w:jc w:val="both"/>
        <w:rPr>
          <w:rFonts w:ascii="Book Antiqua" w:eastAsia="Times New Roman" w:hAnsi="Book Antiqua" w:cs="Times New Roman"/>
          <w:sz w:val="24"/>
          <w:szCs w:val="24"/>
          <w:lang w:val="lt-LT"/>
        </w:rPr>
      </w:pPr>
      <w:r w:rsidRPr="000C178D">
        <w:rPr>
          <w:rFonts w:ascii="Book Antiqua" w:eastAsia="Times New Roman" w:hAnsi="Book Antiqua" w:cs="Times New Roman"/>
          <w:sz w:val="24"/>
          <w:szCs w:val="24"/>
          <w:lang w:val="lt-LT"/>
        </w:rPr>
        <w:t>As the patient developed vitiligo, muscular pain, sicca symptoms and severe fatigue, he was sent to the rheumatologist, and multiple blood tests were performed. Positive IgG, A, M antibodies against β-2 glycoprotein-1 and cardiolipin, positive antinuclear antibodies (ANA)</w:t>
      </w:r>
      <w:r w:rsidRPr="000C178D">
        <w:rPr>
          <w:rFonts w:ascii="Book Antiqua" w:hAnsi="Book Antiqua"/>
          <w:color w:val="000000"/>
          <w:sz w:val="24"/>
          <w:szCs w:val="24"/>
          <w:shd w:val="clear" w:color="auto" w:fill="FFFFFF"/>
        </w:rPr>
        <w:t xml:space="preserve">, </w:t>
      </w:r>
      <w:r w:rsidRPr="000C178D">
        <w:rPr>
          <w:rFonts w:ascii="Book Antiqua" w:eastAsia="Times New Roman" w:hAnsi="Book Antiqua" w:cs="Times New Roman"/>
          <w:sz w:val="24"/>
          <w:szCs w:val="24"/>
          <w:lang w:val="lt-LT"/>
        </w:rPr>
        <w:t xml:space="preserve">negative anti-neutrophil antibodies (ANCA) and negative extractable nuclear antigens (ENA) (including </w:t>
      </w:r>
      <w:r w:rsidR="00226315" w:rsidRPr="000C178D">
        <w:rPr>
          <w:rFonts w:ascii="Book Antiqua" w:eastAsia="Times New Roman" w:hAnsi="Book Antiqua" w:cs="Times New Roman"/>
          <w:sz w:val="24"/>
          <w:szCs w:val="24"/>
          <w:lang w:val="lt-LT"/>
        </w:rPr>
        <w:t>anti-</w:t>
      </w:r>
      <w:r w:rsidRPr="000C178D">
        <w:rPr>
          <w:rFonts w:ascii="Book Antiqua" w:eastAsia="Times New Roman" w:hAnsi="Book Antiqua" w:cs="Times New Roman"/>
          <w:sz w:val="24"/>
          <w:szCs w:val="24"/>
          <w:lang w:val="lt-LT"/>
        </w:rPr>
        <w:t xml:space="preserve">SSA, </w:t>
      </w:r>
      <w:r w:rsidR="00226315" w:rsidRPr="000C178D">
        <w:rPr>
          <w:rFonts w:ascii="Book Antiqua" w:eastAsia="Times New Roman" w:hAnsi="Book Antiqua" w:cs="Times New Roman"/>
          <w:sz w:val="24"/>
          <w:szCs w:val="24"/>
          <w:lang w:val="lt-LT"/>
        </w:rPr>
        <w:t>anti-</w:t>
      </w:r>
      <w:r w:rsidRPr="000C178D">
        <w:rPr>
          <w:rFonts w:ascii="Book Antiqua" w:eastAsia="Times New Roman" w:hAnsi="Book Antiqua" w:cs="Times New Roman"/>
          <w:sz w:val="24"/>
          <w:szCs w:val="24"/>
          <w:lang w:val="lt-LT"/>
        </w:rPr>
        <w:t xml:space="preserve">SSB) were detected. Rheumatoid factor, complement C4 and C3c were within </w:t>
      </w:r>
      <w:r w:rsidR="0086467A" w:rsidRPr="000C178D">
        <w:rPr>
          <w:rFonts w:ascii="Book Antiqua" w:eastAsia="Times New Roman" w:hAnsi="Book Antiqua" w:cs="Times New Roman"/>
          <w:sz w:val="24"/>
          <w:szCs w:val="24"/>
          <w:lang w:val="lt-LT"/>
        </w:rPr>
        <w:t xml:space="preserve">a </w:t>
      </w:r>
      <w:r w:rsidRPr="000C178D">
        <w:rPr>
          <w:rFonts w:ascii="Book Antiqua" w:eastAsia="Times New Roman" w:hAnsi="Book Antiqua" w:cs="Times New Roman"/>
          <w:sz w:val="24"/>
          <w:szCs w:val="24"/>
          <w:lang w:val="lt-LT"/>
        </w:rPr>
        <w:t>normal range (</w:t>
      </w:r>
      <w:r w:rsidR="000C2BE6" w:rsidRPr="000C178D">
        <w:fldChar w:fldCharType="begin"/>
      </w:r>
      <w:r w:rsidR="000C2BE6" w:rsidRPr="000C178D">
        <w:rPr>
          <w:rFonts w:ascii="Book Antiqua" w:hAnsi="Book Antiqua"/>
          <w:sz w:val="24"/>
          <w:szCs w:val="24"/>
        </w:rPr>
        <w:instrText xml:space="preserve"> HYPERLINK \l "Table1" </w:instrText>
      </w:r>
      <w:r w:rsidR="000C2BE6" w:rsidRPr="000C178D">
        <w:fldChar w:fldCharType="separate"/>
      </w:r>
      <w:r w:rsidRPr="000C178D">
        <w:rPr>
          <w:rStyle w:val="a4"/>
          <w:rFonts w:ascii="Book Antiqua" w:eastAsia="Times New Roman" w:hAnsi="Book Antiqua" w:cs="Times New Roman"/>
          <w:color w:val="auto"/>
          <w:sz w:val="24"/>
          <w:szCs w:val="24"/>
          <w:u w:val="none"/>
          <w:lang w:val="lt-LT"/>
        </w:rPr>
        <w:t>Table 1</w:t>
      </w:r>
      <w:r w:rsidR="000C2BE6" w:rsidRPr="000C178D">
        <w:rPr>
          <w:rStyle w:val="a4"/>
          <w:rFonts w:ascii="Book Antiqua" w:eastAsia="Times New Roman" w:hAnsi="Book Antiqua" w:cs="Times New Roman"/>
          <w:color w:val="auto"/>
          <w:sz w:val="24"/>
          <w:szCs w:val="24"/>
          <w:u w:val="none"/>
          <w:lang w:val="lt-LT"/>
        </w:rPr>
        <w:fldChar w:fldCharType="end"/>
      </w:r>
      <w:r w:rsidRPr="000C178D">
        <w:rPr>
          <w:rFonts w:ascii="Book Antiqua" w:eastAsia="Times New Roman" w:hAnsi="Book Antiqua" w:cs="Times New Roman"/>
          <w:sz w:val="24"/>
          <w:szCs w:val="24"/>
          <w:lang w:val="lt-LT"/>
        </w:rPr>
        <w:t xml:space="preserve">). These findings did not </w:t>
      </w:r>
      <w:r w:rsidRPr="000C178D">
        <w:rPr>
          <w:rFonts w:ascii="Book Antiqua" w:eastAsia="Times New Roman" w:hAnsi="Book Antiqua" w:cs="Times New Roman"/>
          <w:sz w:val="24"/>
          <w:szCs w:val="24"/>
          <w:lang w:val="lt-LT"/>
        </w:rPr>
        <w:lastRenderedPageBreak/>
        <w:t>confirm any systemic rheumatological disease. However, elevated liver enzymes were noticed, and the patient was referred to the Centre of Hepatology, Gastroenterology and Dietetics for the liver biopsy.</w:t>
      </w:r>
    </w:p>
    <w:p w14:paraId="78B6954B" w14:textId="77777777" w:rsidR="00DE584F" w:rsidRPr="000C178D" w:rsidRDefault="00DE584F" w:rsidP="000C178D">
      <w:pPr>
        <w:snapToGrid w:val="0"/>
        <w:spacing w:after="0" w:line="360" w:lineRule="auto"/>
        <w:rPr>
          <w:rFonts w:ascii="Book Antiqua" w:hAnsi="Book Antiqua" w:cs="Times New Roman"/>
          <w:b/>
          <w:bCs/>
          <w:i/>
          <w:iCs/>
          <w:sz w:val="24"/>
          <w:szCs w:val="24"/>
        </w:rPr>
      </w:pPr>
    </w:p>
    <w:p w14:paraId="402C29CA" w14:textId="77777777" w:rsidR="002919E8" w:rsidRPr="000C178D" w:rsidRDefault="002919E8" w:rsidP="000C178D">
      <w:pPr>
        <w:snapToGrid w:val="0"/>
        <w:spacing w:after="0" w:line="360" w:lineRule="auto"/>
        <w:jc w:val="both"/>
        <w:rPr>
          <w:rFonts w:ascii="Book Antiqua" w:hAnsi="Book Antiqua" w:cs="Times New Roman"/>
          <w:b/>
          <w:bCs/>
          <w:i/>
          <w:iCs/>
          <w:sz w:val="24"/>
          <w:szCs w:val="24"/>
        </w:rPr>
      </w:pPr>
      <w:r w:rsidRPr="000C178D">
        <w:rPr>
          <w:rFonts w:ascii="Book Antiqua" w:hAnsi="Book Antiqua" w:cs="Times New Roman"/>
          <w:b/>
          <w:bCs/>
          <w:i/>
          <w:iCs/>
          <w:sz w:val="24"/>
          <w:szCs w:val="24"/>
        </w:rPr>
        <w:t>Family and personal history</w:t>
      </w:r>
    </w:p>
    <w:p w14:paraId="794C0A96" w14:textId="1413B0DB" w:rsidR="002919E8" w:rsidRPr="000C178D" w:rsidRDefault="002919E8" w:rsidP="000C178D">
      <w:pPr>
        <w:snapToGrid w:val="0"/>
        <w:spacing w:after="0" w:line="360" w:lineRule="auto"/>
        <w:jc w:val="both"/>
        <w:rPr>
          <w:rFonts w:ascii="Book Antiqua" w:hAnsi="Book Antiqua" w:cs="Times New Roman"/>
          <w:bCs/>
          <w:iCs/>
          <w:sz w:val="24"/>
          <w:szCs w:val="24"/>
        </w:rPr>
      </w:pPr>
      <w:r w:rsidRPr="000C178D">
        <w:rPr>
          <w:rFonts w:ascii="Book Antiqua" w:hAnsi="Book Antiqua" w:cs="Times New Roman"/>
          <w:bCs/>
          <w:iCs/>
          <w:sz w:val="24"/>
          <w:szCs w:val="24"/>
        </w:rPr>
        <w:t xml:space="preserve">The patient </w:t>
      </w:r>
      <w:r w:rsidR="004331B5" w:rsidRPr="000C178D">
        <w:rPr>
          <w:rFonts w:ascii="Book Antiqua" w:hAnsi="Book Antiqua" w:cs="Times New Roman"/>
          <w:bCs/>
          <w:iCs/>
          <w:sz w:val="24"/>
          <w:szCs w:val="24"/>
        </w:rPr>
        <w:t xml:space="preserve">had </w:t>
      </w:r>
      <w:r w:rsidRPr="000C178D">
        <w:rPr>
          <w:rFonts w:ascii="Book Antiqua" w:hAnsi="Book Antiqua" w:cs="Times New Roman"/>
          <w:bCs/>
          <w:iCs/>
          <w:sz w:val="24"/>
          <w:szCs w:val="24"/>
        </w:rPr>
        <w:t>had bronchial asthma since childhood</w:t>
      </w:r>
      <w:r w:rsidR="002D2E82" w:rsidRPr="000C178D">
        <w:rPr>
          <w:rFonts w:ascii="Book Antiqua" w:hAnsi="Book Antiqua" w:cs="Times New Roman"/>
          <w:bCs/>
          <w:iCs/>
          <w:sz w:val="24"/>
          <w:szCs w:val="24"/>
        </w:rPr>
        <w:t>, which was currently in remission</w:t>
      </w:r>
      <w:r w:rsidRPr="000C178D">
        <w:rPr>
          <w:rFonts w:ascii="Book Antiqua" w:hAnsi="Book Antiqua" w:cs="Times New Roman"/>
          <w:bCs/>
          <w:iCs/>
          <w:sz w:val="24"/>
          <w:szCs w:val="24"/>
        </w:rPr>
        <w:t>. His mother underwent surgery on her thy</w:t>
      </w:r>
      <w:r w:rsidR="002D2E82" w:rsidRPr="000C178D">
        <w:rPr>
          <w:rFonts w:ascii="Book Antiqua" w:hAnsi="Book Antiqua" w:cs="Times New Roman"/>
          <w:bCs/>
          <w:iCs/>
          <w:sz w:val="24"/>
          <w:szCs w:val="24"/>
        </w:rPr>
        <w:t>ro</w:t>
      </w:r>
      <w:r w:rsidRPr="000C178D">
        <w:rPr>
          <w:rFonts w:ascii="Book Antiqua" w:hAnsi="Book Antiqua" w:cs="Times New Roman"/>
          <w:bCs/>
          <w:iCs/>
          <w:sz w:val="24"/>
          <w:szCs w:val="24"/>
        </w:rPr>
        <w:t xml:space="preserve">id gland in </w:t>
      </w:r>
      <w:r w:rsidR="004331B5" w:rsidRPr="000C178D">
        <w:rPr>
          <w:rFonts w:ascii="Book Antiqua" w:hAnsi="Book Antiqua" w:cs="Times New Roman"/>
          <w:bCs/>
          <w:iCs/>
          <w:sz w:val="24"/>
          <w:szCs w:val="24"/>
        </w:rPr>
        <w:t xml:space="preserve">her </w:t>
      </w:r>
      <w:r w:rsidRPr="000C178D">
        <w:rPr>
          <w:rFonts w:ascii="Book Antiqua" w:hAnsi="Book Antiqua" w:cs="Times New Roman"/>
          <w:bCs/>
          <w:iCs/>
          <w:sz w:val="24"/>
          <w:szCs w:val="24"/>
        </w:rPr>
        <w:t xml:space="preserve">youth, and his sister had second type diabetes. The patient was a non-smoker and denied alcohol consumption. He claimed to have no allergies to food or </w:t>
      </w:r>
      <w:r w:rsidR="001F6DF4" w:rsidRPr="000C178D">
        <w:rPr>
          <w:rFonts w:ascii="Book Antiqua" w:hAnsi="Book Antiqua" w:cs="Times New Roman"/>
          <w:bCs/>
          <w:iCs/>
          <w:sz w:val="24"/>
          <w:szCs w:val="24"/>
        </w:rPr>
        <w:t>medicines</w:t>
      </w:r>
      <w:r w:rsidRPr="000C178D">
        <w:rPr>
          <w:rFonts w:ascii="Book Antiqua" w:hAnsi="Book Antiqua" w:cs="Times New Roman"/>
          <w:bCs/>
          <w:iCs/>
          <w:sz w:val="24"/>
          <w:szCs w:val="24"/>
        </w:rPr>
        <w:t>.</w:t>
      </w:r>
    </w:p>
    <w:p w14:paraId="4F2F2607" w14:textId="77777777" w:rsidR="00181555" w:rsidRPr="000C178D" w:rsidRDefault="00181555" w:rsidP="000C178D">
      <w:pPr>
        <w:snapToGrid w:val="0"/>
        <w:spacing w:after="0" w:line="360" w:lineRule="auto"/>
        <w:jc w:val="both"/>
        <w:rPr>
          <w:rFonts w:ascii="Book Antiqua" w:eastAsia="Times New Roman" w:hAnsi="Book Antiqua" w:cs="Times New Roman"/>
          <w:sz w:val="24"/>
          <w:szCs w:val="24"/>
          <w:lang w:val="lt-LT"/>
        </w:rPr>
      </w:pPr>
    </w:p>
    <w:p w14:paraId="5ED2CB62" w14:textId="77777777" w:rsidR="00181555" w:rsidRPr="000C178D" w:rsidRDefault="00181555" w:rsidP="000C178D">
      <w:pPr>
        <w:snapToGrid w:val="0"/>
        <w:spacing w:after="0" w:line="360" w:lineRule="auto"/>
        <w:jc w:val="both"/>
        <w:rPr>
          <w:rFonts w:ascii="Book Antiqua" w:hAnsi="Book Antiqua" w:cs="Times New Roman"/>
          <w:b/>
          <w:bCs/>
          <w:i/>
          <w:iCs/>
          <w:sz w:val="24"/>
          <w:szCs w:val="24"/>
        </w:rPr>
      </w:pPr>
      <w:r w:rsidRPr="000C178D">
        <w:rPr>
          <w:rFonts w:ascii="Book Antiqua" w:hAnsi="Book Antiqua" w:cs="Times New Roman"/>
          <w:b/>
          <w:bCs/>
          <w:i/>
          <w:iCs/>
          <w:sz w:val="24"/>
          <w:szCs w:val="24"/>
        </w:rPr>
        <w:t xml:space="preserve">History of present illness </w:t>
      </w:r>
    </w:p>
    <w:p w14:paraId="57D15D92" w14:textId="2043430F" w:rsidR="00181555" w:rsidRPr="000C178D" w:rsidRDefault="00181555" w:rsidP="000C178D">
      <w:pPr>
        <w:pStyle w:val="Default"/>
        <w:snapToGrid w:val="0"/>
        <w:spacing w:line="360" w:lineRule="auto"/>
        <w:jc w:val="both"/>
        <w:rPr>
          <w:rFonts w:eastAsia="Times New Roman" w:cs="Times New Roman"/>
          <w:color w:val="0E101A"/>
        </w:rPr>
      </w:pPr>
      <w:r w:rsidRPr="000C178D">
        <w:rPr>
          <w:rFonts w:eastAsia="Times New Roman" w:cs="Times New Roman"/>
          <w:color w:val="0E101A"/>
        </w:rPr>
        <w:t xml:space="preserve">Patient's symptoms started in </w:t>
      </w:r>
      <w:r w:rsidR="004331B5" w:rsidRPr="000C178D">
        <w:rPr>
          <w:rFonts w:eastAsia="Times New Roman" w:cs="Times New Roman"/>
          <w:color w:val="0E101A"/>
        </w:rPr>
        <w:t xml:space="preserve">his </w:t>
      </w:r>
      <w:r w:rsidRPr="000C178D">
        <w:rPr>
          <w:rFonts w:eastAsia="Times New Roman" w:cs="Times New Roman"/>
          <w:color w:val="0E101A"/>
        </w:rPr>
        <w:t xml:space="preserve">youth and </w:t>
      </w:r>
      <w:r w:rsidR="004331B5" w:rsidRPr="000C178D">
        <w:rPr>
          <w:rFonts w:eastAsia="Times New Roman" w:cs="Times New Roman"/>
          <w:color w:val="0E101A"/>
        </w:rPr>
        <w:t>had been</w:t>
      </w:r>
      <w:r w:rsidRPr="000C178D">
        <w:rPr>
          <w:rFonts w:eastAsia="Times New Roman" w:cs="Times New Roman"/>
          <w:color w:val="0E101A"/>
        </w:rPr>
        <w:t xml:space="preserve"> continuously worsening and spreading to different organs throughout the years. The most recent deterioration started about 9 </w:t>
      </w:r>
      <w:proofErr w:type="spellStart"/>
      <w:r w:rsidRPr="000C178D">
        <w:rPr>
          <w:rFonts w:eastAsia="Times New Roman" w:cs="Times New Roman"/>
          <w:color w:val="0E101A"/>
        </w:rPr>
        <w:t>mo</w:t>
      </w:r>
      <w:proofErr w:type="spellEnd"/>
      <w:r w:rsidRPr="000C178D">
        <w:rPr>
          <w:rFonts w:eastAsia="Times New Roman" w:cs="Times New Roman"/>
          <w:color w:val="0E101A"/>
        </w:rPr>
        <w:t xml:space="preserve"> ago when he began losing weight, complaining of </w:t>
      </w:r>
      <w:proofErr w:type="spellStart"/>
      <w:r w:rsidRPr="000C178D">
        <w:rPr>
          <w:rFonts w:eastAsia="Times New Roman" w:cs="Times New Roman"/>
          <w:color w:val="0E101A"/>
        </w:rPr>
        <w:t>diarrhoea</w:t>
      </w:r>
      <w:proofErr w:type="spellEnd"/>
      <w:r w:rsidRPr="000C178D">
        <w:rPr>
          <w:rFonts w:eastAsia="Times New Roman" w:cs="Times New Roman"/>
          <w:color w:val="0E101A"/>
        </w:rPr>
        <w:t xml:space="preserve"> and severe fatigue,</w:t>
      </w:r>
      <w:r w:rsidR="00735906" w:rsidRPr="000C178D">
        <w:rPr>
          <w:rFonts w:eastAsia="Times New Roman" w:cs="Times New Roman"/>
          <w:color w:val="0E101A"/>
        </w:rPr>
        <w:t xml:space="preserve"> sicca symptoms. </w:t>
      </w:r>
      <w:r w:rsidRPr="000C178D">
        <w:rPr>
          <w:rFonts w:eastAsia="Times New Roman" w:cs="Times New Roman"/>
          <w:color w:val="0E101A"/>
        </w:rPr>
        <w:t xml:space="preserve">Several weeks </w:t>
      </w:r>
      <w:r w:rsidRPr="000C178D">
        <w:rPr>
          <w:rFonts w:eastAsia="Times New Roman" w:cs="Times New Roman"/>
          <w:color w:val="000000" w:themeColor="text1"/>
        </w:rPr>
        <w:t>before the hospitali</w:t>
      </w:r>
      <w:r w:rsidR="007A6922" w:rsidRPr="000C178D">
        <w:rPr>
          <w:rFonts w:eastAsia="Times New Roman" w:cs="Times New Roman"/>
          <w:color w:val="000000" w:themeColor="text1"/>
        </w:rPr>
        <w:t>z</w:t>
      </w:r>
      <w:r w:rsidRPr="000C178D">
        <w:rPr>
          <w:rFonts w:eastAsia="Times New Roman" w:cs="Times New Roman"/>
          <w:color w:val="000000" w:themeColor="text1"/>
        </w:rPr>
        <w:t>ation</w:t>
      </w:r>
      <w:r w:rsidR="007A6922" w:rsidRPr="000C178D">
        <w:rPr>
          <w:rFonts w:eastAsia="Times New Roman" w:cs="Times New Roman"/>
          <w:color w:val="000000" w:themeColor="text1"/>
        </w:rPr>
        <w:t>,</w:t>
      </w:r>
      <w:r w:rsidRPr="000C178D">
        <w:rPr>
          <w:rFonts w:eastAsia="Times New Roman" w:cs="Times New Roman"/>
          <w:color w:val="000000" w:themeColor="text1"/>
        </w:rPr>
        <w:t xml:space="preserve"> </w:t>
      </w:r>
      <w:r w:rsidRPr="000C178D">
        <w:rPr>
          <w:rFonts w:eastAsia="Times New Roman" w:cs="Times New Roman"/>
          <w:color w:val="0E101A"/>
        </w:rPr>
        <w:t>he noticed continuously increasing masses on the neck, severe dryness of the mouth, difficulty swallowing and urinating.</w:t>
      </w:r>
    </w:p>
    <w:p w14:paraId="153E6241" w14:textId="77777777" w:rsidR="0082220D" w:rsidRPr="000C178D" w:rsidRDefault="0082220D" w:rsidP="000C178D">
      <w:pPr>
        <w:pStyle w:val="Default"/>
        <w:snapToGrid w:val="0"/>
        <w:spacing w:line="360" w:lineRule="auto"/>
        <w:jc w:val="both"/>
        <w:rPr>
          <w:rFonts w:eastAsia="Times New Roman" w:cs="Times New Roman"/>
          <w:color w:val="0E101A"/>
        </w:rPr>
      </w:pPr>
    </w:p>
    <w:p w14:paraId="128A1B6A" w14:textId="1032F11F" w:rsidR="002D2E82" w:rsidRPr="000C178D" w:rsidRDefault="00385DBD" w:rsidP="000C178D">
      <w:pPr>
        <w:snapToGrid w:val="0"/>
        <w:spacing w:after="0" w:line="360" w:lineRule="auto"/>
        <w:jc w:val="both"/>
        <w:rPr>
          <w:rFonts w:ascii="Book Antiqua" w:hAnsi="Book Antiqua" w:cs="Times New Roman"/>
          <w:b/>
          <w:bCs/>
          <w:i/>
          <w:iCs/>
          <w:sz w:val="24"/>
          <w:szCs w:val="24"/>
        </w:rPr>
      </w:pPr>
      <w:r w:rsidRPr="000C178D">
        <w:rPr>
          <w:rFonts w:ascii="Book Antiqua" w:hAnsi="Book Antiqua" w:cs="Times New Roman"/>
          <w:b/>
          <w:bCs/>
          <w:i/>
          <w:iCs/>
          <w:sz w:val="24"/>
          <w:szCs w:val="24"/>
        </w:rPr>
        <w:t>Physical examination</w:t>
      </w:r>
    </w:p>
    <w:p w14:paraId="574A59E5" w14:textId="05AD1E7E" w:rsidR="00385DBD" w:rsidRPr="000C178D" w:rsidRDefault="00385DBD" w:rsidP="000C178D">
      <w:pPr>
        <w:snapToGrid w:val="0"/>
        <w:spacing w:after="0" w:line="360" w:lineRule="auto"/>
        <w:jc w:val="both"/>
        <w:rPr>
          <w:rFonts w:ascii="Book Antiqua" w:eastAsia="Times New Roman" w:hAnsi="Book Antiqua" w:cs="Times New Roman"/>
          <w:sz w:val="24"/>
          <w:szCs w:val="24"/>
          <w:lang w:val="lt-LT"/>
        </w:rPr>
      </w:pPr>
      <w:r w:rsidRPr="000C178D">
        <w:rPr>
          <w:rFonts w:ascii="Book Antiqua" w:eastAsia="Times New Roman" w:hAnsi="Book Antiqua" w:cs="Times New Roman"/>
          <w:sz w:val="24"/>
          <w:szCs w:val="24"/>
          <w:lang w:val="lt-LT"/>
        </w:rPr>
        <w:t>At presentation, the patient was asthenic (</w:t>
      </w:r>
      <w:r w:rsidR="002919E8" w:rsidRPr="000C178D">
        <w:rPr>
          <w:rFonts w:ascii="Book Antiqua" w:eastAsia="Times New Roman" w:hAnsi="Book Antiqua" w:cs="Times New Roman"/>
          <w:sz w:val="24"/>
          <w:szCs w:val="24"/>
          <w:lang w:val="lt-LT"/>
        </w:rPr>
        <w:t>height</w:t>
      </w:r>
      <w:r w:rsidR="002D2E82" w:rsidRPr="000C178D">
        <w:rPr>
          <w:rFonts w:ascii="Book Antiqua" w:eastAsia="Times New Roman" w:hAnsi="Book Antiqua" w:cs="Times New Roman"/>
          <w:sz w:val="24"/>
          <w:szCs w:val="24"/>
          <w:lang w:val="lt-LT"/>
        </w:rPr>
        <w:t xml:space="preserve"> </w:t>
      </w:r>
      <w:r w:rsidR="002D2E82" w:rsidRPr="000C178D">
        <w:rPr>
          <w:rFonts w:ascii="Book Antiqua" w:eastAsia="Times New Roman" w:hAnsi="Book Antiqua" w:cs="Times New Roman"/>
          <w:sz w:val="24"/>
          <w:szCs w:val="24"/>
        </w:rPr>
        <w:t>188 cm</w:t>
      </w:r>
      <w:r w:rsidR="002919E8" w:rsidRPr="000C178D">
        <w:rPr>
          <w:rFonts w:ascii="Book Antiqua" w:eastAsia="Times New Roman" w:hAnsi="Book Antiqua" w:cs="Times New Roman"/>
          <w:sz w:val="24"/>
          <w:szCs w:val="24"/>
          <w:lang w:val="lt-LT"/>
        </w:rPr>
        <w:t>,</w:t>
      </w:r>
      <w:r w:rsidR="002D2E82" w:rsidRPr="000C178D">
        <w:rPr>
          <w:rFonts w:ascii="Book Antiqua" w:eastAsia="Times New Roman" w:hAnsi="Book Antiqua" w:cs="Times New Roman"/>
          <w:sz w:val="24"/>
          <w:szCs w:val="24"/>
          <w:lang w:val="lt-LT"/>
        </w:rPr>
        <w:t xml:space="preserve"> weight 68.3 kg,</w:t>
      </w:r>
      <w:r w:rsidR="002919E8" w:rsidRPr="000C178D">
        <w:rPr>
          <w:rFonts w:ascii="Book Antiqua" w:eastAsia="Times New Roman" w:hAnsi="Book Antiqua" w:cs="Times New Roman"/>
          <w:sz w:val="24"/>
          <w:szCs w:val="24"/>
          <w:lang w:val="lt-LT"/>
        </w:rPr>
        <w:t xml:space="preserve"> </w:t>
      </w:r>
      <w:r w:rsidRPr="000C178D">
        <w:rPr>
          <w:rFonts w:ascii="Book Antiqua" w:eastAsia="Times New Roman" w:hAnsi="Book Antiqua" w:cs="Times New Roman"/>
          <w:sz w:val="24"/>
          <w:szCs w:val="24"/>
          <w:lang w:val="lt-LT"/>
        </w:rPr>
        <w:t>body mass index 19</w:t>
      </w:r>
      <w:r w:rsidR="002D2E82" w:rsidRPr="000C178D">
        <w:rPr>
          <w:rFonts w:ascii="Book Antiqua" w:eastAsia="Times New Roman" w:hAnsi="Book Antiqua" w:cs="Times New Roman"/>
          <w:sz w:val="24"/>
          <w:szCs w:val="24"/>
          <w:lang w:val="lt-LT"/>
        </w:rPr>
        <w:t>.32</w:t>
      </w:r>
      <w:r w:rsidRPr="000C178D">
        <w:rPr>
          <w:rFonts w:ascii="Book Antiqua" w:eastAsia="Times New Roman" w:hAnsi="Book Antiqua" w:cs="Times New Roman"/>
          <w:sz w:val="24"/>
          <w:szCs w:val="24"/>
          <w:lang w:val="lt-LT"/>
        </w:rPr>
        <w:t xml:space="preserve"> kg/m</w:t>
      </w:r>
      <w:r w:rsidRPr="000C178D">
        <w:rPr>
          <w:rFonts w:ascii="Book Antiqua" w:eastAsia="Times New Roman" w:hAnsi="Book Antiqua" w:cs="Times New Roman"/>
          <w:sz w:val="24"/>
          <w:szCs w:val="24"/>
          <w:vertAlign w:val="superscript"/>
          <w:lang w:val="lt-LT"/>
        </w:rPr>
        <w:t>2</w:t>
      </w:r>
      <w:r w:rsidRPr="000C178D">
        <w:rPr>
          <w:rFonts w:ascii="Book Antiqua" w:eastAsia="Times New Roman" w:hAnsi="Book Antiqua" w:cs="Times New Roman"/>
          <w:sz w:val="24"/>
          <w:szCs w:val="24"/>
          <w:lang w:val="lt-LT"/>
        </w:rPr>
        <w:t xml:space="preserve">) and had vitiligo-like patches on the insides of his wrists and the lower left calf. We also noted large palpable hard masses in the projection of submandibular and parotid salivary glands </w:t>
      </w:r>
      <w:r w:rsidRPr="000C178D">
        <w:rPr>
          <w:rFonts w:ascii="Book Antiqua" w:eastAsia="Times New Roman" w:hAnsi="Book Antiqua" w:cs="Times New Roman"/>
          <w:color w:val="000000" w:themeColor="text1"/>
          <w:sz w:val="24"/>
          <w:szCs w:val="24"/>
          <w:lang w:val="lt-LT"/>
        </w:rPr>
        <w:t>bilaterally, diffuse I B stage goitre and</w:t>
      </w:r>
      <w:r w:rsidRPr="000C178D">
        <w:rPr>
          <w:rFonts w:ascii="Book Antiqua" w:eastAsia="Times New Roman" w:hAnsi="Book Antiqua" w:cs="Times New Roman"/>
          <w:i/>
          <w:color w:val="000000" w:themeColor="text1"/>
          <w:sz w:val="24"/>
          <w:szCs w:val="24"/>
          <w:lang w:val="lt-LT"/>
        </w:rPr>
        <w:t xml:space="preserve"> </w:t>
      </w:r>
      <w:r w:rsidRPr="000C178D">
        <w:rPr>
          <w:rFonts w:ascii="Book Antiqua" w:eastAsia="Times New Roman" w:hAnsi="Book Antiqua" w:cs="Times New Roman"/>
          <w:sz w:val="24"/>
          <w:szCs w:val="24"/>
          <w:lang w:val="lt-LT"/>
        </w:rPr>
        <w:t xml:space="preserve">the protrusion of the left eyeball. </w:t>
      </w:r>
    </w:p>
    <w:p w14:paraId="5A677C5C" w14:textId="21E95228" w:rsidR="00385DBD" w:rsidRPr="000C178D" w:rsidRDefault="00385DBD" w:rsidP="000C178D">
      <w:pPr>
        <w:snapToGrid w:val="0"/>
        <w:spacing w:after="0" w:line="360" w:lineRule="auto"/>
        <w:jc w:val="both"/>
        <w:rPr>
          <w:rFonts w:ascii="Book Antiqua" w:eastAsia="Times New Roman" w:hAnsi="Book Antiqua" w:cs="Times New Roman"/>
          <w:sz w:val="24"/>
          <w:szCs w:val="24"/>
          <w:lang w:val="lt-LT"/>
        </w:rPr>
      </w:pPr>
    </w:p>
    <w:p w14:paraId="4F1AAAEA" w14:textId="11CE89CB" w:rsidR="00385DBD" w:rsidRPr="000C178D" w:rsidRDefault="00385DBD" w:rsidP="000C178D">
      <w:pPr>
        <w:snapToGrid w:val="0"/>
        <w:spacing w:after="0" w:line="360" w:lineRule="auto"/>
        <w:jc w:val="both"/>
        <w:rPr>
          <w:rFonts w:ascii="Book Antiqua" w:eastAsia="Times New Roman" w:hAnsi="Book Antiqua" w:cs="Times New Roman"/>
          <w:sz w:val="24"/>
          <w:szCs w:val="24"/>
          <w:lang w:val="lt-LT"/>
        </w:rPr>
      </w:pPr>
      <w:r w:rsidRPr="000C178D">
        <w:rPr>
          <w:rFonts w:ascii="Book Antiqua" w:hAnsi="Book Antiqua" w:cs="Times New Roman"/>
          <w:b/>
          <w:bCs/>
          <w:i/>
          <w:iCs/>
          <w:sz w:val="24"/>
          <w:szCs w:val="24"/>
        </w:rPr>
        <w:t>Laboratory examinations</w:t>
      </w:r>
    </w:p>
    <w:p w14:paraId="4D1BB683" w14:textId="43109E47" w:rsidR="00385DBD" w:rsidRPr="000C178D" w:rsidRDefault="00385DBD" w:rsidP="000C178D">
      <w:pPr>
        <w:snapToGrid w:val="0"/>
        <w:spacing w:after="0" w:line="360" w:lineRule="auto"/>
        <w:jc w:val="both"/>
        <w:rPr>
          <w:rFonts w:ascii="Book Antiqua" w:hAnsi="Book Antiqua" w:cs="Times New Roman"/>
          <w:sz w:val="24"/>
          <w:szCs w:val="24"/>
        </w:rPr>
      </w:pPr>
      <w:r w:rsidRPr="000C178D">
        <w:rPr>
          <w:rFonts w:ascii="Book Antiqua" w:hAnsi="Book Antiqua" w:cs="Times New Roman"/>
          <w:sz w:val="24"/>
          <w:szCs w:val="24"/>
        </w:rPr>
        <w:t xml:space="preserve">Blood analysis was almost within </w:t>
      </w:r>
      <w:r w:rsidR="004331B5" w:rsidRPr="000C178D">
        <w:rPr>
          <w:rFonts w:ascii="Book Antiqua" w:hAnsi="Book Antiqua" w:cs="Times New Roman"/>
          <w:sz w:val="24"/>
          <w:szCs w:val="24"/>
        </w:rPr>
        <w:t>the</w:t>
      </w:r>
      <w:r w:rsidRPr="000C178D">
        <w:rPr>
          <w:rFonts w:ascii="Book Antiqua" w:hAnsi="Book Antiqua" w:cs="Times New Roman"/>
          <w:sz w:val="24"/>
          <w:szCs w:val="24"/>
        </w:rPr>
        <w:t xml:space="preserve"> normal range (</w:t>
      </w:r>
      <w:hyperlink w:anchor="Table2" w:history="1">
        <w:r w:rsidRPr="000C178D">
          <w:rPr>
            <w:rStyle w:val="a4"/>
            <w:rFonts w:ascii="Book Antiqua" w:hAnsi="Book Antiqua" w:cs="Times New Roman"/>
            <w:color w:val="auto"/>
            <w:sz w:val="24"/>
            <w:szCs w:val="24"/>
            <w:u w:val="none"/>
          </w:rPr>
          <w:t>Table 2</w:t>
        </w:r>
      </w:hyperlink>
      <w:r w:rsidRPr="000C178D">
        <w:rPr>
          <w:rFonts w:ascii="Book Antiqua" w:hAnsi="Book Antiqua" w:cs="Times New Roman"/>
          <w:sz w:val="24"/>
          <w:szCs w:val="24"/>
        </w:rPr>
        <w:t>). There were no elevated liver enzymes or signs of liver dysfunction, viral hepatitis markers were negative.</w:t>
      </w:r>
    </w:p>
    <w:p w14:paraId="138DD427" w14:textId="753B2312" w:rsidR="00385DBD" w:rsidRPr="000C178D" w:rsidRDefault="00385DBD" w:rsidP="000C178D">
      <w:pPr>
        <w:pStyle w:val="ae"/>
        <w:snapToGrid w:val="0"/>
        <w:spacing w:after="0" w:line="360" w:lineRule="auto"/>
        <w:rPr>
          <w:rFonts w:ascii="Book Antiqua" w:hAnsi="Book Antiqua" w:cs="Times New Roman"/>
          <w:color w:val="000000" w:themeColor="text1"/>
          <w:sz w:val="24"/>
          <w:szCs w:val="24"/>
        </w:rPr>
      </w:pPr>
    </w:p>
    <w:p w14:paraId="53A7A3FB" w14:textId="6695392A" w:rsidR="00385DBD" w:rsidRPr="000C178D" w:rsidRDefault="00385DBD" w:rsidP="000C178D">
      <w:pPr>
        <w:snapToGrid w:val="0"/>
        <w:spacing w:after="0" w:line="360" w:lineRule="auto"/>
        <w:jc w:val="both"/>
        <w:rPr>
          <w:rFonts w:ascii="Book Antiqua" w:eastAsia="Times New Roman" w:hAnsi="Book Antiqua" w:cs="Times New Roman"/>
          <w:sz w:val="24"/>
          <w:szCs w:val="24"/>
          <w:lang w:val="lt-LT"/>
        </w:rPr>
      </w:pPr>
      <w:r w:rsidRPr="000C178D">
        <w:rPr>
          <w:rFonts w:ascii="Book Antiqua" w:hAnsi="Book Antiqua" w:cs="Times New Roman"/>
          <w:b/>
          <w:bCs/>
          <w:i/>
          <w:iCs/>
          <w:sz w:val="24"/>
          <w:szCs w:val="24"/>
        </w:rPr>
        <w:lastRenderedPageBreak/>
        <w:t>Imaging examinations</w:t>
      </w:r>
    </w:p>
    <w:p w14:paraId="614AB60A" w14:textId="57107FD9" w:rsidR="00385DBD" w:rsidRPr="000C178D" w:rsidRDefault="00385DBD" w:rsidP="000C178D">
      <w:pPr>
        <w:snapToGrid w:val="0"/>
        <w:spacing w:after="0" w:line="360" w:lineRule="auto"/>
        <w:jc w:val="both"/>
        <w:rPr>
          <w:rFonts w:ascii="Book Antiqua" w:hAnsi="Book Antiqua" w:cs="Times New Roman"/>
          <w:sz w:val="24"/>
          <w:szCs w:val="24"/>
          <w:lang w:val="lt-LT"/>
        </w:rPr>
      </w:pPr>
      <w:r w:rsidRPr="000C178D">
        <w:rPr>
          <w:rFonts w:ascii="Book Antiqua" w:eastAsia="Times New Roman" w:hAnsi="Book Antiqua" w:cs="Times New Roman"/>
          <w:sz w:val="24"/>
          <w:szCs w:val="24"/>
          <w:lang w:val="lt-LT"/>
        </w:rPr>
        <w:t>As there were no indications for liver biopsy, it was decided to perform abdominal MRI which displayed changes of pancreatic parenchyma, showing diffusely enlarged sausage-shaped pancreas with a peripancreatic rim of edematous tissue that is pathognomonic for AIP (</w:t>
      </w:r>
      <w:hyperlink w:anchor="Figure3" w:history="1">
        <w:r w:rsidRPr="000C178D">
          <w:rPr>
            <w:rStyle w:val="a4"/>
            <w:rFonts w:ascii="Book Antiqua" w:eastAsia="Times New Roman" w:hAnsi="Book Antiqua" w:cs="Times New Roman"/>
            <w:color w:val="auto"/>
            <w:sz w:val="24"/>
            <w:szCs w:val="24"/>
            <w:u w:val="none"/>
            <w:lang w:val="lt-LT"/>
          </w:rPr>
          <w:t xml:space="preserve">Figure </w:t>
        </w:r>
        <w:r w:rsidRPr="000C178D">
          <w:rPr>
            <w:rStyle w:val="a4"/>
            <w:rFonts w:ascii="Book Antiqua" w:eastAsia="Times New Roman" w:hAnsi="Book Antiqua" w:cs="Times New Roman"/>
            <w:color w:val="auto"/>
            <w:sz w:val="24"/>
            <w:szCs w:val="24"/>
            <w:u w:val="none"/>
          </w:rPr>
          <w:t>3</w:t>
        </w:r>
      </w:hyperlink>
      <w:r w:rsidRPr="000C178D">
        <w:rPr>
          <w:rFonts w:ascii="Book Antiqua" w:eastAsia="Times New Roman" w:hAnsi="Book Antiqua" w:cs="Times New Roman"/>
          <w:sz w:val="24"/>
          <w:szCs w:val="24"/>
          <w:lang w:val="lt-LT"/>
        </w:rPr>
        <w:t>).</w:t>
      </w:r>
      <w:r w:rsidR="00BB67EB" w:rsidRPr="000C178D">
        <w:rPr>
          <w:rFonts w:ascii="Book Antiqua" w:hAnsi="Book Antiqua" w:cs="Times New Roman"/>
          <w:sz w:val="24"/>
          <w:szCs w:val="24"/>
          <w:lang w:val="lt-LT"/>
        </w:rPr>
        <w:t xml:space="preserve"> </w:t>
      </w:r>
      <w:r w:rsidRPr="000C178D">
        <w:rPr>
          <w:rFonts w:ascii="Book Antiqua" w:hAnsi="Book Antiqua" w:cs="Times New Roman"/>
          <w:sz w:val="24"/>
          <w:szCs w:val="24"/>
          <w:lang w:val="lt-LT"/>
        </w:rPr>
        <w:t>Severe weight loss with diarrhoea and diabetes indicated the endocrine and exocrine pancreatic insufficiency.</w:t>
      </w:r>
    </w:p>
    <w:p w14:paraId="7E87B53A" w14:textId="19840C0A" w:rsidR="0086467A" w:rsidRPr="000C178D" w:rsidRDefault="0086467A" w:rsidP="000C178D">
      <w:pPr>
        <w:snapToGrid w:val="0"/>
        <w:spacing w:after="0" w:line="360" w:lineRule="auto"/>
        <w:rPr>
          <w:rFonts w:ascii="Book Antiqua" w:hAnsi="Book Antiqua"/>
          <w:sz w:val="24"/>
          <w:szCs w:val="24"/>
          <w:lang w:val="lt-LT"/>
        </w:rPr>
      </w:pPr>
    </w:p>
    <w:p w14:paraId="2C6ED76A" w14:textId="77777777" w:rsidR="00385DBD" w:rsidRPr="000C178D" w:rsidRDefault="00385DBD" w:rsidP="000C178D">
      <w:pPr>
        <w:autoSpaceDE w:val="0"/>
        <w:autoSpaceDN w:val="0"/>
        <w:adjustRightInd w:val="0"/>
        <w:snapToGrid w:val="0"/>
        <w:spacing w:after="0" w:line="360" w:lineRule="auto"/>
        <w:jc w:val="both"/>
        <w:rPr>
          <w:rFonts w:ascii="Book Antiqua" w:hAnsi="Book Antiqua" w:cs="Times New Roman"/>
          <w:sz w:val="24"/>
          <w:szCs w:val="24"/>
          <w:lang w:val="lt-LT"/>
        </w:rPr>
      </w:pPr>
      <w:r w:rsidRPr="000C178D">
        <w:rPr>
          <w:rFonts w:ascii="Book Antiqua" w:hAnsi="Book Antiqua" w:cs="Times New Roman"/>
          <w:b/>
          <w:bCs/>
          <w:i/>
          <w:iCs/>
          <w:sz w:val="24"/>
          <w:szCs w:val="24"/>
        </w:rPr>
        <w:t>Further diagnostic work-up</w:t>
      </w:r>
    </w:p>
    <w:p w14:paraId="334AD014" w14:textId="477CC0A1" w:rsidR="00385DBD" w:rsidRPr="000C178D" w:rsidRDefault="00385DBD" w:rsidP="000C178D">
      <w:pPr>
        <w:autoSpaceDE w:val="0"/>
        <w:autoSpaceDN w:val="0"/>
        <w:adjustRightInd w:val="0"/>
        <w:snapToGrid w:val="0"/>
        <w:spacing w:after="0" w:line="360" w:lineRule="auto"/>
        <w:jc w:val="both"/>
        <w:rPr>
          <w:rFonts w:ascii="Book Antiqua" w:hAnsi="Book Antiqua" w:cs="Times New Roman"/>
          <w:sz w:val="24"/>
          <w:szCs w:val="24"/>
          <w:lang w:val="lt-LT"/>
        </w:rPr>
      </w:pPr>
      <w:r w:rsidRPr="000C178D">
        <w:rPr>
          <w:rFonts w:ascii="Book Antiqua" w:hAnsi="Book Antiqua" w:cs="Times New Roman"/>
          <w:sz w:val="24"/>
          <w:szCs w:val="24"/>
          <w:lang w:val="lt-LT"/>
        </w:rPr>
        <w:t>Combination of AIP, orbital myositis, salivary gland involvement</w:t>
      </w:r>
      <w:r w:rsidR="0086467A" w:rsidRPr="000C178D">
        <w:rPr>
          <w:rFonts w:ascii="Book Antiqua" w:hAnsi="Book Antiqua" w:cs="Times New Roman"/>
          <w:sz w:val="24"/>
          <w:szCs w:val="24"/>
          <w:lang w:val="lt-LT"/>
        </w:rPr>
        <w:t>,</w:t>
      </w:r>
      <w:r w:rsidRPr="000C178D">
        <w:rPr>
          <w:rFonts w:ascii="Book Antiqua" w:hAnsi="Book Antiqua" w:cs="Times New Roman"/>
          <w:sz w:val="24"/>
          <w:szCs w:val="24"/>
          <w:lang w:val="lt-LT"/>
        </w:rPr>
        <w:t xml:space="preserve"> as well as </w:t>
      </w:r>
      <w:r w:rsidR="004331B5" w:rsidRPr="000C178D">
        <w:rPr>
          <w:rFonts w:ascii="Book Antiqua" w:hAnsi="Book Antiqua" w:cs="Times New Roman"/>
          <w:sz w:val="24"/>
          <w:szCs w:val="24"/>
          <w:lang w:val="lt-LT"/>
        </w:rPr>
        <w:t>the</w:t>
      </w:r>
      <w:r w:rsidRPr="000C178D">
        <w:rPr>
          <w:rFonts w:ascii="Book Antiqua" w:hAnsi="Book Antiqua" w:cs="Times New Roman"/>
          <w:sz w:val="24"/>
          <w:szCs w:val="24"/>
          <w:lang w:val="lt-LT"/>
        </w:rPr>
        <w:t xml:space="preserve"> previous diagnosis of thyroiditis and uveitis</w:t>
      </w:r>
      <w:r w:rsidR="0086467A" w:rsidRPr="000C178D">
        <w:rPr>
          <w:rFonts w:ascii="Book Antiqua" w:hAnsi="Book Antiqua" w:cs="Times New Roman"/>
          <w:sz w:val="24"/>
          <w:szCs w:val="24"/>
          <w:lang w:val="lt-LT"/>
        </w:rPr>
        <w:t>,</w:t>
      </w:r>
      <w:r w:rsidRPr="000C178D">
        <w:rPr>
          <w:rFonts w:ascii="Book Antiqua" w:hAnsi="Book Antiqua" w:cs="Times New Roman"/>
          <w:sz w:val="24"/>
          <w:szCs w:val="24"/>
          <w:lang w:val="lt-LT"/>
        </w:rPr>
        <w:t xml:space="preserve"> increased the suspicion of the IgG4-RD. Differential diagnosis was kept as possible </w:t>
      </w:r>
      <w:proofErr w:type="spellStart"/>
      <w:r w:rsidRPr="000C178D">
        <w:rPr>
          <w:rFonts w:ascii="Book Antiqua" w:hAnsi="Book Antiqua" w:cs="Times New Roman"/>
          <w:sz w:val="24"/>
          <w:szCs w:val="24"/>
        </w:rPr>
        <w:t>Sjögren's</w:t>
      </w:r>
      <w:proofErr w:type="spellEnd"/>
      <w:r w:rsidRPr="000C178D">
        <w:rPr>
          <w:rFonts w:ascii="Book Antiqua" w:hAnsi="Book Antiqua" w:cs="Times New Roman"/>
          <w:sz w:val="24"/>
          <w:szCs w:val="24"/>
          <w:lang w:val="lt-LT"/>
        </w:rPr>
        <w:t xml:space="preserve"> syndrome (SS), lymphoma, and sarcoidosis. Consequently, we performed the ultrasound imaging </w:t>
      </w:r>
      <w:r w:rsidR="00DE2775" w:rsidRPr="000C178D">
        <w:rPr>
          <w:rFonts w:ascii="Book Antiqua" w:hAnsi="Book Antiqua" w:cs="Times New Roman"/>
          <w:sz w:val="24"/>
          <w:szCs w:val="24"/>
          <w:lang w:val="lt-LT"/>
        </w:rPr>
        <w:t xml:space="preserve">of the neck. </w:t>
      </w:r>
      <w:r w:rsidRPr="000C178D">
        <w:rPr>
          <w:rFonts w:ascii="Book Antiqua" w:hAnsi="Book Antiqua" w:cs="Times New Roman"/>
          <w:sz w:val="24"/>
          <w:szCs w:val="24"/>
          <w:lang w:val="lt-LT"/>
        </w:rPr>
        <w:t xml:space="preserve">The thyroid was normal in size with several nodules on the right and left lobes (8 </w:t>
      </w:r>
      <w:r w:rsidR="00A46B2A" w:rsidRPr="000C178D">
        <w:rPr>
          <w:rFonts w:ascii="Book Antiqua" w:hAnsi="Book Antiqua" w:cs="Times New Roman"/>
          <w:sz w:val="24"/>
          <w:szCs w:val="24"/>
          <w:lang w:val="lt-LT"/>
        </w:rPr>
        <w:t xml:space="preserve">mm </w:t>
      </w:r>
      <w:r w:rsidR="00703703" w:rsidRPr="000C178D">
        <w:rPr>
          <w:rFonts w:ascii="Book Antiqua" w:hAnsi="Book Antiqua" w:cs="Times New Roman"/>
          <w:sz w:val="24"/>
          <w:szCs w:val="24"/>
          <w:lang w:val="lt-LT"/>
        </w:rPr>
        <w:t xml:space="preserve">× </w:t>
      </w:r>
      <w:r w:rsidRPr="000C178D">
        <w:rPr>
          <w:rFonts w:ascii="Book Antiqua" w:hAnsi="Book Antiqua" w:cs="Times New Roman"/>
          <w:sz w:val="24"/>
          <w:szCs w:val="24"/>
          <w:lang w:val="lt-LT"/>
        </w:rPr>
        <w:t xml:space="preserve">13 mm and 7 </w:t>
      </w:r>
      <w:r w:rsidR="00A46B2A" w:rsidRPr="000C178D">
        <w:rPr>
          <w:rFonts w:ascii="Book Antiqua" w:hAnsi="Book Antiqua" w:cs="Times New Roman"/>
          <w:sz w:val="24"/>
          <w:szCs w:val="24"/>
          <w:lang w:val="lt-LT"/>
        </w:rPr>
        <w:t xml:space="preserve">mm </w:t>
      </w:r>
      <w:r w:rsidR="00703703" w:rsidRPr="000C178D">
        <w:rPr>
          <w:rFonts w:ascii="Book Antiqua" w:hAnsi="Book Antiqua" w:cs="Times New Roman"/>
          <w:sz w:val="24"/>
          <w:szCs w:val="24"/>
          <w:lang w:val="lt-LT"/>
        </w:rPr>
        <w:t xml:space="preserve">× </w:t>
      </w:r>
      <w:r w:rsidRPr="000C178D">
        <w:rPr>
          <w:rFonts w:ascii="Book Antiqua" w:hAnsi="Book Antiqua" w:cs="Times New Roman"/>
          <w:sz w:val="24"/>
          <w:szCs w:val="24"/>
          <w:lang w:val="lt-LT"/>
        </w:rPr>
        <w:t>21 mm) (</w:t>
      </w:r>
      <w:r w:rsidR="000C2BE6" w:rsidRPr="000C178D">
        <w:fldChar w:fldCharType="begin"/>
      </w:r>
      <w:r w:rsidR="000C2BE6" w:rsidRPr="000C178D">
        <w:rPr>
          <w:rFonts w:ascii="Book Antiqua" w:hAnsi="Book Antiqua"/>
          <w:sz w:val="24"/>
          <w:szCs w:val="24"/>
        </w:rPr>
        <w:instrText xml:space="preserve"> HYPERLINK \l "Figure4" </w:instrText>
      </w:r>
      <w:r w:rsidR="000C2BE6" w:rsidRPr="000C178D">
        <w:fldChar w:fldCharType="separate"/>
      </w:r>
      <w:r w:rsidR="00E576ED" w:rsidRPr="000C178D">
        <w:rPr>
          <w:rStyle w:val="a4"/>
          <w:rFonts w:ascii="Book Antiqua" w:hAnsi="Book Antiqua" w:cs="Times New Roman"/>
          <w:color w:val="auto"/>
          <w:sz w:val="24"/>
          <w:szCs w:val="24"/>
          <w:u w:val="none"/>
          <w:lang w:val="lt-LT"/>
        </w:rPr>
        <w:t>Figure 4</w:t>
      </w:r>
      <w:r w:rsidR="00B82086" w:rsidRPr="000C178D">
        <w:rPr>
          <w:rStyle w:val="a4"/>
          <w:rFonts w:ascii="Book Antiqua" w:hAnsi="Book Antiqua" w:cs="Times New Roman"/>
          <w:color w:val="auto"/>
          <w:sz w:val="24"/>
          <w:szCs w:val="24"/>
          <w:u w:val="none"/>
          <w:lang w:val="lt-LT"/>
        </w:rPr>
        <w:t>A</w:t>
      </w:r>
      <w:r w:rsidR="00E52D41" w:rsidRPr="000C178D">
        <w:rPr>
          <w:rStyle w:val="a4"/>
          <w:rFonts w:ascii="Book Antiqua" w:hAnsi="Book Antiqua" w:cs="Times New Roman"/>
          <w:color w:val="auto"/>
          <w:sz w:val="24"/>
          <w:szCs w:val="24"/>
          <w:u w:val="none"/>
          <w:lang w:val="lt-LT"/>
        </w:rPr>
        <w:t xml:space="preserve"> </w:t>
      </w:r>
      <w:r w:rsidR="00E52D41" w:rsidRPr="000C178D">
        <w:rPr>
          <w:rStyle w:val="a4"/>
          <w:rFonts w:ascii="Book Antiqua" w:hAnsi="Book Antiqua" w:cs="Times New Roman"/>
          <w:color w:val="auto"/>
          <w:sz w:val="24"/>
          <w:szCs w:val="24"/>
          <w:u w:val="none"/>
          <w:lang w:val="lt-LT" w:eastAsia="zh-CN"/>
        </w:rPr>
        <w:t>and</w:t>
      </w:r>
      <w:r w:rsidR="00B82086" w:rsidRPr="000C178D">
        <w:rPr>
          <w:rStyle w:val="a4"/>
          <w:rFonts w:ascii="Book Antiqua" w:hAnsi="Book Antiqua" w:cs="Times New Roman"/>
          <w:color w:val="auto"/>
          <w:sz w:val="24"/>
          <w:szCs w:val="24"/>
          <w:u w:val="none"/>
          <w:lang w:val="lt-LT"/>
        </w:rPr>
        <w:t xml:space="preserve"> B</w:t>
      </w:r>
      <w:r w:rsidR="000C2BE6" w:rsidRPr="000C178D">
        <w:rPr>
          <w:rStyle w:val="a4"/>
          <w:rFonts w:ascii="Book Antiqua" w:hAnsi="Book Antiqua" w:cs="Times New Roman"/>
          <w:color w:val="auto"/>
          <w:sz w:val="24"/>
          <w:szCs w:val="24"/>
          <w:u w:val="none"/>
          <w:lang w:val="lt-LT"/>
        </w:rPr>
        <w:fldChar w:fldCharType="end"/>
      </w:r>
      <w:r w:rsidRPr="000C178D">
        <w:rPr>
          <w:rFonts w:ascii="Book Antiqua" w:hAnsi="Book Antiqua" w:cs="Times New Roman"/>
          <w:sz w:val="24"/>
          <w:szCs w:val="24"/>
          <w:lang w:val="lt-LT"/>
        </w:rPr>
        <w:t>). There were several symmetrical rounded parenchymal masses (28 and 33 mm) in the area of submandibular glands (</w:t>
      </w:r>
      <w:r w:rsidR="000C2BE6" w:rsidRPr="000C178D">
        <w:fldChar w:fldCharType="begin"/>
      </w:r>
      <w:r w:rsidR="000C2BE6" w:rsidRPr="000C178D">
        <w:rPr>
          <w:rFonts w:ascii="Book Antiqua" w:hAnsi="Book Antiqua"/>
          <w:sz w:val="24"/>
          <w:szCs w:val="24"/>
        </w:rPr>
        <w:instrText xml:space="preserve"> HYPERLINK \l "Figure4" </w:instrText>
      </w:r>
      <w:r w:rsidR="000C2BE6" w:rsidRPr="000C178D">
        <w:fldChar w:fldCharType="separate"/>
      </w:r>
      <w:r w:rsidR="00E576ED" w:rsidRPr="000C178D">
        <w:rPr>
          <w:rStyle w:val="a4"/>
          <w:rFonts w:ascii="Book Antiqua" w:hAnsi="Book Antiqua" w:cs="Times New Roman"/>
          <w:color w:val="auto"/>
          <w:sz w:val="24"/>
          <w:szCs w:val="24"/>
          <w:u w:val="none"/>
          <w:lang w:val="lt-LT"/>
        </w:rPr>
        <w:t>Figure 4</w:t>
      </w:r>
      <w:r w:rsidR="00B82086" w:rsidRPr="000C178D">
        <w:rPr>
          <w:rStyle w:val="a4"/>
          <w:rFonts w:ascii="Book Antiqua" w:hAnsi="Book Antiqua" w:cs="Times New Roman"/>
          <w:color w:val="auto"/>
          <w:sz w:val="24"/>
          <w:szCs w:val="24"/>
          <w:u w:val="none"/>
          <w:lang w:val="lt-LT"/>
        </w:rPr>
        <w:t>C</w:t>
      </w:r>
      <w:r w:rsidR="00E52D41" w:rsidRPr="000C178D">
        <w:rPr>
          <w:rStyle w:val="a4"/>
          <w:rFonts w:ascii="Book Antiqua" w:hAnsi="Book Antiqua" w:cs="Times New Roman"/>
          <w:color w:val="auto"/>
          <w:sz w:val="24"/>
          <w:szCs w:val="24"/>
          <w:u w:val="none"/>
          <w:lang w:val="lt-LT"/>
        </w:rPr>
        <w:t xml:space="preserve"> and</w:t>
      </w:r>
      <w:r w:rsidR="00B82086" w:rsidRPr="000C178D">
        <w:rPr>
          <w:rStyle w:val="a4"/>
          <w:rFonts w:ascii="Book Antiqua" w:hAnsi="Book Antiqua" w:cs="Times New Roman"/>
          <w:color w:val="auto"/>
          <w:sz w:val="24"/>
          <w:szCs w:val="24"/>
          <w:u w:val="none"/>
          <w:lang w:val="lt-LT"/>
        </w:rPr>
        <w:t xml:space="preserve"> D</w:t>
      </w:r>
      <w:r w:rsidR="000C2BE6" w:rsidRPr="000C178D">
        <w:rPr>
          <w:rStyle w:val="a4"/>
          <w:rFonts w:ascii="Book Antiqua" w:hAnsi="Book Antiqua" w:cs="Times New Roman"/>
          <w:color w:val="auto"/>
          <w:sz w:val="24"/>
          <w:szCs w:val="24"/>
          <w:u w:val="none"/>
          <w:lang w:val="lt-LT"/>
        </w:rPr>
        <w:fldChar w:fldCharType="end"/>
      </w:r>
      <w:r w:rsidRPr="000C178D">
        <w:rPr>
          <w:rFonts w:ascii="Book Antiqua" w:hAnsi="Book Antiqua" w:cs="Times New Roman"/>
          <w:sz w:val="24"/>
          <w:szCs w:val="24"/>
          <w:lang w:val="lt-LT"/>
        </w:rPr>
        <w:t xml:space="preserve">) and altered parotid gland tissue with indeterminate size masses </w:t>
      </w:r>
      <w:r w:rsidR="004331B5" w:rsidRPr="000C178D">
        <w:rPr>
          <w:rFonts w:ascii="Book Antiqua" w:hAnsi="Book Antiqua" w:cs="Times New Roman"/>
          <w:sz w:val="24"/>
          <w:szCs w:val="24"/>
          <w:lang w:val="lt-LT"/>
        </w:rPr>
        <w:t xml:space="preserve">observed </w:t>
      </w:r>
      <w:r w:rsidRPr="000C178D">
        <w:rPr>
          <w:rFonts w:ascii="Book Antiqua" w:hAnsi="Book Antiqua" w:cs="Times New Roman"/>
          <w:sz w:val="24"/>
          <w:szCs w:val="24"/>
          <w:lang w:val="lt-LT"/>
        </w:rPr>
        <w:t>bilaterally.</w:t>
      </w:r>
      <w:r w:rsidR="00DE2775" w:rsidRPr="000C178D">
        <w:rPr>
          <w:rFonts w:ascii="Book Antiqua" w:hAnsi="Book Antiqua" w:cs="Times New Roman"/>
          <w:sz w:val="24"/>
          <w:szCs w:val="24"/>
          <w:lang w:val="lt-LT"/>
        </w:rPr>
        <w:t xml:space="preserve"> It was decided to perform fine-needle aspiration </w:t>
      </w:r>
      <w:r w:rsidR="00BB0408" w:rsidRPr="000C178D">
        <w:rPr>
          <w:rFonts w:ascii="Book Antiqua" w:hAnsi="Book Antiqua" w:cs="Times New Roman"/>
          <w:sz w:val="24"/>
          <w:szCs w:val="24"/>
          <w:lang w:val="lt-LT"/>
        </w:rPr>
        <w:t>from</w:t>
      </w:r>
      <w:r w:rsidR="00DE2775" w:rsidRPr="000C178D">
        <w:rPr>
          <w:rFonts w:ascii="Book Antiqua" w:hAnsi="Book Antiqua" w:cs="Times New Roman"/>
          <w:sz w:val="24"/>
          <w:szCs w:val="24"/>
          <w:lang w:val="lt-LT"/>
        </w:rPr>
        <w:t xml:space="preserve"> the palpable masses in the neck</w:t>
      </w:r>
      <w:r w:rsidR="000D092C" w:rsidRPr="000C178D">
        <w:rPr>
          <w:rFonts w:ascii="Book Antiqua" w:hAnsi="Book Antiqua" w:cs="Times New Roman"/>
          <w:sz w:val="24"/>
          <w:szCs w:val="24"/>
          <w:lang w:val="lt-LT"/>
        </w:rPr>
        <w:t xml:space="preserve">. </w:t>
      </w:r>
    </w:p>
    <w:p w14:paraId="503EAAB9" w14:textId="5DB8FA0E" w:rsidR="00343D48" w:rsidRPr="000C178D" w:rsidRDefault="00385DBD" w:rsidP="000C178D">
      <w:pPr>
        <w:autoSpaceDE w:val="0"/>
        <w:autoSpaceDN w:val="0"/>
        <w:adjustRightInd w:val="0"/>
        <w:snapToGrid w:val="0"/>
        <w:spacing w:after="0" w:line="360" w:lineRule="auto"/>
        <w:ind w:firstLineChars="100" w:firstLine="240"/>
        <w:jc w:val="both"/>
        <w:rPr>
          <w:rFonts w:ascii="Book Antiqua" w:hAnsi="Book Antiqua" w:cs="Times New Roman"/>
          <w:sz w:val="24"/>
          <w:szCs w:val="24"/>
          <w:lang w:val="lt-LT"/>
        </w:rPr>
      </w:pPr>
      <w:r w:rsidRPr="000C178D">
        <w:rPr>
          <w:rFonts w:ascii="Book Antiqua" w:hAnsi="Book Antiqua" w:cs="Times New Roman"/>
          <w:sz w:val="24"/>
          <w:szCs w:val="24"/>
          <w:lang w:val="lt-LT"/>
        </w:rPr>
        <w:t>Histo</w:t>
      </w:r>
      <w:r w:rsidR="00DE2775" w:rsidRPr="000C178D">
        <w:rPr>
          <w:rFonts w:ascii="Book Antiqua" w:hAnsi="Book Antiqua" w:cs="Times New Roman"/>
          <w:sz w:val="24"/>
          <w:szCs w:val="24"/>
          <w:lang w:val="lt-LT"/>
        </w:rPr>
        <w:t>pathological</w:t>
      </w:r>
      <w:r w:rsidRPr="000C178D">
        <w:rPr>
          <w:rFonts w:ascii="Book Antiqua" w:hAnsi="Book Antiqua" w:cs="Times New Roman"/>
          <w:sz w:val="24"/>
          <w:szCs w:val="24"/>
          <w:lang w:val="lt-LT"/>
        </w:rPr>
        <w:t xml:space="preserve"> examination </w:t>
      </w:r>
      <w:r w:rsidR="00DE2775" w:rsidRPr="000C178D">
        <w:rPr>
          <w:rFonts w:ascii="Book Antiqua" w:hAnsi="Book Antiqua" w:cs="Times New Roman"/>
          <w:sz w:val="24"/>
          <w:szCs w:val="24"/>
          <w:lang w:val="lt-LT"/>
        </w:rPr>
        <w:t xml:space="preserve">of the salivary gland biopsy </w:t>
      </w:r>
      <w:r w:rsidRPr="000C178D">
        <w:rPr>
          <w:rFonts w:ascii="Book Antiqua" w:hAnsi="Book Antiqua" w:cs="Times New Roman"/>
          <w:sz w:val="24"/>
          <w:szCs w:val="24"/>
          <w:lang w:val="lt-LT"/>
        </w:rPr>
        <w:t xml:space="preserve">revealed signs of chronic lymphoepithelial sialadenitis: </w:t>
      </w:r>
      <w:r w:rsidR="00BB67EB" w:rsidRPr="000C178D">
        <w:rPr>
          <w:rFonts w:ascii="Book Antiqua" w:hAnsi="Book Antiqua" w:cs="Times New Roman"/>
          <w:sz w:val="24"/>
          <w:szCs w:val="24"/>
          <w:lang w:val="lt-LT"/>
        </w:rPr>
        <w:t>T</w:t>
      </w:r>
      <w:r w:rsidRPr="000C178D">
        <w:rPr>
          <w:rFonts w:ascii="Book Antiqua" w:hAnsi="Book Antiqua" w:cs="Times New Roman"/>
          <w:sz w:val="24"/>
          <w:szCs w:val="24"/>
          <w:lang w:val="lt-LT"/>
        </w:rPr>
        <w:t xml:space="preserve">he infiltration of T and B lymphocytes, moderate plasma cell </w:t>
      </w:r>
      <w:r w:rsidRPr="000C178D">
        <w:rPr>
          <w:rFonts w:ascii="Book Antiqua" w:hAnsi="Book Antiqua" w:cs="Times New Roman"/>
          <w:color w:val="000000" w:themeColor="text1"/>
          <w:sz w:val="24"/>
          <w:szCs w:val="24"/>
          <w:lang w:val="lt-LT"/>
        </w:rPr>
        <w:t xml:space="preserve">and </w:t>
      </w:r>
      <w:r w:rsidRPr="000C178D">
        <w:rPr>
          <w:rFonts w:ascii="Book Antiqua" w:hAnsi="Book Antiqua" w:cs="Times New Roman"/>
          <w:sz w:val="24"/>
          <w:szCs w:val="24"/>
          <w:lang w:val="lt-LT"/>
        </w:rPr>
        <w:t xml:space="preserve">eosinophil infiltration, acinar atrophy, moderate fibrosis. However, no clear histological and immunohistochemical evidence of IgG4-mediated chronic sclerotic sialoadenitis was found. There was no deposit of amyloid, no granuloma, any signs of </w:t>
      </w:r>
      <w:r w:rsidRPr="000C178D">
        <w:rPr>
          <w:rFonts w:ascii="Book Antiqua" w:hAnsi="Book Antiqua" w:cs="Times New Roman"/>
          <w:color w:val="222222"/>
          <w:sz w:val="24"/>
          <w:szCs w:val="24"/>
          <w:shd w:val="clear" w:color="auto" w:fill="FFFFFF"/>
        </w:rPr>
        <w:t xml:space="preserve">mucosa-associated lymphoid tissue </w:t>
      </w:r>
      <w:r w:rsidRPr="000C178D">
        <w:rPr>
          <w:rFonts w:ascii="Book Antiqua" w:hAnsi="Book Antiqua" w:cs="Times New Roman"/>
          <w:sz w:val="24"/>
          <w:szCs w:val="24"/>
          <w:lang w:val="lt-LT"/>
        </w:rPr>
        <w:t xml:space="preserve">lymphoma or Langerhans histiocytosis. </w:t>
      </w:r>
      <w:r w:rsidR="00882538" w:rsidRPr="000C178D">
        <w:rPr>
          <w:rFonts w:ascii="Book Antiqua" w:hAnsi="Book Antiqua" w:cs="Times New Roman"/>
          <w:sz w:val="24"/>
          <w:szCs w:val="24"/>
          <w:lang w:val="lt-LT"/>
        </w:rPr>
        <w:t xml:space="preserve">We also found elevated plasma IgG4 concentration at 6.87 g/L (normal range 0.08-1.40 g/L). </w:t>
      </w:r>
    </w:p>
    <w:p w14:paraId="6D95698D" w14:textId="4A299D65" w:rsidR="0086467A" w:rsidRPr="000C178D" w:rsidRDefault="0086467A" w:rsidP="000C178D">
      <w:pPr>
        <w:snapToGrid w:val="0"/>
        <w:spacing w:after="0" w:line="360" w:lineRule="auto"/>
        <w:rPr>
          <w:rFonts w:ascii="Book Antiqua" w:hAnsi="Book Antiqua" w:cs="Times New Roman"/>
          <w:sz w:val="24"/>
          <w:szCs w:val="24"/>
          <w:u w:val="single"/>
          <w:lang w:val="lt-LT"/>
        </w:rPr>
      </w:pPr>
    </w:p>
    <w:p w14:paraId="588C3458" w14:textId="1D39788A" w:rsidR="00385DBD" w:rsidRPr="000C178D" w:rsidRDefault="001A6AD0" w:rsidP="000C178D">
      <w:pPr>
        <w:autoSpaceDE w:val="0"/>
        <w:autoSpaceDN w:val="0"/>
        <w:adjustRightInd w:val="0"/>
        <w:snapToGrid w:val="0"/>
        <w:spacing w:after="0" w:line="360" w:lineRule="auto"/>
        <w:jc w:val="both"/>
        <w:rPr>
          <w:rFonts w:ascii="Book Antiqua" w:hAnsi="Book Antiqua" w:cs="Times New Roman"/>
          <w:b/>
          <w:bCs/>
          <w:iCs/>
          <w:sz w:val="24"/>
          <w:szCs w:val="24"/>
          <w:u w:val="single"/>
        </w:rPr>
      </w:pPr>
      <w:r w:rsidRPr="000C178D">
        <w:rPr>
          <w:rFonts w:ascii="Book Antiqua" w:hAnsi="Book Antiqua" w:cs="Times New Roman"/>
          <w:b/>
          <w:bCs/>
          <w:iCs/>
          <w:sz w:val="24"/>
          <w:szCs w:val="24"/>
          <w:u w:val="single"/>
        </w:rPr>
        <w:t>MULTIDISCIPLINARY EXPERT CONSULTATION</w:t>
      </w:r>
    </w:p>
    <w:p w14:paraId="7070E9BA" w14:textId="75777D1E" w:rsidR="00635A1A" w:rsidRPr="000C178D" w:rsidRDefault="000E7673" w:rsidP="000C178D">
      <w:pPr>
        <w:autoSpaceDE w:val="0"/>
        <w:autoSpaceDN w:val="0"/>
        <w:adjustRightInd w:val="0"/>
        <w:snapToGrid w:val="0"/>
        <w:spacing w:after="0" w:line="360" w:lineRule="auto"/>
        <w:jc w:val="both"/>
        <w:rPr>
          <w:rFonts w:ascii="Book Antiqua" w:hAnsi="Book Antiqua" w:cs="Times New Roman"/>
          <w:sz w:val="24"/>
          <w:szCs w:val="24"/>
        </w:rPr>
      </w:pPr>
      <w:r w:rsidRPr="000C178D">
        <w:rPr>
          <w:rFonts w:ascii="Book Antiqua" w:hAnsi="Book Antiqua" w:cs="Times New Roman"/>
          <w:sz w:val="24"/>
          <w:szCs w:val="24"/>
          <w:lang w:val="lt-LT"/>
        </w:rPr>
        <w:t xml:space="preserve">Given the multiple organ involvement, </w:t>
      </w:r>
      <w:r w:rsidR="00635A1A" w:rsidRPr="000C178D">
        <w:rPr>
          <w:rFonts w:ascii="Book Antiqua" w:hAnsi="Book Antiqua" w:cs="Times New Roman"/>
          <w:sz w:val="24"/>
          <w:szCs w:val="24"/>
          <w:lang w:val="lt-LT"/>
        </w:rPr>
        <w:t>high</w:t>
      </w:r>
      <w:r w:rsidRPr="000C178D">
        <w:rPr>
          <w:rFonts w:ascii="Book Antiqua" w:hAnsi="Book Antiqua" w:cs="Times New Roman"/>
          <w:sz w:val="24"/>
          <w:szCs w:val="24"/>
          <w:lang w:val="lt-LT"/>
        </w:rPr>
        <w:t xml:space="preserve"> IgG4 levels, the initial findings on the MRI scan and salivary gland biopsy, the diagnosis of the IgG4-RD </w:t>
      </w:r>
      <w:r w:rsidRPr="000C178D">
        <w:rPr>
          <w:rFonts w:ascii="Book Antiqua" w:hAnsi="Book Antiqua" w:cs="Times New Roman"/>
          <w:sz w:val="24"/>
          <w:szCs w:val="24"/>
          <w:lang w:val="lt-LT"/>
        </w:rPr>
        <w:lastRenderedPageBreak/>
        <w:t>present</w:t>
      </w:r>
      <w:r w:rsidR="006241BE" w:rsidRPr="000C178D">
        <w:rPr>
          <w:rFonts w:ascii="Book Antiqua" w:hAnsi="Book Antiqua" w:cs="Times New Roman"/>
          <w:sz w:val="24"/>
          <w:szCs w:val="24"/>
          <w:lang w:val="lt-LT"/>
        </w:rPr>
        <w:t>ed</w:t>
      </w:r>
      <w:r w:rsidRPr="000C178D">
        <w:rPr>
          <w:rFonts w:ascii="Book Antiqua" w:hAnsi="Book Antiqua" w:cs="Times New Roman"/>
          <w:sz w:val="24"/>
          <w:szCs w:val="24"/>
          <w:lang w:val="lt-LT"/>
        </w:rPr>
        <w:t xml:space="preserve"> with thyroiditis, orbital myositis</w:t>
      </w:r>
      <w:r w:rsidR="006241BE" w:rsidRPr="000C178D">
        <w:rPr>
          <w:rFonts w:ascii="Book Antiqua" w:hAnsi="Book Antiqua" w:cs="Times New Roman"/>
          <w:sz w:val="24"/>
          <w:szCs w:val="24"/>
          <w:lang w:val="lt-LT"/>
        </w:rPr>
        <w:t xml:space="preserve">, </w:t>
      </w:r>
      <w:r w:rsidRPr="000C178D">
        <w:rPr>
          <w:rFonts w:ascii="Book Antiqua" w:hAnsi="Book Antiqua" w:cs="Times New Roman"/>
          <w:sz w:val="24"/>
          <w:szCs w:val="24"/>
          <w:lang w:val="lt-LT"/>
        </w:rPr>
        <w:t>orbitopathy, uveitis and scleritis, sialadenitis, AIP</w:t>
      </w:r>
      <w:r w:rsidRPr="000C178D">
        <w:rPr>
          <w:rFonts w:ascii="Book Antiqua" w:hAnsi="Book Antiqua"/>
          <w:color w:val="000000" w:themeColor="text1"/>
          <w:sz w:val="24"/>
          <w:szCs w:val="24"/>
        </w:rPr>
        <w:t xml:space="preserve"> </w:t>
      </w:r>
      <w:r w:rsidRPr="000C178D">
        <w:rPr>
          <w:rFonts w:ascii="Book Antiqua" w:hAnsi="Book Antiqua" w:cs="Times New Roman"/>
          <w:sz w:val="24"/>
          <w:szCs w:val="24"/>
          <w:lang w:val="lt-LT"/>
        </w:rPr>
        <w:t>and prostatitis</w:t>
      </w:r>
      <w:r w:rsidR="006241BE" w:rsidRPr="000C178D">
        <w:rPr>
          <w:rFonts w:ascii="Book Antiqua" w:hAnsi="Book Antiqua" w:cs="Times New Roman"/>
          <w:sz w:val="24"/>
          <w:szCs w:val="24"/>
          <w:lang w:val="lt-LT"/>
        </w:rPr>
        <w:t xml:space="preserve"> was confirmed at the multidisciplinary expert consultation by the gastroenterologist, endocrinologist, rheumatologist, opthalmologist and radiologist.</w:t>
      </w:r>
      <w:r w:rsidRPr="000C178D">
        <w:rPr>
          <w:rFonts w:ascii="Book Antiqua" w:hAnsi="Book Antiqua" w:cs="Times New Roman"/>
          <w:sz w:val="24"/>
          <w:szCs w:val="24"/>
          <w:lang w:val="lt-LT"/>
        </w:rPr>
        <w:t xml:space="preserve"> </w:t>
      </w:r>
      <w:r w:rsidR="00B85421" w:rsidRPr="000C178D">
        <w:rPr>
          <w:rFonts w:ascii="Book Antiqua" w:hAnsi="Book Antiqua" w:cs="Times New Roman"/>
          <w:sz w:val="24"/>
          <w:szCs w:val="24"/>
          <w:lang w:val="lt-LT"/>
        </w:rPr>
        <w:t>It was discussed whether the patient</w:t>
      </w:r>
      <w:r w:rsidR="00F80C8F" w:rsidRPr="000C178D">
        <w:rPr>
          <w:rFonts w:ascii="Book Antiqua" w:hAnsi="Book Antiqua" w:cs="Times New Roman"/>
          <w:sz w:val="24"/>
          <w:szCs w:val="24"/>
          <w:lang w:val="lt-LT"/>
        </w:rPr>
        <w:t>'</w:t>
      </w:r>
      <w:r w:rsidR="00B85421" w:rsidRPr="000C178D">
        <w:rPr>
          <w:rFonts w:ascii="Book Antiqua" w:hAnsi="Book Antiqua" w:cs="Times New Roman"/>
          <w:sz w:val="24"/>
          <w:szCs w:val="24"/>
          <w:lang w:val="lt-LT"/>
        </w:rPr>
        <w:t>s asthma is a pulmonary in</w:t>
      </w:r>
      <w:r w:rsidR="001E4A17" w:rsidRPr="000C178D">
        <w:rPr>
          <w:rFonts w:ascii="Book Antiqua" w:hAnsi="Book Antiqua" w:cs="Times New Roman"/>
          <w:sz w:val="24"/>
          <w:szCs w:val="24"/>
          <w:lang w:val="lt-LT"/>
        </w:rPr>
        <w:t>v</w:t>
      </w:r>
      <w:r w:rsidR="00B85421" w:rsidRPr="000C178D">
        <w:rPr>
          <w:rFonts w:ascii="Book Antiqua" w:hAnsi="Book Antiqua" w:cs="Times New Roman"/>
          <w:sz w:val="24"/>
          <w:szCs w:val="24"/>
          <w:lang w:val="lt-LT"/>
        </w:rPr>
        <w:t xml:space="preserve">olvement of IgG4-RD. </w:t>
      </w:r>
      <w:r w:rsidR="001E3235" w:rsidRPr="000C178D">
        <w:rPr>
          <w:rFonts w:ascii="Book Antiqua" w:hAnsi="Book Antiqua" w:cs="Times New Roman"/>
          <w:sz w:val="24"/>
          <w:szCs w:val="24"/>
          <w:lang w:val="lt-LT"/>
        </w:rPr>
        <w:t>As it started in childhood and was</w:t>
      </w:r>
      <w:r w:rsidR="001E4A17" w:rsidRPr="000C178D">
        <w:rPr>
          <w:rFonts w:ascii="Book Antiqua" w:hAnsi="Book Antiqua" w:cs="Times New Roman"/>
          <w:sz w:val="24"/>
          <w:szCs w:val="24"/>
          <w:lang w:val="lt-LT"/>
        </w:rPr>
        <w:t xml:space="preserve"> in rem</w:t>
      </w:r>
      <w:r w:rsidR="00635A1A" w:rsidRPr="000C178D">
        <w:rPr>
          <w:rFonts w:ascii="Book Antiqua" w:hAnsi="Book Antiqua" w:cs="Times New Roman"/>
          <w:sz w:val="24"/>
          <w:szCs w:val="24"/>
          <w:lang w:val="lt-LT"/>
        </w:rPr>
        <w:t>is</w:t>
      </w:r>
      <w:r w:rsidR="001E4A17" w:rsidRPr="000C178D">
        <w:rPr>
          <w:rFonts w:ascii="Book Antiqua" w:hAnsi="Book Antiqua" w:cs="Times New Roman"/>
          <w:sz w:val="24"/>
          <w:szCs w:val="24"/>
          <w:lang w:val="lt-LT"/>
        </w:rPr>
        <w:t>sion, it was decided that bronchial ast</w:t>
      </w:r>
      <w:r w:rsidR="00635A1A" w:rsidRPr="000C178D">
        <w:rPr>
          <w:rFonts w:ascii="Book Antiqua" w:hAnsi="Book Antiqua" w:cs="Times New Roman"/>
          <w:sz w:val="24"/>
          <w:szCs w:val="24"/>
          <w:lang w:val="lt-LT"/>
        </w:rPr>
        <w:t>h</w:t>
      </w:r>
      <w:r w:rsidR="001E4A17" w:rsidRPr="000C178D">
        <w:rPr>
          <w:rFonts w:ascii="Book Antiqua" w:hAnsi="Book Antiqua" w:cs="Times New Roman"/>
          <w:sz w:val="24"/>
          <w:szCs w:val="24"/>
          <w:lang w:val="lt-LT"/>
        </w:rPr>
        <w:t xml:space="preserve">ma is a </w:t>
      </w:r>
      <w:r w:rsidR="00635A1A" w:rsidRPr="000C178D">
        <w:rPr>
          <w:rFonts w:ascii="Book Antiqua" w:hAnsi="Book Antiqua" w:cs="Times New Roman"/>
          <w:sz w:val="24"/>
          <w:szCs w:val="24"/>
          <w:lang w:val="lt-LT"/>
        </w:rPr>
        <w:t xml:space="preserve">co-morbid atopic </w:t>
      </w:r>
      <w:r w:rsidR="001E4A17" w:rsidRPr="000C178D">
        <w:rPr>
          <w:rFonts w:ascii="Book Antiqua" w:hAnsi="Book Antiqua" w:cs="Times New Roman"/>
          <w:sz w:val="24"/>
          <w:szCs w:val="24"/>
          <w:lang w:val="lt-LT"/>
        </w:rPr>
        <w:t xml:space="preserve">disorder. The origin of </w:t>
      </w:r>
      <w:r w:rsidR="00635A1A" w:rsidRPr="000C178D">
        <w:rPr>
          <w:rFonts w:ascii="Book Antiqua" w:hAnsi="Book Antiqua" w:cs="Times New Roman"/>
          <w:sz w:val="24"/>
          <w:szCs w:val="24"/>
          <w:lang w:val="lt-LT"/>
        </w:rPr>
        <w:t xml:space="preserve">the </w:t>
      </w:r>
      <w:r w:rsidR="001E4A17" w:rsidRPr="000C178D">
        <w:rPr>
          <w:rFonts w:ascii="Book Antiqua" w:hAnsi="Book Antiqua" w:cs="Times New Roman"/>
          <w:sz w:val="24"/>
          <w:szCs w:val="24"/>
          <w:lang w:val="lt-LT"/>
        </w:rPr>
        <w:t>patient</w:t>
      </w:r>
      <w:r w:rsidR="00F80C8F" w:rsidRPr="000C178D">
        <w:rPr>
          <w:rFonts w:ascii="Book Antiqua" w:hAnsi="Book Antiqua" w:cs="Times New Roman"/>
          <w:sz w:val="24"/>
          <w:szCs w:val="24"/>
          <w:lang w:val="lt-LT"/>
        </w:rPr>
        <w:t>'</w:t>
      </w:r>
      <w:r w:rsidR="001E4A17" w:rsidRPr="000C178D">
        <w:rPr>
          <w:rFonts w:ascii="Book Antiqua" w:hAnsi="Book Antiqua" w:cs="Times New Roman"/>
          <w:sz w:val="24"/>
          <w:szCs w:val="24"/>
          <w:lang w:val="lt-LT"/>
        </w:rPr>
        <w:t>s urina</w:t>
      </w:r>
      <w:r w:rsidR="00635A1A" w:rsidRPr="000C178D">
        <w:rPr>
          <w:rFonts w:ascii="Book Antiqua" w:hAnsi="Book Antiqua" w:cs="Times New Roman"/>
          <w:sz w:val="24"/>
          <w:szCs w:val="24"/>
          <w:lang w:val="lt-LT"/>
        </w:rPr>
        <w:t>tion problems</w:t>
      </w:r>
      <w:r w:rsidR="001E4A17" w:rsidRPr="000C178D">
        <w:rPr>
          <w:rFonts w:ascii="Book Antiqua" w:hAnsi="Book Antiqua" w:cs="Times New Roman"/>
          <w:sz w:val="24"/>
          <w:szCs w:val="24"/>
          <w:lang w:val="lt-LT"/>
        </w:rPr>
        <w:t xml:space="preserve"> </w:t>
      </w:r>
      <w:r w:rsidR="00635A1A" w:rsidRPr="000C178D">
        <w:rPr>
          <w:rFonts w:ascii="Book Antiqua" w:hAnsi="Book Antiqua" w:cs="Times New Roman"/>
          <w:sz w:val="24"/>
          <w:szCs w:val="24"/>
          <w:lang w:val="lt-LT"/>
        </w:rPr>
        <w:t xml:space="preserve">remained </w:t>
      </w:r>
      <w:r w:rsidR="001E4A17" w:rsidRPr="000C178D">
        <w:rPr>
          <w:rFonts w:ascii="Book Antiqua" w:hAnsi="Book Antiqua" w:cs="Times New Roman"/>
          <w:sz w:val="24"/>
          <w:szCs w:val="24"/>
          <w:lang w:val="lt-LT"/>
        </w:rPr>
        <w:t>questionable</w:t>
      </w:r>
      <w:r w:rsidR="00635A1A" w:rsidRPr="000C178D">
        <w:rPr>
          <w:rFonts w:ascii="Book Antiqua" w:hAnsi="Book Antiqua" w:cs="Times New Roman"/>
          <w:sz w:val="24"/>
          <w:szCs w:val="24"/>
          <w:lang w:val="lt-LT"/>
        </w:rPr>
        <w:t>, but the majority of consultants voted for chronic IgG4-related prostatitis</w:t>
      </w:r>
      <w:r w:rsidR="001E4A17" w:rsidRPr="000C178D">
        <w:rPr>
          <w:rFonts w:ascii="Book Antiqua" w:hAnsi="Book Antiqua" w:cs="Times New Roman"/>
          <w:sz w:val="24"/>
          <w:szCs w:val="24"/>
          <w:lang w:val="lt-LT"/>
        </w:rPr>
        <w:t xml:space="preserve">. </w:t>
      </w:r>
      <w:r w:rsidR="00635A1A" w:rsidRPr="000C178D">
        <w:rPr>
          <w:rFonts w:ascii="Book Antiqua" w:hAnsi="Book Antiqua" w:cs="Times New Roman"/>
          <w:sz w:val="24"/>
          <w:szCs w:val="24"/>
          <w:lang w:val="lt-LT"/>
        </w:rPr>
        <w:t xml:space="preserve">The need to perform an additional biopsy from another involved organ was also intensely debated. </w:t>
      </w:r>
      <w:r w:rsidR="006B75CF" w:rsidRPr="000C178D">
        <w:rPr>
          <w:rFonts w:ascii="Book Antiqua" w:hAnsi="Book Antiqua" w:cs="Times New Roman"/>
          <w:sz w:val="24"/>
          <w:szCs w:val="24"/>
          <w:lang w:val="lt-LT"/>
        </w:rPr>
        <w:t>A decision was made, that there w</w:t>
      </w:r>
      <w:r w:rsidR="00C46963" w:rsidRPr="000C178D">
        <w:rPr>
          <w:rFonts w:ascii="Book Antiqua" w:hAnsi="Book Antiqua" w:cs="Times New Roman"/>
          <w:sz w:val="24"/>
          <w:szCs w:val="24"/>
          <w:lang w:val="lt-LT"/>
        </w:rPr>
        <w:t>ere</w:t>
      </w:r>
      <w:r w:rsidR="006B75CF" w:rsidRPr="000C178D">
        <w:rPr>
          <w:rFonts w:ascii="Book Antiqua" w:hAnsi="Book Antiqua" w:cs="Times New Roman"/>
          <w:sz w:val="24"/>
          <w:szCs w:val="24"/>
          <w:lang w:val="lt-LT"/>
        </w:rPr>
        <w:t xml:space="preserve"> enough </w:t>
      </w:r>
      <w:r w:rsidR="006C5DF7" w:rsidRPr="000C178D">
        <w:rPr>
          <w:rFonts w:ascii="Book Antiqua" w:hAnsi="Book Antiqua" w:cs="Times New Roman"/>
          <w:sz w:val="24"/>
          <w:szCs w:val="24"/>
          <w:lang w:val="lt-LT"/>
        </w:rPr>
        <w:t>criteria to diagnose the</w:t>
      </w:r>
      <w:r w:rsidR="006B75CF" w:rsidRPr="000C178D">
        <w:rPr>
          <w:rFonts w:ascii="Book Antiqua" w:hAnsi="Book Antiqua" w:cs="Times New Roman"/>
          <w:sz w:val="24"/>
          <w:szCs w:val="24"/>
          <w:lang w:val="lt-LT"/>
        </w:rPr>
        <w:t xml:space="preserve"> IgG</w:t>
      </w:r>
      <w:r w:rsidR="006B75CF" w:rsidRPr="000C178D">
        <w:rPr>
          <w:rFonts w:ascii="Book Antiqua" w:hAnsi="Book Antiqua" w:cs="Times New Roman"/>
          <w:sz w:val="24"/>
          <w:szCs w:val="24"/>
        </w:rPr>
        <w:t>4-RD</w:t>
      </w:r>
      <w:r w:rsidR="001C6F5B" w:rsidRPr="000C178D">
        <w:rPr>
          <w:rFonts w:ascii="Book Antiqua" w:hAnsi="Book Antiqua" w:cs="Times New Roman"/>
          <w:sz w:val="24"/>
          <w:szCs w:val="24"/>
        </w:rPr>
        <w:t>,</w:t>
      </w:r>
      <w:r w:rsidR="006B75CF" w:rsidRPr="000C178D">
        <w:rPr>
          <w:rFonts w:ascii="Book Antiqua" w:hAnsi="Book Antiqua" w:cs="Times New Roman"/>
          <w:sz w:val="24"/>
          <w:szCs w:val="24"/>
        </w:rPr>
        <w:t xml:space="preserve"> and the biopsy result w</w:t>
      </w:r>
      <w:r w:rsidR="006C5DF7" w:rsidRPr="000C178D">
        <w:rPr>
          <w:rFonts w:ascii="Book Antiqua" w:hAnsi="Book Antiqua" w:cs="Times New Roman"/>
          <w:sz w:val="24"/>
          <w:szCs w:val="24"/>
        </w:rPr>
        <w:t>ould</w:t>
      </w:r>
      <w:r w:rsidR="006B75CF" w:rsidRPr="000C178D">
        <w:rPr>
          <w:rFonts w:ascii="Book Antiqua" w:hAnsi="Book Antiqua" w:cs="Times New Roman"/>
          <w:sz w:val="24"/>
          <w:szCs w:val="24"/>
        </w:rPr>
        <w:t xml:space="preserve"> not affect the</w:t>
      </w:r>
      <w:r w:rsidR="00C46963" w:rsidRPr="000C178D">
        <w:rPr>
          <w:rFonts w:ascii="Book Antiqua" w:hAnsi="Book Antiqua" w:cs="Times New Roman"/>
          <w:sz w:val="24"/>
          <w:szCs w:val="24"/>
        </w:rPr>
        <w:t xml:space="preserve"> course of</w:t>
      </w:r>
      <w:r w:rsidR="006B75CF" w:rsidRPr="000C178D">
        <w:rPr>
          <w:rFonts w:ascii="Book Antiqua" w:hAnsi="Book Antiqua" w:cs="Times New Roman"/>
          <w:sz w:val="24"/>
          <w:szCs w:val="24"/>
        </w:rPr>
        <w:t xml:space="preserve"> treatment</w:t>
      </w:r>
      <w:r w:rsidR="006C5DF7" w:rsidRPr="000C178D">
        <w:rPr>
          <w:rFonts w:ascii="Book Antiqua" w:hAnsi="Book Antiqua" w:cs="Times New Roman"/>
          <w:sz w:val="24"/>
          <w:szCs w:val="24"/>
        </w:rPr>
        <w:t xml:space="preserve">. </w:t>
      </w:r>
    </w:p>
    <w:p w14:paraId="160F16DD" w14:textId="7ECD83F4" w:rsidR="000E7673" w:rsidRPr="000C178D" w:rsidRDefault="001E4A17" w:rsidP="000C178D">
      <w:pPr>
        <w:autoSpaceDE w:val="0"/>
        <w:autoSpaceDN w:val="0"/>
        <w:adjustRightInd w:val="0"/>
        <w:snapToGrid w:val="0"/>
        <w:spacing w:after="0" w:line="360" w:lineRule="auto"/>
        <w:ind w:firstLine="284"/>
        <w:jc w:val="both"/>
        <w:rPr>
          <w:rFonts w:ascii="Book Antiqua" w:hAnsi="Book Antiqua" w:cs="Times New Roman"/>
          <w:sz w:val="24"/>
          <w:szCs w:val="24"/>
          <w:lang w:val="lt-LT"/>
        </w:rPr>
      </w:pPr>
      <w:r w:rsidRPr="000C178D">
        <w:rPr>
          <w:rFonts w:ascii="Book Antiqua" w:hAnsi="Book Antiqua" w:cs="Times New Roman"/>
          <w:sz w:val="24"/>
          <w:szCs w:val="24"/>
          <w:lang w:val="lt-LT"/>
        </w:rPr>
        <w:t>T</w:t>
      </w:r>
      <w:r w:rsidR="000E7673" w:rsidRPr="000C178D">
        <w:rPr>
          <w:rFonts w:ascii="Book Antiqua" w:hAnsi="Book Antiqua" w:cs="Times New Roman"/>
          <w:sz w:val="24"/>
          <w:szCs w:val="24"/>
          <w:lang w:val="lt-LT"/>
        </w:rPr>
        <w:t>he treatment with an initial dose of 0.</w:t>
      </w:r>
      <w:r w:rsidR="001F6DF4" w:rsidRPr="000C178D">
        <w:rPr>
          <w:rFonts w:ascii="Book Antiqua" w:hAnsi="Book Antiqua" w:cs="Times New Roman"/>
          <w:sz w:val="24"/>
          <w:szCs w:val="24"/>
        </w:rPr>
        <w:t>6 mg/kg/</w:t>
      </w:r>
      <w:r w:rsidR="000E7673" w:rsidRPr="000C178D">
        <w:rPr>
          <w:rFonts w:ascii="Book Antiqua" w:hAnsi="Book Antiqua" w:cs="Times New Roman"/>
          <w:sz w:val="24"/>
          <w:szCs w:val="24"/>
        </w:rPr>
        <w:t>d of prednisolone was recommended</w:t>
      </w:r>
      <w:r w:rsidR="006241BE" w:rsidRPr="000C178D">
        <w:rPr>
          <w:rFonts w:ascii="Book Antiqua" w:hAnsi="Book Antiqua" w:cs="Times New Roman"/>
          <w:sz w:val="24"/>
          <w:szCs w:val="24"/>
        </w:rPr>
        <w:t>, and t</w:t>
      </w:r>
      <w:r w:rsidR="000E7673" w:rsidRPr="000C178D">
        <w:rPr>
          <w:rFonts w:ascii="Book Antiqua" w:hAnsi="Book Antiqua" w:cs="Times New Roman"/>
          <w:sz w:val="24"/>
          <w:szCs w:val="24"/>
          <w:lang w:val="lt-LT"/>
        </w:rPr>
        <w:t>he follow-up visit and MRI w</w:t>
      </w:r>
      <w:r w:rsidR="004C5738" w:rsidRPr="000C178D">
        <w:rPr>
          <w:rFonts w:ascii="Book Antiqua" w:hAnsi="Book Antiqua" w:cs="Times New Roman"/>
          <w:sz w:val="24"/>
          <w:szCs w:val="24"/>
          <w:lang w:val="lt-LT"/>
        </w:rPr>
        <w:t>ere</w:t>
      </w:r>
      <w:r w:rsidR="000E7673" w:rsidRPr="000C178D">
        <w:rPr>
          <w:rFonts w:ascii="Book Antiqua" w:hAnsi="Book Antiqua" w:cs="Times New Roman"/>
          <w:sz w:val="24"/>
          <w:szCs w:val="24"/>
          <w:lang w:val="lt-LT"/>
        </w:rPr>
        <w:t xml:space="preserve"> scheduled after one month. In case of non-response, it was decided to considerate treatment with rituximab. </w:t>
      </w:r>
    </w:p>
    <w:p w14:paraId="366222D4" w14:textId="77777777" w:rsidR="000E7673" w:rsidRPr="000C178D" w:rsidRDefault="000E7673" w:rsidP="000C178D">
      <w:pPr>
        <w:autoSpaceDE w:val="0"/>
        <w:autoSpaceDN w:val="0"/>
        <w:adjustRightInd w:val="0"/>
        <w:snapToGrid w:val="0"/>
        <w:spacing w:after="0" w:line="360" w:lineRule="auto"/>
        <w:jc w:val="both"/>
        <w:rPr>
          <w:rFonts w:ascii="Book Antiqua" w:hAnsi="Book Antiqua" w:cs="Times New Roman"/>
          <w:b/>
          <w:i/>
          <w:sz w:val="24"/>
          <w:szCs w:val="24"/>
          <w:lang w:val="lt-LT"/>
        </w:rPr>
      </w:pPr>
    </w:p>
    <w:p w14:paraId="15C0FAD9" w14:textId="702921C7" w:rsidR="002D2E82" w:rsidRPr="000C178D" w:rsidRDefault="001A6AD0" w:rsidP="000C178D">
      <w:pPr>
        <w:autoSpaceDE w:val="0"/>
        <w:autoSpaceDN w:val="0"/>
        <w:adjustRightInd w:val="0"/>
        <w:snapToGrid w:val="0"/>
        <w:spacing w:after="0" w:line="360" w:lineRule="auto"/>
        <w:jc w:val="both"/>
        <w:rPr>
          <w:rFonts w:ascii="Book Antiqua" w:hAnsi="Book Antiqua" w:cs="Times New Roman"/>
          <w:b/>
          <w:sz w:val="24"/>
          <w:szCs w:val="24"/>
          <w:u w:val="single"/>
          <w:lang w:val="lt-LT"/>
        </w:rPr>
      </w:pPr>
      <w:r w:rsidRPr="000C178D">
        <w:rPr>
          <w:rFonts w:ascii="Book Antiqua" w:hAnsi="Book Antiqua" w:cs="Times New Roman"/>
          <w:b/>
          <w:sz w:val="24"/>
          <w:szCs w:val="24"/>
          <w:u w:val="single"/>
          <w:lang w:val="lt-LT"/>
        </w:rPr>
        <w:t>FINAL DIAGNOSIS</w:t>
      </w:r>
    </w:p>
    <w:p w14:paraId="2764195F" w14:textId="202E3B78" w:rsidR="002D2E82" w:rsidRPr="000C178D" w:rsidRDefault="000E7673" w:rsidP="000C178D">
      <w:pPr>
        <w:autoSpaceDE w:val="0"/>
        <w:autoSpaceDN w:val="0"/>
        <w:adjustRightInd w:val="0"/>
        <w:snapToGrid w:val="0"/>
        <w:spacing w:after="0" w:line="360" w:lineRule="auto"/>
        <w:jc w:val="both"/>
        <w:rPr>
          <w:rFonts w:ascii="Book Antiqua" w:hAnsi="Book Antiqua" w:cs="Times New Roman"/>
          <w:sz w:val="24"/>
          <w:szCs w:val="24"/>
          <w:lang w:val="lt-LT"/>
        </w:rPr>
      </w:pPr>
      <w:r w:rsidRPr="000C178D">
        <w:rPr>
          <w:rFonts w:ascii="Book Antiqua" w:hAnsi="Book Antiqua"/>
          <w:sz w:val="24"/>
          <w:szCs w:val="24"/>
        </w:rPr>
        <w:t xml:space="preserve">The final diagnosis </w:t>
      </w:r>
      <w:r w:rsidR="006241BE" w:rsidRPr="000C178D">
        <w:rPr>
          <w:rFonts w:ascii="Book Antiqua" w:hAnsi="Book Antiqua"/>
          <w:sz w:val="24"/>
          <w:szCs w:val="24"/>
        </w:rPr>
        <w:t xml:space="preserve">of the case </w:t>
      </w:r>
      <w:r w:rsidRPr="000C178D">
        <w:rPr>
          <w:rFonts w:ascii="Book Antiqua" w:hAnsi="Book Antiqua"/>
          <w:sz w:val="24"/>
          <w:szCs w:val="24"/>
        </w:rPr>
        <w:t>was</w:t>
      </w:r>
      <w:r w:rsidR="004331B5" w:rsidRPr="000C178D">
        <w:rPr>
          <w:rFonts w:ascii="Book Antiqua" w:hAnsi="Book Antiqua" w:cs="Times New Roman"/>
          <w:sz w:val="24"/>
          <w:szCs w:val="24"/>
          <w:lang w:val="lt-LT"/>
        </w:rPr>
        <w:t xml:space="preserve"> IgG4-RD presented</w:t>
      </w:r>
      <w:r w:rsidR="00385DBD" w:rsidRPr="000C178D">
        <w:rPr>
          <w:rFonts w:ascii="Book Antiqua" w:hAnsi="Book Antiqua" w:cs="Times New Roman"/>
          <w:sz w:val="24"/>
          <w:szCs w:val="24"/>
          <w:lang w:val="lt-LT"/>
        </w:rPr>
        <w:t xml:space="preserve"> with thyroiditis, orbital myositis</w:t>
      </w:r>
      <w:r w:rsidR="006241BE" w:rsidRPr="000C178D">
        <w:rPr>
          <w:rFonts w:ascii="Book Antiqua" w:hAnsi="Book Antiqua" w:cs="Times New Roman"/>
          <w:sz w:val="24"/>
          <w:szCs w:val="24"/>
          <w:lang w:val="lt-LT"/>
        </w:rPr>
        <w:t>,</w:t>
      </w:r>
      <w:r w:rsidR="00385DBD" w:rsidRPr="000C178D">
        <w:rPr>
          <w:rFonts w:ascii="Book Antiqua" w:hAnsi="Book Antiqua" w:cs="Times New Roman"/>
          <w:sz w:val="24"/>
          <w:szCs w:val="24"/>
          <w:lang w:val="lt-LT"/>
        </w:rPr>
        <w:t xml:space="preserve"> </w:t>
      </w:r>
      <w:r w:rsidRPr="000C178D">
        <w:rPr>
          <w:rFonts w:ascii="Book Antiqua" w:hAnsi="Book Antiqua" w:cs="Times New Roman"/>
          <w:sz w:val="24"/>
          <w:szCs w:val="24"/>
          <w:lang w:val="lt-LT"/>
        </w:rPr>
        <w:t>orbitopathy</w:t>
      </w:r>
      <w:r w:rsidR="00385DBD" w:rsidRPr="000C178D">
        <w:rPr>
          <w:rFonts w:ascii="Book Antiqua" w:hAnsi="Book Antiqua" w:cs="Times New Roman"/>
          <w:sz w:val="24"/>
          <w:szCs w:val="24"/>
          <w:lang w:val="lt-LT"/>
        </w:rPr>
        <w:t>, uveitis and scleritis, sialadenitis, AIP</w:t>
      </w:r>
      <w:r w:rsidR="00385DBD" w:rsidRPr="000C178D">
        <w:rPr>
          <w:rFonts w:ascii="Book Antiqua" w:hAnsi="Book Antiqua"/>
          <w:color w:val="000000" w:themeColor="text1"/>
          <w:sz w:val="24"/>
          <w:szCs w:val="24"/>
        </w:rPr>
        <w:t xml:space="preserve"> </w:t>
      </w:r>
      <w:r w:rsidR="00385DBD" w:rsidRPr="000C178D">
        <w:rPr>
          <w:rFonts w:ascii="Book Antiqua" w:hAnsi="Book Antiqua" w:cs="Times New Roman"/>
          <w:sz w:val="24"/>
          <w:szCs w:val="24"/>
          <w:lang w:val="lt-LT"/>
        </w:rPr>
        <w:t xml:space="preserve">and prostatitis. </w:t>
      </w:r>
    </w:p>
    <w:p w14:paraId="28AC269D" w14:textId="77777777" w:rsidR="00AC5A84" w:rsidRPr="000C178D" w:rsidRDefault="00AC5A84" w:rsidP="000C178D">
      <w:pPr>
        <w:autoSpaceDE w:val="0"/>
        <w:autoSpaceDN w:val="0"/>
        <w:adjustRightInd w:val="0"/>
        <w:snapToGrid w:val="0"/>
        <w:spacing w:after="0" w:line="360" w:lineRule="auto"/>
        <w:jc w:val="both"/>
        <w:rPr>
          <w:rFonts w:ascii="Book Antiqua" w:hAnsi="Book Antiqua" w:cs="Times New Roman"/>
          <w:sz w:val="24"/>
          <w:szCs w:val="24"/>
          <w:lang w:val="lt-LT"/>
        </w:rPr>
      </w:pPr>
    </w:p>
    <w:p w14:paraId="70371BEC" w14:textId="0C85074D" w:rsidR="002D2E82" w:rsidRPr="000C178D" w:rsidRDefault="001A6AD0" w:rsidP="000C178D">
      <w:pPr>
        <w:autoSpaceDE w:val="0"/>
        <w:autoSpaceDN w:val="0"/>
        <w:adjustRightInd w:val="0"/>
        <w:snapToGrid w:val="0"/>
        <w:spacing w:after="0" w:line="360" w:lineRule="auto"/>
        <w:jc w:val="both"/>
        <w:rPr>
          <w:rFonts w:ascii="Book Antiqua" w:hAnsi="Book Antiqua" w:cs="Times New Roman"/>
          <w:b/>
          <w:color w:val="000000" w:themeColor="text1"/>
          <w:sz w:val="24"/>
          <w:szCs w:val="24"/>
          <w:u w:val="single"/>
          <w:lang w:val="lt-LT"/>
        </w:rPr>
      </w:pPr>
      <w:r w:rsidRPr="000C178D">
        <w:rPr>
          <w:rFonts w:ascii="Book Antiqua" w:hAnsi="Book Antiqua" w:cs="Times New Roman"/>
          <w:b/>
          <w:color w:val="000000" w:themeColor="text1"/>
          <w:sz w:val="24"/>
          <w:szCs w:val="24"/>
          <w:u w:val="single"/>
          <w:lang w:val="lt-LT"/>
        </w:rPr>
        <w:t>TREATMENT</w:t>
      </w:r>
    </w:p>
    <w:p w14:paraId="0D371FE7" w14:textId="5789F4DB" w:rsidR="00385DBD" w:rsidRPr="000C178D" w:rsidRDefault="00385DBD" w:rsidP="000C178D">
      <w:pPr>
        <w:autoSpaceDE w:val="0"/>
        <w:autoSpaceDN w:val="0"/>
        <w:adjustRightInd w:val="0"/>
        <w:snapToGrid w:val="0"/>
        <w:spacing w:after="0" w:line="360" w:lineRule="auto"/>
        <w:jc w:val="both"/>
        <w:rPr>
          <w:rFonts w:ascii="Book Antiqua" w:hAnsi="Book Antiqua" w:cs="Times New Roman"/>
          <w:sz w:val="24"/>
          <w:szCs w:val="24"/>
          <w:lang w:val="lt-LT"/>
        </w:rPr>
      </w:pPr>
      <w:r w:rsidRPr="000C178D">
        <w:rPr>
          <w:rFonts w:ascii="Book Antiqua" w:hAnsi="Book Antiqua" w:cs="Times New Roman"/>
          <w:sz w:val="24"/>
          <w:szCs w:val="24"/>
          <w:lang w:val="lt-LT"/>
        </w:rPr>
        <w:t>The induction therapy with 40 mg/d (0.6 mg/kg/d) of prednisolone for 4 wk</w:t>
      </w:r>
      <w:r w:rsidR="00E52D41" w:rsidRPr="000C178D">
        <w:rPr>
          <w:rFonts w:ascii="Book Antiqua" w:hAnsi="Book Antiqua" w:cs="Times New Roman"/>
          <w:sz w:val="24"/>
          <w:szCs w:val="24"/>
          <w:lang w:val="lt-LT"/>
        </w:rPr>
        <w:t xml:space="preserve"> </w:t>
      </w:r>
      <w:r w:rsidRPr="000C178D">
        <w:rPr>
          <w:rFonts w:ascii="Book Antiqua" w:hAnsi="Book Antiqua" w:cs="Times New Roman"/>
          <w:sz w:val="24"/>
          <w:szCs w:val="24"/>
          <w:lang w:val="lt-LT"/>
        </w:rPr>
        <w:t>was started immediately and tapered until the maintenance dose of 5.0 mg/d.</w:t>
      </w:r>
    </w:p>
    <w:p w14:paraId="16CF9B71" w14:textId="5CE29027" w:rsidR="0086467A" w:rsidRPr="000C178D" w:rsidRDefault="0086467A" w:rsidP="000C178D">
      <w:pPr>
        <w:snapToGrid w:val="0"/>
        <w:spacing w:after="0" w:line="360" w:lineRule="auto"/>
        <w:rPr>
          <w:rFonts w:ascii="Book Antiqua" w:hAnsi="Book Antiqua" w:cs="Times New Roman"/>
          <w:sz w:val="24"/>
          <w:szCs w:val="24"/>
          <w:lang w:val="lt-LT"/>
        </w:rPr>
      </w:pPr>
    </w:p>
    <w:p w14:paraId="358AEC35" w14:textId="3749D4B4" w:rsidR="002D2E82" w:rsidRPr="000C178D" w:rsidRDefault="001A6AD0" w:rsidP="000C178D">
      <w:pPr>
        <w:shd w:val="clear" w:color="auto" w:fill="FFFFFF"/>
        <w:snapToGrid w:val="0"/>
        <w:spacing w:after="0" w:line="360" w:lineRule="auto"/>
        <w:jc w:val="both"/>
        <w:rPr>
          <w:rFonts w:ascii="Book Antiqua" w:hAnsi="Book Antiqua" w:cs="Times New Roman"/>
          <w:b/>
          <w:sz w:val="24"/>
          <w:szCs w:val="24"/>
          <w:u w:val="single"/>
          <w:lang w:val="lt-LT"/>
        </w:rPr>
      </w:pPr>
      <w:r w:rsidRPr="000C178D">
        <w:rPr>
          <w:rFonts w:ascii="Book Antiqua" w:hAnsi="Book Antiqua" w:cs="Times New Roman"/>
          <w:b/>
          <w:sz w:val="24"/>
          <w:szCs w:val="24"/>
          <w:u w:val="single"/>
          <w:lang w:val="lt-LT"/>
        </w:rPr>
        <w:t>OUTCOME AND FOLLOW-UP</w:t>
      </w:r>
    </w:p>
    <w:p w14:paraId="4ABF2E9D" w14:textId="72808579" w:rsidR="0082220D" w:rsidRPr="000C178D" w:rsidRDefault="004331B5" w:rsidP="000C178D">
      <w:pPr>
        <w:shd w:val="clear" w:color="auto" w:fill="FFFFFF"/>
        <w:snapToGrid w:val="0"/>
        <w:spacing w:after="0" w:line="360" w:lineRule="auto"/>
        <w:jc w:val="both"/>
        <w:rPr>
          <w:rFonts w:ascii="Book Antiqua" w:hAnsi="Book Antiqua" w:cs="Times New Roman"/>
          <w:iCs/>
          <w:color w:val="000000" w:themeColor="text1"/>
          <w:sz w:val="24"/>
          <w:szCs w:val="24"/>
          <w:lang w:val="lt-LT"/>
        </w:rPr>
      </w:pPr>
      <w:r w:rsidRPr="000C178D">
        <w:rPr>
          <w:rFonts w:ascii="Book Antiqua" w:hAnsi="Book Antiqua" w:cs="Times New Roman"/>
          <w:sz w:val="24"/>
          <w:szCs w:val="24"/>
          <w:lang w:val="lt-LT"/>
        </w:rPr>
        <w:t>A f</w:t>
      </w:r>
      <w:r w:rsidR="00385DBD" w:rsidRPr="000C178D">
        <w:rPr>
          <w:rFonts w:ascii="Book Antiqua" w:hAnsi="Book Antiqua" w:cs="Times New Roman"/>
          <w:sz w:val="24"/>
          <w:szCs w:val="24"/>
          <w:lang w:val="lt-LT"/>
        </w:rPr>
        <w:t>ollow-up visit one month later revealed significantly shrunken masses in front of the ears and the several times decreased serum IgG4 concentration (from 6.87 g/</w:t>
      </w:r>
      <w:r w:rsidR="00A30DB7" w:rsidRPr="000C178D">
        <w:rPr>
          <w:rFonts w:ascii="Book Antiqua" w:hAnsi="Book Antiqua" w:cs="Times New Roman"/>
          <w:sz w:val="24"/>
          <w:szCs w:val="24"/>
          <w:lang w:val="lt-LT"/>
        </w:rPr>
        <w:t>L</w:t>
      </w:r>
      <w:r w:rsidR="00385DBD" w:rsidRPr="000C178D">
        <w:rPr>
          <w:rFonts w:ascii="Book Antiqua" w:hAnsi="Book Antiqua" w:cs="Times New Roman"/>
          <w:sz w:val="24"/>
          <w:szCs w:val="24"/>
          <w:lang w:val="lt-LT"/>
        </w:rPr>
        <w:t xml:space="preserve"> to 1.93 g/</w:t>
      </w:r>
      <w:r w:rsidR="00A30DB7" w:rsidRPr="000C178D">
        <w:rPr>
          <w:rFonts w:ascii="Book Antiqua" w:hAnsi="Book Antiqua" w:cs="Times New Roman"/>
          <w:sz w:val="24"/>
          <w:szCs w:val="24"/>
          <w:lang w:val="lt-LT"/>
        </w:rPr>
        <w:t>L</w:t>
      </w:r>
      <w:r w:rsidR="00385DBD" w:rsidRPr="000C178D">
        <w:rPr>
          <w:rFonts w:ascii="Book Antiqua" w:hAnsi="Book Antiqua" w:cs="Times New Roman"/>
          <w:sz w:val="24"/>
          <w:szCs w:val="24"/>
          <w:lang w:val="lt-LT"/>
        </w:rPr>
        <w:t xml:space="preserve">). Repeated MRI showed a significant response to </w:t>
      </w:r>
      <w:r w:rsidR="00967AFF" w:rsidRPr="000C178D">
        <w:rPr>
          <w:rFonts w:ascii="Book Antiqua" w:hAnsi="Book Antiqua" w:cs="Times New Roman"/>
          <w:sz w:val="24"/>
          <w:szCs w:val="24"/>
          <w:lang w:val="lt-LT"/>
        </w:rPr>
        <w:t>glucocorticosteroid (</w:t>
      </w:r>
      <w:r w:rsidR="00385DBD" w:rsidRPr="000C178D">
        <w:rPr>
          <w:rFonts w:ascii="Book Antiqua" w:hAnsi="Book Antiqua" w:cs="Times New Roman"/>
          <w:sz w:val="24"/>
          <w:szCs w:val="24"/>
          <w:lang w:val="lt-LT"/>
        </w:rPr>
        <w:t>GC</w:t>
      </w:r>
      <w:r w:rsidR="00967AFF" w:rsidRPr="000C178D">
        <w:rPr>
          <w:rFonts w:ascii="Book Antiqua" w:hAnsi="Book Antiqua" w:cs="Times New Roman"/>
          <w:sz w:val="24"/>
          <w:szCs w:val="24"/>
          <w:lang w:val="lt-LT"/>
        </w:rPr>
        <w:t>)</w:t>
      </w:r>
      <w:r w:rsidR="00385DBD" w:rsidRPr="000C178D">
        <w:rPr>
          <w:rFonts w:ascii="Book Antiqua" w:hAnsi="Book Antiqua" w:cs="Times New Roman"/>
          <w:sz w:val="24"/>
          <w:szCs w:val="24"/>
          <w:lang w:val="lt-LT"/>
        </w:rPr>
        <w:t xml:space="preserve"> therapy with no signs of pancreatitis. (</w:t>
      </w:r>
      <w:r w:rsidR="000C2BE6" w:rsidRPr="000C178D">
        <w:fldChar w:fldCharType="begin"/>
      </w:r>
      <w:r w:rsidR="000C2BE6" w:rsidRPr="000C178D">
        <w:rPr>
          <w:rFonts w:ascii="Book Antiqua" w:hAnsi="Book Antiqua"/>
          <w:color w:val="000000" w:themeColor="text1"/>
          <w:sz w:val="24"/>
          <w:szCs w:val="24"/>
        </w:rPr>
        <w:instrText xml:space="preserve"> HYPERLINK \l "Figure5" </w:instrText>
      </w:r>
      <w:r w:rsidR="000C2BE6" w:rsidRPr="000C178D">
        <w:fldChar w:fldCharType="separate"/>
      </w:r>
      <w:r w:rsidR="00385DBD" w:rsidRPr="000C178D">
        <w:rPr>
          <w:rStyle w:val="a4"/>
          <w:rFonts w:ascii="Book Antiqua" w:hAnsi="Book Antiqua" w:cs="Times New Roman"/>
          <w:color w:val="000000" w:themeColor="text1"/>
          <w:sz w:val="24"/>
          <w:szCs w:val="24"/>
          <w:u w:val="none"/>
          <w:lang w:val="lt-LT"/>
        </w:rPr>
        <w:t xml:space="preserve">Figure </w:t>
      </w:r>
      <w:r w:rsidR="00385DBD" w:rsidRPr="000C178D">
        <w:rPr>
          <w:rStyle w:val="a4"/>
          <w:rFonts w:ascii="Book Antiqua" w:hAnsi="Book Antiqua" w:cs="Times New Roman"/>
          <w:color w:val="000000" w:themeColor="text1"/>
          <w:sz w:val="24"/>
          <w:szCs w:val="24"/>
          <w:u w:val="none"/>
        </w:rPr>
        <w:t>5</w:t>
      </w:r>
      <w:r w:rsidR="000C2BE6" w:rsidRPr="000C178D">
        <w:rPr>
          <w:rStyle w:val="a4"/>
          <w:rFonts w:ascii="Book Antiqua" w:hAnsi="Book Antiqua" w:cs="Times New Roman"/>
          <w:color w:val="000000" w:themeColor="text1"/>
          <w:sz w:val="24"/>
          <w:szCs w:val="24"/>
          <w:u w:val="none"/>
        </w:rPr>
        <w:fldChar w:fldCharType="end"/>
      </w:r>
      <w:r w:rsidR="00385DBD" w:rsidRPr="000C178D">
        <w:rPr>
          <w:rFonts w:ascii="Book Antiqua" w:hAnsi="Book Antiqua" w:cs="Times New Roman"/>
          <w:sz w:val="24"/>
          <w:szCs w:val="24"/>
          <w:lang w:val="lt-LT"/>
        </w:rPr>
        <w:t xml:space="preserve">). </w:t>
      </w:r>
      <w:r w:rsidR="00385DBD" w:rsidRPr="000C178D">
        <w:rPr>
          <w:rFonts w:ascii="Book Antiqua" w:hAnsi="Book Antiqua" w:cs="Times New Roman"/>
          <w:iCs/>
          <w:color w:val="000000" w:themeColor="text1"/>
          <w:sz w:val="24"/>
          <w:szCs w:val="24"/>
          <w:lang w:val="lt-LT"/>
        </w:rPr>
        <w:t>A year after the diagnosis</w:t>
      </w:r>
      <w:r w:rsidR="001F6DF4" w:rsidRPr="000C178D">
        <w:rPr>
          <w:rFonts w:ascii="Book Antiqua" w:hAnsi="Book Antiqua" w:cs="Times New Roman"/>
          <w:iCs/>
          <w:color w:val="000000" w:themeColor="text1"/>
          <w:sz w:val="24"/>
          <w:szCs w:val="24"/>
          <w:lang w:val="lt-LT"/>
        </w:rPr>
        <w:t xml:space="preserve"> and treatment</w:t>
      </w:r>
      <w:r w:rsidR="00385DBD" w:rsidRPr="000C178D">
        <w:rPr>
          <w:rFonts w:ascii="Book Antiqua" w:hAnsi="Book Antiqua" w:cs="Times New Roman"/>
          <w:iCs/>
          <w:color w:val="000000" w:themeColor="text1"/>
          <w:sz w:val="24"/>
          <w:szCs w:val="24"/>
          <w:lang w:val="lt-LT"/>
        </w:rPr>
        <w:t>, the patient's</w:t>
      </w:r>
      <w:r w:rsidR="00780C5B" w:rsidRPr="000C178D">
        <w:rPr>
          <w:rFonts w:ascii="Book Antiqua" w:hAnsi="Book Antiqua" w:cs="Times New Roman"/>
          <w:iCs/>
          <w:color w:val="000000" w:themeColor="text1"/>
          <w:sz w:val="24"/>
          <w:szCs w:val="24"/>
          <w:lang w:val="lt-LT"/>
        </w:rPr>
        <w:t xml:space="preserve"> overall</w:t>
      </w:r>
      <w:r w:rsidR="00385DBD" w:rsidRPr="000C178D">
        <w:rPr>
          <w:rFonts w:ascii="Book Antiqua" w:hAnsi="Book Antiqua" w:cs="Times New Roman"/>
          <w:iCs/>
          <w:color w:val="000000" w:themeColor="text1"/>
          <w:sz w:val="24"/>
          <w:szCs w:val="24"/>
          <w:lang w:val="lt-LT"/>
        </w:rPr>
        <w:t xml:space="preserve"> condition signifi</w:t>
      </w:r>
      <w:r w:rsidR="00780C5B" w:rsidRPr="000C178D">
        <w:rPr>
          <w:rFonts w:ascii="Book Antiqua" w:hAnsi="Book Antiqua" w:cs="Times New Roman"/>
          <w:iCs/>
          <w:color w:val="000000" w:themeColor="text1"/>
          <w:sz w:val="24"/>
          <w:szCs w:val="24"/>
          <w:lang w:val="lt-LT"/>
        </w:rPr>
        <w:t xml:space="preserve">cantly improved: </w:t>
      </w:r>
      <w:r w:rsidR="00BB67EB" w:rsidRPr="000C178D">
        <w:rPr>
          <w:rFonts w:ascii="Book Antiqua" w:hAnsi="Book Antiqua" w:cs="Times New Roman"/>
          <w:iCs/>
          <w:color w:val="000000" w:themeColor="text1"/>
          <w:sz w:val="24"/>
          <w:szCs w:val="24"/>
          <w:lang w:val="lt-LT"/>
        </w:rPr>
        <w:t>T</w:t>
      </w:r>
      <w:r w:rsidR="00780C5B" w:rsidRPr="000C178D">
        <w:rPr>
          <w:rFonts w:ascii="Book Antiqua" w:hAnsi="Book Antiqua" w:cs="Times New Roman"/>
          <w:iCs/>
          <w:color w:val="000000" w:themeColor="text1"/>
          <w:sz w:val="24"/>
          <w:szCs w:val="24"/>
          <w:lang w:val="lt-LT"/>
        </w:rPr>
        <w:t>he majority of symptoms regressed</w:t>
      </w:r>
      <w:r w:rsidR="006241BE" w:rsidRPr="000C178D">
        <w:rPr>
          <w:rFonts w:ascii="Book Antiqua" w:hAnsi="Book Antiqua" w:cs="Times New Roman"/>
          <w:iCs/>
          <w:color w:val="000000" w:themeColor="text1"/>
          <w:sz w:val="24"/>
          <w:szCs w:val="24"/>
          <w:lang w:val="lt-LT"/>
        </w:rPr>
        <w:t>,</w:t>
      </w:r>
      <w:r w:rsidR="00E9109B" w:rsidRPr="000C178D">
        <w:rPr>
          <w:rFonts w:ascii="Book Antiqua" w:hAnsi="Book Antiqua" w:cs="Times New Roman"/>
          <w:iCs/>
          <w:color w:val="000000" w:themeColor="text1"/>
          <w:sz w:val="24"/>
          <w:szCs w:val="24"/>
          <w:lang w:val="lt-LT"/>
        </w:rPr>
        <w:t xml:space="preserve"> and he</w:t>
      </w:r>
      <w:r w:rsidR="00385DBD" w:rsidRPr="000C178D">
        <w:rPr>
          <w:rFonts w:ascii="Book Antiqua" w:hAnsi="Book Antiqua" w:cs="Times New Roman"/>
          <w:iCs/>
          <w:color w:val="000000" w:themeColor="text1"/>
          <w:sz w:val="24"/>
          <w:szCs w:val="24"/>
          <w:lang w:val="lt-LT"/>
        </w:rPr>
        <w:t xml:space="preserve"> gained </w:t>
      </w:r>
      <w:r w:rsidR="00385DBD" w:rsidRPr="000C178D">
        <w:rPr>
          <w:rFonts w:ascii="Book Antiqua" w:hAnsi="Book Antiqua" w:cs="Times New Roman"/>
          <w:iCs/>
          <w:color w:val="000000" w:themeColor="text1"/>
          <w:sz w:val="24"/>
          <w:szCs w:val="24"/>
          <w:lang w:val="lt-LT"/>
        </w:rPr>
        <w:lastRenderedPageBreak/>
        <w:t xml:space="preserve">back most of his lost weight. Diabetes was under control without </w:t>
      </w:r>
      <w:r w:rsidR="00B85421" w:rsidRPr="000C178D">
        <w:rPr>
          <w:rFonts w:ascii="Book Antiqua" w:hAnsi="Book Antiqua" w:cs="Times New Roman"/>
          <w:iCs/>
          <w:color w:val="000000" w:themeColor="text1"/>
          <w:sz w:val="24"/>
          <w:szCs w:val="24"/>
          <w:lang w:val="lt-LT"/>
        </w:rPr>
        <w:t>any a</w:t>
      </w:r>
      <w:r w:rsidR="00385DBD" w:rsidRPr="000C178D">
        <w:rPr>
          <w:rFonts w:ascii="Book Antiqua" w:hAnsi="Book Antiqua" w:cs="Times New Roman"/>
          <w:iCs/>
          <w:color w:val="000000" w:themeColor="text1"/>
          <w:sz w:val="24"/>
          <w:szCs w:val="24"/>
          <w:lang w:val="lt-LT"/>
        </w:rPr>
        <w:t>ntidiabetic drug</w:t>
      </w:r>
      <w:r w:rsidR="00B85421" w:rsidRPr="000C178D">
        <w:rPr>
          <w:rFonts w:ascii="Book Antiqua" w:hAnsi="Book Antiqua" w:cs="Times New Roman"/>
          <w:iCs/>
          <w:color w:val="000000" w:themeColor="text1"/>
          <w:sz w:val="24"/>
          <w:szCs w:val="24"/>
          <w:lang w:val="lt-LT"/>
        </w:rPr>
        <w:t xml:space="preserve"> use</w:t>
      </w:r>
      <w:r w:rsidR="0082220D" w:rsidRPr="000C178D">
        <w:rPr>
          <w:rFonts w:ascii="Book Antiqua" w:hAnsi="Book Antiqua" w:cs="Times New Roman"/>
          <w:iCs/>
          <w:color w:val="000000" w:themeColor="text1"/>
          <w:sz w:val="24"/>
          <w:szCs w:val="24"/>
          <w:lang w:val="lt-LT"/>
        </w:rPr>
        <w:t>, urination problems resolved</w:t>
      </w:r>
      <w:r w:rsidR="00385DBD" w:rsidRPr="000C178D">
        <w:rPr>
          <w:rFonts w:ascii="Book Antiqua" w:hAnsi="Book Antiqua" w:cs="Times New Roman"/>
          <w:iCs/>
          <w:color w:val="000000" w:themeColor="text1"/>
          <w:sz w:val="24"/>
          <w:szCs w:val="24"/>
          <w:lang w:val="lt-LT"/>
        </w:rPr>
        <w:t xml:space="preserve">. </w:t>
      </w:r>
      <w:r w:rsidR="002E522D" w:rsidRPr="000C178D">
        <w:rPr>
          <w:rFonts w:ascii="Book Antiqua" w:hAnsi="Book Antiqua" w:cs="Times New Roman"/>
          <w:iCs/>
          <w:color w:val="000000" w:themeColor="text1"/>
          <w:sz w:val="24"/>
          <w:szCs w:val="24"/>
          <w:lang w:val="lt-LT"/>
        </w:rPr>
        <w:t>Exopht</w:t>
      </w:r>
      <w:r w:rsidR="00B85421" w:rsidRPr="000C178D">
        <w:rPr>
          <w:rFonts w:ascii="Book Antiqua" w:hAnsi="Book Antiqua" w:cs="Times New Roman"/>
          <w:iCs/>
          <w:color w:val="000000" w:themeColor="text1"/>
          <w:sz w:val="24"/>
          <w:szCs w:val="24"/>
          <w:lang w:val="lt-LT"/>
        </w:rPr>
        <w:t>hal</w:t>
      </w:r>
      <w:r w:rsidR="002E522D" w:rsidRPr="000C178D">
        <w:rPr>
          <w:rFonts w:ascii="Book Antiqua" w:hAnsi="Book Antiqua" w:cs="Times New Roman"/>
          <w:iCs/>
          <w:color w:val="000000" w:themeColor="text1"/>
          <w:sz w:val="24"/>
          <w:szCs w:val="24"/>
          <w:lang w:val="lt-LT"/>
        </w:rPr>
        <w:t>mos also improved over time</w:t>
      </w:r>
      <w:r w:rsidR="00635A1A" w:rsidRPr="000C178D">
        <w:rPr>
          <w:rFonts w:ascii="Book Antiqua" w:hAnsi="Book Antiqua" w:cs="Times New Roman"/>
          <w:iCs/>
          <w:color w:val="000000" w:themeColor="text1"/>
          <w:sz w:val="24"/>
          <w:szCs w:val="24"/>
          <w:lang w:val="lt-LT"/>
        </w:rPr>
        <w:t>.</w:t>
      </w:r>
      <w:r w:rsidR="002E522D" w:rsidRPr="000C178D">
        <w:rPr>
          <w:rFonts w:ascii="Book Antiqua" w:hAnsi="Book Antiqua" w:cs="Times New Roman"/>
          <w:iCs/>
          <w:color w:val="000000" w:themeColor="text1"/>
          <w:sz w:val="24"/>
          <w:szCs w:val="24"/>
          <w:lang w:val="lt-LT"/>
        </w:rPr>
        <w:t xml:space="preserve"> </w:t>
      </w:r>
      <w:r w:rsidR="0082220D" w:rsidRPr="000C178D">
        <w:rPr>
          <w:rFonts w:ascii="Book Antiqua" w:hAnsi="Book Antiqua" w:cs="Times New Roman"/>
          <w:iCs/>
          <w:color w:val="000000" w:themeColor="text1"/>
          <w:sz w:val="24"/>
          <w:szCs w:val="24"/>
          <w:lang w:val="lt-LT"/>
        </w:rPr>
        <w:t>The grade of left proptosis decreased, ho</w:t>
      </w:r>
      <w:r w:rsidR="002E522D" w:rsidRPr="000C178D">
        <w:rPr>
          <w:rFonts w:ascii="Book Antiqua" w:hAnsi="Book Antiqua" w:cs="Times New Roman"/>
          <w:iCs/>
          <w:color w:val="000000" w:themeColor="text1"/>
          <w:sz w:val="24"/>
          <w:szCs w:val="24"/>
          <w:lang w:val="lt-LT"/>
        </w:rPr>
        <w:t>wever</w:t>
      </w:r>
      <w:r w:rsidR="00635A1A" w:rsidRPr="000C178D">
        <w:rPr>
          <w:rFonts w:ascii="Book Antiqua" w:hAnsi="Book Antiqua" w:cs="Times New Roman"/>
          <w:iCs/>
          <w:color w:val="000000" w:themeColor="text1"/>
          <w:sz w:val="24"/>
          <w:szCs w:val="24"/>
          <w:lang w:val="lt-LT"/>
        </w:rPr>
        <w:t>,</w:t>
      </w:r>
      <w:r w:rsidR="002E522D" w:rsidRPr="000C178D">
        <w:rPr>
          <w:rFonts w:ascii="Book Antiqua" w:hAnsi="Book Antiqua" w:cs="Times New Roman"/>
          <w:iCs/>
          <w:color w:val="000000" w:themeColor="text1"/>
          <w:sz w:val="24"/>
          <w:szCs w:val="24"/>
          <w:lang w:val="lt-LT"/>
        </w:rPr>
        <w:t xml:space="preserve"> diplopia</w:t>
      </w:r>
      <w:r w:rsidR="002B2BF9" w:rsidRPr="000C178D">
        <w:rPr>
          <w:rFonts w:ascii="Book Antiqua" w:hAnsi="Book Antiqua" w:cs="Times New Roman"/>
          <w:iCs/>
          <w:color w:val="000000" w:themeColor="text1"/>
          <w:sz w:val="24"/>
          <w:szCs w:val="24"/>
          <w:lang w:val="lt-LT"/>
        </w:rPr>
        <w:t>,</w:t>
      </w:r>
      <w:r w:rsidR="002E522D" w:rsidRPr="000C178D">
        <w:rPr>
          <w:rFonts w:ascii="Book Antiqua" w:hAnsi="Book Antiqua" w:cs="Times New Roman"/>
          <w:iCs/>
          <w:color w:val="000000" w:themeColor="text1"/>
          <w:sz w:val="24"/>
          <w:szCs w:val="24"/>
          <w:lang w:val="lt-LT"/>
        </w:rPr>
        <w:t xml:space="preserve"> vision disturbance</w:t>
      </w:r>
      <w:r w:rsidR="002B2BF9" w:rsidRPr="000C178D">
        <w:rPr>
          <w:rFonts w:ascii="Book Antiqua" w:hAnsi="Book Antiqua" w:cs="Times New Roman"/>
          <w:iCs/>
          <w:color w:val="000000" w:themeColor="text1"/>
          <w:sz w:val="24"/>
          <w:szCs w:val="24"/>
          <w:lang w:val="lt-LT"/>
        </w:rPr>
        <w:t xml:space="preserve"> and strabismus </w:t>
      </w:r>
      <w:r w:rsidR="002E522D" w:rsidRPr="000C178D">
        <w:rPr>
          <w:rFonts w:ascii="Book Antiqua" w:hAnsi="Book Antiqua" w:cs="Times New Roman"/>
          <w:iCs/>
          <w:color w:val="000000" w:themeColor="text1"/>
          <w:sz w:val="24"/>
          <w:szCs w:val="24"/>
          <w:lang w:val="lt-LT"/>
        </w:rPr>
        <w:t xml:space="preserve">remained. </w:t>
      </w:r>
      <w:r w:rsidR="0082220D" w:rsidRPr="000C178D">
        <w:rPr>
          <w:rFonts w:ascii="Book Antiqua" w:hAnsi="Book Antiqua" w:cs="Times New Roman"/>
          <w:iCs/>
          <w:color w:val="000000" w:themeColor="text1"/>
          <w:sz w:val="24"/>
          <w:szCs w:val="24"/>
          <w:lang w:val="lt-LT"/>
        </w:rPr>
        <w:t>The recession of the left inferior rectus muscle was recently performed to correct the high-level strabismus.</w:t>
      </w:r>
    </w:p>
    <w:p w14:paraId="2D9482E6" w14:textId="7DFEB9A3" w:rsidR="00385DBD" w:rsidRPr="000C178D" w:rsidRDefault="00635A1A" w:rsidP="000C178D">
      <w:pPr>
        <w:shd w:val="clear" w:color="auto" w:fill="FFFFFF"/>
        <w:snapToGrid w:val="0"/>
        <w:spacing w:after="0" w:line="360" w:lineRule="auto"/>
        <w:ind w:firstLine="284"/>
        <w:jc w:val="both"/>
        <w:rPr>
          <w:rFonts w:ascii="Book Antiqua" w:hAnsi="Book Antiqua" w:cs="Times New Roman"/>
          <w:iCs/>
          <w:color w:val="000000" w:themeColor="text1"/>
          <w:sz w:val="24"/>
          <w:szCs w:val="24"/>
          <w:lang w:val="lt-LT"/>
        </w:rPr>
      </w:pPr>
      <w:r w:rsidRPr="000C178D">
        <w:rPr>
          <w:rFonts w:ascii="Book Antiqua" w:hAnsi="Book Antiqua" w:cs="Times New Roman"/>
          <w:iCs/>
          <w:color w:val="000000" w:themeColor="text1"/>
          <w:sz w:val="24"/>
          <w:szCs w:val="24"/>
          <w:lang w:val="lt-LT"/>
        </w:rPr>
        <w:t>T</w:t>
      </w:r>
      <w:r w:rsidR="00385DBD" w:rsidRPr="000C178D">
        <w:rPr>
          <w:rFonts w:ascii="Book Antiqua" w:hAnsi="Book Antiqua" w:cs="Times New Roman"/>
          <w:iCs/>
          <w:color w:val="000000" w:themeColor="text1"/>
          <w:sz w:val="24"/>
          <w:szCs w:val="24"/>
          <w:lang w:val="lt-LT"/>
        </w:rPr>
        <w:t>he patient is now on maintenance therapy of 5 mg of prednisolone.</w:t>
      </w:r>
      <w:r w:rsidR="00385DBD" w:rsidRPr="000C178D">
        <w:rPr>
          <w:rStyle w:val="a6"/>
          <w:rFonts w:ascii="Book Antiqua" w:hAnsi="Book Antiqua"/>
          <w:sz w:val="24"/>
          <w:szCs w:val="24"/>
        </w:rPr>
        <w:t xml:space="preserve"> </w:t>
      </w:r>
      <w:r w:rsidR="00385DBD" w:rsidRPr="000C178D">
        <w:rPr>
          <w:rFonts w:ascii="Book Antiqua" w:hAnsi="Book Antiqua" w:cs="Times New Roman"/>
          <w:iCs/>
          <w:color w:val="000000" w:themeColor="text1"/>
          <w:sz w:val="24"/>
          <w:szCs w:val="24"/>
          <w:lang w:val="lt-LT"/>
        </w:rPr>
        <w:t>Control MRI 16 months later showed no signs of pancreatitis or other organ a</w:t>
      </w:r>
      <w:r w:rsidR="002B2BF9" w:rsidRPr="000C178D">
        <w:rPr>
          <w:rFonts w:ascii="Book Antiqua" w:hAnsi="Book Antiqua" w:cs="Times New Roman"/>
          <w:iCs/>
          <w:color w:val="000000" w:themeColor="text1"/>
          <w:sz w:val="24"/>
          <w:szCs w:val="24"/>
          <w:lang w:val="lt-LT"/>
        </w:rPr>
        <w:t>b</w:t>
      </w:r>
      <w:r w:rsidR="00385DBD" w:rsidRPr="000C178D">
        <w:rPr>
          <w:rFonts w:ascii="Book Antiqua" w:hAnsi="Book Antiqua" w:cs="Times New Roman"/>
          <w:iCs/>
          <w:color w:val="000000" w:themeColor="text1"/>
          <w:sz w:val="24"/>
          <w:szCs w:val="24"/>
          <w:lang w:val="lt-LT"/>
        </w:rPr>
        <w:t xml:space="preserve">normalities. The patient is now carefully followed up </w:t>
      </w:r>
      <w:r w:rsidR="001F6DF4" w:rsidRPr="000C178D">
        <w:rPr>
          <w:rFonts w:ascii="Book Antiqua" w:hAnsi="Book Antiqua" w:cs="Times New Roman"/>
          <w:iCs/>
          <w:color w:val="000000" w:themeColor="text1"/>
          <w:sz w:val="24"/>
          <w:szCs w:val="24"/>
          <w:lang w:val="lt-LT"/>
        </w:rPr>
        <w:t xml:space="preserve">every three months by </w:t>
      </w:r>
      <w:r w:rsidR="006241BE" w:rsidRPr="000C178D">
        <w:rPr>
          <w:rFonts w:ascii="Book Antiqua" w:hAnsi="Book Antiqua" w:cs="Times New Roman"/>
          <w:iCs/>
          <w:color w:val="000000" w:themeColor="text1"/>
          <w:sz w:val="24"/>
          <w:szCs w:val="24"/>
          <w:lang w:val="lt-LT"/>
        </w:rPr>
        <w:t xml:space="preserve">the </w:t>
      </w:r>
      <w:r w:rsidR="001F6DF4" w:rsidRPr="000C178D">
        <w:rPr>
          <w:rFonts w:ascii="Book Antiqua" w:hAnsi="Book Antiqua" w:cs="Times New Roman"/>
          <w:iCs/>
          <w:color w:val="000000" w:themeColor="text1"/>
          <w:sz w:val="24"/>
          <w:szCs w:val="24"/>
          <w:lang w:val="lt-LT"/>
        </w:rPr>
        <w:t>gastroenterologist, endo</w:t>
      </w:r>
      <w:r w:rsidR="00DE584F" w:rsidRPr="000C178D">
        <w:rPr>
          <w:rFonts w:ascii="Book Antiqua" w:hAnsi="Book Antiqua" w:cs="Times New Roman"/>
          <w:iCs/>
          <w:color w:val="000000" w:themeColor="text1"/>
          <w:sz w:val="24"/>
          <w:szCs w:val="24"/>
          <w:lang w:val="lt-LT"/>
        </w:rPr>
        <w:t>crinologist and ophthalmologist</w:t>
      </w:r>
      <w:r w:rsidR="00385DBD" w:rsidRPr="000C178D">
        <w:rPr>
          <w:rFonts w:ascii="Book Antiqua" w:hAnsi="Book Antiqua" w:cs="Times New Roman"/>
          <w:iCs/>
          <w:color w:val="000000" w:themeColor="text1"/>
          <w:sz w:val="24"/>
          <w:szCs w:val="24"/>
          <w:lang w:val="lt-LT"/>
        </w:rPr>
        <w:t>.</w:t>
      </w:r>
    </w:p>
    <w:p w14:paraId="544A0EF2" w14:textId="01C10E82" w:rsidR="00385DBD" w:rsidRPr="000C178D" w:rsidRDefault="00385DBD" w:rsidP="000C178D">
      <w:pPr>
        <w:snapToGrid w:val="0"/>
        <w:spacing w:after="0" w:line="360" w:lineRule="auto"/>
        <w:rPr>
          <w:rFonts w:ascii="Book Antiqua" w:hAnsi="Book Antiqua" w:cs="Times New Roman"/>
          <w:b/>
          <w:sz w:val="24"/>
          <w:szCs w:val="24"/>
          <w:u w:val="single"/>
        </w:rPr>
      </w:pPr>
    </w:p>
    <w:p w14:paraId="2CDD915B" w14:textId="77777777" w:rsidR="00A719BC" w:rsidRPr="000C178D" w:rsidRDefault="00A719BC" w:rsidP="000C178D">
      <w:pPr>
        <w:snapToGrid w:val="0"/>
        <w:spacing w:after="0" w:line="360" w:lineRule="auto"/>
        <w:rPr>
          <w:rFonts w:ascii="Book Antiqua" w:hAnsi="Book Antiqua" w:cs="Times New Roman"/>
          <w:b/>
          <w:sz w:val="24"/>
          <w:szCs w:val="24"/>
          <w:u w:val="single"/>
        </w:rPr>
      </w:pPr>
      <w:r w:rsidRPr="000C178D">
        <w:rPr>
          <w:rFonts w:ascii="Book Antiqua" w:hAnsi="Book Antiqua" w:cs="Times New Roman"/>
          <w:b/>
          <w:sz w:val="24"/>
          <w:szCs w:val="24"/>
          <w:u w:val="single"/>
        </w:rPr>
        <w:t>DISCUSSION</w:t>
      </w:r>
    </w:p>
    <w:p w14:paraId="4B1E21E1" w14:textId="10C09F02" w:rsidR="00A719BC" w:rsidRPr="000C178D" w:rsidRDefault="00A719BC" w:rsidP="000C178D">
      <w:pPr>
        <w:autoSpaceDE w:val="0"/>
        <w:autoSpaceDN w:val="0"/>
        <w:adjustRightInd w:val="0"/>
        <w:snapToGrid w:val="0"/>
        <w:spacing w:after="0" w:line="360" w:lineRule="auto"/>
        <w:jc w:val="both"/>
        <w:rPr>
          <w:rFonts w:ascii="Book Antiqua" w:hAnsi="Book Antiqua" w:cs="Times New Roman"/>
          <w:color w:val="000000"/>
          <w:sz w:val="24"/>
          <w:szCs w:val="24"/>
          <w:shd w:val="clear" w:color="auto" w:fill="FFFFFF"/>
        </w:rPr>
      </w:pPr>
      <w:r w:rsidRPr="000C178D">
        <w:rPr>
          <w:rFonts w:ascii="Book Antiqua" w:hAnsi="Book Antiqua" w:cs="Times New Roman"/>
          <w:color w:val="232323"/>
          <w:sz w:val="24"/>
          <w:szCs w:val="24"/>
        </w:rPr>
        <w:t>The exact prevalence of IgG4-RD is unknown, as the condition still does not have its own unique International Statistical Classification of Diseases -10 code and t</w:t>
      </w:r>
      <w:r w:rsidRPr="000C178D">
        <w:rPr>
          <w:rFonts w:ascii="Book Antiqua" w:hAnsi="Book Antiqua" w:cs="Times New Roman"/>
          <w:sz w:val="24"/>
          <w:szCs w:val="24"/>
        </w:rPr>
        <w:t xml:space="preserve">he International Classification Criteria </w:t>
      </w:r>
      <w:r w:rsidRPr="000C178D">
        <w:rPr>
          <w:rFonts w:ascii="Book Antiqua" w:hAnsi="Book Antiqua" w:cs="Times New Roman"/>
          <w:sz w:val="24"/>
          <w:szCs w:val="24"/>
          <w:shd w:val="clear" w:color="auto" w:fill="FFFFFF" w:themeFill="background1"/>
        </w:rPr>
        <w:t>have been validated just recently</w:t>
      </w:r>
      <w:r w:rsidR="00CE726F" w:rsidRPr="000C178D">
        <w:rPr>
          <w:rFonts w:ascii="Book Antiqua" w:hAnsi="Book Antiqua" w:cs="Times New Roman"/>
          <w:sz w:val="24"/>
          <w:szCs w:val="24"/>
          <w:shd w:val="clear" w:color="auto" w:fill="FFFFFF" w:themeFill="background1"/>
          <w:vertAlign w:val="superscript"/>
        </w:rPr>
        <w:t>[</w:t>
      </w:r>
      <w:r w:rsidRPr="000C178D">
        <w:rPr>
          <w:rFonts w:ascii="Book Antiqua" w:hAnsi="Book Antiqua" w:cs="Times New Roman"/>
          <w:sz w:val="24"/>
          <w:szCs w:val="24"/>
        </w:rPr>
        <w:fldChar w:fldCharType="begin" w:fldLock="1"/>
      </w:r>
      <w:r w:rsidR="001867B4" w:rsidRPr="000C178D">
        <w:rPr>
          <w:rFonts w:ascii="Book Antiqua" w:hAnsi="Book Antiqua" w:cs="Times New Roman"/>
          <w:sz w:val="24"/>
          <w:szCs w:val="24"/>
        </w:rPr>
        <w:instrText>ADDIN CSL_CITATION {"citationItems":[{"id":"ITEM-1","itemData":{"DOI":"10.1136/annrheumdis-2019-216561","abstract":"IgG4-related disease (IgG4-RD) can cause fibroinflammatory lesions in nearly any organ. Correlation among clinical, serological, radiological and pathological data is required for diagnosis. This work was undertaken to develop and validate an international set of classification criteria for IgG4-RD. An international multispecialty group of 86 physicians was assembled by the American College of Rheumatology (ACR) and the European League Against Rheumatism (EULAR). Investigators used consensus exercises; existing literature; derivation and validation cohorts of 1879 subjects (1086 cases, 793 mimickers); and multicriterion decision analysis to identify, weight and test potential classification criteria. Two independent validation cohorts were included. A three-step classification process was developed. First, it must be demonstrated that a potential IgG4-RD case has involvement of at least one of 11 possible organs in a manner consistent with IgG4-RD. Second, exclusion criteria consisting of a total of 32 clinical, serological, radiological and pathological items must be applied; the presence of any of these criteria eliminates the patient from IgG4-RD classification. Third, eight weighted inclusion criteria domains, addressing clinical findings, serological results, radiological assessments and pathological interpretations, are applied. In the first validation cohort, a threshold of 20 points had a specificity of 99.2% (95% CI 97.2% to 99.8%) and a sensitivity of 85.5% (95% CI 81.9% to 88.5%). In the second, the specificity was 97.8% (95% CI 93.7% to 99.2%) and the sensitivity was 82.0% (95% CI 77.0% to 86.1%). The criteria were shown to have robust test characteristics over a wide range of thresholds. ACR/EULAR classification criteria for IgG4-RD have been developed and validated in a large cohort of patients. These criteria demonstrate excellent test performance and should contribute substantially to future clinical, epidemiological and basic science investigations.","author":[{"dropping-particle":"","family":"Wallace","given":"Zachary S","non-dropping-particle":"","parse-names":false,"suffix":""},{"dropping-particle":"","family":"Naden","given":"Ray P","non-dropping-particle":"","parse-names":false,"suffix":""},{"dropping-particle":"","family":"Chari","given":"Suresh","non-dropping-particle":"","parse-names":false,"suffix":""},{"dropping-particle":"","family":"Choi","given":"Hyon K","non-dropping-particle":"","parse-names":false,"suffix":""},{"dropping-particle":"","family":"Della-Torre","given":"Emanuel","non-dropping-particle":"","parse-names":false,"suffix":""},{"dropping-particle":"","family":"Dicaire","given":"Jean-Francois","non-dropping-particle":"","parse-names":false,"suffix":""},{"dropping-particle":"","family":"Hart","given":"Phillip A","non-dropping-particle":"","parse-names":false,"suffix":""},{"dropping-particle":"","family":"Inoue","given":"Dai","non-dropping-particle":"","parse-names":false,"suffix":""},{"dropping-particle":"","family":"Kawano","given":"Mitsuhiro","non-dropping-particle":"","parse-names":false,"suffix":""},{"dropping-particle":"","family":"Khosroshahi","given":"Arezou","non-dropping-particle":"","parse-names":false,"suffix":""},{"dropping-particle":"","family":"Lanzillotta","given":"Marco","non-dropping-particle":"","parse-names":false,"suffix":""},{"dropping-particle":"","family":"Okazaki","given":"Kazuichi","non-dropping-particle":"","parse-names":false,"suffix":""},{"dropping-particle":"","family":"Perugino","given":"Cory A","non-dropping-particle":"","parse-names":false,"suffix":""},{"dropping-particle":"","family":"Sharma","given":"Amita","non-dropping-particle":"","parse-names":false,"suffix":""},{"dropping-particle":"","family":"Saeki","given":"Takako","non-dropping-particle":"","parse-names":false,"suffix":""},{"dropping-particle":"","family":"Schleinitz","given":"Nicolas","non-dropping-particle":"","parse-names":false,"suffix":""},{"dropping-particle":"","family":"Takahashi","given":"Naoki","non-dropping-particle":"","parse-names":false,"suffix":""},{"dropping-particle":"","family":"Umehara","given":"Hisanori","non-dropping-particle":"","parse-names":false,"suffix":""},{"dropping-particle":"","family":"Zen","given":"Yoh","non-dropping-particle":"","parse-names":false,"suffix":""},{"dropping-particle":"","family":"Stone","given":"John H","non-dropping-particle":"","parse-names":false,"suffix":""}],"container-title":"Annals of the Rheumatic Diseases","id":"ITEM-1","issue":"1","issued":{"date-parts":[["2019"]]},"page":"77-87","title":"European League Against Rheumatism classification criteria for IgG4-related disease","type":"article-journal","volume":"79"},"uris":["http://www.mendeley.com/documents/?uuid=8eb6fa6c-5dcd-3f29-9455-805408c619d3"]}],"mendeley":{"formattedCitation":"&lt;sup&gt;9&lt;/sup&gt;","plainTextFormattedCitation":"9","previouslyFormattedCitation":"[9]"},"properties":{"noteIndex":0},"schema":"https://github.com/citation-style-language/schema/raw/master/csl-citation.json"}</w:instrText>
      </w:r>
      <w:r w:rsidRPr="000C178D">
        <w:rPr>
          <w:rFonts w:ascii="Book Antiqua" w:hAnsi="Book Antiqua" w:cs="Times New Roman"/>
          <w:sz w:val="24"/>
          <w:szCs w:val="24"/>
        </w:rPr>
        <w:fldChar w:fldCharType="separate"/>
      </w:r>
      <w:r w:rsidR="001867B4" w:rsidRPr="000C178D">
        <w:rPr>
          <w:rFonts w:ascii="Book Antiqua" w:hAnsi="Book Antiqua" w:cs="Times New Roman"/>
          <w:noProof/>
          <w:sz w:val="24"/>
          <w:szCs w:val="24"/>
          <w:vertAlign w:val="superscript"/>
        </w:rPr>
        <w:t>9</w:t>
      </w:r>
      <w:r w:rsidRPr="000C178D">
        <w:rPr>
          <w:rFonts w:ascii="Book Antiqua" w:hAnsi="Book Antiqua" w:cs="Times New Roman"/>
          <w:sz w:val="24"/>
          <w:szCs w:val="24"/>
        </w:rPr>
        <w:fldChar w:fldCharType="end"/>
      </w:r>
      <w:r w:rsidR="00CE726F" w:rsidRPr="000C178D">
        <w:rPr>
          <w:rFonts w:ascii="Book Antiqua" w:hAnsi="Book Antiqua" w:cs="Times New Roman"/>
          <w:sz w:val="24"/>
          <w:szCs w:val="24"/>
          <w:vertAlign w:val="superscript"/>
        </w:rPr>
        <w:t>]</w:t>
      </w:r>
      <w:r w:rsidRPr="000C178D">
        <w:rPr>
          <w:rFonts w:ascii="Book Antiqua" w:hAnsi="Book Antiqua" w:cs="Times New Roman"/>
          <w:sz w:val="24"/>
          <w:szCs w:val="24"/>
          <w:shd w:val="clear" w:color="auto" w:fill="FFFFFF" w:themeFill="background1"/>
        </w:rPr>
        <w:t>.</w:t>
      </w:r>
      <w:r w:rsidRPr="000C178D">
        <w:rPr>
          <w:rFonts w:ascii="Book Antiqua" w:eastAsia="+mn-ea" w:hAnsi="Book Antiqua" w:cs="Times New Roman"/>
          <w:color w:val="000000"/>
          <w:kern w:val="24"/>
          <w:sz w:val="24"/>
          <w:szCs w:val="24"/>
          <w:lang w:val="lt-LT"/>
        </w:rPr>
        <w:t xml:space="preserve"> According to the research carried out in Japan, the incidence of the IgG4-RD is 0.28</w:t>
      </w:r>
      <w:r w:rsidR="00E576ED" w:rsidRPr="000C178D">
        <w:rPr>
          <w:rFonts w:ascii="Book Antiqua" w:eastAsia="+mn-ea" w:hAnsi="Book Antiqua" w:cs="Times New Roman"/>
          <w:color w:val="000000"/>
          <w:kern w:val="24"/>
          <w:sz w:val="24"/>
          <w:szCs w:val="24"/>
          <w:lang w:val="lt-LT"/>
        </w:rPr>
        <w:t>-</w:t>
      </w:r>
      <w:r w:rsidRPr="000C178D">
        <w:rPr>
          <w:rFonts w:ascii="Book Antiqua" w:eastAsia="+mn-ea" w:hAnsi="Book Antiqua" w:cs="Times New Roman"/>
          <w:color w:val="000000"/>
          <w:kern w:val="24"/>
          <w:sz w:val="24"/>
          <w:szCs w:val="24"/>
          <w:lang w:val="lt-LT"/>
        </w:rPr>
        <w:t>1.08/100 000 and 336</w:t>
      </w:r>
      <w:r w:rsidR="00E576ED" w:rsidRPr="000C178D">
        <w:rPr>
          <w:rFonts w:ascii="Book Antiqua" w:eastAsia="+mn-ea" w:hAnsi="Book Antiqua" w:cs="Times New Roman"/>
          <w:color w:val="000000"/>
          <w:kern w:val="24"/>
          <w:sz w:val="24"/>
          <w:szCs w:val="24"/>
          <w:lang w:val="lt-LT"/>
        </w:rPr>
        <w:t>-</w:t>
      </w:r>
      <w:r w:rsidRPr="000C178D">
        <w:rPr>
          <w:rFonts w:ascii="Book Antiqua" w:eastAsia="+mn-ea" w:hAnsi="Book Antiqua" w:cs="Times New Roman"/>
          <w:color w:val="000000"/>
          <w:kern w:val="24"/>
          <w:sz w:val="24"/>
          <w:szCs w:val="24"/>
          <w:lang w:val="lt-LT"/>
        </w:rPr>
        <w:t>1300 patients are newly diagnosed per year</w:t>
      </w:r>
      <w:r w:rsidR="00CE726F" w:rsidRPr="000C178D">
        <w:rPr>
          <w:rFonts w:ascii="Book Antiqua" w:eastAsia="+mn-ea" w:hAnsi="Book Antiqua" w:cs="Times New Roman"/>
          <w:color w:val="000000"/>
          <w:kern w:val="24"/>
          <w:sz w:val="24"/>
          <w:szCs w:val="24"/>
          <w:vertAlign w:val="superscript"/>
          <w:lang w:val="lt-LT"/>
        </w:rPr>
        <w:t>[</w:t>
      </w:r>
      <w:r w:rsidRPr="000C178D">
        <w:rPr>
          <w:rFonts w:ascii="Book Antiqua" w:eastAsia="+mn-ea" w:hAnsi="Book Antiqua" w:cs="Times New Roman"/>
          <w:color w:val="000000"/>
          <w:kern w:val="24"/>
          <w:sz w:val="24"/>
          <w:szCs w:val="24"/>
          <w:lang w:val="lt-LT"/>
        </w:rPr>
        <w:fldChar w:fldCharType="begin" w:fldLock="1"/>
      </w:r>
      <w:r w:rsidR="001867B4" w:rsidRPr="000C178D">
        <w:rPr>
          <w:rFonts w:ascii="Book Antiqua" w:eastAsia="+mn-ea" w:hAnsi="Book Antiqua" w:cs="Times New Roman"/>
          <w:color w:val="000000"/>
          <w:kern w:val="24"/>
          <w:sz w:val="24"/>
          <w:szCs w:val="24"/>
          <w:lang w:val="lt-LT"/>
        </w:rPr>
        <w:instrText>ADDIN CSL_CITATION {"citationItems":[{"id":"ITEM-1","itemData":{"DOI":"10.1155/2012/358371","ISSN":"16879260","abstract":"The number of patients with autoimmune pancreatitis who visited hospitals in Japan in 2007 was approximately 2709 (95% confidence interval; range 2540–3040). Because IgG4-related disease is a new clinical entity, there are no data with regard to its prevalence. To estimate the number of patients with IgG4-related disease in Japan, we randomly selected hospitals using stratification and asked them how many patients they had with IgG4-related disease in 2009. The number of patients with Mikulicz’s disease, IgG4-related retroperitoneal fibrosis, IgG4-related renal disease, IgG4-related pulmonary disease, and IgG4-related lymphadenopathy who visited hospitals in Japan in 2009 was approximately 4304 (95% confidence interval; range 3360–5048), 272 (95% confidence interval; range 264–306), 57 (95% confidence interval; range 47–66), 354 (95% confidence interval; range 283–424), and 203 (95% confidence interval; range 187–240), respectively. The total number of patients with IgG4-related disease without autoimmune pancreatitis in Japan was approximately 5190 (95% confidence interval; range 4141–6084). The male : female ratio was 1 : 0.77, and the average of age of disease onset was 58.8 years. The total number of patients with IgG4-related disease in Japan in 2009, including autoimmune pancreatitis, was approximately 8000.","author":[{"dropping-particle":"","family":"Uchida","given":"Kazushige","non-dropping-particle":"","parse-names":false,"suffix":""},{"dropping-particle":"","family":"Masamune","given":"Atsushi","non-dropping-particle":"","parse-names":false,"suffix":""},{"dropping-particle":"","family":"Shimosegawa","given":"Tooru","non-dropping-particle":"","parse-names":false,"suffix":""},{"dropping-particle":"","family":"Okazaki","given":"Kazuichi","non-dropping-particle":"","parse-names":false,"suffix":""}],"container-title":"International Journal of Rheumatology","id":"ITEM-1","issue":"358371","issued":{"date-parts":[["2012"]]},"page":"1-5","title":"Prevalence of IgG4-related disease in Japan based on nationwide survey in 2009","type":"article-journal","volume":"2012"},"uris":["http://www.mendeley.com/documents/?uuid=ac110582-9a6f-3ffc-ad88-5425e659cf11"]}],"mendeley":{"formattedCitation":"&lt;sup&gt;7&lt;/sup&gt;","plainTextFormattedCitation":"7","previouslyFormattedCitation":"[7]"},"properties":{"noteIndex":0},"schema":"https://github.com/citation-style-language/schema/raw/master/csl-citation.json"}</w:instrText>
      </w:r>
      <w:r w:rsidRPr="000C178D">
        <w:rPr>
          <w:rFonts w:ascii="Book Antiqua" w:eastAsia="+mn-ea" w:hAnsi="Book Antiqua" w:cs="Times New Roman"/>
          <w:color w:val="000000"/>
          <w:kern w:val="24"/>
          <w:sz w:val="24"/>
          <w:szCs w:val="24"/>
          <w:lang w:val="lt-LT"/>
        </w:rPr>
        <w:fldChar w:fldCharType="separate"/>
      </w:r>
      <w:r w:rsidR="001867B4" w:rsidRPr="000C178D">
        <w:rPr>
          <w:rFonts w:ascii="Book Antiqua" w:eastAsia="+mn-ea" w:hAnsi="Book Antiqua" w:cs="Times New Roman"/>
          <w:noProof/>
          <w:color w:val="000000"/>
          <w:kern w:val="24"/>
          <w:sz w:val="24"/>
          <w:szCs w:val="24"/>
          <w:vertAlign w:val="superscript"/>
          <w:lang w:val="lt-LT"/>
        </w:rPr>
        <w:t>7</w:t>
      </w:r>
      <w:r w:rsidRPr="000C178D">
        <w:rPr>
          <w:rFonts w:ascii="Book Antiqua" w:eastAsia="+mn-ea" w:hAnsi="Book Antiqua" w:cs="Times New Roman"/>
          <w:color w:val="000000"/>
          <w:kern w:val="24"/>
          <w:sz w:val="24"/>
          <w:szCs w:val="24"/>
          <w:lang w:val="lt-LT"/>
        </w:rPr>
        <w:fldChar w:fldCharType="end"/>
      </w:r>
      <w:r w:rsidR="00CE726F" w:rsidRPr="000C178D">
        <w:rPr>
          <w:rFonts w:ascii="Book Antiqua" w:eastAsia="+mn-ea" w:hAnsi="Book Antiqua" w:cs="Times New Roman"/>
          <w:color w:val="000000"/>
          <w:kern w:val="24"/>
          <w:sz w:val="24"/>
          <w:szCs w:val="24"/>
          <w:vertAlign w:val="superscript"/>
          <w:lang w:val="lt-LT"/>
        </w:rPr>
        <w:t>]</w:t>
      </w:r>
      <w:r w:rsidRPr="000C178D">
        <w:rPr>
          <w:rFonts w:ascii="Book Antiqua" w:eastAsia="+mn-ea" w:hAnsi="Book Antiqua" w:cs="Times New Roman"/>
          <w:color w:val="000000"/>
          <w:kern w:val="24"/>
          <w:sz w:val="24"/>
          <w:szCs w:val="24"/>
          <w:lang w:val="lt-LT"/>
        </w:rPr>
        <w:t>.</w:t>
      </w:r>
      <w:r w:rsidRPr="000C178D">
        <w:rPr>
          <w:rFonts w:ascii="Book Antiqua" w:hAnsi="Book Antiqua" w:cs="Times New Roman"/>
          <w:color w:val="2E2E2E"/>
          <w:sz w:val="24"/>
          <w:szCs w:val="24"/>
        </w:rPr>
        <w:t xml:space="preserve"> The extent of IgG4-RD in Europe and Northern America is still unknown and might be underestimated</w:t>
      </w:r>
      <w:r w:rsidR="00CE726F" w:rsidRPr="000C178D">
        <w:rPr>
          <w:rFonts w:ascii="Book Antiqua" w:hAnsi="Book Antiqua" w:cs="Times New Roman"/>
          <w:color w:val="000000"/>
          <w:sz w:val="24"/>
          <w:szCs w:val="24"/>
          <w:vertAlign w:val="superscript"/>
        </w:rPr>
        <w:t>[</w:t>
      </w:r>
      <w:r w:rsidRPr="000C178D">
        <w:rPr>
          <w:rFonts w:ascii="Book Antiqua" w:eastAsia="Times New Roman" w:hAnsi="Book Antiqua" w:cs="Times New Roman"/>
          <w:color w:val="232323"/>
          <w:sz w:val="24"/>
          <w:szCs w:val="24"/>
        </w:rPr>
        <w:fldChar w:fldCharType="begin" w:fldLock="1"/>
      </w:r>
      <w:r w:rsidR="001867B4" w:rsidRPr="000C178D">
        <w:rPr>
          <w:rFonts w:ascii="Book Antiqua" w:eastAsia="Times New Roman" w:hAnsi="Book Antiqua" w:cs="Times New Roman"/>
          <w:color w:val="232323"/>
          <w:sz w:val="24"/>
          <w:szCs w:val="24"/>
        </w:rPr>
        <w:instrText>ADDIN CSL_CITATION {"citationItems":[{"id":"ITEM-1","itemData":{"DOI":"10.1136/rmdopen-2018-000787","ISSN":"20565933","abstract":"Immunoglobulin G4-related diseases (IgG4-RD) are a group of chronic relapsing–remitting inflammatory conditions, characterised by tissue infiltration with lymphocytes and IgG4-secreting plasma cells, fibrosis and a usually favourable response to steroids.In this narrative review, we summarise the results of a systematic literature research, which was performed as part of the European Reference Network ReCONNET, aimed at evaluating existing clinical practice guidelines (CPGs) and recommendations in IgG4-RD. From 167 publications initially obtained from a systematic literature search, only one was identified as a systematic multispecialist, evidence-based, consensus guidance statement on diagnosis and treatment of IgG4-RD, which may be recommended for use as CPG in IgG4-RD.With the recognition of a limited evidence based in this increasingly recognised disease, the group discussion has identified the following unmet needs: lack of shared classification criteria, absence of formal guidelines on diagnosis, no evidence-based therapeutic recommendations and lack of activity and damage indices. Areas of unmet needs include the difficulties in diagnosis, management and monitoring and the scarcity of expert centres.","author":[{"dropping-particle":"","family":"Iaccarino","given":"Luca","non-dropping-particle":"","parse-names":false,"suffix":""},{"dropping-particle":"","family":"Talarico","given":"Rosaria","non-dropping-particle":"","parse-names":false,"suffix":""},{"dropping-particle":"","family":"Scirè","given":"Carlo Alberto","non-dropping-particle":"","parse-names":false,"suffix":""},{"dropping-particle":"","family":"Amoura","given":"Zahir","non-dropping-particle":"","parse-names":false,"suffix":""},{"dropping-particle":"","family":"Burmester","given":"Gerd","non-dropping-particle":"","parse-names":false,"suffix":""},{"dropping-particle":"","family":"Doria","given":"Andrea","non-dropping-particle":"","parse-names":false,"suffix":""},{"dropping-particle":"","family":"Faiz","given":"Karim","non-dropping-particle":"","parse-names":false,"suffix":""},{"dropping-particle":"","family":"Frank","given":"Charissa","non-dropping-particle":"","parse-names":false,"suffix":""},{"dropping-particle":"","family":"Hachulla","given":"Eric","non-dropping-particle":"","parse-names":false,"suffix":""},{"dropping-particle":"","family":"Hie","given":"Miguel","non-dropping-particle":"","parse-names":false,"suffix":""},{"dropping-particle":"","family":"Launay","given":"David","non-dropping-particle":"","parse-names":false,"suffix":""},{"dropping-particle":"","family":"Montecucco","given":"Carlomaurizio","non-dropping-particle":"","parse-names":false,"suffix":""},{"dropping-particle":"","family":"Monti","given":"Sara","non-dropping-particle":"","parse-names":false,"suffix":""},{"dropping-particle":"","family":"Mouthon","given":"Luc","non-dropping-particle":"","parse-names":false,"suffix":""},{"dropping-particle":"","family":"Tincani","given":"Angela","non-dropping-particle":"","parse-names":false,"suffix":""},{"dropping-particle":"","family":"Toniati","given":"Paola","non-dropping-particle":"","parse-names":false,"suffix":""},{"dropping-particle":"","family":"Hagen","given":"Pieter Martin","non-dropping-particle":"Van","parse-names":false,"suffix":""},{"dropping-particle":"","family":"Vollenhoven","given":"Ronald F.","non-dropping-particle":"Van","parse-names":false,"suffix":""},{"dropping-particle":"","family":"Bombardieri","given":"Stefano","non-dropping-particle":"","parse-names":false,"suffix":""},{"dropping-particle":"","family":"Mueller-Ladner","given":"Ulf","non-dropping-particle":"","parse-names":false,"suffix":""},{"dropping-particle":"","family":"Schneider","given":"Matthias","non-dropping-particle":"","parse-names":false,"suffix":""},{"dropping-particle":"","family":"Smith","given":"Vanessa","non-dropping-particle":"","parse-names":false,"suffix":""},{"dropping-particle":"","family":"Cutolo","given":"Maurizio","non-dropping-particle":"","parse-names":false,"suffix":""},{"dropping-particle":"","family":"Mosca","given":"Marta","non-dropping-particle":"","parse-names":false,"suffix":""},{"dropping-particle":"","family":"Alexander","given":"Tobias","non-dropping-particle":"","parse-names":false,"suffix":""}],"container-title":"RMD Open","id":"ITEM-1","issued":{"date-parts":[["2019"]]},"page":"1-5","title":"IgG4-related diseases: State of the art on clinical practice guidelines","type":"article-journal","volume":"4"},"uris":["http://www.mendeley.com/documents/?uuid=d8594ae6-1f71-4bb2-ad2c-395f95fbede6"]},{"id":"ITEM-2","itemData":{"DOI":"10.1136/annrheumdis-2019-216561","abstract":"IgG4-related disease (IgG4-RD) can cause fibroinflammatory lesions in nearly any organ. Correlation among clinical, serological, radiological and pathological data is required for diagnosis. This work was undertaken to develop and validate an international set of classification criteria for IgG4-RD. An international multispecialty group of 86 physicians was assembled by the American College of Rheumatology (ACR) and the European League Against Rheumatism (EULAR). Investigators used consensus exercises; existing literature; derivation and validation cohorts of 1879 subjects (1086 cases, 793 mimickers); and multicriterion decision analysis to identify, weight and test potential classification criteria. Two independent validation cohorts were included. A three-step classification process was developed. First, it must be demonstrated that a potential IgG4-RD case has involvement of at least one of 11 possible organs in a manner consistent with IgG4-RD. Second, exclusion criteria consisting of a total of 32 clinical, serological, radiological and pathological items must be applied; the presence of any of these criteria eliminates the patient from IgG4-RD classification. Third, eight weighted inclusion criteria domains, addressing clinical findings, serological results, radiological assessments and pathological interpretations, are applied. In the first validation cohort, a threshold of 20 points had a specificity of 99.2% (95% CI 97.2% to 99.8%) and a sensitivity of 85.5% (95% CI 81.9% to 88.5%). In the second, the specificity was 97.8% (95% CI 93.7% to 99.2%) and the sensitivity was 82.0% (95% CI 77.0% to 86.1%). The criteria were shown to have robust test characteristics over a wide range of thresholds. ACR/EULAR classification criteria for IgG4-RD have been developed and validated in a large cohort of patients. These criteria demonstrate excellent test performance and should contribute substantially to future clinical, epidemiological and basic science investigations.","author":[{"dropping-particle":"","family":"Wallace","given":"Zachary S","non-dropping-particle":"","parse-names":false,"suffix":""},{"dropping-particle":"","family":"Naden","given":"Ray P","non-dropping-particle":"","parse-names":false,"suffix":""},{"dropping-particle":"","family":"Chari","given":"Suresh","non-dropping-particle":"","parse-names":false,"suffix":""},{"dropping-particle":"","family":"Choi","given":"Hyon K","non-dropping-particle":"","parse-names":false,"suffix":""},{"dropping-particle":"","family":"Della-Torre","given":"Emanuel","non-dropping-particle":"","parse-names":false,"suffix":""},{"dropping-particle":"","family":"Dicaire","given":"Jean-Francois","non-dropping-particle":"","parse-names":false,"suffix":""},{"dropping-particle":"","family":"Hart","given":"Phillip A","non-dropping-particle":"","parse-names":false,"suffix":""},{"dropping-particle":"","family":"Inoue","given":"Dai","non-dropping-particle":"","parse-names":false,"suffix":""},{"dropping-particle":"","family":"Kawano","given":"Mitsuhiro","non-dropping-particle":"","parse-names":false,"suffix":""},{"dropping-particle":"","family":"Khosroshahi","given":"Arezou","non-dropping-particle":"","parse-names":false,"suffix":""},{"dropping-particle":"","family":"Lanzillotta","given":"Marco","non-dropping-particle":"","parse-names":false,"suffix":""},{"dropping-particle":"","family":"Okazaki","given":"Kazuichi","non-dropping-particle":"","parse-names":false,"suffix":""},{"dropping-particle":"","family":"Perugino","given":"Cory A","non-dropping-particle":"","parse-names":false,"suffix":""},{"dropping-particle":"","family":"Sharma","given":"Amita","non-dropping-particle":"","parse-names":false,"suffix":""},{"dropping-particle":"","family":"Saeki","given":"Takako","non-dropping-particle":"","parse-names":false,"suffix":""},{"dropping-particle":"","family":"Schleinitz","given":"Nicolas","non-dropping-particle":"","parse-names":false,"suffix":""},{"dropping-particle":"","family":"Takahashi","given":"Naoki","non-dropping-particle":"","parse-names":false,"suffix":""},{"dropping-particle":"","family":"Umehara","given":"Hisanori","non-dropping-particle":"","parse-names":false,"suffix":""},{"dropping-particle":"","family":"Zen","given":"Yoh","non-dropping-particle":"","parse-names":false,"suffix":""},{"dropping-particle":"","family":"Stone","given":"John H","non-dropping-particle":"","parse-names":false,"suffix":""}],"container-title":"Annals of the Rheumatic Diseases","id":"ITEM-2","issue":"1","issued":{"date-parts":[["2019"]]},"page":"77-87","title":"European League Against Rheumatism classification criteria for IgG4-related disease","type":"article-journal","volume":"79"},"uris":["http://www.mendeley.com/documents/?uuid=8eb6fa6c-5dcd-3f29-9455-805408c619d3"]}],"mendeley":{"formattedCitation":"&lt;sup&gt;3,9&lt;/sup&gt;","plainTextFormattedCitation":"3,9","previouslyFormattedCitation":"[3,9]"},"properties":{"noteIndex":0},"schema":"https://github.com/citation-style-language/schema/raw/master/csl-citation.json"}</w:instrText>
      </w:r>
      <w:r w:rsidRPr="000C178D">
        <w:rPr>
          <w:rFonts w:ascii="Book Antiqua" w:eastAsia="Times New Roman" w:hAnsi="Book Antiqua" w:cs="Times New Roman"/>
          <w:color w:val="232323"/>
          <w:sz w:val="24"/>
          <w:szCs w:val="24"/>
        </w:rPr>
        <w:fldChar w:fldCharType="separate"/>
      </w:r>
      <w:r w:rsidR="001867B4" w:rsidRPr="000C178D">
        <w:rPr>
          <w:rFonts w:ascii="Book Antiqua" w:eastAsia="Times New Roman" w:hAnsi="Book Antiqua" w:cs="Times New Roman"/>
          <w:noProof/>
          <w:color w:val="232323"/>
          <w:sz w:val="24"/>
          <w:szCs w:val="24"/>
          <w:vertAlign w:val="superscript"/>
        </w:rPr>
        <w:t>3,9</w:t>
      </w:r>
      <w:r w:rsidRPr="000C178D">
        <w:rPr>
          <w:rFonts w:ascii="Book Antiqua" w:eastAsia="Times New Roman" w:hAnsi="Book Antiqua" w:cs="Times New Roman"/>
          <w:color w:val="232323"/>
          <w:sz w:val="24"/>
          <w:szCs w:val="24"/>
        </w:rPr>
        <w:fldChar w:fldCharType="end"/>
      </w:r>
      <w:r w:rsidR="00CE726F" w:rsidRPr="000C178D">
        <w:rPr>
          <w:rFonts w:ascii="Book Antiqua" w:eastAsia="Times New Roman" w:hAnsi="Book Antiqua" w:cs="Times New Roman"/>
          <w:color w:val="232323"/>
          <w:sz w:val="24"/>
          <w:szCs w:val="24"/>
          <w:vertAlign w:val="superscript"/>
        </w:rPr>
        <w:t>]</w:t>
      </w:r>
      <w:r w:rsidRPr="000C178D">
        <w:rPr>
          <w:rFonts w:ascii="Book Antiqua" w:eastAsia="Times New Roman" w:hAnsi="Book Antiqua" w:cs="Times New Roman"/>
          <w:color w:val="232323"/>
          <w:sz w:val="24"/>
          <w:szCs w:val="24"/>
        </w:rPr>
        <w:t xml:space="preserve">. </w:t>
      </w:r>
      <w:r w:rsidRPr="000C178D">
        <w:rPr>
          <w:rFonts w:ascii="Book Antiqua" w:hAnsi="Book Antiqua" w:cs="Times New Roman"/>
          <w:color w:val="000000"/>
          <w:sz w:val="24"/>
          <w:szCs w:val="24"/>
          <w:shd w:val="clear" w:color="auto" w:fill="FFFFFF"/>
        </w:rPr>
        <w:t xml:space="preserve">There are only several multicentric studies </w:t>
      </w:r>
      <w:r w:rsidR="0053554B" w:rsidRPr="000C178D">
        <w:rPr>
          <w:rFonts w:ascii="Book Antiqua" w:hAnsi="Book Antiqua" w:cs="Times New Roman"/>
          <w:color w:val="000000"/>
          <w:sz w:val="24"/>
          <w:szCs w:val="24"/>
          <w:shd w:val="clear" w:color="auto" w:fill="FFFFFF"/>
        </w:rPr>
        <w:t xml:space="preserve">of IgG4-RD in Europe </w:t>
      </w:r>
      <w:r w:rsidRPr="000C178D">
        <w:rPr>
          <w:rFonts w:ascii="Book Antiqua" w:hAnsi="Book Antiqua" w:cs="Times New Roman"/>
          <w:color w:val="000000"/>
          <w:sz w:val="24"/>
          <w:szCs w:val="24"/>
          <w:shd w:val="clear" w:color="auto" w:fill="FFFFFF"/>
        </w:rPr>
        <w:t>conducted</w:t>
      </w:r>
      <w:r w:rsidR="00CE726F" w:rsidRPr="000C178D">
        <w:rPr>
          <w:rFonts w:ascii="Book Antiqua" w:hAnsi="Book Antiqua" w:cs="Times New Roman"/>
          <w:color w:val="000000"/>
          <w:sz w:val="24"/>
          <w:szCs w:val="24"/>
          <w:shd w:val="clear" w:color="auto" w:fill="FFFFFF"/>
          <w:vertAlign w:val="superscript"/>
        </w:rPr>
        <w:t>[</w:t>
      </w:r>
      <w:r w:rsidRPr="000C178D">
        <w:rPr>
          <w:rFonts w:ascii="Book Antiqua" w:hAnsi="Book Antiqua" w:cs="Times New Roman"/>
          <w:sz w:val="24"/>
          <w:szCs w:val="24"/>
        </w:rPr>
        <w:fldChar w:fldCharType="begin" w:fldLock="1"/>
      </w:r>
      <w:r w:rsidR="001867B4" w:rsidRPr="000C178D">
        <w:rPr>
          <w:rFonts w:ascii="Book Antiqua" w:hAnsi="Book Antiqua" w:cs="Times New Roman"/>
          <w:sz w:val="24"/>
          <w:szCs w:val="24"/>
        </w:rPr>
        <w:instrText>ADDIN CSL_CITATION {"citationItems":[{"id":"ITEM-1","itemData":{"DOI":"10.1097/MD.0000000000001275","ISSN":"15365964","abstract":"IgG4-related disease (IgG4-RD) is a rare entity consisting of inflammation and fibrosis that has been described in multiple organs. Concrete diagnostic criteria have been established recently and there is a lack of large series of patients. To describe the clinical presentation, histopathological characteristics, treatment and evolution of a series of IgG4-RD Spanish patients. A retrospective multicenter study was performed. Twelve hospitals across Spain included patients meeting the current 2012 consensus criteria on IgG4-RD diagnosis. Fifty-five patients were included in the study, 38 of whom (69.1%) were male. Median age at diagnosis was 53 years. Thirty (54.5%) patients were included in the Histologically Highly Suggestive IgG4-RD group and 25 (45.5%) in the probable IgG4-RD group. Twenty-six (47.3%) patients had more than 1 organ affected at presentation. The most frequently affected organs were: retroperitoneum, orbital pseudotumor, pancreas, salivary and lachrymal glands, and maxillary sinuses. Corticosteroids were the mainstay of treatment (46 patients, 83.6%). Eighteen patients (32.7%) required additional immunosuppressive agents. Twenty-four (43.6%) patients achieved a complete response and 26 (43.7%) presented a partial response (&lt;50% of regression) after 22 months of follow-up. No deaths were attributed directly to IgG4-RD and malignancy was infrequent. This is the largest IgG4-RD series reported in Europe. Patients were middle-aged males, with histologically probable IgG4-RD. The systemic form of the disease was frequent, involving mainly sites of the head and abdomen. Corticosteroids were an effective first line treatment, sometimes combined with immunosuppressive agents. Neither fatalities nor malignancies were attributed to IgG4-RD.","author":[{"dropping-particle":"","family":"Fernández-Codina","given":"Andreu","non-dropping-particle":"","parse-names":false,"suffix":""},{"dropping-particle":"","family":"Martínez-Valle","given":"Fernando","non-dropping-particle":"","parse-names":false,"suffix":""},{"dropping-particle":"","family":"Pinilla","given":"Blanca","non-dropping-particle":"","parse-names":false,"suffix":""},{"dropping-particle":"","family":"López","given":"Cristina","non-dropping-particle":"","parse-names":false,"suffix":""},{"dropping-particle":"","family":"Torres","given":"Inés","non-dropping-particle":"De","parse-names":false,"suffix":""},{"dropping-particle":"","family":"Solans-Laqué","given":"Roser","non-dropping-particle":"","parse-names":false,"suffix":""},{"dropping-particle":"","family":"Fraile-Rodríguez","given":"Guadalupe","non-dropping-particle":"","parse-names":false,"suffix":""},{"dropping-particle":"","family":"Casanovas-Martínez","given":"Arnau","non-dropping-particle":"","parse-names":false,"suffix":""},{"dropping-particle":"","family":"López-Dupla","given":"Miguel","non-dropping-particle":"","parse-names":false,"suffix":""},{"dropping-particle":"","family":"Robles-Marhuenda","given":"Ángel","non-dropping-particle":"","parse-names":false,"suffix":""},{"dropping-particle":"","family":"Barragán-González","given":"María Jesus","non-dropping-particle":"","parse-names":false,"suffix":""},{"dropping-particle":"","family":"Cid","given":"Maria Cinta","non-dropping-particle":"","parse-names":false,"suffix":""},{"dropping-particle":"","family":"Prieto-González","given":"Sergio","non-dropping-particle":"","parse-names":false,"suffix":""},{"dropping-particle":"","family":"Brito-Zerón","given":"Pilar","non-dropping-particle":"","parse-names":false,"suffix":""},{"dropping-particle":"","family":"Cruces-Moreno","given":"María Teresa","non-dropping-particle":"","parse-names":false,"suffix":""},{"dropping-particle":"","family":"Fonseca-Aizpuru","given":"Eva","non-dropping-particle":"","parse-names":false,"suffix":""},{"dropping-particle":"","family":"López-Torres","given":"Manuel","non-dropping-particle":"","parse-names":false,"suffix":""},{"dropping-particle":"","family":"Gil","given":"Judith","non-dropping-particle":"","parse-names":false,"suffix":""},{"dropping-particle":"","family":"Nuñez-Fernández","given":"Manuel Jesús","non-dropping-particle":"","parse-names":false,"suffix":""},{"dropping-particle":"","family":"Pardos-Gea","given":"José","non-dropping-particle":"","parse-names":false,"suffix":""},{"dropping-particle":"","family":"Salvador-Cervelló","given":"Gonzalo","non-dropping-particle":"","parse-names":false,"suffix":""},{"dropping-particle":"","family":"Astete","given":"Carlos Guillen","non-dropping-particle":"","parse-names":false,"suffix":""}],"container-title":"Medicine (United States)","id":"ITEM-1","issue":"32","issued":{"date-parts":[["2015","8","1"]]},"page":"e1275","publisher":"Lippincott Williams and Wilkins","title":"IgG4-related disease: Results from a multicenter Spanish registry","type":"article-journal","volume":"94"},"uris":["http://www.mendeley.com/documents/?uuid=e7a84ab8-cff5-3437-bbc8-8a0284bd4944"]},{"id":"ITEM-2","itemData":{"DOI":"10.3109/03009742.2015.1055796","ISSN":"15027732","abstract":"Objectives: To describe the clinical features, treatment response, and follow-up of a large cohort of Italian patients with immunoglobulin (Ig)G4-related disease (IgG4-RD) referred to a single tertiary care centre.Method: Clinical, laboratory, histological, and imaging features were retrospectively reviewed. IgG4-RD was classified as definite or possible according to international consensus guidelines and comprehensive diagnostic criteria for IgG4-RD. Disease activity was assessed by means of the IgG4-RD Responder Index (IgG4-RD RI).Results: Forty-one patients (15 females, 26 males) were included in this study: 26 with definite IgG4-RD and 15 with possible IgG4-RD. The median age at diagnosis was 62 years. The median follow-up was 36 months (IQR 24-51). A history of atopy was present in 30% of patients. The pancreas, retroperitoneum, and major salivary glands were the most frequently involved organs. Serum IgG4 levels were elevated in 68% of cases. Thirty-six patients were initially treated with glucocorticoids (GCs) to induce remission. IgG4-RD RI decreased from a median of 7.8 at baseline to 2.9 after 1 month of therapy. Relapse occurred in 19/41 patients (46%) and required additional immunosuppressive drugs to maintain long-term remission. Multiple flares occurred in a minority of patients. A single case of orbital pseudotumour did not respond to medical therapy and underwent surgical debulking.Conclusions: IgG4-RD is an elusive inflammatory disease to be considered in the differential diagnosis of isolated or multiple tumefactive lesions. Long-term disease control can be achieved with corticosteroids and immunosuppressive drugs in the majority of cases.","author":[{"dropping-particle":"","family":"Campochiaro","given":"C.","non-dropping-particle":"","parse-names":false,"suffix":""},{"dropping-particle":"","family":"Ramirez","given":"G. A.","non-dropping-particle":"","parse-names":false,"suffix":""},{"dropping-particle":"","family":"Bozzolo","given":"E. P.","non-dropping-particle":"","parse-names":false,"suffix":""},{"dropping-particle":"","family":"Lanzillotta","given":"M.","non-dropping-particle":"","parse-names":false,"suffix":""},{"dropping-particle":"","family":"Berti","given":"A.","non-dropping-particle":"","parse-names":false,"suffix":""},{"dropping-particle":"","family":"Baldissera","given":"E.","non-dropping-particle":"","parse-names":false,"suffix":""},{"dropping-particle":"","family":"Dagna","given":"L.","non-dropping-particle":"","parse-names":false,"suffix":""},{"dropping-particle":"","family":"Praderio","given":"L.","non-dropping-particle":"","parse-names":false,"suffix":""},{"dropping-particle":"","family":"Scotti","given":"R.","non-dropping-particle":"","parse-names":false,"suffix":""},{"dropping-particle":"","family":"Tresoldi","given":"M.","non-dropping-particle":"","parse-names":false,"suffix":""},{"dropping-particle":"","family":"Roveri","given":"L.","non-dropping-particle":"","parse-names":false,"suffix":""},{"dropping-particle":"","family":"Mariani","given":"A.","non-dropping-particle":"","parse-names":false,"suffix":""},{"dropping-particle":"","family":"Balzano","given":"G.","non-dropping-particle":"","parse-names":false,"suffix":""},{"dropping-particle":"","family":"Castoldi","given":"R.","non-dropping-particle":"","parse-names":false,"suffix":""},{"dropping-particle":"","family":"Doglioni","given":"C.","non-dropping-particle":"","parse-names":false,"suffix":""},{"dropping-particle":"","family":"Sabbadini","given":"M. G.","non-dropping-particle":"","parse-names":false,"suffix":""},{"dropping-particle":"","family":"Della-Torre","given":"E.","non-dropping-particle":"","parse-names":false,"suffix":""}],"container-title":"Scandinavian Journal of Rheumatology","id":"ITEM-2","issue":"2","issued":{"date-parts":[["2016","3","3"]]},"page":"135-145","publisher":"Taylor and Francis Ltd","title":"IgG4-related disease in Italy: Clinical features and outcomes of a large cohort of patients","type":"article-journal","volume":"45"},"uris":["http://www.mendeley.com/documents/?uuid=1d74ad07-3222-350e-a5d1-35226a4aeadb"]},{"id":"ITEM-3","itemData":{"DOI":"10.1097/MD.0b013e3182433d77","ISSN":"00257974","abstract":"IgG4-related systemic disease is now recognized as a systemic disease that may affect various organs. The diagnosis is usually made in patients who present with elevated IgG4 in serum and tissue infiltration of diseased organs by numerous IgG4+ plasma cells, in the absence of validated diagnosis criteria. We report the clinical, laboratory, and histologic characteristics of 25 patients from a French nationwide cohort. We also report the treatment outcome and show that despite the efficacy of corticosteroids, a second-line treatment is frequently necessary. The clinical findings in our patients are not different from the results of previous reports from Eastern countries. Our laboratory and histologic findings, however, suggest, at least in some patients, a more broad polyclonal B cell activation than the skewed IgG4 switch previously reported. These observations strongly suggest the implication of a T-cell dependent B-cell polyclonal activation in IgG4-related systemic disease, probably at least in part under the control of T helper follicular cells. Copyright © 2012 by Lippincott Williams &amp; Wilkins.","author":[{"dropping-particle":"","family":"Ebbo","given":"Mikael","non-dropping-particle":"","parse-names":false,"suffix":""},{"dropping-particle":"","family":"Daniel","given":"Laurent","non-dropping-particle":"","parse-names":false,"suffix":""},{"dropping-particle":"","family":"Pavic","given":"Michel","non-dropping-particle":"","parse-names":false,"suffix":""},{"dropping-particle":"","family":"Sève","given":"Pascal","non-dropping-particle":"","parse-names":false,"suffix":""},{"dropping-particle":"","family":"Hamidou","given":"Mohamed","non-dropping-particle":"","parse-names":false,"suffix":""},{"dropping-particle":"","family":"Andres","given":"Emmanuel","non-dropping-particle":"","parse-names":false,"suffix":""},{"dropping-particle":"","family":"Burtey","given":"Stéphane","non-dropping-particle":"","parse-names":false,"suffix":""},{"dropping-particle":"","family":"Chiche","given":"Laurent","non-dropping-particle":"","parse-names":false,"suffix":""},{"dropping-particle":"","family":"Serratrice","given":"Jacques","non-dropping-particle":"","parse-names":false,"suffix":""},{"dropping-particle":"","family":"Longy-Boursier","given":"Maïté","non-dropping-particle":"","parse-names":false,"suffix":""},{"dropping-particle":"","family":"Ruivard","given":"Marc","non-dropping-particle":"","parse-names":false,"suffix":""},{"dropping-particle":"","family":"Haroche","given":"Julien","non-dropping-particle":"","parse-names":false,"suffix":""},{"dropping-particle":"","family":"Godeau","given":"Bertrand","non-dropping-particle":"","parse-names":false,"suffix":""},{"dropping-particle":"","family":"Beucher","given":"Anne Bérengère","non-dropping-particle":"","parse-names":false,"suffix":""},{"dropping-particle":"","family":"Berthelot","given":"Jean Marie","non-dropping-particle":"","parse-names":false,"suffix":""},{"dropping-particle":"","family":"Papo","given":"Thomas","non-dropping-particle":"","parse-names":false,"suffix":""},{"dropping-particle":"","family":"Pennaforte","given":"Jean Loup","non-dropping-particle":"","parse-names":false,"suffix":""},{"dropping-particle":"","family":"Benyamine","given":"Audrey","non-dropping-particle":"","parse-names":false,"suffix":""},{"dropping-particle":"","family":"Jourde","given":"Noémie","non-dropping-particle":"","parse-names":false,"suffix":""},{"dropping-particle":"","family":"Landron","given":"Cédric","non-dropping-particle":"","parse-names":false,"suffix":""},{"dropping-particle":"","family":"Roblot","given":"Pascal","non-dropping-particle":"","parse-names":false,"suffix":""},{"dropping-particle":"","family":"Moranne","given":"Olivier","non-dropping-particle":"","parse-names":false,"suffix":""},{"dropping-particle":"","family":"Silvain","given":"Christine","non-dropping-particle":"","parse-names":false,"suffix":""},{"dropping-particle":"","family":"Granel","given":"Brigitte","non-dropping-particle":"","parse-names":false,"suffix":""},{"dropping-particle":"","family":"Bernard","given":"Fanny","non-dropping-particle":"","parse-names":false,"suffix":""},{"dropping-particle":"","family":"Veit","given":"Veronique","non-dropping-particle":"","parse-names":false,"suffix":""},{"dropping-particle":"","family":"Mazodier","given":"Karin","non-dropping-particle":"","parse-names":false,"suffix":""},{"dropping-particle":"","family":"Bernit","given":"Emmanuelle","non-dropping-particle":"","parse-names":false,"suffix":""},{"dropping-particle":"","family":"Rousset","given":"Hugues","non-dropping-particle":"","parse-names":false,"suffix":""},{"dropping-particle":"","family":"Boucraut","given":"José","non-dropping-particle":"","parse-names":false,"suffix":""},{"dropping-particle":"","family":"Boffa","given":"Jean Jacques","non-dropping-particle":"","parse-names":false,"suffix":""},{"dropping-particle":"","family":"Weiller","given":"Pierre Jean","non-dropping-particle":"","parse-names":false,"suffix":""},{"dropping-particle":"","family":"Kaplanski","given":"Gilles","non-dropping-particle":"","parse-names":false,"suffix":""},{"dropping-particle":"","family":"Aucouturier","given":"Pierre","non-dropping-particle":"","parse-names":false,"suffix":""},{"dropping-particle":"","family":"Harlé","given":"Jean Robert","non-dropping-particle":"","parse-names":false,"suffix":""},{"dropping-particle":"","family":"Schleinitz","given":"Nicolas","non-dropping-particle":"","parse-names":false,"suffix":""}],"container-title":"Medicine","id":"ITEM-3","issue":"1","issued":{"date-parts":[["2012","1"]]},"page":"49-56","title":"IgG4-related systemic disease: Features and treatment response in a French cohort: Results of a multicenter registry","type":"article-journal","volume":"91"},"uris":["http://www.mendeley.com/documents/?uuid=013bac39-55ba-34d6-a8be-6092f239a67e"]}],"mendeley":{"formattedCitation":"&lt;sup&gt;10–12&lt;/sup&gt;","plainTextFormattedCitation":"10–12","previouslyFormattedCitation":"[10–12]"},"properties":{"noteIndex":0},"schema":"https://github.com/citation-style-language/schema/raw/master/csl-citation.json"}</w:instrText>
      </w:r>
      <w:r w:rsidRPr="000C178D">
        <w:rPr>
          <w:rFonts w:ascii="Book Antiqua" w:hAnsi="Book Antiqua" w:cs="Times New Roman"/>
          <w:sz w:val="24"/>
          <w:szCs w:val="24"/>
        </w:rPr>
        <w:fldChar w:fldCharType="separate"/>
      </w:r>
      <w:r w:rsidR="001867B4" w:rsidRPr="000C178D">
        <w:rPr>
          <w:rFonts w:ascii="Book Antiqua" w:hAnsi="Book Antiqua" w:cs="Times New Roman"/>
          <w:noProof/>
          <w:sz w:val="24"/>
          <w:szCs w:val="24"/>
          <w:vertAlign w:val="superscript"/>
        </w:rPr>
        <w:t>10–12</w:t>
      </w:r>
      <w:r w:rsidRPr="000C178D">
        <w:rPr>
          <w:rFonts w:ascii="Book Antiqua" w:hAnsi="Book Antiqua" w:cs="Times New Roman"/>
          <w:sz w:val="24"/>
          <w:szCs w:val="24"/>
        </w:rPr>
        <w:fldChar w:fldCharType="end"/>
      </w:r>
      <w:r w:rsidR="00CE726F" w:rsidRPr="000C178D">
        <w:rPr>
          <w:rFonts w:ascii="Book Antiqua" w:hAnsi="Book Antiqua" w:cs="Times New Roman"/>
          <w:sz w:val="24"/>
          <w:szCs w:val="24"/>
          <w:vertAlign w:val="superscript"/>
        </w:rPr>
        <w:t>]</w:t>
      </w:r>
      <w:r w:rsidRPr="000C178D">
        <w:rPr>
          <w:rFonts w:ascii="Book Antiqua" w:hAnsi="Book Antiqua" w:cs="Times New Roman"/>
          <w:color w:val="000000"/>
          <w:sz w:val="24"/>
          <w:szCs w:val="24"/>
          <w:shd w:val="clear" w:color="auto" w:fill="FFFFFF"/>
        </w:rPr>
        <w:t>.</w:t>
      </w:r>
    </w:p>
    <w:p w14:paraId="5E069C10" w14:textId="55387C5B" w:rsidR="00A719BC" w:rsidRPr="000C178D" w:rsidRDefault="00A719BC" w:rsidP="000C178D">
      <w:pPr>
        <w:autoSpaceDE w:val="0"/>
        <w:autoSpaceDN w:val="0"/>
        <w:adjustRightInd w:val="0"/>
        <w:snapToGrid w:val="0"/>
        <w:spacing w:after="0" w:line="360" w:lineRule="auto"/>
        <w:ind w:firstLine="284"/>
        <w:jc w:val="both"/>
        <w:rPr>
          <w:rFonts w:ascii="Book Antiqua" w:hAnsi="Book Antiqua" w:cs="Times New Roman"/>
          <w:sz w:val="24"/>
          <w:szCs w:val="24"/>
        </w:rPr>
      </w:pPr>
      <w:r w:rsidRPr="000C178D">
        <w:rPr>
          <w:rFonts w:ascii="Book Antiqua" w:eastAsia="Times New Roman" w:hAnsi="Book Antiqua" w:cs="Times New Roman"/>
          <w:color w:val="232323"/>
          <w:sz w:val="24"/>
          <w:szCs w:val="24"/>
        </w:rPr>
        <w:t>The existing studies suggest that IgG4-RD predominantly affects middle-aged and older men (50</w:t>
      </w:r>
      <w:r w:rsidR="007063C9" w:rsidRPr="000C178D">
        <w:rPr>
          <w:rFonts w:ascii="Book Antiqua" w:eastAsia="Times New Roman" w:hAnsi="Book Antiqua" w:cs="Times New Roman"/>
          <w:color w:val="232323"/>
          <w:sz w:val="24"/>
          <w:szCs w:val="24"/>
        </w:rPr>
        <w:t>-</w:t>
      </w:r>
      <w:r w:rsidRPr="000C178D">
        <w:rPr>
          <w:rFonts w:ascii="Book Antiqua" w:eastAsia="Times New Roman" w:hAnsi="Book Antiqua" w:cs="Times New Roman"/>
          <w:color w:val="232323"/>
          <w:sz w:val="24"/>
          <w:szCs w:val="24"/>
        </w:rPr>
        <w:t xml:space="preserve">60 </w:t>
      </w:r>
      <w:r w:rsidR="00E52D41" w:rsidRPr="000C178D">
        <w:rPr>
          <w:rFonts w:ascii="Book Antiqua" w:eastAsia="Times New Roman" w:hAnsi="Book Antiqua" w:cs="Times New Roman"/>
          <w:color w:val="232323"/>
          <w:sz w:val="24"/>
          <w:szCs w:val="24"/>
        </w:rPr>
        <w:t>years</w:t>
      </w:r>
      <w:r w:rsidRPr="000C178D">
        <w:rPr>
          <w:rFonts w:ascii="Book Antiqua" w:eastAsia="Times New Roman" w:hAnsi="Book Antiqua" w:cs="Times New Roman"/>
          <w:color w:val="232323"/>
          <w:sz w:val="24"/>
          <w:szCs w:val="24"/>
        </w:rPr>
        <w:t>).</w:t>
      </w:r>
      <w:r w:rsidRPr="000C178D">
        <w:rPr>
          <w:rFonts w:ascii="Book Antiqua" w:hAnsi="Book Antiqua" w:cs="Times New Roman"/>
          <w:sz w:val="24"/>
          <w:szCs w:val="24"/>
        </w:rPr>
        <w:t xml:space="preserve"> </w:t>
      </w:r>
      <w:r w:rsidRPr="000C178D">
        <w:rPr>
          <w:rFonts w:ascii="Book Antiqua" w:eastAsia="Times New Roman" w:hAnsi="Book Antiqua" w:cs="Times New Roman"/>
          <w:color w:val="232323"/>
          <w:sz w:val="24"/>
          <w:szCs w:val="24"/>
        </w:rPr>
        <w:t>It was noticed that AIP, sclerosing cholangitis, retroperitoneal fibrosis, and tubulointerstitial nephritis are more common in men, while women are more often diagnosed with sialadenitis, dacryoadenitis and thyroiditis</w:t>
      </w:r>
      <w:r w:rsidR="00CE726F" w:rsidRPr="000C178D">
        <w:rPr>
          <w:rFonts w:ascii="Book Antiqua" w:eastAsia="Times New Roman" w:hAnsi="Book Antiqua" w:cs="Times New Roman"/>
          <w:color w:val="232323"/>
          <w:sz w:val="24"/>
          <w:szCs w:val="24"/>
          <w:vertAlign w:val="superscript"/>
        </w:rPr>
        <w:t>[</w:t>
      </w:r>
      <w:r w:rsidRPr="000C178D">
        <w:rPr>
          <w:rFonts w:ascii="Book Antiqua" w:eastAsia="Times New Roman" w:hAnsi="Book Antiqua" w:cs="Times New Roman"/>
          <w:color w:val="232323"/>
          <w:sz w:val="24"/>
          <w:szCs w:val="24"/>
          <w:lang w:val="lt-LT"/>
        </w:rPr>
        <w:fldChar w:fldCharType="begin" w:fldLock="1"/>
      </w:r>
      <w:r w:rsidR="001867B4" w:rsidRPr="000C178D">
        <w:rPr>
          <w:rFonts w:ascii="Book Antiqua" w:eastAsia="Times New Roman" w:hAnsi="Book Antiqua" w:cs="Times New Roman"/>
          <w:color w:val="232323"/>
          <w:sz w:val="24"/>
          <w:szCs w:val="24"/>
          <w:lang w:val="lt-LT"/>
        </w:rPr>
        <w:instrText>ADDIN CSL_CITATION {"citationItems":[{"id":"ITEM-1","itemData":{"DOI":"10.1093/rheumatology/key397","ISSN":"1462-0332","PMID":"30561747","abstract":"OBJECTIVES To study the impact of sex on the clinical presentation of IgG4-related disease (IgG4-RD). METHODS We prospectively enrolled 403 newly diagnosed IgG4-RD patients. We compared the demographic features, clinical manifestations, organ involvement, laboratory tests and treatment outcomes between female and male patients. The organs involved were divided into superficial organs (salivary glands, lacrimal glands, orbit, sinus and skin) and internal organs (all the other organs). The patients treated with glucocorticoids with or without additional immunosuppressants were included in the assessment of treatment outcomes, and potential confounding factors were corrected by propensity score matching or multivariate Cox regression analysis. RESULTS Female patients showed younger age at both symptom onset and diagnosis, and a longer interval between symptom onset and diagnosis. Allergy history, Mikulicz's disease and thyroiditis were more common in female patients, while autoimmune pancreatitis, sclerosing cholangitis and retroperitoneal fibrosis were more common in male patients. In accordance, female patients more frequently presented with superficial organ involvement, while male patients more frequently had internal organ involvement, and the discrepancy was more prominent in the patients with older age. Male sex was associated with higher peripheral eosinophils, CRP and IgG4 levels at baseline. In response to glucocorticoid-based therapies, male sex was associated with a higher IgG4-RD responder index during follow-up as well as a greater risk of relapse (hazard ratio 3.14, P = 0.003). CONCLUSION Our study revealed the sex disparities in clinical characteristics of IgG4-RD, and indicated that male sex was independently associated with worse prognosis in response to glucocorticoid-based therapies.","author":[{"dropping-particle":"","family":"Wang","given":"Liwen","non-dropping-particle":"","parse-names":false,"suffix":""},{"dropping-particle":"","family":"Zhang","given":"Panpan","non-dropping-particle":"","parse-names":false,"suffix":""},{"dropping-particle":"","family":"Zhang","given":"Xia","non-dropping-particle":"","parse-names":false,"suffix":""},{"dropping-particle":"","family":"Lin","given":"Wei","non-dropping-particle":"","parse-names":false,"suffix":""},{"dropping-particle":"","family":"Tang","given":"Hanqi","non-dropping-particle":"","parse-names":false,"suffix":""},{"dropping-particle":"","family":"Li","given":"Jieqiong","non-dropping-particle":"","parse-names":false,"suffix":""},{"dropping-particle":"","family":"Wang","given":"Mu","non-dropping-particle":"","parse-names":false,"suffix":""},{"dropping-particle":"","family":"Liu","given":"Xiaowei","non-dropping-particle":"","parse-names":false,"suffix":""},{"dropping-particle":"","family":"Fei","given":"Yunyun","non-dropping-particle":"","parse-names":false,"suffix":""},{"dropping-particle":"","family":"Chen","given":"Hua","non-dropping-particle":"","parse-names":false,"suffix":""},{"dropping-particle":"","family":"Peng","given":"Linyi","non-dropping-particle":"","parse-names":false,"suffix":""},{"dropping-particle":"","family":"Zhang","given":"Li","non-dropping-particle":"","parse-names":false,"suffix":""},{"dropping-particle":"","family":"Lai","given":"Yamin","non-dropping-particle":"","parse-names":false,"suffix":""},{"dropping-particle":"","family":"Zeng","given":"Xuejun","non-dropping-particle":"","parse-names":false,"suffix":""},{"dropping-particle":"","family":"Li","given":"Xuemei","non-dropping-particle":"","parse-names":false,"suffix":""},{"dropping-particle":"","family":"Xue","given":"Huadan","non-dropping-particle":"","parse-names":false,"suffix":""},{"dropping-particle":"","family":"Zhao","given":"Yan","non-dropping-particle":"","parse-names":false,"suffix":""},{"dropping-particle":"","family":"Zhang","given":"Fengchun","non-dropping-particle":"","parse-names":false,"suffix":""},{"dropping-particle":"","family":"Zhang","given":"Wen","non-dropping-particle":"","parse-names":false,"suffix":""}],"container-title":"Rheumatology (Oxford, England)","id":"ITEM-1","issue":"5","issued":{"date-parts":[["2019","5","1"]]},"page":"820-830","title":"Sex disparities in clinical characteristics and prognosis of immunoglobulin G4-related disease: a prospective study of 403 patients.","type":"article-journal","volume":"58"},"uris":["http://www.mendeley.com/documents/?uuid=fddebd5f-898c-327b-834e-208b46d18a3e"]}],"mendeley":{"formattedCitation":"&lt;sup&gt;13&lt;/sup&gt;","plainTextFormattedCitation":"13","previouslyFormattedCitation":"[13]"},"properties":{"noteIndex":0},"schema":"https://github.com/citation-style-language/schema/raw/master/csl-citation.json"}</w:instrText>
      </w:r>
      <w:r w:rsidRPr="000C178D">
        <w:rPr>
          <w:rFonts w:ascii="Book Antiqua" w:eastAsia="Times New Roman" w:hAnsi="Book Antiqua" w:cs="Times New Roman"/>
          <w:color w:val="232323"/>
          <w:sz w:val="24"/>
          <w:szCs w:val="24"/>
          <w:lang w:val="lt-LT"/>
        </w:rPr>
        <w:fldChar w:fldCharType="separate"/>
      </w:r>
      <w:r w:rsidR="001867B4" w:rsidRPr="000C178D">
        <w:rPr>
          <w:rFonts w:ascii="Book Antiqua" w:eastAsia="Times New Roman" w:hAnsi="Book Antiqua" w:cs="Times New Roman"/>
          <w:noProof/>
          <w:color w:val="232323"/>
          <w:sz w:val="24"/>
          <w:szCs w:val="24"/>
          <w:vertAlign w:val="superscript"/>
          <w:lang w:val="lt-LT"/>
        </w:rPr>
        <w:t>13</w:t>
      </w:r>
      <w:r w:rsidRPr="000C178D">
        <w:rPr>
          <w:rFonts w:ascii="Book Antiqua" w:eastAsia="Times New Roman" w:hAnsi="Book Antiqua" w:cs="Times New Roman"/>
          <w:color w:val="232323"/>
          <w:sz w:val="24"/>
          <w:szCs w:val="24"/>
          <w:lang w:val="lt-LT"/>
        </w:rPr>
        <w:fldChar w:fldCharType="end"/>
      </w:r>
      <w:r w:rsidR="00CE726F" w:rsidRPr="000C178D">
        <w:rPr>
          <w:rFonts w:ascii="Book Antiqua" w:eastAsia="Times New Roman" w:hAnsi="Book Antiqua" w:cs="Times New Roman"/>
          <w:color w:val="232323"/>
          <w:sz w:val="24"/>
          <w:szCs w:val="24"/>
          <w:vertAlign w:val="superscript"/>
          <w:lang w:val="lt-LT"/>
        </w:rPr>
        <w:t>]</w:t>
      </w:r>
      <w:r w:rsidRPr="000C178D">
        <w:rPr>
          <w:rFonts w:ascii="Book Antiqua" w:eastAsia="Times New Roman" w:hAnsi="Book Antiqua" w:cs="Times New Roman"/>
          <w:color w:val="232323"/>
          <w:sz w:val="24"/>
          <w:szCs w:val="24"/>
        </w:rPr>
        <w:t xml:space="preserve">. </w:t>
      </w:r>
      <w:r w:rsidRPr="000C178D">
        <w:rPr>
          <w:rFonts w:ascii="Book Antiqua" w:hAnsi="Book Antiqua" w:cs="Times New Roman"/>
          <w:sz w:val="24"/>
          <w:szCs w:val="24"/>
        </w:rPr>
        <w:t xml:space="preserve">In our case, the patient was a male diagnosed with AIP as well as sialadenitis and thyroiditis. </w:t>
      </w:r>
    </w:p>
    <w:p w14:paraId="3E9DFE29" w14:textId="18739E79" w:rsidR="00A719BC" w:rsidRPr="000C178D" w:rsidRDefault="00A719BC" w:rsidP="000C178D">
      <w:pPr>
        <w:pStyle w:val="a5"/>
        <w:snapToGrid w:val="0"/>
        <w:spacing w:before="0" w:beforeAutospacing="0" w:after="0" w:afterAutospacing="0" w:line="360" w:lineRule="auto"/>
        <w:ind w:firstLine="284"/>
        <w:jc w:val="both"/>
        <w:rPr>
          <w:rFonts w:ascii="Book Antiqua" w:hAnsi="Book Antiqua"/>
        </w:rPr>
      </w:pPr>
      <w:r w:rsidRPr="000C178D">
        <w:rPr>
          <w:rFonts w:ascii="Book Antiqua" w:hAnsi="Book Antiqua"/>
        </w:rPr>
        <w:t>Depending on the pattern of affected organs, clinicians attempt to classify IgG4-RD. T</w:t>
      </w:r>
      <w:r w:rsidRPr="000C178D">
        <w:rPr>
          <w:rFonts w:ascii="Book Antiqua" w:hAnsi="Book Antiqua"/>
          <w:color w:val="333333"/>
        </w:rPr>
        <w:t>he best-known four phenotypes of IgG4-RD were created by Wallace et al.</w:t>
      </w:r>
      <w:r w:rsidRPr="000C178D">
        <w:rPr>
          <w:rFonts w:ascii="Book Antiqua" w:hAnsi="Book Antiqua"/>
        </w:rPr>
        <w:t xml:space="preserve"> The authors distinguished four possible IgG4-RD subgroups: </w:t>
      </w:r>
      <w:r w:rsidR="00BB67EB" w:rsidRPr="000C178D">
        <w:rPr>
          <w:rFonts w:ascii="Book Antiqua" w:hAnsi="Book Antiqua"/>
        </w:rPr>
        <w:t>P</w:t>
      </w:r>
      <w:r w:rsidRPr="000C178D">
        <w:rPr>
          <w:rFonts w:ascii="Book Antiqua" w:hAnsi="Book Antiqua"/>
        </w:rPr>
        <w:t>ancreato-hepatobiliary disease, retroperitoneal fibrosis and/or aortitis, head and neck-limited disease and classic Mikulicz syndrome with systemic involvement</w:t>
      </w:r>
      <w:r w:rsidR="00CE726F" w:rsidRPr="000C178D">
        <w:rPr>
          <w:rFonts w:ascii="Book Antiqua" w:hAnsi="Book Antiqua"/>
          <w:vertAlign w:val="superscript"/>
        </w:rPr>
        <w:t>[</w:t>
      </w:r>
      <w:r w:rsidRPr="000C178D">
        <w:rPr>
          <w:rFonts w:ascii="Book Antiqua" w:hAnsi="Book Antiqua"/>
          <w:lang w:val="lt-LT"/>
        </w:rPr>
        <w:fldChar w:fldCharType="begin" w:fldLock="1"/>
      </w:r>
      <w:r w:rsidR="001867B4" w:rsidRPr="000C178D">
        <w:rPr>
          <w:rFonts w:ascii="Book Antiqua" w:hAnsi="Book Antiqua"/>
          <w:lang w:val="lt-LT"/>
        </w:rPr>
        <w:instrText>ADDIN CSL_CITATION {"citationItems":[{"id":"ITEM-1","itemData":{"DOI":"10.1136/annrheumdis-2018-214603","ISSN":"14682060","abstract":"Objective IgG4-related disease (IgG4-RD) is a heterogeneous, multiorgan condition of unclear aetiology that can cause organ failure. Difficulty recognising IgG4-RD contributes to diagnostic delays. We sought to identify key IgG4-RD phenotypes. Methods We used two cross-sectional studies assembled by an international, multispecialty network of IgG4-RD specialists who submitted 765 cases to derive and replicate phenotypic groups. Phenotype groups of disease manifestations and key covariate distributions across the identified groups were measured using latent class analysis. results In the derivation cohort (n=493), we identified four groups with distinct manifestations: Group 1 (31%), Pancreato-Hepato-Biliary disease; Group 2 (24%), Retroperitoneal Fibrosis and/or Aortitis; Group 3 (24%), Head and Neck-Limited disease and Group 4 (22%), classic Mikulicz syndrome with systemic involvement. We replicated the identification of four phenotype groups in the replication cohort. Compared with cases in Groups 1, 2 and 4, respectively, cases in Group 3 were more likely to be female (OR 11.60 (95% CI 5.39 to 24.98), 10.35 (95% CI 4.63 to 23.15) and 9.24 (95% CI 3.53 to 24.20)) and Asian (OR 6.68 (95% CI 2.82 to 15.79), 7.43 (95% CI 2.97 to 18.56) and 6.27 (95% CI 2.27 to 17.29)). Cases in Group 4 had a higher median serum IgG4 concentration (1170 mg/dL) compared with groups 1–3 (316, 178 and 445 mg/dL, respectively, p&lt;0.001). Conclusion We identified four distinctive IgG4-RD phenotypes according to organ involvement. Being Asian or female may predispose individuals to head and neck-limited disease. These phenotypes serve as a framework for identifying IgG4-RD and studying its aetiology and optimal treatment.","author":[{"dropping-particle":"","family":"Wallace","given":"Zachary S.","non-dropping-particle":"","parse-names":false,"suffix":""},{"dropping-particle":"","family":"Zhang","given":"Yuqing","non-dropping-particle":"","parse-names":false,"suffix":""},{"dropping-particle":"","family":"Perugino","given":"Cory A.","non-dropping-particle":"","parse-names":false,"suffix":""},{"dropping-particle":"","family":"Naden","given":"Ray","non-dropping-particle":"","parse-names":false,"suffix":""},{"dropping-particle":"","family":"Choi","given":"Hyon K.","non-dropping-particle":"","parse-names":false,"suffix":""},{"dropping-particle":"","family":"Stone","given":"John H.","non-dropping-particle":"","parse-names":false,"suffix":""}],"container-title":"Annals of the Rheumatic Diseases","id":"ITEM-1","issue":"3","issued":{"date-parts":[["2019"]]},"page":"406-412","publisher":"BMJ Publishing Group","title":"Clinical phenotypes of IgG4-related disease: An analysis of two international cross-sectional cohorts","type":"article-journal","volume":"78"},"uris":["http://www.mendeley.com/documents/?uuid=9766bb85-add8-3e1d-8b74-c783754b8657"]}],"mendeley":{"formattedCitation":"&lt;sup&gt;14&lt;/sup&gt;","plainTextFormattedCitation":"14","previouslyFormattedCitation":"[14]"},"properties":{"noteIndex":0},"schema":"https://github.com/citation-style-language/schema/raw/master/csl-citation.json"}</w:instrText>
      </w:r>
      <w:r w:rsidRPr="000C178D">
        <w:rPr>
          <w:rFonts w:ascii="Book Antiqua" w:hAnsi="Book Antiqua"/>
          <w:lang w:val="lt-LT"/>
        </w:rPr>
        <w:fldChar w:fldCharType="separate"/>
      </w:r>
      <w:r w:rsidR="001867B4" w:rsidRPr="000C178D">
        <w:rPr>
          <w:rFonts w:ascii="Book Antiqua" w:hAnsi="Book Antiqua"/>
          <w:noProof/>
          <w:vertAlign w:val="superscript"/>
          <w:lang w:val="lt-LT"/>
        </w:rPr>
        <w:t>14</w:t>
      </w:r>
      <w:r w:rsidRPr="000C178D">
        <w:rPr>
          <w:rFonts w:ascii="Book Antiqua" w:hAnsi="Book Antiqua"/>
          <w:lang w:val="lt-LT"/>
        </w:rPr>
        <w:fldChar w:fldCharType="end"/>
      </w:r>
      <w:r w:rsidR="00CE726F" w:rsidRPr="000C178D">
        <w:rPr>
          <w:rFonts w:ascii="Book Antiqua" w:hAnsi="Book Antiqua"/>
          <w:vertAlign w:val="superscript"/>
          <w:lang w:val="lt-LT"/>
        </w:rPr>
        <w:t>]</w:t>
      </w:r>
      <w:r w:rsidRPr="000C178D">
        <w:rPr>
          <w:rFonts w:ascii="Book Antiqua" w:hAnsi="Book Antiqua"/>
          <w:lang w:val="lt-LT"/>
        </w:rPr>
        <w:t xml:space="preserve">. </w:t>
      </w:r>
      <w:r w:rsidRPr="000C178D">
        <w:rPr>
          <w:rFonts w:ascii="Book Antiqua" w:hAnsi="Book Antiqua"/>
        </w:rPr>
        <w:t xml:space="preserve">The evolving recognition of the disease determines new </w:t>
      </w:r>
      <w:r w:rsidRPr="000C178D">
        <w:rPr>
          <w:rFonts w:ascii="Book Antiqua" w:hAnsi="Book Antiqua"/>
        </w:rPr>
        <w:lastRenderedPageBreak/>
        <w:t xml:space="preserve">possible </w:t>
      </w:r>
      <w:proofErr w:type="spellStart"/>
      <w:r w:rsidRPr="000C178D">
        <w:rPr>
          <w:rFonts w:ascii="Book Antiqua" w:hAnsi="Book Antiqua"/>
        </w:rPr>
        <w:t>classificati</w:t>
      </w:r>
      <w:proofErr w:type="spellEnd"/>
      <w:r w:rsidRPr="000C178D">
        <w:rPr>
          <w:rFonts w:ascii="Book Antiqua" w:hAnsi="Book Antiqua"/>
          <w:lang w:val="lt-LT"/>
        </w:rPr>
        <w:t>ons. Recently, Niwamoto et al. suggested the fifth group, which includes AIP</w:t>
      </w:r>
      <w:r w:rsidR="00AC5A84" w:rsidRPr="000C178D">
        <w:rPr>
          <w:rFonts w:ascii="Book Antiqua" w:hAnsi="Book Antiqua"/>
          <w:lang w:val="lt-LT"/>
        </w:rPr>
        <w:t xml:space="preserve"> and other systemic involvement</w:t>
      </w:r>
      <w:r w:rsidR="00CE726F" w:rsidRPr="000C178D">
        <w:rPr>
          <w:rFonts w:ascii="Book Antiqua" w:hAnsi="Book Antiqua"/>
          <w:vertAlign w:val="superscript"/>
          <w:lang w:val="lt-LT"/>
        </w:rPr>
        <w:t>[</w:t>
      </w:r>
      <w:r w:rsidRPr="000C178D">
        <w:rPr>
          <w:rFonts w:ascii="Book Antiqua" w:hAnsi="Book Antiqua"/>
        </w:rPr>
        <w:fldChar w:fldCharType="begin" w:fldLock="1"/>
      </w:r>
      <w:r w:rsidR="001867B4" w:rsidRPr="000C178D">
        <w:rPr>
          <w:rFonts w:ascii="Book Antiqua" w:hAnsi="Book Antiqua"/>
        </w:rPr>
        <w:instrText>ADDIN CSL_CITATION {"citationItems":[{"id":"ITEM-1","itemData":{"DOI":"10.1080/14397595.2019.1703522","ISSN":"14397609","abstract":"Objectives: Immunoglobulin G4-related disease (IgG4-RD) is a systemic, multiorgan disease of unknown etiology. We aimed to classify IgG4-RD by a combination pattern of affected organs and identify the clinical features, including the comorbidities of each subgroup. Methods: Patients diagnosed with IgG4-RD between April 1996 and June 2018 were enrolled from three institutes. Hierarchical cluster analysis was performed using six frequently affected organs (lacrimal gland and/or orbit, salivary gland, lung, pancreas, kidney, and retroperitone and/or aorta). Clinical features, such as comorbidities and outcomes, were compared between clusters. Results: In total, 108 patients enrolled in this cohort could be stratified into five distinct subgroups: group 1, lung dominant group; group 2, retroperitoneal fibrosis and/or aortitis dominant group; group 3, salivary glands limited group; group 4, Mikulicz’s disease dominant group; and group 5, autoimmune pancreatitis with systemic involvement group. There were significant between-group differences in sex (male dominant in group 1, 2, and 5), history of asthma and allergies on the respiratory tract (most frequent in group 5), and malignancy (most frequent in group 5). Conclusion: IgG4-RD can be classified into subgroups according to the pattern of affected organs. Group 5 may have frequent complications with allergies and malignancies.","author":[{"dropping-particle":"","family":"Niwamoto","given":"Takafumi","non-dropping-particle":"","parse-names":false,"suffix":""},{"dropping-particle":"","family":"Handa","given":"Tomohiro","non-dropping-particle":"","parse-names":false,"suffix":""},{"dropping-particle":"","family":"Matsui","given":"Shoko","non-dropping-particle":"","parse-names":false,"suffix":""},{"dropping-particle":"","family":"Yamamoto","given":"Hiroshi","non-dropping-particle":"","parse-names":false,"suffix":""},{"dropping-particle":"","family":"Yoshifuji","given":"Hajime","non-dropping-particle":"","parse-names":false,"suffix":""},{"dropping-particle":"","family":"Abe","given":"Hiroyasu","non-dropping-particle":"","parse-names":false,"suffix":""},{"dropping-particle":"","family":"Matsumoto","given":"Hisako","non-dropping-particle":"","parse-names":false,"suffix":""},{"dropping-particle":"","family":"Kodama","given":"Yuzo","non-dropping-particle":"","parse-names":false,"suffix":""},{"dropping-particle":"","family":"Chiba","given":"Tsutomu","non-dropping-particle":"","parse-names":false,"suffix":""},{"dropping-particle":"","family":"Seno","given":"Hiroshi","non-dropping-particle":"","parse-names":false,"suffix":""},{"dropping-particle":"","family":"Mimori","given":"Tsuneyo","non-dropping-particle":"","parse-names":false,"suffix":""},{"dropping-particle":"","family":"Hirai","given":"Toyohiro","non-dropping-particle":"","parse-names":false,"suffix":""}],"container-title":"Modern Rheumatology","id":"ITEM-1","issued":{"date-parts":[["2020"]]},"publisher":"Taylor and Francis Ltd","title":"Phenotyping of IgG4-related diseases based on affected organ pattern: A multicenter cohort study using cluster analysis","type":"article-journal"},"uris":["http://www.mendeley.com/documents/?uuid=85df1564-096f-3db8-9c35-ccb9cf7777ed"]}],"mendeley":{"formattedCitation":"&lt;sup&gt;15&lt;/sup&gt;","plainTextFormattedCitation":"15","previouslyFormattedCitation":"[15]"},"properties":{"noteIndex":0},"schema":"https://github.com/citation-style-language/schema/raw/master/csl-citation.json"}</w:instrText>
      </w:r>
      <w:r w:rsidRPr="000C178D">
        <w:rPr>
          <w:rFonts w:ascii="Book Antiqua" w:hAnsi="Book Antiqua"/>
        </w:rPr>
        <w:fldChar w:fldCharType="separate"/>
      </w:r>
      <w:r w:rsidR="001867B4" w:rsidRPr="000C178D">
        <w:rPr>
          <w:rFonts w:ascii="Book Antiqua" w:hAnsi="Book Antiqua"/>
          <w:noProof/>
          <w:vertAlign w:val="superscript"/>
        </w:rPr>
        <w:t>15</w:t>
      </w:r>
      <w:r w:rsidRPr="000C178D">
        <w:rPr>
          <w:rFonts w:ascii="Book Antiqua" w:hAnsi="Book Antiqua"/>
        </w:rPr>
        <w:fldChar w:fldCharType="end"/>
      </w:r>
      <w:r w:rsidR="00CE726F" w:rsidRPr="000C178D">
        <w:rPr>
          <w:rFonts w:ascii="Book Antiqua" w:hAnsi="Book Antiqua"/>
          <w:vertAlign w:val="superscript"/>
        </w:rPr>
        <w:t>]</w:t>
      </w:r>
      <w:r w:rsidRPr="000C178D">
        <w:rPr>
          <w:rFonts w:ascii="Book Antiqua" w:hAnsi="Book Antiqua"/>
        </w:rPr>
        <w:t>.</w:t>
      </w:r>
      <w:r w:rsidRPr="000C178D">
        <w:rPr>
          <w:rFonts w:ascii="Book Antiqua" w:hAnsi="Book Antiqua"/>
          <w:lang w:val="lt-LT"/>
        </w:rPr>
        <w:t xml:space="preserve"> This subgroup turns out to be</w:t>
      </w:r>
      <w:r w:rsidRPr="000C178D">
        <w:rPr>
          <w:rFonts w:ascii="Book Antiqua" w:hAnsi="Book Antiqua"/>
        </w:rPr>
        <w:t xml:space="preserve"> the most suitable in our case, as it includes dominant lesions of the pancreas, salivary glands and orbits. </w:t>
      </w:r>
    </w:p>
    <w:p w14:paraId="4E2C3765" w14:textId="77777777" w:rsidR="00A719BC" w:rsidRPr="000C178D" w:rsidRDefault="00A719BC" w:rsidP="000C178D">
      <w:pPr>
        <w:pStyle w:val="a5"/>
        <w:snapToGrid w:val="0"/>
        <w:spacing w:before="0" w:beforeAutospacing="0" w:after="0" w:afterAutospacing="0" w:line="360" w:lineRule="auto"/>
        <w:ind w:firstLine="284"/>
        <w:jc w:val="both"/>
        <w:rPr>
          <w:rFonts w:ascii="Book Antiqua" w:hAnsi="Book Antiqua"/>
        </w:rPr>
      </w:pPr>
    </w:p>
    <w:p w14:paraId="115608FE" w14:textId="77777777" w:rsidR="00A719BC" w:rsidRPr="000C178D" w:rsidRDefault="00A719BC" w:rsidP="000C178D">
      <w:pPr>
        <w:autoSpaceDE w:val="0"/>
        <w:autoSpaceDN w:val="0"/>
        <w:adjustRightInd w:val="0"/>
        <w:snapToGrid w:val="0"/>
        <w:spacing w:after="0" w:line="360" w:lineRule="auto"/>
        <w:rPr>
          <w:rFonts w:ascii="Book Antiqua" w:hAnsi="Book Antiqua" w:cs="Times New Roman"/>
          <w:b/>
          <w:i/>
          <w:sz w:val="24"/>
          <w:szCs w:val="24"/>
        </w:rPr>
      </w:pPr>
      <w:r w:rsidRPr="000C178D">
        <w:rPr>
          <w:rFonts w:ascii="Book Antiqua" w:hAnsi="Book Antiqua" w:cs="Times New Roman"/>
          <w:b/>
          <w:i/>
          <w:sz w:val="24"/>
          <w:szCs w:val="24"/>
        </w:rPr>
        <w:t>IgG4-RD diagnosis</w:t>
      </w:r>
    </w:p>
    <w:p w14:paraId="2CA3AFF2" w14:textId="4EDB430E" w:rsidR="00A719BC" w:rsidRPr="000C178D" w:rsidRDefault="00A719BC" w:rsidP="000C178D">
      <w:pPr>
        <w:pStyle w:val="a5"/>
        <w:snapToGrid w:val="0"/>
        <w:spacing w:before="0" w:beforeAutospacing="0" w:after="0" w:afterAutospacing="0" w:line="360" w:lineRule="auto"/>
        <w:jc w:val="both"/>
        <w:rPr>
          <w:rFonts w:ascii="Book Antiqua" w:hAnsi="Book Antiqua"/>
          <w:lang w:val="lt-LT"/>
        </w:rPr>
      </w:pPr>
      <w:r w:rsidRPr="000C178D">
        <w:rPr>
          <w:rFonts w:ascii="Book Antiqua" w:eastAsiaTheme="minorHAnsi" w:hAnsi="Book Antiqua"/>
          <w:color w:val="2E2E2E"/>
        </w:rPr>
        <w:t>The presentation of IgG4-RD is typically subacute or chronic, marked by a spectrum of mild localized symptoms to significant tissue damage and organ failure evident for months or even years before diagnosis complicating the recognition</w:t>
      </w:r>
      <w:r w:rsidRPr="000C178D">
        <w:rPr>
          <w:rFonts w:ascii="Book Antiqua" w:hAnsi="Book Antiqua"/>
          <w:lang w:val="lt-LT"/>
        </w:rPr>
        <w:t xml:space="preserve"> of the disease</w:t>
      </w:r>
      <w:r w:rsidR="00CE726F" w:rsidRPr="000C178D">
        <w:rPr>
          <w:rFonts w:ascii="Book Antiqua" w:hAnsi="Book Antiqua"/>
          <w:vertAlign w:val="superscript"/>
          <w:lang w:val="lt-LT"/>
        </w:rPr>
        <w:t>[</w:t>
      </w:r>
      <w:r w:rsidRPr="000C178D">
        <w:rPr>
          <w:rFonts w:ascii="Book Antiqua" w:hAnsi="Book Antiqua"/>
          <w:lang w:val="lt-LT"/>
        </w:rPr>
        <w:fldChar w:fldCharType="begin" w:fldLock="1"/>
      </w:r>
      <w:r w:rsidR="001867B4" w:rsidRPr="000C178D">
        <w:rPr>
          <w:rFonts w:ascii="Book Antiqua" w:hAnsi="Book Antiqua"/>
          <w:lang w:val="lt-LT"/>
        </w:rPr>
        <w:instrText>ADDIN CSL_CITATION {"citationItems":[{"id":"ITEM-1","itemData":{"DOI":"10.1016/j.autrev.2014.08.013","ISSN":"18730183","abstract":"IgG4-related disease (IgG4-RD) is an emerging immune-mediated disease with the capability of involving essentially any organ. The epidemiology of this disease has not been explored in detail. A majority of patients reported in the literature to date are from Japan, but the condition has been described all across the world and there is no strong evidence to suggest a predilection for Asian populations. The mean age at diagnosis is approximately 60. years and there is a decided male predominance for many clinical features, with an overall male:female ratio of 8:3. A cardinal feature of IgG4-RD is single or multiple organ swelling that often raises concern for malignancy. IgG4-RD should be suspected in patients presenting with unexplained enlargement or swelling of one or more organs. Presenting features vary substantially according to the specialty to which patients present first; in addition, the disease can be diagnosed unexpectedly in pathological specimens or identified incidentally on radiology studies. Involvement of major organs is common and IgG4-RD may lead to organ failure, particularly in the pancreas, liver and biliary tree, kidneys, thyroid gland, lungs, and aorta. The diagnosis of IgG4-RD relies on the coexistence of various clinical, laboratory and histopathological findings, although none is pathognomonic by itself.","author":[{"dropping-particle":"","family":"Brito-Zerón","given":"Pilar","non-dropping-particle":"","parse-names":false,"suffix":""},{"dropping-particle":"","family":"Ramos-Casals","given":"Manuel","non-dropping-particle":"","parse-names":false,"suffix":""},{"dropping-particle":"","family":"Bosch","given":"Xavier","non-dropping-particle":"","parse-names":false,"suffix":""},{"dropping-particle":"","family":"Stone","given":"John H.","non-dropping-particle":"","parse-names":false,"suffix":""}],"container-title":"Autoimmunity Reviews","id":"ITEM-1","issue":"12","issued":{"date-parts":[["2014"]]},"page":"1203-1210","publisher":"Elsevier B.V.","title":"The clinical spectrum of IgG4-related disease","type":"article-journal","volume":"13"},"uris":["http://www.mendeley.com/documents/?uuid=d97bc05d-1ccd-4c25-bccc-dde6547692f1"]},{"id":"ITEM-2","itemData":{"DOI":"10.1053/j.gastro.2018.06.082","ISSN":"15280012","abstract":"IgG4-related disease (IgG4-RD) is a chronic relapsing multi-organ fibro-inflammatory syndrome of presumed autoimmune etiology. It is characterized by increased serum levels of IgG4 and tissue infiltration by IgG4+ cells. Increased titers of autoantibodies against a spectrum of self-antigens and response to steroids have led to its characterization as an autoimmune disease. However, the pathognomonic antigens probably differ among manifestations, and different antigens or autoantibodies produce similar immune reactions in different organs. Little is known about the pathogenic effects, if any, of serum IgG4 or IgG4+ plasma cells in tissues. Despite several animal models of the disease, none truly recapitulates human IgG4-RD. Histologic analyses of tissues from patients with IgG4-RD reveal a dense lymphoplasmacytic infiltrate rich in IgG4+ plasma cells, storiform fibrosis, and obliterative phlebitis, although these features vary among organs. Typical presentation and imaging findings include mass-forming synchronous or metachronous lesions in almost any organ, but most commonly in the pancreas, bile duct, retroperitoneum, kidneys, lungs, salivary and lacrimal glands, orbit, and lymph nodes. In all organs, inflammation can be reduced by corticosteroids and drugs that deplete B cells, such as rituximab. Patients with IgG4-RD have relapses that respond to primary therapy. Intense fibrosis accompanies the inflammatory response, leading to permanent organ damage and insufficiency. Death from IgG4-RD is rare. IgG4-RD is a multi-organ disease with predominant pancreatico-biliary involvement. Despite its relapsing–remitting course, patients have an excellent prognosis.","author":[{"dropping-particle":"","family":"Miyabe","given":"Katsuyuki","non-dropping-particle":"","parse-names":false,"suffix":""},{"dropping-particle":"","family":"Zen","given":"Yoh","non-dropping-particle":"","parse-names":false,"suffix":""},{"dropping-particle":"","family":"Cornell","given":"Lynn D.","non-dropping-particle":"","parse-names":false,"suffix":""},{"dropping-particle":"","family":"Rajagopalan","given":"Govindarajan","non-dropping-particle":"","parse-names":false,"suffix":""},{"dropping-particle":"","family":"Chowdhary","given":"Vaidehi R.","non-dropping-particle":"","parse-names":false,"suffix":""},{"dropping-particle":"","family":"Roberts","given":"Lewis R.","non-dropping-particle":"","parse-names":false,"suffix":""},{"dropping-particle":"","family":"Chari","given":"Suresh T.","non-dropping-particle":"","parse-names":false,"suffix":""}],"container-title":"Gastroenterology","id":"ITEM-2","issue":"4","issued":{"date-parts":[["2018"]]},"page":"990-1003.e1","publisher":"Elsevier, Inc","title":"Gastrointestinal and Extra-Intestinal Manifestations of IgG4–Related Disease","type":"article-journal","volume":"155"},"uris":["http://www.mendeley.com/documents/?uuid=54bfed4a-66dc-4bc2-9ebf-922dd5c760a3"]},{"id":"ITEM-3","itemData":{"DOI":"10.1038/modpathol.2012.72","ISSN":"08933952","abstract":"IgG4-related disease is a newly recognized fibro-inflammatory condition characterized by several features: a tendency to form tumefactive lesions in multiple sites; a characteristic histopathological appearance; andoften but not alwayselevated serum IgG4 concentrations. An international symposium on IgG4-related disease was held in Boston, MA, on 4-7 October 2011. The organizing committee comprising 35 IgG4-related disease experts from Japan, Korea, Hong Kong, the United Kingdom, Germany, Italy, Holland, Canada, and the United States, including the clinicians, pathologists, radiologists, and basic scientists. This group represents broad subspecialty expertise in pathology, rheumatology, gastroenterology, allergy, immunology, nephrology, pulmonary medicine, oncology, ophthalmology, and surgery. The histopathology of IgG4-related disease was a specific focus of the international symposium. The primary purpose of this statement is to provide practicing pathologists with a set of guidelines for the diagnosis of IgG4-related disease. The diagnosis of IgG4-related disease rests on the combined presence of the characteristic histopathological appearance and increased numbers of IgG4 plasma cells. The critical histopathological features are a dense lymphoplasmacytic infiltrate, a storiform pattern of fibrosis, and obliterative phlebitis. We propose a terminology scheme for the diagnosis of IgG4-related disease that is based primarily on the morphological appearance on biopsy. Tissue IgG4 counts and IgG4:IgG ratios are secondary in importance. The guidelines proposed in this statement do not supplant careful clinicopathological correlation and sound clinical judgment. As the spectrum of this disease continues to expand, we advocate the use of strict criteria for accepting newly proposed entities or sites as components of the IgG4-related disease spectrum. © 2012 USCAP, Inc. All rights reserved.","author":[{"dropping-particle":"","family":"Deshpande","given":"Vikram","non-dropping-particle":"","parse-names":false,"suffix":""},{"dropping-particle":"","family":"Zen","given":"Yoh","non-dropping-particle":"","parse-names":false,"suffix":""},{"dropping-particle":"","family":"Chan","given":"John K.C.","non-dropping-particle":"","parse-names":false,"suffix":""},{"dropping-particle":"","family":"Yi","given":"Eunhee E.","non-dropping-particle":"","parse-names":false,"suffix":""},{"dropping-particle":"","family":"Sato","given":"Yasuharu","non-dropping-particle":"","parse-names":false,"suffix":""},{"dropping-particle":"","family":"Yoshino","given":"Tadashi","non-dropping-particle":"","parse-names":false,"suffix":""},{"dropping-particle":"","family":"Klöppel","given":"Günter","non-dropping-particle":"","parse-names":false,"suffix":""},{"dropping-particle":"","family":"Godfrey Heathcote","given":"J.","non-dropping-particle":"","parse-names":false,"suffix":""},{"dropping-particle":"","family":"Khosroshahi","given":"Arezou","non-dropping-particle":"","parse-names":false,"suffix":""},{"dropping-particle":"","family":"Ferry","given":"Judith A.","non-dropping-particle":"","parse-names":false,"suffix":""},{"dropping-particle":"","family":"Aalberse","given":"Rob C.","non-dropping-particle":"","parse-names":false,"suffix":""},{"dropping-particle":"","family":"Bloch","given":"Donald B.","non-dropping-particle":"","parse-names":false,"suffix":""},{"dropping-particle":"","family":"Brugge","given":"William R.","non-dropping-particle":"","parse-names":false,"suffix":""},{"dropping-particle":"","family":"Bateman","given":"Adrian C.","non-dropping-particle":"","parse-names":false,"suffix":""},{"dropping-particle":"","family":"Carruthers","given":"Mollie N.","non-dropping-particle":"","parse-names":false,"suffix":""},{"dropping-particle":"","family":"Chari","given":"Suresh T.","non-dropping-particle":"","parse-names":false,"suffix":""},{"dropping-particle":"","family":"Cheuk","given":"Wah","non-dropping-particle":"","parse-names":false,"suffix":""},{"dropping-particle":"","family":"Cornell","given":"Lynn D.","non-dropping-particle":"","parse-names":false,"suffix":""},{"dropping-particle":"","family":"Fernandez-Del Castillo","given":"Carlos","non-dropping-particle":"","parse-names":false,"suffix":""},{"dropping-particle":"","family":"Forcione","given":"David G.","non-dropping-particle":"","parse-names":false,"suffix":""},{"dropping-particle":"","family":"Hamilos","given":"Daniel L.","non-dropping-particle":"","parse-names":false,"suffix":""},{"dropping-particle":"","family":"Kamisawa","given":"Terumi","non-dropping-particle":"","parse-names":false,"suffix":""},{"dropping-particle":"","family":"Kasashima","given":"Satomi","non-dropping-particle":"","parse-names":false,"suffix":""},{"dropping-particle":"","family":"Kawa","given":"Shigeyuki","non-dropping-particle":"","parse-names":false,"suffix":""},{"dropping-particle":"","family":"Kawano","given":"Mitsuhiro","non-dropping-particle":"","parse-names":false,"suffix":""},{"dropping-particle":"","family":"Lauwers","given":"Gregory Y.","non-dropping-particle":"","parse-names":false,"suffix":""},{"dropping-particle":"","family":"Masaki","given":"Yasufumi","non-dropping-particle":"","parse-names":false,"suffix":""},{"dropping-particle":"","family":"Nakanuma","given":"Yasuni","non-dropping-particle":"","parse-names":false,"suffix":""},{"dropping-particle":"","family":"Notohara","given":"Kenji","non-dropping-particle":"","parse-names":false,"suffix":""},{"dropping-particle":"","family":"Okazaki","given":"Kazuichi","non-dropping-particle":"","parse-names":false,"suffix":""},{"dropping-particle":"","family":"Ryu","given":"Ji Kon","non-dropping-particle":"","parse-names":false,"suffix":""},{"dropping-particle":"","family":"Saeki","given":"Takako","non-dropping-particle":"","parse-names":false,"suffix":""},{"dropping-particle":"V.","family":"Sahani","given":"Dushyant","non-dropping-particle":"","parse-names":false,"suffix":""},{"dropping-particle":"","family":"Smyrk","given":"Thomas C.","non-dropping-particle":"","parse-names":false,"suffix":""},{"dropping-particle":"","family":"Stone","given":"James R.","non-dropping-particle":"","parse-names":false,"suffix":""},{"dropping-particle":"","family":"Takahira","given":"Masayuki","non-dropping-particle":"","parse-names":false,"suffix":""},{"dropping-particle":"","family":"Webster","given":"George J.","non-dropping-particle":"","parse-names":false,"suffix":""},{"dropping-particle":"","family":"Yamamoto","given":"Motohisa","non-dropping-particle":"","parse-names":false,"suffix":""},{"dropping-particle":"","family":"Zamboni","given":"Giuseppe","non-dropping-particle":"","parse-names":false,"suffix":""},{"dropping-particle":"","family":"Umehara","given":"Hisanori","non-dropping-particle":"","parse-names":false,"suffix":""},{"dropping-particle":"","family":"Stone","given":"John H.","non-dropping-particle":"","parse-names":false,"suffix":""}],"container-title":"Modern Pathology","id":"ITEM-3","issue":"9","issued":{"date-parts":[["2012"]]},"page":"1181-1192","title":"Consensus statement on the pathology of IgG4-related disease","type":"article-journal","volume":"25"},"uris":["http://www.mendeley.com/documents/?uuid=3f43fcc4-f4e9-4cf4-83b3-d3905de2090d"]},{"id":"ITEM-4","itemData":{"DOI":"10.1016/j.ejim.2015.09.022","ISSN":"09536205","abstract":"IgG4-related disease (IgG4-RD) is a recently recognized chronic fibrotic inflammation, which can affect almost every organ, and may come to clinical attention first due to visible organ swelling or organ dysfunction, or is identified incidentally by imaging and specific biopsy. The disorder has an allergic background and is immune-mediated. Up-regulated responses of T helper 2 and T regulatory cells and their cytokines play a major role in disease progression. About 30-50% of patients are atopic or have mild eosinophilia. IgG4-RD predominantly affects middle-aged male patients. The cornerstones of diagnosis of the disease are compatible clinical features and typical histopathology. Swelling of salivary and lacrimal glands, lymphadenopathy, and type 1 autoimmune pancreatitis (AIP) are the most common manifestations of the disease. However, other tissues and organs, such as retroperitoneum, lung, kidney, aorta, upper airways, thyroid gland, meninges, heart, mesenterium and skin may be involved. Typical histopathology is lymphoplasmacytic infiltration abundant in IgG4-positive plasma cells, storiform-type fibrosis, and obliterative phlebitis. Elevated serum IgG4 concentration supports the diagnosis. Characteristic imaging features such as a »capsule-like rim» surrounding the pancreatic lesions is highly specific to type 1 AIP. 18F-fluorodeoxyglucose positron emission tomography/computed tomography enables mapping the sites of inflammation, permits evaluation of the extent of the disease, helps in guiding biopsy decision, and may be used in monitoring response to treatment. Glucocorticoids alone or in combination with B-cell depletion with rituximab induces prompt clinical response to IgG4-RD. This article reviews the current understanding, different clinical manifestations, and approaches to diagnosis and treatment of IgG4-RD.","author":[{"dropping-particle":"","family":"Vasaitis","given":"Lilian","non-dropping-particle":"","parse-names":false,"suffix":""}],"container-title":"European Journal of Internal Medicine","id":"ITEM-4","issued":{"date-parts":[["2016","1"]]},"page":"1-9","title":"IgG4-related disease: A relatively new concept for clinicians","type":"article-journal","volume":"27"},"uris":["http://www.mendeley.com/documents/?uuid=ca0ef16d-e19e-3fea-b5e5-d9d2dada3243"]}],"mendeley":{"formattedCitation":"&lt;sup&gt;1,2,4,8&lt;/sup&gt;","plainTextFormattedCitation":"1,2,4,8","previouslyFormattedCitation":"[1,2,4,8]"},"properties":{"noteIndex":0},"schema":"https://github.com/citation-style-language/schema/raw/master/csl-citation.json"}</w:instrText>
      </w:r>
      <w:r w:rsidRPr="000C178D">
        <w:rPr>
          <w:rFonts w:ascii="Book Antiqua" w:hAnsi="Book Antiqua"/>
          <w:lang w:val="lt-LT"/>
        </w:rPr>
        <w:fldChar w:fldCharType="separate"/>
      </w:r>
      <w:r w:rsidR="001867B4" w:rsidRPr="000C178D">
        <w:rPr>
          <w:rFonts w:ascii="Book Antiqua" w:hAnsi="Book Antiqua"/>
          <w:noProof/>
          <w:vertAlign w:val="superscript"/>
          <w:lang w:val="lt-LT"/>
        </w:rPr>
        <w:t>1,2,4,8</w:t>
      </w:r>
      <w:r w:rsidRPr="000C178D">
        <w:rPr>
          <w:rFonts w:ascii="Book Antiqua" w:hAnsi="Book Antiqua"/>
          <w:lang w:val="lt-LT"/>
        </w:rPr>
        <w:fldChar w:fldCharType="end"/>
      </w:r>
      <w:r w:rsidR="00CE726F" w:rsidRPr="000C178D">
        <w:rPr>
          <w:rFonts w:ascii="Book Antiqua" w:hAnsi="Book Antiqua"/>
          <w:vertAlign w:val="superscript"/>
          <w:lang w:val="lt-LT"/>
        </w:rPr>
        <w:t>]</w:t>
      </w:r>
      <w:r w:rsidRPr="000C178D">
        <w:rPr>
          <w:rFonts w:ascii="Book Antiqua" w:hAnsi="Book Antiqua"/>
          <w:lang w:val="lt-LT"/>
        </w:rPr>
        <w:t xml:space="preserve">. </w:t>
      </w:r>
    </w:p>
    <w:p w14:paraId="1EA1AF2F" w14:textId="2FF3D99E" w:rsidR="00A719BC" w:rsidRPr="000C178D" w:rsidRDefault="00A719BC" w:rsidP="000C178D">
      <w:pPr>
        <w:autoSpaceDE w:val="0"/>
        <w:autoSpaceDN w:val="0"/>
        <w:adjustRightInd w:val="0"/>
        <w:snapToGrid w:val="0"/>
        <w:spacing w:after="0" w:line="360" w:lineRule="auto"/>
        <w:ind w:firstLine="284"/>
        <w:jc w:val="both"/>
        <w:rPr>
          <w:rFonts w:ascii="Book Antiqua" w:eastAsia="Times New Roman" w:hAnsi="Book Antiqua" w:cs="Times New Roman"/>
          <w:sz w:val="24"/>
          <w:szCs w:val="24"/>
        </w:rPr>
      </w:pPr>
      <w:r w:rsidRPr="000C178D">
        <w:rPr>
          <w:rFonts w:ascii="Book Antiqua" w:hAnsi="Book Antiqua" w:cs="Times New Roman"/>
          <w:sz w:val="24"/>
          <w:szCs w:val="24"/>
        </w:rPr>
        <w:t>The main diagnostic patterns for IgG4-RD are clinical symptoms, histological findings, elevated IgG4 levels and typical radiological findings</w:t>
      </w:r>
      <w:r w:rsidRPr="000C178D">
        <w:rPr>
          <w:rFonts w:ascii="Book Antiqua" w:eastAsia="Times New Roman" w:hAnsi="Book Antiqua" w:cs="Times New Roman"/>
          <w:sz w:val="24"/>
          <w:szCs w:val="24"/>
        </w:rPr>
        <w:t xml:space="preserve">. Until now, there have been two types of diagnostic criteria available: </w:t>
      </w:r>
      <w:r w:rsidR="00BB67EB" w:rsidRPr="000C178D">
        <w:rPr>
          <w:rFonts w:ascii="Book Antiqua" w:eastAsia="Times New Roman" w:hAnsi="Book Antiqua" w:cs="Times New Roman"/>
          <w:sz w:val="24"/>
          <w:szCs w:val="24"/>
        </w:rPr>
        <w:t>T</w:t>
      </w:r>
      <w:r w:rsidRPr="000C178D">
        <w:rPr>
          <w:rFonts w:ascii="Book Antiqua" w:eastAsia="Times New Roman" w:hAnsi="Book Antiqua" w:cs="Times New Roman"/>
          <w:sz w:val="24"/>
          <w:szCs w:val="24"/>
        </w:rPr>
        <w:t xml:space="preserve">he Mayo Clinic </w:t>
      </w:r>
      <w:proofErr w:type="spellStart"/>
      <w:r w:rsidRPr="000C178D">
        <w:rPr>
          <w:rFonts w:ascii="Book Antiqua" w:eastAsia="Times New Roman" w:hAnsi="Book Antiqua" w:cs="Times New Roman"/>
          <w:sz w:val="24"/>
          <w:szCs w:val="24"/>
        </w:rPr>
        <w:t>HiSORt</w:t>
      </w:r>
      <w:proofErr w:type="spellEnd"/>
      <w:r w:rsidRPr="000C178D">
        <w:rPr>
          <w:rFonts w:ascii="Book Antiqua" w:eastAsia="Times New Roman" w:hAnsi="Book Antiqua" w:cs="Times New Roman"/>
          <w:sz w:val="24"/>
          <w:szCs w:val="24"/>
        </w:rPr>
        <w:t xml:space="preserve"> criteria for AIP and the Japanese Comprehensive Clinical Diagnostic criteria for IgG4-RD</w:t>
      </w:r>
      <w:r w:rsidR="00F13746" w:rsidRPr="000C178D">
        <w:rPr>
          <w:rFonts w:ascii="Book Antiqua" w:eastAsia="Times New Roman" w:hAnsi="Book Antiqua" w:cs="Times New Roman"/>
          <w:sz w:val="24"/>
          <w:szCs w:val="24"/>
          <w:vertAlign w:val="superscript"/>
        </w:rPr>
        <w:t>[</w:t>
      </w:r>
      <w:r w:rsidRPr="000C178D">
        <w:rPr>
          <w:rFonts w:ascii="Book Antiqua" w:eastAsia="Times New Roman" w:hAnsi="Book Antiqua" w:cs="Times New Roman"/>
          <w:sz w:val="24"/>
          <w:szCs w:val="24"/>
        </w:rPr>
        <w:fldChar w:fldCharType="begin" w:fldLock="1"/>
      </w:r>
      <w:r w:rsidR="001867B4" w:rsidRPr="000C178D">
        <w:rPr>
          <w:rFonts w:ascii="Book Antiqua" w:eastAsia="Times New Roman" w:hAnsi="Book Antiqua" w:cs="Times New Roman"/>
          <w:sz w:val="24"/>
          <w:szCs w:val="24"/>
        </w:rPr>
        <w:instrText>ADDIN CSL_CITATION {"citationItems":[{"id":"ITEM-1","itemData":{"DOI":"10.1007/s00535-007-2046-8","ISSN":"09441174","abstract":"Autoimmune pancreatitis (AIP) is a recently defined form of chronic pancreatitis. While numerous case reports and small case series of AIP have been reported from Japan, there have been relatively few from the West. Based on a retrospective review of our experience with resected AIP and a review of the literature, we have identified five cardinal features of AIP in histology, imaging, serology, other organ involvement, and response to steroid therapy, which are summarized in the mnemonic HISORt. A combination of the HISORt criteria can be used to definitively diagnose a wide spectrum of manifestations of AIP. © Springer-Verlag Tokyo 2007.","author":[{"dropping-particle":"","family":"Chari","given":"Suresh T.","non-dropping-particle":"","parse-names":false,"suffix":""}],"container-title":"Journal of Gastroenterology","id":"ITEM-1","issue":"SUPPL. 18","issued":{"date-parts":[["2007","5"]]},"page":"39-41","publisher":"Springer-Verlag","title":"Diagnosis of autoimmune pancreatitis using its five cardinal features: Introducing the Mayo Clinic's HISORt criteria","type":"article-journal","volume":"42"},"uris":["http://www.mendeley.com/documents/?uuid=e7de3b91-e298-3d34-b380-060bf4f8cbdc"]},{"id":"ITEM-2","itemData":{"DOI":"10.1007/s10165-011-0571-z","abstract":"BACKGROUND IgG4-related disease (IgG4-RD) is a novel clinical disease entity characterized by elevated serum IgG4 concentration and tumefaction or tissue infiltration by IgG4+ plasma cells. Although IgG4-RD is not rare and is clinically important, its clinical diagnostic criteria have not been established. Comprehensive diagnostic criteria for IgG4-RD, including the involvement of various organs, are intended for the practical use of general physicians and nonspecialists. METHODS Two IgG4-RD study groups, the Umehara and Okazaki teams, were organized by the Ministry of Health, Labor and Welfare Japan. As IgG4-RD comprises a wide variety of diseases, these groups consist of physicians and researchers in various disciplines, including rheumatology, hematology, gastroenterology, nephrology, pulmonology, ophthalmology, odontology, pathology, statistics, and basic and molecular immunology throughout Japan, with 66 and 56 members of the Umehara and Okazaki teams, respectively. Collaborations of the two study groups involved detailed analyses of clinical symptoms, laboratory results, and biopsy specimens of patients with IgG4-RD, resulting in the establishment of comprehensive diagnostic criteria for IgG4-RD. RESULTS Although many patients with IgG4-RD have lesions in several organs, either synchronously or metachronously, and the pathological features of each organ differ, consensus has been reached on two diagnostic criteria for IgG4RD: (1) serum IgG4 concentration &gt;135 mg/dl, and (2) &gt;40% of IgG+ plasma cells being IgG4+ and &gt;10 cells/high powered field of biopsy sample. Although the comprehensive diagnostic criteria are not sufficiently sensitive for the diagnosis of type 1 IgG4-related autoimmune pancreatitis (IgG4-related AIP), they are adequately sensitive for IgG4-related Mikulicz's disease (MD) and kidney disease (KD). In addition, the comprehensive diagnostic criteria, combined with organ-specific diagnostic criteria, have increased the sensitivity of diagnosis to 100% for IgG4-related MD, KD, and AIP. CONCLUSION Our comprehensive diagnostic criteria for IgG4-RD are practically useful for general physicians and nonspecialists.","author":[{"dropping-particle":"","family":"Umehara H, Okazaki K, Masaki Y","given":"et al.","non-dropping-particle":"","parse-names":false,"suffix":""}],"container-title":"Modern Rheumatology","id":"ITEM-2","issue":"1","issued":{"date-parts":[["2012"]]},"page":"21-30","title":"Comprehensive diagnostic criteria for IgG4- related disease (IgG4-RD ), 2011 Comprehensive diagnostic criteria for IgG4-related disease","type":"article-journal","volume":"22"},"uris":["http://www.mendeley.com/documents/?uuid=68879855-3386-305f-a73a-67459a9105db"]}],"mendeley":{"formattedCitation":"&lt;sup&gt;16,17&lt;/sup&gt;","plainTextFormattedCitation":"16,17","previouslyFormattedCitation":"[16,17]"},"properties":{"noteIndex":0},"schema":"https://github.com/citation-style-language/schema/raw/master/csl-citation.json"}</w:instrText>
      </w:r>
      <w:r w:rsidRPr="000C178D">
        <w:rPr>
          <w:rFonts w:ascii="Book Antiqua" w:eastAsia="Times New Roman" w:hAnsi="Book Antiqua" w:cs="Times New Roman"/>
          <w:sz w:val="24"/>
          <w:szCs w:val="24"/>
        </w:rPr>
        <w:fldChar w:fldCharType="separate"/>
      </w:r>
      <w:r w:rsidR="001867B4" w:rsidRPr="000C178D">
        <w:rPr>
          <w:rFonts w:ascii="Book Antiqua" w:eastAsia="Times New Roman" w:hAnsi="Book Antiqua" w:cs="Times New Roman"/>
          <w:noProof/>
          <w:sz w:val="24"/>
          <w:szCs w:val="24"/>
          <w:vertAlign w:val="superscript"/>
        </w:rPr>
        <w:t>16,17</w:t>
      </w:r>
      <w:r w:rsidRPr="000C178D">
        <w:rPr>
          <w:rFonts w:ascii="Book Antiqua" w:eastAsia="Times New Roman" w:hAnsi="Book Antiqua" w:cs="Times New Roman"/>
          <w:sz w:val="24"/>
          <w:szCs w:val="24"/>
        </w:rPr>
        <w:fldChar w:fldCharType="end"/>
      </w:r>
      <w:r w:rsidR="00F13746" w:rsidRPr="000C178D">
        <w:rPr>
          <w:rFonts w:ascii="Book Antiqua" w:eastAsia="Times New Roman" w:hAnsi="Book Antiqua" w:cs="Times New Roman"/>
          <w:sz w:val="24"/>
          <w:szCs w:val="24"/>
          <w:vertAlign w:val="superscript"/>
        </w:rPr>
        <w:t>]</w:t>
      </w:r>
      <w:r w:rsidRPr="000C178D">
        <w:rPr>
          <w:rFonts w:ascii="Book Antiqua" w:hAnsi="Book Antiqua" w:cs="Times New Roman"/>
          <w:sz w:val="24"/>
          <w:szCs w:val="24"/>
        </w:rPr>
        <w:t>. The American College of Rheumatology (ACR)/European League Against Rheumatism (EULAR) Classification Criteria for IgG4-RD were finally developed and validated at the end of 2019</w:t>
      </w:r>
      <w:r w:rsidR="00F13746" w:rsidRPr="000C178D">
        <w:rPr>
          <w:rFonts w:ascii="Book Antiqua" w:hAnsi="Book Antiqua" w:cs="Times New Roman"/>
          <w:sz w:val="24"/>
          <w:szCs w:val="24"/>
          <w:vertAlign w:val="superscript"/>
        </w:rPr>
        <w:t>[</w:t>
      </w:r>
      <w:r w:rsidRPr="000C178D">
        <w:rPr>
          <w:rFonts w:ascii="Book Antiqua" w:hAnsi="Book Antiqua" w:cs="Times New Roman"/>
          <w:sz w:val="24"/>
          <w:szCs w:val="24"/>
        </w:rPr>
        <w:fldChar w:fldCharType="begin" w:fldLock="1"/>
      </w:r>
      <w:r w:rsidR="001867B4" w:rsidRPr="000C178D">
        <w:rPr>
          <w:rFonts w:ascii="Book Antiqua" w:hAnsi="Book Antiqua" w:cs="Times New Roman"/>
          <w:sz w:val="24"/>
          <w:szCs w:val="24"/>
        </w:rPr>
        <w:instrText>ADDIN CSL_CITATION {"citationItems":[{"id":"ITEM-1","itemData":{"DOI":"10.1136/annrheumdis-2019-216561","abstract":"IgG4-related disease (IgG4-RD) can cause fibroinflammatory lesions in nearly any organ. Correlation among clinical, serological, radiological and pathological data is required for diagnosis. This work was undertaken to develop and validate an international set of classification criteria for IgG4-RD. An international multispecialty group of 86 physicians was assembled by the American College of Rheumatology (ACR) and the European League Against Rheumatism (EULAR). Investigators used consensus exercises; existing literature; derivation and validation cohorts of 1879 subjects (1086 cases, 793 mimickers); and multicriterion decision analysis to identify, weight and test potential classification criteria. Two independent validation cohorts were included. A three-step classification process was developed. First, it must be demonstrated that a potential IgG4-RD case has involvement of at least one of 11 possible organs in a manner consistent with IgG4-RD. Second, exclusion criteria consisting of a total of 32 clinical, serological, radiological and pathological items must be applied; the presence of any of these criteria eliminates the patient from IgG4-RD classification. Third, eight weighted inclusion criteria domains, addressing clinical findings, serological results, radiological assessments and pathological interpretations, are applied. In the first validation cohort, a threshold of 20 points had a specificity of 99.2% (95% CI 97.2% to 99.8%) and a sensitivity of 85.5% (95% CI 81.9% to 88.5%). In the second, the specificity was 97.8% (95% CI 93.7% to 99.2%) and the sensitivity was 82.0% (95% CI 77.0% to 86.1%). The criteria were shown to have robust test characteristics over a wide range of thresholds. ACR/EULAR classification criteria for IgG4-RD have been developed and validated in a large cohort of patients. These criteria demonstrate excellent test performance and should contribute substantially to future clinical, epidemiological and basic science investigations.","author":[{"dropping-particle":"","family":"Wallace","given":"Zachary S","non-dropping-particle":"","parse-names":false,"suffix":""},{"dropping-particle":"","family":"Naden","given":"Ray P","non-dropping-particle":"","parse-names":false,"suffix":""},{"dropping-particle":"","family":"Chari","given":"Suresh","non-dropping-particle":"","parse-names":false,"suffix":""},{"dropping-particle":"","family":"Choi","given":"Hyon K","non-dropping-particle":"","parse-names":false,"suffix":""},{"dropping-particle":"","family":"Della-Torre","given":"Emanuel","non-dropping-particle":"","parse-names":false,"suffix":""},{"dropping-particle":"","family":"Dicaire","given":"Jean-Francois","non-dropping-particle":"","parse-names":false,"suffix":""},{"dropping-particle":"","family":"Hart","given":"Phillip A","non-dropping-particle":"","parse-names":false,"suffix":""},{"dropping-particle":"","family":"Inoue","given":"Dai","non-dropping-particle":"","parse-names":false,"suffix":""},{"dropping-particle":"","family":"Kawano","given":"Mitsuhiro","non-dropping-particle":"","parse-names":false,"suffix":""},{"dropping-particle":"","family":"Khosroshahi","given":"Arezou","non-dropping-particle":"","parse-names":false,"suffix":""},{"dropping-particle":"","family":"Lanzillotta","given":"Marco","non-dropping-particle":"","parse-names":false,"suffix":""},{"dropping-particle":"","family":"Okazaki","given":"Kazuichi","non-dropping-particle":"","parse-names":false,"suffix":""},{"dropping-particle":"","family":"Perugino","given":"Cory A","non-dropping-particle":"","parse-names":false,"suffix":""},{"dropping-particle":"","family":"Sharma","given":"Amita","non-dropping-particle":"","parse-names":false,"suffix":""},{"dropping-particle":"","family":"Saeki","given":"Takako","non-dropping-particle":"","parse-names":false,"suffix":""},{"dropping-particle":"","family":"Schleinitz","given":"Nicolas","non-dropping-particle":"","parse-names":false,"suffix":""},{"dropping-particle":"","family":"Takahashi","given":"Naoki","non-dropping-particle":"","parse-names":false,"suffix":""},{"dropping-particle":"","family":"Umehara","given":"Hisanori","non-dropping-particle":"","parse-names":false,"suffix":""},{"dropping-particle":"","family":"Zen","given":"Yoh","non-dropping-particle":"","parse-names":false,"suffix":""},{"dropping-particle":"","family":"Stone","given":"John H","non-dropping-particle":"","parse-names":false,"suffix":""}],"container-title":"Annals of the Rheumatic Diseases","id":"ITEM-1","issue":"1","issued":{"date-parts":[["2019"]]},"page":"77-87","title":"European League Against Rheumatism classification criteria for IgG4-related disease","type":"article-journal","volume":"79"},"uris":["http://www.mendeley.com/documents/?uuid=8eb6fa6c-5dcd-3f29-9455-805408c619d3"]}],"mendeley":{"formattedCitation":"&lt;sup&gt;9&lt;/sup&gt;","plainTextFormattedCitation":"9","previouslyFormattedCitation":"[9]"},"properties":{"noteIndex":0},"schema":"https://github.com/citation-style-language/schema/raw/master/csl-citation.json"}</w:instrText>
      </w:r>
      <w:r w:rsidRPr="000C178D">
        <w:rPr>
          <w:rFonts w:ascii="Book Antiqua" w:hAnsi="Book Antiqua" w:cs="Times New Roman"/>
          <w:sz w:val="24"/>
          <w:szCs w:val="24"/>
        </w:rPr>
        <w:fldChar w:fldCharType="separate"/>
      </w:r>
      <w:r w:rsidR="001867B4" w:rsidRPr="000C178D">
        <w:rPr>
          <w:rFonts w:ascii="Book Antiqua" w:hAnsi="Book Antiqua" w:cs="Times New Roman"/>
          <w:noProof/>
          <w:sz w:val="24"/>
          <w:szCs w:val="24"/>
          <w:vertAlign w:val="superscript"/>
        </w:rPr>
        <w:t>9</w:t>
      </w:r>
      <w:r w:rsidRPr="000C178D">
        <w:rPr>
          <w:rFonts w:ascii="Book Antiqua" w:hAnsi="Book Antiqua" w:cs="Times New Roman"/>
          <w:sz w:val="24"/>
          <w:szCs w:val="24"/>
        </w:rPr>
        <w:fldChar w:fldCharType="end"/>
      </w:r>
      <w:r w:rsidR="00F13746" w:rsidRPr="000C178D">
        <w:rPr>
          <w:rFonts w:ascii="Book Antiqua" w:hAnsi="Book Antiqua" w:cs="Times New Roman"/>
          <w:sz w:val="24"/>
          <w:szCs w:val="24"/>
          <w:vertAlign w:val="superscript"/>
        </w:rPr>
        <w:t>]</w:t>
      </w:r>
      <w:r w:rsidRPr="000C178D">
        <w:rPr>
          <w:rFonts w:ascii="Book Antiqua" w:hAnsi="Book Antiqua" w:cs="Times New Roman"/>
          <w:sz w:val="24"/>
          <w:szCs w:val="24"/>
        </w:rPr>
        <w:t>. A case meets the classification criteria for IgG4-RD, if the entry criteria are met, no exclusion criteria are present, and the total points are ≥ 20</w:t>
      </w:r>
      <w:r w:rsidR="00F13746" w:rsidRPr="000C178D">
        <w:rPr>
          <w:rFonts w:ascii="Book Antiqua" w:hAnsi="Book Antiqua" w:cs="Times New Roman"/>
          <w:sz w:val="24"/>
          <w:szCs w:val="24"/>
          <w:vertAlign w:val="superscript"/>
        </w:rPr>
        <w:t>[</w:t>
      </w:r>
      <w:r w:rsidRPr="000C178D">
        <w:rPr>
          <w:rFonts w:ascii="Book Antiqua" w:hAnsi="Book Antiqua" w:cs="Times New Roman"/>
          <w:sz w:val="24"/>
          <w:szCs w:val="24"/>
        </w:rPr>
        <w:fldChar w:fldCharType="begin" w:fldLock="1"/>
      </w:r>
      <w:r w:rsidR="001867B4" w:rsidRPr="000C178D">
        <w:rPr>
          <w:rFonts w:ascii="Book Antiqua" w:hAnsi="Book Antiqua" w:cs="Times New Roman"/>
          <w:sz w:val="24"/>
          <w:szCs w:val="24"/>
        </w:rPr>
        <w:instrText>ADDIN CSL_CITATION {"citationItems":[{"id":"ITEM-1","itemData":{"DOI":"10.1136/annrheumdis-2019-216561","abstract":"IgG4-related disease (IgG4-RD) can cause fibroinflammatory lesions in nearly any organ. Correlation among clinical, serological, radiological and pathological data is required for diagnosis. This work was undertaken to develop and validate an international set of classification criteria for IgG4-RD. An international multispecialty group of 86 physicians was assembled by the American College of Rheumatology (ACR) and the European League Against Rheumatism (EULAR). Investigators used consensus exercises; existing literature; derivation and validation cohorts of 1879 subjects (1086 cases, 793 mimickers); and multicriterion decision analysis to identify, weight and test potential classification criteria. Two independent validation cohorts were included. A three-step classification process was developed. First, it must be demonstrated that a potential IgG4-RD case has involvement of at least one of 11 possible organs in a manner consistent with IgG4-RD. Second, exclusion criteria consisting of a total of 32 clinical, serological, radiological and pathological items must be applied; the presence of any of these criteria eliminates the patient from IgG4-RD classification. Third, eight weighted inclusion criteria domains, addressing clinical findings, serological results, radiological assessments and pathological interpretations, are applied. In the first validation cohort, a threshold of 20 points had a specificity of 99.2% (95% CI 97.2% to 99.8%) and a sensitivity of 85.5% (95% CI 81.9% to 88.5%). In the second, the specificity was 97.8% (95% CI 93.7% to 99.2%) and the sensitivity was 82.0% (95% CI 77.0% to 86.1%). The criteria were shown to have robust test characteristics over a wide range of thresholds. ACR/EULAR classification criteria for IgG4-RD have been developed and validated in a large cohort of patients. These criteria demonstrate excellent test performance and should contribute substantially to future clinical, epidemiological and basic science investigations.","author":[{"dropping-particle":"","family":"Wallace","given":"Zachary S","non-dropping-particle":"","parse-names":false,"suffix":""},{"dropping-particle":"","family":"Naden","given":"Ray P","non-dropping-particle":"","parse-names":false,"suffix":""},{"dropping-particle":"","family":"Chari","given":"Suresh","non-dropping-particle":"","parse-names":false,"suffix":""},{"dropping-particle":"","family":"Choi","given":"Hyon K","non-dropping-particle":"","parse-names":false,"suffix":""},{"dropping-particle":"","family":"Della-Torre","given":"Emanuel","non-dropping-particle":"","parse-names":false,"suffix":""},{"dropping-particle":"","family":"Dicaire","given":"Jean-Francois","non-dropping-particle":"","parse-names":false,"suffix":""},{"dropping-particle":"","family":"Hart","given":"Phillip A","non-dropping-particle":"","parse-names":false,"suffix":""},{"dropping-particle":"","family":"Inoue","given":"Dai","non-dropping-particle":"","parse-names":false,"suffix":""},{"dropping-particle":"","family":"Kawano","given":"Mitsuhiro","non-dropping-particle":"","parse-names":false,"suffix":""},{"dropping-particle":"","family":"Khosroshahi","given":"Arezou","non-dropping-particle":"","parse-names":false,"suffix":""},{"dropping-particle":"","family":"Lanzillotta","given":"Marco","non-dropping-particle":"","parse-names":false,"suffix":""},{"dropping-particle":"","family":"Okazaki","given":"Kazuichi","non-dropping-particle":"","parse-names":false,"suffix":""},{"dropping-particle":"","family":"Perugino","given":"Cory A","non-dropping-particle":"","parse-names":false,"suffix":""},{"dropping-particle":"","family":"Sharma","given":"Amita","non-dropping-particle":"","parse-names":false,"suffix":""},{"dropping-particle":"","family":"Saeki","given":"Takako","non-dropping-particle":"","parse-names":false,"suffix":""},{"dropping-particle":"","family":"Schleinitz","given":"Nicolas","non-dropping-particle":"","parse-names":false,"suffix":""},{"dropping-particle":"","family":"Takahashi","given":"Naoki","non-dropping-particle":"","parse-names":false,"suffix":""},{"dropping-particle":"","family":"Umehara","given":"Hisanori","non-dropping-particle":"","parse-names":false,"suffix":""},{"dropping-particle":"","family":"Zen","given":"Yoh","non-dropping-particle":"","parse-names":false,"suffix":""},{"dropping-particle":"","family":"Stone","given":"John H","non-dropping-particle":"","parse-names":false,"suffix":""}],"container-title":"Annals of the Rheumatic Diseases","id":"ITEM-1","issue":"1","issued":{"date-parts":[["2019"]]},"page":"77-87","title":"European League Against Rheumatism classification criteria for IgG4-related disease","type":"article-journal","volume":"79"},"uris":["http://www.mendeley.com/documents/?uuid=8eb6fa6c-5dcd-3f29-9455-805408c619d3"]}],"mendeley":{"formattedCitation":"&lt;sup&gt;9&lt;/sup&gt;","plainTextFormattedCitation":"9","previouslyFormattedCitation":"[9]"},"properties":{"noteIndex":0},"schema":"https://github.com/citation-style-language/schema/raw/master/csl-citation.json"}</w:instrText>
      </w:r>
      <w:r w:rsidRPr="000C178D">
        <w:rPr>
          <w:rFonts w:ascii="Book Antiqua" w:hAnsi="Book Antiqua" w:cs="Times New Roman"/>
          <w:sz w:val="24"/>
          <w:szCs w:val="24"/>
        </w:rPr>
        <w:fldChar w:fldCharType="separate"/>
      </w:r>
      <w:r w:rsidR="001867B4" w:rsidRPr="000C178D">
        <w:rPr>
          <w:rFonts w:ascii="Book Antiqua" w:hAnsi="Book Antiqua" w:cs="Times New Roman"/>
          <w:noProof/>
          <w:sz w:val="24"/>
          <w:szCs w:val="24"/>
          <w:vertAlign w:val="superscript"/>
        </w:rPr>
        <w:t>9</w:t>
      </w:r>
      <w:r w:rsidRPr="000C178D">
        <w:rPr>
          <w:rFonts w:ascii="Book Antiqua" w:hAnsi="Book Antiqua" w:cs="Times New Roman"/>
          <w:sz w:val="24"/>
          <w:szCs w:val="24"/>
        </w:rPr>
        <w:fldChar w:fldCharType="end"/>
      </w:r>
      <w:r w:rsidR="00F13746" w:rsidRPr="000C178D">
        <w:rPr>
          <w:rFonts w:ascii="Book Antiqua" w:hAnsi="Book Antiqua" w:cs="Times New Roman"/>
          <w:sz w:val="24"/>
          <w:szCs w:val="24"/>
          <w:vertAlign w:val="superscript"/>
        </w:rPr>
        <w:t>]</w:t>
      </w:r>
      <w:r w:rsidRPr="000C178D">
        <w:rPr>
          <w:rFonts w:ascii="Book Antiqua" w:hAnsi="Book Antiqua" w:cs="Times New Roman"/>
          <w:sz w:val="24"/>
          <w:szCs w:val="24"/>
        </w:rPr>
        <w:t xml:space="preserve">. </w:t>
      </w:r>
    </w:p>
    <w:p w14:paraId="3BCA5080" w14:textId="0C33D9BB" w:rsidR="00A719BC" w:rsidRPr="000C178D" w:rsidRDefault="00A719BC" w:rsidP="000C178D">
      <w:pPr>
        <w:autoSpaceDE w:val="0"/>
        <w:autoSpaceDN w:val="0"/>
        <w:adjustRightInd w:val="0"/>
        <w:snapToGrid w:val="0"/>
        <w:spacing w:after="0" w:line="360" w:lineRule="auto"/>
        <w:ind w:firstLine="284"/>
        <w:jc w:val="both"/>
        <w:rPr>
          <w:rFonts w:ascii="Book Antiqua" w:hAnsi="Book Antiqua" w:cs="Times New Roman"/>
          <w:sz w:val="24"/>
          <w:szCs w:val="24"/>
        </w:rPr>
      </w:pPr>
      <w:r w:rsidRPr="000C178D">
        <w:rPr>
          <w:rFonts w:ascii="Book Antiqua" w:hAnsi="Book Antiqua" w:cs="Times New Roman"/>
          <w:sz w:val="24"/>
          <w:szCs w:val="24"/>
        </w:rPr>
        <w:t xml:space="preserve">The main histopathological features of IgG4-RD are: </w:t>
      </w:r>
      <w:r w:rsidR="00A22A04" w:rsidRPr="000C178D">
        <w:rPr>
          <w:rFonts w:ascii="Book Antiqua" w:hAnsi="Book Antiqua" w:cs="Times New Roman"/>
          <w:sz w:val="24"/>
          <w:szCs w:val="24"/>
        </w:rPr>
        <w:t>(</w:t>
      </w:r>
      <w:r w:rsidRPr="000C178D">
        <w:rPr>
          <w:rFonts w:ascii="Book Antiqua" w:hAnsi="Book Antiqua" w:cs="Times New Roman"/>
          <w:sz w:val="24"/>
          <w:szCs w:val="24"/>
        </w:rPr>
        <w:t xml:space="preserve">1) </w:t>
      </w:r>
      <w:r w:rsidR="00A22A04" w:rsidRPr="000C178D">
        <w:rPr>
          <w:rFonts w:ascii="Book Antiqua" w:hAnsi="Book Antiqua" w:cs="Times New Roman"/>
          <w:sz w:val="24"/>
          <w:szCs w:val="24"/>
        </w:rPr>
        <w:t>D</w:t>
      </w:r>
      <w:r w:rsidRPr="000C178D">
        <w:rPr>
          <w:rFonts w:ascii="Book Antiqua" w:hAnsi="Book Antiqua" w:cs="Times New Roman"/>
          <w:sz w:val="24"/>
          <w:szCs w:val="24"/>
        </w:rPr>
        <w:t>ense lymphoplasmacytic infiltration</w:t>
      </w:r>
      <w:r w:rsidRPr="000C178D">
        <w:rPr>
          <w:rFonts w:ascii="Book Antiqua" w:hAnsi="Book Antiqua" w:cs="Times New Roman"/>
          <w:color w:val="222222"/>
          <w:sz w:val="24"/>
          <w:szCs w:val="24"/>
          <w:shd w:val="clear" w:color="auto" w:fill="FFFFFF"/>
        </w:rPr>
        <w:t xml:space="preserve"> </w:t>
      </w:r>
      <w:r w:rsidRPr="000C178D">
        <w:rPr>
          <w:rFonts w:ascii="Book Antiqua" w:hAnsi="Book Antiqua" w:cs="Times New Roman"/>
          <w:color w:val="000000" w:themeColor="text1"/>
          <w:sz w:val="24"/>
          <w:szCs w:val="24"/>
          <w:shd w:val="clear" w:color="auto" w:fill="FFFFFF"/>
        </w:rPr>
        <w:t xml:space="preserve">with increased numbers of </w:t>
      </w:r>
      <w:r w:rsidRPr="000C178D">
        <w:rPr>
          <w:rFonts w:ascii="Book Antiqua" w:hAnsi="Book Antiqua" w:cs="Times New Roman"/>
          <w:bCs/>
          <w:color w:val="000000" w:themeColor="text1"/>
          <w:sz w:val="24"/>
          <w:szCs w:val="24"/>
          <w:shd w:val="clear" w:color="auto" w:fill="FFFFFF"/>
        </w:rPr>
        <w:t xml:space="preserve">IgG4 positive </w:t>
      </w:r>
      <w:r w:rsidRPr="000C178D">
        <w:rPr>
          <w:rFonts w:ascii="Book Antiqua" w:hAnsi="Book Antiqua" w:cs="Times New Roman"/>
          <w:color w:val="000000" w:themeColor="text1"/>
          <w:sz w:val="24"/>
          <w:szCs w:val="24"/>
          <w:shd w:val="clear" w:color="auto" w:fill="FFFFFF"/>
        </w:rPr>
        <w:t xml:space="preserve">plasma cells </w:t>
      </w:r>
      <w:r w:rsidRPr="000C178D">
        <w:rPr>
          <w:rFonts w:ascii="Book Antiqua" w:hAnsi="Book Antiqua" w:cs="Times New Roman"/>
          <w:color w:val="222222"/>
          <w:sz w:val="24"/>
          <w:szCs w:val="24"/>
          <w:shd w:val="clear" w:color="auto" w:fill="FFFFFF"/>
        </w:rPr>
        <w:t>and often</w:t>
      </w:r>
      <w:r w:rsidRPr="000C178D">
        <w:rPr>
          <w:rFonts w:ascii="Book Antiqua" w:hAnsi="Book Antiqua" w:cs="Arial"/>
          <w:color w:val="222222"/>
          <w:sz w:val="24"/>
          <w:szCs w:val="24"/>
          <w:shd w:val="clear" w:color="auto" w:fill="FFFFFF"/>
        </w:rPr>
        <w:t xml:space="preserve"> </w:t>
      </w:r>
      <w:r w:rsidRPr="000C178D">
        <w:rPr>
          <w:rFonts w:ascii="Book Antiqua" w:hAnsi="Book Antiqua" w:cs="Times New Roman"/>
          <w:sz w:val="24"/>
          <w:szCs w:val="24"/>
        </w:rPr>
        <w:t xml:space="preserve">increased eosinophils; </w:t>
      </w:r>
      <w:r w:rsidR="00A22A04" w:rsidRPr="000C178D">
        <w:rPr>
          <w:rFonts w:ascii="Book Antiqua" w:hAnsi="Book Antiqua" w:cs="Times New Roman"/>
          <w:sz w:val="24"/>
          <w:szCs w:val="24"/>
        </w:rPr>
        <w:t>(</w:t>
      </w:r>
      <w:r w:rsidRPr="000C178D">
        <w:rPr>
          <w:rFonts w:ascii="Book Antiqua" w:hAnsi="Book Antiqua" w:cs="Times New Roman"/>
          <w:sz w:val="24"/>
          <w:szCs w:val="24"/>
        </w:rPr>
        <w:t xml:space="preserve">2) </w:t>
      </w:r>
      <w:r w:rsidR="00A22A04" w:rsidRPr="000C178D">
        <w:rPr>
          <w:rFonts w:ascii="Book Antiqua" w:hAnsi="Book Antiqua" w:cs="Times New Roman"/>
          <w:sz w:val="24"/>
          <w:szCs w:val="24"/>
        </w:rPr>
        <w:t>S</w:t>
      </w:r>
      <w:r w:rsidRPr="000C178D">
        <w:rPr>
          <w:rFonts w:ascii="Book Antiqua" w:hAnsi="Book Antiqua" w:cs="Times New Roman"/>
          <w:sz w:val="24"/>
          <w:szCs w:val="24"/>
        </w:rPr>
        <w:t xml:space="preserve">toriform-type fibrosis; </w:t>
      </w:r>
      <w:r w:rsidR="00A22A04" w:rsidRPr="000C178D">
        <w:rPr>
          <w:rFonts w:ascii="Book Antiqua" w:hAnsi="Book Antiqua" w:cs="Times New Roman"/>
          <w:sz w:val="24"/>
          <w:szCs w:val="24"/>
        </w:rPr>
        <w:t>(</w:t>
      </w:r>
      <w:r w:rsidRPr="000C178D">
        <w:rPr>
          <w:rFonts w:ascii="Book Antiqua" w:hAnsi="Book Antiqua" w:cs="Times New Roman"/>
          <w:sz w:val="24"/>
          <w:szCs w:val="24"/>
        </w:rPr>
        <w:t xml:space="preserve">3) </w:t>
      </w:r>
      <w:r w:rsidR="00A22A04" w:rsidRPr="000C178D">
        <w:rPr>
          <w:rFonts w:ascii="Book Antiqua" w:hAnsi="Book Antiqua" w:cs="Times New Roman"/>
          <w:sz w:val="24"/>
          <w:szCs w:val="24"/>
        </w:rPr>
        <w:t>O</w:t>
      </w:r>
      <w:r w:rsidRPr="000C178D">
        <w:rPr>
          <w:rFonts w:ascii="Book Antiqua" w:hAnsi="Book Antiqua" w:cs="Times New Roman"/>
          <w:sz w:val="24"/>
          <w:szCs w:val="24"/>
        </w:rPr>
        <w:t>bliterative phlebitis</w:t>
      </w:r>
      <w:r w:rsidR="00F13746" w:rsidRPr="000C178D">
        <w:rPr>
          <w:rFonts w:ascii="Book Antiqua" w:hAnsi="Book Antiqua" w:cs="Times New Roman"/>
          <w:sz w:val="24"/>
          <w:szCs w:val="24"/>
          <w:vertAlign w:val="superscript"/>
        </w:rPr>
        <w:t>[</w:t>
      </w:r>
      <w:r w:rsidRPr="000C178D">
        <w:rPr>
          <w:rFonts w:ascii="Book Antiqua" w:hAnsi="Book Antiqua" w:cs="Times New Roman"/>
          <w:sz w:val="24"/>
          <w:szCs w:val="24"/>
        </w:rPr>
        <w:fldChar w:fldCharType="begin" w:fldLock="1"/>
      </w:r>
      <w:r w:rsidR="001867B4" w:rsidRPr="000C178D">
        <w:rPr>
          <w:rFonts w:ascii="Book Antiqua" w:hAnsi="Book Antiqua" w:cs="Times New Roman"/>
          <w:sz w:val="24"/>
          <w:szCs w:val="24"/>
        </w:rPr>
        <w:instrText>ADDIN CSL_CITATION {"citationItems":[{"id":"ITEM-1","itemData":{"DOI":"10.1038/modpathol.2012.72","ISSN":"08933952","abstract":"IgG4-related disease is a newly recognized fibro-inflammatory condition characterized by several features: a tendency to form tumefactive lesions in multiple sites; a characteristic histopathological appearance; andoften but not alwayselevated serum IgG4 concentrations. An international symposium on IgG4-related disease was held in Boston, MA, on 4-7 October 2011. The organizing committee comprising 35 IgG4-related disease experts from Japan, Korea, Hong Kong, the United Kingdom, Germany, Italy, Holland, Canada, and the United States, including the clinicians, pathologists, radiologists, and basic scientists. This group represents broad subspecialty expertise in pathology, rheumatology, gastroenterology, allergy, immunology, nephrology, pulmonary medicine, oncology, ophthalmology, and surgery. The histopathology of IgG4-related disease was a specific focus of the international symposium. The primary purpose of this statement is to provide practicing pathologists with a set of guidelines for the diagnosis of IgG4-related disease. The diagnosis of IgG4-related disease rests on the combined presence of the characteristic histopathological appearance and increased numbers of IgG4 plasma cells. The critical histopathological features are a dense lymphoplasmacytic infiltrate, a storiform pattern of fibrosis, and obliterative phlebitis. We propose a terminology scheme for the diagnosis of IgG4-related disease that is based primarily on the morphological appearance on biopsy. Tissue IgG4 counts and IgG4:IgG ratios are secondary in importance. The guidelines proposed in this statement do not supplant careful clinicopathological correlation and sound clinical judgment. As the spectrum of this disease continues to expand, we advocate the use of strict criteria for accepting newly proposed entities or sites as components of the IgG4-related disease spectrum. © 2012 USCAP, Inc. All rights reserved.","author":[{"dropping-particle":"","family":"Deshpande","given":"Vikram","non-dropping-particle":"","parse-names":false,"suffix":""},{"dropping-particle":"","family":"Zen","given":"Yoh","non-dropping-particle":"","parse-names":false,"suffix":""},{"dropping-particle":"","family":"Chan","given":"John K.C.","non-dropping-particle":"","parse-names":false,"suffix":""},{"dropping-particle":"","family":"Yi","given":"Eunhee E.","non-dropping-particle":"","parse-names":false,"suffix":""},{"dropping-particle":"","family":"Sato","given":"Yasuharu","non-dropping-particle":"","parse-names":false,"suffix":""},{"dropping-particle":"","family":"Yoshino","given":"Tadashi","non-dropping-particle":"","parse-names":false,"suffix":""},{"dropping-particle":"","family":"Klöppel","given":"Günter","non-dropping-particle":"","parse-names":false,"suffix":""},{"dropping-particle":"","family":"Godfrey Heathcote","given":"J.","non-dropping-particle":"","parse-names":false,"suffix":""},{"dropping-particle":"","family":"Khosroshahi","given":"Arezou","non-dropping-particle":"","parse-names":false,"suffix":""},{"dropping-particle":"","family":"Ferry","given":"Judith A.","non-dropping-particle":"","parse-names":false,"suffix":""},{"dropping-particle":"","family":"Aalberse","given":"Rob C.","non-dropping-particle":"","parse-names":false,"suffix":""},{"dropping-particle":"","family":"Bloch","given":"Donald B.","non-dropping-particle":"","parse-names":false,"suffix":""},{"dropping-particle":"","family":"Brugge","given":"William R.","non-dropping-particle":"","parse-names":false,"suffix":""},{"dropping-particle":"","family":"Bateman","given":"Adrian C.","non-dropping-particle":"","parse-names":false,"suffix":""},{"dropping-particle":"","family":"Carruthers","given":"Mollie N.","non-dropping-particle":"","parse-names":false,"suffix":""},{"dropping-particle":"","family":"Chari","given":"Suresh T.","non-dropping-particle":"","parse-names":false,"suffix":""},{"dropping-particle":"","family":"Cheuk","given":"Wah","non-dropping-particle":"","parse-names":false,"suffix":""},{"dropping-particle":"","family":"Cornell","given":"Lynn D.","non-dropping-particle":"","parse-names":false,"suffix":""},{"dropping-particle":"","family":"Fernandez-Del Castillo","given":"Carlos","non-dropping-particle":"","parse-names":false,"suffix":""},{"dropping-particle":"","family":"Forcione","given":"David G.","non-dropping-particle":"","parse-names":false,"suffix":""},{"dropping-particle":"","family":"Hamilos","given":"Daniel L.","non-dropping-particle":"","parse-names":false,"suffix":""},{"dropping-particle":"","family":"Kamisawa","given":"Terumi","non-dropping-particle":"","parse-names":false,"suffix":""},{"dropping-particle":"","family":"Kasashima","given":"Satomi","non-dropping-particle":"","parse-names":false,"suffix":""},{"dropping-particle":"","family":"Kawa","given":"Shigeyuki","non-dropping-particle":"","parse-names":false,"suffix":""},{"dropping-particle":"","family":"Kawano","given":"Mitsuhiro","non-dropping-particle":"","parse-names":false,"suffix":""},{"dropping-particle":"","family":"Lauwers","given":"Gregory Y.","non-dropping-particle":"","parse-names":false,"suffix":""},{"dropping-particle":"","family":"Masaki","given":"Yasufumi","non-dropping-particle":"","parse-names":false,"suffix":""},{"dropping-particle":"","family":"Nakanuma","given":"Yasuni","non-dropping-particle":"","parse-names":false,"suffix":""},{"dropping-particle":"","family":"Notohara","given":"Kenji","non-dropping-particle":"","parse-names":false,"suffix":""},{"dropping-particle":"","family":"Okazaki","given":"Kazuichi","non-dropping-particle":"","parse-names":false,"suffix":""},{"dropping-particle":"","family":"Ryu","given":"Ji Kon","non-dropping-particle":"","parse-names":false,"suffix":""},{"dropping-particle":"","family":"Saeki","given":"Takako","non-dropping-particle":"","parse-names":false,"suffix":""},{"dropping-particle":"V.","family":"Sahani","given":"Dushyant","non-dropping-particle":"","parse-names":false,"suffix":""},{"dropping-particle":"","family":"Smyrk","given":"Thomas C.","non-dropping-particle":"","parse-names":false,"suffix":""},{"dropping-particle":"","family":"Stone","given":"James R.","non-dropping-particle":"","parse-names":false,"suffix":""},{"dropping-particle":"","family":"Takahira","given":"Masayuki","non-dropping-particle":"","parse-names":false,"suffix":""},{"dropping-particle":"","family":"Webster","given":"George J.","non-dropping-particle":"","parse-names":false,"suffix":""},{"dropping-particle":"","family":"Yamamoto","given":"Motohisa","non-dropping-particle":"","parse-names":false,"suffix":""},{"dropping-particle":"","family":"Zamboni","given":"Giuseppe","non-dropping-particle":"","parse-names":false,"suffix":""},{"dropping-particle":"","family":"Umehara","given":"Hisanori","non-dropping-particle":"","parse-names":false,"suffix":""},{"dropping-particle":"","family":"Stone","given":"John H.","non-dropping-particle":"","parse-names":false,"suffix":""}],"container-title":"Modern Pathology","id":"ITEM-1","issue":"9","issued":{"date-parts":[["2012"]]},"page":"1181-1192","title":"Consensus statement on the pathology of IgG4-related disease","type":"article-journal","volume":"25"},"uris":["http://www.mendeley.com/documents/?uuid=3f43fcc4-f4e9-4cf4-83b3-d3905de2090d"]}],"mendeley":{"formattedCitation":"&lt;sup&gt;1&lt;/sup&gt;","plainTextFormattedCitation":"1","previouslyFormattedCitation":"[1]"},"properties":{"noteIndex":0},"schema":"https://github.com/citation-style-language/schema/raw/master/csl-citation.json"}</w:instrText>
      </w:r>
      <w:r w:rsidRPr="000C178D">
        <w:rPr>
          <w:rFonts w:ascii="Book Antiqua" w:hAnsi="Book Antiqua" w:cs="Times New Roman"/>
          <w:sz w:val="24"/>
          <w:szCs w:val="24"/>
        </w:rPr>
        <w:fldChar w:fldCharType="separate"/>
      </w:r>
      <w:r w:rsidR="001867B4" w:rsidRPr="000C178D">
        <w:rPr>
          <w:rFonts w:ascii="Book Antiqua" w:hAnsi="Book Antiqua" w:cs="Times New Roman"/>
          <w:noProof/>
          <w:sz w:val="24"/>
          <w:szCs w:val="24"/>
          <w:vertAlign w:val="superscript"/>
        </w:rPr>
        <w:t>1</w:t>
      </w:r>
      <w:r w:rsidRPr="000C178D">
        <w:rPr>
          <w:rFonts w:ascii="Book Antiqua" w:hAnsi="Book Antiqua" w:cs="Times New Roman"/>
          <w:sz w:val="24"/>
          <w:szCs w:val="24"/>
        </w:rPr>
        <w:fldChar w:fldCharType="end"/>
      </w:r>
      <w:r w:rsidR="00F13746" w:rsidRPr="000C178D">
        <w:rPr>
          <w:rFonts w:ascii="Book Antiqua" w:hAnsi="Book Antiqua" w:cs="Times New Roman"/>
          <w:sz w:val="24"/>
          <w:szCs w:val="24"/>
          <w:vertAlign w:val="superscript"/>
        </w:rPr>
        <w:t>]</w:t>
      </w:r>
      <w:r w:rsidRPr="000C178D">
        <w:rPr>
          <w:rFonts w:ascii="Book Antiqua" w:hAnsi="Book Antiqua" w:cs="Times New Roman"/>
          <w:sz w:val="24"/>
          <w:szCs w:val="24"/>
        </w:rPr>
        <w:t>. However, these findings may not be present within lacrimal and salivary glands, lymph nodes, and interstitial lung disease</w:t>
      </w:r>
      <w:r w:rsidR="00F13746" w:rsidRPr="000C178D">
        <w:rPr>
          <w:rFonts w:ascii="Book Antiqua" w:hAnsi="Book Antiqua" w:cs="Times New Roman"/>
          <w:sz w:val="24"/>
          <w:szCs w:val="24"/>
          <w:vertAlign w:val="superscript"/>
        </w:rPr>
        <w:t>[</w:t>
      </w:r>
      <w:r w:rsidRPr="000C178D">
        <w:rPr>
          <w:rFonts w:ascii="Book Antiqua" w:hAnsi="Book Antiqua" w:cs="Times New Roman"/>
          <w:sz w:val="24"/>
          <w:szCs w:val="24"/>
        </w:rPr>
        <w:fldChar w:fldCharType="begin" w:fldLock="1"/>
      </w:r>
      <w:r w:rsidR="001867B4" w:rsidRPr="000C178D">
        <w:rPr>
          <w:rFonts w:ascii="Book Antiqua" w:hAnsi="Book Antiqua" w:cs="Times New Roman"/>
          <w:sz w:val="24"/>
          <w:szCs w:val="24"/>
        </w:rPr>
        <w:instrText>ADDIN CSL_CITATION {"citationItems":[{"id":"ITEM-1","itemData":{"DOI":"10.1016/S0140-6736(14)60720-0","ISSN":"0140-6736","author":[{"dropping-particle":"","family":"Kamisawa","given":"Terumi","non-dropping-particle":"","parse-names":false,"suffix":""},{"dropping-particle":"","family":"Zen","given":"Yoh","non-dropping-particle":"","parse-names":false,"suffix":""},{"dropping-particle":"","family":"Pillai","given":"Shiv","non-dropping-particle":"","parse-names":false,"suffix":""},{"dropping-particle":"","family":"Stone","given":"John H","non-dropping-particle":"","parse-names":false,"suffix":""}],"container-title":"The Lancet","id":"ITEM-1","issue":"9976","issued":{"date-parts":[["2014"]]},"page":"1-12","publisher":"Elsevier Ltd","title":"IgG4-related disease","type":"article-journal","volume":"6736"},"uris":["http://www.mendeley.com/documents/?uuid=2e41c769-383e-456b-9860-e8d797f3041c"]},{"id":"ITEM-2","itemData":{"DOI":"10.1038/modpathol.2012.72","ISSN":"08933952","abstract":"IgG4-related disease is a newly recognized fibro-inflammatory condition characterized by several features: a tendency to form tumefactive lesions in multiple sites; a characteristic histopathological appearance; andoften but not alwayselevated serum IgG4 concentrations. An international symposium on IgG4-related disease was held in Boston, MA, on 4-7 October 2011. The organizing committee comprising 35 IgG4-related disease experts from Japan, Korea, Hong Kong, the United Kingdom, Germany, Italy, Holland, Canada, and the United States, including the clinicians, pathologists, radiologists, and basic scientists. This group represents broad subspecialty expertise in pathology, rheumatology, gastroenterology, allergy, immunology, nephrology, pulmonary medicine, oncology, ophthalmology, and surgery. The histopathology of IgG4-related disease was a specific focus of the international symposium. The primary purpose of this statement is to provide practicing pathologists with a set of guidelines for the diagnosis of IgG4-related disease. The diagnosis of IgG4-related disease rests on the combined presence of the characteristic histopathological appearance and increased numbers of IgG4 plasma cells. The critical histopathological features are a dense lymphoplasmacytic infiltrate, a storiform pattern of fibrosis, and obliterative phlebitis. We propose a terminology scheme for the diagnosis of IgG4-related disease that is based primarily on the morphological appearance on biopsy. Tissue IgG4 counts and IgG4:IgG ratios are secondary in importance. The guidelines proposed in this statement do not supplant careful clinicopathological correlation and sound clinical judgment. As the spectrum of this disease continues to expand, we advocate the use of strict criteria for accepting newly proposed entities or sites as components of the IgG4-related disease spectrum. © 2012 USCAP, Inc. All rights reserved.","author":[{"dropping-particle":"","family":"Deshpande","given":"Vikram","non-dropping-particle":"","parse-names":false,"suffix":""},{"dropping-particle":"","family":"Zen","given":"Yoh","non-dropping-particle":"","parse-names":false,"suffix":""},{"dropping-particle":"","family":"Chan","given":"John K.C.","non-dropping-particle":"","parse-names":false,"suffix":""},{"dropping-particle":"","family":"Yi","given":"Eunhee E.","non-dropping-particle":"","parse-names":false,"suffix":""},{"dropping-particle":"","family":"Sato","given":"Yasuharu","non-dropping-particle":"","parse-names":false,"suffix":""},{"dropping-particle":"","family":"Yoshino","given":"Tadashi","non-dropping-particle":"","parse-names":false,"suffix":""},{"dropping-particle":"","family":"Klöppel","given":"Günter","non-dropping-particle":"","parse-names":false,"suffix":""},{"dropping-particle":"","family":"Godfrey Heathcote","given":"J.","non-dropping-particle":"","parse-names":false,"suffix":""},{"dropping-particle":"","family":"Khosroshahi","given":"Arezou","non-dropping-particle":"","parse-names":false,"suffix":""},{"dropping-particle":"","family":"Ferry","given":"Judith A.","non-dropping-particle":"","parse-names":false,"suffix":""},{"dropping-particle":"","family":"Aalberse","given":"Rob C.","non-dropping-particle":"","parse-names":false,"suffix":""},{"dropping-particle":"","family":"Bloch","given":"Donald B.","non-dropping-particle":"","parse-names":false,"suffix":""},{"dropping-particle":"","family":"Brugge","given":"William R.","non-dropping-particle":"","parse-names":false,"suffix":""},{"dropping-particle":"","family":"Bateman","given":"Adrian C.","non-dropping-particle":"","parse-names":false,"suffix":""},{"dropping-particle":"","family":"Carruthers","given":"Mollie N.","non-dropping-particle":"","parse-names":false,"suffix":""},{"dropping-particle":"","family":"Chari","given":"Suresh T.","non-dropping-particle":"","parse-names":false,"suffix":""},{"dropping-particle":"","family":"Cheuk","given":"Wah","non-dropping-particle":"","parse-names":false,"suffix":""},{"dropping-particle":"","family":"Cornell","given":"Lynn D.","non-dropping-particle":"","parse-names":false,"suffix":""},{"dropping-particle":"","family":"Fernandez-Del Castillo","given":"Carlos","non-dropping-particle":"","parse-names":false,"suffix":""},{"dropping-particle":"","family":"Forcione","given":"David G.","non-dropping-particle":"","parse-names":false,"suffix":""},{"dropping-particle":"","family":"Hamilos","given":"Daniel L.","non-dropping-particle":"","parse-names":false,"suffix":""},{"dropping-particle":"","family":"Kamisawa","given":"Terumi","non-dropping-particle":"","parse-names":false,"suffix":""},{"dropping-particle":"","family":"Kasashima","given":"Satomi","non-dropping-particle":"","parse-names":false,"suffix":""},{"dropping-particle":"","family":"Kawa","given":"Shigeyuki","non-dropping-particle":"","parse-names":false,"suffix":""},{"dropping-particle":"","family":"Kawano","given":"Mitsuhiro","non-dropping-particle":"","parse-names":false,"suffix":""},{"dropping-particle":"","family":"Lauwers","given":"Gregory Y.","non-dropping-particle":"","parse-names":false,"suffix":""},{"dropping-particle":"","family":"Masaki","given":"Yasufumi","non-dropping-particle":"","parse-names":false,"suffix":""},{"dropping-particle":"","family":"Nakanuma","given":"Yasuni","non-dropping-particle":"","parse-names":false,"suffix":""},{"dropping-particle":"","family":"Notohara","given":"Kenji","non-dropping-particle":"","parse-names":false,"suffix":""},{"dropping-particle":"","family":"Okazaki","given":"Kazuichi","non-dropping-particle":"","parse-names":false,"suffix":""},{"dropping-particle":"","family":"Ryu","given":"Ji Kon","non-dropping-particle":"","parse-names":false,"suffix":""},{"dropping-particle":"","family":"Saeki","given":"Takako","non-dropping-particle":"","parse-names":false,"suffix":""},{"dropping-particle":"V.","family":"Sahani","given":"Dushyant","non-dropping-particle":"","parse-names":false,"suffix":""},{"dropping-particle":"","family":"Smyrk","given":"Thomas C.","non-dropping-particle":"","parse-names":false,"suffix":""},{"dropping-particle":"","family":"Stone","given":"James R.","non-dropping-particle":"","parse-names":false,"suffix":""},{"dropping-particle":"","family":"Takahira","given":"Masayuki","non-dropping-particle":"","parse-names":false,"suffix":""},{"dropping-particle":"","family":"Webster","given":"George J.","non-dropping-particle":"","parse-names":false,"suffix":""},{"dropping-particle":"","family":"Yamamoto","given":"Motohisa","non-dropping-particle":"","parse-names":false,"suffix":""},{"dropping-particle":"","family":"Zamboni","given":"Giuseppe","non-dropping-particle":"","parse-names":false,"suffix":""},{"dropping-particle":"","family":"Umehara","given":"Hisanori","non-dropping-particle":"","parse-names":false,"suffix":""},{"dropping-particle":"","family":"Stone","given":"John H.","non-dropping-particle":"","parse-names":false,"suffix":""}],"container-title":"Modern Pathology","id":"ITEM-2","issue":"9","issued":{"date-parts":[["2012"]]},"page":"1181-1192","title":"Consensus statement on the pathology of IgG4-related disease","type":"article-journal","volume":"25"},"uris":["http://www.mendeley.com/documents/?uuid=3f43fcc4-f4e9-4cf4-83b3-d3905de2090d"]}],"mendeley":{"formattedCitation":"&lt;sup&gt;1,18&lt;/sup&gt;","plainTextFormattedCitation":"1,18","previouslyFormattedCitation":"[1,18]"},"properties":{"noteIndex":0},"schema":"https://github.com/citation-style-language/schema/raw/master/csl-citation.json"}</w:instrText>
      </w:r>
      <w:r w:rsidRPr="000C178D">
        <w:rPr>
          <w:rFonts w:ascii="Book Antiqua" w:hAnsi="Book Antiqua" w:cs="Times New Roman"/>
          <w:sz w:val="24"/>
          <w:szCs w:val="24"/>
        </w:rPr>
        <w:fldChar w:fldCharType="separate"/>
      </w:r>
      <w:r w:rsidR="001867B4" w:rsidRPr="000C178D">
        <w:rPr>
          <w:rFonts w:ascii="Book Antiqua" w:hAnsi="Book Antiqua" w:cs="Times New Roman"/>
          <w:noProof/>
          <w:sz w:val="24"/>
          <w:szCs w:val="24"/>
          <w:vertAlign w:val="superscript"/>
        </w:rPr>
        <w:t>1,18</w:t>
      </w:r>
      <w:r w:rsidRPr="000C178D">
        <w:rPr>
          <w:rFonts w:ascii="Book Antiqua" w:hAnsi="Book Antiqua" w:cs="Times New Roman"/>
          <w:sz w:val="24"/>
          <w:szCs w:val="24"/>
        </w:rPr>
        <w:fldChar w:fldCharType="end"/>
      </w:r>
      <w:r w:rsidR="00F13746" w:rsidRPr="000C178D">
        <w:rPr>
          <w:rFonts w:ascii="Book Antiqua" w:hAnsi="Book Antiqua" w:cs="Times New Roman"/>
          <w:sz w:val="24"/>
          <w:szCs w:val="24"/>
          <w:vertAlign w:val="superscript"/>
        </w:rPr>
        <w:t>]</w:t>
      </w:r>
      <w:r w:rsidRPr="000C178D">
        <w:rPr>
          <w:rFonts w:ascii="Book Antiqua" w:hAnsi="Book Antiqua" w:cs="Times New Roman"/>
          <w:sz w:val="24"/>
          <w:szCs w:val="24"/>
        </w:rPr>
        <w:t>.</w:t>
      </w:r>
    </w:p>
    <w:p w14:paraId="5B7F21B4" w14:textId="06FE9456" w:rsidR="00A719BC" w:rsidRPr="000C178D" w:rsidRDefault="00A719BC" w:rsidP="000C178D">
      <w:pPr>
        <w:snapToGrid w:val="0"/>
        <w:spacing w:after="0" w:line="360" w:lineRule="auto"/>
        <w:ind w:firstLine="284"/>
        <w:jc w:val="both"/>
        <w:rPr>
          <w:rFonts w:ascii="Book Antiqua" w:hAnsi="Book Antiqua" w:cs="Times New Roman"/>
          <w:sz w:val="24"/>
          <w:szCs w:val="24"/>
        </w:rPr>
      </w:pPr>
      <w:r w:rsidRPr="000C178D">
        <w:rPr>
          <w:rFonts w:ascii="Book Antiqua" w:hAnsi="Book Antiqua" w:cs="Times New Roman"/>
          <w:sz w:val="24"/>
          <w:szCs w:val="24"/>
        </w:rPr>
        <w:t>Elevated serum IgG4 (&gt; 1.35 g/L) concentration is useful in suspecting IgG4-RD, monitoring the disease activity and predicting relapse</w:t>
      </w:r>
      <w:r w:rsidR="00F13746" w:rsidRPr="000C178D">
        <w:rPr>
          <w:rFonts w:ascii="Book Antiqua" w:hAnsi="Book Antiqua" w:cs="Times New Roman"/>
          <w:sz w:val="24"/>
          <w:szCs w:val="24"/>
          <w:vertAlign w:val="superscript"/>
        </w:rPr>
        <w:t>[</w:t>
      </w:r>
      <w:r w:rsidRPr="000C178D">
        <w:rPr>
          <w:rFonts w:ascii="Book Antiqua" w:hAnsi="Book Antiqua" w:cs="Times New Roman"/>
          <w:sz w:val="24"/>
          <w:szCs w:val="24"/>
        </w:rPr>
        <w:fldChar w:fldCharType="begin" w:fldLock="1"/>
      </w:r>
      <w:r w:rsidR="001867B4" w:rsidRPr="000C178D">
        <w:rPr>
          <w:rFonts w:ascii="Book Antiqua" w:hAnsi="Book Antiqua" w:cs="Times New Roman"/>
          <w:sz w:val="24"/>
          <w:szCs w:val="24"/>
        </w:rPr>
        <w:instrText>ADDIN CSL_CITATION {"citationItems":[{"id":"ITEM-1","itemData":{"DOI":"10.1016/j.ejim.2015.09.022","ISSN":"09536205","abstract":"IgG4-related disease (IgG4-RD) is a recently recognized chronic fibrotic inflammation, which can affect almost every organ, and may come to clinical attention first due to visible organ swelling or organ dysfunction, or is identified incidentally by imaging and specific biopsy. The disorder has an allergic background and is immune-mediated. Up-regulated responses of T helper 2 and T regulatory cells and their cytokines play a major role in disease progression. About 30-50% of patients are atopic or have mild eosinophilia. IgG4-RD predominantly affects middle-aged male patients. The cornerstones of diagnosis of the disease are compatible clinical features and typical histopathology. Swelling of salivary and lacrimal glands, lymphadenopathy, and type 1 autoimmune pancreatitis (AIP) are the most common manifestations of the disease. However, other tissues and organs, such as retroperitoneum, lung, kidney, aorta, upper airways, thyroid gland, meninges, heart, mesenterium and skin may be involved. Typical histopathology is lymphoplasmacytic infiltration abundant in IgG4-positive plasma cells, storiform-type fibrosis, and obliterative phlebitis. Elevated serum IgG4 concentration supports the diagnosis. Characteristic imaging features such as a »capsule-like rim» surrounding the pancreatic lesions is highly specific to type 1 AIP. 18F-fluorodeoxyglucose positron emission tomography/computed tomography enables mapping the sites of inflammation, permits evaluation of the extent of the disease, helps in guiding biopsy decision, and may be used in monitoring response to treatment. Glucocorticoids alone or in combination with B-cell depletion with rituximab induces prompt clinical response to IgG4-RD. This article reviews the current understanding, different clinical manifestations, and approaches to diagnosis and treatment of IgG4-RD.","author":[{"dropping-particle":"","family":"Vasaitis","given":"Lilian","non-dropping-particle":"","parse-names":false,"suffix":""}],"container-title":"European Journal of Internal Medicine","id":"ITEM-1","issued":{"date-parts":[["2016","1"]]},"page":"1-9","title":"IgG4-related disease: A relatively new concept for clinicians","type":"article-journal","volume":"27"},"uris":["http://www.mendeley.com/documents/?uuid=ca0ef16d-e19e-3fea-b5e5-d9d2dada3243"]},{"id":"ITEM-2","itemData":{"DOI":"10.1007/s10165-011-0571-z","abstract":"BACKGROUND IgG4-related disease (IgG4-RD) is a novel clinical disease entity characterized by elevated serum IgG4 concentration and tumefaction or tissue infiltration by IgG4+ plasma cells. Although IgG4-RD is not rare and is clinically important, its clinical diagnostic criteria have not been established. Comprehensive diagnostic criteria for IgG4-RD, including the involvement of various organs, are intended for the practical use of general physicians and nonspecialists. METHODS Two IgG4-RD study groups, the Umehara and Okazaki teams, were organized by the Ministry of Health, Labor and Welfare Japan. As IgG4-RD comprises a wide variety of diseases, these groups consist of physicians and researchers in various disciplines, including rheumatology, hematology, gastroenterology, nephrology, pulmonology, ophthalmology, odontology, pathology, statistics, and basic and molecular immunology throughout Japan, with 66 and 56 members of the Umehara and Okazaki teams, respectively. Collaborations of the two study groups involved detailed analyses of clinical symptoms, laboratory results, and biopsy specimens of patients with IgG4-RD, resulting in the establishment of comprehensive diagnostic criteria for IgG4-RD. RESULTS Although many patients with IgG4-RD have lesions in several organs, either synchronously or metachronously, and the pathological features of each organ differ, consensus has been reached on two diagnostic criteria for IgG4RD: (1) serum IgG4 concentration &gt;135 mg/dl, and (2) &gt;40% of IgG+ plasma cells being IgG4+ and &gt;10 cells/high powered field of biopsy sample. Although the comprehensive diagnostic criteria are not sufficiently sensitive for the diagnosis of type 1 IgG4-related autoimmune pancreatitis (IgG4-related AIP), they are adequately sensitive for IgG4-related Mikulicz's disease (MD) and kidney disease (KD). In addition, the comprehensive diagnostic criteria, combined with organ-specific diagnostic criteria, have increased the sensitivity of diagnosis to 100% for IgG4-related MD, KD, and AIP. CONCLUSION Our comprehensive diagnostic criteria for IgG4-RD are practically useful for general physicians and nonspecialists.","author":[{"dropping-particle":"","family":"Umehara H, Okazaki K, Masaki Y","given":"et al.","non-dropping-particle":"","parse-names":false,"suffix":""}],"container-title":"Modern Rheumatology","id":"ITEM-2","issue":"1","issued":{"date-parts":[["2012"]]},"page":"21-30","title":"Comprehensive diagnostic criteria for IgG4- related disease (IgG4-RD ), 2011 Comprehensive diagnostic criteria for IgG4-related disease","type":"article-journal","volume":"22"},"uris":["http://www.mendeley.com/documents/?uuid=68879855-3386-305f-a73a-67459a9105db"]}],"mendeley":{"formattedCitation":"&lt;sup&gt;2,17&lt;/sup&gt;","plainTextFormattedCitation":"2,17","previouslyFormattedCitation":"[2,17]"},"properties":{"noteIndex":0},"schema":"https://github.com/citation-style-language/schema/raw/master/csl-citation.json"}</w:instrText>
      </w:r>
      <w:r w:rsidRPr="000C178D">
        <w:rPr>
          <w:rFonts w:ascii="Book Antiqua" w:hAnsi="Book Antiqua" w:cs="Times New Roman"/>
          <w:sz w:val="24"/>
          <w:szCs w:val="24"/>
        </w:rPr>
        <w:fldChar w:fldCharType="separate"/>
      </w:r>
      <w:r w:rsidR="001867B4" w:rsidRPr="000C178D">
        <w:rPr>
          <w:rFonts w:ascii="Book Antiqua" w:hAnsi="Book Antiqua" w:cs="Times New Roman"/>
          <w:noProof/>
          <w:sz w:val="24"/>
          <w:szCs w:val="24"/>
          <w:vertAlign w:val="superscript"/>
        </w:rPr>
        <w:t>2,17</w:t>
      </w:r>
      <w:r w:rsidRPr="000C178D">
        <w:rPr>
          <w:rFonts w:ascii="Book Antiqua" w:hAnsi="Book Antiqua" w:cs="Times New Roman"/>
          <w:sz w:val="24"/>
          <w:szCs w:val="24"/>
        </w:rPr>
        <w:fldChar w:fldCharType="end"/>
      </w:r>
      <w:r w:rsidR="00F13746" w:rsidRPr="000C178D">
        <w:rPr>
          <w:rFonts w:ascii="Book Antiqua" w:hAnsi="Book Antiqua" w:cs="Times New Roman"/>
          <w:sz w:val="24"/>
          <w:szCs w:val="24"/>
          <w:vertAlign w:val="superscript"/>
        </w:rPr>
        <w:t>]</w:t>
      </w:r>
      <w:r w:rsidRPr="000C178D">
        <w:rPr>
          <w:rFonts w:ascii="Book Antiqua" w:hAnsi="Book Antiqua" w:cs="Times New Roman"/>
          <w:sz w:val="24"/>
          <w:szCs w:val="24"/>
        </w:rPr>
        <w:t xml:space="preserve">. </w:t>
      </w:r>
      <w:r w:rsidRPr="000C178D">
        <w:rPr>
          <w:rFonts w:ascii="Book Antiqua" w:hAnsi="Book Antiqua" w:cs="Times New Roman"/>
          <w:color w:val="000000"/>
          <w:sz w:val="24"/>
          <w:szCs w:val="24"/>
        </w:rPr>
        <w:t xml:space="preserve">Another possible biomarker of the disease might be the increased circulating </w:t>
      </w:r>
      <w:proofErr w:type="spellStart"/>
      <w:r w:rsidRPr="000C178D">
        <w:rPr>
          <w:rFonts w:ascii="Book Antiqua" w:hAnsi="Book Antiqua" w:cs="Times New Roman"/>
          <w:color w:val="000000"/>
          <w:sz w:val="24"/>
          <w:szCs w:val="24"/>
        </w:rPr>
        <w:t>plasmablast</w:t>
      </w:r>
      <w:proofErr w:type="spellEnd"/>
      <w:r w:rsidRPr="000C178D">
        <w:rPr>
          <w:rFonts w:ascii="Book Antiqua" w:hAnsi="Book Antiqua" w:cs="Times New Roman"/>
          <w:color w:val="000000"/>
          <w:sz w:val="24"/>
          <w:szCs w:val="24"/>
        </w:rPr>
        <w:t xml:space="preserve"> counts in the blood</w:t>
      </w:r>
      <w:r w:rsidR="00F13746" w:rsidRPr="000C178D">
        <w:rPr>
          <w:rFonts w:ascii="Book Antiqua" w:hAnsi="Book Antiqua" w:cs="Times New Roman"/>
          <w:sz w:val="24"/>
          <w:szCs w:val="24"/>
          <w:vertAlign w:val="superscript"/>
          <w:lang w:val="lt-LT"/>
        </w:rPr>
        <w:t>[</w:t>
      </w:r>
      <w:r w:rsidRPr="000C178D">
        <w:rPr>
          <w:rFonts w:ascii="Book Antiqua" w:hAnsi="Book Antiqua" w:cs="Times New Roman"/>
          <w:sz w:val="24"/>
          <w:szCs w:val="24"/>
          <w:lang w:val="lt-LT"/>
        </w:rPr>
        <w:fldChar w:fldCharType="begin" w:fldLock="1"/>
      </w:r>
      <w:r w:rsidR="001867B4" w:rsidRPr="000C178D">
        <w:rPr>
          <w:rFonts w:ascii="Book Antiqua" w:hAnsi="Book Antiqua" w:cs="Times New Roman"/>
          <w:sz w:val="24"/>
          <w:szCs w:val="24"/>
          <w:lang w:val="lt-LT"/>
        </w:rPr>
        <w:instrText>ADDIN CSL_CITATION {"citationItems":[{"id":"ITEM-1","itemData":{"DOI":"10.1016/j.jaci.2015.12.1330","ISSN":"10976825","abstract":"Background IgG4-related disease (IgG4-RD) is a systemic condition of unknown cause characterized by highly fibrotic lesions with dense lymphoplasmacytic infiltrates. CD4+ T cells constitute the major inflammatory cell population in IgG4-RD lesions. Objective We used an unbiased approach to characterize CD4+ T-cell subsets in patients with IgG4-RD based on their clonal expansion and ability to infiltrate affected tissue sites. Methods We used flow cytometry to identify CD4+ effector/memory T cells in a cohort of 101 patients with IgG4-RD. These expanded cells were characterized by means of gene expression analysis and flow cytometry. Next-generation sequencing of the T-cell receptor β chain gene was performed on CD4+SLAMF7+ cytotoxic T lymphocytes (CTLs) and CD4+GATA3+ TH2 cells in a subset of patients to identify their clonality. Tissue infiltration by specific T cells was examined by using quantitative multicolor imaging. Results CD4+ effector/memory T cells with a cytolytic phenotype were expanded in patients with IgG4-RD. Next-generation sequencing revealed prominent clonal expansions of these CD4+ CTLs but not CD4+GATA3+ memory TH2 cells in patients with IgG4-RD. The dominant T cells infiltrating a range of inflamed IgG4-RD tissue sites were clonally expanded CD4+ CTLs that expressed SLAMF7, granzyme A, IL-1β, and TGF-β1. Clinical remission induced by rituximab-mediated B-cell depletion was associated with a reduction in numbers of disease-associated CD4+ CTLs. Conclusions IgG4-RD is prominently linked to clonally expanded IL-1β– and TGF-β1–secreting CD4+ CTLs in both peripheral blood and inflammatory tissue lesions. These active, terminally differentiated, cytokine-secreting effector CD4+ T cells are now linked to a human disease characterized by chronic inflammation and fibrosis.","author":[{"dropping-particle":"","family":"Mattoo","given":"Hamid","non-dropping-particle":"","parse-names":false,"suffix":""},{"dropping-particle":"","family":"Mahajan","given":"Vinay S.","non-dropping-particle":"","parse-names":false,"suffix":""},{"dropping-particle":"","family":"Maehara","given":"Takashi","non-dropping-particle":"","parse-names":false,"suffix":""},{"dropping-particle":"","family":"Deshpande","given":"Vikram","non-dropping-particle":"","parse-names":false,"suffix":""},{"dropping-particle":"","family":"Della-Torre","given":"Emanuel","non-dropping-particle":"","parse-names":false,"suffix":""},{"dropping-particle":"","family":"Wallace","given":"Zachary S.","non-dropping-particle":"","parse-names":false,"suffix":""},{"dropping-particle":"","family":"Kulikova","given":"Maria","non-dropping-particle":"","parse-names":false,"suffix":""},{"dropping-particle":"","family":"Drijvers","given":"Jefte M.","non-dropping-particle":"","parse-names":false,"suffix":""},{"dropping-particle":"","family":"Daccache","given":"Joe","non-dropping-particle":"","parse-names":false,"suffix":""},{"dropping-particle":"","family":"Carruthers","given":"Mollie N.","non-dropping-particle":"","parse-names":false,"suffix":""},{"dropping-particle":"V.","family":"Castelino","given":"Flavia","non-dropping-particle":"","parse-names":false,"suffix":""},{"dropping-particle":"","family":"Stone","given":"James R.","non-dropping-particle":"","parse-names":false,"suffix":""},{"dropping-particle":"","family":"Stone","given":"John H.","non-dropping-particle":"","parse-names":false,"suffix":""},{"dropping-particle":"","family":"Pillai","given":"Shiv","non-dropping-particle":"","parse-names":false,"suffix":""}],"container-title":"Journal of Allergy and Clinical Immunology","id":"ITEM-1","issue":"3","issued":{"date-parts":[["2016","9","1"]]},"page":"825-838","publisher":"Mosby Inc.","title":"Clonal expansion of CD4+ cytotoxic T lymphocytes in patients with IgG4-related disease","type":"article-journal","volume":"138"},"uris":["http://www.mendeley.com/documents/?uuid=953f28c7-b686-3214-ba54-ca1af305cf3e"]}],"mendeley":{"formattedCitation":"&lt;sup&gt;19&lt;/sup&gt;","plainTextFormattedCitation":"19","previouslyFormattedCitation":"[19]"},"properties":{"noteIndex":0},"schema":"https://github.com/citation-style-language/schema/raw/master/csl-citation.json"}</w:instrText>
      </w:r>
      <w:r w:rsidRPr="000C178D">
        <w:rPr>
          <w:rFonts w:ascii="Book Antiqua" w:hAnsi="Book Antiqua" w:cs="Times New Roman"/>
          <w:sz w:val="24"/>
          <w:szCs w:val="24"/>
          <w:lang w:val="lt-LT"/>
        </w:rPr>
        <w:fldChar w:fldCharType="separate"/>
      </w:r>
      <w:r w:rsidR="001867B4" w:rsidRPr="000C178D">
        <w:rPr>
          <w:rFonts w:ascii="Book Antiqua" w:hAnsi="Book Antiqua" w:cs="Times New Roman"/>
          <w:noProof/>
          <w:sz w:val="24"/>
          <w:szCs w:val="24"/>
          <w:vertAlign w:val="superscript"/>
          <w:lang w:val="lt-LT"/>
        </w:rPr>
        <w:t>19</w:t>
      </w:r>
      <w:r w:rsidRPr="000C178D">
        <w:rPr>
          <w:rFonts w:ascii="Book Antiqua" w:hAnsi="Book Antiqua" w:cs="Times New Roman"/>
          <w:sz w:val="24"/>
          <w:szCs w:val="24"/>
          <w:lang w:val="lt-LT"/>
        </w:rPr>
        <w:fldChar w:fldCharType="end"/>
      </w:r>
      <w:r w:rsidR="00F13746" w:rsidRPr="000C178D">
        <w:rPr>
          <w:rFonts w:ascii="Book Antiqua" w:hAnsi="Book Antiqua" w:cs="Times New Roman"/>
          <w:sz w:val="24"/>
          <w:szCs w:val="24"/>
          <w:vertAlign w:val="superscript"/>
          <w:lang w:val="lt-LT"/>
        </w:rPr>
        <w:t>]</w:t>
      </w:r>
      <w:r w:rsidRPr="000C178D">
        <w:rPr>
          <w:rFonts w:ascii="Book Antiqua" w:hAnsi="Book Antiqua" w:cs="Times New Roman"/>
          <w:sz w:val="24"/>
          <w:szCs w:val="24"/>
          <w:lang w:val="lt-LT"/>
        </w:rPr>
        <w:t>.</w:t>
      </w:r>
      <w:r w:rsidRPr="000C178D">
        <w:rPr>
          <w:rFonts w:ascii="Book Antiqua" w:hAnsi="Book Antiqua" w:cs="Times New Roman"/>
          <w:color w:val="0000FF"/>
          <w:sz w:val="24"/>
          <w:szCs w:val="24"/>
        </w:rPr>
        <w:t xml:space="preserve"> </w:t>
      </w:r>
      <w:r w:rsidRPr="000C178D">
        <w:rPr>
          <w:rFonts w:ascii="Book Antiqua" w:hAnsi="Book Antiqua" w:cs="Times New Roman"/>
          <w:sz w:val="24"/>
          <w:szCs w:val="24"/>
          <w:shd w:val="clear" w:color="auto" w:fill="FFFFFF"/>
        </w:rPr>
        <w:t>Imaging is usually the first diagnostic tool to identify and differentiate the tumorous swellings throughout the body that occur in patients with IgG4-RD. Some of them are pathognomonic, such as in our case when MRI showed p</w:t>
      </w:r>
      <w:r w:rsidRPr="000C178D">
        <w:rPr>
          <w:rFonts w:ascii="Book Antiqua" w:hAnsi="Book Antiqua" w:cs="Times New Roman"/>
          <w:sz w:val="24"/>
          <w:szCs w:val="24"/>
        </w:rPr>
        <w:t xml:space="preserve">ancreatic enlargement with "sausage-shaped" </w:t>
      </w:r>
      <w:r w:rsidRPr="000C178D">
        <w:rPr>
          <w:rFonts w:ascii="Book Antiqua" w:hAnsi="Book Antiqua" w:cs="Times New Roman"/>
          <w:sz w:val="24"/>
          <w:szCs w:val="24"/>
        </w:rPr>
        <w:lastRenderedPageBreak/>
        <w:t>appearance and a low-attenuating capsule-like "rim" around the enlarged pancreas.</w:t>
      </w:r>
    </w:p>
    <w:p w14:paraId="373CE31D" w14:textId="77777777" w:rsidR="00A719BC" w:rsidRPr="000C178D" w:rsidRDefault="00A719BC" w:rsidP="000C178D">
      <w:pPr>
        <w:pStyle w:val="a8"/>
        <w:snapToGrid w:val="0"/>
        <w:spacing w:after="0" w:line="360" w:lineRule="auto"/>
        <w:ind w:firstLine="284"/>
        <w:jc w:val="both"/>
        <w:rPr>
          <w:rFonts w:ascii="Book Antiqua" w:hAnsi="Book Antiqua" w:cs="Times New Roman"/>
          <w:sz w:val="24"/>
          <w:szCs w:val="24"/>
        </w:rPr>
      </w:pPr>
      <w:r w:rsidRPr="000C178D">
        <w:rPr>
          <w:rFonts w:ascii="Book Antiqua" w:hAnsi="Book Antiqua" w:cs="Times New Roman"/>
          <w:sz w:val="24"/>
          <w:szCs w:val="24"/>
        </w:rPr>
        <w:t>In our case, the diagnosis was established based on the comprehensive criteria (clinical presentation, typical radiological findings, elevated IgG4 concentration). Our patient also met all the newly established ACR/EULAR criteria (31 points). The histopathological examination from the salivary gland was not specific and showed</w:t>
      </w:r>
      <w:r w:rsidRPr="000C178D">
        <w:rPr>
          <w:rFonts w:ascii="Book Antiqua" w:hAnsi="Book Antiqua" w:cs="Times New Roman"/>
          <w:sz w:val="24"/>
          <w:szCs w:val="24"/>
          <w:lang w:val="lt-LT"/>
        </w:rPr>
        <w:t xml:space="preserve"> chronic lymphoepithelial sialadenitis, which could be the manifestation of </w:t>
      </w:r>
      <w:r w:rsidRPr="000C178D">
        <w:rPr>
          <w:rFonts w:ascii="Book Antiqua" w:hAnsi="Book Antiqua" w:cs="Times New Roman"/>
          <w:sz w:val="24"/>
          <w:szCs w:val="24"/>
        </w:rPr>
        <w:t xml:space="preserve">SS or viral infection. </w:t>
      </w:r>
    </w:p>
    <w:p w14:paraId="66564D2B" w14:textId="6A62B892" w:rsidR="00A719BC" w:rsidRPr="000C178D" w:rsidRDefault="00A719BC" w:rsidP="000C178D">
      <w:pPr>
        <w:snapToGrid w:val="0"/>
        <w:spacing w:after="0" w:line="360" w:lineRule="auto"/>
        <w:rPr>
          <w:rFonts w:ascii="Book Antiqua" w:hAnsi="Book Antiqua" w:cs="Times New Roman"/>
          <w:b/>
          <w:sz w:val="24"/>
          <w:szCs w:val="24"/>
          <w:u w:val="single"/>
        </w:rPr>
      </w:pPr>
    </w:p>
    <w:p w14:paraId="6A0BB031" w14:textId="77777777" w:rsidR="006241BE" w:rsidRPr="000C178D" w:rsidRDefault="006241BE" w:rsidP="000C178D">
      <w:pPr>
        <w:autoSpaceDE w:val="0"/>
        <w:autoSpaceDN w:val="0"/>
        <w:adjustRightInd w:val="0"/>
        <w:snapToGrid w:val="0"/>
        <w:spacing w:after="0" w:line="360" w:lineRule="auto"/>
        <w:jc w:val="both"/>
        <w:rPr>
          <w:rFonts w:ascii="Book Antiqua" w:hAnsi="Book Antiqua" w:cs="Times New Roman"/>
          <w:b/>
          <w:i/>
          <w:sz w:val="24"/>
          <w:szCs w:val="24"/>
          <w:lang w:val="lt-LT"/>
        </w:rPr>
      </w:pPr>
      <w:r w:rsidRPr="000C178D">
        <w:rPr>
          <w:rFonts w:ascii="Book Antiqua" w:hAnsi="Book Antiqua" w:cs="Times New Roman"/>
          <w:b/>
          <w:i/>
          <w:sz w:val="24"/>
          <w:szCs w:val="24"/>
          <w:lang w:val="lt-LT"/>
        </w:rPr>
        <w:t xml:space="preserve">Diagnostic challenges of the presented case </w:t>
      </w:r>
    </w:p>
    <w:p w14:paraId="5D733438" w14:textId="33A6141D" w:rsidR="006241BE" w:rsidRPr="000C178D" w:rsidRDefault="006241BE" w:rsidP="000C178D">
      <w:pPr>
        <w:autoSpaceDE w:val="0"/>
        <w:autoSpaceDN w:val="0"/>
        <w:adjustRightInd w:val="0"/>
        <w:snapToGrid w:val="0"/>
        <w:spacing w:after="0" w:line="360" w:lineRule="auto"/>
        <w:jc w:val="both"/>
        <w:rPr>
          <w:rFonts w:ascii="Book Antiqua" w:hAnsi="Book Antiqua" w:cs="Times New Roman"/>
          <w:sz w:val="24"/>
          <w:szCs w:val="24"/>
          <w:lang w:val="lt-LT"/>
        </w:rPr>
      </w:pPr>
      <w:r w:rsidRPr="000C178D">
        <w:rPr>
          <w:rFonts w:ascii="Book Antiqua" w:hAnsi="Book Antiqua" w:cs="Times New Roman"/>
          <w:sz w:val="24"/>
          <w:szCs w:val="24"/>
          <w:lang w:val="lt-LT"/>
        </w:rPr>
        <w:t xml:space="preserve">IgG4–RD can mimic various malignant, infectious or other inflammatory conditions. In our case, symptoms progressed around 18 </w:t>
      </w:r>
      <w:r w:rsidR="00E52D41" w:rsidRPr="000C178D">
        <w:rPr>
          <w:rFonts w:ascii="Book Antiqua" w:hAnsi="Book Antiqua" w:cs="Times New Roman"/>
          <w:sz w:val="24"/>
          <w:szCs w:val="24"/>
          <w:lang w:val="lt-LT"/>
        </w:rPr>
        <w:t>years</w:t>
      </w:r>
      <w:r w:rsidRPr="000C178D">
        <w:rPr>
          <w:rFonts w:ascii="Book Antiqua" w:hAnsi="Book Antiqua" w:cs="Times New Roman"/>
          <w:sz w:val="24"/>
          <w:szCs w:val="24"/>
          <w:lang w:val="lt-LT"/>
        </w:rPr>
        <w:t xml:space="preserve"> metachronously affecting different organs. The patient was treated at several departments, had multiple appointments to eight specialists (endocrinologist, ophthalmologist, neurologist, otolaryngologist, rheumatologist, urologist, internal medicine doctor and gastroenterologist) due to different symptoms, which later turned out to be the manifestations of IgG4-RD. The delay to diagnosis between the inial symptoms and the discovery of elevated IgG4 blood levels or typical histologic findings variates between 5 </w:t>
      </w:r>
      <w:r w:rsidR="00E576ED" w:rsidRPr="000C178D">
        <w:rPr>
          <w:rFonts w:ascii="Book Antiqua" w:hAnsi="Book Antiqua" w:cs="Times New Roman"/>
          <w:color w:val="000000"/>
          <w:sz w:val="24"/>
          <w:szCs w:val="24"/>
          <w:shd w:val="clear" w:color="auto" w:fill="FFFFFF"/>
        </w:rPr>
        <w:t xml:space="preserve">± </w:t>
      </w:r>
      <w:r w:rsidRPr="000C178D">
        <w:rPr>
          <w:rFonts w:ascii="Book Antiqua" w:hAnsi="Book Antiqua" w:cs="Times New Roman"/>
          <w:color w:val="000000"/>
          <w:sz w:val="24"/>
          <w:szCs w:val="24"/>
          <w:shd w:val="clear" w:color="auto" w:fill="FFFFFF"/>
        </w:rPr>
        <w:t xml:space="preserve">11.2 </w:t>
      </w:r>
      <w:r w:rsidR="00E52D41" w:rsidRPr="000C178D">
        <w:rPr>
          <w:rFonts w:ascii="Book Antiqua" w:hAnsi="Book Antiqua" w:cs="Times New Roman"/>
          <w:color w:val="000000"/>
          <w:sz w:val="24"/>
          <w:szCs w:val="24"/>
          <w:shd w:val="clear" w:color="auto" w:fill="FFFFFF"/>
        </w:rPr>
        <w:t>years</w:t>
      </w:r>
      <w:r w:rsidR="00F13746" w:rsidRPr="000C178D">
        <w:rPr>
          <w:rFonts w:ascii="Book Antiqua" w:hAnsi="Book Antiqua" w:cs="Times New Roman"/>
          <w:color w:val="000000"/>
          <w:sz w:val="24"/>
          <w:szCs w:val="24"/>
          <w:shd w:val="clear" w:color="auto" w:fill="FFFFFF"/>
          <w:vertAlign w:val="superscript"/>
        </w:rPr>
        <w:t>[</w:t>
      </w:r>
      <w:r w:rsidRPr="000C178D">
        <w:rPr>
          <w:rFonts w:ascii="Book Antiqua" w:hAnsi="Book Antiqua" w:cs="Times New Roman"/>
          <w:color w:val="000000"/>
          <w:sz w:val="24"/>
          <w:szCs w:val="24"/>
          <w:shd w:val="clear" w:color="auto" w:fill="FFFFFF"/>
        </w:rPr>
        <w:fldChar w:fldCharType="begin" w:fldLock="1"/>
      </w:r>
      <w:r w:rsidR="001867B4" w:rsidRPr="000C178D">
        <w:rPr>
          <w:rFonts w:ascii="Book Antiqua" w:hAnsi="Book Antiqua" w:cs="Times New Roman"/>
          <w:color w:val="000000"/>
          <w:sz w:val="24"/>
          <w:szCs w:val="24"/>
          <w:shd w:val="clear" w:color="auto" w:fill="FFFFFF"/>
        </w:rPr>
        <w:instrText>ADDIN CSL_CITATION {"citationItems":[{"id":"ITEM-1","itemData":{"DOI":"10.1002/art.39205","ISSN":"23265205","abstract":"Objective IgG4-related disease (IgG4-RD) is an immune-mediated fibroinflammatory condition that can affect nearly any organ. Prior studies have focused on individual cases of IgG4-RD or small case series. This study was undertaken to report detailed clinical and laboratory findings in a larger group of patients with IgG4-RD whose diagnosis was established by strict clinicopathologic correlation. Methods The baseline features of 125 patients with biopsy-proven IgG4-RD were reviewed. The diagnosis was confirmed by pathologists' review, based on consensus diagnostic criteria and correlation with clinicopathologic features. Disease activity and damage were assessed using the IgG4-RD Responder Index (RI). Flow cytometry was used to assess levels of circulating plasmablasts. Results Of the 125 patients, 107 had active disease and 86 were not receiving treatment for IgG4-RD. Only 51% of the patients with active disease had elevated serum IgG4 concentrations. However, patients with active disease and elevated serum IgG4 concentrations were older, had a higher IgG4-RD RI score, a greater number of organs involved, lower complement levels, higher absolute eosinophil counts, and higher IgE levels compared to those with active disease but normal serum IgG4 concentrations (P &lt; 0.01 for all comparisons). The correlation between IgG4+ plasmablast levels and the IgG4-RD RI of disease activity (Spearman's ρ = 0.45, P = 0.003) was stronger than the correlation between total plasmablast levels and the IgG4-RD RI. Seventy-six (61%) of the patients were male, but no significant differences according to sex were observed with regard to disease severity, organ involvement, or serum IgG4 concentrations. Treatment with glucocorticoids failed to produce sustained remission in 77% of patients. Conclusion Nearly 50% of this patient cohort with biopsy-proven, clinically active IgG4-RD had normal serum IgG4 concentrations. Elevations in the serum IgG4 concentration appeared to identify a subset of patients with a more severe disease phenotype. In addition, the levels of IgG4+ plasmablasts correlated well with the extent of disease activity.","author":[{"dropping-particle":"","family":"Wallace","given":"Zachary S.","non-dropping-particle":"","parse-names":false,"suffix":""},{"dropping-particle":"","family":"Deshpande","given":"Vikram","non-dropping-particle":"","parse-names":false,"suffix":""},{"dropping-particle":"","family":"Mattoo","given":"Hamid","non-dropping-particle":"","parse-names":false,"suffix":""},{"dropping-particle":"","family":"Mahajan","given":"Vinay S.","non-dropping-particle":"","parse-names":false,"suffix":""},{"dropping-particle":"","family":"Kulikova","given":"Maria","non-dropping-particle":"","parse-names":false,"suffix":""},{"dropping-particle":"","family":"Pillai","given":"Shiv","non-dropping-particle":"","parse-names":false,"suffix":""},{"dropping-particle":"","family":"Stone","given":"John H.","non-dropping-particle":"","parse-names":false,"suffix":""}],"container-title":"Arthritis and Rheumatology","id":"ITEM-1","issue":"9","issued":{"date-parts":[["2015","9","1"]]},"page":"2466-2475","publisher":"John Wiley and Sons Inc.","title":"IgG4-related disease: Clinical and laboratory features in one hundred twenty-five patients","type":"article-journal","volume":"67"},"uris":["http://www.mendeley.com/documents/?uuid=7a5ec1e6-40ac-3344-bc33-f87dc156b853"]}],"mendeley":{"formattedCitation":"&lt;sup&gt;20&lt;/sup&gt;","plainTextFormattedCitation":"20","previouslyFormattedCitation":"[20]"},"properties":{"noteIndex":0},"schema":"https://github.com/citation-style-language/schema/raw/master/csl-citation.json"}</w:instrText>
      </w:r>
      <w:r w:rsidRPr="000C178D">
        <w:rPr>
          <w:rFonts w:ascii="Book Antiqua" w:hAnsi="Book Antiqua" w:cs="Times New Roman"/>
          <w:color w:val="000000"/>
          <w:sz w:val="24"/>
          <w:szCs w:val="24"/>
          <w:shd w:val="clear" w:color="auto" w:fill="FFFFFF"/>
        </w:rPr>
        <w:fldChar w:fldCharType="separate"/>
      </w:r>
      <w:r w:rsidR="001867B4" w:rsidRPr="000C178D">
        <w:rPr>
          <w:rFonts w:ascii="Book Antiqua" w:hAnsi="Book Antiqua" w:cs="Times New Roman"/>
          <w:noProof/>
          <w:color w:val="000000"/>
          <w:sz w:val="24"/>
          <w:szCs w:val="24"/>
          <w:shd w:val="clear" w:color="auto" w:fill="FFFFFF"/>
          <w:vertAlign w:val="superscript"/>
        </w:rPr>
        <w:t>20</w:t>
      </w:r>
      <w:r w:rsidRPr="000C178D">
        <w:rPr>
          <w:rFonts w:ascii="Book Antiqua" w:hAnsi="Book Antiqua" w:cs="Times New Roman"/>
          <w:color w:val="000000"/>
          <w:sz w:val="24"/>
          <w:szCs w:val="24"/>
          <w:shd w:val="clear" w:color="auto" w:fill="FFFFFF"/>
        </w:rPr>
        <w:fldChar w:fldCharType="end"/>
      </w:r>
      <w:r w:rsidR="00F13746" w:rsidRPr="000C178D">
        <w:rPr>
          <w:rFonts w:ascii="Book Antiqua" w:hAnsi="Book Antiqua" w:cs="Times New Roman"/>
          <w:color w:val="000000"/>
          <w:sz w:val="24"/>
          <w:szCs w:val="24"/>
          <w:shd w:val="clear" w:color="auto" w:fill="FFFFFF"/>
          <w:vertAlign w:val="superscript"/>
        </w:rPr>
        <w:t>]</w:t>
      </w:r>
      <w:r w:rsidRPr="000C178D">
        <w:rPr>
          <w:rFonts w:ascii="Book Antiqua" w:hAnsi="Book Antiqua" w:cs="Times New Roman"/>
          <w:color w:val="000000"/>
          <w:sz w:val="24"/>
          <w:szCs w:val="24"/>
          <w:shd w:val="clear" w:color="auto" w:fill="FFFFFF"/>
        </w:rPr>
        <w:t>.</w:t>
      </w:r>
      <w:r w:rsidRPr="000C178D">
        <w:rPr>
          <w:rFonts w:ascii="Book Antiqua" w:hAnsi="Book Antiqua" w:cs="Times New Roman"/>
          <w:sz w:val="24"/>
          <w:szCs w:val="24"/>
          <w:lang w:val="lt-LT"/>
        </w:rPr>
        <w:t xml:space="preserve"> The main problem in our case was the lack of a comprehensive approach to the patient as his symptoms presented and were managed as unrelated disorders. The majority of specialists looked at only one organ system disregarding the whole picture.</w:t>
      </w:r>
    </w:p>
    <w:p w14:paraId="1172D833" w14:textId="232A694F" w:rsidR="005420B6" w:rsidRPr="000C178D" w:rsidRDefault="006241BE" w:rsidP="000C178D">
      <w:pPr>
        <w:autoSpaceDE w:val="0"/>
        <w:autoSpaceDN w:val="0"/>
        <w:adjustRightInd w:val="0"/>
        <w:snapToGrid w:val="0"/>
        <w:spacing w:after="0" w:line="360" w:lineRule="auto"/>
        <w:ind w:firstLine="284"/>
        <w:jc w:val="both"/>
        <w:rPr>
          <w:rFonts w:ascii="Book Antiqua" w:eastAsia="Times New Roman" w:hAnsi="Book Antiqua" w:cs="Times New Roman"/>
          <w:sz w:val="24"/>
          <w:szCs w:val="24"/>
        </w:rPr>
      </w:pPr>
      <w:r w:rsidRPr="000C178D">
        <w:rPr>
          <w:rFonts w:ascii="Book Antiqua" w:hAnsi="Book Antiqua" w:cs="Times New Roman"/>
          <w:sz w:val="24"/>
          <w:szCs w:val="24"/>
        </w:rPr>
        <w:t>Firstly, the disease affected the thyroid gland, and autoimmune thyroiditis was diagnosed. Although autoimmune thyroiditis usually affects women, the patient was not investigated for other possible causes of thyroid dysfunction, as he had familial anamnesis of thyroid disease. However, hypothyroidism can be the first sign of IgG4-related thyroiditis (also called Riedel's thyroiditis and a fibrosing variant of Hashimoto's thyroiditis)</w:t>
      </w:r>
      <w:r w:rsidR="00F13746" w:rsidRPr="000C178D">
        <w:rPr>
          <w:rFonts w:ascii="Book Antiqua" w:hAnsi="Book Antiqua" w:cs="Times New Roman"/>
          <w:sz w:val="24"/>
          <w:szCs w:val="24"/>
          <w:vertAlign w:val="superscript"/>
        </w:rPr>
        <w:t>[</w:t>
      </w:r>
      <w:r w:rsidRPr="000C178D">
        <w:rPr>
          <w:rFonts w:ascii="Book Antiqua" w:hAnsi="Book Antiqua" w:cs="Times New Roman"/>
          <w:sz w:val="24"/>
          <w:szCs w:val="24"/>
          <w:lang w:val="lt-LT"/>
        </w:rPr>
        <w:fldChar w:fldCharType="begin" w:fldLock="1"/>
      </w:r>
      <w:r w:rsidR="001867B4" w:rsidRPr="000C178D">
        <w:rPr>
          <w:rFonts w:ascii="Book Antiqua" w:hAnsi="Book Antiqua" w:cs="Times New Roman"/>
          <w:sz w:val="24"/>
          <w:szCs w:val="24"/>
          <w:lang w:val="lt-LT"/>
        </w:rPr>
        <w:instrText>ADDIN CSL_CITATION {"citationItems":[{"id":"ITEM-1","itemData":{"DOI":"10.1016/j.ejim.2015.09.022","ISSN":"09536205","abstract":"IgG4-related disease (IgG4-RD) is a recently recognized chronic fibrotic inflammation, which can affect almost every organ, and may come to clinical attention first due to visible organ swelling or organ dysfunction, or is identified incidentally by imaging and specific biopsy. The disorder has an allergic background and is immune-mediated. Up-regulated responses of T helper 2 and T regulatory cells and their cytokines play a major role in disease progression. About 30-50% of patients are atopic or have mild eosinophilia. IgG4-RD predominantly affects middle-aged male patients. The cornerstones of diagnosis of the disease are compatible clinical features and typical histopathology. Swelling of salivary and lacrimal glands, lymphadenopathy, and type 1 autoimmune pancreatitis (AIP) are the most common manifestations of the disease. However, other tissues and organs, such as retroperitoneum, lung, kidney, aorta, upper airways, thyroid gland, meninges, heart, mesenterium and skin may be involved. Typical histopathology is lymphoplasmacytic infiltration abundant in IgG4-positive plasma cells, storiform-type fibrosis, and obliterative phlebitis. Elevated serum IgG4 concentration supports the diagnosis. Characteristic imaging features such as a »capsule-like rim» surrounding the pancreatic lesions is highly specific to type 1 AIP. 18F-fluorodeoxyglucose positron emission tomography/computed tomography enables mapping the sites of inflammation, permits evaluation of the extent of the disease, helps in guiding biopsy decision, and may be used in monitoring response to treatment. Glucocorticoids alone or in combination with B-cell depletion with rituximab induces prompt clinical response to IgG4-RD. This article reviews the current understanding, different clinical manifestations, and approaches to diagnosis and treatment of IgG4-RD.","author":[{"dropping-particle":"","family":"Vasaitis","given":"Lilian","non-dropping-particle":"","parse-names":false,"suffix":""}],"container-title":"European Journal of Internal Medicine","id":"ITEM-1","issued":{"date-parts":[["2016","1"]]},"page":"1-9","title":"IgG4-related disease: A relatively new concept for clinicians","type":"article-journal","volume":"27"},"uris":["http://www.mendeley.com/documents/?uuid=ca0ef16d-e19e-3fea-b5e5-d9d2dada3243"]},{"id":"ITEM-2","itemData":{"DOI":"10.1053/j.gastro.2018.06.082","ISSN":"15280012","abstract":"IgG4-related disease (IgG4-RD) is a chronic relapsing multi-organ fibro-inflammatory syndrome of presumed autoimmune etiology. It is characterized by increased serum levels of IgG4 and tissue infiltration by IgG4+ cells. Increased titers of autoantibodies against a spectrum of self-antigens and response to steroids have led to its characterization as an autoimmune disease. However, the pathognomonic antigens probably differ among manifestations, and different antigens or autoantibodies produce similar immune reactions in different organs. Little is known about the pathogenic effects, if any, of serum IgG4 or IgG4+ plasma cells in tissues. Despite several animal models of the disease, none truly recapitulates human IgG4-RD. Histologic analyses of tissues from patients with IgG4-RD reveal a dense lymphoplasmacytic infiltrate rich in IgG4+ plasma cells, storiform fibrosis, and obliterative phlebitis, although these features vary among organs. Typical presentation and imaging findings include mass-forming synchronous or metachronous lesions in almost any organ, but most commonly in the pancreas, bile duct, retroperitoneum, kidneys, lungs, salivary and lacrimal glands, orbit, and lymph nodes. In all organs, inflammation can be reduced by corticosteroids and drugs that deplete B cells, such as rituximab. Patients with IgG4-RD have relapses that respond to primary therapy. Intense fibrosis accompanies the inflammatory response, leading to permanent organ damage and insufficiency. Death from IgG4-RD is rare. IgG4-RD is a multi-organ disease with predominant pancreatico-biliary involvement. Despite its relapsing–remitting course, patients have an excellent prognosis.","author":[{"dropping-particle":"","family":"Miyabe","given":"Katsuyuki","non-dropping-particle":"","parse-names":false,"suffix":""},{"dropping-particle":"","family":"Zen","given":"Yoh","non-dropping-particle":"","parse-names":false,"suffix":""},{"dropping-particle":"","family":"Cornell","given":"Lynn D.","non-dropping-particle":"","parse-names":false,"suffix":""},{"dropping-particle":"","family":"Rajagopalan","given":"Govindarajan","non-dropping-particle":"","parse-names":false,"suffix":""},{"dropping-particle":"","family":"Chowdhary","given":"Vaidehi R.","non-dropping-particle":"","parse-names":false,"suffix":""},{"dropping-particle":"","family":"Roberts","given":"Lewis R.","non-dropping-particle":"","parse-names":false,"suffix":""},{"dropping-particle":"","family":"Chari","given":"Suresh T.","non-dropping-particle":"","parse-names":false,"suffix":""}],"container-title":"Gastroenterology","id":"ITEM-2","issue":"4","issued":{"date-parts":[["2018"]]},"page":"990-1003.e1","publisher":"Elsevier, Inc","title":"Gastrointestinal and Extra-Intestinal Manifestations of IgG4–Related Disease","type":"article-journal","volume":"155"},"uris":["http://www.mendeley.com/documents/?uuid=54bfed4a-66dc-4bc2-9ebf-922dd5c760a3"]}],"mendeley":{"formattedCitation":"&lt;sup&gt;2,4&lt;/sup&gt;","plainTextFormattedCitation":"2,4","previouslyFormattedCitation":"[2,4]"},"properties":{"noteIndex":0},"schema":"https://github.com/citation-style-language/schema/raw/master/csl-citation.json"}</w:instrText>
      </w:r>
      <w:r w:rsidRPr="000C178D">
        <w:rPr>
          <w:rFonts w:ascii="Book Antiqua" w:hAnsi="Book Antiqua" w:cs="Times New Roman"/>
          <w:sz w:val="24"/>
          <w:szCs w:val="24"/>
          <w:lang w:val="lt-LT"/>
        </w:rPr>
        <w:fldChar w:fldCharType="separate"/>
      </w:r>
      <w:r w:rsidR="001867B4" w:rsidRPr="000C178D">
        <w:rPr>
          <w:rFonts w:ascii="Book Antiqua" w:hAnsi="Book Antiqua" w:cs="Times New Roman"/>
          <w:noProof/>
          <w:sz w:val="24"/>
          <w:szCs w:val="24"/>
          <w:vertAlign w:val="superscript"/>
          <w:lang w:val="lt-LT"/>
        </w:rPr>
        <w:t>2,4</w:t>
      </w:r>
      <w:r w:rsidRPr="000C178D">
        <w:rPr>
          <w:rFonts w:ascii="Book Antiqua" w:hAnsi="Book Antiqua" w:cs="Times New Roman"/>
          <w:sz w:val="24"/>
          <w:szCs w:val="24"/>
          <w:lang w:val="lt-LT"/>
        </w:rPr>
        <w:fldChar w:fldCharType="end"/>
      </w:r>
      <w:r w:rsidR="00F13746" w:rsidRPr="000C178D">
        <w:rPr>
          <w:rFonts w:ascii="Book Antiqua" w:hAnsi="Book Antiqua" w:cs="Times New Roman"/>
          <w:sz w:val="24"/>
          <w:szCs w:val="24"/>
          <w:vertAlign w:val="superscript"/>
          <w:lang w:val="lt-LT"/>
        </w:rPr>
        <w:t>]</w:t>
      </w:r>
      <w:r w:rsidRPr="000C178D">
        <w:rPr>
          <w:rFonts w:ascii="Book Antiqua" w:hAnsi="Book Antiqua" w:cs="Times New Roman"/>
          <w:sz w:val="24"/>
          <w:szCs w:val="24"/>
          <w:lang w:val="lt-LT"/>
        </w:rPr>
        <w:t>. T</w:t>
      </w:r>
      <w:r w:rsidRPr="000C178D">
        <w:rPr>
          <w:rFonts w:ascii="Book Antiqua" w:eastAsia="Times New Roman" w:hAnsi="Book Antiqua" w:cs="Times New Roman"/>
          <w:sz w:val="24"/>
          <w:szCs w:val="24"/>
        </w:rPr>
        <w:t xml:space="preserve">he first episode of eyes involvement was addressed to simple conjunctivitis. While the patient gradually developed protrusion of both eyes, photophobia and severe diplopia, the ophthalmologist and the neurologist wandered between </w:t>
      </w:r>
      <w:proofErr w:type="spellStart"/>
      <w:r w:rsidRPr="000C178D">
        <w:rPr>
          <w:rFonts w:ascii="Book Antiqua" w:eastAsia="Times New Roman" w:hAnsi="Book Antiqua" w:cs="Times New Roman"/>
          <w:i/>
          <w:sz w:val="24"/>
          <w:szCs w:val="24"/>
        </w:rPr>
        <w:t>sella</w:t>
      </w:r>
      <w:proofErr w:type="spellEnd"/>
      <w:r w:rsidRPr="000C178D">
        <w:rPr>
          <w:rFonts w:ascii="Book Antiqua" w:eastAsia="Times New Roman" w:hAnsi="Book Antiqua" w:cs="Times New Roman"/>
          <w:i/>
          <w:sz w:val="24"/>
          <w:szCs w:val="24"/>
        </w:rPr>
        <w:t xml:space="preserve"> turcica</w:t>
      </w:r>
      <w:r w:rsidRPr="000C178D">
        <w:rPr>
          <w:rFonts w:ascii="Book Antiqua" w:eastAsia="Times New Roman" w:hAnsi="Book Antiqua" w:cs="Times New Roman"/>
          <w:sz w:val="24"/>
          <w:szCs w:val="24"/>
        </w:rPr>
        <w:t xml:space="preserve"> mass </w:t>
      </w:r>
      <w:r w:rsidRPr="000C178D">
        <w:rPr>
          <w:rFonts w:ascii="Book Antiqua" w:eastAsia="Times New Roman" w:hAnsi="Book Antiqua" w:cs="Times New Roman"/>
          <w:sz w:val="24"/>
          <w:szCs w:val="24"/>
        </w:rPr>
        <w:lastRenderedPageBreak/>
        <w:t xml:space="preserve">and myasthenia gravis. However, orbital MRI showing signs of orbitopathy, brought the patient back to the endocrinologist who diagnosed endocrine ophthalmopathy based on the previous anamnesis of autoimmune thyroiditis and provided the treatment plan with 12 </w:t>
      </w:r>
      <w:proofErr w:type="spellStart"/>
      <w:r w:rsidRPr="000C178D">
        <w:rPr>
          <w:rFonts w:ascii="Book Antiqua" w:eastAsia="Times New Roman" w:hAnsi="Book Antiqua" w:cs="Times New Roman"/>
          <w:sz w:val="24"/>
          <w:szCs w:val="24"/>
        </w:rPr>
        <w:t>w</w:t>
      </w:r>
      <w:r w:rsidR="00A36A0A" w:rsidRPr="000C178D">
        <w:rPr>
          <w:rFonts w:ascii="Book Antiqua" w:eastAsia="Times New Roman" w:hAnsi="Book Antiqua" w:cs="Times New Roman"/>
          <w:sz w:val="24"/>
          <w:szCs w:val="24"/>
        </w:rPr>
        <w:t>k</w:t>
      </w:r>
      <w:proofErr w:type="spellEnd"/>
      <w:r w:rsidRPr="000C178D">
        <w:rPr>
          <w:rFonts w:ascii="Book Antiqua" w:eastAsia="Times New Roman" w:hAnsi="Book Antiqua" w:cs="Times New Roman"/>
          <w:sz w:val="24"/>
          <w:szCs w:val="24"/>
        </w:rPr>
        <w:t xml:space="preserve"> hospitalizations for in</w:t>
      </w:r>
      <w:r w:rsidR="00967AFF" w:rsidRPr="000C178D">
        <w:rPr>
          <w:rFonts w:ascii="Book Antiqua" w:eastAsia="Times New Roman" w:hAnsi="Book Antiqua" w:cs="Times New Roman"/>
          <w:sz w:val="24"/>
          <w:szCs w:val="24"/>
        </w:rPr>
        <w:t>travenous GC</w:t>
      </w:r>
      <w:r w:rsidRPr="000C178D">
        <w:rPr>
          <w:rFonts w:ascii="Book Antiqua" w:eastAsia="Times New Roman" w:hAnsi="Book Antiqua" w:cs="Times New Roman"/>
          <w:sz w:val="24"/>
          <w:szCs w:val="24"/>
        </w:rPr>
        <w:t xml:space="preserve"> pulse therapy following the radiotherapy. </w:t>
      </w:r>
      <w:r w:rsidR="00D44578" w:rsidRPr="000C178D">
        <w:rPr>
          <w:rFonts w:ascii="Book Antiqua" w:eastAsia="Times New Roman" w:hAnsi="Book Antiqua" w:cs="Times New Roman"/>
          <w:sz w:val="24"/>
          <w:szCs w:val="24"/>
        </w:rPr>
        <w:t>As the treatment was not effective</w:t>
      </w:r>
      <w:r w:rsidR="002B2BF9" w:rsidRPr="000C178D">
        <w:rPr>
          <w:rFonts w:ascii="Book Antiqua" w:eastAsia="Times New Roman" w:hAnsi="Book Antiqua" w:cs="Times New Roman"/>
          <w:sz w:val="24"/>
          <w:szCs w:val="24"/>
        </w:rPr>
        <w:t>,</w:t>
      </w:r>
      <w:r w:rsidR="00D44578" w:rsidRPr="000C178D">
        <w:rPr>
          <w:rFonts w:ascii="Book Antiqua" w:eastAsia="Times New Roman" w:hAnsi="Book Antiqua" w:cs="Times New Roman"/>
          <w:sz w:val="24"/>
          <w:szCs w:val="24"/>
        </w:rPr>
        <w:t xml:space="preserve"> t</w:t>
      </w:r>
      <w:r w:rsidR="00D44578" w:rsidRPr="000C178D">
        <w:rPr>
          <w:rFonts w:ascii="Book Antiqua" w:eastAsia="Times New Roman" w:hAnsi="Book Antiqua" w:cs="Times New Roman"/>
          <w:color w:val="0E101A"/>
          <w:sz w:val="24"/>
          <w:szCs w:val="24"/>
        </w:rPr>
        <w:t>he endocrinologists then doubted the diagnosis of Graves</w:t>
      </w:r>
      <w:r w:rsidR="00F80C8F" w:rsidRPr="000C178D">
        <w:rPr>
          <w:rFonts w:ascii="Book Antiqua" w:eastAsia="Times New Roman" w:hAnsi="Book Antiqua" w:cs="Times New Roman"/>
          <w:color w:val="0E101A"/>
          <w:sz w:val="24"/>
          <w:szCs w:val="24"/>
        </w:rPr>
        <w:t>'</w:t>
      </w:r>
      <w:r w:rsidR="00D44578" w:rsidRPr="000C178D">
        <w:rPr>
          <w:rFonts w:ascii="Book Antiqua" w:eastAsia="Times New Roman" w:hAnsi="Book Antiqua" w:cs="Times New Roman"/>
          <w:color w:val="0E101A"/>
          <w:sz w:val="24"/>
          <w:szCs w:val="24"/>
        </w:rPr>
        <w:t xml:space="preserve"> disease and </w:t>
      </w:r>
      <w:r w:rsidR="005420B6" w:rsidRPr="000C178D">
        <w:rPr>
          <w:rFonts w:ascii="Book Antiqua" w:eastAsia="Times New Roman" w:hAnsi="Book Antiqua" w:cs="Times New Roman"/>
          <w:color w:val="0E101A"/>
          <w:sz w:val="24"/>
          <w:szCs w:val="24"/>
        </w:rPr>
        <w:t>considered</w:t>
      </w:r>
      <w:r w:rsidR="00D44578" w:rsidRPr="000C178D">
        <w:rPr>
          <w:rFonts w:ascii="Book Antiqua" w:eastAsia="Times New Roman" w:hAnsi="Book Antiqua" w:cs="Times New Roman"/>
          <w:color w:val="0E101A"/>
          <w:sz w:val="24"/>
          <w:szCs w:val="24"/>
        </w:rPr>
        <w:t xml:space="preserve"> of idiopathic orbital inflammation</w:t>
      </w:r>
      <w:r w:rsidR="005420B6" w:rsidRPr="000C178D">
        <w:rPr>
          <w:rFonts w:ascii="Book Antiqua" w:eastAsia="Times New Roman" w:hAnsi="Book Antiqua" w:cs="Times New Roman"/>
          <w:color w:val="0E101A"/>
          <w:sz w:val="24"/>
          <w:szCs w:val="24"/>
        </w:rPr>
        <w:t>, which</w:t>
      </w:r>
      <w:r w:rsidR="002B2BF9" w:rsidRPr="000C178D">
        <w:rPr>
          <w:rFonts w:ascii="Book Antiqua" w:eastAsia="Times New Roman" w:hAnsi="Book Antiqua" w:cs="Times New Roman"/>
          <w:color w:val="0E101A"/>
          <w:sz w:val="24"/>
          <w:szCs w:val="24"/>
        </w:rPr>
        <w:t>,</w:t>
      </w:r>
      <w:r w:rsidR="005420B6" w:rsidRPr="000C178D">
        <w:rPr>
          <w:rFonts w:ascii="Book Antiqua" w:eastAsia="Times New Roman" w:hAnsi="Book Antiqua" w:cs="Times New Roman"/>
          <w:color w:val="0E101A"/>
          <w:sz w:val="24"/>
          <w:szCs w:val="24"/>
        </w:rPr>
        <w:t xml:space="preserve"> according to the literature</w:t>
      </w:r>
      <w:r w:rsidR="002B2BF9" w:rsidRPr="000C178D">
        <w:rPr>
          <w:rFonts w:ascii="Book Antiqua" w:eastAsia="Times New Roman" w:hAnsi="Book Antiqua" w:cs="Times New Roman"/>
          <w:color w:val="0E101A"/>
          <w:sz w:val="24"/>
          <w:szCs w:val="24"/>
        </w:rPr>
        <w:t>,</w:t>
      </w:r>
      <w:r w:rsidR="005420B6" w:rsidRPr="000C178D">
        <w:rPr>
          <w:rFonts w:ascii="Book Antiqua" w:eastAsia="Times New Roman" w:hAnsi="Book Antiqua" w:cs="Times New Roman"/>
          <w:color w:val="0E101A"/>
          <w:sz w:val="24"/>
          <w:szCs w:val="24"/>
        </w:rPr>
        <w:t xml:space="preserve"> can be treated with retrobulbar steroid injections</w:t>
      </w:r>
      <w:r w:rsidR="00F13746" w:rsidRPr="000C178D">
        <w:rPr>
          <w:rFonts w:ascii="Book Antiqua" w:eastAsia="Times New Roman" w:hAnsi="Book Antiqua" w:cs="Times New Roman"/>
          <w:color w:val="0E101A"/>
          <w:sz w:val="24"/>
          <w:szCs w:val="24"/>
          <w:vertAlign w:val="superscript"/>
        </w:rPr>
        <w:t>[</w:t>
      </w:r>
      <w:r w:rsidR="005420B6" w:rsidRPr="000C178D">
        <w:rPr>
          <w:rFonts w:ascii="Book Antiqua" w:eastAsia="Times New Roman" w:hAnsi="Book Antiqua" w:cs="Times New Roman"/>
          <w:color w:val="0E101A"/>
          <w:sz w:val="24"/>
          <w:szCs w:val="24"/>
        </w:rPr>
        <w:fldChar w:fldCharType="begin" w:fldLock="1"/>
      </w:r>
      <w:r w:rsidR="001867B4" w:rsidRPr="000C178D">
        <w:rPr>
          <w:rFonts w:ascii="Book Antiqua" w:eastAsia="Times New Roman" w:hAnsi="Book Antiqua" w:cs="Times New Roman"/>
          <w:color w:val="0E101A"/>
          <w:sz w:val="24"/>
          <w:szCs w:val="24"/>
        </w:rPr>
        <w:instrText>ADDIN CSL_CITATION {"citationItems":[{"id":"ITEM-1","itemData":{"DOI":"10.1097/IOP.0b013e318293750c","ISSN":"0740-9303","abstract":"PURPOSE: To evaluate the long-term efficacy of local injection of steroid in treatment of acute idiopathic dacryoadenitis, myositis, and diffuse anterior orbital inflammation. METHODS: This prospective noncomparative interventional case study included 47 patients with acute idiopathic orbital inflammation. The disease was acute idiopathic 1) dacryoadenitis in 31 patients, 2) myositis in 12 patients, and 3) anterior diffuse orbital inflammation in 4 patients. Betamethasone suspension of 2 to 4 ml (1 ml contains 2 mg betamethasone sodium phosphate and 5 mg betamethasone dipropionate) was injected inside the inflamed gland, around the inflamed muscle and periocular in the diffuse form. Postinjection cold compression was applied for 6 hours, and systemic nonsteroidal anti-inflammatory drugs were given for 2 weeks. RESULTS: Dramatic response was achieved within 7 days after injection in all cases. During the follow-up period up to 8 years, 2 patients (1 with myositis and 1 with diffuse orbital inflammation) had recurrence, which was improved by the second injection. CONCLUSIONS: The excellent long-term results achieved will shift the treatment of idiopathic orbital inflammation from oral steroid therapy with its hazards to a safer local injection therapy. © 2013 The American Society of Ophthalmic Plastic and Reconstructive Surgery, Inc.","author":[{"dropping-particle":"","family":"Mohammad","given":"Abd El Nasser A.","non-dropping-particle":"","parse-names":false,"suffix":""}],"container-title":"Ophthalmic Plastic and Reconstructive Surgery","id":"ITEM-1","issue":"4","issued":{"date-parts":[["2013","7"]]},"page":"286-289","title":"Local Steroid Injection for Management of Different Types of Acute Idiopathic Orbital Inflammation","type":"article-journal","volume":"29"},"uris":["http://www.mendeley.com/documents/?uuid=b8c9858b-a477-347c-9f8d-b396b2ec80f4"]}],"mendeley":{"formattedCitation":"&lt;sup&gt;21&lt;/sup&gt;","plainTextFormattedCitation":"21","previouslyFormattedCitation":"[21]"},"properties":{"noteIndex":0},"schema":"https://github.com/citation-style-language/schema/raw/master/csl-citation.json"}</w:instrText>
      </w:r>
      <w:r w:rsidR="005420B6" w:rsidRPr="000C178D">
        <w:rPr>
          <w:rFonts w:ascii="Book Antiqua" w:eastAsia="Times New Roman" w:hAnsi="Book Antiqua" w:cs="Times New Roman"/>
          <w:color w:val="0E101A"/>
          <w:sz w:val="24"/>
          <w:szCs w:val="24"/>
        </w:rPr>
        <w:fldChar w:fldCharType="separate"/>
      </w:r>
      <w:r w:rsidR="001867B4" w:rsidRPr="000C178D">
        <w:rPr>
          <w:rFonts w:ascii="Book Antiqua" w:eastAsia="Times New Roman" w:hAnsi="Book Antiqua" w:cs="Times New Roman"/>
          <w:noProof/>
          <w:color w:val="0E101A"/>
          <w:sz w:val="24"/>
          <w:szCs w:val="24"/>
          <w:vertAlign w:val="superscript"/>
        </w:rPr>
        <w:t>21</w:t>
      </w:r>
      <w:r w:rsidR="005420B6" w:rsidRPr="000C178D">
        <w:rPr>
          <w:rFonts w:ascii="Book Antiqua" w:eastAsia="Times New Roman" w:hAnsi="Book Antiqua" w:cs="Times New Roman"/>
          <w:color w:val="0E101A"/>
          <w:sz w:val="24"/>
          <w:szCs w:val="24"/>
        </w:rPr>
        <w:fldChar w:fldCharType="end"/>
      </w:r>
      <w:r w:rsidR="00F13746" w:rsidRPr="000C178D">
        <w:rPr>
          <w:rFonts w:ascii="Book Antiqua" w:eastAsia="Times New Roman" w:hAnsi="Book Antiqua" w:cs="Times New Roman"/>
          <w:color w:val="0E101A"/>
          <w:sz w:val="24"/>
          <w:szCs w:val="24"/>
          <w:vertAlign w:val="superscript"/>
        </w:rPr>
        <w:t>]</w:t>
      </w:r>
      <w:r w:rsidR="00D44578" w:rsidRPr="000C178D">
        <w:rPr>
          <w:rFonts w:ascii="Book Antiqua" w:eastAsia="Times New Roman" w:hAnsi="Book Antiqua" w:cs="Times New Roman"/>
          <w:color w:val="0E101A"/>
          <w:sz w:val="24"/>
          <w:szCs w:val="24"/>
        </w:rPr>
        <w:t xml:space="preserve">. However, </w:t>
      </w:r>
      <w:r w:rsidR="005420B6" w:rsidRPr="000C178D">
        <w:rPr>
          <w:rFonts w:ascii="Book Antiqua" w:eastAsia="Times New Roman" w:hAnsi="Book Antiqua" w:cs="Times New Roman"/>
          <w:color w:val="0E101A"/>
          <w:sz w:val="24"/>
          <w:szCs w:val="24"/>
        </w:rPr>
        <w:t>it was not</w:t>
      </w:r>
      <w:r w:rsidR="00467ADD" w:rsidRPr="000C178D">
        <w:rPr>
          <w:rFonts w:ascii="Book Antiqua" w:eastAsia="Times New Roman" w:hAnsi="Book Antiqua" w:cs="Times New Roman"/>
          <w:color w:val="0E101A"/>
          <w:sz w:val="24"/>
          <w:szCs w:val="24"/>
        </w:rPr>
        <w:t xml:space="preserve"> then</w:t>
      </w:r>
      <w:r w:rsidR="005420B6" w:rsidRPr="000C178D">
        <w:rPr>
          <w:rFonts w:ascii="Book Antiqua" w:eastAsia="Times New Roman" w:hAnsi="Book Antiqua" w:cs="Times New Roman"/>
          <w:color w:val="0E101A"/>
          <w:sz w:val="24"/>
          <w:szCs w:val="24"/>
        </w:rPr>
        <w:t xml:space="preserve"> thought of the relation with IgG4-RD at that time</w:t>
      </w:r>
      <w:r w:rsidR="00967AFF" w:rsidRPr="000C178D">
        <w:rPr>
          <w:rFonts w:ascii="Book Antiqua" w:eastAsia="Times New Roman" w:hAnsi="Book Antiqua" w:cs="Times New Roman"/>
          <w:color w:val="0E101A"/>
          <w:sz w:val="24"/>
          <w:szCs w:val="24"/>
        </w:rPr>
        <w:t xml:space="preserve">. As the patient was out of reach for a year after refusing to continue this treatment, he was not further examined for </w:t>
      </w:r>
      <w:r w:rsidR="002B2BF9" w:rsidRPr="000C178D">
        <w:rPr>
          <w:rFonts w:ascii="Book Antiqua" w:eastAsia="Times New Roman" w:hAnsi="Book Antiqua" w:cs="Times New Roman"/>
          <w:color w:val="0E101A"/>
          <w:sz w:val="24"/>
          <w:szCs w:val="24"/>
        </w:rPr>
        <w:t xml:space="preserve">the </w:t>
      </w:r>
      <w:r w:rsidR="00967AFF" w:rsidRPr="000C178D">
        <w:rPr>
          <w:rFonts w:ascii="Book Antiqua" w:eastAsia="Times New Roman" w:hAnsi="Book Antiqua" w:cs="Times New Roman"/>
          <w:color w:val="0E101A"/>
          <w:sz w:val="24"/>
          <w:szCs w:val="24"/>
        </w:rPr>
        <w:t>possible systemic disease</w:t>
      </w:r>
      <w:r w:rsidR="00467ADD" w:rsidRPr="000C178D">
        <w:rPr>
          <w:rFonts w:ascii="Book Antiqua" w:eastAsia="Times New Roman" w:hAnsi="Book Antiqua" w:cs="Times New Roman"/>
          <w:color w:val="0E101A"/>
          <w:sz w:val="24"/>
          <w:szCs w:val="24"/>
        </w:rPr>
        <w:t xml:space="preserve"> at that time</w:t>
      </w:r>
      <w:r w:rsidR="005420B6" w:rsidRPr="000C178D">
        <w:rPr>
          <w:rFonts w:ascii="Book Antiqua" w:eastAsia="Times New Roman" w:hAnsi="Book Antiqua" w:cs="Times New Roman"/>
          <w:color w:val="0E101A"/>
          <w:sz w:val="24"/>
          <w:szCs w:val="24"/>
        </w:rPr>
        <w:t xml:space="preserve">. </w:t>
      </w:r>
      <w:r w:rsidR="005420B6" w:rsidRPr="000C178D">
        <w:rPr>
          <w:rFonts w:ascii="Book Antiqua" w:eastAsia="Times New Roman" w:hAnsi="Book Antiqua" w:cs="Times New Roman"/>
          <w:sz w:val="24"/>
          <w:szCs w:val="24"/>
        </w:rPr>
        <w:t>Retrospectively the patient's symptoms can be attributed to the development of IgG4-related orbital myositis, uveitis and scleritis.</w:t>
      </w:r>
      <w:r w:rsidR="005420B6" w:rsidRPr="000C178D">
        <w:rPr>
          <w:rFonts w:ascii="Book Antiqua" w:hAnsi="Book Antiqua" w:cs="Times New Roman"/>
          <w:sz w:val="24"/>
          <w:szCs w:val="24"/>
          <w:lang w:val="lt-LT"/>
        </w:rPr>
        <w:t xml:space="preserve"> Proptosis and exophthalmos were a result of orbital pseudotumours that involved extraocular muscles (orbital myositis). Photophobia, constant tearing and visual impairment can be attributed to scleritis and uveitis, which are the less common ophthalmic manifestations of IgG4-RD</w:t>
      </w:r>
      <w:r w:rsidR="00F13746" w:rsidRPr="000C178D">
        <w:rPr>
          <w:rFonts w:ascii="Book Antiqua" w:eastAsia="Times New Roman" w:hAnsi="Book Antiqua" w:cs="Times New Roman"/>
          <w:sz w:val="24"/>
          <w:szCs w:val="24"/>
          <w:vertAlign w:val="superscript"/>
        </w:rPr>
        <w:t>[</w:t>
      </w:r>
      <w:r w:rsidR="005420B6" w:rsidRPr="000C178D">
        <w:rPr>
          <w:rFonts w:ascii="Book Antiqua" w:hAnsi="Book Antiqua" w:cs="Times New Roman"/>
          <w:sz w:val="24"/>
          <w:szCs w:val="24"/>
          <w:lang w:val="lt-LT"/>
        </w:rPr>
        <w:fldChar w:fldCharType="begin" w:fldLock="1"/>
      </w:r>
      <w:r w:rsidR="001867B4" w:rsidRPr="000C178D">
        <w:rPr>
          <w:rFonts w:ascii="Book Antiqua" w:hAnsi="Book Antiqua" w:cs="Times New Roman"/>
          <w:sz w:val="24"/>
          <w:szCs w:val="24"/>
          <w:lang w:val="lt-LT"/>
        </w:rPr>
        <w:instrText>ADDIN CSL_CITATION {"citationItems":[{"id":"ITEM-1","itemData":{"DOI":"10.1016/j.semarthrit.2013.11.008","ISSN":"1532866X","abstract":"Objectives: IgG4-related disease (IgG4-RD) is an inflammatory disorder responsible for fibrosing, tumefactive lesions that can involve the lacrimal gland as well as the extraocular muscles, orbital soft tissues, sclera, and local nerves. We reviewed IgG4-related ophthalmic disease (IgG4-ROD), including the natural history, pathology, and treatment, based on our center's experience and that reported in the literature. Methods: We identified 27 patients with orbital manifestations from our IgG4-RD registry; six were excluded because no pathology was available for review. All 21 cases included had histopathologically confirmed diagnoses of IgG4-RD, 11 of which were of the orbital tissue. Other data were obtained by a retrospective medical records review. MEDLINE and PubMed literature searches in English were conducted to identify articles for a literature review on the topic. Results: Patients with IgG4-ROD were predominantly male (57%) and had an average age at symptom onset of 50 years (range: 21-79 years). The lacrimal gland was the most commonly involved structure (62%). Most patients (71%) had bilateral disease and extra-orbital involvement (71%); these patients also had elevated serum IgG4 concentrations compared to those with unilateral disease and no extra-orbital disease. Ten patients improved following rituximab treatment. Conclusions: Ophthalmic involvement is a common manifestation of IgG4-RD and can affect nearly every orbital structure. Consideration of IgG4-RD and accurate diagnosis by biopsy have important implications for prognosis and treatment following the distinction of this condition from the Sjögren syndrome (SjS), granulomatosis with polyangiitis (GPA, formerly Wegener's), sarcoidosis, lymphoma, infection, and other disorders. Rituximab holds promise as an effective steroid-sparing agent or therapy for steroid-resistant cases. © 2014.","author":[{"dropping-particle":"","family":"Wallace","given":"Zachary S.","non-dropping-particle":"","parse-names":false,"suffix":""},{"dropping-particle":"","family":"Deshpande","given":"Vikram","non-dropping-particle":"","parse-names":false,"suffix":""},{"dropping-particle":"","family":"Stone","given":"John H.","non-dropping-particle":"","parse-names":false,"suffix":""}],"container-title":"Seminars in Arthritis and Rheumatism","id":"ITEM-1","issue":"6","issued":{"date-parts":[["2014"]]},"page":"806-817","publisher":"W.B. Saunders","title":"Ophthalmic manifestations of IgG4-related disease: Single-center experience and literature review","type":"article-journal","volume":"43"},"uris":["http://www.mendeley.com/documents/?uuid=d77cf2c2-7640-35d4-918e-829c2eed8bfe"]},{"id":"ITEM-2","itemData":{"DOI":"10.1016/S0140-6736(14)60720-0","ISSN":"0140-6736","author":[{"dropping-particle":"","family":"Kamisawa","given":"Terumi","non-dropping-particle":"","parse-names":false,"suffix":""},{"dropping-particle":"","family":"Zen","given":"Yoh","non-dropping-particle":"","parse-names":false,"suffix":""},{"dropping-particle":"","family":"Pillai","given":"Shiv","non-dropping-particle":"","parse-names":false,"suffix":""},{"dropping-particle":"","family":"Stone","given":"John H","non-dropping-particle":"","parse-names":false,"suffix":""}],"container-title":"The Lancet","id":"ITEM-2","issue":"9976","issued":{"date-parts":[["2014"]]},"page":"1-12","publisher":"Elsevier Ltd","title":"IgG4-related disease","type":"article-journal","volume":"6736"},"uris":["http://www.mendeley.com/documents/?uuid=2e41c769-383e-456b-9860-e8d797f3041c"]}],"mendeley":{"formattedCitation":"&lt;sup&gt;18,22&lt;/sup&gt;","plainTextFormattedCitation":"18,22","previouslyFormattedCitation":"[18,22]"},"properties":{"noteIndex":0},"schema":"https://github.com/citation-style-language/schema/raw/master/csl-citation.json"}</w:instrText>
      </w:r>
      <w:r w:rsidR="005420B6" w:rsidRPr="000C178D">
        <w:rPr>
          <w:rFonts w:ascii="Book Antiqua" w:hAnsi="Book Antiqua" w:cs="Times New Roman"/>
          <w:sz w:val="24"/>
          <w:szCs w:val="24"/>
          <w:lang w:val="lt-LT"/>
        </w:rPr>
        <w:fldChar w:fldCharType="separate"/>
      </w:r>
      <w:r w:rsidR="001867B4" w:rsidRPr="000C178D">
        <w:rPr>
          <w:rFonts w:ascii="Book Antiqua" w:hAnsi="Book Antiqua" w:cs="Times New Roman"/>
          <w:noProof/>
          <w:sz w:val="24"/>
          <w:szCs w:val="24"/>
          <w:vertAlign w:val="superscript"/>
          <w:lang w:val="lt-LT"/>
        </w:rPr>
        <w:t>18,22</w:t>
      </w:r>
      <w:r w:rsidR="005420B6" w:rsidRPr="000C178D">
        <w:rPr>
          <w:rFonts w:ascii="Book Antiqua" w:hAnsi="Book Antiqua" w:cs="Times New Roman"/>
          <w:sz w:val="24"/>
          <w:szCs w:val="24"/>
          <w:lang w:val="lt-LT"/>
        </w:rPr>
        <w:fldChar w:fldCharType="end"/>
      </w:r>
      <w:r w:rsidR="00F13746" w:rsidRPr="000C178D">
        <w:rPr>
          <w:rFonts w:ascii="Book Antiqua" w:hAnsi="Book Antiqua" w:cs="Times New Roman"/>
          <w:sz w:val="24"/>
          <w:szCs w:val="24"/>
          <w:vertAlign w:val="superscript"/>
          <w:lang w:val="lt-LT"/>
        </w:rPr>
        <w:t>]</w:t>
      </w:r>
      <w:r w:rsidR="005420B6" w:rsidRPr="000C178D">
        <w:rPr>
          <w:rFonts w:ascii="Book Antiqua" w:eastAsia="Times New Roman" w:hAnsi="Book Antiqua" w:cs="Times New Roman"/>
          <w:sz w:val="24"/>
          <w:szCs w:val="24"/>
        </w:rPr>
        <w:t xml:space="preserve">. </w:t>
      </w:r>
    </w:p>
    <w:p w14:paraId="56A29F86" w14:textId="01D624A8" w:rsidR="006241BE" w:rsidRPr="000C178D" w:rsidRDefault="006241BE" w:rsidP="000C178D">
      <w:pPr>
        <w:autoSpaceDE w:val="0"/>
        <w:autoSpaceDN w:val="0"/>
        <w:adjustRightInd w:val="0"/>
        <w:snapToGrid w:val="0"/>
        <w:spacing w:after="0" w:line="360" w:lineRule="auto"/>
        <w:ind w:firstLine="284"/>
        <w:jc w:val="both"/>
        <w:rPr>
          <w:rFonts w:ascii="Book Antiqua" w:hAnsi="Book Antiqua" w:cs="Times New Roman"/>
          <w:sz w:val="24"/>
          <w:szCs w:val="24"/>
          <w:lang w:val="lt-LT"/>
        </w:rPr>
      </w:pPr>
      <w:r w:rsidRPr="000C178D">
        <w:rPr>
          <w:rFonts w:ascii="Book Antiqua" w:hAnsi="Book Antiqua" w:cs="Times New Roman"/>
          <w:sz w:val="24"/>
          <w:szCs w:val="24"/>
        </w:rPr>
        <w:t xml:space="preserve">Afterwards, the patient experienced severe weight loss, </w:t>
      </w:r>
      <w:proofErr w:type="spellStart"/>
      <w:r w:rsidRPr="000C178D">
        <w:rPr>
          <w:rFonts w:ascii="Book Antiqua" w:hAnsi="Book Antiqua" w:cs="Times New Roman"/>
          <w:sz w:val="24"/>
          <w:szCs w:val="24"/>
        </w:rPr>
        <w:t>diarrhoea</w:t>
      </w:r>
      <w:proofErr w:type="spellEnd"/>
      <w:r w:rsidRPr="000C178D">
        <w:rPr>
          <w:rFonts w:ascii="Book Antiqua" w:hAnsi="Book Antiqua" w:cs="Times New Roman"/>
          <w:sz w:val="24"/>
          <w:szCs w:val="24"/>
        </w:rPr>
        <w:t xml:space="preserve"> and abdominal pain. These symptoms led the patient to the gastroenterologist. Examination for possible celiac disease, inflammatory bowel diseases and cancer was performed, though none of these diseases was confirmed. </w:t>
      </w:r>
      <w:r w:rsidR="00AC5A84" w:rsidRPr="000C178D">
        <w:rPr>
          <w:rFonts w:ascii="Book Antiqua" w:hAnsi="Book Antiqua" w:cs="Times New Roman"/>
          <w:sz w:val="24"/>
          <w:szCs w:val="24"/>
          <w:lang w:val="lt-LT"/>
        </w:rPr>
        <w:t xml:space="preserve">The suspicion of the systemic disease increased when </w:t>
      </w:r>
      <w:r w:rsidR="00967AFF" w:rsidRPr="000C178D">
        <w:rPr>
          <w:rFonts w:ascii="Book Antiqua" w:hAnsi="Book Antiqua" w:cs="Times New Roman"/>
          <w:sz w:val="24"/>
          <w:szCs w:val="24"/>
          <w:lang w:val="lt-LT"/>
        </w:rPr>
        <w:t>the patient developed vitiligo like patches, si</w:t>
      </w:r>
      <w:r w:rsidR="00AC5A84" w:rsidRPr="000C178D">
        <w:rPr>
          <w:rFonts w:ascii="Book Antiqua" w:hAnsi="Book Antiqua" w:cs="Times New Roman"/>
          <w:sz w:val="24"/>
          <w:szCs w:val="24"/>
          <w:lang w:val="lt-LT"/>
        </w:rPr>
        <w:t>cca symptoms and muscle pain.</w:t>
      </w:r>
      <w:r w:rsidRPr="000C178D">
        <w:rPr>
          <w:rFonts w:ascii="Book Antiqua" w:hAnsi="Book Antiqua" w:cs="Times New Roman"/>
          <w:sz w:val="24"/>
          <w:szCs w:val="24"/>
          <w:lang w:val="lt-LT"/>
        </w:rPr>
        <w:t xml:space="preserve"> The rheumatologist consulted and investigated the patient, yet none systemic connective tissue illness was confirmed. </w:t>
      </w:r>
    </w:p>
    <w:p w14:paraId="20D07603" w14:textId="45AF2E4C" w:rsidR="00B1609D" w:rsidRPr="000C178D" w:rsidRDefault="006241BE" w:rsidP="000C178D">
      <w:pPr>
        <w:autoSpaceDE w:val="0"/>
        <w:autoSpaceDN w:val="0"/>
        <w:adjustRightInd w:val="0"/>
        <w:snapToGrid w:val="0"/>
        <w:spacing w:after="0" w:line="360" w:lineRule="auto"/>
        <w:ind w:firstLine="284"/>
        <w:jc w:val="both"/>
        <w:rPr>
          <w:rFonts w:ascii="Book Antiqua" w:hAnsi="Book Antiqua" w:cs="Times New Roman"/>
          <w:sz w:val="24"/>
          <w:szCs w:val="24"/>
          <w:lang w:val="lt-LT"/>
        </w:rPr>
      </w:pPr>
      <w:r w:rsidRPr="000C178D">
        <w:rPr>
          <w:rFonts w:ascii="Book Antiqua" w:hAnsi="Book Antiqua" w:cs="Times New Roman"/>
          <w:sz w:val="24"/>
          <w:szCs w:val="24"/>
          <w:lang w:val="lt-LT"/>
        </w:rPr>
        <w:t xml:space="preserve">Incidentally, the elevated liver enzymes were observed, and the patient returned to the gastroenterology department for liver biopsy. Instead, </w:t>
      </w:r>
      <w:r w:rsidR="009D78FB" w:rsidRPr="000C178D">
        <w:rPr>
          <w:rFonts w:ascii="Book Antiqua" w:hAnsi="Book Antiqua" w:cs="Times New Roman"/>
          <w:sz w:val="24"/>
          <w:szCs w:val="24"/>
          <w:lang w:val="lt-LT"/>
        </w:rPr>
        <w:t xml:space="preserve">the needle-aspiration from significantly enlarged palpable salivary </w:t>
      </w:r>
      <w:r w:rsidRPr="000C178D">
        <w:rPr>
          <w:rFonts w:ascii="Book Antiqua" w:hAnsi="Book Antiqua" w:cs="Times New Roman"/>
          <w:sz w:val="24"/>
          <w:szCs w:val="24"/>
          <w:lang w:val="lt-LT"/>
        </w:rPr>
        <w:t>gland</w:t>
      </w:r>
      <w:r w:rsidR="009D78FB" w:rsidRPr="000C178D">
        <w:rPr>
          <w:rFonts w:ascii="Book Antiqua" w:hAnsi="Book Antiqua" w:cs="Times New Roman"/>
          <w:sz w:val="24"/>
          <w:szCs w:val="24"/>
          <w:lang w:val="lt-LT"/>
        </w:rPr>
        <w:t xml:space="preserve"> was performed</w:t>
      </w:r>
      <w:r w:rsidRPr="000C178D">
        <w:rPr>
          <w:rFonts w:ascii="Book Antiqua" w:hAnsi="Book Antiqua" w:cs="Times New Roman"/>
          <w:sz w:val="24"/>
          <w:szCs w:val="24"/>
          <w:lang w:val="lt-LT"/>
        </w:rPr>
        <w:t xml:space="preserve">. </w:t>
      </w:r>
      <w:r w:rsidRPr="000C178D">
        <w:rPr>
          <w:rFonts w:ascii="Book Antiqua" w:hAnsi="Book Antiqua" w:cs="Times New Roman"/>
          <w:sz w:val="24"/>
          <w:szCs w:val="24"/>
        </w:rPr>
        <w:t xml:space="preserve">The considerations in the differential diagnosis included </w:t>
      </w:r>
      <w:proofErr w:type="spellStart"/>
      <w:r w:rsidRPr="000C178D">
        <w:rPr>
          <w:rFonts w:ascii="Book Antiqua" w:hAnsi="Book Antiqua" w:cs="Times New Roman"/>
          <w:sz w:val="24"/>
          <w:szCs w:val="24"/>
        </w:rPr>
        <w:t>Sjögren's</w:t>
      </w:r>
      <w:proofErr w:type="spellEnd"/>
      <w:r w:rsidRPr="000C178D">
        <w:rPr>
          <w:rFonts w:ascii="Book Antiqua" w:hAnsi="Book Antiqua" w:cs="Times New Roman"/>
          <w:sz w:val="24"/>
          <w:szCs w:val="24"/>
        </w:rPr>
        <w:t xml:space="preserve"> syndrome, granulomatosis with polyangiitis, sarcoidosis, lymphoma, infection, Graves</w:t>
      </w:r>
      <w:r w:rsidR="00F80C8F" w:rsidRPr="000C178D">
        <w:rPr>
          <w:rFonts w:ascii="Book Antiqua" w:hAnsi="Book Antiqua" w:cs="Times New Roman"/>
          <w:sz w:val="24"/>
          <w:szCs w:val="24"/>
        </w:rPr>
        <w:t>'</w:t>
      </w:r>
      <w:r w:rsidRPr="000C178D">
        <w:rPr>
          <w:rFonts w:ascii="Book Antiqua" w:hAnsi="Book Antiqua" w:cs="Times New Roman"/>
          <w:sz w:val="24"/>
          <w:szCs w:val="24"/>
        </w:rPr>
        <w:t xml:space="preserve"> thyrotoxicosis and cancer. </w:t>
      </w:r>
      <w:r w:rsidRPr="000C178D">
        <w:rPr>
          <w:rFonts w:ascii="Book Antiqua" w:hAnsi="Book Antiqua" w:cs="Times New Roman"/>
          <w:sz w:val="24"/>
          <w:szCs w:val="24"/>
          <w:lang w:val="lt-LT"/>
        </w:rPr>
        <w:t xml:space="preserve">AIP on abdominal MRI linked diarrhoea, </w:t>
      </w:r>
      <w:r w:rsidRPr="000C178D">
        <w:rPr>
          <w:rFonts w:ascii="Book Antiqua" w:hAnsi="Book Antiqua" w:cs="Times New Roman"/>
          <w:sz w:val="24"/>
          <w:szCs w:val="24"/>
          <w:lang w:val="lt-LT"/>
        </w:rPr>
        <w:lastRenderedPageBreak/>
        <w:t>weight loss and impaired glucose tolerance to the signs of exocrine and endocrine pancreatic failure. Sialadenitis with changes in facial appearance is particularly characteristic of IgG4-RD</w:t>
      </w:r>
      <w:r w:rsidR="00F13746" w:rsidRPr="000C178D">
        <w:rPr>
          <w:rFonts w:ascii="Book Antiqua" w:hAnsi="Book Antiqua" w:cs="Times New Roman"/>
          <w:sz w:val="24"/>
          <w:szCs w:val="24"/>
          <w:vertAlign w:val="superscript"/>
        </w:rPr>
        <w:t>[</w:t>
      </w:r>
      <w:r w:rsidRPr="000C178D">
        <w:rPr>
          <w:rFonts w:ascii="Book Antiqua" w:hAnsi="Book Antiqua" w:cs="Times New Roman"/>
          <w:sz w:val="24"/>
          <w:szCs w:val="24"/>
          <w:lang w:val="lt-LT"/>
        </w:rPr>
        <w:fldChar w:fldCharType="begin" w:fldLock="1"/>
      </w:r>
      <w:r w:rsidR="001867B4" w:rsidRPr="000C178D">
        <w:rPr>
          <w:rFonts w:ascii="Book Antiqua" w:hAnsi="Book Antiqua" w:cs="Times New Roman"/>
          <w:sz w:val="24"/>
          <w:szCs w:val="24"/>
          <w:lang w:val="lt-LT"/>
        </w:rPr>
        <w:instrText>ADDIN CSL_CITATION {"citationItems":[{"id":"ITEM-1","itemData":{"DOI":"10.1016/j.ejim.2015.09.022","ISSN":"09536205","abstract":"IgG4-related disease (IgG4-RD) is a recently recognized chronic fibrotic inflammation, which can affect almost every organ, and may come to clinical attention first due to visible organ swelling or organ dysfunction, or is identified incidentally by imaging and specific biopsy. The disorder has an allergic background and is immune-mediated. Up-regulated responses of T helper 2 and T regulatory cells and their cytokines play a major role in disease progression. About 30-50% of patients are atopic or have mild eosinophilia. IgG4-RD predominantly affects middle-aged male patients. The cornerstones of diagnosis of the disease are compatible clinical features and typical histopathology. Swelling of salivary and lacrimal glands, lymphadenopathy, and type 1 autoimmune pancreatitis (AIP) are the most common manifestations of the disease. However, other tissues and organs, such as retroperitoneum, lung, kidney, aorta, upper airways, thyroid gland, meninges, heart, mesenterium and skin may be involved. Typical histopathology is lymphoplasmacytic infiltration abundant in IgG4-positive plasma cells, storiform-type fibrosis, and obliterative phlebitis. Elevated serum IgG4 concentration supports the diagnosis. Characteristic imaging features such as a »capsule-like rim» surrounding the pancreatic lesions is highly specific to type 1 AIP. 18F-fluorodeoxyglucose positron emission tomography/computed tomography enables mapping the sites of inflammation, permits evaluation of the extent of the disease, helps in guiding biopsy decision, and may be used in monitoring response to treatment. Glucocorticoids alone or in combination with B-cell depletion with rituximab induces prompt clinical response to IgG4-RD. This article reviews the current understanding, different clinical manifestations, and approaches to diagnosis and treatment of IgG4-RD.","author":[{"dropping-particle":"","family":"Vasaitis","given":"Lilian","non-dropping-particle":"","parse-names":false,"suffix":""}],"container-title":"European Journal of Internal Medicine","id":"ITEM-1","issued":{"date-parts":[["2016","1"]]},"page":"1-9","title":"IgG4-related disease: A relatively new concept for clinicians","type":"article-journal","volume":"27"},"uris":["http://www.mendeley.com/documents/?uuid=ca0ef16d-e19e-3fea-b5e5-d9d2dada3243"]},{"id":"ITEM-2","itemData":{"DOI":"10.1097/BOR.0b013e3283413011","ISSN":"10408711","abstract":"Purpose of review: An enlarged salivary gland or lacrimal gland raises a wide differential diagnosis that includes both benign inflammatory conditions and malignant disorders. This review aims to address the numerous controversies that have arisen regarding inflammatory diseases of the salivary gland over the past two centuries and more specifically address the relevance of IgG4 in this setting. Recent findings: A significant percentage of cases previously classified as Mikulicz disease, Küttner tumor, and orbital pseudotumor (idiopathic orbital inflammation) show elevated numbers of IgG4-positive plasma cells, and some of these cases also show elevated levels of serum IgG4. These data support the evolving concept of IgG4-associated sialadenitis/dacroadenitis. The disease presents with enlargement of one of more salivary gland(s) and/or lacrimal gland(s). Histologically this disease is characterized by a dense polyclonal lymphoplasmacytic infiltrate, and is frequently associated with germinal centers, fibrosis and obliterative phlebitis. IgG4-bearing plasma cells are virtually always present, as is an elevated ratio of IgG4 to IgG containing plasma cells. Summary: IgG4-related sialadenitis belongs to the IgG4-related systemic disease spectrum and shows a swift response to immunosuppression. © 2011 Wolters Kluwer Health | Lippincott Williams &amp; Wilkins.","author":[{"dropping-particle":"","family":"Geyer","given":"Julia T.","non-dropping-particle":"","parse-names":false,"suffix":""},{"dropping-particle":"","family":"Deshpande","given":"Vikram","non-dropping-particle":"","parse-names":false,"suffix":""}],"container-title":"Current Opinion in Rheumatology","id":"ITEM-2","issue":"1","issued":{"date-parts":[["2011","1"]]},"page":"95-101","title":"IgG4-associated sialadenitis","type":"article-journal","volume":"23"},"uris":["http://www.mendeley.com/documents/?uuid=b04787e4-3491-339a-bc4d-c962ddbbe6d1"]},{"id":"ITEM-3","itemData":{"DOI":"10.1053/j.gastro.2018.06.082","ISSN":"15280012","abstract":"IgG4-related disease (IgG4-RD) is a chronic relapsing multi-organ fibro-inflammatory syndrome of presumed autoimmune etiology. It is characterized by increased serum levels of IgG4 and tissue infiltration by IgG4+ cells. Increased titers of autoantibodies against a spectrum of self-antigens and response to steroids have led to its characterization as an autoimmune disease. However, the pathognomonic antigens probably differ among manifestations, and different antigens or autoantibodies produce similar immune reactions in different organs. Little is known about the pathogenic effects, if any, of serum IgG4 or IgG4+ plasma cells in tissues. Despite several animal models of the disease, none truly recapitulates human IgG4-RD. Histologic analyses of tissues from patients with IgG4-RD reveal a dense lymphoplasmacytic infiltrate rich in IgG4+ plasma cells, storiform fibrosis, and obliterative phlebitis, although these features vary among organs. Typical presentation and imaging findings include mass-forming synchronous or metachronous lesions in almost any organ, but most commonly in the pancreas, bile duct, retroperitoneum, kidneys, lungs, salivary and lacrimal glands, orbit, and lymph nodes. In all organs, inflammation can be reduced by corticosteroids and drugs that deplete B cells, such as rituximab. Patients with IgG4-RD have relapses that respond to primary therapy. Intense fibrosis accompanies the inflammatory response, leading to permanent organ damage and insufficiency. Death from IgG4-RD is rare. IgG4-RD is a multi-organ disease with predominant pancreatico-biliary involvement. Despite its relapsing–remitting course, patients have an excellent prognosis.","author":[{"dropping-particle":"","family":"Miyabe","given":"Katsuyuki","non-dropping-particle":"","parse-names":false,"suffix":""},{"dropping-particle":"","family":"Zen","given":"Yoh","non-dropping-particle":"","parse-names":false,"suffix":""},{"dropping-particle":"","family":"Cornell","given":"Lynn D.","non-dropping-particle":"","parse-names":false,"suffix":""},{"dropping-particle":"","family":"Rajagopalan","given":"Govindarajan","non-dropping-particle":"","parse-names":false,"suffix":""},{"dropping-particle":"","family":"Chowdhary","given":"Vaidehi R.","non-dropping-particle":"","parse-names":false,"suffix":""},{"dropping-particle":"","family":"Roberts","given":"Lewis R.","non-dropping-particle":"","parse-names":false,"suffix":""},{"dropping-particle":"","family":"Chari","given":"Suresh T.","non-dropping-particle":"","parse-names":false,"suffix":""}],"container-title":"Gastroenterology","id":"ITEM-3","issue":"4","issued":{"date-parts":[["2018"]]},"page":"990-1003.e1","publisher":"Elsevier, Inc","title":"Gastrointestinal and Extra-Intestinal Manifestations of IgG4–Related Disease","type":"article-journal","volume":"155"},"uris":["http://www.mendeley.com/documents/?uuid=54bfed4a-66dc-4bc2-9ebf-922dd5c760a3"]}],"mendeley":{"formattedCitation":"&lt;sup&gt;2,4,23&lt;/sup&gt;","plainTextFormattedCitation":"2,4,23","previouslyFormattedCitation":"[2,4,23]"},"properties":{"noteIndex":0},"schema":"https://github.com/citation-style-language/schema/raw/master/csl-citation.json"}</w:instrText>
      </w:r>
      <w:r w:rsidRPr="000C178D">
        <w:rPr>
          <w:rFonts w:ascii="Book Antiqua" w:hAnsi="Book Antiqua" w:cs="Times New Roman"/>
          <w:sz w:val="24"/>
          <w:szCs w:val="24"/>
          <w:lang w:val="lt-LT"/>
        </w:rPr>
        <w:fldChar w:fldCharType="separate"/>
      </w:r>
      <w:r w:rsidR="001867B4" w:rsidRPr="000C178D">
        <w:rPr>
          <w:rFonts w:ascii="Book Antiqua" w:hAnsi="Book Antiqua" w:cs="Times New Roman"/>
          <w:noProof/>
          <w:sz w:val="24"/>
          <w:szCs w:val="24"/>
          <w:vertAlign w:val="superscript"/>
          <w:lang w:val="lt-LT"/>
        </w:rPr>
        <w:t>2,4,23</w:t>
      </w:r>
      <w:r w:rsidRPr="000C178D">
        <w:rPr>
          <w:rFonts w:ascii="Book Antiqua" w:hAnsi="Book Antiqua" w:cs="Times New Roman"/>
          <w:sz w:val="24"/>
          <w:szCs w:val="24"/>
          <w:lang w:val="lt-LT"/>
        </w:rPr>
        <w:fldChar w:fldCharType="end"/>
      </w:r>
      <w:r w:rsidR="00F13746" w:rsidRPr="000C178D">
        <w:rPr>
          <w:rFonts w:ascii="Book Antiqua" w:hAnsi="Book Antiqua" w:cs="Times New Roman"/>
          <w:sz w:val="24"/>
          <w:szCs w:val="24"/>
          <w:vertAlign w:val="superscript"/>
          <w:lang w:val="lt-LT"/>
        </w:rPr>
        <w:t>]</w:t>
      </w:r>
      <w:r w:rsidRPr="000C178D">
        <w:rPr>
          <w:rFonts w:ascii="Book Antiqua" w:hAnsi="Book Antiqua" w:cs="Times New Roman"/>
          <w:sz w:val="24"/>
          <w:szCs w:val="24"/>
        </w:rPr>
        <w:t xml:space="preserve">. In </w:t>
      </w:r>
      <w:r w:rsidRPr="000C178D">
        <w:rPr>
          <w:rFonts w:ascii="Book Antiqua" w:hAnsi="Book Antiqua" w:cs="Times New Roman"/>
          <w:color w:val="000000" w:themeColor="text1"/>
          <w:sz w:val="24"/>
          <w:szCs w:val="24"/>
        </w:rPr>
        <w:t xml:space="preserve">our case, the enlargement of submandibular and parotid </w:t>
      </w:r>
      <w:r w:rsidR="009D78FB" w:rsidRPr="000C178D">
        <w:rPr>
          <w:rFonts w:ascii="Book Antiqua" w:hAnsi="Book Antiqua" w:cs="Times New Roman"/>
          <w:color w:val="000000" w:themeColor="text1"/>
          <w:sz w:val="24"/>
          <w:szCs w:val="24"/>
        </w:rPr>
        <w:t xml:space="preserve">salivary </w:t>
      </w:r>
      <w:r w:rsidRPr="000C178D">
        <w:rPr>
          <w:rFonts w:ascii="Book Antiqua" w:hAnsi="Book Antiqua" w:cs="Times New Roman"/>
          <w:color w:val="000000" w:themeColor="text1"/>
          <w:sz w:val="24"/>
          <w:szCs w:val="24"/>
        </w:rPr>
        <w:t>glands accompanied by AIP, orbital myositis</w:t>
      </w:r>
      <w:r w:rsidRPr="000C178D">
        <w:rPr>
          <w:rFonts w:ascii="Book Antiqua" w:hAnsi="Book Antiqua"/>
          <w:color w:val="000000" w:themeColor="text1"/>
          <w:sz w:val="24"/>
          <w:szCs w:val="24"/>
        </w:rPr>
        <w:t>,</w:t>
      </w:r>
      <w:r w:rsidRPr="000C178D">
        <w:rPr>
          <w:rFonts w:ascii="Book Antiqua" w:hAnsi="Book Antiqua" w:cs="Times New Roman"/>
          <w:color w:val="000000" w:themeColor="text1"/>
          <w:sz w:val="24"/>
          <w:szCs w:val="24"/>
        </w:rPr>
        <w:t xml:space="preserve"> as well as the previous diagnosis of thyroiditis, were the key symptoms for suspecting the IgG4-RD and leading clinicians out of the woods (</w:t>
      </w:r>
      <w:hyperlink w:anchor="Figure6" w:history="1">
        <w:r w:rsidRPr="000C178D">
          <w:rPr>
            <w:rStyle w:val="a4"/>
            <w:rFonts w:ascii="Book Antiqua" w:hAnsi="Book Antiqua" w:cs="Times New Roman"/>
            <w:color w:val="000000" w:themeColor="text1"/>
            <w:sz w:val="24"/>
            <w:szCs w:val="24"/>
            <w:u w:val="none"/>
          </w:rPr>
          <w:t>Figure 6</w:t>
        </w:r>
      </w:hyperlink>
      <w:r w:rsidRPr="000C178D">
        <w:rPr>
          <w:rFonts w:ascii="Book Antiqua" w:hAnsi="Book Antiqua" w:cs="Times New Roman"/>
          <w:color w:val="000000" w:themeColor="text1"/>
          <w:sz w:val="24"/>
          <w:szCs w:val="24"/>
        </w:rPr>
        <w:t xml:space="preserve">). </w:t>
      </w:r>
      <w:r w:rsidR="00210965" w:rsidRPr="000C178D">
        <w:rPr>
          <w:rFonts w:ascii="Book Antiqua" w:hAnsi="Book Antiqua" w:cs="Times New Roman"/>
          <w:color w:val="000000" w:themeColor="text1"/>
          <w:sz w:val="24"/>
          <w:szCs w:val="24"/>
        </w:rPr>
        <w:t xml:space="preserve">As we confirmed the diagnosis of </w:t>
      </w:r>
      <w:r w:rsidR="002B2BF9" w:rsidRPr="000C178D">
        <w:rPr>
          <w:rFonts w:ascii="Book Antiqua" w:hAnsi="Book Antiqua" w:cs="Times New Roman"/>
          <w:color w:val="000000" w:themeColor="text1"/>
          <w:sz w:val="24"/>
          <w:szCs w:val="24"/>
        </w:rPr>
        <w:t>I</w:t>
      </w:r>
      <w:r w:rsidR="00210965" w:rsidRPr="000C178D">
        <w:rPr>
          <w:rFonts w:ascii="Book Antiqua" w:hAnsi="Book Antiqua" w:cs="Times New Roman"/>
          <w:color w:val="000000" w:themeColor="text1"/>
          <w:sz w:val="24"/>
          <w:szCs w:val="24"/>
        </w:rPr>
        <w:t>gG4-RD, it was the</w:t>
      </w:r>
      <w:r w:rsidR="002B2BF9" w:rsidRPr="000C178D">
        <w:rPr>
          <w:rFonts w:ascii="Book Antiqua" w:hAnsi="Book Antiqua" w:cs="Times New Roman"/>
          <w:color w:val="000000" w:themeColor="text1"/>
          <w:sz w:val="24"/>
          <w:szCs w:val="24"/>
        </w:rPr>
        <w:t>n</w:t>
      </w:r>
      <w:r w:rsidR="00210965" w:rsidRPr="000C178D">
        <w:rPr>
          <w:rFonts w:ascii="Book Antiqua" w:hAnsi="Book Antiqua" w:cs="Times New Roman"/>
          <w:color w:val="000000" w:themeColor="text1"/>
          <w:sz w:val="24"/>
          <w:szCs w:val="24"/>
        </w:rPr>
        <w:t xml:space="preserve"> considered thoroughly on the final </w:t>
      </w:r>
      <w:r w:rsidR="00B219C5" w:rsidRPr="000C178D">
        <w:rPr>
          <w:rFonts w:ascii="Book Antiqua" w:hAnsi="Book Antiqua" w:cs="Times New Roman"/>
          <w:color w:val="000000" w:themeColor="text1"/>
          <w:sz w:val="24"/>
          <w:szCs w:val="24"/>
        </w:rPr>
        <w:t>determination of</w:t>
      </w:r>
      <w:r w:rsidR="00210965" w:rsidRPr="000C178D">
        <w:rPr>
          <w:rFonts w:ascii="Book Antiqua" w:hAnsi="Book Antiqua" w:cs="Times New Roman"/>
          <w:color w:val="000000" w:themeColor="text1"/>
          <w:sz w:val="24"/>
          <w:szCs w:val="24"/>
        </w:rPr>
        <w:t xml:space="preserve"> affected organs. The main questionable </w:t>
      </w:r>
      <w:r w:rsidR="009D78FB" w:rsidRPr="000C178D">
        <w:rPr>
          <w:rFonts w:ascii="Book Antiqua" w:hAnsi="Book Antiqua" w:cs="Times New Roman"/>
          <w:color w:val="000000" w:themeColor="text1"/>
          <w:sz w:val="24"/>
          <w:szCs w:val="24"/>
        </w:rPr>
        <w:t>issues</w:t>
      </w:r>
      <w:r w:rsidR="00210965" w:rsidRPr="000C178D">
        <w:rPr>
          <w:rFonts w:ascii="Book Antiqua" w:hAnsi="Book Antiqua" w:cs="Times New Roman"/>
          <w:color w:val="000000" w:themeColor="text1"/>
          <w:sz w:val="24"/>
          <w:szCs w:val="24"/>
        </w:rPr>
        <w:t xml:space="preserve"> were pulmonary and </w:t>
      </w:r>
      <w:r w:rsidR="002B2BF9" w:rsidRPr="000C178D">
        <w:rPr>
          <w:rFonts w:ascii="Book Antiqua" w:hAnsi="Book Antiqua" w:cs="Times New Roman"/>
          <w:color w:val="000000" w:themeColor="text1"/>
          <w:sz w:val="24"/>
          <w:szCs w:val="24"/>
        </w:rPr>
        <w:t>urogenital</w:t>
      </w:r>
      <w:r w:rsidR="00210965" w:rsidRPr="000C178D">
        <w:rPr>
          <w:rFonts w:ascii="Book Antiqua" w:hAnsi="Book Antiqua" w:cs="Times New Roman"/>
          <w:color w:val="000000" w:themeColor="text1"/>
          <w:sz w:val="24"/>
          <w:szCs w:val="24"/>
        </w:rPr>
        <w:t xml:space="preserve"> involvement.</w:t>
      </w:r>
      <w:r w:rsidR="002B2BF9" w:rsidRPr="000C178D">
        <w:rPr>
          <w:rFonts w:ascii="Book Antiqua" w:hAnsi="Book Antiqua" w:cs="Times New Roman"/>
          <w:color w:val="000000" w:themeColor="text1"/>
          <w:sz w:val="24"/>
          <w:szCs w:val="24"/>
        </w:rPr>
        <w:t xml:space="preserve"> </w:t>
      </w:r>
      <w:r w:rsidR="00210965" w:rsidRPr="000C178D">
        <w:rPr>
          <w:rFonts w:ascii="Book Antiqua" w:hAnsi="Book Antiqua" w:cs="Times New Roman"/>
          <w:sz w:val="24"/>
          <w:szCs w:val="24"/>
          <w:lang w:val="lt-LT"/>
        </w:rPr>
        <w:t>It was discussed whether the patient</w:t>
      </w:r>
      <w:r w:rsidR="00F80C8F" w:rsidRPr="000C178D">
        <w:rPr>
          <w:rFonts w:ascii="Book Antiqua" w:hAnsi="Book Antiqua" w:cs="Times New Roman"/>
          <w:sz w:val="24"/>
          <w:szCs w:val="24"/>
          <w:lang w:val="lt-LT"/>
        </w:rPr>
        <w:t>'</w:t>
      </w:r>
      <w:r w:rsidR="00210965" w:rsidRPr="000C178D">
        <w:rPr>
          <w:rFonts w:ascii="Book Antiqua" w:hAnsi="Book Antiqua" w:cs="Times New Roman"/>
          <w:sz w:val="24"/>
          <w:szCs w:val="24"/>
          <w:lang w:val="lt-LT"/>
        </w:rPr>
        <w:t>s asthma is not a pulmonary involvement of IgG4-RD.</w:t>
      </w:r>
      <w:r w:rsidR="002B2BF9" w:rsidRPr="000C178D">
        <w:rPr>
          <w:rFonts w:ascii="Book Antiqua" w:hAnsi="Book Antiqua" w:cs="Times New Roman"/>
          <w:sz w:val="24"/>
          <w:szCs w:val="24"/>
          <w:lang w:val="lt-LT"/>
        </w:rPr>
        <w:t xml:space="preserve"> </w:t>
      </w:r>
      <w:r w:rsidR="00A022ED" w:rsidRPr="000C178D">
        <w:rPr>
          <w:rFonts w:ascii="Book Antiqua" w:hAnsi="Book Antiqua" w:cs="Times New Roman"/>
          <w:color w:val="000000" w:themeColor="text1"/>
          <w:sz w:val="24"/>
          <w:szCs w:val="24"/>
        </w:rPr>
        <w:t xml:space="preserve">According to the literature, </w:t>
      </w:r>
      <w:r w:rsidR="00D30DDE" w:rsidRPr="000C178D">
        <w:rPr>
          <w:rFonts w:ascii="Book Antiqua" w:hAnsi="Book Antiqua" w:cs="Times New Roman"/>
          <w:color w:val="000000" w:themeColor="text1"/>
          <w:sz w:val="24"/>
          <w:szCs w:val="24"/>
        </w:rPr>
        <w:t>asthma might be both, a part of pulmonary involvement and atopic process as well</w:t>
      </w:r>
      <w:r w:rsidR="00F13746" w:rsidRPr="000C178D">
        <w:rPr>
          <w:rFonts w:ascii="Book Antiqua" w:hAnsi="Book Antiqua" w:cs="Times New Roman"/>
          <w:color w:val="000000" w:themeColor="text1"/>
          <w:sz w:val="24"/>
          <w:szCs w:val="24"/>
          <w:vertAlign w:val="superscript"/>
        </w:rPr>
        <w:t>[</w:t>
      </w:r>
      <w:r w:rsidR="00D30DDE" w:rsidRPr="000C178D">
        <w:rPr>
          <w:rFonts w:ascii="Book Antiqua" w:hAnsi="Book Antiqua" w:cs="Times New Roman"/>
          <w:color w:val="000000" w:themeColor="text1"/>
          <w:sz w:val="24"/>
          <w:szCs w:val="24"/>
        </w:rPr>
        <w:fldChar w:fldCharType="begin" w:fldLock="1"/>
      </w:r>
      <w:r w:rsidR="001867B4" w:rsidRPr="000C178D">
        <w:rPr>
          <w:rFonts w:ascii="Book Antiqua" w:hAnsi="Book Antiqua" w:cs="Times New Roman"/>
          <w:color w:val="000000" w:themeColor="text1"/>
          <w:sz w:val="24"/>
          <w:szCs w:val="24"/>
        </w:rPr>
        <w:instrText>ADDIN CSL_CITATION {"citationItems":[{"id":"ITEM-1","itemData":{"DOI":"10.1016/j.autrev.2014.08.013","ISSN":"18730183","abstract":"IgG4-related disease (IgG4-RD) is an emerging immune-mediated disease with the capability of involving essentially any organ. The epidemiology of this disease has not been explored in detail. A majority of patients reported in the literature to date are from Japan, but the condition has been described all across the world and there is no strong evidence to suggest a predilection for Asian populations. The mean age at diagnosis is approximately 60. years and there is a decided male predominance for many clinical features, with an overall male:female ratio of 8:3. A cardinal feature of IgG4-RD is single or multiple organ swelling that often raises concern for malignancy. IgG4-RD should be suspected in patients presenting with unexplained enlargement or swelling of one or more organs. Presenting features vary substantially according to the specialty to which patients present first; in addition, the disease can be diagnosed unexpectedly in pathological specimens or identified incidentally on radiology studies. Involvement of major organs is common and IgG4-RD may lead to organ failure, particularly in the pancreas, liver and biliary tree, kidneys, thyroid gland, lungs, and aorta. The diagnosis of IgG4-RD relies on the coexistence of various clinical, laboratory and histopathological findings, although none is pathognomonic by itself.","author":[{"dropping-particle":"","family":"Brito-Zerón","given":"Pilar","non-dropping-particle":"","parse-names":false,"suffix":""},{"dropping-particle":"","family":"Ramos-Casals","given":"Manuel","non-dropping-particle":"","parse-names":false,"suffix":""},{"dropping-particle":"","family":"Bosch","given":"Xavier","non-dropping-particle":"","parse-names":false,"suffix":""},{"dropping-particle":"","family":"Stone","given":"John H.","non-dropping-particle":"","parse-names":false,"suffix":""}],"container-title":"Autoimmunity Reviews","id":"ITEM-1","issue":"12","issued":{"date-parts":[["2014"]]},"page":"1203-1210","publisher":"Elsevier B.V.","title":"The clinical spectrum of IgG4-related disease","type":"article-journal","volume":"13"},"uris":["http://www.mendeley.com/documents/?uuid=d97bc05d-1ccd-4c25-bccc-dde6547692f1"]}],"mendeley":{"formattedCitation":"&lt;sup&gt;8&lt;/sup&gt;","plainTextFormattedCitation":"8","previouslyFormattedCitation":"[8]"},"properties":{"noteIndex":0},"schema":"https://github.com/citation-style-language/schema/raw/master/csl-citation.json"}</w:instrText>
      </w:r>
      <w:r w:rsidR="00D30DDE" w:rsidRPr="000C178D">
        <w:rPr>
          <w:rFonts w:ascii="Book Antiqua" w:hAnsi="Book Antiqua" w:cs="Times New Roman"/>
          <w:color w:val="000000" w:themeColor="text1"/>
          <w:sz w:val="24"/>
          <w:szCs w:val="24"/>
        </w:rPr>
        <w:fldChar w:fldCharType="separate"/>
      </w:r>
      <w:r w:rsidR="001867B4" w:rsidRPr="000C178D">
        <w:rPr>
          <w:rFonts w:ascii="Book Antiqua" w:hAnsi="Book Antiqua" w:cs="Times New Roman"/>
          <w:noProof/>
          <w:color w:val="000000" w:themeColor="text1"/>
          <w:sz w:val="24"/>
          <w:szCs w:val="24"/>
          <w:vertAlign w:val="superscript"/>
        </w:rPr>
        <w:t>8</w:t>
      </w:r>
      <w:r w:rsidR="00D30DDE" w:rsidRPr="000C178D">
        <w:rPr>
          <w:rFonts w:ascii="Book Antiqua" w:hAnsi="Book Antiqua" w:cs="Times New Roman"/>
          <w:color w:val="000000" w:themeColor="text1"/>
          <w:sz w:val="24"/>
          <w:szCs w:val="24"/>
        </w:rPr>
        <w:fldChar w:fldCharType="end"/>
      </w:r>
      <w:r w:rsidR="00F13746" w:rsidRPr="000C178D">
        <w:rPr>
          <w:rFonts w:ascii="Book Antiqua" w:hAnsi="Book Antiqua" w:cs="Times New Roman"/>
          <w:color w:val="000000" w:themeColor="text1"/>
          <w:sz w:val="24"/>
          <w:szCs w:val="24"/>
          <w:vertAlign w:val="superscript"/>
        </w:rPr>
        <w:t>]</w:t>
      </w:r>
      <w:r w:rsidR="00D30DDE" w:rsidRPr="000C178D">
        <w:rPr>
          <w:rFonts w:ascii="Book Antiqua" w:hAnsi="Book Antiqua" w:cs="Times New Roman"/>
          <w:color w:val="000000" w:themeColor="text1"/>
          <w:sz w:val="24"/>
          <w:szCs w:val="24"/>
        </w:rPr>
        <w:t xml:space="preserve">. </w:t>
      </w:r>
      <w:r w:rsidR="00B064BD" w:rsidRPr="000C178D">
        <w:rPr>
          <w:rFonts w:ascii="Book Antiqua" w:hAnsi="Book Antiqua" w:cs="Times New Roman"/>
          <w:color w:val="000000" w:themeColor="text1"/>
          <w:sz w:val="24"/>
          <w:szCs w:val="24"/>
        </w:rPr>
        <w:t>A</w:t>
      </w:r>
      <w:r w:rsidR="00D30DDE" w:rsidRPr="000C178D">
        <w:rPr>
          <w:rFonts w:ascii="Book Antiqua" w:hAnsi="Book Antiqua" w:cs="Times New Roman"/>
          <w:color w:val="000000" w:themeColor="text1"/>
          <w:sz w:val="24"/>
          <w:szCs w:val="24"/>
        </w:rPr>
        <w:t xml:space="preserve"> history of atopic disease</w:t>
      </w:r>
      <w:r w:rsidR="002B2BF9" w:rsidRPr="000C178D">
        <w:rPr>
          <w:rFonts w:ascii="Book Antiqua" w:hAnsi="Book Antiqua" w:cs="Times New Roman"/>
          <w:color w:val="000000" w:themeColor="text1"/>
          <w:sz w:val="24"/>
          <w:szCs w:val="24"/>
        </w:rPr>
        <w:t>,</w:t>
      </w:r>
      <w:r w:rsidR="00D30DDE" w:rsidRPr="000C178D">
        <w:rPr>
          <w:rFonts w:ascii="Book Antiqua" w:hAnsi="Book Antiqua" w:cs="Times New Roman"/>
          <w:color w:val="000000" w:themeColor="text1"/>
          <w:sz w:val="24"/>
          <w:szCs w:val="24"/>
        </w:rPr>
        <w:t xml:space="preserve"> including bronchial asthma, allergic rhinitis, nasal polyps, and atopic dermatitis </w:t>
      </w:r>
      <w:r w:rsidR="00B064BD" w:rsidRPr="000C178D">
        <w:rPr>
          <w:rFonts w:ascii="Book Antiqua" w:hAnsi="Book Antiqua" w:cs="Times New Roman"/>
          <w:color w:val="000000" w:themeColor="text1"/>
          <w:sz w:val="24"/>
          <w:szCs w:val="24"/>
        </w:rPr>
        <w:t>were reported in approximately one</w:t>
      </w:r>
      <w:r w:rsidR="002B2BF9" w:rsidRPr="000C178D">
        <w:rPr>
          <w:rFonts w:ascii="Book Antiqua" w:hAnsi="Book Antiqua" w:cs="Times New Roman"/>
          <w:color w:val="000000" w:themeColor="text1"/>
          <w:sz w:val="24"/>
          <w:szCs w:val="24"/>
        </w:rPr>
        <w:t>-</w:t>
      </w:r>
      <w:r w:rsidR="00B064BD" w:rsidRPr="000C178D">
        <w:rPr>
          <w:rFonts w:ascii="Book Antiqua" w:hAnsi="Book Antiqua" w:cs="Times New Roman"/>
          <w:color w:val="000000" w:themeColor="text1"/>
          <w:sz w:val="24"/>
          <w:szCs w:val="24"/>
        </w:rPr>
        <w:t>third of IgG4-RD patients</w:t>
      </w:r>
      <w:r w:rsidR="00F13746" w:rsidRPr="000C178D">
        <w:rPr>
          <w:rFonts w:ascii="Book Antiqua" w:hAnsi="Book Antiqua" w:cs="Times New Roman"/>
          <w:color w:val="000000" w:themeColor="text1"/>
          <w:sz w:val="24"/>
          <w:szCs w:val="24"/>
          <w:vertAlign w:val="superscript"/>
        </w:rPr>
        <w:t>[</w:t>
      </w:r>
      <w:r w:rsidR="00B064BD" w:rsidRPr="000C178D">
        <w:rPr>
          <w:rFonts w:ascii="Book Antiqua" w:hAnsi="Book Antiqua" w:cs="Times New Roman"/>
          <w:color w:val="000000" w:themeColor="text1"/>
          <w:sz w:val="24"/>
          <w:szCs w:val="24"/>
        </w:rPr>
        <w:fldChar w:fldCharType="begin" w:fldLock="1"/>
      </w:r>
      <w:r w:rsidR="001867B4" w:rsidRPr="000C178D">
        <w:rPr>
          <w:rFonts w:ascii="Book Antiqua" w:hAnsi="Book Antiqua" w:cs="Times New Roman"/>
          <w:color w:val="000000" w:themeColor="text1"/>
          <w:sz w:val="24"/>
          <w:szCs w:val="24"/>
        </w:rPr>
        <w:instrText>ADDIN CSL_CITATION {"citationItems":[{"id":"ITEM-1","itemData":{"DOI":"10.1111/all.12320","ISSN":"01054538","abstract":"IgG4-related disease (IgG4-RD) is a fibroinflammatory disorder that can affect virtually every organ system. T-helper type 2 responses have been presumed to be pathogenic in this disease, and a high proportion of patients with IgG4-RD are reported to have longstanding allergies, peripheral blood eosinophilia, and serum IgE elevation. It has therefore been proposed that allergic mechanisms drive IgG4-RD. However, no epidemiological assessment of atopy, peripheral blood eosinophilia, and serum IgE concentrations has ever been undertaken in patients with IgG4-RD. In this study, we evaluated these parameters in a large cohort of patients with IgG4-RD in whom a wide range of organs were affected by disease. Our results demonstrate that the majority of patients with IgG4-RD are nonatopic. Nevertheless, a subset of nonatopic subjects exhibit peripheral blood eosinophilia and elevated IgE, suggesting that processes inherent to IgG4-RD itself rather than atopy per se contribute to the eosinophilia and IgE elevation observed in the absence of atopy. © 2013 John Wiley &amp; Sons A/S. Published by John Wiley &amp; Sons Ltd.","author":[{"dropping-particle":"","family":"Torre","given":"E.","non-dropping-particle":"Della","parse-names":false,"suffix":""},{"dropping-particle":"","family":"Mattoo","given":"H.","non-dropping-particle":"","parse-names":false,"suffix":""},{"dropping-particle":"","family":"Mahajan","given":"V. S.","non-dropping-particle":"","parse-names":false,"suffix":""},{"dropping-particle":"","family":"Carruthers","given":"M.","non-dropping-particle":"","parse-names":false,"suffix":""},{"dropping-particle":"","family":"Pillai","given":"S.","non-dropping-particle":"","parse-names":false,"suffix":""},{"dropping-particle":"","family":"Stone","given":"J. H.","non-dropping-particle":"","parse-names":false,"suffix":""}],"container-title":"Allergy","id":"ITEM-1","issue":"2","issued":{"date-parts":[["2014","2","1"]]},"page":"269-272","publisher":"John Wiley &amp; Sons, Ltd","title":"Prevalence of atopy, eosinophilia, and IgE elevation in IgG4-related disease","type":"article-journal","volume":"69"},"uris":["http://www.mendeley.com/documents/?uuid=cf60f740-257b-3523-87f1-dfd3f756a09d"]}],"mendeley":{"formattedCitation":"&lt;sup&gt;24&lt;/sup&gt;","plainTextFormattedCitation":"24","previouslyFormattedCitation":"[24]"},"properties":{"noteIndex":0},"schema":"https://github.com/citation-style-language/schema/raw/master/csl-citation.json"}</w:instrText>
      </w:r>
      <w:r w:rsidR="00B064BD" w:rsidRPr="000C178D">
        <w:rPr>
          <w:rFonts w:ascii="Book Antiqua" w:hAnsi="Book Antiqua" w:cs="Times New Roman"/>
          <w:color w:val="000000" w:themeColor="text1"/>
          <w:sz w:val="24"/>
          <w:szCs w:val="24"/>
        </w:rPr>
        <w:fldChar w:fldCharType="separate"/>
      </w:r>
      <w:r w:rsidR="001867B4" w:rsidRPr="000C178D">
        <w:rPr>
          <w:rFonts w:ascii="Book Antiqua" w:hAnsi="Book Antiqua" w:cs="Times New Roman"/>
          <w:noProof/>
          <w:color w:val="000000" w:themeColor="text1"/>
          <w:sz w:val="24"/>
          <w:szCs w:val="24"/>
          <w:vertAlign w:val="superscript"/>
        </w:rPr>
        <w:t>24</w:t>
      </w:r>
      <w:r w:rsidR="00B064BD" w:rsidRPr="000C178D">
        <w:rPr>
          <w:rFonts w:ascii="Book Antiqua" w:hAnsi="Book Antiqua" w:cs="Times New Roman"/>
          <w:color w:val="000000" w:themeColor="text1"/>
          <w:sz w:val="24"/>
          <w:szCs w:val="24"/>
        </w:rPr>
        <w:fldChar w:fldCharType="end"/>
      </w:r>
      <w:r w:rsidR="00F13746" w:rsidRPr="000C178D">
        <w:rPr>
          <w:rFonts w:ascii="Book Antiqua" w:hAnsi="Book Antiqua" w:cs="Times New Roman"/>
          <w:color w:val="000000" w:themeColor="text1"/>
          <w:sz w:val="24"/>
          <w:szCs w:val="24"/>
          <w:vertAlign w:val="superscript"/>
        </w:rPr>
        <w:t>]</w:t>
      </w:r>
      <w:r w:rsidR="002B2BF9" w:rsidRPr="000C178D">
        <w:rPr>
          <w:rFonts w:ascii="Book Antiqua" w:hAnsi="Book Antiqua" w:cs="Times New Roman"/>
          <w:color w:val="000000" w:themeColor="text1"/>
          <w:sz w:val="24"/>
          <w:szCs w:val="24"/>
        </w:rPr>
        <w:t xml:space="preserve">. </w:t>
      </w:r>
      <w:r w:rsidR="00B064BD" w:rsidRPr="000C178D">
        <w:rPr>
          <w:rFonts w:ascii="Book Antiqua" w:hAnsi="Book Antiqua" w:cs="Times New Roman"/>
          <w:color w:val="000000" w:themeColor="text1"/>
          <w:sz w:val="24"/>
          <w:szCs w:val="24"/>
        </w:rPr>
        <w:t>T</w:t>
      </w:r>
      <w:r w:rsidR="00A022ED" w:rsidRPr="000C178D">
        <w:rPr>
          <w:rFonts w:ascii="Book Antiqua" w:hAnsi="Book Antiqua" w:cs="Times New Roman"/>
          <w:color w:val="000000" w:themeColor="text1"/>
          <w:sz w:val="24"/>
          <w:szCs w:val="24"/>
        </w:rPr>
        <w:t xml:space="preserve">he </w:t>
      </w:r>
      <w:r w:rsidR="00B1609D" w:rsidRPr="000C178D">
        <w:rPr>
          <w:rFonts w:ascii="Book Antiqua" w:hAnsi="Book Antiqua" w:cs="Times New Roman"/>
          <w:color w:val="000000" w:themeColor="text1"/>
          <w:sz w:val="24"/>
          <w:szCs w:val="24"/>
        </w:rPr>
        <w:t>pulmonary involvement of</w:t>
      </w:r>
      <w:r w:rsidR="00A022ED" w:rsidRPr="000C178D">
        <w:rPr>
          <w:rFonts w:ascii="Book Antiqua" w:hAnsi="Book Antiqua" w:cs="Times New Roman"/>
          <w:color w:val="000000" w:themeColor="text1"/>
          <w:sz w:val="24"/>
          <w:szCs w:val="24"/>
        </w:rPr>
        <w:t xml:space="preserve"> IgG4-RD</w:t>
      </w:r>
      <w:r w:rsidR="00B064BD" w:rsidRPr="000C178D">
        <w:rPr>
          <w:rFonts w:ascii="Book Antiqua" w:hAnsi="Book Antiqua" w:cs="Times New Roman"/>
          <w:color w:val="000000" w:themeColor="text1"/>
          <w:sz w:val="24"/>
          <w:szCs w:val="24"/>
        </w:rPr>
        <w:t xml:space="preserve"> </w:t>
      </w:r>
      <w:r w:rsidR="002B2BF9" w:rsidRPr="000C178D">
        <w:rPr>
          <w:rFonts w:ascii="Book Antiqua" w:hAnsi="Book Antiqua" w:cs="Times New Roman"/>
          <w:color w:val="000000" w:themeColor="text1"/>
          <w:sz w:val="24"/>
          <w:szCs w:val="24"/>
        </w:rPr>
        <w:t>usually</w:t>
      </w:r>
      <w:r w:rsidR="00B064BD" w:rsidRPr="000C178D">
        <w:rPr>
          <w:rFonts w:ascii="Book Antiqua" w:hAnsi="Book Antiqua" w:cs="Times New Roman"/>
          <w:color w:val="000000" w:themeColor="text1"/>
          <w:sz w:val="24"/>
          <w:szCs w:val="24"/>
        </w:rPr>
        <w:t xml:space="preserve"> manifests as </w:t>
      </w:r>
      <w:r w:rsidR="00D30DDE" w:rsidRPr="000C178D">
        <w:rPr>
          <w:rFonts w:ascii="Book Antiqua" w:hAnsi="Book Antiqua" w:cs="Times New Roman"/>
          <w:color w:val="000000" w:themeColor="text1"/>
          <w:sz w:val="24"/>
          <w:szCs w:val="24"/>
        </w:rPr>
        <w:t>adult-onset</w:t>
      </w:r>
      <w:r w:rsidR="00B1609D" w:rsidRPr="000C178D">
        <w:rPr>
          <w:rFonts w:ascii="Book Antiqua" w:hAnsi="Book Antiqua" w:cs="Times New Roman"/>
          <w:color w:val="000000" w:themeColor="text1"/>
          <w:sz w:val="24"/>
          <w:szCs w:val="24"/>
        </w:rPr>
        <w:t>,</w:t>
      </w:r>
      <w:r w:rsidR="00D30DDE" w:rsidRPr="000C178D">
        <w:rPr>
          <w:rFonts w:ascii="Book Antiqua" w:hAnsi="Book Antiqua" w:cs="Times New Roman"/>
          <w:color w:val="000000" w:themeColor="text1"/>
          <w:sz w:val="24"/>
          <w:szCs w:val="24"/>
        </w:rPr>
        <w:t xml:space="preserve"> </w:t>
      </w:r>
      <w:r w:rsidR="00A022ED" w:rsidRPr="000C178D">
        <w:rPr>
          <w:rFonts w:ascii="Book Antiqua" w:hAnsi="Book Antiqua" w:cs="Times New Roman"/>
          <w:color w:val="000000" w:themeColor="text1"/>
          <w:sz w:val="24"/>
          <w:szCs w:val="24"/>
        </w:rPr>
        <w:t>refractory</w:t>
      </w:r>
      <w:r w:rsidR="00AA134A" w:rsidRPr="000C178D">
        <w:rPr>
          <w:rFonts w:ascii="Book Antiqua" w:hAnsi="Book Antiqua" w:cs="Times New Roman"/>
          <w:color w:val="000000" w:themeColor="text1"/>
          <w:sz w:val="24"/>
          <w:szCs w:val="24"/>
        </w:rPr>
        <w:t xml:space="preserve"> </w:t>
      </w:r>
      <w:r w:rsidR="00B1609D" w:rsidRPr="000C178D">
        <w:rPr>
          <w:rFonts w:ascii="Book Antiqua" w:hAnsi="Book Antiqua" w:cs="Times New Roman"/>
          <w:color w:val="000000" w:themeColor="text1"/>
          <w:sz w:val="24"/>
          <w:szCs w:val="24"/>
        </w:rPr>
        <w:t>and difficult-to-treat</w:t>
      </w:r>
      <w:r w:rsidR="002333AB" w:rsidRPr="000C178D">
        <w:rPr>
          <w:rFonts w:ascii="Book Antiqua" w:hAnsi="Book Antiqua" w:cs="Times New Roman"/>
          <w:color w:val="000000" w:themeColor="text1"/>
          <w:sz w:val="24"/>
          <w:szCs w:val="24"/>
        </w:rPr>
        <w:t xml:space="preserve"> </w:t>
      </w:r>
      <w:r w:rsidR="00B1609D" w:rsidRPr="000C178D">
        <w:rPr>
          <w:rFonts w:ascii="Book Antiqua" w:hAnsi="Book Antiqua" w:cs="Times New Roman"/>
          <w:color w:val="000000" w:themeColor="text1"/>
          <w:sz w:val="24"/>
          <w:szCs w:val="24"/>
        </w:rPr>
        <w:t>ast</w:t>
      </w:r>
      <w:r w:rsidR="002B2BF9" w:rsidRPr="000C178D">
        <w:rPr>
          <w:rFonts w:ascii="Book Antiqua" w:hAnsi="Book Antiqua" w:cs="Times New Roman"/>
          <w:color w:val="000000" w:themeColor="text1"/>
          <w:sz w:val="24"/>
          <w:szCs w:val="24"/>
        </w:rPr>
        <w:t>h</w:t>
      </w:r>
      <w:r w:rsidR="00B1609D" w:rsidRPr="000C178D">
        <w:rPr>
          <w:rFonts w:ascii="Book Antiqua" w:hAnsi="Book Antiqua" w:cs="Times New Roman"/>
          <w:color w:val="000000" w:themeColor="text1"/>
          <w:sz w:val="24"/>
          <w:szCs w:val="24"/>
        </w:rPr>
        <w:t>ma-like symptoms (</w:t>
      </w:r>
      <w:r w:rsidR="00B064BD" w:rsidRPr="000C178D">
        <w:rPr>
          <w:rFonts w:ascii="Book Antiqua" w:hAnsi="Book Antiqua" w:cs="Times New Roman"/>
          <w:color w:val="000000" w:themeColor="text1"/>
          <w:sz w:val="24"/>
          <w:szCs w:val="24"/>
        </w:rPr>
        <w:t>cough or wheezing</w:t>
      </w:r>
      <w:r w:rsidR="00B1609D" w:rsidRPr="000C178D">
        <w:rPr>
          <w:rFonts w:ascii="Book Antiqua" w:hAnsi="Book Antiqua" w:cs="Times New Roman"/>
          <w:color w:val="000000" w:themeColor="text1"/>
          <w:sz w:val="24"/>
          <w:szCs w:val="24"/>
        </w:rPr>
        <w:t>)</w:t>
      </w:r>
      <w:r w:rsidR="00F13746" w:rsidRPr="000C178D">
        <w:rPr>
          <w:rFonts w:ascii="Book Antiqua" w:hAnsi="Book Antiqua" w:cs="Times New Roman"/>
          <w:color w:val="000000" w:themeColor="text1"/>
          <w:sz w:val="24"/>
          <w:szCs w:val="24"/>
          <w:vertAlign w:val="superscript"/>
        </w:rPr>
        <w:t>[</w:t>
      </w:r>
      <w:r w:rsidR="00B1609D" w:rsidRPr="000C178D">
        <w:rPr>
          <w:rFonts w:ascii="Book Antiqua" w:hAnsi="Book Antiqua" w:cs="Times New Roman"/>
          <w:color w:val="000000" w:themeColor="text1"/>
          <w:sz w:val="24"/>
          <w:szCs w:val="24"/>
        </w:rPr>
        <w:fldChar w:fldCharType="begin" w:fldLock="1"/>
      </w:r>
      <w:r w:rsidR="001867B4" w:rsidRPr="000C178D">
        <w:rPr>
          <w:rFonts w:ascii="Book Antiqua" w:hAnsi="Book Antiqua" w:cs="Times New Roman"/>
          <w:color w:val="000000" w:themeColor="text1"/>
          <w:sz w:val="24"/>
          <w:szCs w:val="24"/>
        </w:rPr>
        <w:instrText>ADDIN CSL_CITATION {"citationItems":[{"id":"ITEM-1","itemData":{"ISBN":"2011;23:5766","abstract":"Case Presentation A 44-year-old male nonsmoker presented with a two-year history of sinus congestion, wheezing, dyspnea and cough. Pharmacological treatment, including antibiotics, inhaled corticosteroids and antihista-mines, did not improve his symptoms. Submandibular gland enlargement was apparent one year after the onset of symptoms. Left submandibular gland biopsy performed at another hospital revealed chronic sialadenitis. Sialadenitis and other symptoms improved after several weeks of oral prednisone; however, these manifestations recurred three months after discontinuation of prednisone therapy. A computed tomography (CT) scan of the neck, chest and abdomen demonstrated enlarged submandibular glands, as well as hilar and mediastinal lymphadenopathy, a 2.5 cm spiculated infiltrate in the left upper lobe of the lung and a 2.5 cm low-attenuation mass in the left kidney (Figures 1A, 1B, 1C and 1D), with no evidence of pancreatic abnormalities. The patient was referred to the Mayo Clinic (Minnesota, USA) for further evaluation. Physical examination was unremarkable except for bilateral sub-mandibular gland enlargement. Pulmonary function testing (PFT) demonstrated borderline airflow obstruction with a forced expiratory volume in 1 s (FEV 1)/forced vital capacity ratio of 0.6, FEV 1 of 85% of predicted normal value and positive methacholine challenge. Serum protein electrophoresis showed polyclonal hypergammaglobulinemia with serum immunoglobulin (Ig) level of 25 g/L (normal range 0.6 g/L mg/dL to 15 g/L) and IgG4 level of 20.2 g/L (normal range 0.08 g/L to 1.4 g/L). Other laboratory tests were normal including complete blood count with differentials, chemistries, angiotensin converting enzyme level and vasculitis/connective tissue serological panel. Bronchoscopy demonstrated inflammatory changes along the tracheobronchial tree. Mucosal biopsy of the right carina 1 revealed dense chronic inflammation in the bronchial wall. Immunostaining for IgG4 highlighted 15 to 20 IgG4-positive plasma cells per high-power field (Figure 2A and 2B). Needle aspiration of hilar and mediastinal lymphadenopathy was negative for malignancy. Outside submandibular gland pathology slides were retrieved and examined using immunostaining, which demonstrated numerous IgG4-positive plasma cells with an IgG4 + /IgG + cell ratio of 0.6 (Figure 2C and 2D). Diagnosis of IgG4-RD was made and the clInIco-patholoGIc conferences","author":[{"dropping-particle":"","family":"Sekiguchi","given":"Hiroshi","non-dropping-particle":"","parse-names":false,"suffix":""},{"dropping-particle":"","family":"Horie","given":"Ryohei","non-dropping-particle":"","parse-names":false,"suffix":""},{"dropping-particle":"","family":"Aksamit","given":"Timothy R","non-dropping-particle":"","parse-names":false,"suffix":""},{"dropping-particle":"","family":"Yi","given":"Eunhee S","non-dropping-particle":"","parse-names":false,"suffix":""},{"dropping-particle":"","family":"Ryu","given":"Jay H","non-dropping-particle":"","parse-names":false,"suffix":""}],"container-title":"Can Respir J","id":"ITEM-1","issue":"2","issued":{"date-parts":[["0"]]},"title":"Immunoglobulin G4-related disease mimicking asthma","type":"report","volume":"20"},"uris":["http://www.mendeley.com/documents/?uuid=15a50428-2274-3809-b460-6ad690d195e1"]},{"id":"ITEM-2","itemData":{"DOI":"10.1016/j.rmed.2016.01.014","abstract":"Introduction: IgG4 has recently been a subject of great interest in human pathology. No data are available about the characteristics of asthma patients with elevated IgG4 levels. Population and methods: An observational study was conducted from January 2006 to March 2015 in a difficult-to-treat population of asthma patients. Twenty-six difficult-to-treat asthma patients with elevated serum IgG4 levels (IgG4/IgG ratio up to 10%) were compared with a control population of 98 difficult-to-treat asthma patients with normal serum IgG4. Blood eosinophilia, total IgE and FeNO were compared between groups to better characterize asthma patients with elevated serum IgG4 levels. Results: Median IgG4 concentrations were 1.72 g/l [1.19e2.36] and 0.22 g/l [0.10e0.49] in the elevated IgG4 group and normal Ig4 group, respectively. Median blood eosinophilia was more than three times higher in patients with elevated serum IgG4 levels than in controls (0.75 10 9 /L [IQR 0.54e1.78] vs 0.22 10 9 /L [IQR 0.09e0.54] respectively, p &lt; 0.0001). Total IgE was twice as high (264.5 kUI/l [IQR 166.3 e779] vs 126 kUI/l [IQR 26e350] respectively; p &lt; 0.05) and FeNO was nearly twice as high (61 [IQR 41 e111] ppb vs 35 [IQR 23e51] ppb, p &lt; 0.001). Allergic broncho-pulmonary aspergillosis (ABPA) and eosinophilic granulomatosis with polyangiitis (EGPA) were observed in the asthma patients with elevated serum IgG4. Ten patients had unexplained increased blood eosinophilia. Conclusion: Asthma patients with elevated IgG4 levels have significantly higher blood eosinophilia, total IgE and FeNO. ABPA and EGPA are observed in patients with elevated serum IgG4.","author":[{"dropping-particle":"","family":"Flament","given":"T","non-dropping-particle":"","parse-names":false,"suffix":""},{"dropping-particle":"","family":"Marchand-Adam","given":"S","non-dropping-particle":"","parse-names":false,"suffix":""},{"dropping-particle":"","family":"Gatault","given":"P","non-dropping-particle":"","parse-names":false,"suffix":""},{"dropping-particle":"","family":"Dupin","given":"C","non-dropping-particle":"","parse-names":false,"suffix":""},{"dropping-particle":"","family":"Diot","given":"P","non-dropping-particle":"","parse-names":false,"suffix":""},{"dropping-particle":"","family":"Guilleminault","given":"L","non-dropping-particle":"","parse-names":false,"suffix":""}],"container-title":"Respiratory Medicine","id":"ITEM-2","issued":{"date-parts":[["2016"]]},"page":"39-44","title":"What are the characteristics of asthma patients with elevated serum IgG4 levels?","type":"article-journal","volume":"112"},"uris":["http://www.mendeley.com/documents/?uuid=0034d7eb-ca5c-3289-a7af-40284104e346"]}],"mendeley":{"formattedCitation":"&lt;sup&gt;25,26&lt;/sup&gt;","plainTextFormattedCitation":"25,26","previouslyFormattedCitation":"[25,26]"},"properties":{"noteIndex":0},"schema":"https://github.com/citation-style-language/schema/raw/master/csl-citation.json"}</w:instrText>
      </w:r>
      <w:r w:rsidR="00B1609D" w:rsidRPr="000C178D">
        <w:rPr>
          <w:rFonts w:ascii="Book Antiqua" w:hAnsi="Book Antiqua" w:cs="Times New Roman"/>
          <w:color w:val="000000" w:themeColor="text1"/>
          <w:sz w:val="24"/>
          <w:szCs w:val="24"/>
        </w:rPr>
        <w:fldChar w:fldCharType="separate"/>
      </w:r>
      <w:r w:rsidR="001867B4" w:rsidRPr="000C178D">
        <w:rPr>
          <w:rFonts w:ascii="Book Antiqua" w:hAnsi="Book Antiqua" w:cs="Times New Roman"/>
          <w:noProof/>
          <w:color w:val="000000" w:themeColor="text1"/>
          <w:sz w:val="24"/>
          <w:szCs w:val="24"/>
          <w:vertAlign w:val="superscript"/>
        </w:rPr>
        <w:t>25,26</w:t>
      </w:r>
      <w:r w:rsidR="00B1609D" w:rsidRPr="000C178D">
        <w:rPr>
          <w:rFonts w:ascii="Book Antiqua" w:hAnsi="Book Antiqua" w:cs="Times New Roman"/>
          <w:color w:val="000000" w:themeColor="text1"/>
          <w:sz w:val="24"/>
          <w:szCs w:val="24"/>
        </w:rPr>
        <w:fldChar w:fldCharType="end"/>
      </w:r>
      <w:r w:rsidR="00F13746" w:rsidRPr="000C178D">
        <w:rPr>
          <w:rFonts w:ascii="Book Antiqua" w:hAnsi="Book Antiqua" w:cs="Times New Roman"/>
          <w:color w:val="000000" w:themeColor="text1"/>
          <w:sz w:val="24"/>
          <w:szCs w:val="24"/>
          <w:vertAlign w:val="superscript"/>
        </w:rPr>
        <w:t>]</w:t>
      </w:r>
      <w:r w:rsidR="00B1609D" w:rsidRPr="000C178D">
        <w:rPr>
          <w:rFonts w:ascii="Book Antiqua" w:hAnsi="Book Antiqua" w:cs="Times New Roman"/>
          <w:color w:val="000000" w:themeColor="text1"/>
          <w:sz w:val="24"/>
          <w:szCs w:val="24"/>
        </w:rPr>
        <w:t>.</w:t>
      </w:r>
      <w:r w:rsidR="002B2BF9" w:rsidRPr="000C178D">
        <w:rPr>
          <w:rFonts w:ascii="Book Antiqua" w:hAnsi="Book Antiqua" w:cs="Times New Roman"/>
          <w:color w:val="000000" w:themeColor="text1"/>
          <w:sz w:val="24"/>
          <w:szCs w:val="24"/>
        </w:rPr>
        <w:t xml:space="preserve"> </w:t>
      </w:r>
      <w:r w:rsidR="00B1609D" w:rsidRPr="000C178D">
        <w:rPr>
          <w:rFonts w:ascii="Book Antiqua" w:hAnsi="Book Antiqua" w:cs="Times New Roman"/>
          <w:sz w:val="24"/>
          <w:szCs w:val="24"/>
          <w:lang w:val="lt-LT"/>
        </w:rPr>
        <w:t>Our patient was diagnosed with bronchial asthma in childhood</w:t>
      </w:r>
      <w:r w:rsidR="002B2BF9" w:rsidRPr="000C178D">
        <w:rPr>
          <w:rFonts w:ascii="Book Antiqua" w:hAnsi="Book Antiqua" w:cs="Times New Roman"/>
          <w:sz w:val="24"/>
          <w:szCs w:val="24"/>
          <w:lang w:val="lt-LT"/>
        </w:rPr>
        <w:t>,</w:t>
      </w:r>
      <w:r w:rsidR="00B1609D" w:rsidRPr="000C178D">
        <w:rPr>
          <w:rFonts w:ascii="Book Antiqua" w:hAnsi="Book Antiqua" w:cs="Times New Roman"/>
          <w:sz w:val="24"/>
          <w:szCs w:val="24"/>
          <w:lang w:val="lt-LT"/>
        </w:rPr>
        <w:t xml:space="preserve"> and it was well-controlled w</w:t>
      </w:r>
      <w:r w:rsidR="002B2BF9" w:rsidRPr="000C178D">
        <w:rPr>
          <w:rFonts w:ascii="Book Antiqua" w:hAnsi="Book Antiqua" w:cs="Times New Roman"/>
          <w:sz w:val="24"/>
          <w:szCs w:val="24"/>
          <w:lang w:val="lt-LT"/>
        </w:rPr>
        <w:t>ith</w:t>
      </w:r>
      <w:r w:rsidR="00B1609D" w:rsidRPr="000C178D">
        <w:rPr>
          <w:rFonts w:ascii="Book Antiqua" w:hAnsi="Book Antiqua" w:cs="Times New Roman"/>
          <w:sz w:val="24"/>
          <w:szCs w:val="24"/>
          <w:lang w:val="lt-LT"/>
        </w:rPr>
        <w:t xml:space="preserve"> only a rare on-demand need of bronchodilat</w:t>
      </w:r>
      <w:r w:rsidR="002B2BF9" w:rsidRPr="000C178D">
        <w:rPr>
          <w:rFonts w:ascii="Book Antiqua" w:hAnsi="Book Antiqua" w:cs="Times New Roman"/>
          <w:sz w:val="24"/>
          <w:szCs w:val="24"/>
          <w:lang w:val="lt-LT"/>
        </w:rPr>
        <w:t>or</w:t>
      </w:r>
      <w:r w:rsidR="00B1609D" w:rsidRPr="000C178D">
        <w:rPr>
          <w:rFonts w:ascii="Book Antiqua" w:hAnsi="Book Antiqua" w:cs="Times New Roman"/>
          <w:sz w:val="24"/>
          <w:szCs w:val="24"/>
          <w:lang w:val="lt-LT"/>
        </w:rPr>
        <w:t xml:space="preserve">s and currently in remission. Therefore, </w:t>
      </w:r>
      <w:r w:rsidR="00B064BD" w:rsidRPr="000C178D">
        <w:rPr>
          <w:rFonts w:ascii="Book Antiqua" w:hAnsi="Book Antiqua" w:cs="Times New Roman"/>
          <w:sz w:val="24"/>
          <w:szCs w:val="24"/>
          <w:lang w:val="lt-LT"/>
        </w:rPr>
        <w:t>it was decided that bronchial ast</w:t>
      </w:r>
      <w:r w:rsidR="002B2BF9" w:rsidRPr="000C178D">
        <w:rPr>
          <w:rFonts w:ascii="Book Antiqua" w:hAnsi="Book Antiqua" w:cs="Times New Roman"/>
          <w:sz w:val="24"/>
          <w:szCs w:val="24"/>
          <w:lang w:val="lt-LT"/>
        </w:rPr>
        <w:t>h</w:t>
      </w:r>
      <w:r w:rsidR="00B064BD" w:rsidRPr="000C178D">
        <w:rPr>
          <w:rFonts w:ascii="Book Antiqua" w:hAnsi="Book Antiqua" w:cs="Times New Roman"/>
          <w:sz w:val="24"/>
          <w:szCs w:val="24"/>
          <w:lang w:val="lt-LT"/>
        </w:rPr>
        <w:t>ma is a separate</w:t>
      </w:r>
      <w:r w:rsidR="00B1609D" w:rsidRPr="000C178D">
        <w:rPr>
          <w:rFonts w:ascii="Book Antiqua" w:hAnsi="Book Antiqua" w:cs="Times New Roman"/>
          <w:sz w:val="24"/>
          <w:szCs w:val="24"/>
          <w:lang w:val="lt-LT"/>
        </w:rPr>
        <w:t xml:space="preserve"> co</w:t>
      </w:r>
      <w:r w:rsidR="009D78FB" w:rsidRPr="000C178D">
        <w:rPr>
          <w:rFonts w:ascii="Book Antiqua" w:hAnsi="Book Antiqua" w:cs="Times New Roman"/>
          <w:sz w:val="24"/>
          <w:szCs w:val="24"/>
          <w:lang w:val="lt-LT"/>
        </w:rPr>
        <w:t>-</w:t>
      </w:r>
      <w:r w:rsidR="00B1609D" w:rsidRPr="000C178D">
        <w:rPr>
          <w:rFonts w:ascii="Book Antiqua" w:hAnsi="Book Antiqua" w:cs="Times New Roman"/>
          <w:sz w:val="24"/>
          <w:szCs w:val="24"/>
          <w:lang w:val="lt-LT"/>
        </w:rPr>
        <w:t>morbid</w:t>
      </w:r>
      <w:r w:rsidR="00B064BD" w:rsidRPr="000C178D">
        <w:rPr>
          <w:rFonts w:ascii="Book Antiqua" w:hAnsi="Book Antiqua" w:cs="Times New Roman"/>
          <w:sz w:val="24"/>
          <w:szCs w:val="24"/>
          <w:lang w:val="lt-LT"/>
        </w:rPr>
        <w:t xml:space="preserve"> disorder. </w:t>
      </w:r>
    </w:p>
    <w:p w14:paraId="7F49F45B" w14:textId="0A92AA25" w:rsidR="00240FC1" w:rsidRPr="000C178D" w:rsidRDefault="00B1609D" w:rsidP="000C178D">
      <w:pPr>
        <w:autoSpaceDE w:val="0"/>
        <w:autoSpaceDN w:val="0"/>
        <w:adjustRightInd w:val="0"/>
        <w:snapToGrid w:val="0"/>
        <w:spacing w:after="0" w:line="360" w:lineRule="auto"/>
        <w:ind w:firstLine="284"/>
        <w:jc w:val="both"/>
        <w:rPr>
          <w:rFonts w:ascii="Book Antiqua" w:hAnsi="Book Antiqua"/>
          <w:color w:val="222222"/>
          <w:sz w:val="24"/>
          <w:szCs w:val="24"/>
          <w:shd w:val="clear" w:color="auto" w:fill="FFFFFF"/>
        </w:rPr>
      </w:pPr>
      <w:r w:rsidRPr="000C178D">
        <w:rPr>
          <w:rFonts w:ascii="Book Antiqua" w:hAnsi="Book Antiqua" w:cs="Times New Roman"/>
          <w:sz w:val="24"/>
          <w:szCs w:val="24"/>
          <w:lang w:val="lt-LT"/>
        </w:rPr>
        <w:t>T</w:t>
      </w:r>
      <w:r w:rsidR="00B064BD" w:rsidRPr="000C178D">
        <w:rPr>
          <w:rFonts w:ascii="Book Antiqua" w:hAnsi="Book Antiqua" w:cs="Times New Roman"/>
          <w:sz w:val="24"/>
          <w:szCs w:val="24"/>
          <w:lang w:val="lt-LT"/>
        </w:rPr>
        <w:t xml:space="preserve">he origin of </w:t>
      </w:r>
      <w:r w:rsidR="002B2BF9" w:rsidRPr="000C178D">
        <w:rPr>
          <w:rFonts w:ascii="Book Antiqua" w:hAnsi="Book Antiqua" w:cs="Times New Roman"/>
          <w:sz w:val="24"/>
          <w:szCs w:val="24"/>
          <w:lang w:val="lt-LT"/>
        </w:rPr>
        <w:t xml:space="preserve">the </w:t>
      </w:r>
      <w:r w:rsidR="00B064BD" w:rsidRPr="000C178D">
        <w:rPr>
          <w:rFonts w:ascii="Book Antiqua" w:hAnsi="Book Antiqua" w:cs="Times New Roman"/>
          <w:sz w:val="24"/>
          <w:szCs w:val="24"/>
          <w:lang w:val="lt-LT"/>
        </w:rPr>
        <w:t>patient</w:t>
      </w:r>
      <w:r w:rsidR="00F80C8F" w:rsidRPr="000C178D">
        <w:rPr>
          <w:rFonts w:ascii="Book Antiqua" w:hAnsi="Book Antiqua" w:cs="Times New Roman"/>
          <w:sz w:val="24"/>
          <w:szCs w:val="24"/>
          <w:lang w:val="lt-LT"/>
        </w:rPr>
        <w:t>'</w:t>
      </w:r>
      <w:r w:rsidR="00B064BD" w:rsidRPr="000C178D">
        <w:rPr>
          <w:rFonts w:ascii="Book Antiqua" w:hAnsi="Book Antiqua" w:cs="Times New Roman"/>
          <w:sz w:val="24"/>
          <w:szCs w:val="24"/>
          <w:lang w:val="lt-LT"/>
        </w:rPr>
        <w:t>s ur</w:t>
      </w:r>
      <w:r w:rsidR="002B2BF9" w:rsidRPr="000C178D">
        <w:rPr>
          <w:rFonts w:ascii="Book Antiqua" w:hAnsi="Book Antiqua" w:cs="Times New Roman"/>
          <w:sz w:val="24"/>
          <w:szCs w:val="24"/>
          <w:lang w:val="lt-LT"/>
        </w:rPr>
        <w:t>ination problems</w:t>
      </w:r>
      <w:r w:rsidR="00B064BD" w:rsidRPr="000C178D">
        <w:rPr>
          <w:rFonts w:ascii="Book Antiqua" w:hAnsi="Book Antiqua" w:cs="Times New Roman"/>
          <w:sz w:val="24"/>
          <w:szCs w:val="24"/>
          <w:lang w:val="lt-LT"/>
        </w:rPr>
        <w:t xml:space="preserve"> was also questionable</w:t>
      </w:r>
      <w:r w:rsidR="005E640E" w:rsidRPr="000C178D">
        <w:rPr>
          <w:rFonts w:ascii="Book Antiqua" w:hAnsi="Book Antiqua" w:cs="Times New Roman"/>
          <w:sz w:val="24"/>
          <w:szCs w:val="24"/>
          <w:lang w:val="lt-LT"/>
        </w:rPr>
        <w:t xml:space="preserve"> at first.</w:t>
      </w:r>
      <w:r w:rsidRPr="000C178D">
        <w:rPr>
          <w:rFonts w:ascii="Book Antiqua" w:hAnsi="Book Antiqua" w:cs="Times New Roman"/>
          <w:sz w:val="24"/>
          <w:szCs w:val="24"/>
          <w:lang w:val="lt-LT"/>
        </w:rPr>
        <w:t xml:space="preserve"> </w:t>
      </w:r>
      <w:r w:rsidR="00240FC1" w:rsidRPr="000C178D">
        <w:rPr>
          <w:rFonts w:ascii="Book Antiqua" w:hAnsi="Book Antiqua"/>
          <w:color w:val="222222"/>
          <w:sz w:val="24"/>
          <w:szCs w:val="24"/>
          <w:shd w:val="clear" w:color="auto" w:fill="FFFFFF"/>
        </w:rPr>
        <w:t>Pa</w:t>
      </w:r>
      <w:r w:rsidR="002B2BF9" w:rsidRPr="000C178D">
        <w:rPr>
          <w:rFonts w:ascii="Book Antiqua" w:hAnsi="Book Antiqua"/>
          <w:color w:val="222222"/>
          <w:sz w:val="24"/>
          <w:szCs w:val="24"/>
          <w:shd w:val="clear" w:color="auto" w:fill="FFFFFF"/>
        </w:rPr>
        <w:t>tients with IgG4-RD</w:t>
      </w:r>
      <w:r w:rsidRPr="000C178D">
        <w:rPr>
          <w:rFonts w:ascii="Book Antiqua" w:hAnsi="Book Antiqua"/>
          <w:color w:val="222222"/>
          <w:sz w:val="24"/>
          <w:szCs w:val="24"/>
          <w:shd w:val="clear" w:color="auto" w:fill="FFFFFF"/>
        </w:rPr>
        <w:t xml:space="preserve"> often </w:t>
      </w:r>
      <w:r w:rsidR="00240FC1" w:rsidRPr="000C178D">
        <w:rPr>
          <w:rFonts w:ascii="Book Antiqua" w:hAnsi="Book Antiqua"/>
          <w:color w:val="222222"/>
          <w:sz w:val="24"/>
          <w:szCs w:val="24"/>
          <w:shd w:val="clear" w:color="auto" w:fill="FFFFFF"/>
        </w:rPr>
        <w:t xml:space="preserve">complain </w:t>
      </w:r>
      <w:r w:rsidR="002B2BF9" w:rsidRPr="000C178D">
        <w:rPr>
          <w:rFonts w:ascii="Book Antiqua" w:hAnsi="Book Antiqua"/>
          <w:color w:val="222222"/>
          <w:sz w:val="24"/>
          <w:szCs w:val="24"/>
          <w:shd w:val="clear" w:color="auto" w:fill="FFFFFF"/>
        </w:rPr>
        <w:t>of</w:t>
      </w:r>
      <w:r w:rsidR="00240FC1" w:rsidRPr="000C178D">
        <w:rPr>
          <w:rFonts w:ascii="Book Antiqua" w:hAnsi="Book Antiqua"/>
          <w:color w:val="222222"/>
          <w:sz w:val="24"/>
          <w:szCs w:val="24"/>
          <w:shd w:val="clear" w:color="auto" w:fill="FFFFFF"/>
        </w:rPr>
        <w:t xml:space="preserve"> frequent urination and feelings of residual urine,</w:t>
      </w:r>
      <w:r w:rsidR="002B2BF9" w:rsidRPr="000C178D">
        <w:rPr>
          <w:rFonts w:ascii="Book Antiqua" w:hAnsi="Book Antiqua"/>
          <w:color w:val="222222"/>
          <w:sz w:val="24"/>
          <w:szCs w:val="24"/>
          <w:shd w:val="clear" w:color="auto" w:fill="FFFFFF"/>
        </w:rPr>
        <w:t xml:space="preserve"> </w:t>
      </w:r>
      <w:r w:rsidR="005E640E" w:rsidRPr="000C178D">
        <w:rPr>
          <w:rFonts w:ascii="Book Antiqua" w:hAnsi="Book Antiqua"/>
          <w:color w:val="222222"/>
          <w:sz w:val="24"/>
          <w:szCs w:val="24"/>
          <w:shd w:val="clear" w:color="auto" w:fill="FFFFFF"/>
        </w:rPr>
        <w:t>which are same as the symptoms of benign prostatic hyperplasia</w:t>
      </w:r>
      <w:r w:rsidR="00F13746" w:rsidRPr="000C178D">
        <w:rPr>
          <w:rFonts w:ascii="Book Antiqua" w:hAnsi="Book Antiqua"/>
          <w:color w:val="222222"/>
          <w:sz w:val="24"/>
          <w:szCs w:val="24"/>
          <w:shd w:val="clear" w:color="auto" w:fill="FFFFFF"/>
          <w:vertAlign w:val="superscript"/>
        </w:rPr>
        <w:t>[</w:t>
      </w:r>
      <w:r w:rsidR="0052387E" w:rsidRPr="000C178D">
        <w:rPr>
          <w:rFonts w:ascii="Book Antiqua" w:hAnsi="Book Antiqua"/>
          <w:color w:val="222222"/>
          <w:sz w:val="24"/>
          <w:szCs w:val="24"/>
          <w:shd w:val="clear" w:color="auto" w:fill="FFFFFF"/>
        </w:rPr>
        <w:fldChar w:fldCharType="begin" w:fldLock="1"/>
      </w:r>
      <w:r w:rsidR="001867B4" w:rsidRPr="000C178D">
        <w:rPr>
          <w:rFonts w:ascii="Book Antiqua" w:hAnsi="Book Antiqua"/>
          <w:color w:val="222222"/>
          <w:sz w:val="24"/>
          <w:szCs w:val="24"/>
          <w:shd w:val="clear" w:color="auto" w:fill="FFFFFF"/>
        </w:rPr>
        <w:instrText>ADDIN CSL_CITATION {"citationItems":[{"id":"ITEM-1","itemData":{"DOI":"10.1038/nrrheum.2013.183","ISSN":"17594790","abstract":"Recognition of IgG4-related disease as an independent chronic inflammatory disorder is a relatively new concept; previously, the condition was thought to represent a subtype of Sjögren's syndrome. IgG4-related disease is characterized by elevated serum levels of IgG4 and inflammation of various organs, with abundant infiltration of IgG4-bearing plasma cells, storiform fibrosis and obliterative phlebitis representing the major histopathological features of the swollen organs. The aetiology and pathogenesis of this disorder remain unclear, but inflammation and subsequent fibrosis occur due to excess production of type 2 T-helper-cell and regulatory T-cell cytokines. The disease can comprise various organ manifestations, such as dacryoadenitis and sialadenitis (also called Mikulicz disease), type 1 autoimmune pancreatitis, kidney dysfunction and lung disease. Early intervention using glucocorticoids can improve IgG4-related organ dysfunction; however, patients often relapse when doses of these agents are tapered. The disease has also been associated with an increased incidence of certain malignancies. Increased awareness of IgG4-related disease might lead to consultation with rheumatologists owing to its clinical, and potentially pathogenetic, similarities with certain rheumatic disorders. With this in mind, we describe the pathogenic mechanisms of IgG4-related disease, and outline considerations for diagnosis and treatment of the condition. © 2014 Macmillan Publishers Limited.","author":[{"dropping-particle":"","family":"Yamamoto","given":"Motohisa","non-dropping-particle":"","parse-names":false,"suffix":""},{"dropping-particle":"","family":"Takahashi","given":"Hiroki","non-dropping-particle":"","parse-names":false,"suffix":""},{"dropping-particle":"","family":"Shinomura","given":"Yasuhisa","non-dropping-particle":"","parse-names":false,"suffix":""}],"container-title":"Nature Reviews Rheumatology","id":"ITEM-1","issue":"3","issued":{"date-parts":[["2014","3"]]},"page":"148-159","title":"Mechanisms and assessment of IgG4-related disease: Lessons for the rheumatologist","type":"article","volume":"10"},"uris":["http://www.mendeley.com/documents/?uuid=c02ec9c4-a716-3f7e-85b7-25c0e1670d93"]}],"mendeley":{"formattedCitation":"&lt;sup&gt;27&lt;/sup&gt;","plainTextFormattedCitation":"27","previouslyFormattedCitation":"[27]"},"properties":{"noteIndex":0},"schema":"https://github.com/citation-style-language/schema/raw/master/csl-citation.json"}</w:instrText>
      </w:r>
      <w:r w:rsidR="0052387E" w:rsidRPr="000C178D">
        <w:rPr>
          <w:rFonts w:ascii="Book Antiqua" w:hAnsi="Book Antiqua"/>
          <w:color w:val="222222"/>
          <w:sz w:val="24"/>
          <w:szCs w:val="24"/>
          <w:shd w:val="clear" w:color="auto" w:fill="FFFFFF"/>
        </w:rPr>
        <w:fldChar w:fldCharType="separate"/>
      </w:r>
      <w:r w:rsidR="001867B4" w:rsidRPr="000C178D">
        <w:rPr>
          <w:rFonts w:ascii="Book Antiqua" w:hAnsi="Book Antiqua"/>
          <w:noProof/>
          <w:color w:val="222222"/>
          <w:sz w:val="24"/>
          <w:szCs w:val="24"/>
          <w:shd w:val="clear" w:color="auto" w:fill="FFFFFF"/>
          <w:vertAlign w:val="superscript"/>
        </w:rPr>
        <w:t>27</w:t>
      </w:r>
      <w:r w:rsidR="0052387E" w:rsidRPr="000C178D">
        <w:rPr>
          <w:rFonts w:ascii="Book Antiqua" w:hAnsi="Book Antiqua"/>
          <w:color w:val="222222"/>
          <w:sz w:val="24"/>
          <w:szCs w:val="24"/>
          <w:shd w:val="clear" w:color="auto" w:fill="FFFFFF"/>
        </w:rPr>
        <w:fldChar w:fldCharType="end"/>
      </w:r>
      <w:r w:rsidR="00F13746" w:rsidRPr="000C178D">
        <w:rPr>
          <w:rFonts w:ascii="Book Antiqua" w:hAnsi="Book Antiqua"/>
          <w:color w:val="222222"/>
          <w:sz w:val="24"/>
          <w:szCs w:val="24"/>
          <w:shd w:val="clear" w:color="auto" w:fill="FFFFFF"/>
          <w:vertAlign w:val="superscript"/>
        </w:rPr>
        <w:t>]</w:t>
      </w:r>
      <w:r w:rsidR="005E640E" w:rsidRPr="000C178D">
        <w:rPr>
          <w:rFonts w:ascii="Book Antiqua" w:hAnsi="Book Antiqua"/>
          <w:color w:val="222222"/>
          <w:sz w:val="24"/>
          <w:szCs w:val="24"/>
          <w:shd w:val="clear" w:color="auto" w:fill="FFFFFF"/>
        </w:rPr>
        <w:t>.</w:t>
      </w:r>
      <w:r w:rsidR="002B2BF9" w:rsidRPr="000C178D">
        <w:rPr>
          <w:rFonts w:ascii="Book Antiqua" w:hAnsi="Book Antiqua"/>
          <w:color w:val="222222"/>
          <w:sz w:val="24"/>
          <w:szCs w:val="24"/>
          <w:shd w:val="clear" w:color="auto" w:fill="FFFFFF"/>
        </w:rPr>
        <w:t xml:space="preserve"> </w:t>
      </w:r>
      <w:r w:rsidR="005E640E" w:rsidRPr="000C178D">
        <w:rPr>
          <w:rFonts w:ascii="Book Antiqua" w:hAnsi="Book Antiqua"/>
          <w:color w:val="222222"/>
          <w:sz w:val="24"/>
          <w:szCs w:val="24"/>
          <w:shd w:val="clear" w:color="auto" w:fill="FFFFFF"/>
        </w:rPr>
        <w:t>The</w:t>
      </w:r>
      <w:r w:rsidR="002B2BF9" w:rsidRPr="000C178D">
        <w:rPr>
          <w:rFonts w:ascii="Book Antiqua" w:hAnsi="Book Antiqua"/>
          <w:color w:val="222222"/>
          <w:sz w:val="24"/>
          <w:szCs w:val="24"/>
          <w:shd w:val="clear" w:color="auto" w:fill="FFFFFF"/>
        </w:rPr>
        <w:t>se</w:t>
      </w:r>
      <w:r w:rsidR="005E640E" w:rsidRPr="000C178D">
        <w:rPr>
          <w:rFonts w:ascii="Book Antiqua" w:hAnsi="Book Antiqua"/>
          <w:color w:val="222222"/>
          <w:sz w:val="24"/>
          <w:szCs w:val="24"/>
          <w:shd w:val="clear" w:color="auto" w:fill="FFFFFF"/>
        </w:rPr>
        <w:t xml:space="preserve"> symptoms totally regre</w:t>
      </w:r>
      <w:r w:rsidR="0052387E" w:rsidRPr="000C178D">
        <w:rPr>
          <w:rFonts w:ascii="Book Antiqua" w:hAnsi="Book Antiqua"/>
          <w:color w:val="222222"/>
          <w:sz w:val="24"/>
          <w:szCs w:val="24"/>
          <w:shd w:val="clear" w:color="auto" w:fill="FFFFFF"/>
        </w:rPr>
        <w:t>s</w:t>
      </w:r>
      <w:r w:rsidR="005E640E" w:rsidRPr="000C178D">
        <w:rPr>
          <w:rFonts w:ascii="Book Antiqua" w:hAnsi="Book Antiqua"/>
          <w:color w:val="222222"/>
          <w:sz w:val="24"/>
          <w:szCs w:val="24"/>
          <w:shd w:val="clear" w:color="auto" w:fill="FFFFFF"/>
        </w:rPr>
        <w:t>sed after ini</w:t>
      </w:r>
      <w:r w:rsidR="0052387E" w:rsidRPr="000C178D">
        <w:rPr>
          <w:rFonts w:ascii="Book Antiqua" w:hAnsi="Book Antiqua"/>
          <w:color w:val="222222"/>
          <w:sz w:val="24"/>
          <w:szCs w:val="24"/>
          <w:shd w:val="clear" w:color="auto" w:fill="FFFFFF"/>
        </w:rPr>
        <w:t>tial</w:t>
      </w:r>
      <w:r w:rsidR="005E640E" w:rsidRPr="000C178D">
        <w:rPr>
          <w:rFonts w:ascii="Book Antiqua" w:hAnsi="Book Antiqua"/>
          <w:color w:val="222222"/>
          <w:sz w:val="24"/>
          <w:szCs w:val="24"/>
          <w:shd w:val="clear" w:color="auto" w:fill="FFFFFF"/>
        </w:rPr>
        <w:t xml:space="preserve"> treatment with prednisolone. Therefore, there w</w:t>
      </w:r>
      <w:r w:rsidR="002B2BF9" w:rsidRPr="000C178D">
        <w:rPr>
          <w:rFonts w:ascii="Book Antiqua" w:hAnsi="Book Antiqua"/>
          <w:color w:val="222222"/>
          <w:sz w:val="24"/>
          <w:szCs w:val="24"/>
          <w:shd w:val="clear" w:color="auto" w:fill="FFFFFF"/>
        </w:rPr>
        <w:t>as</w:t>
      </w:r>
      <w:r w:rsidR="005E640E" w:rsidRPr="000C178D">
        <w:rPr>
          <w:rFonts w:ascii="Book Antiqua" w:hAnsi="Book Antiqua"/>
          <w:color w:val="222222"/>
          <w:sz w:val="24"/>
          <w:szCs w:val="24"/>
          <w:shd w:val="clear" w:color="auto" w:fill="FFFFFF"/>
        </w:rPr>
        <w:t xml:space="preserve"> no doubt of IgG4 –related prosta</w:t>
      </w:r>
      <w:r w:rsidR="002B2BF9" w:rsidRPr="000C178D">
        <w:rPr>
          <w:rFonts w:ascii="Book Antiqua" w:hAnsi="Book Antiqua"/>
          <w:color w:val="222222"/>
          <w:sz w:val="24"/>
          <w:szCs w:val="24"/>
          <w:shd w:val="clear" w:color="auto" w:fill="FFFFFF"/>
        </w:rPr>
        <w:t>ti</w:t>
      </w:r>
      <w:r w:rsidR="005E640E" w:rsidRPr="000C178D">
        <w:rPr>
          <w:rFonts w:ascii="Book Antiqua" w:hAnsi="Book Antiqua"/>
          <w:color w:val="222222"/>
          <w:sz w:val="24"/>
          <w:szCs w:val="24"/>
          <w:shd w:val="clear" w:color="auto" w:fill="FFFFFF"/>
        </w:rPr>
        <w:t xml:space="preserve">tis. </w:t>
      </w:r>
    </w:p>
    <w:p w14:paraId="2CABCD0E" w14:textId="77777777" w:rsidR="00B1609D" w:rsidRPr="000C178D" w:rsidRDefault="00B1609D" w:rsidP="000C178D">
      <w:pPr>
        <w:autoSpaceDE w:val="0"/>
        <w:autoSpaceDN w:val="0"/>
        <w:adjustRightInd w:val="0"/>
        <w:snapToGrid w:val="0"/>
        <w:spacing w:after="0" w:line="360" w:lineRule="auto"/>
        <w:jc w:val="both"/>
        <w:rPr>
          <w:rFonts w:ascii="Book Antiqua" w:hAnsi="Book Antiqua" w:cs="Times New Roman"/>
          <w:i/>
          <w:color w:val="000000" w:themeColor="text1"/>
          <w:sz w:val="24"/>
          <w:szCs w:val="24"/>
        </w:rPr>
      </w:pPr>
    </w:p>
    <w:p w14:paraId="45BCBA7D" w14:textId="77777777" w:rsidR="00627231" w:rsidRPr="000C178D" w:rsidRDefault="00627231" w:rsidP="000C178D">
      <w:pPr>
        <w:autoSpaceDE w:val="0"/>
        <w:autoSpaceDN w:val="0"/>
        <w:adjustRightInd w:val="0"/>
        <w:snapToGrid w:val="0"/>
        <w:spacing w:after="0" w:line="360" w:lineRule="auto"/>
        <w:rPr>
          <w:rFonts w:ascii="Book Antiqua" w:hAnsi="Book Antiqua" w:cs="Times New Roman"/>
          <w:b/>
          <w:i/>
          <w:sz w:val="24"/>
          <w:szCs w:val="24"/>
        </w:rPr>
      </w:pPr>
      <w:r w:rsidRPr="000C178D">
        <w:rPr>
          <w:rFonts w:ascii="Book Antiqua" w:hAnsi="Book Antiqua" w:cs="Times New Roman"/>
          <w:b/>
          <w:i/>
          <w:sz w:val="24"/>
          <w:szCs w:val="24"/>
        </w:rPr>
        <w:t>IgG4-RD treatment</w:t>
      </w:r>
    </w:p>
    <w:p w14:paraId="13D265CB" w14:textId="20961F31" w:rsidR="001F6DF4" w:rsidRPr="000C178D" w:rsidRDefault="00627231" w:rsidP="000C178D">
      <w:pPr>
        <w:shd w:val="clear" w:color="auto" w:fill="FFFFFF" w:themeFill="background1"/>
        <w:snapToGrid w:val="0"/>
        <w:spacing w:after="0" w:line="360" w:lineRule="auto"/>
        <w:jc w:val="both"/>
        <w:rPr>
          <w:rFonts w:ascii="Book Antiqua" w:hAnsi="Book Antiqua"/>
          <w:sz w:val="24"/>
          <w:szCs w:val="24"/>
        </w:rPr>
      </w:pPr>
      <w:r w:rsidRPr="000C178D">
        <w:rPr>
          <w:rFonts w:ascii="Book Antiqua" w:hAnsi="Book Antiqua" w:cs="Times New Roman"/>
          <w:sz w:val="24"/>
          <w:szCs w:val="24"/>
        </w:rPr>
        <w:t>The treatment option for patients with IgG4-RD is based on clinical experience and expert opinion, as there are no controlled or prospective studies for the best treatment approach</w:t>
      </w:r>
      <w:r w:rsidR="00F13746" w:rsidRPr="000C178D">
        <w:rPr>
          <w:rFonts w:ascii="Book Antiqua" w:hAnsi="Book Antiqua" w:cs="Times New Roman"/>
          <w:sz w:val="24"/>
          <w:szCs w:val="24"/>
          <w:vertAlign w:val="superscript"/>
        </w:rPr>
        <w:t>[</w:t>
      </w:r>
      <w:r w:rsidRPr="000C178D">
        <w:rPr>
          <w:rFonts w:ascii="Book Antiqua" w:hAnsi="Book Antiqua" w:cs="Times New Roman"/>
          <w:sz w:val="24"/>
          <w:szCs w:val="24"/>
        </w:rPr>
        <w:fldChar w:fldCharType="begin" w:fldLock="1"/>
      </w:r>
      <w:r w:rsidR="001867B4" w:rsidRPr="000C178D">
        <w:rPr>
          <w:rFonts w:ascii="Book Antiqua" w:hAnsi="Book Antiqua" w:cs="Times New Roman"/>
          <w:sz w:val="24"/>
          <w:szCs w:val="24"/>
        </w:rPr>
        <w:instrText>ADDIN CSL_CITATION {"citationItems":[{"id":"ITEM-1","itemData":{"DOI":"10.1136/rmdopen-2018-000787","ISSN":"20565933","abstract":"Immunoglobulin G4-related diseases (IgG4-RD) are a group of chronic relapsing–remitting inflammatory conditions, characterised by tissue infiltration with lymphocytes and IgG4-secreting plasma cells, fibrosis and a usually favourable response to steroids.In this narrative review, we summarise the results of a systematic literature research, which was performed as part of the European Reference Network ReCONNET, aimed at evaluating existing clinical practice guidelines (CPGs) and recommendations in IgG4-RD. From 167 publications initially obtained from a systematic literature search, only one was identified as a systematic multispecialist, evidence-based, consensus guidance statement on diagnosis and treatment of IgG4-RD, which may be recommended for use as CPG in IgG4-RD.With the recognition of a limited evidence based in this increasingly recognised disease, the group discussion has identified the following unmet needs: lack of shared classification criteria, absence of formal guidelines on diagnosis, no evidence-based therapeutic recommendations and lack of activity and damage indices. Areas of unmet needs include the difficulties in diagnosis, management and monitoring and the scarcity of expert centres.","author":[{"dropping-particle":"","family":"Iaccarino","given":"Luca","non-dropping-particle":"","parse-names":false,"suffix":""},{"dropping-particle":"","family":"Talarico","given":"Rosaria","non-dropping-particle":"","parse-names":false,"suffix":""},{"dropping-particle":"","family":"Scirè","given":"Carlo Alberto","non-dropping-particle":"","parse-names":false,"suffix":""},{"dropping-particle":"","family":"Amoura","given":"Zahir","non-dropping-particle":"","parse-names":false,"suffix":""},{"dropping-particle":"","family":"Burmester","given":"Gerd","non-dropping-particle":"","parse-names":false,"suffix":""},{"dropping-particle":"","family":"Doria","given":"Andrea","non-dropping-particle":"","parse-names":false,"suffix":""},{"dropping-particle":"","family":"Faiz","given":"Karim","non-dropping-particle":"","parse-names":false,"suffix":""},{"dropping-particle":"","family":"Frank","given":"Charissa","non-dropping-particle":"","parse-names":false,"suffix":""},{"dropping-particle":"","family":"Hachulla","given":"Eric","non-dropping-particle":"","parse-names":false,"suffix":""},{"dropping-particle":"","family":"Hie","given":"Miguel","non-dropping-particle":"","parse-names":false,"suffix":""},{"dropping-particle":"","family":"Launay","given":"David","non-dropping-particle":"","parse-names":false,"suffix":""},{"dropping-particle":"","family":"Montecucco","given":"Carlomaurizio","non-dropping-particle":"","parse-names":false,"suffix":""},{"dropping-particle":"","family":"Monti","given":"Sara","non-dropping-particle":"","parse-names":false,"suffix":""},{"dropping-particle":"","family":"Mouthon","given":"Luc","non-dropping-particle":"","parse-names":false,"suffix":""},{"dropping-particle":"","family":"Tincani","given":"Angela","non-dropping-particle":"","parse-names":false,"suffix":""},{"dropping-particle":"","family":"Toniati","given":"Paola","non-dropping-particle":"","parse-names":false,"suffix":""},{"dropping-particle":"","family":"Hagen","given":"Pieter Martin","non-dropping-particle":"Van","parse-names":false,"suffix":""},{"dropping-particle":"","family":"Vollenhoven","given":"Ronald F.","non-dropping-particle":"Van","parse-names":false,"suffix":""},{"dropping-particle":"","family":"Bombardieri","given":"Stefano","non-dropping-particle":"","parse-names":false,"suffix":""},{"dropping-particle":"","family":"Mueller-Ladner","given":"Ulf","non-dropping-particle":"","parse-names":false,"suffix":""},{"dropping-particle":"","family":"Schneider","given":"Matthias","non-dropping-particle":"","parse-names":false,"suffix":""},{"dropping-particle":"","family":"Smith","given":"Vanessa","non-dropping-particle":"","parse-names":false,"suffix":""},{"dropping-particle":"","family":"Cutolo","given":"Maurizio","non-dropping-particle":"","parse-names":false,"suffix":""},{"dropping-particle":"","family":"Mosca","given":"Marta","non-dropping-particle":"","parse-names":false,"suffix":""},{"dropping-particle":"","family":"Alexander","given":"Tobias","non-dropping-particle":"","parse-names":false,"suffix":""}],"container-title":"RMD Open","id":"ITEM-1","issued":{"date-parts":[["2019"]]},"page":"1-5","title":"IgG4-related diseases: State of the art on clinical practice guidelines","type":"article-journal","volume":"4"},"uris":["http://www.mendeley.com/documents/?uuid=d8594ae6-1f71-4bb2-ad2c-395f95fbede6"]},{"id":"ITEM-2","itemData":{"DOI":"10.1016/S0140-6736(14)60720-0","ISSN":"0140-6736","author":[{"dropping-particle":"","family":"Kamisawa","given":"Terumi","non-dropping-particle":"","parse-names":false,"suffix":""},{"dropping-particle":"","family":"Zen","given":"Yoh","non-dropping-particle":"","parse-names":false,"suffix":""},{"dropping-particle":"","family":"Pillai","given":"Shiv","non-dropping-particle":"","parse-names":false,"suffix":""},{"dropping-particle":"","family":"Stone","given":"John H","non-dropping-particle":"","parse-names":false,"suffix":""}],"container-title":"The Lancet","id":"ITEM-2","issue":"9976","issued":{"date-parts":[["2014"]]},"page":"1-12","publisher":"Elsevier Ltd","title":"IgG4-related disease","type":"article-journal","volume":"6736"},"uris":["http://www.mendeley.com/documents/?uuid=2e41c769-383e-456b-9860-e8d797f3041c"]}],"mendeley":{"formattedCitation":"&lt;sup&gt;3,18&lt;/sup&gt;","plainTextFormattedCitation":"3,18","previouslyFormattedCitation":"[3,18]"},"properties":{"noteIndex":0},"schema":"https://github.com/citation-style-language/schema/raw/master/csl-citation.json"}</w:instrText>
      </w:r>
      <w:r w:rsidRPr="000C178D">
        <w:rPr>
          <w:rFonts w:ascii="Book Antiqua" w:hAnsi="Book Antiqua" w:cs="Times New Roman"/>
          <w:sz w:val="24"/>
          <w:szCs w:val="24"/>
        </w:rPr>
        <w:fldChar w:fldCharType="separate"/>
      </w:r>
      <w:r w:rsidR="001867B4" w:rsidRPr="000C178D">
        <w:rPr>
          <w:rFonts w:ascii="Book Antiqua" w:hAnsi="Book Antiqua" w:cs="Times New Roman"/>
          <w:noProof/>
          <w:sz w:val="24"/>
          <w:szCs w:val="24"/>
          <w:vertAlign w:val="superscript"/>
        </w:rPr>
        <w:t>3,18</w:t>
      </w:r>
      <w:r w:rsidRPr="000C178D">
        <w:rPr>
          <w:rFonts w:ascii="Book Antiqua" w:hAnsi="Book Antiqua" w:cs="Times New Roman"/>
          <w:sz w:val="24"/>
          <w:szCs w:val="24"/>
        </w:rPr>
        <w:fldChar w:fldCharType="end"/>
      </w:r>
      <w:r w:rsidR="00F13746" w:rsidRPr="000C178D">
        <w:rPr>
          <w:rFonts w:ascii="Book Antiqua" w:hAnsi="Book Antiqua" w:cs="Times New Roman"/>
          <w:sz w:val="24"/>
          <w:szCs w:val="24"/>
          <w:vertAlign w:val="superscript"/>
        </w:rPr>
        <w:t>]</w:t>
      </w:r>
      <w:r w:rsidRPr="000C178D">
        <w:rPr>
          <w:rFonts w:ascii="Book Antiqua" w:hAnsi="Book Antiqua" w:cs="Times New Roman"/>
          <w:sz w:val="24"/>
          <w:szCs w:val="24"/>
        </w:rPr>
        <w:t xml:space="preserve">. </w:t>
      </w:r>
      <w:r w:rsidRPr="000C178D">
        <w:rPr>
          <w:rFonts w:ascii="Book Antiqua" w:hAnsi="Book Antiqua" w:cs="Times New Roman"/>
          <w:sz w:val="24"/>
          <w:szCs w:val="24"/>
          <w:lang w:val="lt-LT"/>
        </w:rPr>
        <w:t>The biggest challenge of IgG4–RD is to determine the best treatment strategy</w:t>
      </w:r>
      <w:r w:rsidR="00061CB6" w:rsidRPr="000C178D">
        <w:rPr>
          <w:rFonts w:ascii="Book Antiqua" w:hAnsi="Book Antiqua" w:cs="Times New Roman"/>
          <w:sz w:val="24"/>
          <w:szCs w:val="24"/>
          <w:lang w:val="lt-LT"/>
        </w:rPr>
        <w:t xml:space="preserve">. </w:t>
      </w:r>
      <w:r w:rsidRPr="000C178D">
        <w:rPr>
          <w:rFonts w:ascii="Book Antiqua" w:hAnsi="Book Antiqua" w:cs="Times New Roman"/>
          <w:sz w:val="24"/>
          <w:szCs w:val="24"/>
          <w:lang w:val="lt-LT"/>
        </w:rPr>
        <w:t xml:space="preserve">To date, </w:t>
      </w:r>
      <w:r w:rsidRPr="000C178D">
        <w:rPr>
          <w:rFonts w:ascii="Book Antiqua" w:hAnsi="Book Antiqua" w:cs="Times New Roman"/>
          <w:sz w:val="24"/>
          <w:szCs w:val="24"/>
        </w:rPr>
        <w:t xml:space="preserve">most clinical manifestations of IgG4-RD </w:t>
      </w:r>
      <w:r w:rsidRPr="000C178D">
        <w:rPr>
          <w:rFonts w:ascii="Book Antiqua" w:hAnsi="Book Antiqua" w:cs="Times New Roman"/>
          <w:sz w:val="24"/>
          <w:szCs w:val="24"/>
        </w:rPr>
        <w:lastRenderedPageBreak/>
        <w:t xml:space="preserve">respond well to initial induction therapy with </w:t>
      </w:r>
      <w:r w:rsidRPr="000C178D">
        <w:rPr>
          <w:rFonts w:ascii="Book Antiqua" w:hAnsi="Book Antiqua" w:cs="Times New Roman"/>
          <w:color w:val="000000"/>
          <w:sz w:val="24"/>
          <w:szCs w:val="24"/>
        </w:rPr>
        <w:t>0.6 mg/kg/</w:t>
      </w:r>
      <w:r w:rsidR="00A30DB7" w:rsidRPr="000C178D">
        <w:rPr>
          <w:rFonts w:ascii="Book Antiqua" w:hAnsi="Book Antiqua" w:cs="Times New Roman"/>
          <w:color w:val="000000"/>
          <w:sz w:val="24"/>
          <w:szCs w:val="24"/>
        </w:rPr>
        <w:t>d</w:t>
      </w:r>
      <w:r w:rsidRPr="000C178D">
        <w:rPr>
          <w:rFonts w:ascii="Book Antiqua" w:hAnsi="Book Antiqua" w:cs="Times New Roman"/>
          <w:color w:val="000000"/>
          <w:sz w:val="24"/>
          <w:szCs w:val="24"/>
        </w:rPr>
        <w:t xml:space="preserve"> or fixed 30</w:t>
      </w:r>
      <w:r w:rsidR="007063C9" w:rsidRPr="000C178D">
        <w:rPr>
          <w:rFonts w:ascii="Book Antiqua" w:hAnsi="Book Antiqua" w:cs="Times New Roman"/>
          <w:color w:val="000000"/>
          <w:sz w:val="24"/>
          <w:szCs w:val="24"/>
        </w:rPr>
        <w:t>-</w:t>
      </w:r>
      <w:r w:rsidRPr="000C178D">
        <w:rPr>
          <w:rFonts w:ascii="Book Antiqua" w:hAnsi="Book Antiqua" w:cs="Times New Roman"/>
          <w:color w:val="000000"/>
          <w:sz w:val="24"/>
          <w:szCs w:val="24"/>
        </w:rPr>
        <w:t>40 mg/</w:t>
      </w:r>
      <w:r w:rsidR="00A30DB7" w:rsidRPr="000C178D">
        <w:rPr>
          <w:rFonts w:ascii="Book Antiqua" w:hAnsi="Book Antiqua" w:cs="Times New Roman"/>
          <w:color w:val="000000"/>
          <w:sz w:val="24"/>
          <w:szCs w:val="24"/>
        </w:rPr>
        <w:t>d</w:t>
      </w:r>
      <w:r w:rsidRPr="000C178D">
        <w:rPr>
          <w:rFonts w:ascii="Book Antiqua" w:hAnsi="Book Antiqua" w:cs="Times New Roman"/>
          <w:color w:val="000000"/>
          <w:sz w:val="24"/>
          <w:szCs w:val="24"/>
        </w:rPr>
        <w:t xml:space="preserve"> dose of prednisolone for four weeks </w:t>
      </w:r>
      <w:r w:rsidR="001F6DF4" w:rsidRPr="000C178D">
        <w:rPr>
          <w:rFonts w:ascii="Book Antiqua" w:hAnsi="Book Antiqua" w:cs="Times New Roman"/>
          <w:color w:val="000000"/>
          <w:sz w:val="24"/>
          <w:szCs w:val="24"/>
        </w:rPr>
        <w:t xml:space="preserve">and then </w:t>
      </w:r>
      <w:r w:rsidRPr="000C178D">
        <w:rPr>
          <w:rFonts w:ascii="Book Antiqua" w:hAnsi="Book Antiqua" w:cs="Times New Roman"/>
          <w:color w:val="000000"/>
          <w:sz w:val="24"/>
          <w:szCs w:val="24"/>
        </w:rPr>
        <w:t xml:space="preserve">tapering </w:t>
      </w:r>
      <w:r w:rsidRPr="000C178D">
        <w:rPr>
          <w:rFonts w:ascii="Book Antiqua" w:hAnsi="Book Antiqua" w:cs="Times New Roman"/>
          <w:sz w:val="24"/>
          <w:szCs w:val="24"/>
          <w:shd w:val="clear" w:color="auto" w:fill="FFFFFF"/>
        </w:rPr>
        <w:t>by 2.5</w:t>
      </w:r>
      <w:r w:rsidR="007063C9" w:rsidRPr="000C178D">
        <w:rPr>
          <w:rFonts w:ascii="Book Antiqua" w:hAnsi="Book Antiqua" w:cs="Times New Roman"/>
          <w:sz w:val="24"/>
          <w:szCs w:val="24"/>
          <w:shd w:val="clear" w:color="auto" w:fill="FFFFFF"/>
        </w:rPr>
        <w:t>-</w:t>
      </w:r>
      <w:r w:rsidRPr="000C178D">
        <w:rPr>
          <w:rFonts w:ascii="Book Antiqua" w:hAnsi="Book Antiqua" w:cs="Times New Roman"/>
          <w:sz w:val="24"/>
          <w:szCs w:val="24"/>
          <w:shd w:val="clear" w:color="auto" w:fill="FFFFFF"/>
        </w:rPr>
        <w:t>5 mg/</w:t>
      </w:r>
      <w:proofErr w:type="spellStart"/>
      <w:r w:rsidRPr="000C178D">
        <w:rPr>
          <w:rFonts w:ascii="Book Antiqua" w:hAnsi="Book Antiqua" w:cs="Times New Roman"/>
          <w:sz w:val="24"/>
          <w:szCs w:val="24"/>
          <w:shd w:val="clear" w:color="auto" w:fill="FFFFFF"/>
        </w:rPr>
        <w:t>wk</w:t>
      </w:r>
      <w:proofErr w:type="spellEnd"/>
      <w:r w:rsidR="00F13746" w:rsidRPr="000C178D">
        <w:rPr>
          <w:rFonts w:ascii="Book Antiqua" w:hAnsi="Book Antiqua" w:cs="Times New Roman"/>
          <w:sz w:val="24"/>
          <w:szCs w:val="24"/>
          <w:shd w:val="clear" w:color="auto" w:fill="FFFFFF"/>
          <w:vertAlign w:val="superscript"/>
        </w:rPr>
        <w:t>[</w:t>
      </w:r>
      <w:r w:rsidRPr="000C178D">
        <w:rPr>
          <w:rFonts w:ascii="Book Antiqua" w:hAnsi="Book Antiqua" w:cs="Times New Roman"/>
          <w:color w:val="000000"/>
          <w:sz w:val="24"/>
          <w:szCs w:val="24"/>
          <w:lang w:val="lt-LT"/>
        </w:rPr>
        <w:fldChar w:fldCharType="begin" w:fldLock="1"/>
      </w:r>
      <w:r w:rsidR="001867B4" w:rsidRPr="000C178D">
        <w:rPr>
          <w:rFonts w:ascii="Book Antiqua" w:hAnsi="Book Antiqua" w:cs="Times New Roman"/>
          <w:color w:val="000000"/>
          <w:sz w:val="24"/>
          <w:szCs w:val="24"/>
          <w:lang w:val="lt-LT"/>
        </w:rPr>
        <w:instrText>ADDIN CSL_CITATION {"citationItems":[{"id":"ITEM-1","itemData":{"DOI":"10.1097/MD.0000000000004002","ISBN":"0000000000","ISSN":"15365964","abstract":"To review the reported evidence on the therapeutic management of IgG4-related disease (IgG4-RD) in clinical practice.A systematic search of the literature was conducted. The primary outcome measured was the rate of efficacy of first-line therapeutic approaches. Secondary outcomes measured included the rate of disease relapse, the outcome of untreated patients, the rate of patients without drug therapy at the end of follow-up, the rate of side effects, and mortality. The MOOSE, AHRQ, STROBE, and GRACE recommendations/statements were followed.The results of the systematic search strategy yielded 62 studies that included a total of 3034 patients. Complete information about first-line therapeutic regimens was detailed in 1952 patients, including glucocorticoid-based regimens in 1437 (74%), drug-free regimens in 213 (11%), and other therapies in 38 (2%). No therapy (wait and see management) was reported in 264 (13%) patients. The efficacy of monotherapy with glucocorticoids was specified in 1220 patients, of whom 97% had a therapeutic response. Relapses, however, were reported in 464/1395 (33%) patients despite typically short follow-up periods. Therapeutic efficacy was reported in 219/231 (95%) of relapses treated with glucocorticoids, 56/69 (81%) of those treated with azathioprine, 16/22 (72%) of those treated with other immunosuppressive agents, and in the 9 cases treated with rituximab (100%). In 14 studies, the authors detailed the outcome of 159/246 patients with wait-and-see management; spontaneous improvement or resolution was reported in 68 (43%) cases. Wide heterogeneity was observed with respect to the first-line therapeutic approaches used for the different organ-specific disease subsets, including significant differences in the mean dose of glucocorticoids used.Nearly 70% of reported IgG4-RD patients are treated with oral glucocorticoids in monotherapy. However, the therapeutic management is heavily influenced by geographical, epidemiological, and clinical factors, especially with respect to the predominant organ affected. The frequency of glucocorticoid failure to induce sustained remissions both during and after treatment and the assessment of glucocorticoid toxicity in IgG4-RD require further study.","author":[{"dropping-particle":"","family":"Brito-Zerón","given":"P.","non-dropping-particle":"","parse-names":false,"suffix":""},{"dropping-particle":"","family":"Kostov","given":"B.","non-dropping-particle":"","parse-names":false,"suffix":""},{"dropping-particle":"","family":"Bosch","given":"X.","non-dropping-particle":"","parse-names":false,"suffix":""},{"dropping-particle":"","family":"Acar-Denizli","given":"N.","non-dropping-particle":"","parse-names":false,"suffix":""},{"dropping-particle":"","family":"Ramos-Casals","given":"M.","non-dropping-particle":"","parse-names":false,"suffix":""},{"dropping-particle":"","family":"Stone","given":"J.H.","non-dropping-particle":"","parse-names":false,"suffix":""}],"container-title":"Medicine","id":"ITEM-1","issue":"26","issued":{"date-parts":[["2016"]]},"page":"1-10","title":"Therapeutic approach to IgG4-related disease: A systematic review","type":"article-journal","volume":"95"},"uris":["http://www.mendeley.com/documents/?uuid=ab70523b-3890-4f5d-ba9e-104901809f93"]},{"id":"ITEM-2","itemData":{"DOI":"10.1053/j.gastro.2018.06.082","ISSN":"15280012","abstract":"IgG4-related disease (IgG4-RD) is a chronic relapsing multi-organ fibro-inflammatory syndrome of presumed autoimmune etiology. It is characterized by increased serum levels of IgG4 and tissue infiltration by IgG4+ cells. Increased titers of autoantibodies against a spectrum of self-antigens and response to steroids have led to its characterization as an autoimmune disease. However, the pathognomonic antigens probably differ among manifestations, and different antigens or autoantibodies produce similar immune reactions in different organs. Little is known about the pathogenic effects, if any, of serum IgG4 or IgG4+ plasma cells in tissues. Despite several animal models of the disease, none truly recapitulates human IgG4-RD. Histologic analyses of tissues from patients with IgG4-RD reveal a dense lymphoplasmacytic infiltrate rich in IgG4+ plasma cells, storiform fibrosis, and obliterative phlebitis, although these features vary among organs. Typical presentation and imaging findings include mass-forming synchronous or metachronous lesions in almost any organ, but most commonly in the pancreas, bile duct, retroperitoneum, kidneys, lungs, salivary and lacrimal glands, orbit, and lymph nodes. In all organs, inflammation can be reduced by corticosteroids and drugs that deplete B cells, such as rituximab. Patients with IgG4-RD have relapses that respond to primary therapy. Intense fibrosis accompanies the inflammatory response, leading to permanent organ damage and insufficiency. Death from IgG4-RD is rare. IgG4-RD is a multi-organ disease with predominant pancreatico-biliary involvement. Despite its relapsing–remitting course, patients have an excellent prognosis.","author":[{"dropping-particle":"","family":"Miyabe","given":"Katsuyuki","non-dropping-particle":"","parse-names":false,"suffix":""},{"dropping-particle":"","family":"Zen","given":"Yoh","non-dropping-particle":"","parse-names":false,"suffix":""},{"dropping-particle":"","family":"Cornell","given":"Lynn D.","non-dropping-particle":"","parse-names":false,"suffix":""},{"dropping-particle":"","family":"Rajagopalan","given":"Govindarajan","non-dropping-particle":"","parse-names":false,"suffix":""},{"dropping-particle":"","family":"Chowdhary","given":"Vaidehi R.","non-dropping-particle":"","parse-names":false,"suffix":""},{"dropping-particle":"","family":"Roberts","given":"Lewis R.","non-dropping-particle":"","parse-names":false,"suffix":""},{"dropping-particle":"","family":"Chari","given":"Suresh T.","non-dropping-particle":"","parse-names":false,"suffix":""}],"container-title":"Gastroenterology","id":"ITEM-2","issue":"4","issued":{"date-parts":[["2018"]]},"page":"990-1003.e1","publisher":"Elsevier, Inc","title":"Gastrointestinal and Extra-Intestinal Manifestations of IgG4–Related Disease","type":"article-journal","volume":"155"},"uris":["http://www.mendeley.com/documents/?uuid=54bfed4a-66dc-4bc2-9ebf-922dd5c760a3"]},{"id":"ITEM-3","itemData":{"DOI":"10.1016/j.pan.2016.12.003","ISSN":"14243911","abstract":"Background and aims The International Consensus Diagnostic Criteria (ICDC) for AIP has proposed two distinctive type of AIP, type 1 and type 2, and enabled us first to differentiate two types of AIP each other. By initial steroid treatment for induction of remission, remission can be successfully induced in almost all subjects with type 1 and type 2 AIP. As relapse rate in type 1 AIP is significantly higher than in type 2 AIP, there has been ongoing debate on how to treat effectively relapse of type 1 AIP. Methods By a modified Delphi approach, a panel of international experts has proposed an international consensus on the treatment of AIP after intense discussion and deliberation during an international consensus symposium of the International Association of Pancreatology (IAP) 2016. Results Individual statements for nine clinical questions with recommendation levels and the therapeutic strategy have been proposed. Conclusion The recommendations are based on the available evidence, and eastern and western experts' opinions to find standard treatment of AIP worldwide. These recommendations can be tailored according to the local expertise and context in the management of individual patients.","author":[{"dropping-particle":"","family":"Okazaki","given":"Kazuichi","non-dropping-particle":"","parse-names":false,"suffix":""},{"dropping-particle":"","family":"Chari","given":"Suresh T.","non-dropping-particle":"","parse-names":false,"suffix":""},{"dropping-particle":"","family":"Frulloni","given":"Luca","non-dropping-particle":"","parse-names":false,"suffix":""},{"dropping-particle":"","family":"Lerch","given":"Markus M.","non-dropping-particle":"","parse-names":false,"suffix":""},{"dropping-particle":"","family":"Kamisawa","given":"Terumi","non-dropping-particle":"","parse-names":false,"suffix":""},{"dropping-particle":"","family":"Kawa","given":"Shigeyuki","non-dropping-particle":"","parse-names":false,"suffix":""},{"dropping-particle":"","family":"Kim","given":"Myung Hwan","non-dropping-particle":"","parse-names":false,"suffix":""},{"dropping-particle":"","family":"Lévy","given":"Philippe","non-dropping-particle":"","parse-names":false,"suffix":""},{"dropping-particle":"","family":"Masamune","given":"Atsushi","non-dropping-particle":"","parse-names":false,"suffix":""},{"dropping-particle":"","family":"Webster","given":"George","non-dropping-particle":"","parse-names":false,"suffix":""},{"dropping-particle":"","family":"Shimosegawa","given":"Tooru","non-dropping-particle":"","parse-names":false,"suffix":""}],"container-title":"Pancreatology","id":"ITEM-3","issue":"1","issued":{"date-parts":[["2017","1","1"]]},"page":"1-6","publisher":"Elsevier B.V.","title":"International consensus for the treatment of autoimmune pancreatitis","type":"article-journal","volume":"17"},"uris":["http://www.mendeley.com/documents/?uuid=3036535d-581d-342c-8403-b23bf12de8af"]},{"id":"ITEM-4","itemData":{"DOI":"10.1002/art.39132","ISSN":"23265205","abstract":"homozygous for wild type or sirt1tm2.1Mcby (sirt1y/y), an allele carrying a point mutation that encodes a Sirt1 protein with no enzymatic activity. Mice aged 2 days and 6/7 days were also examinated. Joint cartilage was processed for histologic examination or biochemical analyses of chondrocyte cultures. Results: We found that articular cartilage tissue sections from sirt1y/y mice, up to 6 months of age, contained reduced levels of type 2 collagen, aggrecan, and glycosaminoglycan. In contrast, protein levels of MMP-8, MMP-9, and MMP-13 were elevated in the sirt1y/y mice cartilage. Additional results showed elevated chondrocyte apoptosis in Sirt1 mutant mice as compared to wild type littermates. In line with these observations, PTP1b (protein tyrosine phosphatase b) was elevated in the sirt1y/y mice. Conclusion: Our in vivo findings from this animal model demonstrated that mice with defective Sirt1 also had defective cartilage with elevated rates of cartilage degradation with age. Hence, normal cartilage homeostasis requires enzymatically active Sirt1 protein.","author":[{"dropping-particle":"","family":"Khosroshahi","given":"A.","non-dropping-particle":"","parse-names":false,"suffix":""},{"dropping-particle":"","family":"Wallace","given":"Z. S.","non-dropping-particle":"","parse-names":false,"suffix":""},{"dropping-particle":"","family":"Crowe","given":"J. L.","non-dropping-particle":"","parse-names":false,"suffix":""},{"dropping-particle":"","family":"Akamizu","given":"T.","non-dropping-particle":"","parse-names":false,"suffix":""},{"dropping-particle":"","family":"Azumi","given":"A.","non-dropping-particle":"","parse-names":false,"suffix":""},{"dropping-particle":"","family":"Carruthers","given":"M. N.","non-dropping-particle":"","parse-names":false,"suffix":""},{"dropping-particle":"","family":"Chari","given":"S. T.","non-dropping-particle":"","parse-names":false,"suffix":""},{"dropping-particle":"","family":"Della-Torre","given":"E.","non-dropping-particle":"","parse-names":false,"suffix":""},{"dropping-particle":"","family":"Frulloni","given":"L.","non-dropping-particle":"","parse-names":false,"suffix":""},{"dropping-particle":"","family":"Goto","given":"H.","non-dropping-particle":"","parse-names":false,"suffix":""},{"dropping-particle":"","family":"Hart","given":"P. A.","non-dropping-particle":"","parse-names":false,"suffix":""},{"dropping-particle":"","family":"Kamisawa","given":"T.","non-dropping-particle":"","parse-names":false,"suffix":""},{"dropping-particle":"","family":"Kawa","given":"S.","non-dropping-particle":"","parse-names":false,"suffix":""},{"dropping-particle":"","family":"Kawano","given":"M.","non-dropping-particle":"","parse-names":false,"suffix":""},{"dropping-particle":"","family":"Kim","given":"M. H.","non-dropping-particle":"","parse-names":false,"suffix":""},{"dropping-particle":"","family":"Kodama","given":"Y.","non-dropping-particle":"","parse-names":false,"suffix":""},{"dropping-particle":"","family":"Kubota","given":"K.","non-dropping-particle":"","parse-names":false,"suffix":""},{"dropping-particle":"","family":"Lerch","given":"M. M.","non-dropping-particle":"","parse-names":false,"suffix":""},{"dropping-particle":"","family":"Löhr","given":"M.","non-dropping-particle":"","parse-names":false,"suffix":""},{"dropping-particle":"","family":"Masaki","given":"Y.","non-dropping-particle":"","parse-names":false,"suffix":""},{"dropping-particle":"","family":"Matsui","given":"S.","non-dropping-particle":"","parse-names":false,"suffix":""},{"dropping-particle":"","family":"Mimori","given":"T.","non-dropping-particle":"","parse-names":false,"suffix":""},{"dropping-particle":"","family":"Nakamura","given":"S.","non-dropping-particle":"","parse-names":false,"suffix":""},{"dropping-particle":"","family":"Nakazawa","given":"T.","non-dropping-particle":"","parse-names":false,"suffix":""},{"dropping-particle":"","family":"Ohara","given":"H.","non-dropping-particle":"","parse-names":false,"suffix":""},{"dropping-particle":"","family":"Okazaki","given":"K.","non-dropping-particle":"","parse-names":false,"suffix":""},{"dropping-particle":"","family":"Ryu","given":"J. H.","non-dropping-particle":"","parse-names":false,"suffix":""},{"dropping-particle":"","family":"Saeki","given":"T.","non-dropping-particle":"","parse-names":false,"suffix":""},{"dropping-particle":"","family":"Schleinitz","given":"N.","non-dropping-particle":"","parse-names":false,"suffix":""},{"dropping-particle":"","family":"Shimatsu","given":"A.","non-dropping-particle":"","parse-names":false,"suffix":""},{"dropping-particle":"","family":"Shimosegawa","given":"T.","non-dropping-particle":"","parse-names":false,"suffix":""},{"dropping-particle":"","family":"Takahashi","given":"H.","non-dropping-particle":"","parse-names":false,"suffix":""},{"dropping-particle":"","family":"Takahira","given":"M.","non-dropping-particle":"","parse-names":false,"suffix":""},{"dropping-particle":"","family":"Tanaka","given":"A.","non-dropping-particle":"","parse-names":false,"suffix":""},{"dropping-particle":"","family":"Topazian","given":"M.","non-dropping-particle":"","parse-names":false,"suffix":""},{"dropping-particle":"","family":"Umehara","given":"H.","non-dropping-particle":"","parse-names":false,"suffix":""},{"dropping-particle":"","family":"Webster","given":"G. J.","non-dropping-particle":"","parse-names":false,"suffix":""},{"dropping-particle":"","family":"Witzig","given":"T. E.","non-dropping-particle":"","parse-names":false,"suffix":""},{"dropping-particle":"","family":"Yamamoto","given":"M.","non-dropping-particle":"","parse-names":false,"suffix":""},{"dropping-particle":"","family":"Zhang","given":"W.","non-dropping-particle":"","parse-names":false,"suffix":""},{"dropping-particle":"","family":"Chiba","given":"T.","non-dropping-particle":"","parse-names":false,"suffix":""},{"dropping-particle":"","family":"Stone","given":"J. H.","non-dropping-particle":"","parse-names":false,"suffix":""}],"container-title":"Arthritis and Rheumatology","id":"ITEM-4","issue":"7","issued":{"date-parts":[["2015","7","1"]]},"page":"1688-1699","publisher":"John Wiley and Sons Inc.","title":"International consensus guidance statement on the management and treatment of IgG4-related disease","type":"article-journal","volume":"67"},"uris":["http://www.mendeley.com/documents/?uuid=fa8319a0-402b-3c3c-89be-41b01af51b81"]}],"mendeley":{"formattedCitation":"&lt;sup&gt;4,28–30&lt;/sup&gt;","plainTextFormattedCitation":"4,28–30","previouslyFormattedCitation":"[4,28–30]"},"properties":{"noteIndex":0},"schema":"https://github.com/citation-style-language/schema/raw/master/csl-citation.json"}</w:instrText>
      </w:r>
      <w:r w:rsidRPr="000C178D">
        <w:rPr>
          <w:rFonts w:ascii="Book Antiqua" w:hAnsi="Book Antiqua" w:cs="Times New Roman"/>
          <w:color w:val="000000"/>
          <w:sz w:val="24"/>
          <w:szCs w:val="24"/>
          <w:lang w:val="lt-LT"/>
        </w:rPr>
        <w:fldChar w:fldCharType="separate"/>
      </w:r>
      <w:r w:rsidR="001867B4" w:rsidRPr="000C178D">
        <w:rPr>
          <w:rFonts w:ascii="Book Antiqua" w:hAnsi="Book Antiqua" w:cs="Times New Roman"/>
          <w:noProof/>
          <w:color w:val="000000"/>
          <w:sz w:val="24"/>
          <w:szCs w:val="24"/>
          <w:vertAlign w:val="superscript"/>
          <w:lang w:val="lt-LT"/>
        </w:rPr>
        <w:t>4,28–30</w:t>
      </w:r>
      <w:r w:rsidRPr="000C178D">
        <w:rPr>
          <w:rFonts w:ascii="Book Antiqua" w:hAnsi="Book Antiqua" w:cs="Times New Roman"/>
          <w:color w:val="000000"/>
          <w:sz w:val="24"/>
          <w:szCs w:val="24"/>
          <w:lang w:val="lt-LT"/>
        </w:rPr>
        <w:fldChar w:fldCharType="end"/>
      </w:r>
      <w:r w:rsidR="00F13746" w:rsidRPr="000C178D">
        <w:rPr>
          <w:rFonts w:ascii="Book Antiqua" w:hAnsi="Book Antiqua" w:cs="Times New Roman"/>
          <w:color w:val="000000"/>
          <w:sz w:val="24"/>
          <w:szCs w:val="24"/>
          <w:vertAlign w:val="superscript"/>
          <w:lang w:val="lt-LT"/>
        </w:rPr>
        <w:t>]</w:t>
      </w:r>
      <w:r w:rsidRPr="000C178D">
        <w:rPr>
          <w:rFonts w:ascii="Book Antiqua" w:hAnsi="Book Antiqua" w:cs="Times New Roman"/>
          <w:color w:val="000000"/>
          <w:sz w:val="24"/>
          <w:szCs w:val="24"/>
          <w:lang w:val="lt-LT"/>
        </w:rPr>
        <w:t>.</w:t>
      </w:r>
      <w:r w:rsidR="00061CB6" w:rsidRPr="000C178D">
        <w:rPr>
          <w:rFonts w:ascii="Book Antiqua" w:hAnsi="Book Antiqua" w:cs="Times New Roman"/>
          <w:color w:val="000000"/>
          <w:sz w:val="24"/>
          <w:szCs w:val="24"/>
          <w:lang w:val="lt-LT"/>
        </w:rPr>
        <w:t xml:space="preserve"> </w:t>
      </w:r>
      <w:r w:rsidRPr="000C178D">
        <w:rPr>
          <w:rFonts w:ascii="Book Antiqua" w:hAnsi="Book Antiqua" w:cs="Times New Roman"/>
          <w:color w:val="000000"/>
          <w:sz w:val="24"/>
          <w:szCs w:val="24"/>
          <w:lang w:val="lt-LT"/>
        </w:rPr>
        <w:t>In case of good response</w:t>
      </w:r>
      <w:r w:rsidR="00B34D3D" w:rsidRPr="000C178D">
        <w:rPr>
          <w:rFonts w:ascii="Book Antiqua" w:hAnsi="Book Antiqua" w:cs="Times New Roman"/>
          <w:color w:val="000000"/>
          <w:sz w:val="24"/>
          <w:szCs w:val="24"/>
          <w:lang w:val="lt-LT"/>
        </w:rPr>
        <w:t>,</w:t>
      </w:r>
      <w:r w:rsidRPr="000C178D">
        <w:rPr>
          <w:rFonts w:ascii="Book Antiqua" w:hAnsi="Book Antiqua" w:cs="Times New Roman"/>
          <w:color w:val="000000"/>
          <w:sz w:val="24"/>
          <w:szCs w:val="24"/>
          <w:lang w:val="lt-LT"/>
        </w:rPr>
        <w:t xml:space="preserve"> there are two possibilities: </w:t>
      </w:r>
      <w:r w:rsidR="00BB67EB" w:rsidRPr="000C178D">
        <w:rPr>
          <w:rFonts w:ascii="Book Antiqua" w:hAnsi="Book Antiqua" w:cs="Times New Roman"/>
          <w:color w:val="000000"/>
          <w:sz w:val="24"/>
          <w:szCs w:val="24"/>
          <w:lang w:val="lt-LT"/>
        </w:rPr>
        <w:t>T</w:t>
      </w:r>
      <w:r w:rsidRPr="000C178D">
        <w:rPr>
          <w:rFonts w:ascii="Book Antiqua" w:hAnsi="Book Antiqua" w:cs="Times New Roman"/>
          <w:color w:val="000000"/>
          <w:sz w:val="24"/>
          <w:szCs w:val="24"/>
          <w:lang w:val="lt-LT"/>
        </w:rPr>
        <w:t>aper GC until</w:t>
      </w:r>
      <w:r w:rsidRPr="000C178D">
        <w:rPr>
          <w:rFonts w:ascii="Book Antiqua" w:hAnsi="Book Antiqua" w:cs="Times New Roman"/>
          <w:sz w:val="24"/>
          <w:szCs w:val="24"/>
          <w:shd w:val="clear" w:color="auto" w:fill="FFFFFF"/>
        </w:rPr>
        <w:t xml:space="preserve"> patients are off the drugs or</w:t>
      </w:r>
      <w:r w:rsidRPr="000C178D">
        <w:rPr>
          <w:rStyle w:val="frontelement"/>
          <w:rFonts w:ascii="Book Antiqua" w:hAnsi="Book Antiqua" w:cs="Times New Roman"/>
          <w:sz w:val="24"/>
          <w:szCs w:val="24"/>
          <w:shd w:val="clear" w:color="auto" w:fill="FFFFFF"/>
        </w:rPr>
        <w:t xml:space="preserve"> until the </w:t>
      </w:r>
      <w:r w:rsidRPr="000C178D">
        <w:rPr>
          <w:rFonts w:ascii="Book Antiqua" w:hAnsi="Book Antiqua" w:cs="Times New Roman"/>
          <w:color w:val="000000"/>
          <w:sz w:val="24"/>
          <w:szCs w:val="24"/>
        </w:rPr>
        <w:t>maintenance dose of 2.5</w:t>
      </w:r>
      <w:r w:rsidR="007063C9" w:rsidRPr="000C178D">
        <w:rPr>
          <w:rFonts w:ascii="Book Antiqua" w:hAnsi="Book Antiqua" w:cs="Times New Roman"/>
          <w:color w:val="000000"/>
          <w:sz w:val="24"/>
          <w:szCs w:val="24"/>
        </w:rPr>
        <w:t>-</w:t>
      </w:r>
      <w:r w:rsidRPr="000C178D">
        <w:rPr>
          <w:rFonts w:ascii="Book Antiqua" w:hAnsi="Book Antiqua" w:cs="Times New Roman"/>
          <w:color w:val="000000"/>
          <w:sz w:val="24"/>
          <w:szCs w:val="24"/>
        </w:rPr>
        <w:t>5.0 mg/</w:t>
      </w:r>
      <w:r w:rsidR="00A30DB7" w:rsidRPr="000C178D">
        <w:rPr>
          <w:rFonts w:ascii="Book Antiqua" w:hAnsi="Book Antiqua" w:cs="Times New Roman"/>
          <w:color w:val="000000"/>
          <w:sz w:val="24"/>
          <w:szCs w:val="24"/>
        </w:rPr>
        <w:t>d</w:t>
      </w:r>
      <w:r w:rsidR="001F6DF4" w:rsidRPr="000C178D">
        <w:rPr>
          <w:rFonts w:ascii="Book Antiqua" w:hAnsi="Book Antiqua" w:cs="Times New Roman"/>
          <w:color w:val="000000"/>
          <w:sz w:val="24"/>
          <w:szCs w:val="24"/>
        </w:rPr>
        <w:t xml:space="preserve"> </w:t>
      </w:r>
      <w:r w:rsidR="001F6DF4" w:rsidRPr="000C178D">
        <w:rPr>
          <w:rFonts w:ascii="Book Antiqua" w:hAnsi="Book Antiqua"/>
          <w:sz w:val="24"/>
          <w:szCs w:val="24"/>
        </w:rPr>
        <w:t xml:space="preserve">which is continued from 6 months up to 3 </w:t>
      </w:r>
      <w:r w:rsidR="00E52D41" w:rsidRPr="000C178D">
        <w:rPr>
          <w:rFonts w:ascii="Book Antiqua" w:hAnsi="Book Antiqua"/>
          <w:sz w:val="24"/>
          <w:szCs w:val="24"/>
        </w:rPr>
        <w:t>years</w:t>
      </w:r>
      <w:r w:rsidR="00F13746" w:rsidRPr="000C178D">
        <w:rPr>
          <w:rFonts w:ascii="Book Antiqua" w:hAnsi="Book Antiqua"/>
          <w:sz w:val="24"/>
          <w:szCs w:val="24"/>
          <w:vertAlign w:val="superscript"/>
        </w:rPr>
        <w:t>[</w:t>
      </w:r>
      <w:r w:rsidR="00B34D3D" w:rsidRPr="000C178D">
        <w:rPr>
          <w:rFonts w:ascii="Book Antiqua" w:hAnsi="Book Antiqua" w:cs="Times New Roman"/>
          <w:sz w:val="24"/>
          <w:szCs w:val="24"/>
          <w:lang w:val="lt-LT"/>
        </w:rPr>
        <w:fldChar w:fldCharType="begin" w:fldLock="1"/>
      </w:r>
      <w:r w:rsidR="001867B4" w:rsidRPr="000C178D">
        <w:rPr>
          <w:rFonts w:ascii="Book Antiqua" w:hAnsi="Book Antiqua" w:cs="Times New Roman"/>
          <w:sz w:val="24"/>
          <w:szCs w:val="24"/>
          <w:lang w:val="lt-LT"/>
        </w:rPr>
        <w:instrText>ADDIN CSL_CITATION {"citationItems":[{"id":"ITEM-1","itemData":{"DOI":"10.1016/j.berh.2016.07.003","ISSN":"15321770","abstract":"IgG4-related disease is a rare immune-mediated systemic disease with the capability of involving essentially any organ. Although the presenting clinical features vary substantially according to the speciality to which patients present first, perhaps the most common clinical presentation is that of single or multiple organ enlargement, arousing suspicion of cancer. The disease is frequently diagnosed unexpectedly in pathological specimens or on imaging studies. The diagnostic approach is complex and includes not only IgG4-related tests (serum levels, circulating plasmablasts, and specific immunohistochemical studies), but also clinical, laboratory, and imaging tests as well as the typical histopathological features (lymphocytic infiltration, storiform fibrosis, eosinophilic infiltration, and obliterative phlebitis). IgG4-related tests should not be considered as diagnostic in the absence of an appropriate clinical scenario. Therapeutic approaches reported to date pertain primarily to glucocorticoids, but the use of these medications has not been studied in a controlled or prospective manner. The most current investigational treatment approaches have focused on targeting cells of the B-cell lineage, including B-cell-depleting agents (rituximab) and a non-depleting homodimer monoclonal antibody targeting CD19 and Fc-gamma RIIIb.","author":[{"dropping-particle":"","family":"Brito-Zerón","given":"Pilar","non-dropping-particle":"","parse-names":false,"suffix":""},{"dropping-particle":"","family":"Bosch","given":"Xavier","non-dropping-particle":"","parse-names":false,"suffix":""},{"dropping-particle":"","family":"Ramos-Casals","given":"Manuel","non-dropping-particle":"","parse-names":false,"suffix":""},{"dropping-particle":"","family":"Stone","given":"John H.","non-dropping-particle":"","parse-names":false,"suffix":""}],"container-title":"Best Practice and Research: Clinical Rheumatology","id":"ITEM-1","issue":"2","issued":{"date-parts":[["2016"]]},"page":"261-278","title":"IgG4-related disease: Advances in the diagnosis and treatment","type":"article-journal","volume":"30"},"uris":["http://www.mendeley.com/documents/?uuid=2efa6376-3238-401c-a561-2d4853786c16"]},{"id":"ITEM-2","itemData":{"DOI":"10.1053/j.gastro.2018.06.082","ISSN":"15280012","abstract":"IgG4-related disease (IgG4-RD) is a chronic relapsing multi-organ fibro-inflammatory syndrome of presumed autoimmune etiology. It is characterized by increased serum levels of IgG4 and tissue infiltration by IgG4+ cells. Increased titers of autoantibodies against a spectrum of self-antigens and response to steroids have led to its characterization as an autoimmune disease. However, the pathognomonic antigens probably differ among manifestations, and different antigens or autoantibodies produce similar immune reactions in different organs. Little is known about the pathogenic effects, if any, of serum IgG4 or IgG4+ plasma cells in tissues. Despite several animal models of the disease, none truly recapitulates human IgG4-RD. Histologic analyses of tissues from patients with IgG4-RD reveal a dense lymphoplasmacytic infiltrate rich in IgG4+ plasma cells, storiform fibrosis, and obliterative phlebitis, although these features vary among organs. Typical presentation and imaging findings include mass-forming synchronous or metachronous lesions in almost any organ, but most commonly in the pancreas, bile duct, retroperitoneum, kidneys, lungs, salivary and lacrimal glands, orbit, and lymph nodes. In all organs, inflammation can be reduced by corticosteroids and drugs that deplete B cells, such as rituximab. Patients with IgG4-RD have relapses that respond to primary therapy. Intense fibrosis accompanies the inflammatory response, leading to permanent organ damage and insufficiency. Death from IgG4-RD is rare. IgG4-RD is a multi-organ disease with predominant pancreatico-biliary involvement. Despite its relapsing–remitting course, patients have an excellent prognosis.","author":[{"dropping-particle":"","family":"Miyabe","given":"Katsuyuki","non-dropping-particle":"","parse-names":false,"suffix":""},{"dropping-particle":"","family":"Zen","given":"Yoh","non-dropping-particle":"","parse-names":false,"suffix":""},{"dropping-particle":"","family":"Cornell","given":"Lynn D.","non-dropping-particle":"","parse-names":false,"suffix":""},{"dropping-particle":"","family":"Rajagopalan","given":"Govindarajan","non-dropping-particle":"","parse-names":false,"suffix":""},{"dropping-particle":"","family":"Chowdhary","given":"Vaidehi R.","non-dropping-particle":"","parse-names":false,"suffix":""},{"dropping-particle":"","family":"Roberts","given":"Lewis R.","non-dropping-particle":"","parse-names":false,"suffix":""},{"dropping-particle":"","family":"Chari","given":"Suresh T.","non-dropping-particle":"","parse-names":false,"suffix":""}],"container-title":"Gastroenterology","id":"ITEM-2","issue":"4","issued":{"date-parts":[["2018"]]},"page":"990-1003.e1","publisher":"Elsevier, Inc","title":"Gastrointestinal and Extra-Intestinal Manifestations of IgG4–Related Disease","type":"article-journal","volume":"155"},"uris":["http://www.mendeley.com/documents/?uuid=54bfed4a-66dc-4bc2-9ebf-922dd5c760a3"]},{"id":"ITEM-3","itemData":{"DOI":"10.1016/j.ejim.2015.09.022","ISSN":"09536205","abstract":"IgG4-related disease (IgG4-RD) is a recently recognized chronic fibrotic inflammation, which can affect almost every organ, and may come to clinical attention first due to visible organ swelling or organ dysfunction, or is identified incidentally by imaging and specific biopsy. The disorder has an allergic background and is immune-mediated. Up-regulated responses of T helper 2 and T regulatory cells and their cytokines play a major role in disease progression. About 30-50% of patients are atopic or have mild eosinophilia. IgG4-RD predominantly affects middle-aged male patients. The cornerstones of diagnosis of the disease are compatible clinical features and typical histopathology. Swelling of salivary and lacrimal glands, lymphadenopathy, and type 1 autoimmune pancreatitis (AIP) are the most common manifestations of the disease. However, other tissues and organs, such as retroperitoneum, lung, kidney, aorta, upper airways, thyroid gland, meninges, heart, mesenterium and skin may be involved. Typical histopathology is lymphoplasmacytic infiltration abundant in IgG4-positive plasma cells, storiform-type fibrosis, and obliterative phlebitis. Elevated serum IgG4 concentration supports the diagnosis. Characteristic imaging features such as a »capsule-like rim» surrounding the pancreatic lesions is highly specific to type 1 AIP. 18F-fluorodeoxyglucose positron emission tomography/computed tomography enables mapping the sites of inflammation, permits evaluation of the extent of the disease, helps in guiding biopsy decision, and may be used in monitoring response to treatment. Glucocorticoids alone or in combination with B-cell depletion with rituximab induces prompt clinical response to IgG4-RD. This article reviews the current understanding, different clinical manifestations, and approaches to diagnosis and treatment of IgG4-RD.","author":[{"dropping-particle":"","family":"Vasaitis","given":"Lilian","non-dropping-particle":"","parse-names":false,"suffix":""}],"container-title":"European Journal of Internal Medicine","id":"ITEM-3","issued":{"date-parts":[["2016","1"]]},"page":"1-9","title":"IgG4-related disease: A relatively new concept for clinicians","type":"article-journal","volume":"27"},"uris":["http://www.mendeley.com/documents/?uuid=ca0ef16d-e19e-3fea-b5e5-d9d2dada3243"]}],"mendeley":{"formattedCitation":"&lt;sup&gt;2,4,31&lt;/sup&gt;","plainTextFormattedCitation":"2,4,31","previouslyFormattedCitation":"[2,4,31]"},"properties":{"noteIndex":0},"schema":"https://github.com/citation-style-language/schema/raw/master/csl-citation.json"}</w:instrText>
      </w:r>
      <w:r w:rsidR="00B34D3D" w:rsidRPr="000C178D">
        <w:rPr>
          <w:rFonts w:ascii="Book Antiqua" w:hAnsi="Book Antiqua" w:cs="Times New Roman"/>
          <w:sz w:val="24"/>
          <w:szCs w:val="24"/>
          <w:lang w:val="lt-LT"/>
        </w:rPr>
        <w:fldChar w:fldCharType="separate"/>
      </w:r>
      <w:r w:rsidR="001867B4" w:rsidRPr="000C178D">
        <w:rPr>
          <w:rFonts w:ascii="Book Antiqua" w:hAnsi="Book Antiqua" w:cs="Times New Roman"/>
          <w:noProof/>
          <w:sz w:val="24"/>
          <w:szCs w:val="24"/>
          <w:vertAlign w:val="superscript"/>
          <w:lang w:val="lt-LT"/>
        </w:rPr>
        <w:t>2,4,31</w:t>
      </w:r>
      <w:r w:rsidR="00B34D3D" w:rsidRPr="000C178D">
        <w:rPr>
          <w:rFonts w:ascii="Book Antiqua" w:hAnsi="Book Antiqua" w:cs="Times New Roman"/>
          <w:sz w:val="24"/>
          <w:szCs w:val="24"/>
          <w:lang w:val="lt-LT"/>
        </w:rPr>
        <w:fldChar w:fldCharType="end"/>
      </w:r>
      <w:r w:rsidR="00F13746" w:rsidRPr="000C178D">
        <w:rPr>
          <w:rFonts w:ascii="Book Antiqua" w:hAnsi="Book Antiqua" w:cs="Times New Roman"/>
          <w:sz w:val="24"/>
          <w:szCs w:val="24"/>
          <w:vertAlign w:val="superscript"/>
          <w:lang w:val="lt-LT"/>
        </w:rPr>
        <w:t>]</w:t>
      </w:r>
      <w:r w:rsidR="00B34D3D" w:rsidRPr="000C178D">
        <w:rPr>
          <w:rFonts w:ascii="Book Antiqua" w:hAnsi="Book Antiqua"/>
          <w:sz w:val="24"/>
          <w:szCs w:val="24"/>
        </w:rPr>
        <w:t>.</w:t>
      </w:r>
      <w:r w:rsidR="00B34D3D" w:rsidRPr="000C178D">
        <w:rPr>
          <w:rFonts w:ascii="Book Antiqua" w:hAnsi="Book Antiqua" w:cs="Times New Roman"/>
          <w:sz w:val="24"/>
          <w:szCs w:val="24"/>
          <w:shd w:val="clear" w:color="auto" w:fill="FFFFFF" w:themeFill="background1"/>
          <w:lang w:val="lt-LT"/>
        </w:rPr>
        <w:t xml:space="preserve"> </w:t>
      </w:r>
      <w:r w:rsidR="00B34D3D" w:rsidRPr="000C178D">
        <w:rPr>
          <w:rFonts w:ascii="Book Antiqua" w:hAnsi="Book Antiqua" w:cs="Times New Roman"/>
          <w:color w:val="000000" w:themeColor="text1"/>
          <w:sz w:val="24"/>
          <w:szCs w:val="24"/>
          <w:shd w:val="clear" w:color="auto" w:fill="FFFFFF" w:themeFill="background1"/>
          <w:lang w:val="lt-LT"/>
        </w:rPr>
        <w:t>The use of the higher doses of GC are reported in patients with severe</w:t>
      </w:r>
      <w:r w:rsidR="00B34D3D" w:rsidRPr="000C178D">
        <w:rPr>
          <w:rFonts w:ascii="Book Antiqua" w:hAnsi="Book Antiqua" w:cs="Times New Roman"/>
          <w:color w:val="000000" w:themeColor="text1"/>
          <w:sz w:val="24"/>
          <w:szCs w:val="24"/>
          <w:shd w:val="clear" w:color="auto" w:fill="FFFFFF" w:themeFill="background1"/>
        </w:rPr>
        <w:t xml:space="preserve"> complications (pancreatic, pulmonary, renal and retroperitoneal involvements),</w:t>
      </w:r>
      <w:r w:rsidR="00B34D3D" w:rsidRPr="000C178D">
        <w:rPr>
          <w:rFonts w:ascii="Book Antiqua" w:hAnsi="Book Antiqua" w:cs="Times New Roman"/>
          <w:color w:val="000000" w:themeColor="text1"/>
          <w:sz w:val="24"/>
          <w:szCs w:val="24"/>
        </w:rPr>
        <w:t xml:space="preserve"> </w:t>
      </w:r>
      <w:r w:rsidR="00B34D3D" w:rsidRPr="000C178D">
        <w:rPr>
          <w:rFonts w:ascii="Book Antiqua" w:hAnsi="Book Antiqua" w:cs="Times New Roman"/>
          <w:color w:val="000000" w:themeColor="text1"/>
          <w:sz w:val="24"/>
          <w:szCs w:val="24"/>
          <w:shd w:val="clear" w:color="auto" w:fill="FFFFFF" w:themeFill="background1"/>
        </w:rPr>
        <w:t>and lower doses are suggested in patients with cardiovascular diseases and the elderly</w:t>
      </w:r>
      <w:r w:rsidR="00F13746" w:rsidRPr="000C178D">
        <w:rPr>
          <w:rFonts w:ascii="Book Antiqua" w:hAnsi="Book Antiqua" w:cs="Times New Roman"/>
          <w:color w:val="000000" w:themeColor="text1"/>
          <w:sz w:val="24"/>
          <w:szCs w:val="24"/>
          <w:shd w:val="clear" w:color="auto" w:fill="FFFFFF" w:themeFill="background1"/>
          <w:vertAlign w:val="superscript"/>
        </w:rPr>
        <w:t>[</w:t>
      </w:r>
      <w:r w:rsidR="00B34D3D" w:rsidRPr="000C178D">
        <w:rPr>
          <w:rFonts w:ascii="Book Antiqua" w:hAnsi="Book Antiqua" w:cs="Times New Roman"/>
          <w:color w:val="000000" w:themeColor="text1"/>
          <w:sz w:val="24"/>
          <w:szCs w:val="24"/>
          <w:shd w:val="clear" w:color="auto" w:fill="FFFFFF" w:themeFill="background1"/>
          <w:lang w:val="lt-LT"/>
        </w:rPr>
        <w:fldChar w:fldCharType="begin" w:fldLock="1"/>
      </w:r>
      <w:r w:rsidR="001867B4" w:rsidRPr="000C178D">
        <w:rPr>
          <w:rFonts w:ascii="Book Antiqua" w:hAnsi="Book Antiqua" w:cs="Times New Roman"/>
          <w:color w:val="000000" w:themeColor="text1"/>
          <w:sz w:val="24"/>
          <w:szCs w:val="24"/>
          <w:shd w:val="clear" w:color="auto" w:fill="FFFFFF" w:themeFill="background1"/>
          <w:lang w:val="lt-LT"/>
        </w:rPr>
        <w:instrText>ADDIN CSL_CITATION {"citationItems":[{"id":"ITEM-1","itemData":{"DOI":"10.1016/j.berh.2016.07.003","ISSN":"15321770","abstract":"IgG4-related disease is a rare immune-mediated systemic disease with the capability of involving essentially any organ. Although the presenting clinical features vary substantially according to the speciality to which patients present first, perhaps the most common clinical presentation is that of single or multiple organ enlargement, arousing suspicion of cancer. The disease is frequently diagnosed unexpectedly in pathological specimens or on imaging studies. The diagnostic approach is complex and includes not only IgG4-related tests (serum levels, circulating plasmablasts, and specific immunohistochemical studies), but also clinical, laboratory, and imaging tests as well as the typical histopathological features (lymphocytic infiltration, storiform fibrosis, eosinophilic infiltration, and obliterative phlebitis). IgG4-related tests should not be considered as diagnostic in the absence of an appropriate clinical scenario. Therapeutic approaches reported to date pertain primarily to glucocorticoids, but the use of these medications has not been studied in a controlled or prospective manner. The most current investigational treatment approaches have focused on targeting cells of the B-cell lineage, including B-cell-depleting agents (rituximab) and a non-depleting homodimer monoclonal antibody targeting CD19 and Fc-gamma RIIIb.","author":[{"dropping-particle":"","family":"Brito-Zerón","given":"Pilar","non-dropping-particle":"","parse-names":false,"suffix":""},{"dropping-particle":"","family":"Bosch","given":"Xavier","non-dropping-particle":"","parse-names":false,"suffix":""},{"dropping-particle":"","family":"Ramos-Casals","given":"Manuel","non-dropping-particle":"","parse-names":false,"suffix":""},{"dropping-particle":"","family":"Stone","given":"John H.","non-dropping-particle":"","parse-names":false,"suffix":""}],"container-title":"Best Practice and Research: Clinical Rheumatology","id":"ITEM-1","issue":"2","issued":{"date-parts":[["2016"]]},"page":"261-278","title":"IgG4-related disease: Advances in the diagnosis and treatment","type":"article-journal","volume":"30"},"uris":["http://www.mendeley.com/documents/?uuid=2efa6376-3238-401c-a561-2d4853786c16"]}],"mendeley":{"formattedCitation":"&lt;sup&gt;31&lt;/sup&gt;","plainTextFormattedCitation":"31","previouslyFormattedCitation":"[31]"},"properties":{"noteIndex":0},"schema":"https://github.com/citation-style-language/schema/raw/master/csl-citation.json"}</w:instrText>
      </w:r>
      <w:r w:rsidR="00B34D3D" w:rsidRPr="000C178D">
        <w:rPr>
          <w:rFonts w:ascii="Book Antiqua" w:hAnsi="Book Antiqua" w:cs="Times New Roman"/>
          <w:color w:val="000000" w:themeColor="text1"/>
          <w:sz w:val="24"/>
          <w:szCs w:val="24"/>
          <w:shd w:val="clear" w:color="auto" w:fill="FFFFFF" w:themeFill="background1"/>
          <w:lang w:val="lt-LT"/>
        </w:rPr>
        <w:fldChar w:fldCharType="separate"/>
      </w:r>
      <w:r w:rsidR="001867B4" w:rsidRPr="000C178D">
        <w:rPr>
          <w:rFonts w:ascii="Book Antiqua" w:hAnsi="Book Antiqua" w:cs="Times New Roman"/>
          <w:noProof/>
          <w:color w:val="000000" w:themeColor="text1"/>
          <w:sz w:val="24"/>
          <w:szCs w:val="24"/>
          <w:shd w:val="clear" w:color="auto" w:fill="FFFFFF" w:themeFill="background1"/>
          <w:vertAlign w:val="superscript"/>
          <w:lang w:val="lt-LT"/>
        </w:rPr>
        <w:t>31</w:t>
      </w:r>
      <w:r w:rsidR="00B34D3D" w:rsidRPr="000C178D">
        <w:rPr>
          <w:rFonts w:ascii="Book Antiqua" w:hAnsi="Book Antiqua" w:cs="Times New Roman"/>
          <w:color w:val="000000" w:themeColor="text1"/>
          <w:sz w:val="24"/>
          <w:szCs w:val="24"/>
          <w:shd w:val="clear" w:color="auto" w:fill="FFFFFF" w:themeFill="background1"/>
          <w:lang w:val="lt-LT"/>
        </w:rPr>
        <w:fldChar w:fldCharType="end"/>
      </w:r>
      <w:r w:rsidR="00F13746" w:rsidRPr="000C178D">
        <w:rPr>
          <w:rFonts w:ascii="Book Antiqua" w:hAnsi="Book Antiqua" w:cs="Times New Roman"/>
          <w:color w:val="000000" w:themeColor="text1"/>
          <w:sz w:val="24"/>
          <w:szCs w:val="24"/>
          <w:shd w:val="clear" w:color="auto" w:fill="FFFFFF" w:themeFill="background1"/>
          <w:vertAlign w:val="superscript"/>
          <w:lang w:val="lt-LT"/>
        </w:rPr>
        <w:t>]</w:t>
      </w:r>
      <w:r w:rsidR="00B34D3D" w:rsidRPr="000C178D">
        <w:rPr>
          <w:rFonts w:ascii="Book Antiqua" w:hAnsi="Book Antiqua" w:cs="Times New Roman"/>
          <w:color w:val="000000" w:themeColor="text1"/>
          <w:sz w:val="24"/>
          <w:szCs w:val="24"/>
          <w:shd w:val="clear" w:color="auto" w:fill="FFFFFF" w:themeFill="background1"/>
          <w:lang w:val="lt-LT"/>
        </w:rPr>
        <w:t xml:space="preserve">. </w:t>
      </w:r>
      <w:r w:rsidR="00B34D3D" w:rsidRPr="000C178D">
        <w:rPr>
          <w:rFonts w:ascii="Book Antiqua" w:hAnsi="Book Antiqua" w:cs="Times New Roman"/>
          <w:color w:val="000000" w:themeColor="text1"/>
          <w:sz w:val="24"/>
          <w:szCs w:val="24"/>
          <w:shd w:val="clear" w:color="auto" w:fill="FFFFFF" w:themeFill="background1"/>
        </w:rPr>
        <w:t>Long-term maintenance therapy with low-dose</w:t>
      </w:r>
      <w:r w:rsidR="00FB3737" w:rsidRPr="000C178D">
        <w:rPr>
          <w:rFonts w:ascii="Book Antiqua" w:hAnsi="Book Antiqua" w:cs="Times New Roman"/>
          <w:color w:val="000000" w:themeColor="text1"/>
          <w:sz w:val="24"/>
          <w:szCs w:val="24"/>
        </w:rPr>
        <w:t xml:space="preserve"> GC</w:t>
      </w:r>
      <w:r w:rsidR="00B34D3D" w:rsidRPr="000C178D">
        <w:rPr>
          <w:rFonts w:ascii="Book Antiqua" w:hAnsi="Book Antiqua" w:cs="Times New Roman"/>
          <w:color w:val="000000" w:themeColor="text1"/>
          <w:sz w:val="24"/>
          <w:szCs w:val="24"/>
        </w:rPr>
        <w:t xml:space="preserve"> (2.5</w:t>
      </w:r>
      <w:r w:rsidR="007063C9" w:rsidRPr="000C178D">
        <w:rPr>
          <w:rFonts w:ascii="Book Antiqua" w:hAnsi="Book Antiqua" w:cs="Times New Roman"/>
          <w:color w:val="000000" w:themeColor="text1"/>
          <w:sz w:val="24"/>
          <w:szCs w:val="24"/>
        </w:rPr>
        <w:t>-</w:t>
      </w:r>
      <w:r w:rsidR="00B34D3D" w:rsidRPr="000C178D">
        <w:rPr>
          <w:rFonts w:ascii="Book Antiqua" w:hAnsi="Book Antiqua" w:cs="Times New Roman"/>
          <w:color w:val="000000" w:themeColor="text1"/>
          <w:sz w:val="24"/>
          <w:szCs w:val="24"/>
        </w:rPr>
        <w:t>5 mg/</w:t>
      </w:r>
      <w:r w:rsidR="00A30DB7" w:rsidRPr="000C178D">
        <w:rPr>
          <w:rFonts w:ascii="Book Antiqua" w:hAnsi="Book Antiqua" w:cs="Times New Roman"/>
          <w:color w:val="000000" w:themeColor="text1"/>
          <w:sz w:val="24"/>
          <w:szCs w:val="24"/>
        </w:rPr>
        <w:t>d</w:t>
      </w:r>
      <w:r w:rsidR="00B34D3D" w:rsidRPr="000C178D">
        <w:rPr>
          <w:rFonts w:ascii="Book Antiqua" w:hAnsi="Book Antiqua" w:cs="Times New Roman"/>
          <w:color w:val="000000" w:themeColor="text1"/>
          <w:sz w:val="24"/>
          <w:szCs w:val="24"/>
        </w:rPr>
        <w:t xml:space="preserve"> prednisolone) can be applied for patients with a higher risk of relapse</w:t>
      </w:r>
      <w:r w:rsidR="00F13746" w:rsidRPr="000C178D">
        <w:rPr>
          <w:rFonts w:ascii="Book Antiqua" w:hAnsi="Book Antiqua" w:cs="Times New Roman"/>
          <w:color w:val="000000" w:themeColor="text1"/>
          <w:sz w:val="24"/>
          <w:szCs w:val="24"/>
          <w:vertAlign w:val="superscript"/>
        </w:rPr>
        <w:t>[</w:t>
      </w:r>
      <w:r w:rsidR="00B34D3D" w:rsidRPr="000C178D">
        <w:rPr>
          <w:rFonts w:ascii="Book Antiqua" w:hAnsi="Book Antiqua" w:cs="Times New Roman"/>
          <w:color w:val="000000" w:themeColor="text1"/>
          <w:sz w:val="24"/>
          <w:szCs w:val="24"/>
          <w:lang w:val="lt-LT"/>
        </w:rPr>
        <w:fldChar w:fldCharType="begin" w:fldLock="1"/>
      </w:r>
      <w:r w:rsidR="001867B4" w:rsidRPr="000C178D">
        <w:rPr>
          <w:rFonts w:ascii="Book Antiqua" w:hAnsi="Book Antiqua" w:cs="Times New Roman"/>
          <w:color w:val="000000" w:themeColor="text1"/>
          <w:sz w:val="24"/>
          <w:szCs w:val="24"/>
          <w:lang w:val="lt-LT"/>
        </w:rPr>
        <w:instrText>ADDIN CSL_CITATION {"citationItems":[{"id":"ITEM-1","itemData":{"DOI":"10.1097/MD.0000000000004002","ISBN":"0000000000","ISSN":"15365964","abstract":"To review the reported evidence on the therapeutic management of IgG4-related disease (IgG4-RD) in clinical practice.A systematic search of the literature was conducted. The primary outcome measured was the rate of efficacy of first-line therapeutic approaches. Secondary outcomes measured included the rate of disease relapse, the outcome of untreated patients, the rate of patients without drug therapy at the end of follow-up, the rate of side effects, and mortality. The MOOSE, AHRQ, STROBE, and GRACE recommendations/statements were followed.The results of the systematic search strategy yielded 62 studies that included a total of 3034 patients. Complete information about first-line therapeutic regimens was detailed in 1952 patients, including glucocorticoid-based regimens in 1437 (74%), drug-free regimens in 213 (11%), and other therapies in 38 (2%). No therapy (wait and see management) was reported in 264 (13%) patients. The efficacy of monotherapy with glucocorticoids was specified in 1220 patients, of whom 97% had a therapeutic response. Relapses, however, were reported in 464/1395 (33%) patients despite typically short follow-up periods. Therapeutic efficacy was reported in 219/231 (95%) of relapses treated with glucocorticoids, 56/69 (81%) of those treated with azathioprine, 16/22 (72%) of those treated with other immunosuppressive agents, and in the 9 cases treated with rituximab (100%). In 14 studies, the authors detailed the outcome of 159/246 patients with wait-and-see management; spontaneous improvement or resolution was reported in 68 (43%) cases. Wide heterogeneity was observed with respect to the first-line therapeutic approaches used for the different organ-specific disease subsets, including significant differences in the mean dose of glucocorticoids used.Nearly 70% of reported IgG4-RD patients are treated with oral glucocorticoids in monotherapy. However, the therapeutic management is heavily influenced by geographical, epidemiological, and clinical factors, especially with respect to the predominant organ affected. The frequency of glucocorticoid failure to induce sustained remissions both during and after treatment and the assessment of glucocorticoid toxicity in IgG4-RD require further study.","author":[{"dropping-particle":"","family":"Brito-Zerón","given":"P.","non-dropping-particle":"","parse-names":false,"suffix":""},{"dropping-particle":"","family":"Kostov","given":"B.","non-dropping-particle":"","parse-names":false,"suffix":""},{"dropping-particle":"","family":"Bosch","given":"X.","non-dropping-particle":"","parse-names":false,"suffix":""},{"dropping-particle":"","family":"Acar-Denizli","given":"N.","non-dropping-particle":"","parse-names":false,"suffix":""},{"dropping-particle":"","family":"Ramos-Casals","given":"M.","non-dropping-particle":"","parse-names":false,"suffix":""},{"dropping-particle":"","family":"Stone","given":"J.H.","non-dropping-particle":"","parse-names":false,"suffix":""}],"container-title":"Medicine","id":"ITEM-1","issue":"26","issued":{"date-parts":[["2016"]]},"page":"1-10","title":"Therapeutic approach to IgG4-related disease: A systematic review","type":"article-journal","volume":"95"},"uris":["http://www.mendeley.com/documents/?uuid=ab70523b-3890-4f5d-ba9e-104901809f93"]},{"id":"ITEM-2","itemData":{"DOI":"10.1016/S0140-6736(14)60720-0","ISSN":"0140-6736","author":[{"dropping-particle":"","family":"Kamisawa","given":"Terumi","non-dropping-particle":"","parse-names":false,"suffix":""},{"dropping-particle":"","family":"Zen","given":"Yoh","non-dropping-particle":"","parse-names":false,"suffix":""},{"dropping-particle":"","family":"Pillai","given":"Shiv","non-dropping-particle":"","parse-names":false,"suffix":""},{"dropping-particle":"","family":"Stone","given":"John H","non-dropping-particle":"","parse-names":false,"suffix":""}],"container-title":"The Lancet","id":"ITEM-2","issue":"9976","issued":{"date-parts":[["2014"]]},"page":"1-12","publisher":"Elsevier Ltd","title":"IgG4-related disease","type":"article-journal","volume":"6736"},"uris":["http://www.mendeley.com/documents/?uuid=2e41c769-383e-456b-9860-e8d797f3041c"]}],"mendeley":{"formattedCitation":"&lt;sup&gt;18,28&lt;/sup&gt;","plainTextFormattedCitation":"18,28","previouslyFormattedCitation":"[18,28]"},"properties":{"noteIndex":0},"schema":"https://github.com/citation-style-language/schema/raw/master/csl-citation.json"}</w:instrText>
      </w:r>
      <w:r w:rsidR="00B34D3D" w:rsidRPr="000C178D">
        <w:rPr>
          <w:rFonts w:ascii="Book Antiqua" w:hAnsi="Book Antiqua" w:cs="Times New Roman"/>
          <w:color w:val="000000" w:themeColor="text1"/>
          <w:sz w:val="24"/>
          <w:szCs w:val="24"/>
          <w:lang w:val="lt-LT"/>
        </w:rPr>
        <w:fldChar w:fldCharType="separate"/>
      </w:r>
      <w:r w:rsidR="001867B4" w:rsidRPr="000C178D">
        <w:rPr>
          <w:rFonts w:ascii="Book Antiqua" w:hAnsi="Book Antiqua" w:cs="Times New Roman"/>
          <w:noProof/>
          <w:color w:val="000000" w:themeColor="text1"/>
          <w:sz w:val="24"/>
          <w:szCs w:val="24"/>
          <w:vertAlign w:val="superscript"/>
          <w:lang w:val="lt-LT"/>
        </w:rPr>
        <w:t>18,28</w:t>
      </w:r>
      <w:r w:rsidR="00B34D3D" w:rsidRPr="000C178D">
        <w:rPr>
          <w:rFonts w:ascii="Book Antiqua" w:hAnsi="Book Antiqua" w:cs="Times New Roman"/>
          <w:color w:val="000000" w:themeColor="text1"/>
          <w:sz w:val="24"/>
          <w:szCs w:val="24"/>
          <w:lang w:val="lt-LT"/>
        </w:rPr>
        <w:fldChar w:fldCharType="end"/>
      </w:r>
      <w:r w:rsidR="00F13746" w:rsidRPr="000C178D">
        <w:rPr>
          <w:rFonts w:ascii="Book Antiqua" w:hAnsi="Book Antiqua" w:cs="Times New Roman"/>
          <w:color w:val="000000" w:themeColor="text1"/>
          <w:sz w:val="24"/>
          <w:szCs w:val="24"/>
          <w:vertAlign w:val="superscript"/>
          <w:lang w:val="lt-LT"/>
        </w:rPr>
        <w:t>]</w:t>
      </w:r>
      <w:r w:rsidR="00B34D3D" w:rsidRPr="000C178D">
        <w:rPr>
          <w:rFonts w:ascii="Book Antiqua" w:hAnsi="Book Antiqua" w:cs="Times New Roman"/>
          <w:color w:val="000000" w:themeColor="text1"/>
          <w:sz w:val="24"/>
          <w:szCs w:val="24"/>
          <w:lang w:val="lt-LT"/>
        </w:rPr>
        <w:t xml:space="preserve">. Rates of response to </w:t>
      </w:r>
      <w:r w:rsidR="00FB3737" w:rsidRPr="000C178D">
        <w:rPr>
          <w:rFonts w:ascii="Book Antiqua" w:hAnsi="Book Antiqua" w:cs="Times New Roman"/>
          <w:color w:val="000000"/>
          <w:sz w:val="24"/>
          <w:szCs w:val="24"/>
          <w:lang w:val="lt-LT"/>
        </w:rPr>
        <w:t>the GC</w:t>
      </w:r>
      <w:r w:rsidR="00B34D3D" w:rsidRPr="000C178D">
        <w:rPr>
          <w:rFonts w:ascii="Book Antiqua" w:hAnsi="Book Antiqua" w:cs="Times New Roman"/>
          <w:color w:val="000000"/>
          <w:sz w:val="24"/>
          <w:szCs w:val="24"/>
          <w:lang w:val="lt-LT"/>
        </w:rPr>
        <w:t xml:space="preserve"> therapy are 79</w:t>
      </w:r>
      <w:r w:rsidR="00A36A0A" w:rsidRPr="000C178D">
        <w:rPr>
          <w:rFonts w:ascii="Book Antiqua" w:hAnsi="Book Antiqua" w:cs="Times New Roman"/>
          <w:color w:val="000000"/>
          <w:sz w:val="24"/>
          <w:szCs w:val="24"/>
          <w:lang w:val="lt-LT"/>
        </w:rPr>
        <w:t>%</w:t>
      </w:r>
      <w:r w:rsidR="00AA46C1" w:rsidRPr="000C178D">
        <w:rPr>
          <w:rFonts w:ascii="Book Antiqua" w:hAnsi="Book Antiqua" w:cs="Times New Roman"/>
          <w:color w:val="000000"/>
          <w:sz w:val="24"/>
          <w:szCs w:val="24"/>
          <w:lang w:val="lt-LT"/>
        </w:rPr>
        <w:t>-</w:t>
      </w:r>
      <w:r w:rsidR="00B34D3D" w:rsidRPr="000C178D">
        <w:rPr>
          <w:rFonts w:ascii="Book Antiqua" w:hAnsi="Book Antiqua" w:cs="Times New Roman"/>
          <w:color w:val="000000"/>
          <w:sz w:val="24"/>
          <w:szCs w:val="24"/>
          <w:lang w:val="lt-LT"/>
        </w:rPr>
        <w:t>97%, whereas 31</w:t>
      </w:r>
      <w:r w:rsidR="00A36A0A" w:rsidRPr="000C178D">
        <w:rPr>
          <w:rFonts w:ascii="Book Antiqua" w:hAnsi="Book Antiqua" w:cs="Times New Roman"/>
          <w:color w:val="000000"/>
          <w:sz w:val="24"/>
          <w:szCs w:val="24"/>
          <w:lang w:val="lt-LT"/>
        </w:rPr>
        <w:t>%</w:t>
      </w:r>
      <w:r w:rsidR="00AA46C1" w:rsidRPr="000C178D">
        <w:rPr>
          <w:rFonts w:ascii="Book Antiqua" w:hAnsi="Book Antiqua" w:cs="Times New Roman"/>
          <w:color w:val="000000"/>
          <w:sz w:val="24"/>
          <w:szCs w:val="24"/>
          <w:lang w:val="lt-LT"/>
        </w:rPr>
        <w:t>-</w:t>
      </w:r>
      <w:r w:rsidR="00B34D3D" w:rsidRPr="000C178D">
        <w:rPr>
          <w:rFonts w:ascii="Book Antiqua" w:hAnsi="Book Antiqua" w:cs="Times New Roman"/>
          <w:color w:val="000000"/>
          <w:sz w:val="24"/>
          <w:szCs w:val="24"/>
          <w:lang w:val="lt-LT"/>
        </w:rPr>
        <w:t>60% of patients tend to relapse</w:t>
      </w:r>
      <w:r w:rsidR="00F13746" w:rsidRPr="000C178D">
        <w:rPr>
          <w:rFonts w:ascii="Book Antiqua" w:hAnsi="Book Antiqua" w:cs="Times New Roman"/>
          <w:color w:val="000000"/>
          <w:sz w:val="24"/>
          <w:szCs w:val="24"/>
          <w:vertAlign w:val="superscript"/>
          <w:lang w:val="lt-LT"/>
        </w:rPr>
        <w:t>[</w:t>
      </w:r>
      <w:r w:rsidR="00B34D3D" w:rsidRPr="000C178D">
        <w:rPr>
          <w:rFonts w:ascii="Book Antiqua" w:hAnsi="Book Antiqua" w:cs="Times New Roman"/>
          <w:color w:val="000000"/>
          <w:sz w:val="24"/>
          <w:szCs w:val="24"/>
        </w:rPr>
        <w:fldChar w:fldCharType="begin" w:fldLock="1"/>
      </w:r>
      <w:r w:rsidR="001867B4" w:rsidRPr="000C178D">
        <w:rPr>
          <w:rFonts w:ascii="Book Antiqua" w:hAnsi="Book Antiqua" w:cs="Times New Roman"/>
          <w:color w:val="000000"/>
          <w:sz w:val="24"/>
          <w:szCs w:val="24"/>
        </w:rPr>
        <w:instrText>ADDIN CSL_CITATION {"citationItems":[{"id":"ITEM-1","itemData":{"DOI":"10.1053/j.gastro.2018.06.082","ISSN":"15280012","abstract":"IgG4-related disease (IgG4-RD) is a chronic relapsing multi-organ fibro-inflammatory syndrome of presumed autoimmune etiology. It is characterized by increased serum levels of IgG4 and tissue infiltration by IgG4+ cells. Increased titers of autoantibodies against a spectrum of self-antigens and response to steroids have led to its characterization as an autoimmune disease. However, the pathognomonic antigens probably differ among manifestations, and different antigens or autoantibodies produce similar immune reactions in different organs. Little is known about the pathogenic effects, if any, of serum IgG4 or IgG4+ plasma cells in tissues. Despite several animal models of the disease, none truly recapitulates human IgG4-RD. Histologic analyses of tissues from patients with IgG4-RD reveal a dense lymphoplasmacytic infiltrate rich in IgG4+ plasma cells, storiform fibrosis, and obliterative phlebitis, although these features vary among organs. Typical presentation and imaging findings include mass-forming synchronous or metachronous lesions in almost any organ, but most commonly in the pancreas, bile duct, retroperitoneum, kidneys, lungs, salivary and lacrimal glands, orbit, and lymph nodes. In all organs, inflammation can be reduced by corticosteroids and drugs that deplete B cells, such as rituximab. Patients with IgG4-RD have relapses that respond to primary therapy. Intense fibrosis accompanies the inflammatory response, leading to permanent organ damage and insufficiency. Death from IgG4-RD is rare. IgG4-RD is a multi-organ disease with predominant pancreatico-biliary involvement. Despite its relapsing–remitting course, patients have an excellent prognosis.","author":[{"dropping-particle":"","family":"Miyabe","given":"Katsuyuki","non-dropping-particle":"","parse-names":false,"suffix":""},{"dropping-particle":"","family":"Zen","given":"Yoh","non-dropping-particle":"","parse-names":false,"suffix":""},{"dropping-particle":"","family":"Cornell","given":"Lynn D.","non-dropping-particle":"","parse-names":false,"suffix":""},{"dropping-particle":"","family":"Rajagopalan","given":"Govindarajan","non-dropping-particle":"","parse-names":false,"suffix":""},{"dropping-particle":"","family":"Chowdhary","given":"Vaidehi R.","non-dropping-particle":"","parse-names":false,"suffix":""},{"dropping-particle":"","family":"Roberts","given":"Lewis R.","non-dropping-particle":"","parse-names":false,"suffix":""},{"dropping-particle":"","family":"Chari","given":"Suresh T.","non-dropping-particle":"","parse-names":false,"suffix":""}],"container-title":"Gastroenterology","id":"ITEM-1","issue":"4","issued":{"date-parts":[["2018"]]},"page":"990-1003.e1","publisher":"Elsevier, Inc","title":"Gastrointestinal and Extra-Intestinal Manifestations of IgG4–Related Disease","type":"article-journal","volume":"155"},"uris":["http://www.mendeley.com/documents/?uuid=54bfed4a-66dc-4bc2-9ebf-922dd5c760a3"]}],"mendeley":{"formattedCitation":"&lt;sup&gt;4&lt;/sup&gt;","plainTextFormattedCitation":"4","previouslyFormattedCitation":"[4]"},"properties":{"noteIndex":0},"schema":"https://github.com/citation-style-language/schema/raw/master/csl-citation.json"}</w:instrText>
      </w:r>
      <w:r w:rsidR="00B34D3D" w:rsidRPr="000C178D">
        <w:rPr>
          <w:rFonts w:ascii="Book Antiqua" w:hAnsi="Book Antiqua" w:cs="Times New Roman"/>
          <w:color w:val="000000"/>
          <w:sz w:val="24"/>
          <w:szCs w:val="24"/>
        </w:rPr>
        <w:fldChar w:fldCharType="separate"/>
      </w:r>
      <w:r w:rsidR="001867B4" w:rsidRPr="000C178D">
        <w:rPr>
          <w:rFonts w:ascii="Book Antiqua" w:hAnsi="Book Antiqua" w:cs="Times New Roman"/>
          <w:noProof/>
          <w:color w:val="000000"/>
          <w:sz w:val="24"/>
          <w:szCs w:val="24"/>
          <w:vertAlign w:val="superscript"/>
        </w:rPr>
        <w:t>4</w:t>
      </w:r>
      <w:r w:rsidR="00B34D3D" w:rsidRPr="000C178D">
        <w:rPr>
          <w:rFonts w:ascii="Book Antiqua" w:hAnsi="Book Antiqua" w:cs="Times New Roman"/>
          <w:color w:val="000000"/>
          <w:sz w:val="24"/>
          <w:szCs w:val="24"/>
        </w:rPr>
        <w:fldChar w:fldCharType="end"/>
      </w:r>
      <w:r w:rsidR="00F13746" w:rsidRPr="000C178D">
        <w:rPr>
          <w:rFonts w:ascii="Book Antiqua" w:hAnsi="Book Antiqua" w:cs="Times New Roman"/>
          <w:color w:val="000000"/>
          <w:sz w:val="24"/>
          <w:szCs w:val="24"/>
          <w:vertAlign w:val="superscript"/>
        </w:rPr>
        <w:t>]</w:t>
      </w:r>
      <w:r w:rsidR="00B34D3D" w:rsidRPr="000C178D">
        <w:rPr>
          <w:rFonts w:ascii="Book Antiqua" w:hAnsi="Book Antiqua" w:cs="Times New Roman"/>
          <w:color w:val="000000"/>
          <w:sz w:val="24"/>
          <w:szCs w:val="24"/>
        </w:rPr>
        <w:t>.</w:t>
      </w:r>
    </w:p>
    <w:p w14:paraId="417AE293" w14:textId="78D0D3CC" w:rsidR="00B34D3D" w:rsidRPr="000C178D" w:rsidRDefault="00061CB6" w:rsidP="000C178D">
      <w:pPr>
        <w:shd w:val="clear" w:color="auto" w:fill="FFFFFF" w:themeFill="background1"/>
        <w:snapToGrid w:val="0"/>
        <w:spacing w:after="0" w:line="360" w:lineRule="auto"/>
        <w:ind w:firstLine="284"/>
        <w:jc w:val="both"/>
        <w:rPr>
          <w:rFonts w:ascii="Book Antiqua" w:hAnsi="Book Antiqua" w:cs="Times New Roman"/>
          <w:color w:val="000000"/>
          <w:sz w:val="24"/>
          <w:szCs w:val="24"/>
        </w:rPr>
      </w:pPr>
      <w:r w:rsidRPr="000C178D">
        <w:rPr>
          <w:rFonts w:ascii="Book Antiqua" w:hAnsi="Book Antiqua" w:cs="Times New Roman"/>
          <w:color w:val="000000"/>
          <w:sz w:val="24"/>
          <w:szCs w:val="24"/>
        </w:rPr>
        <w:t>I</w:t>
      </w:r>
      <w:r w:rsidR="00B34D3D" w:rsidRPr="000C178D">
        <w:rPr>
          <w:rFonts w:ascii="Book Antiqua" w:hAnsi="Book Antiqua" w:cs="Times New Roman"/>
          <w:color w:val="000000"/>
          <w:sz w:val="24"/>
          <w:szCs w:val="24"/>
        </w:rPr>
        <w:t>mmunomodulators (</w:t>
      </w:r>
      <w:r w:rsidR="00FB3737" w:rsidRPr="000C178D">
        <w:rPr>
          <w:rFonts w:ascii="Book Antiqua" w:hAnsi="Book Antiqua" w:cs="Times New Roman"/>
          <w:color w:val="000000"/>
          <w:sz w:val="24"/>
          <w:szCs w:val="24"/>
          <w:lang w:val="lt-LT"/>
        </w:rPr>
        <w:t>IM</w:t>
      </w:r>
      <w:r w:rsidR="00B34D3D" w:rsidRPr="000C178D">
        <w:rPr>
          <w:rFonts w:ascii="Book Antiqua" w:hAnsi="Book Antiqua" w:cs="Times New Roman"/>
          <w:color w:val="000000"/>
          <w:sz w:val="24"/>
          <w:szCs w:val="24"/>
          <w:lang w:val="lt-LT"/>
        </w:rPr>
        <w:t>)</w:t>
      </w:r>
      <w:r w:rsidR="00B34D3D" w:rsidRPr="000C178D">
        <w:rPr>
          <w:rFonts w:ascii="Book Antiqua" w:hAnsi="Book Antiqua" w:cs="Times New Roman"/>
          <w:color w:val="000000"/>
          <w:sz w:val="24"/>
          <w:szCs w:val="24"/>
        </w:rPr>
        <w:t xml:space="preserve"> (mostly </w:t>
      </w:r>
      <w:r w:rsidR="00B34D3D" w:rsidRPr="000C178D">
        <w:rPr>
          <w:rFonts w:ascii="Book Antiqua" w:hAnsi="Book Antiqua"/>
          <w:sz w:val="24"/>
          <w:szCs w:val="24"/>
        </w:rPr>
        <w:t>2.0</w:t>
      </w:r>
      <w:r w:rsidR="00AA46C1" w:rsidRPr="000C178D">
        <w:rPr>
          <w:rFonts w:ascii="Book Antiqua" w:hAnsi="Book Antiqua"/>
          <w:sz w:val="24"/>
          <w:szCs w:val="24"/>
        </w:rPr>
        <w:t>-</w:t>
      </w:r>
      <w:r w:rsidR="00B34D3D" w:rsidRPr="000C178D">
        <w:rPr>
          <w:rFonts w:ascii="Book Antiqua" w:hAnsi="Book Antiqua"/>
          <w:sz w:val="24"/>
          <w:szCs w:val="24"/>
        </w:rPr>
        <w:t>2.5 mg/kg/</w:t>
      </w:r>
      <w:r w:rsidR="00A30DB7" w:rsidRPr="000C178D">
        <w:rPr>
          <w:rFonts w:ascii="Book Antiqua" w:hAnsi="Book Antiqua"/>
          <w:sz w:val="24"/>
          <w:szCs w:val="24"/>
        </w:rPr>
        <w:t>d</w:t>
      </w:r>
      <w:r w:rsidR="00B34D3D" w:rsidRPr="000C178D">
        <w:rPr>
          <w:rFonts w:ascii="Book Antiqua" w:hAnsi="Book Antiqua"/>
          <w:sz w:val="24"/>
          <w:szCs w:val="24"/>
        </w:rPr>
        <w:t xml:space="preserve"> of </w:t>
      </w:r>
      <w:r w:rsidR="00B34D3D" w:rsidRPr="000C178D">
        <w:rPr>
          <w:rFonts w:ascii="Book Antiqua" w:hAnsi="Book Antiqua" w:cs="Times New Roman"/>
          <w:color w:val="000000"/>
          <w:sz w:val="24"/>
          <w:szCs w:val="24"/>
        </w:rPr>
        <w:t xml:space="preserve">azathioprine) </w:t>
      </w:r>
      <w:r w:rsidRPr="000C178D">
        <w:rPr>
          <w:rFonts w:ascii="Book Antiqua" w:hAnsi="Book Antiqua" w:cs="Times New Roman"/>
          <w:color w:val="000000"/>
          <w:sz w:val="24"/>
          <w:szCs w:val="24"/>
        </w:rPr>
        <w:t xml:space="preserve">are used </w:t>
      </w:r>
      <w:r w:rsidR="00B34D3D" w:rsidRPr="000C178D">
        <w:rPr>
          <w:rFonts w:ascii="Book Antiqua" w:hAnsi="Book Antiqua"/>
          <w:sz w:val="24"/>
          <w:szCs w:val="24"/>
        </w:rPr>
        <w:t>for</w:t>
      </w:r>
      <w:r w:rsidR="006241BE" w:rsidRPr="000C178D">
        <w:rPr>
          <w:rFonts w:ascii="Book Antiqua" w:hAnsi="Book Antiqua"/>
          <w:sz w:val="24"/>
          <w:szCs w:val="24"/>
        </w:rPr>
        <w:t xml:space="preserve"> the</w:t>
      </w:r>
      <w:r w:rsidR="00B34D3D" w:rsidRPr="000C178D">
        <w:rPr>
          <w:rFonts w:ascii="Book Antiqua" w:hAnsi="Book Antiqua"/>
          <w:sz w:val="24"/>
          <w:szCs w:val="24"/>
        </w:rPr>
        <w:t xml:space="preserve"> maintenance </w:t>
      </w:r>
      <w:r w:rsidR="006241BE" w:rsidRPr="000C178D">
        <w:rPr>
          <w:rFonts w:ascii="Book Antiqua" w:hAnsi="Book Antiqua"/>
          <w:sz w:val="24"/>
          <w:szCs w:val="24"/>
        </w:rPr>
        <w:t xml:space="preserve">of the remission </w:t>
      </w:r>
      <w:r w:rsidR="00B34D3D" w:rsidRPr="000C178D">
        <w:rPr>
          <w:rFonts w:ascii="Book Antiqua" w:hAnsi="Book Antiqua"/>
          <w:sz w:val="24"/>
          <w:szCs w:val="24"/>
        </w:rPr>
        <w:t>in relapsing/</w:t>
      </w:r>
      <w:r w:rsidR="00B34D3D" w:rsidRPr="000C178D">
        <w:rPr>
          <w:rFonts w:ascii="Book Antiqua" w:hAnsi="Book Antiqua" w:cs="Times New Roman"/>
          <w:color w:val="000000"/>
          <w:sz w:val="24"/>
          <w:szCs w:val="24"/>
        </w:rPr>
        <w:t>complicated</w:t>
      </w:r>
      <w:r w:rsidR="00B34D3D" w:rsidRPr="000C178D">
        <w:rPr>
          <w:rFonts w:ascii="Book Antiqua" w:hAnsi="Book Antiqua"/>
          <w:sz w:val="24"/>
          <w:szCs w:val="24"/>
        </w:rPr>
        <w:t xml:space="preserve"> IgG4-RD or </w:t>
      </w:r>
      <w:r w:rsidRPr="000C178D">
        <w:rPr>
          <w:rFonts w:ascii="Book Antiqua" w:hAnsi="Book Antiqua" w:cs="Times New Roman"/>
          <w:color w:val="000000"/>
          <w:sz w:val="24"/>
          <w:szCs w:val="24"/>
        </w:rPr>
        <w:t xml:space="preserve">as steroid-sparing agents </w:t>
      </w:r>
      <w:r w:rsidR="00F13746" w:rsidRPr="000C178D">
        <w:rPr>
          <w:rFonts w:ascii="Book Antiqua" w:hAnsi="Book Antiqua" w:cs="Times New Roman"/>
          <w:color w:val="000000"/>
          <w:sz w:val="24"/>
          <w:szCs w:val="24"/>
          <w:vertAlign w:val="superscript"/>
        </w:rPr>
        <w:t>[</w:t>
      </w:r>
      <w:r w:rsidR="00B34D3D" w:rsidRPr="000C178D">
        <w:rPr>
          <w:rFonts w:ascii="Book Antiqua" w:hAnsi="Book Antiqua" w:cs="Times New Roman"/>
          <w:color w:val="000000"/>
          <w:sz w:val="24"/>
          <w:szCs w:val="24"/>
        </w:rPr>
        <w:fldChar w:fldCharType="begin" w:fldLock="1"/>
      </w:r>
      <w:r w:rsidR="001867B4" w:rsidRPr="000C178D">
        <w:rPr>
          <w:rFonts w:ascii="Book Antiqua" w:hAnsi="Book Antiqua" w:cs="Times New Roman"/>
          <w:color w:val="000000"/>
          <w:sz w:val="24"/>
          <w:szCs w:val="24"/>
        </w:rPr>
        <w:instrText>ADDIN CSL_CITATION {"citationItems":[{"id":"ITEM-1","itemData":{"DOI":"10.1016/j.ejim.2015.09.022","ISSN":"09536205","abstract":"IgG4-related disease (IgG4-RD) is a recently recognized chronic fibrotic inflammation, which can affect almost every organ, and may come to clinical attention first due to visible organ swelling or organ dysfunction, or is identified incidentally by imaging and specific biopsy. The disorder has an allergic background and is immune-mediated. Up-regulated responses of T helper 2 and T regulatory cells and their cytokines play a major role in disease progression. About 30-50% of patients are atopic or have mild eosinophilia. IgG4-RD predominantly affects middle-aged male patients. The cornerstones of diagnosis of the disease are compatible clinical features and typical histopathology. Swelling of salivary and lacrimal glands, lymphadenopathy, and type 1 autoimmune pancreatitis (AIP) are the most common manifestations of the disease. However, other tissues and organs, such as retroperitoneum, lung, kidney, aorta, upper airways, thyroid gland, meninges, heart, mesenterium and skin may be involved. Typical histopathology is lymphoplasmacytic infiltration abundant in IgG4-positive plasma cells, storiform-type fibrosis, and obliterative phlebitis. Elevated serum IgG4 concentration supports the diagnosis. Characteristic imaging features such as a »capsule-like rim» surrounding the pancreatic lesions is highly specific to type 1 AIP. 18F-fluorodeoxyglucose positron emission tomography/computed tomography enables mapping the sites of inflammation, permits evaluation of the extent of the disease, helps in guiding biopsy decision, and may be used in monitoring response to treatment. Glucocorticoids alone or in combination with B-cell depletion with rituximab induces prompt clinical response to IgG4-RD. This article reviews the current understanding, different clinical manifestations, and approaches to diagnosis and treatment of IgG4-RD.","author":[{"dropping-particle":"","family":"Vasaitis","given":"Lilian","non-dropping-particle":"","parse-names":false,"suffix":""}],"container-title":"European Journal of Internal Medicine","id":"ITEM-1","issued":{"date-parts":[["2016","1"]]},"page":"1-9","title":"IgG4-related disease: A relatively new concept for clinicians","type":"article-journal","volume":"27"},"uris":["http://www.mendeley.com/documents/?uuid=ca0ef16d-e19e-3fea-b5e5-d9d2dada3243"]},{"id":"ITEM-2","itemData":{"DOI":"10.1053/j.gastro.2018.06.082","ISSN":"15280012","abstract":"IgG4-related disease (IgG4-RD) is a chronic relapsing multi-organ fibro-inflammatory syndrome of presumed autoimmune etiology. It is characterized by increased serum levels of IgG4 and tissue infiltration by IgG4+ cells. Increased titers of autoantibodies against a spectrum of self-antigens and response to steroids have led to its characterization as an autoimmune disease. However, the pathognomonic antigens probably differ among manifestations, and different antigens or autoantibodies produce similar immune reactions in different organs. Little is known about the pathogenic effects, if any, of serum IgG4 or IgG4+ plasma cells in tissues. Despite several animal models of the disease, none truly recapitulates human IgG4-RD. Histologic analyses of tissues from patients with IgG4-RD reveal a dense lymphoplasmacytic infiltrate rich in IgG4+ plasma cells, storiform fibrosis, and obliterative phlebitis, although these features vary among organs. Typical presentation and imaging findings include mass-forming synchronous or metachronous lesions in almost any organ, but most commonly in the pancreas, bile duct, retroperitoneum, kidneys, lungs, salivary and lacrimal glands, orbit, and lymph nodes. In all organs, inflammation can be reduced by corticosteroids and drugs that deplete B cells, such as rituximab. Patients with IgG4-RD have relapses that respond to primary therapy. Intense fibrosis accompanies the inflammatory response, leading to permanent organ damage and insufficiency. Death from IgG4-RD is rare. IgG4-RD is a multi-organ disease with predominant pancreatico-biliary involvement. Despite its relapsing–remitting course, patients have an excellent prognosis.","author":[{"dropping-particle":"","family":"Miyabe","given":"Katsuyuki","non-dropping-particle":"","parse-names":false,"suffix":""},{"dropping-particle":"","family":"Zen","given":"Yoh","non-dropping-particle":"","parse-names":false,"suffix":""},{"dropping-particle":"","family":"Cornell","given":"Lynn D.","non-dropping-particle":"","parse-names":false,"suffix":""},{"dropping-particle":"","family":"Rajagopalan","given":"Govindarajan","non-dropping-particle":"","parse-names":false,"suffix":""},{"dropping-particle":"","family":"Chowdhary","given":"Vaidehi R.","non-dropping-particle":"","parse-names":false,"suffix":""},{"dropping-particle":"","family":"Roberts","given":"Lewis R.","non-dropping-particle":"","parse-names":false,"suffix":""},{"dropping-particle":"","family":"Chari","given":"Suresh T.","non-dropping-particle":"","parse-names":false,"suffix":""}],"container-title":"Gastroenterology","id":"ITEM-2","issue":"4","issued":{"date-parts":[["2018"]]},"page":"990-1003.e1","publisher":"Elsevier, Inc","title":"Gastrointestinal and Extra-Intestinal Manifestations of IgG4–Related Disease","type":"article-journal","volume":"155"},"uris":["http://www.mendeley.com/documents/?uuid=54bfed4a-66dc-4bc2-9ebf-922dd5c760a3"]}],"mendeley":{"formattedCitation":"&lt;sup&gt;2,4&lt;/sup&gt;","plainTextFormattedCitation":"2,4","previouslyFormattedCitation":"[2,4]"},"properties":{"noteIndex":0},"schema":"https://github.com/citation-style-language/schema/raw/master/csl-citation.json"}</w:instrText>
      </w:r>
      <w:r w:rsidR="00B34D3D" w:rsidRPr="000C178D">
        <w:rPr>
          <w:rFonts w:ascii="Book Antiqua" w:hAnsi="Book Antiqua" w:cs="Times New Roman"/>
          <w:color w:val="000000"/>
          <w:sz w:val="24"/>
          <w:szCs w:val="24"/>
        </w:rPr>
        <w:fldChar w:fldCharType="separate"/>
      </w:r>
      <w:r w:rsidR="001867B4" w:rsidRPr="000C178D">
        <w:rPr>
          <w:rFonts w:ascii="Book Antiqua" w:hAnsi="Book Antiqua" w:cs="Times New Roman"/>
          <w:noProof/>
          <w:color w:val="000000"/>
          <w:sz w:val="24"/>
          <w:szCs w:val="24"/>
          <w:vertAlign w:val="superscript"/>
        </w:rPr>
        <w:t>2,4</w:t>
      </w:r>
      <w:r w:rsidR="00B34D3D" w:rsidRPr="000C178D">
        <w:rPr>
          <w:rFonts w:ascii="Book Antiqua" w:hAnsi="Book Antiqua" w:cs="Times New Roman"/>
          <w:color w:val="000000"/>
          <w:sz w:val="24"/>
          <w:szCs w:val="24"/>
        </w:rPr>
        <w:fldChar w:fldCharType="end"/>
      </w:r>
      <w:r w:rsidR="00F13746" w:rsidRPr="000C178D">
        <w:rPr>
          <w:rFonts w:ascii="Book Antiqua" w:hAnsi="Book Antiqua" w:cs="Times New Roman"/>
          <w:color w:val="000000"/>
          <w:sz w:val="24"/>
          <w:szCs w:val="24"/>
          <w:vertAlign w:val="superscript"/>
        </w:rPr>
        <w:t>]</w:t>
      </w:r>
      <w:r w:rsidR="00B34D3D" w:rsidRPr="000C178D">
        <w:rPr>
          <w:rFonts w:ascii="Book Antiqua" w:hAnsi="Book Antiqua" w:cs="Times New Roman"/>
          <w:color w:val="000000"/>
          <w:sz w:val="24"/>
          <w:szCs w:val="24"/>
        </w:rPr>
        <w:t>.</w:t>
      </w:r>
    </w:p>
    <w:p w14:paraId="23FDDB8C" w14:textId="30451739" w:rsidR="006B7C22" w:rsidRPr="000C178D" w:rsidRDefault="006B7C22" w:rsidP="000C178D">
      <w:pPr>
        <w:shd w:val="clear" w:color="auto" w:fill="FFFFFF" w:themeFill="background1"/>
        <w:snapToGrid w:val="0"/>
        <w:spacing w:after="0" w:line="360" w:lineRule="auto"/>
        <w:ind w:firstLine="284"/>
        <w:jc w:val="both"/>
        <w:rPr>
          <w:rFonts w:ascii="Book Antiqua" w:hAnsi="Book Antiqua" w:cs="Times New Roman"/>
          <w:sz w:val="24"/>
          <w:szCs w:val="24"/>
          <w:lang w:val="lt-LT"/>
        </w:rPr>
      </w:pPr>
      <w:r w:rsidRPr="000C178D">
        <w:rPr>
          <w:rFonts w:ascii="Book Antiqua" w:hAnsi="Book Antiqua" w:cs="Times New Roman"/>
          <w:sz w:val="24"/>
          <w:szCs w:val="24"/>
          <w:lang w:val="lt-LT"/>
        </w:rPr>
        <w:t>Another effective drug for the management of IgG4-RD is a B–cell depleting agent–rituximab (RTX), which is</w:t>
      </w:r>
      <w:r w:rsidRPr="000C178D">
        <w:rPr>
          <w:rFonts w:ascii="Book Antiqua" w:hAnsi="Book Antiqua" w:cs="Times New Roman"/>
          <w:sz w:val="24"/>
          <w:szCs w:val="24"/>
        </w:rPr>
        <w:t xml:space="preserve"> a viable option for induction and maintenance of the disease in cases </w:t>
      </w:r>
      <w:r w:rsidR="00FB3737" w:rsidRPr="000C178D">
        <w:rPr>
          <w:rFonts w:ascii="Book Antiqua" w:hAnsi="Book Antiqua" w:cs="Times New Roman"/>
          <w:sz w:val="24"/>
          <w:szCs w:val="24"/>
          <w:shd w:val="clear" w:color="auto" w:fill="FFFFFF"/>
        </w:rPr>
        <w:t>of GC</w:t>
      </w:r>
      <w:r w:rsidRPr="000C178D">
        <w:rPr>
          <w:rFonts w:ascii="Book Antiqua" w:hAnsi="Book Antiqua" w:cs="Times New Roman"/>
          <w:sz w:val="24"/>
          <w:szCs w:val="24"/>
          <w:shd w:val="clear" w:color="auto" w:fill="FFFFFF"/>
        </w:rPr>
        <w:t xml:space="preserve"> intolerance, incomplete resolution, requiring ≥ 20 mg/</w:t>
      </w:r>
      <w:r w:rsidR="00A30DB7" w:rsidRPr="000C178D">
        <w:rPr>
          <w:rFonts w:ascii="Book Antiqua" w:hAnsi="Book Antiqua" w:cs="Times New Roman"/>
          <w:sz w:val="24"/>
          <w:szCs w:val="24"/>
          <w:shd w:val="clear" w:color="auto" w:fill="FFFFFF"/>
        </w:rPr>
        <w:t>d</w:t>
      </w:r>
      <w:r w:rsidRPr="000C178D">
        <w:rPr>
          <w:rFonts w:ascii="Book Antiqua" w:hAnsi="Book Antiqua" w:cs="Times New Roman"/>
          <w:sz w:val="24"/>
          <w:szCs w:val="24"/>
          <w:shd w:val="clear" w:color="auto" w:fill="FFFFFF"/>
        </w:rPr>
        <w:t xml:space="preserve"> of predniso</w:t>
      </w:r>
      <w:r w:rsidR="004B4025" w:rsidRPr="000C178D">
        <w:rPr>
          <w:rFonts w:ascii="Book Antiqua" w:hAnsi="Book Antiqua" w:cs="Times New Roman"/>
          <w:sz w:val="24"/>
          <w:szCs w:val="24"/>
          <w:shd w:val="clear" w:color="auto" w:fill="FFFFFF"/>
        </w:rPr>
        <w:t>lo</w:t>
      </w:r>
      <w:r w:rsidRPr="000C178D">
        <w:rPr>
          <w:rFonts w:ascii="Book Antiqua" w:hAnsi="Book Antiqua" w:cs="Times New Roman"/>
          <w:sz w:val="24"/>
          <w:szCs w:val="24"/>
          <w:shd w:val="clear" w:color="auto" w:fill="FFFFFF"/>
        </w:rPr>
        <w:t>ne, or IMs intolerance; also the advanced disease spread</w:t>
      </w:r>
      <w:r w:rsidRPr="000C178D">
        <w:rPr>
          <w:rFonts w:ascii="Book Antiqua" w:hAnsi="Book Antiqua" w:cs="Times New Roman"/>
          <w:sz w:val="24"/>
          <w:szCs w:val="24"/>
          <w:lang w:val="lt-LT"/>
        </w:rPr>
        <w:t xml:space="preserve"> to multiple organs</w:t>
      </w:r>
      <w:r w:rsidR="00F13746" w:rsidRPr="000C178D">
        <w:rPr>
          <w:rFonts w:ascii="Book Antiqua" w:hAnsi="Book Antiqua" w:cs="Times New Roman"/>
          <w:sz w:val="24"/>
          <w:szCs w:val="24"/>
          <w:vertAlign w:val="superscript"/>
          <w:lang w:val="lt-LT"/>
        </w:rPr>
        <w:t>[</w:t>
      </w:r>
      <w:r w:rsidRPr="000C178D">
        <w:rPr>
          <w:rFonts w:ascii="Book Antiqua" w:hAnsi="Book Antiqua" w:cs="Times New Roman"/>
          <w:sz w:val="24"/>
          <w:szCs w:val="24"/>
          <w:lang w:val="lt-LT"/>
        </w:rPr>
        <w:fldChar w:fldCharType="begin" w:fldLock="1"/>
      </w:r>
      <w:r w:rsidR="001867B4" w:rsidRPr="000C178D">
        <w:rPr>
          <w:rFonts w:ascii="Book Antiqua" w:hAnsi="Book Antiqua" w:cs="Times New Roman"/>
          <w:sz w:val="24"/>
          <w:szCs w:val="24"/>
          <w:lang w:val="lt-LT"/>
        </w:rPr>
        <w:instrText>ADDIN CSL_CITATION {"citationItems":[{"id":"ITEM-1","itemData":{"DOI":"10.1097/MD.0b013e3182431ef6","ISSN":"00257974","abstract":"Patients with IgG4-related disease (IgG4-RD) typically have elevated serum concentrations of IgG4 and share histopathologic features that are similar across affected organ(s). IgG4-RD patients frequently require prolonged treatment with glucocorticoids and are often unable to taper these medications. Traditional disease-modifying antirheumatic drugs (DMARDs) are generally ineffective. We assessed the clinical and serologic responses to B lymphocyte depletion therapy in 10 consecutive patients with steroid- and DMARD-refractory IgG4-RD.Ten patients with IgG4-RD were treated with rituximab (RTX) (2 infusions of 1000 mg, 15 days apart). Clinical improvement was assessed by monitoring the patient's ability to taper prednisone to discontinuation and to stop DMARDs; by serial measurements of total IgG and IgG subclasses; and by follow-up radiologic assessments guided by the patient's particular pattern of organ involvement. We also developed and retrospectively applied the IgG4-RD Disease Activity Index and Flare Tool.Organ involvement included the pancreas, biliary tree, aorta, salivary glands (submandibular and parotid), lacrimal glands, lymph nodes, thyroid gland, and retroperitoneum. Nine of 10 patients demonstrated striking clinical improvement within 1 month of starting RTX. One patient with advanced thyroid fibrosis associated with Riedel thyroiditis and a history of disease in multiple other organ systems did not have improvement in the thyroid gland, but the disease did not progress to involve new organs. All 10 patients were able to discontinue prednisone and DMARDs following RTX therapy. Significant decreases in IgG concentrations were observed for the IgG4 subclass only. Four patients were re-treated with RTX after 6 months because of either symptom recurrence and increasing IgG4 concentration at the time of peripheral B cell reconstitution (n = 2) or because of physician discretion (n = 2). Repeated courses of RTX maintained their effectiveness and resulted in further decreases in IgG4 concentrations. In patients who had an increased IgG4 concentration at the time of presentation, the level of serum IgG4 appeared to be a reliable measure of disease activity.IgG4-RD is an idiopathic, multiorgan inflammatory disease in which diverse organ manifestations are linked by characteristic histopathologic and immunohistochemical features. Treatment with RTX led to prompt clinical and serologic improvement in refractory IgG4-RD in all patients with active i…","author":[{"dropping-particle":"","family":"Khosroshahi","given":"Arezou","non-dropping-particle":"","parse-names":false,"suffix":""},{"dropping-particle":"","family":"Carruthers","given":"Mollie N.","non-dropping-particle":"","parse-names":false,"suffix":""},{"dropping-particle":"","family":"Deshpande","given":"Vikram","non-dropping-particle":"","parse-names":false,"suffix":""},{"dropping-particle":"","family":"Unizony","given":"Sebastian","non-dropping-particle":"","parse-names":false,"suffix":""},{"dropping-particle":"","family":"Bloch","given":"Donald B.","non-dropping-particle":"","parse-names":false,"suffix":""},{"dropping-particle":"","family":"Stone","given":"John H.","non-dropping-particle":"","parse-names":false,"suffix":""}],"container-title":"Medicine","id":"ITEM-1","issue":"1","issued":{"date-parts":[["2012"]]},"page":"57-66","title":"Rituximab for the treatment of IgG4-related disease: Lessons from 10 consecutive patients","type":"article-journal","volume":"91"},"uris":["http://www.mendeley.com/documents/?uuid=3e724834-5f39-4f67-be13-003865170368"]},{"id":"ITEM-2","itemData":{"DOI":"10.1002/art.27435","ISSN":"00043591","abstract":"Objective. Patients with IgG4-related systemic disease (IgG4-RSD) frequently show an incomplete response to treatment with glucocorticoids and traditional disease-modifying antirheumatic drugs (DMARDs). B lymphocyte depletion is a therapeutic strategy known to be effective for pemphigus vulgaris, an autoimmune condition mediated by IgG4 autoantibodies. This study was performed to assess the clinical and serologic responses to B lymphocyte depletion therapy with rituximab in patients with IgG4-RSD. Methods. Four patients with IgG4-RSD were treated with 2 intravenous doses (1 gram each) of rituximab. Clinical improvement was assessed by monitoring the tapering/discontinuation of prednisone and DMARDs, and by measuring the serum concentrations of B lymphocytes, immunoglobulins, and IgG subclasses before and after therapy. Results. Clinical features of IgG4-RSD in these 4 patients included autoimmune pancreatitis, sclerosing cholangitis, lymphoplasmacytic aortitis, salivary gland involvement, orbital pseudotumor, and lacrimal gland enlargement. The 3 patients with elevated serum IgG and IgG4 levels at baseline had a mean IgG concentration of 2,003 mg/dl (normal range 600-1,500 mg/dl) and a mean IgG4 concentration of 2,160 mg/dl (normal range 8-140 mg/dl). Among these patients, the serum IgG4 concentrations declined by a mean of 65% within 2 months of rituximab administration. All 4 patients demonstrated striking clinical improvement within 1 month of the initiation of rituximab therapy, and tapering or discontinuation of their treatment with prednisone and DMARDs was achieved in all 4 patients. A decrease in IgG concentration was observed for the IgG4 subclass only. Conclusion. Treatment with rituximab led to prompt clinical and serologic improvement in these patients with refractory IgG4-RSD, and is a viable treatment option for this condition. The decline in serum IgG4 concentrations was substantially steeper than that of the autoantibody concentrations in immune-mediated conditions in which rituximab is effective, such as in rheumatoid arthritis. In addition, the reduction in IgG-subclass levels appeared to be specific for IgG4. The swift improvement of IgG4-RSD suggests that rituximab achieves its effects in IgG4-RSD by depleting the pool of B lymphocytes that replenish short-lived IgG4-secreting plasma cells. © 2010, American College of Rheumatology.","author":[{"dropping-particle":"","family":"Khosroshahi","given":"Arezou","non-dropping-particle":"","parse-names":false,"suffix":""},{"dropping-particle":"","family":"Bloch","given":"Donald B.","non-dropping-particle":"","parse-names":false,"suffix":""},{"dropping-particle":"","family":"Deshpande","given":"Vikram","non-dropping-particle":"","parse-names":false,"suffix":""},{"dropping-particle":"","family":"Stone","given":"John H.","non-dropping-particle":"","parse-names":false,"suffix":""}],"container-title":"Arthritis and Rheumatism","id":"ITEM-2","issue":"6","issued":{"date-parts":[["2010","6"]]},"page":"1755-1762","title":"Rituximab therapy leads to rapid decline of serum IgG4 levels and prompt clinical improvement in IgG4-related systemic disease","type":"article-journal","volume":"62"},"uris":["http://www.mendeley.com/documents/?uuid=1500e8a1-cfbc-3c07-90a8-128d627cb867"]},{"id":"ITEM-3","itemData":{"DOI":"10.1016/j.ejim.2015.09.022","ISSN":"09536205","abstract":"IgG4-related disease (IgG4-RD) is a recently recognized chronic fibrotic inflammation, which can affect almost every organ, and may come to clinical attention first due to visible organ swelling or organ dysfunction, or is identified incidentally by imaging and specific biopsy. The disorder has an allergic background and is immune-mediated. Up-regulated responses of T helper 2 and T regulatory cells and their cytokines play a major role in disease progression. About 30-50% of patients are atopic or have mild eosinophilia. IgG4-RD predominantly affects middle-aged male patients. The cornerstones of diagnosis of the disease are compatible clinical features and typical histopathology. Swelling of salivary and lacrimal glands, lymphadenopathy, and type 1 autoimmune pancreatitis (AIP) are the most common manifestations of the disease. However, other tissues and organs, such as retroperitoneum, lung, kidney, aorta, upper airways, thyroid gland, meninges, heart, mesenterium and skin may be involved. Typical histopathology is lymphoplasmacytic infiltration abundant in IgG4-positive plasma cells, storiform-type fibrosis, and obliterative phlebitis. Elevated serum IgG4 concentration supports the diagnosis. Characteristic imaging features such as a »capsule-like rim» surrounding the pancreatic lesions is highly specific to type 1 AIP. 18F-fluorodeoxyglucose positron emission tomography/computed tomography enables mapping the sites of inflammation, permits evaluation of the extent of the disease, helps in guiding biopsy decision, and may be used in monitoring response to treatment. Glucocorticoids alone or in combination with B-cell depletion with rituximab induces prompt clinical response to IgG4-RD. This article reviews the current understanding, different clinical manifestations, and approaches to diagnosis and treatment of IgG4-RD.","author":[{"dropping-particle":"","family":"Vasaitis","given":"Lilian","non-dropping-particle":"","parse-names":false,"suffix":""}],"container-title":"European Journal of Internal Medicine","id":"ITEM-3","issued":{"date-parts":[["2016","1"]]},"page":"1-9","title":"IgG4-related disease: A relatively new concept for clinicians","type":"article-journal","volume":"27"},"uris":["http://www.mendeley.com/documents/?uuid=ca0ef16d-e19e-3fea-b5e5-d9d2dada3243"]},{"id":"ITEM-4","itemData":{"DOI":"10.1053/j.gastro.2018.06.082","ISSN":"15280012","abstract":"IgG4-related disease (IgG4-RD) is a chronic relapsing multi-organ fibro-inflammatory syndrome of presumed autoimmune etiology. It is characterized by increased serum levels of IgG4 and tissue infiltration by IgG4+ cells. Increased titers of autoantibodies against a spectrum of self-antigens and response to steroids have led to its characterization as an autoimmune disease. However, the pathognomonic antigens probably differ among manifestations, and different antigens or autoantibodies produce similar immune reactions in different organs. Little is known about the pathogenic effects, if any, of serum IgG4 or IgG4+ plasma cells in tissues. Despite several animal models of the disease, none truly recapitulates human IgG4-RD. Histologic analyses of tissues from patients with IgG4-RD reveal a dense lymphoplasmacytic infiltrate rich in IgG4+ plasma cells, storiform fibrosis, and obliterative phlebitis, although these features vary among organs. Typical presentation and imaging findings include mass-forming synchronous or metachronous lesions in almost any organ, but most commonly in the pancreas, bile duct, retroperitoneum, kidneys, lungs, salivary and lacrimal glands, orbit, and lymph nodes. In all organs, inflammation can be reduced by corticosteroids and drugs that deplete B cells, such as rituximab. Patients with IgG4-RD have relapses that respond to primary therapy. Intense fibrosis accompanies the inflammatory response, leading to permanent organ damage and insufficiency. Death from IgG4-RD is rare. IgG4-RD is a multi-organ disease with predominant pancreatico-biliary involvement. Despite its relapsing–remitting course, patients have an excellent prognosis.","author":[{"dropping-particle":"","family":"Miyabe","given":"Katsuyuki","non-dropping-particle":"","parse-names":false,"suffix":""},{"dropping-particle":"","family":"Zen","given":"Yoh","non-dropping-particle":"","parse-names":false,"suffix":""},{"dropping-particle":"","family":"Cornell","given":"Lynn D.","non-dropping-particle":"","parse-names":false,"suffix":""},{"dropping-particle":"","family":"Rajagopalan","given":"Govindarajan","non-dropping-particle":"","parse-names":false,"suffix":""},{"dropping-particle":"","family":"Chowdhary","given":"Vaidehi R.","non-dropping-particle":"","parse-names":false,"suffix":""},{"dropping-particle":"","family":"Roberts","given":"Lewis R.","non-dropping-particle":"","parse-names":false,"suffix":""},{"dropping-particle":"","family":"Chari","given":"Suresh T.","non-dropping-particle":"","parse-names":false,"suffix":""}],"container-title":"Gastroenterology","id":"ITEM-4","issue":"4","issued":{"date-parts":[["2018"]]},"page":"990-1003.e1","publisher":"Elsevier, Inc","title":"Gastrointestinal and Extra-Intestinal Manifestations of IgG4–Related Disease","type":"article-journal","volume":"155"},"uris":["http://www.mendeley.com/documents/?uuid=54bfed4a-66dc-4bc2-9ebf-922dd5c760a3"]}],"mendeley":{"formattedCitation":"&lt;sup&gt;2,4,32,33&lt;/sup&gt;","plainTextFormattedCitation":"2,4,32,33","previouslyFormattedCitation":"[2,4,32,33]"},"properties":{"noteIndex":0},"schema":"https://github.com/citation-style-language/schema/raw/master/csl-citation.json"}</w:instrText>
      </w:r>
      <w:r w:rsidRPr="000C178D">
        <w:rPr>
          <w:rFonts w:ascii="Book Antiqua" w:hAnsi="Book Antiqua" w:cs="Times New Roman"/>
          <w:sz w:val="24"/>
          <w:szCs w:val="24"/>
          <w:lang w:val="lt-LT"/>
        </w:rPr>
        <w:fldChar w:fldCharType="separate"/>
      </w:r>
      <w:r w:rsidR="001867B4" w:rsidRPr="000C178D">
        <w:rPr>
          <w:rFonts w:ascii="Book Antiqua" w:hAnsi="Book Antiqua" w:cs="Times New Roman"/>
          <w:noProof/>
          <w:sz w:val="24"/>
          <w:szCs w:val="24"/>
          <w:vertAlign w:val="superscript"/>
          <w:lang w:val="lt-LT"/>
        </w:rPr>
        <w:t>2,4,32,33</w:t>
      </w:r>
      <w:r w:rsidRPr="000C178D">
        <w:rPr>
          <w:rFonts w:ascii="Book Antiqua" w:hAnsi="Book Antiqua" w:cs="Times New Roman"/>
          <w:sz w:val="24"/>
          <w:szCs w:val="24"/>
          <w:lang w:val="lt-LT"/>
        </w:rPr>
        <w:fldChar w:fldCharType="end"/>
      </w:r>
      <w:r w:rsidR="00F13746" w:rsidRPr="000C178D">
        <w:rPr>
          <w:rFonts w:ascii="Book Antiqua" w:hAnsi="Book Antiqua" w:cs="Times New Roman"/>
          <w:sz w:val="24"/>
          <w:szCs w:val="24"/>
          <w:vertAlign w:val="superscript"/>
          <w:lang w:val="lt-LT"/>
        </w:rPr>
        <w:t>]</w:t>
      </w:r>
      <w:r w:rsidRPr="000C178D">
        <w:rPr>
          <w:rFonts w:ascii="Book Antiqua" w:hAnsi="Book Antiqua" w:cs="Times New Roman"/>
          <w:sz w:val="24"/>
          <w:szCs w:val="24"/>
          <w:lang w:val="lt-LT"/>
        </w:rPr>
        <w:t xml:space="preserve">. </w:t>
      </w:r>
    </w:p>
    <w:p w14:paraId="092112CC" w14:textId="2A08A33E" w:rsidR="006B7C22" w:rsidRPr="000C178D" w:rsidRDefault="006B7C22" w:rsidP="000C178D">
      <w:pPr>
        <w:autoSpaceDE w:val="0"/>
        <w:autoSpaceDN w:val="0"/>
        <w:adjustRightInd w:val="0"/>
        <w:snapToGrid w:val="0"/>
        <w:spacing w:after="0" w:line="360" w:lineRule="auto"/>
        <w:ind w:firstLineChars="100" w:firstLine="240"/>
        <w:jc w:val="both"/>
        <w:rPr>
          <w:rFonts w:ascii="Book Antiqua" w:hAnsi="Book Antiqua" w:cs="Times New Roman"/>
          <w:color w:val="000000"/>
          <w:sz w:val="24"/>
          <w:szCs w:val="24"/>
          <w:shd w:val="clear" w:color="auto" w:fill="FFFFFF"/>
        </w:rPr>
      </w:pPr>
      <w:r w:rsidRPr="000C178D">
        <w:rPr>
          <w:rFonts w:ascii="Book Antiqua" w:hAnsi="Book Antiqua" w:cs="Times New Roman"/>
          <w:sz w:val="24"/>
          <w:szCs w:val="24"/>
        </w:rPr>
        <w:t xml:space="preserve">Currently available therapies for IgG4-RD, including GC and RTX, are associated with many potential side effects, and their long-term use can get complicated as the disease mostly affects middle-aged to elderly individuals. </w:t>
      </w:r>
      <w:r w:rsidRPr="000C178D">
        <w:rPr>
          <w:rFonts w:ascii="Book Antiqua" w:hAnsi="Book Antiqua" w:cs="Times New Roman"/>
          <w:color w:val="000000"/>
          <w:sz w:val="24"/>
          <w:szCs w:val="24"/>
          <w:shd w:val="clear" w:color="auto" w:fill="FFFFFF"/>
        </w:rPr>
        <w:t>Advances in understanding the disease pathogenesis have given some promising ideas which may lead to new therapeutic options, such as bortezomib</w:t>
      </w:r>
      <w:r w:rsidRPr="000C178D">
        <w:rPr>
          <w:rFonts w:ascii="Book Antiqua" w:eastAsia="Times New Roman" w:hAnsi="Book Antiqua" w:cs="Times New Roman"/>
          <w:color w:val="000000"/>
          <w:sz w:val="24"/>
          <w:szCs w:val="24"/>
        </w:rPr>
        <w:t xml:space="preserve">, abatacept and </w:t>
      </w:r>
      <w:r w:rsidRPr="000C178D">
        <w:rPr>
          <w:rFonts w:ascii="Book Antiqua" w:hAnsi="Book Antiqua" w:cs="Times New Roman"/>
          <w:sz w:val="24"/>
          <w:szCs w:val="24"/>
        </w:rPr>
        <w:t>dupilumab</w:t>
      </w:r>
      <w:r w:rsidR="00F13746" w:rsidRPr="000C178D">
        <w:rPr>
          <w:rFonts w:ascii="Book Antiqua" w:hAnsi="Book Antiqua" w:cs="Times New Roman"/>
          <w:sz w:val="24"/>
          <w:szCs w:val="24"/>
          <w:vertAlign w:val="superscript"/>
        </w:rPr>
        <w:t>[</w:t>
      </w:r>
      <w:r w:rsidR="00BA6C94" w:rsidRPr="000C178D">
        <w:rPr>
          <w:rFonts w:ascii="Book Antiqua" w:eastAsia="Times New Roman" w:hAnsi="Book Antiqua" w:cs="Times New Roman"/>
          <w:color w:val="000000"/>
          <w:sz w:val="24"/>
          <w:szCs w:val="24"/>
        </w:rPr>
        <w:fldChar w:fldCharType="begin" w:fldLock="1"/>
      </w:r>
      <w:r w:rsidR="001867B4" w:rsidRPr="000C178D">
        <w:rPr>
          <w:rFonts w:ascii="Book Antiqua" w:eastAsia="Times New Roman" w:hAnsi="Book Antiqua" w:cs="Times New Roman"/>
          <w:color w:val="000000"/>
          <w:sz w:val="24"/>
          <w:szCs w:val="24"/>
        </w:rPr>
        <w:instrText>ADDIN CSL_CITATION {"citationItems":[{"id":"ITEM-1","itemData":{"DOI":"10.3816/CLML.2010.n.034","ISSN":"21522669","abstract":"Hyper IgG4 disease is a recently described inflammatory disease characterized by lymphoplasmacytic infiltration leading to fibrosis and tissue destruction. Whereas most cases have been successfully treated with corticosteroids, recurrent or refractory cases may benefit from alternative therapies. Bortezomib has proven to be successful in the treatment of multiple myeloma, and its mechanism indicates that it may have merit in autoimmune or other plasmacytic disorders. We report a patient with recurrent pulmonary infiltration with IgG4 plasma cells, consistent with hyper IgG4 disease, who was successfully treated using a bortezomib-based combination with minimal therapy-related toxicities.","author":[{"dropping-particle":"","family":"Khan","given":"Meaghan L.","non-dropping-particle":"","parse-names":false,"suffix":""},{"dropping-particle":"V.","family":"Colby","given":"Thomas","non-dropping-particle":"","parse-names":false,"suffix":""},{"dropping-particle":"","family":"Viggiano","given":"Robert W.","non-dropping-particle":"","parse-names":false,"suffix":""},{"dropping-particle":"","family":"Fonseca","given":"Rafael","non-dropping-particle":"","parse-names":false,"suffix":""}],"container-title":"Clinical Lymphoma, Myeloma and Leukemia","id":"ITEM-1","issue":"3","issued":{"date-parts":[["2010","6"]]},"page":"217-219","title":"Treatment with bortezomib of a patient having hyper IgG4 disease","type":"article-journal","volume":"10"},"uris":["http://www.mendeley.com/documents/?uuid=c7351629-d6c5-37bf-a132-e2e214aba090"]},{"id":"ITEM-2","itemData":{"DOI":"10.1080/1744666X.2017.1354698","ISSN":"17448409","abstract":"Introduction: IgG4-Related Disease is a newly recognized condition which is increasingly diagnosed by practitioners due to improvement in clinical awareness. Men and women have been found to be affected by this disease in various organs, more commonly with involvement of the salivary and lacrimal glands as well as pancreas and liver. Areas covered: The diagnosis and management of this condition remain challenging as biomarkers and therapies are being investigated. Hallmark features on histology are still the gold standard for confirmation of diagnosis, whereas serum IgG4 level has been shown to be neither necessary nor sufficient for the diagnosis. Glucocorticoids remain the most effective initial management for this condition while there are limited clinical trials on the effectiveness of maintenance therapy. Expert commentary: This review serves as an update on approaches for diagnosis and management of IgG4-RD. Most of the known data in this field comes from retrospective cohort studies and expert consensus guidelines but new ongoing prospective studies, clinical trials and better understanding of the pathogenesis of this condition are promising.","author":[{"dropping-particle":"","family":"Abraham","given":"Mary","non-dropping-particle":"","parse-names":false,"suffix":""},{"dropping-particle":"","family":"Khosroshahi","given":"Arezou","non-dropping-particle":"","parse-names":false,"suffix":""}],"container-title":"Expert Review of Clinical Immunology","id":"ITEM-2","issue":"9","issued":{"date-parts":[["2017","9","2"]]},"page":"867-875","publisher":"Taylor and Francis Ltd","title":"Diagnostic and treatment workup for IgG4-related disease","type":"article","volume":"13"},"uris":["http://www.mendeley.com/documents/?uuid=bc7d225b-f6e7-306b-afda-2baa5e3ac9e1"]},{"id":"ITEM-3","itemData":{"DOI":"10.1136/annrheumdis-2016-209368","ISSN":"14682060","author":[{"dropping-particle":"","family":"Yamamoto","given":"Motohisa","non-dropping-particle":"","parse-names":false,"suffix":""},{"dropping-particle":"","family":"Takahashi","given":"Hiroki","non-dropping-particle":"","parse-names":false,"suffix":""},{"dropping-particle":"","family":"Takano","given":"Kenichi","non-dropping-particle":"","parse-names":false,"suffix":""},{"dropping-particle":"","family":"Shimizu","given":"Yui","non-dropping-particle":"","parse-names":false,"suffix":""},{"dropping-particle":"","family":"Sakurai","given":"Nodoka","non-dropping-particle":"","parse-names":false,"suffix":""},{"dropping-particle":"","family":"Suzuki","given":"Chisako","non-dropping-particle":"","parse-names":false,"suffix":""},{"dropping-particle":"","family":"Naishiro","given":"Yasuyoshi","non-dropping-particle":"","parse-names":false,"suffix":""},{"dropping-particle":"","family":"Yajima","given":"Hidetaka","non-dropping-particle":"","parse-names":false,"suffix":""},{"dropping-particle":"","family":"Awakawa","given":"Teruhito","non-dropping-particle":"","parse-names":false,"suffix":""},{"dropping-particle":"","family":"Himi","given":"Tetsuo","non-dropping-particle":"","parse-names":false,"suffix":""},{"dropping-particle":"","family":"Nakase","given":"Hiroshi","non-dropping-particle":"","parse-names":false,"suffix":""}],"container-title":"Annals of the Rheumatic Diseases","id":"ITEM-3","issue":"8","issued":{"date-parts":[["2016","8","1"]]},"page":"1576-1578","publisher":"BMJ Publishing Group","title":"Efficacy of abatacept for IgG4-related disease over 8 months","type":"article","volume":"75"},"uris":["http://www.mendeley.com/documents/?uuid=5a716d86-1231-3bb1-96b6-b9a61fa98907"]},{"id":"ITEM-4","itemData":{"DOI":"10.1136/annrheumdis-2016-210403","ISSN":"14682060","author":[{"dropping-particle":"","family":"Yamamoto","given":"Motohisa","non-dropping-particle":"","parse-names":false,"suffix":""},{"dropping-particle":"","family":"Takahashi","given":"Hiroki","non-dropping-particle":"","parse-names":false,"suffix":""},{"dropping-particle":"","family":"Takano","given":"Kenichi","non-dropping-particle":"","parse-names":false,"suffix":""},{"dropping-particle":"","family":"Himi","given":"Tetsuo","non-dropping-particle":"","parse-names":false,"suffix":""},{"dropping-particle":"","family":"Nakase","given":"Hiroshi","non-dropping-particle":"","parse-names":false,"suffix":""}],"container-title":"Annals of the Rheumatic Diseases","id":"ITEM-4","issue":"11","issued":{"date-parts":[["2016","11","1"]]},"page":"e74","publisher":"BMJ Publishing Group","title":"Response to: 'Could abatacept directly target expanded plasmablasts in IgG4-related disease?' by Alegria et al","type":"article","volume":"75"},"uris":["http://www.mendeley.com/documents/?uuid=254ef213-ffef-3ce8-a97e-762c9e38d1aa"]},{"id":"ITEM-5","itemData":{"DOI":"10.1136/annrheumdis-2019-216368","ISSN":"14682060","abstract":"IgG4-related disease (IgG4-RD) is a rare fibroinflammatory, multisystemic condition with a relapsing-remitting progression.1 The level of serum IgG4 correlates with inflammatory activity and organ involvement.1 Glucocorticoids are first line for IgG4-RD, but there are numerous adverse effects with chronic use.2 Dupilumab is a monoclonal antibody that acts on the interleukin 4 (IL-4) receptor alpha, shared by the IL-4 and IL-13 receptors.1 IL-4 causes isotype switching from IgM to IgG4 and IL-13 is implicated in fibrosis.3 Thus, it was postulated by the authors to investigate dupilumab as a novel steroid-sparing treatment for IgG4-RD.\n\nA 67-year-old man with no known allergies and a history of sensory neural hearing loss, recurrent bronchitis, spinal stenosis, moderate positional obstructive sleep apnoea, asthma, atopic dermatitis (which caused swelling around his eyes) and allergic rhinoconjunctivitis underwent extensive investigations over the past 2</w:instrText>
      </w:r>
      <w:r w:rsidR="001867B4" w:rsidRPr="000C178D">
        <w:rPr>
          <w:rFonts w:ascii="MS Gothic" w:eastAsia="Times New Roman" w:hAnsi="MS Gothic" w:cs="MS Gothic"/>
          <w:color w:val="000000"/>
          <w:sz w:val="24"/>
          <w:szCs w:val="24"/>
        </w:rPr>
        <w:instrText> </w:instrText>
      </w:r>
      <w:r w:rsidR="001867B4" w:rsidRPr="000C178D">
        <w:rPr>
          <w:rFonts w:ascii="Book Antiqua" w:eastAsia="Times New Roman" w:hAnsi="Book Antiqua" w:cs="Times New Roman"/>
          <w:color w:val="000000"/>
          <w:sz w:val="24"/>
          <w:szCs w:val="24"/>
        </w:rPr>
        <w:instrText>years due to suspected IgG4-RD.\n\nThe patient</w:instrText>
      </w:r>
      <w:r w:rsidR="001867B4" w:rsidRPr="000C178D">
        <w:rPr>
          <w:rFonts w:ascii="Book Antiqua" w:eastAsia="Times New Roman" w:hAnsi="Book Antiqua" w:cs="Book Antiqua"/>
          <w:color w:val="000000"/>
          <w:sz w:val="24"/>
          <w:szCs w:val="24"/>
        </w:rPr>
        <w:instrText>’</w:instrText>
      </w:r>
      <w:r w:rsidR="001867B4" w:rsidRPr="000C178D">
        <w:rPr>
          <w:rFonts w:ascii="Book Antiqua" w:eastAsia="Times New Roman" w:hAnsi="Book Antiqua" w:cs="Times New Roman"/>
          <w:color w:val="000000"/>
          <w:sz w:val="24"/>
          <w:szCs w:val="24"/>
        </w:rPr>
        <w:instrText>s initial complaint was pruritic erythematous lesions on the legs, arms, chest and palms. …","author":[{"dropping-particle":"","family":"Simpson","given":"Rachel S.","non-dropping-particle":"","parse-names":false,"suffix":""},{"dropping-particle":"","family":"Lau","given":"Stephanie Ka Ching","non-dropping-particle":"","parse-names":false,"suffix":""},{"dropping-particle":"","family":"Lee","given":"Jason Kihyuk","non-dropping-particle":"","parse-names":false,"suffix":""}],"container-title":"Annals of the Rheumatic Diseases","id":"ITEM-5","issued":{"date-parts":[["2019","1","10"]]},"publisher":"BMJ Publishing Group","title":"Dupilumab as a novel steroid-sparing treatment for IgG4-related disease","type":"article"},"uris":["http://www.mendeley.com/documents/?uuid=6f638dd1-435c-326f-8068-854dc2a36e6b"]}],"mendeley":{"formattedCitation":"&lt;sup&gt;34–38&lt;/sup&gt;","plainTextFormattedCitation":"34–38","previouslyFormattedCitation":"[34–38]"},"properties":{"noteIndex":0},"schema":"https://github.com/citation-style-language/schema/raw/master/csl-citation.json"}</w:instrText>
      </w:r>
      <w:r w:rsidR="00BA6C94" w:rsidRPr="000C178D">
        <w:rPr>
          <w:rFonts w:ascii="Book Antiqua" w:eastAsia="Times New Roman" w:hAnsi="Book Antiqua" w:cs="Times New Roman"/>
          <w:color w:val="000000"/>
          <w:sz w:val="24"/>
          <w:szCs w:val="24"/>
        </w:rPr>
        <w:fldChar w:fldCharType="separate"/>
      </w:r>
      <w:r w:rsidR="001867B4" w:rsidRPr="000C178D">
        <w:rPr>
          <w:rFonts w:ascii="Book Antiqua" w:eastAsia="Times New Roman" w:hAnsi="Book Antiqua" w:cs="Times New Roman"/>
          <w:noProof/>
          <w:color w:val="000000"/>
          <w:sz w:val="24"/>
          <w:szCs w:val="24"/>
          <w:vertAlign w:val="superscript"/>
        </w:rPr>
        <w:t>34–38</w:t>
      </w:r>
      <w:r w:rsidR="00BA6C94" w:rsidRPr="000C178D">
        <w:rPr>
          <w:rFonts w:ascii="Book Antiqua" w:eastAsia="Times New Roman" w:hAnsi="Book Antiqua" w:cs="Times New Roman"/>
          <w:color w:val="000000"/>
          <w:sz w:val="24"/>
          <w:szCs w:val="24"/>
        </w:rPr>
        <w:fldChar w:fldCharType="end"/>
      </w:r>
      <w:r w:rsidR="00F13746" w:rsidRPr="000C178D">
        <w:rPr>
          <w:rFonts w:ascii="Book Antiqua" w:eastAsia="Times New Roman" w:hAnsi="Book Antiqua" w:cs="Times New Roman"/>
          <w:color w:val="000000"/>
          <w:sz w:val="24"/>
          <w:szCs w:val="24"/>
          <w:vertAlign w:val="superscript"/>
        </w:rPr>
        <w:t>]</w:t>
      </w:r>
      <w:r w:rsidRPr="000C178D">
        <w:rPr>
          <w:rFonts w:ascii="Book Antiqua" w:hAnsi="Book Antiqua" w:cs="Times New Roman"/>
          <w:sz w:val="24"/>
          <w:szCs w:val="24"/>
        </w:rPr>
        <w:t xml:space="preserve">. </w:t>
      </w:r>
      <w:r w:rsidRPr="000C178D">
        <w:rPr>
          <w:rFonts w:ascii="Book Antiqua" w:eastAsia="Times New Roman" w:hAnsi="Book Antiqua" w:cs="Times New Roman"/>
          <w:color w:val="000000"/>
          <w:sz w:val="24"/>
          <w:szCs w:val="24"/>
        </w:rPr>
        <w:t>Infliximab was recently proposed for the treatment of IgG4-related o</w:t>
      </w:r>
      <w:r w:rsidR="00FB3737" w:rsidRPr="000C178D">
        <w:rPr>
          <w:rFonts w:ascii="Book Antiqua" w:eastAsia="Times New Roman" w:hAnsi="Book Antiqua" w:cs="Times New Roman"/>
          <w:color w:val="000000"/>
          <w:sz w:val="24"/>
          <w:szCs w:val="24"/>
        </w:rPr>
        <w:t>rbital disease refractory to GC</w:t>
      </w:r>
      <w:r w:rsidR="00F13746" w:rsidRPr="000C178D">
        <w:rPr>
          <w:rFonts w:ascii="Book Antiqua" w:eastAsia="Times New Roman" w:hAnsi="Book Antiqua" w:cs="Times New Roman"/>
          <w:color w:val="000000"/>
          <w:sz w:val="24"/>
          <w:szCs w:val="24"/>
          <w:vertAlign w:val="superscript"/>
        </w:rPr>
        <w:t>[</w:t>
      </w:r>
      <w:r w:rsidRPr="000C178D">
        <w:rPr>
          <w:rFonts w:ascii="Book Antiqua" w:eastAsia="Times New Roman" w:hAnsi="Book Antiqua" w:cs="Times New Roman"/>
          <w:color w:val="000000"/>
          <w:sz w:val="24"/>
          <w:szCs w:val="24"/>
        </w:rPr>
        <w:fldChar w:fldCharType="begin" w:fldLock="1"/>
      </w:r>
      <w:r w:rsidR="001867B4" w:rsidRPr="000C178D">
        <w:rPr>
          <w:rFonts w:ascii="Book Antiqua" w:eastAsia="Times New Roman" w:hAnsi="Book Antiqua" w:cs="Times New Roman"/>
          <w:color w:val="000000"/>
          <w:sz w:val="24"/>
          <w:szCs w:val="24"/>
        </w:rPr>
        <w:instrText>ADDIN CSL_CITATION {"citationItems":[{"id":"ITEM-1","itemData":{"DOI":"10.3109/09273948.2012.714045","ISSN":"09273948","author":[{"dropping-particle":"","family":"Balaskas","given":"Konstantinos","non-dropping-particle":"","parse-names":false,"suffix":""},{"dropping-particle":"","family":"Leval","given":"Laurence","non-dropping-particle":"De","parse-names":false,"suffix":""},{"dropping-particle":"","family":"Corte","given":"Renato","non-dropping-particle":"La","parse-names":false,"suffix":""},{"dropping-particle":"","family":"Zografos","given":"Leonidas","non-dropping-particle":"","parse-names":false,"suffix":""},{"dropping-particle":"","family":"Guex-Crosier","given":"Yan","non-dropping-particle":"","parse-names":false,"suffix":""}],"container-title":"Ocular Immunology and Inflammation","id":"ITEM-1","issue":"6","issued":{"date-parts":[["2012","12"]]},"page":"478-480","title":"Infliximab therapy for a severe case of IgG4-related ocular adnexal disorder recalcitrant to corticosteroid treatment","type":"article-journal","volume":"20"},"uris":["http://www.mendeley.com/documents/?uuid=ac7b1337-7cea-32b8-af06-b7b4029f5a4b"]},{"id":"ITEM-2","itemData":{"DOI":"10.1080/1744666X.2017.1354698","ISSN":"17448409","abstract":"Introduction: IgG4-Related Disease is a newly recognized condition which is increasingly diagnosed by practitioners due to improvement in clinical awareness. Men and women have been found to be affected by this disease in various organs, more commonly with involvement of the salivary and lacrimal glands as well as pancreas and liver. Areas covered: The diagnosis and management of this condition remain challenging as biomarkers and therapies are being investigated. Hallmark features on histology are still the gold standard for confirmation of diagnosis, whereas serum IgG4 level has been shown to be neither necessary nor sufficient for the diagnosis. Glucocorticoids remain the most effective initial management for this condition while there are limited clinical trials on the effectiveness of maintenance therapy. Expert commentary: This review serves as an update on approaches for diagnosis and management of IgG4-RD. Most of the known data in this field comes from retrospective cohort studies and expert consensus guidelines but new ongoing prospective studies, clinical trials and better understanding of the pathogenesis of this condition are promising.","author":[{"dropping-particle":"","family":"Abraham","given":"Mary","non-dropping-particle":"","parse-names":false,"suffix":""},{"dropping-particle":"","family":"Khosroshahi","given":"Arezou","non-dropping-particle":"","parse-names":false,"suffix":""}],"container-title":"Expert Review of Clinical Immunology","id":"ITEM-2","issue":"9","issued":{"date-parts":[["2017","9","2"]]},"page":"867-875","publisher":"Taylor and Francis Ltd","title":"Diagnostic and treatment workup for IgG4-related disease","type":"article","volume":"13"},"uris":["http://www.mendeley.com/documents/?uuid=bc7d225b-f6e7-306b-afda-2baa5e3ac9e1"]}],"mendeley":{"formattedCitation":"&lt;sup&gt;35,39&lt;/sup&gt;","plainTextFormattedCitation":"35,39","previouslyFormattedCitation":"[35,39]"},"properties":{"noteIndex":0},"schema":"https://github.com/citation-style-language/schema/raw/master/csl-citation.json"}</w:instrText>
      </w:r>
      <w:r w:rsidRPr="000C178D">
        <w:rPr>
          <w:rFonts w:ascii="Book Antiqua" w:eastAsia="Times New Roman" w:hAnsi="Book Antiqua" w:cs="Times New Roman"/>
          <w:color w:val="000000"/>
          <w:sz w:val="24"/>
          <w:szCs w:val="24"/>
        </w:rPr>
        <w:fldChar w:fldCharType="separate"/>
      </w:r>
      <w:r w:rsidR="001867B4" w:rsidRPr="000C178D">
        <w:rPr>
          <w:rFonts w:ascii="Book Antiqua" w:eastAsia="Times New Roman" w:hAnsi="Book Antiqua" w:cs="Times New Roman"/>
          <w:noProof/>
          <w:color w:val="000000"/>
          <w:sz w:val="24"/>
          <w:szCs w:val="24"/>
          <w:vertAlign w:val="superscript"/>
        </w:rPr>
        <w:t>35,39</w:t>
      </w:r>
      <w:r w:rsidRPr="000C178D">
        <w:rPr>
          <w:rFonts w:ascii="Book Antiqua" w:eastAsia="Times New Roman" w:hAnsi="Book Antiqua" w:cs="Times New Roman"/>
          <w:color w:val="000000"/>
          <w:sz w:val="24"/>
          <w:szCs w:val="24"/>
        </w:rPr>
        <w:fldChar w:fldCharType="end"/>
      </w:r>
      <w:r w:rsidR="00F13746" w:rsidRPr="000C178D">
        <w:rPr>
          <w:rFonts w:ascii="Book Antiqua" w:eastAsia="Times New Roman" w:hAnsi="Book Antiqua" w:cs="Times New Roman"/>
          <w:color w:val="000000"/>
          <w:sz w:val="24"/>
          <w:szCs w:val="24"/>
          <w:vertAlign w:val="superscript"/>
        </w:rPr>
        <w:t>]</w:t>
      </w:r>
      <w:r w:rsidR="00BA6C94" w:rsidRPr="000C178D">
        <w:rPr>
          <w:rFonts w:ascii="Book Antiqua" w:eastAsia="Times New Roman" w:hAnsi="Book Antiqua" w:cs="Times New Roman"/>
          <w:color w:val="000000"/>
          <w:sz w:val="24"/>
          <w:szCs w:val="24"/>
        </w:rPr>
        <w:t>.</w:t>
      </w:r>
    </w:p>
    <w:p w14:paraId="214BBFE2" w14:textId="1210505F" w:rsidR="00627231" w:rsidRPr="000C178D" w:rsidRDefault="00627231" w:rsidP="000C178D">
      <w:pPr>
        <w:snapToGrid w:val="0"/>
        <w:spacing w:after="0" w:line="360" w:lineRule="auto"/>
        <w:ind w:firstLineChars="100" w:firstLine="240"/>
        <w:jc w:val="both"/>
        <w:rPr>
          <w:rFonts w:ascii="Book Antiqua" w:eastAsia="Times New Roman" w:hAnsi="Book Antiqua" w:cs="Times New Roman"/>
          <w:color w:val="000000"/>
          <w:sz w:val="24"/>
          <w:szCs w:val="24"/>
        </w:rPr>
      </w:pPr>
      <w:r w:rsidRPr="000C178D">
        <w:rPr>
          <w:rFonts w:ascii="Book Antiqua" w:eastAsia="Times New Roman" w:hAnsi="Book Antiqua" w:cs="Times New Roman"/>
          <w:color w:val="000000"/>
          <w:sz w:val="24"/>
          <w:szCs w:val="24"/>
        </w:rPr>
        <w:t xml:space="preserve">In our case, the initial treatment with prednisolone was effective. Within a month, there was a </w:t>
      </w:r>
      <w:proofErr w:type="spellStart"/>
      <w:r w:rsidRPr="000C178D">
        <w:rPr>
          <w:rFonts w:ascii="Book Antiqua" w:eastAsia="Times New Roman" w:hAnsi="Book Antiqua" w:cs="Times New Roman"/>
          <w:color w:val="000000"/>
          <w:sz w:val="24"/>
          <w:szCs w:val="24"/>
        </w:rPr>
        <w:t>favourable</w:t>
      </w:r>
      <w:proofErr w:type="spellEnd"/>
      <w:r w:rsidRPr="000C178D">
        <w:rPr>
          <w:rFonts w:ascii="Book Antiqua" w:eastAsia="Times New Roman" w:hAnsi="Book Antiqua" w:cs="Times New Roman"/>
          <w:color w:val="000000"/>
          <w:sz w:val="24"/>
          <w:szCs w:val="24"/>
        </w:rPr>
        <w:t xml:space="preserve"> clinical response: </w:t>
      </w:r>
      <w:r w:rsidR="00BB67EB" w:rsidRPr="000C178D">
        <w:rPr>
          <w:rFonts w:ascii="Book Antiqua" w:eastAsia="Times New Roman" w:hAnsi="Book Antiqua" w:cs="Times New Roman"/>
          <w:color w:val="000000"/>
          <w:sz w:val="24"/>
          <w:szCs w:val="24"/>
        </w:rPr>
        <w:t>T</w:t>
      </w:r>
      <w:r w:rsidRPr="000C178D">
        <w:rPr>
          <w:rFonts w:ascii="Book Antiqua" w:eastAsia="Times New Roman" w:hAnsi="Book Antiqua" w:cs="Times New Roman"/>
          <w:color w:val="000000"/>
          <w:sz w:val="24"/>
          <w:szCs w:val="24"/>
        </w:rPr>
        <w:t xml:space="preserve">he </w:t>
      </w:r>
      <w:proofErr w:type="spellStart"/>
      <w:r w:rsidRPr="000C178D">
        <w:rPr>
          <w:rFonts w:ascii="Book Antiqua" w:eastAsia="Times New Roman" w:hAnsi="Book Antiqua" w:cs="Times New Roman"/>
          <w:color w:val="000000"/>
          <w:sz w:val="24"/>
          <w:szCs w:val="24"/>
        </w:rPr>
        <w:t>tumefactive</w:t>
      </w:r>
      <w:proofErr w:type="spellEnd"/>
      <w:r w:rsidRPr="000C178D">
        <w:rPr>
          <w:rFonts w:ascii="Book Antiqua" w:eastAsia="Times New Roman" w:hAnsi="Book Antiqua" w:cs="Times New Roman"/>
          <w:color w:val="000000"/>
          <w:sz w:val="24"/>
          <w:szCs w:val="24"/>
        </w:rPr>
        <w:t xml:space="preserve"> masses shrunk significantly, serum IgG4 level decreased several times,</w:t>
      </w:r>
      <w:r w:rsidRPr="000C178D">
        <w:rPr>
          <w:rFonts w:ascii="Book Antiqua" w:hAnsi="Book Antiqua" w:cs="Times New Roman"/>
          <w:color w:val="2E2E2E"/>
          <w:sz w:val="24"/>
          <w:szCs w:val="24"/>
        </w:rPr>
        <w:t xml:space="preserve"> </w:t>
      </w:r>
      <w:r w:rsidRPr="000C178D">
        <w:rPr>
          <w:rFonts w:ascii="Book Antiqua" w:eastAsia="Times New Roman" w:hAnsi="Book Antiqua" w:cs="Times New Roman"/>
          <w:color w:val="000000"/>
          <w:sz w:val="24"/>
          <w:szCs w:val="24"/>
        </w:rPr>
        <w:t xml:space="preserve">and there were no signs of pancreatitis on MRI. As there is a high risk of relapse due to multiple </w:t>
      </w:r>
      <w:r w:rsidRPr="000C178D">
        <w:rPr>
          <w:rFonts w:ascii="Book Antiqua" w:eastAsia="Times New Roman" w:hAnsi="Book Antiqua" w:cs="Times New Roman"/>
          <w:color w:val="000000"/>
          <w:sz w:val="24"/>
          <w:szCs w:val="24"/>
        </w:rPr>
        <w:lastRenderedPageBreak/>
        <w:t>organ involvement, the patient is still on the long-term maintenance therapy with 5 mg/</w:t>
      </w:r>
      <w:r w:rsidR="00A30DB7" w:rsidRPr="000C178D">
        <w:rPr>
          <w:rFonts w:ascii="Book Antiqua" w:eastAsia="Times New Roman" w:hAnsi="Book Antiqua" w:cs="Times New Roman"/>
          <w:color w:val="000000"/>
          <w:sz w:val="24"/>
          <w:szCs w:val="24"/>
        </w:rPr>
        <w:t>d</w:t>
      </w:r>
      <w:r w:rsidRPr="000C178D">
        <w:rPr>
          <w:rFonts w:ascii="Book Antiqua" w:eastAsia="Times New Roman" w:hAnsi="Book Antiqua" w:cs="Times New Roman"/>
          <w:color w:val="000000"/>
          <w:sz w:val="24"/>
          <w:szCs w:val="24"/>
        </w:rPr>
        <w:t xml:space="preserve"> of prednisolone. </w:t>
      </w:r>
    </w:p>
    <w:p w14:paraId="34E8030D" w14:textId="77777777" w:rsidR="00627231" w:rsidRPr="000C178D" w:rsidRDefault="00627231" w:rsidP="000C178D">
      <w:pPr>
        <w:autoSpaceDE w:val="0"/>
        <w:autoSpaceDN w:val="0"/>
        <w:adjustRightInd w:val="0"/>
        <w:snapToGrid w:val="0"/>
        <w:spacing w:after="0" w:line="360" w:lineRule="auto"/>
        <w:jc w:val="both"/>
        <w:rPr>
          <w:rFonts w:ascii="Book Antiqua" w:hAnsi="Book Antiqua" w:cs="Times New Roman"/>
          <w:sz w:val="24"/>
          <w:szCs w:val="24"/>
          <w:lang w:val="lt-LT"/>
        </w:rPr>
      </w:pPr>
    </w:p>
    <w:p w14:paraId="2815130F" w14:textId="77777777" w:rsidR="00627231" w:rsidRPr="000C178D" w:rsidRDefault="00627231" w:rsidP="000C178D">
      <w:pPr>
        <w:autoSpaceDE w:val="0"/>
        <w:autoSpaceDN w:val="0"/>
        <w:adjustRightInd w:val="0"/>
        <w:snapToGrid w:val="0"/>
        <w:spacing w:after="0" w:line="360" w:lineRule="auto"/>
        <w:rPr>
          <w:rFonts w:ascii="Book Antiqua" w:hAnsi="Book Antiqua" w:cs="AdvOTbc475f09"/>
          <w:i/>
          <w:sz w:val="24"/>
          <w:szCs w:val="24"/>
        </w:rPr>
      </w:pPr>
      <w:r w:rsidRPr="000C178D">
        <w:rPr>
          <w:rFonts w:ascii="Book Antiqua" w:hAnsi="Book Antiqua" w:cs="Times New Roman"/>
          <w:b/>
          <w:i/>
          <w:sz w:val="24"/>
          <w:szCs w:val="24"/>
        </w:rPr>
        <w:t>IgG4-RD Responder Index</w:t>
      </w:r>
    </w:p>
    <w:p w14:paraId="482103D2" w14:textId="0E92A4B9" w:rsidR="00627231" w:rsidRPr="000C178D" w:rsidRDefault="00627231" w:rsidP="000C178D">
      <w:pPr>
        <w:autoSpaceDE w:val="0"/>
        <w:autoSpaceDN w:val="0"/>
        <w:adjustRightInd w:val="0"/>
        <w:snapToGrid w:val="0"/>
        <w:spacing w:after="0" w:line="360" w:lineRule="auto"/>
        <w:jc w:val="both"/>
        <w:rPr>
          <w:rFonts w:ascii="Book Antiqua" w:hAnsi="Book Antiqua" w:cs="Times New Roman"/>
          <w:color w:val="000000"/>
          <w:sz w:val="24"/>
          <w:szCs w:val="24"/>
          <w:shd w:val="clear" w:color="auto" w:fill="FFFFFF"/>
        </w:rPr>
      </w:pPr>
      <w:r w:rsidRPr="000C178D">
        <w:rPr>
          <w:rFonts w:ascii="Book Antiqua" w:eastAsia="Times New Roman" w:hAnsi="Book Antiqua" w:cs="Times New Roman"/>
          <w:color w:val="000000" w:themeColor="text1"/>
          <w:sz w:val="24"/>
          <w:szCs w:val="24"/>
        </w:rPr>
        <w:t xml:space="preserve">IgG4-RD responder index (RI) </w:t>
      </w:r>
      <w:r w:rsidRPr="000C178D">
        <w:rPr>
          <w:rFonts w:ascii="Book Antiqua" w:eastAsia="Times New Roman" w:hAnsi="Book Antiqua" w:cs="Times New Roman"/>
          <w:color w:val="0E101A"/>
          <w:sz w:val="24"/>
          <w:szCs w:val="24"/>
        </w:rPr>
        <w:t xml:space="preserve">created in 2012 by </w:t>
      </w:r>
      <w:proofErr w:type="spellStart"/>
      <w:r w:rsidRPr="000C178D">
        <w:rPr>
          <w:rFonts w:ascii="Book Antiqua" w:eastAsia="Times New Roman" w:hAnsi="Book Antiqua" w:cs="Times New Roman"/>
          <w:color w:val="0E101A"/>
          <w:sz w:val="24"/>
          <w:szCs w:val="24"/>
        </w:rPr>
        <w:t>Carruther</w:t>
      </w:r>
      <w:r w:rsidR="00B82086" w:rsidRPr="000C178D">
        <w:rPr>
          <w:rFonts w:ascii="Book Antiqua" w:eastAsia="Times New Roman" w:hAnsi="Book Antiqua" w:cs="Times New Roman"/>
          <w:color w:val="0E101A"/>
          <w:sz w:val="24"/>
          <w:szCs w:val="24"/>
        </w:rPr>
        <w:t>'</w:t>
      </w:r>
      <w:r w:rsidRPr="000C178D">
        <w:rPr>
          <w:rFonts w:ascii="Book Antiqua" w:eastAsia="Times New Roman" w:hAnsi="Book Antiqua" w:cs="Times New Roman"/>
          <w:color w:val="0E101A"/>
          <w:sz w:val="24"/>
          <w:szCs w:val="24"/>
        </w:rPr>
        <w:t>s</w:t>
      </w:r>
      <w:proofErr w:type="spellEnd"/>
      <w:r w:rsidRPr="000C178D">
        <w:rPr>
          <w:rFonts w:ascii="Book Antiqua" w:eastAsia="Times New Roman" w:hAnsi="Book Antiqua" w:cs="Times New Roman"/>
          <w:color w:val="0E101A"/>
          <w:sz w:val="24"/>
          <w:szCs w:val="24"/>
        </w:rPr>
        <w:t xml:space="preserve"> </w:t>
      </w:r>
      <w:r w:rsidRPr="000C178D">
        <w:rPr>
          <w:rFonts w:ascii="Book Antiqua" w:eastAsia="Times New Roman" w:hAnsi="Book Antiqua" w:cs="Times New Roman"/>
          <w:i/>
          <w:color w:val="0E101A"/>
          <w:sz w:val="24"/>
          <w:szCs w:val="24"/>
        </w:rPr>
        <w:t>et al</w:t>
      </w:r>
      <w:r w:rsidR="0022694E" w:rsidRPr="000C178D">
        <w:rPr>
          <w:rFonts w:ascii="Book Antiqua" w:eastAsia="Times New Roman" w:hAnsi="Book Antiqua" w:cs="Times New Roman"/>
          <w:color w:val="000000" w:themeColor="text1"/>
          <w:sz w:val="24"/>
          <w:szCs w:val="24"/>
          <w:vertAlign w:val="superscript"/>
        </w:rPr>
        <w:t>[</w:t>
      </w:r>
      <w:r w:rsidR="0022694E" w:rsidRPr="000C178D">
        <w:rPr>
          <w:rFonts w:ascii="Book Antiqua" w:hAnsi="Book Antiqua" w:cs="Times New Roman"/>
          <w:color w:val="000000"/>
          <w:sz w:val="24"/>
          <w:szCs w:val="24"/>
        </w:rPr>
        <w:fldChar w:fldCharType="begin" w:fldLock="1"/>
      </w:r>
      <w:r w:rsidR="0022694E" w:rsidRPr="000C178D">
        <w:rPr>
          <w:rFonts w:ascii="Book Antiqua" w:hAnsi="Book Antiqua" w:cs="Times New Roman"/>
          <w:color w:val="000000"/>
          <w:sz w:val="24"/>
          <w:szCs w:val="24"/>
        </w:rPr>
        <w:instrText>ADDIN CSL_CITATION {"citationItems":[{"id":"ITEM-1","itemData":{"DOI":"10.1155/2012/259408","ISSN":"1687-9260","abstract":"&lt;p&gt;IgG4-related disease (IgG4-RD) is a multiorgan inflammatory disease in which diverse organ manifestations are linked by common histopathological and immunohistochemical features. Prospective studies of IgG4-RD patients are required to clarify the natural history, long-term prognosis, and treatment approaches in this recently recognized condition. Patients with IgG4-RD have different organ manifestations and are followed by multiple specialties. Divergent approaches to the assessment of patients can complicate the interpretation of studies, emphasizing the critical need for validated outcome measures, particularly assessments of disease activity and response to treatment. We developed a prototype IgG4-RD Responder Index (IgG4-RD RI) based on the approach used in the development of the Birmingham Vasculitis Activity Score for Wegener’s granulomatosis (BVAS/WG). The IgG4-RD RI was refined by members of the International IgG4-RD Symposium Organizing Committee in a paper case exercise. The revised instrument was applied retrospectively to fifteen IgG4-RD patients at our institution. Those scores were compared to physician’s global assessment scale for the same visits. This paper describes the philosophy and goals of the IgG4-RD RI, the steps in the development of this instrument to date, and future plans for validation of this instrument as an outcome measure.&lt;/p&gt;","author":[{"dropping-particle":"","family":"Carruthers","given":"Mollie N.","non-dropping-particle":"","parse-names":false,"suffix":""},{"dropping-particle":"","family":"Stone","given":"John H.","non-dropping-particle":"","parse-names":false,"suffix":""},{"dropping-particle":"","family":"Deshpande","given":"Vikram","non-dropping-particle":"","parse-names":false,"suffix":""},{"dropping-particle":"","family":"Khosroshahi","given":"Arezou","non-dropping-particle":"","parse-names":false,"suffix":""}],"container-title":"International Journal of Rheumatology","id":"ITEM-1","issued":{"date-parts":[["2012"]]},"page":"1-7","title":"Development of an IgG4-RD Responder Index","type":"article-journal","volume":"2012"},"uris":["http://www.mendeley.com/documents/?uuid=be1171ae-d88a-38ac-8979-b35cad1aff02"]}],"mendeley":{"formattedCitation":"&lt;sup&gt;40&lt;/sup&gt;","plainTextFormattedCitation":"40","previouslyFormattedCitation":"[40]"},"properties":{"noteIndex":0},"schema":"https://github.com/citation-style-language/schema/raw/master/csl-citation.json"}</w:instrText>
      </w:r>
      <w:r w:rsidR="0022694E" w:rsidRPr="000C178D">
        <w:rPr>
          <w:rFonts w:ascii="Book Antiqua" w:hAnsi="Book Antiqua" w:cs="Times New Roman"/>
          <w:color w:val="000000"/>
          <w:sz w:val="24"/>
          <w:szCs w:val="24"/>
        </w:rPr>
        <w:fldChar w:fldCharType="separate"/>
      </w:r>
      <w:r w:rsidR="0022694E" w:rsidRPr="000C178D">
        <w:rPr>
          <w:rFonts w:ascii="Book Antiqua" w:hAnsi="Book Antiqua" w:cs="Times New Roman"/>
          <w:noProof/>
          <w:color w:val="000000"/>
          <w:sz w:val="24"/>
          <w:szCs w:val="24"/>
          <w:vertAlign w:val="superscript"/>
        </w:rPr>
        <w:t>40</w:t>
      </w:r>
      <w:r w:rsidR="0022694E" w:rsidRPr="000C178D">
        <w:rPr>
          <w:rFonts w:ascii="Book Antiqua" w:hAnsi="Book Antiqua" w:cs="Times New Roman"/>
          <w:color w:val="000000"/>
          <w:sz w:val="24"/>
          <w:szCs w:val="24"/>
        </w:rPr>
        <w:fldChar w:fldCharType="end"/>
      </w:r>
      <w:r w:rsidR="0022694E" w:rsidRPr="000C178D">
        <w:rPr>
          <w:rFonts w:ascii="Book Antiqua" w:hAnsi="Book Antiqua" w:cs="Times New Roman"/>
          <w:color w:val="000000"/>
          <w:sz w:val="24"/>
          <w:szCs w:val="24"/>
          <w:vertAlign w:val="superscript"/>
        </w:rPr>
        <w:t>]</w:t>
      </w:r>
      <w:r w:rsidR="0022694E" w:rsidRPr="000C178D">
        <w:rPr>
          <w:rFonts w:ascii="Book Antiqua" w:eastAsia="Times New Roman" w:hAnsi="Book Antiqua" w:cs="Times New Roman"/>
          <w:i/>
          <w:color w:val="0E101A"/>
          <w:sz w:val="24"/>
          <w:szCs w:val="24"/>
        </w:rPr>
        <w:t xml:space="preserve"> </w:t>
      </w:r>
      <w:r w:rsidRPr="000C178D">
        <w:rPr>
          <w:rFonts w:ascii="Book Antiqua" w:eastAsia="Times New Roman" w:hAnsi="Book Antiqua" w:cs="Times New Roman"/>
          <w:color w:val="000000" w:themeColor="text1"/>
          <w:sz w:val="24"/>
          <w:szCs w:val="24"/>
        </w:rPr>
        <w:t>is the only currently available objective tool for the evaluation of a patient</w:t>
      </w:r>
      <w:r w:rsidR="00B82086" w:rsidRPr="000C178D">
        <w:rPr>
          <w:rFonts w:ascii="Book Antiqua" w:eastAsia="Times New Roman" w:hAnsi="Book Antiqua" w:cs="Times New Roman"/>
          <w:color w:val="000000" w:themeColor="text1"/>
          <w:sz w:val="24"/>
          <w:szCs w:val="24"/>
        </w:rPr>
        <w:t>'</w:t>
      </w:r>
      <w:r w:rsidRPr="000C178D">
        <w:rPr>
          <w:rFonts w:ascii="Book Antiqua" w:eastAsia="Times New Roman" w:hAnsi="Book Antiqua" w:cs="Times New Roman"/>
          <w:color w:val="000000" w:themeColor="text1"/>
          <w:sz w:val="24"/>
          <w:szCs w:val="24"/>
        </w:rPr>
        <w:t>s disease activity</w:t>
      </w:r>
      <w:r w:rsidR="00B024EC" w:rsidRPr="000C178D">
        <w:rPr>
          <w:rFonts w:ascii="Book Antiqua" w:eastAsia="Times New Roman" w:hAnsi="Book Antiqua" w:cs="Times New Roman"/>
          <w:color w:val="000000" w:themeColor="text1"/>
          <w:sz w:val="24"/>
          <w:szCs w:val="24"/>
        </w:rPr>
        <w:t xml:space="preserve"> that</w:t>
      </w:r>
      <w:r w:rsidRPr="000C178D">
        <w:rPr>
          <w:rFonts w:ascii="Book Antiqua" w:eastAsia="Times New Roman" w:hAnsi="Book Antiqua" w:cs="Times New Roman"/>
          <w:color w:val="000000" w:themeColor="text1"/>
          <w:sz w:val="24"/>
          <w:szCs w:val="24"/>
        </w:rPr>
        <w:t xml:space="preserve"> could be used to assess treatment response, though still in development</w:t>
      </w:r>
      <w:r w:rsidRPr="000C178D">
        <w:rPr>
          <w:rFonts w:ascii="Book Antiqua" w:eastAsia="Times New Roman" w:hAnsi="Book Antiqua" w:cs="Times New Roman"/>
          <w:color w:val="0E101A"/>
          <w:sz w:val="24"/>
          <w:szCs w:val="24"/>
        </w:rPr>
        <w:t xml:space="preserve">. We also applied the IgG4-RD RI tool to our case. The patient demonstrated a striking clinical improvement within one month after starting prednisolone. </w:t>
      </w:r>
      <w:r w:rsidRPr="000C178D">
        <w:rPr>
          <w:rFonts w:ascii="Book Antiqua" w:hAnsi="Book Antiqua" w:cs="Times New Roman"/>
          <w:color w:val="000000"/>
          <w:sz w:val="24"/>
          <w:szCs w:val="24"/>
          <w:shd w:val="clear" w:color="auto" w:fill="FFFFFF"/>
        </w:rPr>
        <w:t>IgG-RD RI decreased from 11 to 4.</w:t>
      </w:r>
    </w:p>
    <w:p w14:paraId="359C78B7" w14:textId="77777777" w:rsidR="00627231" w:rsidRPr="000C178D" w:rsidRDefault="00627231" w:rsidP="000C178D">
      <w:pPr>
        <w:autoSpaceDE w:val="0"/>
        <w:autoSpaceDN w:val="0"/>
        <w:adjustRightInd w:val="0"/>
        <w:snapToGrid w:val="0"/>
        <w:spacing w:after="0" w:line="360" w:lineRule="auto"/>
        <w:jc w:val="both"/>
        <w:rPr>
          <w:rFonts w:ascii="Book Antiqua" w:hAnsi="Book Antiqua" w:cs="Times New Roman"/>
          <w:color w:val="000000"/>
          <w:sz w:val="24"/>
          <w:szCs w:val="24"/>
          <w:shd w:val="clear" w:color="auto" w:fill="FFFFFF"/>
        </w:rPr>
      </w:pPr>
    </w:p>
    <w:p w14:paraId="4ECFCDC2" w14:textId="627B9017" w:rsidR="00627231" w:rsidRPr="000C178D" w:rsidRDefault="00AA46C1" w:rsidP="000C178D">
      <w:pPr>
        <w:autoSpaceDE w:val="0"/>
        <w:autoSpaceDN w:val="0"/>
        <w:adjustRightInd w:val="0"/>
        <w:snapToGrid w:val="0"/>
        <w:spacing w:after="0" w:line="360" w:lineRule="auto"/>
        <w:jc w:val="both"/>
        <w:rPr>
          <w:rFonts w:ascii="Book Antiqua" w:hAnsi="Book Antiqua" w:cs="Times New Roman"/>
          <w:b/>
          <w:sz w:val="24"/>
          <w:szCs w:val="24"/>
          <w:u w:val="single"/>
          <w:shd w:val="clear" w:color="auto" w:fill="FFFFFF"/>
        </w:rPr>
      </w:pPr>
      <w:r w:rsidRPr="000C178D">
        <w:rPr>
          <w:rFonts w:ascii="Book Antiqua" w:hAnsi="Book Antiqua" w:cs="Times New Roman"/>
          <w:b/>
          <w:sz w:val="24"/>
          <w:szCs w:val="24"/>
          <w:u w:val="single"/>
        </w:rPr>
        <w:t>CONCLUSION</w:t>
      </w:r>
    </w:p>
    <w:p w14:paraId="1DD05549" w14:textId="17EF420B" w:rsidR="00267282" w:rsidRPr="000C178D" w:rsidRDefault="003D1BB5" w:rsidP="000C178D">
      <w:pPr>
        <w:widowControl w:val="0"/>
        <w:autoSpaceDE w:val="0"/>
        <w:autoSpaceDN w:val="0"/>
        <w:adjustRightInd w:val="0"/>
        <w:snapToGrid w:val="0"/>
        <w:spacing w:after="0" w:line="360" w:lineRule="auto"/>
        <w:jc w:val="both"/>
        <w:rPr>
          <w:rFonts w:ascii="Book Antiqua" w:hAnsi="Book Antiqua" w:cs="Times New Roman"/>
          <w:sz w:val="24"/>
          <w:szCs w:val="24"/>
          <w:lang w:val="lt-LT"/>
        </w:rPr>
      </w:pPr>
      <w:r w:rsidRPr="000C178D">
        <w:rPr>
          <w:rFonts w:ascii="Book Antiqua" w:hAnsi="Book Antiqua" w:cs="Times New Roman"/>
          <w:color w:val="000000" w:themeColor="text1"/>
          <w:sz w:val="24"/>
          <w:szCs w:val="24"/>
          <w:lang w:val="lt-LT"/>
        </w:rPr>
        <w:t>D</w:t>
      </w:r>
      <w:r w:rsidR="00267282" w:rsidRPr="000C178D">
        <w:rPr>
          <w:rFonts w:ascii="Book Antiqua" w:hAnsi="Book Antiqua" w:cs="Times New Roman"/>
          <w:color w:val="000000" w:themeColor="text1"/>
          <w:sz w:val="24"/>
          <w:szCs w:val="24"/>
          <w:lang w:val="lt-LT"/>
        </w:rPr>
        <w:t xml:space="preserve">ue </w:t>
      </w:r>
      <w:r w:rsidR="00267282" w:rsidRPr="000C178D">
        <w:rPr>
          <w:rFonts w:ascii="Book Antiqua" w:hAnsi="Book Antiqua" w:cs="Times New Roman"/>
          <w:sz w:val="24"/>
          <w:szCs w:val="24"/>
          <w:lang w:val="lt-LT"/>
        </w:rPr>
        <w:t>to the heterogenicity of the disease, the IgG4-RD diagnosis is a cha</w:t>
      </w:r>
      <w:r w:rsidR="00B82086" w:rsidRPr="000C178D">
        <w:rPr>
          <w:rFonts w:ascii="Book Antiqua" w:hAnsi="Book Antiqua" w:cs="Times New Roman"/>
          <w:sz w:val="24"/>
          <w:szCs w:val="24"/>
          <w:lang w:val="lt-LT"/>
        </w:rPr>
        <w:t>l</w:t>
      </w:r>
      <w:r w:rsidR="00267282" w:rsidRPr="000C178D">
        <w:rPr>
          <w:rFonts w:ascii="Book Antiqua" w:hAnsi="Book Antiqua" w:cs="Times New Roman"/>
          <w:sz w:val="24"/>
          <w:szCs w:val="24"/>
          <w:lang w:val="lt-LT"/>
        </w:rPr>
        <w:t>lenge to every clinician</w:t>
      </w:r>
      <w:r w:rsidR="004B4025" w:rsidRPr="000C178D">
        <w:rPr>
          <w:rFonts w:ascii="Book Antiqua" w:hAnsi="Book Antiqua" w:cs="Times New Roman"/>
          <w:sz w:val="24"/>
          <w:szCs w:val="24"/>
          <w:lang w:val="lt-LT"/>
        </w:rPr>
        <w:t>, therefore,</w:t>
      </w:r>
      <w:r w:rsidR="00B82086" w:rsidRPr="000C178D">
        <w:rPr>
          <w:rFonts w:ascii="Book Antiqua" w:hAnsi="Book Antiqua" w:cs="Times New Roman"/>
          <w:sz w:val="24"/>
          <w:szCs w:val="24"/>
          <w:lang w:val="lt-LT"/>
        </w:rPr>
        <w:t xml:space="preserve"> usually is delayed.</w:t>
      </w:r>
      <w:r w:rsidR="00267282" w:rsidRPr="000C178D">
        <w:rPr>
          <w:rFonts w:ascii="Book Antiqua" w:hAnsi="Book Antiqua" w:cs="Times New Roman"/>
          <w:sz w:val="24"/>
          <w:szCs w:val="24"/>
          <w:lang w:val="lt-LT"/>
        </w:rPr>
        <w:t xml:space="preserve"> </w:t>
      </w:r>
      <w:r w:rsidR="00267282" w:rsidRPr="000C178D">
        <w:rPr>
          <w:rFonts w:ascii="Book Antiqua" w:hAnsi="Book Antiqua" w:cs="Times New Roman"/>
          <w:color w:val="0E101A"/>
          <w:sz w:val="24"/>
          <w:szCs w:val="24"/>
        </w:rPr>
        <w:t xml:space="preserve">We report the first clinical case of multi-organ IgG4-RD from Lithuania and the Baltic </w:t>
      </w:r>
      <w:r w:rsidR="00B82086" w:rsidRPr="000C178D">
        <w:rPr>
          <w:rFonts w:ascii="Book Antiqua" w:hAnsi="Book Antiqua" w:cs="Times New Roman"/>
          <w:color w:val="0E101A"/>
          <w:sz w:val="24"/>
          <w:szCs w:val="24"/>
        </w:rPr>
        <w:t>S</w:t>
      </w:r>
      <w:r w:rsidR="00267282" w:rsidRPr="000C178D">
        <w:rPr>
          <w:rFonts w:ascii="Book Antiqua" w:hAnsi="Book Antiqua" w:cs="Times New Roman"/>
          <w:color w:val="0E101A"/>
          <w:sz w:val="24"/>
          <w:szCs w:val="24"/>
        </w:rPr>
        <w:t>ea region, which</w:t>
      </w:r>
      <w:r w:rsidR="00627231" w:rsidRPr="000C178D">
        <w:rPr>
          <w:rFonts w:ascii="Book Antiqua" w:hAnsi="Book Antiqua" w:cs="Times New Roman"/>
          <w:color w:val="000000" w:themeColor="text1"/>
          <w:sz w:val="24"/>
          <w:szCs w:val="24"/>
          <w:lang w:val="lt-LT"/>
        </w:rPr>
        <w:t xml:space="preserve"> highlights the importance of a comprehensive approach to the patient </w:t>
      </w:r>
      <w:r w:rsidR="00267282" w:rsidRPr="000C178D">
        <w:rPr>
          <w:rFonts w:ascii="Book Antiqua" w:hAnsi="Book Antiqua" w:cs="Times New Roman"/>
          <w:color w:val="0E101A"/>
          <w:sz w:val="24"/>
          <w:szCs w:val="24"/>
        </w:rPr>
        <w:t>in order to achieve effective recognition of the rare immune system malfunction conditions such as IgG4-RD.</w:t>
      </w:r>
      <w:r w:rsidR="00627231" w:rsidRPr="000C178D">
        <w:rPr>
          <w:rFonts w:ascii="Book Antiqua" w:hAnsi="Book Antiqua" w:cs="Times New Roman"/>
          <w:color w:val="000000" w:themeColor="text1"/>
          <w:sz w:val="24"/>
          <w:szCs w:val="24"/>
          <w:lang w:val="lt-LT"/>
        </w:rPr>
        <w:t xml:space="preserve"> </w:t>
      </w:r>
      <w:r w:rsidR="00B82086" w:rsidRPr="000C178D">
        <w:rPr>
          <w:rFonts w:ascii="Book Antiqua" w:hAnsi="Book Antiqua" w:cs="Times New Roman"/>
          <w:color w:val="000000" w:themeColor="text1"/>
          <w:sz w:val="24"/>
          <w:szCs w:val="24"/>
          <w:lang w:val="lt-LT"/>
        </w:rPr>
        <w:t xml:space="preserve">To date, the treatment with GC significantly improves patients' condition and quality of life. </w:t>
      </w:r>
      <w:r w:rsidR="00267282" w:rsidRPr="000C178D">
        <w:rPr>
          <w:rFonts w:ascii="Book Antiqua" w:hAnsi="Book Antiqua" w:cs="Times New Roman"/>
          <w:color w:val="000000" w:themeColor="text1"/>
          <w:sz w:val="24"/>
          <w:szCs w:val="24"/>
          <w:lang w:val="lt-LT"/>
        </w:rPr>
        <w:t xml:space="preserve">However, </w:t>
      </w:r>
      <w:r w:rsidR="00B82086" w:rsidRPr="000C178D">
        <w:rPr>
          <w:rFonts w:ascii="Book Antiqua" w:hAnsi="Book Antiqua" w:cs="Times New Roman"/>
          <w:color w:val="000000" w:themeColor="text1"/>
          <w:sz w:val="24"/>
          <w:szCs w:val="24"/>
          <w:lang w:val="lt-LT"/>
        </w:rPr>
        <w:t xml:space="preserve">more extensive studies are needed to maintain a worldwide accepted evidence-based diagnostic and treatment guidelines for clinical use. </w:t>
      </w:r>
      <w:r w:rsidR="00B82086" w:rsidRPr="000C178D">
        <w:rPr>
          <w:rFonts w:ascii="Book Antiqua" w:hAnsi="Book Antiqua" w:cs="Times New Roman"/>
          <w:sz w:val="24"/>
          <w:szCs w:val="24"/>
          <w:lang w:val="lt-LT"/>
        </w:rPr>
        <w:t>Further epidemiological studies, especially in the Western World, are lacking.</w:t>
      </w:r>
    </w:p>
    <w:p w14:paraId="09EB4A74" w14:textId="77777777" w:rsidR="00610E5B" w:rsidRPr="000C178D" w:rsidRDefault="00610E5B" w:rsidP="000C178D">
      <w:pPr>
        <w:widowControl w:val="0"/>
        <w:autoSpaceDE w:val="0"/>
        <w:autoSpaceDN w:val="0"/>
        <w:adjustRightInd w:val="0"/>
        <w:snapToGrid w:val="0"/>
        <w:spacing w:after="0" w:line="360" w:lineRule="auto"/>
        <w:jc w:val="both"/>
        <w:rPr>
          <w:rFonts w:ascii="Book Antiqua" w:hAnsi="Book Antiqua" w:cs="Times New Roman"/>
          <w:sz w:val="24"/>
          <w:szCs w:val="24"/>
          <w:lang w:val="lt-LT"/>
        </w:rPr>
      </w:pPr>
    </w:p>
    <w:p w14:paraId="68E78228" w14:textId="2C279F9B" w:rsidR="00610E5B" w:rsidRPr="000C178D" w:rsidRDefault="00DF3C08" w:rsidP="000C178D">
      <w:pPr>
        <w:snapToGrid w:val="0"/>
        <w:spacing w:after="0" w:line="360" w:lineRule="auto"/>
        <w:outlineLvl w:val="1"/>
        <w:rPr>
          <w:rFonts w:ascii="Book Antiqua" w:eastAsia="Times New Roman" w:hAnsi="Book Antiqua" w:cs="Times New Roman"/>
          <w:b/>
          <w:bCs/>
          <w:color w:val="000000" w:themeColor="text1"/>
          <w:sz w:val="24"/>
          <w:szCs w:val="24"/>
          <w:u w:val="single"/>
        </w:rPr>
      </w:pPr>
      <w:r w:rsidRPr="000C178D">
        <w:rPr>
          <w:rFonts w:ascii="Book Antiqua" w:eastAsia="Times New Roman" w:hAnsi="Book Antiqua" w:cs="Times New Roman"/>
          <w:b/>
          <w:bCs/>
          <w:color w:val="000000" w:themeColor="text1"/>
          <w:sz w:val="24"/>
          <w:szCs w:val="24"/>
          <w:u w:val="single"/>
        </w:rPr>
        <w:t>ACKNOWLEDGEMENTS</w:t>
      </w:r>
    </w:p>
    <w:p w14:paraId="14792F72" w14:textId="61E9DDFD" w:rsidR="00610E5B" w:rsidRPr="000C178D" w:rsidRDefault="00610E5B" w:rsidP="000C178D">
      <w:pPr>
        <w:snapToGrid w:val="0"/>
        <w:spacing w:after="0" w:line="360" w:lineRule="auto"/>
        <w:rPr>
          <w:rFonts w:ascii="Book Antiqua" w:hAnsi="Book Antiqua" w:cs="Times New Roman"/>
          <w:color w:val="2E2E2E"/>
          <w:sz w:val="24"/>
          <w:szCs w:val="24"/>
        </w:rPr>
      </w:pPr>
      <w:r w:rsidRPr="000C178D">
        <w:rPr>
          <w:rFonts w:ascii="Book Antiqua" w:hAnsi="Book Antiqua" w:cs="Times New Roman"/>
          <w:color w:val="2E2E2E"/>
          <w:sz w:val="24"/>
          <w:szCs w:val="24"/>
        </w:rPr>
        <w:t xml:space="preserve">We </w:t>
      </w:r>
      <w:r w:rsidRPr="000C178D">
        <w:rPr>
          <w:rFonts w:ascii="Book Antiqua" w:eastAsia="Times New Roman" w:hAnsi="Book Antiqua" w:cs="Times New Roman"/>
          <w:color w:val="000000" w:themeColor="text1"/>
          <w:sz w:val="24"/>
          <w:szCs w:val="24"/>
        </w:rPr>
        <w:t xml:space="preserve">wish to thank </w:t>
      </w:r>
      <w:r w:rsidRPr="000C178D">
        <w:rPr>
          <w:rFonts w:ascii="Book Antiqua" w:hAnsi="Book Antiqua" w:cs="Times New Roman"/>
          <w:color w:val="2E2E2E"/>
          <w:sz w:val="24"/>
          <w:szCs w:val="24"/>
        </w:rPr>
        <w:t xml:space="preserve">the patient and </w:t>
      </w:r>
      <w:r w:rsidRPr="000C178D">
        <w:rPr>
          <w:rFonts w:ascii="Book Antiqua" w:eastAsia="Times New Roman" w:hAnsi="Book Antiqua" w:cs="Times New Roman"/>
          <w:color w:val="000000" w:themeColor="text1"/>
          <w:sz w:val="24"/>
          <w:szCs w:val="24"/>
        </w:rPr>
        <w:t xml:space="preserve">Vilnius University Hospital </w:t>
      </w:r>
      <w:proofErr w:type="spellStart"/>
      <w:r w:rsidRPr="000C178D">
        <w:rPr>
          <w:rFonts w:ascii="Book Antiqua" w:eastAsia="Times New Roman" w:hAnsi="Book Antiqua" w:cs="Times New Roman"/>
          <w:color w:val="000000" w:themeColor="text1"/>
          <w:sz w:val="24"/>
          <w:szCs w:val="24"/>
        </w:rPr>
        <w:t>Santaros</w:t>
      </w:r>
      <w:proofErr w:type="spellEnd"/>
      <w:r w:rsidRPr="000C178D">
        <w:rPr>
          <w:rFonts w:ascii="Book Antiqua" w:eastAsia="Times New Roman" w:hAnsi="Book Antiqua" w:cs="Times New Roman"/>
          <w:color w:val="000000" w:themeColor="text1"/>
          <w:sz w:val="24"/>
          <w:szCs w:val="24"/>
        </w:rPr>
        <w:t xml:space="preserve"> Clinics for giving</w:t>
      </w:r>
      <w:r w:rsidRPr="000C178D">
        <w:rPr>
          <w:rFonts w:ascii="Book Antiqua" w:hAnsi="Book Antiqua" w:cs="Times New Roman"/>
          <w:color w:val="2E2E2E"/>
          <w:sz w:val="24"/>
          <w:szCs w:val="24"/>
        </w:rPr>
        <w:t xml:space="preserve"> the consent and providing </w:t>
      </w:r>
      <w:r w:rsidR="00F13746" w:rsidRPr="000C178D">
        <w:rPr>
          <w:rFonts w:ascii="Book Antiqua" w:hAnsi="Book Antiqua" w:cs="Times New Roman"/>
          <w:color w:val="2E2E2E"/>
          <w:sz w:val="24"/>
          <w:szCs w:val="24"/>
        </w:rPr>
        <w:t xml:space="preserve">the </w:t>
      </w:r>
      <w:r w:rsidRPr="000C178D">
        <w:rPr>
          <w:rFonts w:ascii="Book Antiqua" w:hAnsi="Book Antiqua" w:cs="Times New Roman"/>
          <w:color w:val="2E2E2E"/>
          <w:sz w:val="24"/>
          <w:szCs w:val="24"/>
        </w:rPr>
        <w:t>data to report this case.</w:t>
      </w:r>
    </w:p>
    <w:p w14:paraId="0DA0AD4D" w14:textId="77777777" w:rsidR="003E3769" w:rsidRPr="000C178D" w:rsidRDefault="003E3769" w:rsidP="000C178D">
      <w:pPr>
        <w:widowControl w:val="0"/>
        <w:autoSpaceDE w:val="0"/>
        <w:autoSpaceDN w:val="0"/>
        <w:adjustRightInd w:val="0"/>
        <w:snapToGrid w:val="0"/>
        <w:spacing w:after="0" w:line="360" w:lineRule="auto"/>
        <w:jc w:val="both"/>
        <w:rPr>
          <w:rFonts w:ascii="Book Antiqua" w:hAnsi="Book Antiqua" w:cs="Times New Roman"/>
          <w:b/>
          <w:sz w:val="24"/>
          <w:szCs w:val="24"/>
          <w:lang w:val="lt-LT"/>
        </w:rPr>
      </w:pPr>
    </w:p>
    <w:p w14:paraId="77A068BF" w14:textId="55A09C80" w:rsidR="00610E5B" w:rsidRPr="000C178D" w:rsidRDefault="00610E5B" w:rsidP="000C178D">
      <w:pPr>
        <w:widowControl w:val="0"/>
        <w:autoSpaceDE w:val="0"/>
        <w:autoSpaceDN w:val="0"/>
        <w:adjustRightInd w:val="0"/>
        <w:snapToGrid w:val="0"/>
        <w:spacing w:after="0" w:line="360" w:lineRule="auto"/>
        <w:jc w:val="both"/>
        <w:rPr>
          <w:rFonts w:ascii="Book Antiqua" w:hAnsi="Book Antiqua" w:cs="Times New Roman"/>
          <w:b/>
          <w:sz w:val="24"/>
          <w:szCs w:val="24"/>
          <w:lang w:val="lt-LT"/>
        </w:rPr>
      </w:pPr>
      <w:r w:rsidRPr="000C178D">
        <w:rPr>
          <w:rFonts w:ascii="Book Antiqua" w:hAnsi="Book Antiqua" w:cs="Times New Roman"/>
          <w:b/>
          <w:sz w:val="24"/>
          <w:szCs w:val="24"/>
          <w:lang w:val="lt-LT"/>
        </w:rPr>
        <w:t>REFERENCES</w:t>
      </w:r>
    </w:p>
    <w:p w14:paraId="3F41A416" w14:textId="77777777" w:rsidR="00B64CD5" w:rsidRPr="000C178D" w:rsidRDefault="00B64CD5" w:rsidP="000C178D">
      <w:pPr>
        <w:snapToGrid w:val="0"/>
        <w:spacing w:after="0" w:line="360" w:lineRule="auto"/>
        <w:jc w:val="both"/>
        <w:rPr>
          <w:rFonts w:ascii="Book Antiqua" w:hAnsi="Book Antiqua" w:cs="Times New Roman"/>
          <w:sz w:val="24"/>
          <w:szCs w:val="24"/>
        </w:rPr>
      </w:pPr>
      <w:r w:rsidRPr="000C178D">
        <w:rPr>
          <w:rFonts w:ascii="Book Antiqua" w:hAnsi="Book Antiqua" w:cs="Times New Roman"/>
          <w:sz w:val="24"/>
          <w:szCs w:val="24"/>
          <w:lang w:val="lt-LT"/>
        </w:rPr>
        <w:t xml:space="preserve">1 </w:t>
      </w:r>
      <w:r w:rsidRPr="000C178D">
        <w:rPr>
          <w:rFonts w:ascii="Book Antiqua" w:hAnsi="Book Antiqua" w:cs="Times New Roman"/>
          <w:b/>
          <w:bCs/>
          <w:sz w:val="24"/>
          <w:szCs w:val="24"/>
          <w:lang w:val="lt-LT"/>
        </w:rPr>
        <w:t>Deshpande V</w:t>
      </w:r>
      <w:r w:rsidRPr="000C178D">
        <w:rPr>
          <w:rFonts w:ascii="Book Antiqua" w:hAnsi="Book Antiqua" w:cs="Times New Roman"/>
          <w:sz w:val="24"/>
          <w:szCs w:val="24"/>
          <w:lang w:val="lt-LT"/>
        </w:rPr>
        <w:t xml:space="preserve">, Zen Y, Chan JK, Yi EE, Sato Y, Yoshino T, Klöppel G, Heathcote JG, Khosroshahi A, Ferry JA, Aalberse RC, Bloch DB, Brugge WR, Bateman AC, Carruthers MN, Chari ST, Cheuk W, Cornell LD, Fernandez-Del </w:t>
      </w:r>
      <w:r w:rsidRPr="000C178D">
        <w:rPr>
          <w:rFonts w:ascii="Book Antiqua" w:hAnsi="Book Antiqua" w:cs="Times New Roman"/>
          <w:sz w:val="24"/>
          <w:szCs w:val="24"/>
          <w:lang w:val="lt-LT"/>
        </w:rPr>
        <w:lastRenderedPageBreak/>
        <w:t xml:space="preserve">Castillo C, Forcione DG, Hamilos DL, Kamisawa T, Kasashima S, Kawa S, Kawano M, Lauwers GY, Masaki Y, Nakanuma Y, Notohara K, Okazaki K, Ryu JK, Saeki T, Sahani DV, Smyrk TC, Stone JR, Takahira M, Webster GJ, Yamamoto M, Zamboni G, Umehara H, Stone JH. </w:t>
      </w:r>
      <w:r w:rsidRPr="000C178D">
        <w:rPr>
          <w:rFonts w:ascii="Book Antiqua" w:hAnsi="Book Antiqua" w:cs="Times New Roman"/>
          <w:sz w:val="24"/>
          <w:szCs w:val="24"/>
        </w:rPr>
        <w:t xml:space="preserve">Consensus statement on the pathology of IgG4-related disease. </w:t>
      </w:r>
      <w:r w:rsidRPr="000C178D">
        <w:rPr>
          <w:rFonts w:ascii="Book Antiqua" w:hAnsi="Book Antiqua" w:cs="Times New Roman"/>
          <w:i/>
          <w:iCs/>
          <w:sz w:val="24"/>
          <w:szCs w:val="24"/>
        </w:rPr>
        <w:t xml:space="preserve">Mod </w:t>
      </w:r>
      <w:proofErr w:type="spellStart"/>
      <w:r w:rsidRPr="000C178D">
        <w:rPr>
          <w:rFonts w:ascii="Book Antiqua" w:hAnsi="Book Antiqua" w:cs="Times New Roman"/>
          <w:i/>
          <w:iCs/>
          <w:sz w:val="24"/>
          <w:szCs w:val="24"/>
        </w:rPr>
        <w:t>Pathol</w:t>
      </w:r>
      <w:proofErr w:type="spellEnd"/>
      <w:r w:rsidRPr="000C178D">
        <w:rPr>
          <w:rFonts w:ascii="Book Antiqua" w:hAnsi="Book Antiqua" w:cs="Times New Roman"/>
          <w:sz w:val="24"/>
          <w:szCs w:val="24"/>
        </w:rPr>
        <w:t xml:space="preserve"> 2012; </w:t>
      </w:r>
      <w:r w:rsidRPr="000C178D">
        <w:rPr>
          <w:rFonts w:ascii="Book Antiqua" w:hAnsi="Book Antiqua" w:cs="Times New Roman"/>
          <w:b/>
          <w:bCs/>
          <w:sz w:val="24"/>
          <w:szCs w:val="24"/>
        </w:rPr>
        <w:t>25</w:t>
      </w:r>
      <w:r w:rsidRPr="000C178D">
        <w:rPr>
          <w:rFonts w:ascii="Book Antiqua" w:hAnsi="Book Antiqua" w:cs="Times New Roman"/>
          <w:sz w:val="24"/>
          <w:szCs w:val="24"/>
        </w:rPr>
        <w:t>: 1181-1192 [PMID: 22596100 DOI: 10.1038/modpathol.2012.72]</w:t>
      </w:r>
    </w:p>
    <w:p w14:paraId="5440B4A9" w14:textId="77777777" w:rsidR="00B64CD5" w:rsidRPr="000C178D" w:rsidRDefault="00B64CD5" w:rsidP="000C178D">
      <w:pPr>
        <w:snapToGrid w:val="0"/>
        <w:spacing w:after="0" w:line="360" w:lineRule="auto"/>
        <w:jc w:val="both"/>
        <w:rPr>
          <w:rFonts w:ascii="Book Antiqua" w:hAnsi="Book Antiqua" w:cs="Times New Roman"/>
          <w:sz w:val="24"/>
          <w:szCs w:val="24"/>
        </w:rPr>
      </w:pPr>
      <w:r w:rsidRPr="000C178D">
        <w:rPr>
          <w:rFonts w:ascii="Book Antiqua" w:hAnsi="Book Antiqua" w:cs="Times New Roman"/>
          <w:sz w:val="24"/>
          <w:szCs w:val="24"/>
        </w:rPr>
        <w:t xml:space="preserve">2 </w:t>
      </w:r>
      <w:proofErr w:type="spellStart"/>
      <w:r w:rsidRPr="000C178D">
        <w:rPr>
          <w:rFonts w:ascii="Book Antiqua" w:hAnsi="Book Antiqua" w:cs="Times New Roman"/>
          <w:b/>
          <w:bCs/>
          <w:sz w:val="24"/>
          <w:szCs w:val="24"/>
        </w:rPr>
        <w:t>Vasaitis</w:t>
      </w:r>
      <w:proofErr w:type="spellEnd"/>
      <w:r w:rsidRPr="000C178D">
        <w:rPr>
          <w:rFonts w:ascii="Book Antiqua" w:hAnsi="Book Antiqua" w:cs="Times New Roman"/>
          <w:b/>
          <w:bCs/>
          <w:sz w:val="24"/>
          <w:szCs w:val="24"/>
        </w:rPr>
        <w:t xml:space="preserve"> L</w:t>
      </w:r>
      <w:r w:rsidRPr="000C178D">
        <w:rPr>
          <w:rFonts w:ascii="Book Antiqua" w:hAnsi="Book Antiqua" w:cs="Times New Roman"/>
          <w:sz w:val="24"/>
          <w:szCs w:val="24"/>
        </w:rPr>
        <w:t xml:space="preserve">. IgG4-related disease: A relatively new concept for clinicians. </w:t>
      </w:r>
      <w:r w:rsidRPr="000C178D">
        <w:rPr>
          <w:rFonts w:ascii="Book Antiqua" w:hAnsi="Book Antiqua" w:cs="Times New Roman"/>
          <w:i/>
          <w:iCs/>
          <w:sz w:val="24"/>
          <w:szCs w:val="24"/>
        </w:rPr>
        <w:t>Eur J Intern Med</w:t>
      </w:r>
      <w:r w:rsidRPr="000C178D">
        <w:rPr>
          <w:rFonts w:ascii="Book Antiqua" w:hAnsi="Book Antiqua" w:cs="Times New Roman"/>
          <w:sz w:val="24"/>
          <w:szCs w:val="24"/>
        </w:rPr>
        <w:t xml:space="preserve"> 2016; </w:t>
      </w:r>
      <w:r w:rsidRPr="000C178D">
        <w:rPr>
          <w:rFonts w:ascii="Book Antiqua" w:hAnsi="Book Antiqua" w:cs="Times New Roman"/>
          <w:b/>
          <w:bCs/>
          <w:sz w:val="24"/>
          <w:szCs w:val="24"/>
        </w:rPr>
        <w:t>27</w:t>
      </w:r>
      <w:r w:rsidRPr="000C178D">
        <w:rPr>
          <w:rFonts w:ascii="Book Antiqua" w:hAnsi="Book Antiqua" w:cs="Times New Roman"/>
          <w:sz w:val="24"/>
          <w:szCs w:val="24"/>
        </w:rPr>
        <w:t>: 1-9 [PMID: 26481243 DOI: 10.1016/j.ejim.2015.09.022]</w:t>
      </w:r>
    </w:p>
    <w:p w14:paraId="515F9AF9" w14:textId="77777777" w:rsidR="00B64CD5" w:rsidRPr="000C178D" w:rsidRDefault="00B64CD5" w:rsidP="000C178D">
      <w:pPr>
        <w:snapToGrid w:val="0"/>
        <w:spacing w:after="0" w:line="360" w:lineRule="auto"/>
        <w:jc w:val="both"/>
        <w:rPr>
          <w:rFonts w:ascii="Book Antiqua" w:hAnsi="Book Antiqua" w:cs="Times New Roman"/>
          <w:sz w:val="24"/>
          <w:szCs w:val="24"/>
        </w:rPr>
      </w:pPr>
      <w:r w:rsidRPr="000C178D">
        <w:rPr>
          <w:rFonts w:ascii="Book Antiqua" w:hAnsi="Book Antiqua" w:cs="Times New Roman"/>
          <w:sz w:val="24"/>
          <w:szCs w:val="24"/>
        </w:rPr>
        <w:t xml:space="preserve">3 </w:t>
      </w:r>
      <w:proofErr w:type="spellStart"/>
      <w:r w:rsidRPr="000C178D">
        <w:rPr>
          <w:rFonts w:ascii="Book Antiqua" w:hAnsi="Book Antiqua" w:cs="Times New Roman"/>
          <w:b/>
          <w:bCs/>
          <w:sz w:val="24"/>
          <w:szCs w:val="24"/>
        </w:rPr>
        <w:t>Iaccarino</w:t>
      </w:r>
      <w:proofErr w:type="spellEnd"/>
      <w:r w:rsidRPr="000C178D">
        <w:rPr>
          <w:rFonts w:ascii="Book Antiqua" w:hAnsi="Book Antiqua" w:cs="Times New Roman"/>
          <w:b/>
          <w:bCs/>
          <w:sz w:val="24"/>
          <w:szCs w:val="24"/>
        </w:rPr>
        <w:t xml:space="preserve"> L</w:t>
      </w:r>
      <w:r w:rsidRPr="000C178D">
        <w:rPr>
          <w:rFonts w:ascii="Book Antiqua" w:hAnsi="Book Antiqua" w:cs="Times New Roman"/>
          <w:sz w:val="24"/>
          <w:szCs w:val="24"/>
        </w:rPr>
        <w:t xml:space="preserve">, </w:t>
      </w:r>
      <w:proofErr w:type="spellStart"/>
      <w:r w:rsidRPr="000C178D">
        <w:rPr>
          <w:rFonts w:ascii="Book Antiqua" w:hAnsi="Book Antiqua" w:cs="Times New Roman"/>
          <w:sz w:val="24"/>
          <w:szCs w:val="24"/>
        </w:rPr>
        <w:t>Talarico</w:t>
      </w:r>
      <w:proofErr w:type="spellEnd"/>
      <w:r w:rsidRPr="000C178D">
        <w:rPr>
          <w:rFonts w:ascii="Book Antiqua" w:hAnsi="Book Antiqua" w:cs="Times New Roman"/>
          <w:sz w:val="24"/>
          <w:szCs w:val="24"/>
        </w:rPr>
        <w:t xml:space="preserve"> R, </w:t>
      </w:r>
      <w:proofErr w:type="spellStart"/>
      <w:r w:rsidRPr="000C178D">
        <w:rPr>
          <w:rFonts w:ascii="Book Antiqua" w:hAnsi="Book Antiqua" w:cs="Times New Roman"/>
          <w:sz w:val="24"/>
          <w:szCs w:val="24"/>
        </w:rPr>
        <w:t>Scirè</w:t>
      </w:r>
      <w:proofErr w:type="spellEnd"/>
      <w:r w:rsidRPr="000C178D">
        <w:rPr>
          <w:rFonts w:ascii="Book Antiqua" w:hAnsi="Book Antiqua" w:cs="Times New Roman"/>
          <w:sz w:val="24"/>
          <w:szCs w:val="24"/>
        </w:rPr>
        <w:t xml:space="preserve"> CA, </w:t>
      </w:r>
      <w:proofErr w:type="spellStart"/>
      <w:r w:rsidRPr="000C178D">
        <w:rPr>
          <w:rFonts w:ascii="Book Antiqua" w:hAnsi="Book Antiqua" w:cs="Times New Roman"/>
          <w:sz w:val="24"/>
          <w:szCs w:val="24"/>
        </w:rPr>
        <w:t>Amoura</w:t>
      </w:r>
      <w:proofErr w:type="spellEnd"/>
      <w:r w:rsidRPr="000C178D">
        <w:rPr>
          <w:rFonts w:ascii="Book Antiqua" w:hAnsi="Book Antiqua" w:cs="Times New Roman"/>
          <w:sz w:val="24"/>
          <w:szCs w:val="24"/>
        </w:rPr>
        <w:t xml:space="preserve"> Z, </w:t>
      </w:r>
      <w:proofErr w:type="spellStart"/>
      <w:r w:rsidRPr="000C178D">
        <w:rPr>
          <w:rFonts w:ascii="Book Antiqua" w:hAnsi="Book Antiqua" w:cs="Times New Roman"/>
          <w:sz w:val="24"/>
          <w:szCs w:val="24"/>
        </w:rPr>
        <w:t>Burmester</w:t>
      </w:r>
      <w:proofErr w:type="spellEnd"/>
      <w:r w:rsidRPr="000C178D">
        <w:rPr>
          <w:rFonts w:ascii="Book Antiqua" w:hAnsi="Book Antiqua" w:cs="Times New Roman"/>
          <w:sz w:val="24"/>
          <w:szCs w:val="24"/>
        </w:rPr>
        <w:t xml:space="preserve"> G, </w:t>
      </w:r>
      <w:proofErr w:type="spellStart"/>
      <w:r w:rsidRPr="000C178D">
        <w:rPr>
          <w:rFonts w:ascii="Book Antiqua" w:hAnsi="Book Antiqua" w:cs="Times New Roman"/>
          <w:sz w:val="24"/>
          <w:szCs w:val="24"/>
        </w:rPr>
        <w:t>Doria</w:t>
      </w:r>
      <w:proofErr w:type="spellEnd"/>
      <w:r w:rsidRPr="000C178D">
        <w:rPr>
          <w:rFonts w:ascii="Book Antiqua" w:hAnsi="Book Antiqua" w:cs="Times New Roman"/>
          <w:sz w:val="24"/>
          <w:szCs w:val="24"/>
        </w:rPr>
        <w:t xml:space="preserve"> A, </w:t>
      </w:r>
      <w:proofErr w:type="spellStart"/>
      <w:r w:rsidRPr="000C178D">
        <w:rPr>
          <w:rFonts w:ascii="Book Antiqua" w:hAnsi="Book Antiqua" w:cs="Times New Roman"/>
          <w:sz w:val="24"/>
          <w:szCs w:val="24"/>
        </w:rPr>
        <w:t>Faiz</w:t>
      </w:r>
      <w:proofErr w:type="spellEnd"/>
      <w:r w:rsidRPr="000C178D">
        <w:rPr>
          <w:rFonts w:ascii="Book Antiqua" w:hAnsi="Book Antiqua" w:cs="Times New Roman"/>
          <w:sz w:val="24"/>
          <w:szCs w:val="24"/>
        </w:rPr>
        <w:t xml:space="preserve"> K, Frank C, </w:t>
      </w:r>
      <w:proofErr w:type="spellStart"/>
      <w:r w:rsidRPr="000C178D">
        <w:rPr>
          <w:rFonts w:ascii="Book Antiqua" w:hAnsi="Book Antiqua" w:cs="Times New Roman"/>
          <w:sz w:val="24"/>
          <w:szCs w:val="24"/>
        </w:rPr>
        <w:t>Hachulla</w:t>
      </w:r>
      <w:proofErr w:type="spellEnd"/>
      <w:r w:rsidRPr="000C178D">
        <w:rPr>
          <w:rFonts w:ascii="Book Antiqua" w:hAnsi="Book Antiqua" w:cs="Times New Roman"/>
          <w:sz w:val="24"/>
          <w:szCs w:val="24"/>
        </w:rPr>
        <w:t xml:space="preserve"> E, Hie M, Launay D, </w:t>
      </w:r>
      <w:proofErr w:type="spellStart"/>
      <w:r w:rsidRPr="000C178D">
        <w:rPr>
          <w:rFonts w:ascii="Book Antiqua" w:hAnsi="Book Antiqua" w:cs="Times New Roman"/>
          <w:sz w:val="24"/>
          <w:szCs w:val="24"/>
        </w:rPr>
        <w:t>Montecucco</w:t>
      </w:r>
      <w:proofErr w:type="spellEnd"/>
      <w:r w:rsidRPr="000C178D">
        <w:rPr>
          <w:rFonts w:ascii="Book Antiqua" w:hAnsi="Book Antiqua" w:cs="Times New Roman"/>
          <w:sz w:val="24"/>
          <w:szCs w:val="24"/>
        </w:rPr>
        <w:t xml:space="preserve"> C, Monti S, </w:t>
      </w:r>
      <w:proofErr w:type="spellStart"/>
      <w:r w:rsidRPr="000C178D">
        <w:rPr>
          <w:rFonts w:ascii="Book Antiqua" w:hAnsi="Book Antiqua" w:cs="Times New Roman"/>
          <w:sz w:val="24"/>
          <w:szCs w:val="24"/>
        </w:rPr>
        <w:t>Mouthon</w:t>
      </w:r>
      <w:proofErr w:type="spellEnd"/>
      <w:r w:rsidRPr="000C178D">
        <w:rPr>
          <w:rFonts w:ascii="Book Antiqua" w:hAnsi="Book Antiqua" w:cs="Times New Roman"/>
          <w:sz w:val="24"/>
          <w:szCs w:val="24"/>
        </w:rPr>
        <w:t xml:space="preserve"> L, </w:t>
      </w:r>
      <w:proofErr w:type="spellStart"/>
      <w:r w:rsidRPr="000C178D">
        <w:rPr>
          <w:rFonts w:ascii="Book Antiqua" w:hAnsi="Book Antiqua" w:cs="Times New Roman"/>
          <w:sz w:val="24"/>
          <w:szCs w:val="24"/>
        </w:rPr>
        <w:t>Tincani</w:t>
      </w:r>
      <w:proofErr w:type="spellEnd"/>
      <w:r w:rsidRPr="000C178D">
        <w:rPr>
          <w:rFonts w:ascii="Book Antiqua" w:hAnsi="Book Antiqua" w:cs="Times New Roman"/>
          <w:sz w:val="24"/>
          <w:szCs w:val="24"/>
        </w:rPr>
        <w:t xml:space="preserve"> A, </w:t>
      </w:r>
      <w:proofErr w:type="spellStart"/>
      <w:r w:rsidRPr="000C178D">
        <w:rPr>
          <w:rFonts w:ascii="Book Antiqua" w:hAnsi="Book Antiqua" w:cs="Times New Roman"/>
          <w:sz w:val="24"/>
          <w:szCs w:val="24"/>
        </w:rPr>
        <w:t>Toniati</w:t>
      </w:r>
      <w:proofErr w:type="spellEnd"/>
      <w:r w:rsidRPr="000C178D">
        <w:rPr>
          <w:rFonts w:ascii="Book Antiqua" w:hAnsi="Book Antiqua" w:cs="Times New Roman"/>
          <w:sz w:val="24"/>
          <w:szCs w:val="24"/>
        </w:rPr>
        <w:t xml:space="preserve"> P, Van Hagen PM, Van Vollenhoven RF, </w:t>
      </w:r>
      <w:proofErr w:type="spellStart"/>
      <w:r w:rsidRPr="000C178D">
        <w:rPr>
          <w:rFonts w:ascii="Book Antiqua" w:hAnsi="Book Antiqua" w:cs="Times New Roman"/>
          <w:sz w:val="24"/>
          <w:szCs w:val="24"/>
        </w:rPr>
        <w:t>Bombardieri</w:t>
      </w:r>
      <w:proofErr w:type="spellEnd"/>
      <w:r w:rsidRPr="000C178D">
        <w:rPr>
          <w:rFonts w:ascii="Book Antiqua" w:hAnsi="Book Antiqua" w:cs="Times New Roman"/>
          <w:sz w:val="24"/>
          <w:szCs w:val="24"/>
        </w:rPr>
        <w:t xml:space="preserve"> S, Mueller-Ladner U, Schneider M, Smith V, </w:t>
      </w:r>
      <w:proofErr w:type="spellStart"/>
      <w:r w:rsidRPr="000C178D">
        <w:rPr>
          <w:rFonts w:ascii="Book Antiqua" w:hAnsi="Book Antiqua" w:cs="Times New Roman"/>
          <w:sz w:val="24"/>
          <w:szCs w:val="24"/>
        </w:rPr>
        <w:t>Cutolo</w:t>
      </w:r>
      <w:proofErr w:type="spellEnd"/>
      <w:r w:rsidRPr="000C178D">
        <w:rPr>
          <w:rFonts w:ascii="Book Antiqua" w:hAnsi="Book Antiqua" w:cs="Times New Roman"/>
          <w:sz w:val="24"/>
          <w:szCs w:val="24"/>
        </w:rPr>
        <w:t xml:space="preserve"> M, </w:t>
      </w:r>
      <w:proofErr w:type="spellStart"/>
      <w:r w:rsidRPr="000C178D">
        <w:rPr>
          <w:rFonts w:ascii="Book Antiqua" w:hAnsi="Book Antiqua" w:cs="Times New Roman"/>
          <w:sz w:val="24"/>
          <w:szCs w:val="24"/>
        </w:rPr>
        <w:t>Mosca</w:t>
      </w:r>
      <w:proofErr w:type="spellEnd"/>
      <w:r w:rsidRPr="000C178D">
        <w:rPr>
          <w:rFonts w:ascii="Book Antiqua" w:hAnsi="Book Antiqua" w:cs="Times New Roman"/>
          <w:sz w:val="24"/>
          <w:szCs w:val="24"/>
        </w:rPr>
        <w:t xml:space="preserve"> M, Alexander T. IgG4-related diseases: state of the art on clinical practice guidelines. </w:t>
      </w:r>
      <w:r w:rsidRPr="000C178D">
        <w:rPr>
          <w:rFonts w:ascii="Book Antiqua" w:hAnsi="Book Antiqua" w:cs="Times New Roman"/>
          <w:i/>
          <w:iCs/>
          <w:sz w:val="24"/>
          <w:szCs w:val="24"/>
        </w:rPr>
        <w:t>RMD Open</w:t>
      </w:r>
      <w:r w:rsidRPr="000C178D">
        <w:rPr>
          <w:rFonts w:ascii="Book Antiqua" w:hAnsi="Book Antiqua" w:cs="Times New Roman"/>
          <w:sz w:val="24"/>
          <w:szCs w:val="24"/>
        </w:rPr>
        <w:t xml:space="preserve"> 2018; </w:t>
      </w:r>
      <w:r w:rsidRPr="000C178D">
        <w:rPr>
          <w:rFonts w:ascii="Book Antiqua" w:hAnsi="Book Antiqua" w:cs="Times New Roman"/>
          <w:b/>
          <w:bCs/>
          <w:sz w:val="24"/>
          <w:szCs w:val="24"/>
        </w:rPr>
        <w:t>4</w:t>
      </w:r>
      <w:r w:rsidRPr="000C178D">
        <w:rPr>
          <w:rFonts w:ascii="Book Antiqua" w:hAnsi="Book Antiqua" w:cs="Times New Roman"/>
          <w:sz w:val="24"/>
          <w:szCs w:val="24"/>
        </w:rPr>
        <w:t>: e000787 [PMID: 30729031 DOI: 10.1136/rmdopen-2018-000787]</w:t>
      </w:r>
    </w:p>
    <w:p w14:paraId="5BC92BA8" w14:textId="77777777" w:rsidR="00B64CD5" w:rsidRPr="000C178D" w:rsidRDefault="00B64CD5" w:rsidP="000C178D">
      <w:pPr>
        <w:snapToGrid w:val="0"/>
        <w:spacing w:after="0" w:line="360" w:lineRule="auto"/>
        <w:jc w:val="both"/>
        <w:rPr>
          <w:rFonts w:ascii="Book Antiqua" w:hAnsi="Book Antiqua" w:cs="Times New Roman"/>
          <w:sz w:val="24"/>
          <w:szCs w:val="24"/>
        </w:rPr>
      </w:pPr>
      <w:r w:rsidRPr="000C178D">
        <w:rPr>
          <w:rFonts w:ascii="Book Antiqua" w:hAnsi="Book Antiqua" w:cs="Times New Roman"/>
          <w:sz w:val="24"/>
          <w:szCs w:val="24"/>
        </w:rPr>
        <w:t xml:space="preserve">4 </w:t>
      </w:r>
      <w:proofErr w:type="spellStart"/>
      <w:r w:rsidRPr="000C178D">
        <w:rPr>
          <w:rFonts w:ascii="Book Antiqua" w:hAnsi="Book Antiqua" w:cs="Times New Roman"/>
          <w:b/>
          <w:bCs/>
          <w:sz w:val="24"/>
          <w:szCs w:val="24"/>
        </w:rPr>
        <w:t>Miyabe</w:t>
      </w:r>
      <w:proofErr w:type="spellEnd"/>
      <w:r w:rsidRPr="000C178D">
        <w:rPr>
          <w:rFonts w:ascii="Book Antiqua" w:hAnsi="Book Antiqua" w:cs="Times New Roman"/>
          <w:b/>
          <w:bCs/>
          <w:sz w:val="24"/>
          <w:szCs w:val="24"/>
        </w:rPr>
        <w:t xml:space="preserve"> K</w:t>
      </w:r>
      <w:r w:rsidRPr="000C178D">
        <w:rPr>
          <w:rFonts w:ascii="Book Antiqua" w:hAnsi="Book Antiqua" w:cs="Times New Roman"/>
          <w:sz w:val="24"/>
          <w:szCs w:val="24"/>
        </w:rPr>
        <w:t xml:space="preserve">, Zen Y, Cornell LD, Rajagopalan G, Chowdhary VR, Roberts LR, Chari ST. Gastrointestinal and Extra-Intestinal Manifestations of IgG4-Related Disease. </w:t>
      </w:r>
      <w:r w:rsidRPr="000C178D">
        <w:rPr>
          <w:rFonts w:ascii="Book Antiqua" w:hAnsi="Book Antiqua" w:cs="Times New Roman"/>
          <w:i/>
          <w:iCs/>
          <w:sz w:val="24"/>
          <w:szCs w:val="24"/>
        </w:rPr>
        <w:t>Gastroenterology</w:t>
      </w:r>
      <w:r w:rsidRPr="000C178D">
        <w:rPr>
          <w:rFonts w:ascii="Book Antiqua" w:hAnsi="Book Antiqua" w:cs="Times New Roman"/>
          <w:sz w:val="24"/>
          <w:szCs w:val="24"/>
        </w:rPr>
        <w:t xml:space="preserve"> 2018; </w:t>
      </w:r>
      <w:r w:rsidRPr="000C178D">
        <w:rPr>
          <w:rFonts w:ascii="Book Antiqua" w:hAnsi="Book Antiqua" w:cs="Times New Roman"/>
          <w:b/>
          <w:bCs/>
          <w:sz w:val="24"/>
          <w:szCs w:val="24"/>
        </w:rPr>
        <w:t>155</w:t>
      </w:r>
      <w:r w:rsidRPr="000C178D">
        <w:rPr>
          <w:rFonts w:ascii="Book Antiqua" w:hAnsi="Book Antiqua" w:cs="Times New Roman"/>
          <w:sz w:val="24"/>
          <w:szCs w:val="24"/>
        </w:rPr>
        <w:t>: 990-1003.e1 [PMID: 30012334 DOI: 10.1053/j.gastro.2018.06.082]</w:t>
      </w:r>
    </w:p>
    <w:p w14:paraId="4F9CA6C5" w14:textId="77777777" w:rsidR="00B64CD5" w:rsidRPr="000C178D" w:rsidRDefault="00B64CD5" w:rsidP="000C178D">
      <w:pPr>
        <w:snapToGrid w:val="0"/>
        <w:spacing w:after="0" w:line="360" w:lineRule="auto"/>
        <w:jc w:val="both"/>
        <w:rPr>
          <w:rFonts w:ascii="Book Antiqua" w:hAnsi="Book Antiqua" w:cs="Times New Roman"/>
          <w:sz w:val="24"/>
          <w:szCs w:val="24"/>
        </w:rPr>
      </w:pPr>
      <w:r w:rsidRPr="000C178D">
        <w:rPr>
          <w:rFonts w:ascii="Book Antiqua" w:hAnsi="Book Antiqua" w:cs="Times New Roman"/>
          <w:sz w:val="24"/>
          <w:szCs w:val="24"/>
        </w:rPr>
        <w:t xml:space="preserve">5 </w:t>
      </w:r>
      <w:r w:rsidRPr="000C178D">
        <w:rPr>
          <w:rFonts w:ascii="Book Antiqua" w:hAnsi="Book Antiqua" w:cs="Times New Roman"/>
          <w:b/>
          <w:bCs/>
          <w:sz w:val="24"/>
          <w:szCs w:val="24"/>
        </w:rPr>
        <w:t>Hamano H</w:t>
      </w:r>
      <w:r w:rsidRPr="000C178D">
        <w:rPr>
          <w:rFonts w:ascii="Book Antiqua" w:hAnsi="Book Antiqua" w:cs="Times New Roman"/>
          <w:sz w:val="24"/>
          <w:szCs w:val="24"/>
        </w:rPr>
        <w:t xml:space="preserve">, Kawa S, Horiuchi A, </w:t>
      </w:r>
      <w:proofErr w:type="spellStart"/>
      <w:r w:rsidRPr="000C178D">
        <w:rPr>
          <w:rFonts w:ascii="Book Antiqua" w:hAnsi="Book Antiqua" w:cs="Times New Roman"/>
          <w:sz w:val="24"/>
          <w:szCs w:val="24"/>
        </w:rPr>
        <w:t>Unno</w:t>
      </w:r>
      <w:proofErr w:type="spellEnd"/>
      <w:r w:rsidRPr="000C178D">
        <w:rPr>
          <w:rFonts w:ascii="Book Antiqua" w:hAnsi="Book Antiqua" w:cs="Times New Roman"/>
          <w:sz w:val="24"/>
          <w:szCs w:val="24"/>
        </w:rPr>
        <w:t xml:space="preserve"> H, </w:t>
      </w:r>
      <w:proofErr w:type="spellStart"/>
      <w:r w:rsidRPr="000C178D">
        <w:rPr>
          <w:rFonts w:ascii="Book Antiqua" w:hAnsi="Book Antiqua" w:cs="Times New Roman"/>
          <w:sz w:val="24"/>
          <w:szCs w:val="24"/>
        </w:rPr>
        <w:t>Furuya</w:t>
      </w:r>
      <w:proofErr w:type="spellEnd"/>
      <w:r w:rsidRPr="000C178D">
        <w:rPr>
          <w:rFonts w:ascii="Book Antiqua" w:hAnsi="Book Antiqua" w:cs="Times New Roman"/>
          <w:sz w:val="24"/>
          <w:szCs w:val="24"/>
        </w:rPr>
        <w:t xml:space="preserve"> N, Akamatsu T, Fukushima M, </w:t>
      </w:r>
      <w:proofErr w:type="spellStart"/>
      <w:r w:rsidRPr="000C178D">
        <w:rPr>
          <w:rFonts w:ascii="Book Antiqua" w:hAnsi="Book Antiqua" w:cs="Times New Roman"/>
          <w:sz w:val="24"/>
          <w:szCs w:val="24"/>
        </w:rPr>
        <w:t>Nikaido</w:t>
      </w:r>
      <w:proofErr w:type="spellEnd"/>
      <w:r w:rsidRPr="000C178D">
        <w:rPr>
          <w:rFonts w:ascii="Book Antiqua" w:hAnsi="Book Antiqua" w:cs="Times New Roman"/>
          <w:sz w:val="24"/>
          <w:szCs w:val="24"/>
        </w:rPr>
        <w:t xml:space="preserve"> T, Nakayama K, </w:t>
      </w:r>
      <w:proofErr w:type="spellStart"/>
      <w:r w:rsidRPr="000C178D">
        <w:rPr>
          <w:rFonts w:ascii="Book Antiqua" w:hAnsi="Book Antiqua" w:cs="Times New Roman"/>
          <w:sz w:val="24"/>
          <w:szCs w:val="24"/>
        </w:rPr>
        <w:t>Usuda</w:t>
      </w:r>
      <w:proofErr w:type="spellEnd"/>
      <w:r w:rsidRPr="000C178D">
        <w:rPr>
          <w:rFonts w:ascii="Book Antiqua" w:hAnsi="Book Antiqua" w:cs="Times New Roman"/>
          <w:sz w:val="24"/>
          <w:szCs w:val="24"/>
        </w:rPr>
        <w:t xml:space="preserve"> N, </w:t>
      </w:r>
      <w:proofErr w:type="spellStart"/>
      <w:r w:rsidRPr="000C178D">
        <w:rPr>
          <w:rFonts w:ascii="Book Antiqua" w:hAnsi="Book Antiqua" w:cs="Times New Roman"/>
          <w:sz w:val="24"/>
          <w:szCs w:val="24"/>
        </w:rPr>
        <w:t>Kiyosawa</w:t>
      </w:r>
      <w:proofErr w:type="spellEnd"/>
      <w:r w:rsidRPr="000C178D">
        <w:rPr>
          <w:rFonts w:ascii="Book Antiqua" w:hAnsi="Book Antiqua" w:cs="Times New Roman"/>
          <w:sz w:val="24"/>
          <w:szCs w:val="24"/>
        </w:rPr>
        <w:t xml:space="preserve"> K. High serum IgG4 concentrations in patients with sclerosing pancreatitis. </w:t>
      </w:r>
      <w:r w:rsidRPr="000C178D">
        <w:rPr>
          <w:rFonts w:ascii="Book Antiqua" w:hAnsi="Book Antiqua" w:cs="Times New Roman"/>
          <w:i/>
          <w:iCs/>
          <w:sz w:val="24"/>
          <w:szCs w:val="24"/>
        </w:rPr>
        <w:t xml:space="preserve">N </w:t>
      </w:r>
      <w:proofErr w:type="spellStart"/>
      <w:r w:rsidRPr="000C178D">
        <w:rPr>
          <w:rFonts w:ascii="Book Antiqua" w:hAnsi="Book Antiqua" w:cs="Times New Roman"/>
          <w:i/>
          <w:iCs/>
          <w:sz w:val="24"/>
          <w:szCs w:val="24"/>
        </w:rPr>
        <w:t>Engl</w:t>
      </w:r>
      <w:proofErr w:type="spellEnd"/>
      <w:r w:rsidRPr="000C178D">
        <w:rPr>
          <w:rFonts w:ascii="Book Antiqua" w:hAnsi="Book Antiqua" w:cs="Times New Roman"/>
          <w:i/>
          <w:iCs/>
          <w:sz w:val="24"/>
          <w:szCs w:val="24"/>
        </w:rPr>
        <w:t xml:space="preserve"> J Med</w:t>
      </w:r>
      <w:r w:rsidRPr="000C178D">
        <w:rPr>
          <w:rFonts w:ascii="Book Antiqua" w:hAnsi="Book Antiqua" w:cs="Times New Roman"/>
          <w:sz w:val="24"/>
          <w:szCs w:val="24"/>
        </w:rPr>
        <w:t xml:space="preserve"> 2001; </w:t>
      </w:r>
      <w:r w:rsidRPr="000C178D">
        <w:rPr>
          <w:rFonts w:ascii="Book Antiqua" w:hAnsi="Book Antiqua" w:cs="Times New Roman"/>
          <w:b/>
          <w:bCs/>
          <w:sz w:val="24"/>
          <w:szCs w:val="24"/>
        </w:rPr>
        <w:t>344</w:t>
      </w:r>
      <w:r w:rsidRPr="000C178D">
        <w:rPr>
          <w:rFonts w:ascii="Book Antiqua" w:hAnsi="Book Antiqua" w:cs="Times New Roman"/>
          <w:sz w:val="24"/>
          <w:szCs w:val="24"/>
        </w:rPr>
        <w:t>: 732-738 [PMID: 11236777 DOI: 10.1056/NEJM200103083441005]</w:t>
      </w:r>
    </w:p>
    <w:p w14:paraId="47B6AC22" w14:textId="77777777" w:rsidR="00B64CD5" w:rsidRPr="000C178D" w:rsidRDefault="00B64CD5" w:rsidP="000C178D">
      <w:pPr>
        <w:snapToGrid w:val="0"/>
        <w:spacing w:after="0" w:line="360" w:lineRule="auto"/>
        <w:jc w:val="both"/>
        <w:rPr>
          <w:rFonts w:ascii="Book Antiqua" w:hAnsi="Book Antiqua" w:cs="Times New Roman"/>
          <w:sz w:val="24"/>
          <w:szCs w:val="24"/>
        </w:rPr>
      </w:pPr>
      <w:r w:rsidRPr="000C178D">
        <w:rPr>
          <w:rFonts w:ascii="Book Antiqua" w:hAnsi="Book Antiqua" w:cs="Times New Roman"/>
          <w:sz w:val="24"/>
          <w:szCs w:val="24"/>
        </w:rPr>
        <w:t xml:space="preserve">6 </w:t>
      </w:r>
      <w:proofErr w:type="spellStart"/>
      <w:r w:rsidRPr="000C178D">
        <w:rPr>
          <w:rFonts w:ascii="Book Antiqua" w:hAnsi="Book Antiqua" w:cs="Times New Roman"/>
          <w:b/>
          <w:bCs/>
          <w:sz w:val="24"/>
          <w:szCs w:val="24"/>
        </w:rPr>
        <w:t>Pieringer</w:t>
      </w:r>
      <w:proofErr w:type="spellEnd"/>
      <w:r w:rsidRPr="000C178D">
        <w:rPr>
          <w:rFonts w:ascii="Book Antiqua" w:hAnsi="Book Antiqua" w:cs="Times New Roman"/>
          <w:b/>
          <w:bCs/>
          <w:sz w:val="24"/>
          <w:szCs w:val="24"/>
        </w:rPr>
        <w:t xml:space="preserve"> H</w:t>
      </w:r>
      <w:r w:rsidRPr="000C178D">
        <w:rPr>
          <w:rFonts w:ascii="Book Antiqua" w:hAnsi="Book Antiqua" w:cs="Times New Roman"/>
          <w:sz w:val="24"/>
          <w:szCs w:val="24"/>
        </w:rPr>
        <w:t xml:space="preserve">, </w:t>
      </w:r>
      <w:proofErr w:type="spellStart"/>
      <w:r w:rsidRPr="000C178D">
        <w:rPr>
          <w:rFonts w:ascii="Book Antiqua" w:hAnsi="Book Antiqua" w:cs="Times New Roman"/>
          <w:sz w:val="24"/>
          <w:szCs w:val="24"/>
        </w:rPr>
        <w:t>Parzer</w:t>
      </w:r>
      <w:proofErr w:type="spellEnd"/>
      <w:r w:rsidRPr="000C178D">
        <w:rPr>
          <w:rFonts w:ascii="Book Antiqua" w:hAnsi="Book Antiqua" w:cs="Times New Roman"/>
          <w:sz w:val="24"/>
          <w:szCs w:val="24"/>
        </w:rPr>
        <w:t xml:space="preserve"> I, </w:t>
      </w:r>
      <w:proofErr w:type="spellStart"/>
      <w:r w:rsidRPr="000C178D">
        <w:rPr>
          <w:rFonts w:ascii="Book Antiqua" w:hAnsi="Book Antiqua" w:cs="Times New Roman"/>
          <w:sz w:val="24"/>
          <w:szCs w:val="24"/>
        </w:rPr>
        <w:t>Wöhrer</w:t>
      </w:r>
      <w:proofErr w:type="spellEnd"/>
      <w:r w:rsidRPr="000C178D">
        <w:rPr>
          <w:rFonts w:ascii="Book Antiqua" w:hAnsi="Book Antiqua" w:cs="Times New Roman"/>
          <w:sz w:val="24"/>
          <w:szCs w:val="24"/>
        </w:rPr>
        <w:t xml:space="preserve"> A, Reis P, </w:t>
      </w:r>
      <w:proofErr w:type="spellStart"/>
      <w:r w:rsidRPr="000C178D">
        <w:rPr>
          <w:rFonts w:ascii="Book Antiqua" w:hAnsi="Book Antiqua" w:cs="Times New Roman"/>
          <w:sz w:val="24"/>
          <w:szCs w:val="24"/>
        </w:rPr>
        <w:t>Oppl</w:t>
      </w:r>
      <w:proofErr w:type="spellEnd"/>
      <w:r w:rsidRPr="000C178D">
        <w:rPr>
          <w:rFonts w:ascii="Book Antiqua" w:hAnsi="Book Antiqua" w:cs="Times New Roman"/>
          <w:sz w:val="24"/>
          <w:szCs w:val="24"/>
        </w:rPr>
        <w:t xml:space="preserve"> B, </w:t>
      </w:r>
      <w:proofErr w:type="spellStart"/>
      <w:r w:rsidRPr="000C178D">
        <w:rPr>
          <w:rFonts w:ascii="Book Antiqua" w:hAnsi="Book Antiqua" w:cs="Times New Roman"/>
          <w:sz w:val="24"/>
          <w:szCs w:val="24"/>
        </w:rPr>
        <w:t>Zwerina</w:t>
      </w:r>
      <w:proofErr w:type="spellEnd"/>
      <w:r w:rsidRPr="000C178D">
        <w:rPr>
          <w:rFonts w:ascii="Book Antiqua" w:hAnsi="Book Antiqua" w:cs="Times New Roman"/>
          <w:sz w:val="24"/>
          <w:szCs w:val="24"/>
        </w:rPr>
        <w:t xml:space="preserve"> J. IgG4- related disease: an orphan disease with many faces. </w:t>
      </w:r>
      <w:proofErr w:type="spellStart"/>
      <w:r w:rsidRPr="000C178D">
        <w:rPr>
          <w:rFonts w:ascii="Book Antiqua" w:hAnsi="Book Antiqua" w:cs="Times New Roman"/>
          <w:i/>
          <w:iCs/>
          <w:sz w:val="24"/>
          <w:szCs w:val="24"/>
        </w:rPr>
        <w:t>Orphanet</w:t>
      </w:r>
      <w:proofErr w:type="spellEnd"/>
      <w:r w:rsidRPr="000C178D">
        <w:rPr>
          <w:rFonts w:ascii="Book Antiqua" w:hAnsi="Book Antiqua" w:cs="Times New Roman"/>
          <w:i/>
          <w:iCs/>
          <w:sz w:val="24"/>
          <w:szCs w:val="24"/>
        </w:rPr>
        <w:t xml:space="preserve"> J Rare Dis</w:t>
      </w:r>
      <w:r w:rsidRPr="000C178D">
        <w:rPr>
          <w:rFonts w:ascii="Book Antiqua" w:hAnsi="Book Antiqua" w:cs="Times New Roman"/>
          <w:sz w:val="24"/>
          <w:szCs w:val="24"/>
        </w:rPr>
        <w:t xml:space="preserve"> 2014; </w:t>
      </w:r>
      <w:r w:rsidRPr="000C178D">
        <w:rPr>
          <w:rFonts w:ascii="Book Antiqua" w:hAnsi="Book Antiqua" w:cs="Times New Roman"/>
          <w:b/>
          <w:bCs/>
          <w:sz w:val="24"/>
          <w:szCs w:val="24"/>
        </w:rPr>
        <w:t>9</w:t>
      </w:r>
      <w:r w:rsidRPr="000C178D">
        <w:rPr>
          <w:rFonts w:ascii="Book Antiqua" w:hAnsi="Book Antiqua" w:cs="Times New Roman"/>
          <w:sz w:val="24"/>
          <w:szCs w:val="24"/>
        </w:rPr>
        <w:t>: 110 [PMID: 25026959 DOI: 10.1186/s13023-014-0110-z]</w:t>
      </w:r>
    </w:p>
    <w:p w14:paraId="45F662A7" w14:textId="77777777" w:rsidR="00B64CD5" w:rsidRPr="000C178D" w:rsidRDefault="00B64CD5" w:rsidP="000C178D">
      <w:pPr>
        <w:snapToGrid w:val="0"/>
        <w:spacing w:after="0" w:line="360" w:lineRule="auto"/>
        <w:jc w:val="both"/>
        <w:rPr>
          <w:rFonts w:ascii="Book Antiqua" w:hAnsi="Book Antiqua" w:cs="Times New Roman"/>
          <w:sz w:val="24"/>
          <w:szCs w:val="24"/>
        </w:rPr>
      </w:pPr>
      <w:r w:rsidRPr="000C178D">
        <w:rPr>
          <w:rFonts w:ascii="Book Antiqua" w:hAnsi="Book Antiqua" w:cs="Times New Roman"/>
          <w:sz w:val="24"/>
          <w:szCs w:val="24"/>
        </w:rPr>
        <w:t xml:space="preserve">7 </w:t>
      </w:r>
      <w:r w:rsidRPr="000C178D">
        <w:rPr>
          <w:rFonts w:ascii="Book Antiqua" w:hAnsi="Book Antiqua" w:cs="Times New Roman"/>
          <w:b/>
          <w:bCs/>
          <w:sz w:val="24"/>
          <w:szCs w:val="24"/>
        </w:rPr>
        <w:t>Uchida K</w:t>
      </w:r>
      <w:r w:rsidRPr="000C178D">
        <w:rPr>
          <w:rFonts w:ascii="Book Antiqua" w:hAnsi="Book Antiqua" w:cs="Times New Roman"/>
          <w:sz w:val="24"/>
          <w:szCs w:val="24"/>
        </w:rPr>
        <w:t xml:space="preserve">, </w:t>
      </w:r>
      <w:proofErr w:type="spellStart"/>
      <w:r w:rsidRPr="000C178D">
        <w:rPr>
          <w:rFonts w:ascii="Book Antiqua" w:hAnsi="Book Antiqua" w:cs="Times New Roman"/>
          <w:sz w:val="24"/>
          <w:szCs w:val="24"/>
        </w:rPr>
        <w:t>Masamune</w:t>
      </w:r>
      <w:proofErr w:type="spellEnd"/>
      <w:r w:rsidRPr="000C178D">
        <w:rPr>
          <w:rFonts w:ascii="Book Antiqua" w:hAnsi="Book Antiqua" w:cs="Times New Roman"/>
          <w:sz w:val="24"/>
          <w:szCs w:val="24"/>
        </w:rPr>
        <w:t xml:space="preserve"> A, </w:t>
      </w:r>
      <w:proofErr w:type="spellStart"/>
      <w:r w:rsidRPr="000C178D">
        <w:rPr>
          <w:rFonts w:ascii="Book Antiqua" w:hAnsi="Book Antiqua" w:cs="Times New Roman"/>
          <w:sz w:val="24"/>
          <w:szCs w:val="24"/>
        </w:rPr>
        <w:t>Shimosegawa</w:t>
      </w:r>
      <w:proofErr w:type="spellEnd"/>
      <w:r w:rsidRPr="000C178D">
        <w:rPr>
          <w:rFonts w:ascii="Book Antiqua" w:hAnsi="Book Antiqua" w:cs="Times New Roman"/>
          <w:sz w:val="24"/>
          <w:szCs w:val="24"/>
        </w:rPr>
        <w:t xml:space="preserve"> T, Okazaki K. Prevalence of IgG4-Related Disease in Japan Based on Nationwide Survey in 2009. </w:t>
      </w:r>
      <w:r w:rsidRPr="000C178D">
        <w:rPr>
          <w:rFonts w:ascii="Book Antiqua" w:hAnsi="Book Antiqua" w:cs="Times New Roman"/>
          <w:i/>
          <w:iCs/>
          <w:sz w:val="24"/>
          <w:szCs w:val="24"/>
        </w:rPr>
        <w:t xml:space="preserve">Int J </w:t>
      </w:r>
      <w:proofErr w:type="spellStart"/>
      <w:r w:rsidRPr="000C178D">
        <w:rPr>
          <w:rFonts w:ascii="Book Antiqua" w:hAnsi="Book Antiqua" w:cs="Times New Roman"/>
          <w:i/>
          <w:iCs/>
          <w:sz w:val="24"/>
          <w:szCs w:val="24"/>
        </w:rPr>
        <w:t>Rheumatol</w:t>
      </w:r>
      <w:proofErr w:type="spellEnd"/>
      <w:r w:rsidRPr="000C178D">
        <w:rPr>
          <w:rFonts w:ascii="Book Antiqua" w:hAnsi="Book Antiqua" w:cs="Times New Roman"/>
          <w:sz w:val="24"/>
          <w:szCs w:val="24"/>
        </w:rPr>
        <w:t xml:space="preserve"> 2012; </w:t>
      </w:r>
      <w:r w:rsidRPr="000C178D">
        <w:rPr>
          <w:rFonts w:ascii="Book Antiqua" w:hAnsi="Book Antiqua" w:cs="Times New Roman"/>
          <w:b/>
          <w:bCs/>
          <w:sz w:val="24"/>
          <w:szCs w:val="24"/>
        </w:rPr>
        <w:t>2012</w:t>
      </w:r>
      <w:r w:rsidRPr="000C178D">
        <w:rPr>
          <w:rFonts w:ascii="Book Antiqua" w:hAnsi="Book Antiqua" w:cs="Times New Roman"/>
          <w:sz w:val="24"/>
          <w:szCs w:val="24"/>
        </w:rPr>
        <w:t>: 358371 [PMID: 22899936 DOI: 10.1155/2012/358371]</w:t>
      </w:r>
    </w:p>
    <w:p w14:paraId="18337364" w14:textId="77777777" w:rsidR="00B64CD5" w:rsidRPr="000C178D" w:rsidRDefault="00B64CD5" w:rsidP="000C178D">
      <w:pPr>
        <w:snapToGrid w:val="0"/>
        <w:spacing w:after="0" w:line="360" w:lineRule="auto"/>
        <w:jc w:val="both"/>
        <w:rPr>
          <w:rFonts w:ascii="Book Antiqua" w:hAnsi="Book Antiqua" w:cs="Times New Roman"/>
          <w:sz w:val="24"/>
          <w:szCs w:val="24"/>
        </w:rPr>
      </w:pPr>
      <w:r w:rsidRPr="000C178D">
        <w:rPr>
          <w:rFonts w:ascii="Book Antiqua" w:hAnsi="Book Antiqua" w:cs="Times New Roman"/>
          <w:sz w:val="24"/>
          <w:szCs w:val="24"/>
        </w:rPr>
        <w:t xml:space="preserve">8 </w:t>
      </w:r>
      <w:r w:rsidRPr="000C178D">
        <w:rPr>
          <w:rFonts w:ascii="Book Antiqua" w:hAnsi="Book Antiqua" w:cs="Times New Roman"/>
          <w:b/>
          <w:bCs/>
          <w:sz w:val="24"/>
          <w:szCs w:val="24"/>
        </w:rPr>
        <w:t>Brito-</w:t>
      </w:r>
      <w:proofErr w:type="spellStart"/>
      <w:r w:rsidRPr="000C178D">
        <w:rPr>
          <w:rFonts w:ascii="Book Antiqua" w:hAnsi="Book Antiqua" w:cs="Times New Roman"/>
          <w:b/>
          <w:bCs/>
          <w:sz w:val="24"/>
          <w:szCs w:val="24"/>
        </w:rPr>
        <w:t>Zerón</w:t>
      </w:r>
      <w:proofErr w:type="spellEnd"/>
      <w:r w:rsidRPr="000C178D">
        <w:rPr>
          <w:rFonts w:ascii="Book Antiqua" w:hAnsi="Book Antiqua" w:cs="Times New Roman"/>
          <w:b/>
          <w:bCs/>
          <w:sz w:val="24"/>
          <w:szCs w:val="24"/>
        </w:rPr>
        <w:t xml:space="preserve"> P</w:t>
      </w:r>
      <w:r w:rsidRPr="000C178D">
        <w:rPr>
          <w:rFonts w:ascii="Book Antiqua" w:hAnsi="Book Antiqua" w:cs="Times New Roman"/>
          <w:sz w:val="24"/>
          <w:szCs w:val="24"/>
        </w:rPr>
        <w:t xml:space="preserve">, Ramos-Casals M, Bosch X, Stone JH. The clinical spectrum of IgG4-related disease. </w:t>
      </w:r>
      <w:proofErr w:type="spellStart"/>
      <w:r w:rsidRPr="000C178D">
        <w:rPr>
          <w:rFonts w:ascii="Book Antiqua" w:hAnsi="Book Antiqua" w:cs="Times New Roman"/>
          <w:i/>
          <w:iCs/>
          <w:sz w:val="24"/>
          <w:szCs w:val="24"/>
        </w:rPr>
        <w:t>Autoimmun</w:t>
      </w:r>
      <w:proofErr w:type="spellEnd"/>
      <w:r w:rsidRPr="000C178D">
        <w:rPr>
          <w:rFonts w:ascii="Book Antiqua" w:hAnsi="Book Antiqua" w:cs="Times New Roman"/>
          <w:i/>
          <w:iCs/>
          <w:sz w:val="24"/>
          <w:szCs w:val="24"/>
        </w:rPr>
        <w:t xml:space="preserve"> Rev</w:t>
      </w:r>
      <w:r w:rsidRPr="000C178D">
        <w:rPr>
          <w:rFonts w:ascii="Book Antiqua" w:hAnsi="Book Antiqua" w:cs="Times New Roman"/>
          <w:sz w:val="24"/>
          <w:szCs w:val="24"/>
        </w:rPr>
        <w:t xml:space="preserve"> 2014; </w:t>
      </w:r>
      <w:r w:rsidRPr="000C178D">
        <w:rPr>
          <w:rFonts w:ascii="Book Antiqua" w:hAnsi="Book Antiqua" w:cs="Times New Roman"/>
          <w:b/>
          <w:bCs/>
          <w:sz w:val="24"/>
          <w:szCs w:val="24"/>
        </w:rPr>
        <w:t>13</w:t>
      </w:r>
      <w:r w:rsidRPr="000C178D">
        <w:rPr>
          <w:rFonts w:ascii="Book Antiqua" w:hAnsi="Book Antiqua" w:cs="Times New Roman"/>
          <w:sz w:val="24"/>
          <w:szCs w:val="24"/>
        </w:rPr>
        <w:t>: 1203-1210 [PMID: 25151972 DOI: 10.1016/j.autrev.2014.08.013]</w:t>
      </w:r>
    </w:p>
    <w:p w14:paraId="08DE8B30" w14:textId="77777777" w:rsidR="00B64CD5" w:rsidRPr="000C178D" w:rsidRDefault="00B64CD5" w:rsidP="000C178D">
      <w:pPr>
        <w:snapToGrid w:val="0"/>
        <w:spacing w:after="0" w:line="360" w:lineRule="auto"/>
        <w:jc w:val="both"/>
        <w:rPr>
          <w:rFonts w:ascii="Book Antiqua" w:hAnsi="Book Antiqua" w:cs="Times New Roman"/>
          <w:sz w:val="24"/>
          <w:szCs w:val="24"/>
        </w:rPr>
      </w:pPr>
      <w:r w:rsidRPr="000C178D">
        <w:rPr>
          <w:rFonts w:ascii="Book Antiqua" w:hAnsi="Book Antiqua" w:cs="Times New Roman"/>
          <w:sz w:val="24"/>
          <w:szCs w:val="24"/>
        </w:rPr>
        <w:lastRenderedPageBreak/>
        <w:t xml:space="preserve">9 </w:t>
      </w:r>
      <w:r w:rsidRPr="000C178D">
        <w:rPr>
          <w:rFonts w:ascii="Book Antiqua" w:hAnsi="Book Antiqua" w:cs="Times New Roman"/>
          <w:b/>
          <w:bCs/>
          <w:sz w:val="24"/>
          <w:szCs w:val="24"/>
        </w:rPr>
        <w:t>Wallace ZS</w:t>
      </w:r>
      <w:r w:rsidRPr="000C178D">
        <w:rPr>
          <w:rFonts w:ascii="Book Antiqua" w:hAnsi="Book Antiqua" w:cs="Times New Roman"/>
          <w:sz w:val="24"/>
          <w:szCs w:val="24"/>
        </w:rPr>
        <w:t xml:space="preserve">, Naden RP, Chari S, Choi HK, Della-Torre E, </w:t>
      </w:r>
      <w:proofErr w:type="spellStart"/>
      <w:r w:rsidRPr="000C178D">
        <w:rPr>
          <w:rFonts w:ascii="Book Antiqua" w:hAnsi="Book Antiqua" w:cs="Times New Roman"/>
          <w:sz w:val="24"/>
          <w:szCs w:val="24"/>
        </w:rPr>
        <w:t>Dicaire</w:t>
      </w:r>
      <w:proofErr w:type="spellEnd"/>
      <w:r w:rsidRPr="000C178D">
        <w:rPr>
          <w:rFonts w:ascii="Book Antiqua" w:hAnsi="Book Antiqua" w:cs="Times New Roman"/>
          <w:sz w:val="24"/>
          <w:szCs w:val="24"/>
        </w:rPr>
        <w:t xml:space="preserve"> JF, Hart PA, Inoue D, Kawano M, </w:t>
      </w:r>
      <w:proofErr w:type="spellStart"/>
      <w:r w:rsidRPr="000C178D">
        <w:rPr>
          <w:rFonts w:ascii="Book Antiqua" w:hAnsi="Book Antiqua" w:cs="Times New Roman"/>
          <w:sz w:val="24"/>
          <w:szCs w:val="24"/>
        </w:rPr>
        <w:t>Khosroshahi</w:t>
      </w:r>
      <w:proofErr w:type="spellEnd"/>
      <w:r w:rsidRPr="000C178D">
        <w:rPr>
          <w:rFonts w:ascii="Book Antiqua" w:hAnsi="Book Antiqua" w:cs="Times New Roman"/>
          <w:sz w:val="24"/>
          <w:szCs w:val="24"/>
        </w:rPr>
        <w:t xml:space="preserve"> A, </w:t>
      </w:r>
      <w:proofErr w:type="spellStart"/>
      <w:r w:rsidRPr="000C178D">
        <w:rPr>
          <w:rFonts w:ascii="Book Antiqua" w:hAnsi="Book Antiqua" w:cs="Times New Roman"/>
          <w:sz w:val="24"/>
          <w:szCs w:val="24"/>
        </w:rPr>
        <w:t>Lanzillotta</w:t>
      </w:r>
      <w:proofErr w:type="spellEnd"/>
      <w:r w:rsidRPr="000C178D">
        <w:rPr>
          <w:rFonts w:ascii="Book Antiqua" w:hAnsi="Book Antiqua" w:cs="Times New Roman"/>
          <w:sz w:val="24"/>
          <w:szCs w:val="24"/>
        </w:rPr>
        <w:t xml:space="preserve"> M, Okazaki K, Perugino CA, Sharma A, Saeki T, </w:t>
      </w:r>
      <w:proofErr w:type="spellStart"/>
      <w:r w:rsidRPr="000C178D">
        <w:rPr>
          <w:rFonts w:ascii="Book Antiqua" w:hAnsi="Book Antiqua" w:cs="Times New Roman"/>
          <w:sz w:val="24"/>
          <w:szCs w:val="24"/>
        </w:rPr>
        <w:t>Schleinitz</w:t>
      </w:r>
      <w:proofErr w:type="spellEnd"/>
      <w:r w:rsidRPr="000C178D">
        <w:rPr>
          <w:rFonts w:ascii="Book Antiqua" w:hAnsi="Book Antiqua" w:cs="Times New Roman"/>
          <w:sz w:val="24"/>
          <w:szCs w:val="24"/>
        </w:rPr>
        <w:t xml:space="preserve"> N, Takahashi N, </w:t>
      </w:r>
      <w:proofErr w:type="spellStart"/>
      <w:r w:rsidRPr="000C178D">
        <w:rPr>
          <w:rFonts w:ascii="Book Antiqua" w:hAnsi="Book Antiqua" w:cs="Times New Roman"/>
          <w:sz w:val="24"/>
          <w:szCs w:val="24"/>
        </w:rPr>
        <w:t>Umehara</w:t>
      </w:r>
      <w:proofErr w:type="spellEnd"/>
      <w:r w:rsidRPr="000C178D">
        <w:rPr>
          <w:rFonts w:ascii="Book Antiqua" w:hAnsi="Book Antiqua" w:cs="Times New Roman"/>
          <w:sz w:val="24"/>
          <w:szCs w:val="24"/>
        </w:rPr>
        <w:t xml:space="preserve"> H, Zen Y, Stone JH; Members of the ACR/EULAR IgG4-RD Classification Criteria Working Group. The 2019 American College of Rheumatology/European League Against Rheumatism classification criteria for IgG4-related disease. </w:t>
      </w:r>
      <w:r w:rsidRPr="000C178D">
        <w:rPr>
          <w:rFonts w:ascii="Book Antiqua" w:hAnsi="Book Antiqua" w:cs="Times New Roman"/>
          <w:i/>
          <w:iCs/>
          <w:sz w:val="24"/>
          <w:szCs w:val="24"/>
        </w:rPr>
        <w:t>Ann Rheum Dis</w:t>
      </w:r>
      <w:r w:rsidRPr="000C178D">
        <w:rPr>
          <w:rFonts w:ascii="Book Antiqua" w:hAnsi="Book Antiqua" w:cs="Times New Roman"/>
          <w:sz w:val="24"/>
          <w:szCs w:val="24"/>
        </w:rPr>
        <w:t xml:space="preserve"> 2020; </w:t>
      </w:r>
      <w:r w:rsidRPr="000C178D">
        <w:rPr>
          <w:rFonts w:ascii="Book Antiqua" w:hAnsi="Book Antiqua" w:cs="Times New Roman"/>
          <w:b/>
          <w:bCs/>
          <w:sz w:val="24"/>
          <w:szCs w:val="24"/>
        </w:rPr>
        <w:t>79</w:t>
      </w:r>
      <w:r w:rsidRPr="000C178D">
        <w:rPr>
          <w:rFonts w:ascii="Book Antiqua" w:hAnsi="Book Antiqua" w:cs="Times New Roman"/>
          <w:sz w:val="24"/>
          <w:szCs w:val="24"/>
        </w:rPr>
        <w:t>: 77-87 [PMID: 31796497 DOI: 10.1136/annrheumdis-2019-216561]</w:t>
      </w:r>
    </w:p>
    <w:p w14:paraId="5C8E6B54" w14:textId="77777777" w:rsidR="00B64CD5" w:rsidRPr="000C178D" w:rsidRDefault="00B64CD5" w:rsidP="000C178D">
      <w:pPr>
        <w:snapToGrid w:val="0"/>
        <w:spacing w:after="0" w:line="360" w:lineRule="auto"/>
        <w:jc w:val="both"/>
        <w:rPr>
          <w:rFonts w:ascii="Book Antiqua" w:hAnsi="Book Antiqua" w:cs="Times New Roman"/>
          <w:sz w:val="24"/>
          <w:szCs w:val="24"/>
        </w:rPr>
      </w:pPr>
      <w:r w:rsidRPr="000C178D">
        <w:rPr>
          <w:rFonts w:ascii="Book Antiqua" w:hAnsi="Book Antiqua" w:cs="Times New Roman"/>
          <w:sz w:val="24"/>
          <w:szCs w:val="24"/>
        </w:rPr>
        <w:t xml:space="preserve">10 </w:t>
      </w:r>
      <w:r w:rsidRPr="000C178D">
        <w:rPr>
          <w:rFonts w:ascii="Book Antiqua" w:hAnsi="Book Antiqua" w:cs="Times New Roman"/>
          <w:b/>
          <w:bCs/>
          <w:sz w:val="24"/>
          <w:szCs w:val="24"/>
        </w:rPr>
        <w:t>Fernández-</w:t>
      </w:r>
      <w:proofErr w:type="spellStart"/>
      <w:r w:rsidRPr="000C178D">
        <w:rPr>
          <w:rFonts w:ascii="Book Antiqua" w:hAnsi="Book Antiqua" w:cs="Times New Roman"/>
          <w:b/>
          <w:bCs/>
          <w:sz w:val="24"/>
          <w:szCs w:val="24"/>
        </w:rPr>
        <w:t>Codina</w:t>
      </w:r>
      <w:proofErr w:type="spellEnd"/>
      <w:r w:rsidRPr="000C178D">
        <w:rPr>
          <w:rFonts w:ascii="Book Antiqua" w:hAnsi="Book Antiqua" w:cs="Times New Roman"/>
          <w:b/>
          <w:bCs/>
          <w:sz w:val="24"/>
          <w:szCs w:val="24"/>
        </w:rPr>
        <w:t xml:space="preserve"> A</w:t>
      </w:r>
      <w:r w:rsidRPr="000C178D">
        <w:rPr>
          <w:rFonts w:ascii="Book Antiqua" w:hAnsi="Book Antiqua" w:cs="Times New Roman"/>
          <w:sz w:val="24"/>
          <w:szCs w:val="24"/>
        </w:rPr>
        <w:t xml:space="preserve">, Martínez-Valle F, Pinilla B, López C, </w:t>
      </w:r>
      <w:proofErr w:type="spellStart"/>
      <w:r w:rsidRPr="000C178D">
        <w:rPr>
          <w:rFonts w:ascii="Book Antiqua" w:hAnsi="Book Antiqua" w:cs="Times New Roman"/>
          <w:sz w:val="24"/>
          <w:szCs w:val="24"/>
        </w:rPr>
        <w:t>DeTorres</w:t>
      </w:r>
      <w:proofErr w:type="spellEnd"/>
      <w:r w:rsidRPr="000C178D">
        <w:rPr>
          <w:rFonts w:ascii="Book Antiqua" w:hAnsi="Book Antiqua" w:cs="Times New Roman"/>
          <w:sz w:val="24"/>
          <w:szCs w:val="24"/>
        </w:rPr>
        <w:t xml:space="preserve"> I, Solans-</w:t>
      </w:r>
      <w:proofErr w:type="spellStart"/>
      <w:r w:rsidRPr="000C178D">
        <w:rPr>
          <w:rFonts w:ascii="Book Antiqua" w:hAnsi="Book Antiqua" w:cs="Times New Roman"/>
          <w:sz w:val="24"/>
          <w:szCs w:val="24"/>
        </w:rPr>
        <w:t>Laqué</w:t>
      </w:r>
      <w:proofErr w:type="spellEnd"/>
      <w:r w:rsidRPr="000C178D">
        <w:rPr>
          <w:rFonts w:ascii="Book Antiqua" w:hAnsi="Book Antiqua" w:cs="Times New Roman"/>
          <w:sz w:val="24"/>
          <w:szCs w:val="24"/>
        </w:rPr>
        <w:t xml:space="preserve"> R, </w:t>
      </w:r>
      <w:proofErr w:type="spellStart"/>
      <w:r w:rsidRPr="000C178D">
        <w:rPr>
          <w:rFonts w:ascii="Book Antiqua" w:hAnsi="Book Antiqua" w:cs="Times New Roman"/>
          <w:sz w:val="24"/>
          <w:szCs w:val="24"/>
        </w:rPr>
        <w:t>Fraile</w:t>
      </w:r>
      <w:proofErr w:type="spellEnd"/>
      <w:r w:rsidRPr="000C178D">
        <w:rPr>
          <w:rFonts w:ascii="Book Antiqua" w:hAnsi="Book Antiqua" w:cs="Times New Roman"/>
          <w:sz w:val="24"/>
          <w:szCs w:val="24"/>
        </w:rPr>
        <w:t>-Rodríguez G, Casanovas-Martínez A, López-</w:t>
      </w:r>
      <w:proofErr w:type="spellStart"/>
      <w:r w:rsidRPr="000C178D">
        <w:rPr>
          <w:rFonts w:ascii="Book Antiqua" w:hAnsi="Book Antiqua" w:cs="Times New Roman"/>
          <w:sz w:val="24"/>
          <w:szCs w:val="24"/>
        </w:rPr>
        <w:t>Dupla</w:t>
      </w:r>
      <w:proofErr w:type="spellEnd"/>
      <w:r w:rsidRPr="000C178D">
        <w:rPr>
          <w:rFonts w:ascii="Book Antiqua" w:hAnsi="Book Antiqua" w:cs="Times New Roman"/>
          <w:sz w:val="24"/>
          <w:szCs w:val="24"/>
        </w:rPr>
        <w:t xml:space="preserve"> M, Robles-</w:t>
      </w:r>
      <w:proofErr w:type="spellStart"/>
      <w:r w:rsidRPr="000C178D">
        <w:rPr>
          <w:rFonts w:ascii="Book Antiqua" w:hAnsi="Book Antiqua" w:cs="Times New Roman"/>
          <w:sz w:val="24"/>
          <w:szCs w:val="24"/>
        </w:rPr>
        <w:t>Marhuenda</w:t>
      </w:r>
      <w:proofErr w:type="spellEnd"/>
      <w:r w:rsidRPr="000C178D">
        <w:rPr>
          <w:rFonts w:ascii="Book Antiqua" w:hAnsi="Book Antiqua" w:cs="Times New Roman"/>
          <w:sz w:val="24"/>
          <w:szCs w:val="24"/>
        </w:rPr>
        <w:t xml:space="preserve"> Á, </w:t>
      </w:r>
      <w:proofErr w:type="spellStart"/>
      <w:r w:rsidRPr="000C178D">
        <w:rPr>
          <w:rFonts w:ascii="Book Antiqua" w:hAnsi="Book Antiqua" w:cs="Times New Roman"/>
          <w:sz w:val="24"/>
          <w:szCs w:val="24"/>
        </w:rPr>
        <w:t>Barragán</w:t>
      </w:r>
      <w:proofErr w:type="spellEnd"/>
      <w:r w:rsidRPr="000C178D">
        <w:rPr>
          <w:rFonts w:ascii="Book Antiqua" w:hAnsi="Book Antiqua" w:cs="Times New Roman"/>
          <w:sz w:val="24"/>
          <w:szCs w:val="24"/>
        </w:rPr>
        <w:t>-González MJ, Cid MC, Prieto-González S, Brito-</w:t>
      </w:r>
      <w:proofErr w:type="spellStart"/>
      <w:r w:rsidRPr="000C178D">
        <w:rPr>
          <w:rFonts w:ascii="Book Antiqua" w:hAnsi="Book Antiqua" w:cs="Times New Roman"/>
          <w:sz w:val="24"/>
          <w:szCs w:val="24"/>
        </w:rPr>
        <w:t>Zerón</w:t>
      </w:r>
      <w:proofErr w:type="spellEnd"/>
      <w:r w:rsidRPr="000C178D">
        <w:rPr>
          <w:rFonts w:ascii="Book Antiqua" w:hAnsi="Book Antiqua" w:cs="Times New Roman"/>
          <w:sz w:val="24"/>
          <w:szCs w:val="24"/>
        </w:rPr>
        <w:t xml:space="preserve"> P, Cruces-Moreno MT, Fonseca-</w:t>
      </w:r>
      <w:proofErr w:type="spellStart"/>
      <w:r w:rsidRPr="000C178D">
        <w:rPr>
          <w:rFonts w:ascii="Book Antiqua" w:hAnsi="Book Antiqua" w:cs="Times New Roman"/>
          <w:sz w:val="24"/>
          <w:szCs w:val="24"/>
        </w:rPr>
        <w:t>Aizpuru</w:t>
      </w:r>
      <w:proofErr w:type="spellEnd"/>
      <w:r w:rsidRPr="000C178D">
        <w:rPr>
          <w:rFonts w:ascii="Book Antiqua" w:hAnsi="Book Antiqua" w:cs="Times New Roman"/>
          <w:sz w:val="24"/>
          <w:szCs w:val="24"/>
        </w:rPr>
        <w:t xml:space="preserve"> E, López-Torres M, Gil J, </w:t>
      </w:r>
      <w:proofErr w:type="spellStart"/>
      <w:r w:rsidRPr="000C178D">
        <w:rPr>
          <w:rFonts w:ascii="Book Antiqua" w:hAnsi="Book Antiqua" w:cs="Times New Roman"/>
          <w:sz w:val="24"/>
          <w:szCs w:val="24"/>
        </w:rPr>
        <w:t>Núñez</w:t>
      </w:r>
      <w:proofErr w:type="spellEnd"/>
      <w:r w:rsidRPr="000C178D">
        <w:rPr>
          <w:rFonts w:ascii="Book Antiqua" w:hAnsi="Book Antiqua" w:cs="Times New Roman"/>
          <w:sz w:val="24"/>
          <w:szCs w:val="24"/>
        </w:rPr>
        <w:t xml:space="preserve">-Fernández MJ, </w:t>
      </w:r>
      <w:proofErr w:type="spellStart"/>
      <w:r w:rsidRPr="000C178D">
        <w:rPr>
          <w:rFonts w:ascii="Book Antiqua" w:hAnsi="Book Antiqua" w:cs="Times New Roman"/>
          <w:sz w:val="24"/>
          <w:szCs w:val="24"/>
        </w:rPr>
        <w:t>Pardos-Gea</w:t>
      </w:r>
      <w:proofErr w:type="spellEnd"/>
      <w:r w:rsidRPr="000C178D">
        <w:rPr>
          <w:rFonts w:ascii="Book Antiqua" w:hAnsi="Book Antiqua" w:cs="Times New Roman"/>
          <w:sz w:val="24"/>
          <w:szCs w:val="24"/>
        </w:rPr>
        <w:t xml:space="preserve"> J, Salvador-</w:t>
      </w:r>
      <w:proofErr w:type="spellStart"/>
      <w:r w:rsidRPr="000C178D">
        <w:rPr>
          <w:rFonts w:ascii="Book Antiqua" w:hAnsi="Book Antiqua" w:cs="Times New Roman"/>
          <w:sz w:val="24"/>
          <w:szCs w:val="24"/>
        </w:rPr>
        <w:t>Cervelló</w:t>
      </w:r>
      <w:proofErr w:type="spellEnd"/>
      <w:r w:rsidRPr="000C178D">
        <w:rPr>
          <w:rFonts w:ascii="Book Antiqua" w:hAnsi="Book Antiqua" w:cs="Times New Roman"/>
          <w:sz w:val="24"/>
          <w:szCs w:val="24"/>
        </w:rPr>
        <w:t xml:space="preserve"> G. IgG4-Related Disease: Results From a Multicenter Spanish Registry. </w:t>
      </w:r>
      <w:r w:rsidRPr="000C178D">
        <w:rPr>
          <w:rFonts w:ascii="Book Antiqua" w:hAnsi="Book Antiqua" w:cs="Times New Roman"/>
          <w:i/>
          <w:iCs/>
          <w:sz w:val="24"/>
          <w:szCs w:val="24"/>
        </w:rPr>
        <w:t>Medicine (Baltimore)</w:t>
      </w:r>
      <w:r w:rsidRPr="000C178D">
        <w:rPr>
          <w:rFonts w:ascii="Book Antiqua" w:hAnsi="Book Antiqua" w:cs="Times New Roman"/>
          <w:sz w:val="24"/>
          <w:szCs w:val="24"/>
        </w:rPr>
        <w:t xml:space="preserve"> 2015; </w:t>
      </w:r>
      <w:r w:rsidRPr="000C178D">
        <w:rPr>
          <w:rFonts w:ascii="Book Antiqua" w:hAnsi="Book Antiqua" w:cs="Times New Roman"/>
          <w:b/>
          <w:bCs/>
          <w:sz w:val="24"/>
          <w:szCs w:val="24"/>
        </w:rPr>
        <w:t>94</w:t>
      </w:r>
      <w:r w:rsidRPr="000C178D">
        <w:rPr>
          <w:rFonts w:ascii="Book Antiqua" w:hAnsi="Book Antiqua" w:cs="Times New Roman"/>
          <w:sz w:val="24"/>
          <w:szCs w:val="24"/>
        </w:rPr>
        <w:t>: e1275 [PMID: 26266361 DOI: 10.1097/MD.0000000000001275]</w:t>
      </w:r>
    </w:p>
    <w:p w14:paraId="5EB86CE0" w14:textId="77777777" w:rsidR="00B64CD5" w:rsidRPr="000C178D" w:rsidRDefault="00B64CD5" w:rsidP="000C178D">
      <w:pPr>
        <w:snapToGrid w:val="0"/>
        <w:spacing w:after="0" w:line="360" w:lineRule="auto"/>
        <w:jc w:val="both"/>
        <w:rPr>
          <w:rFonts w:ascii="Book Antiqua" w:hAnsi="Book Antiqua" w:cs="Times New Roman"/>
          <w:sz w:val="24"/>
          <w:szCs w:val="24"/>
        </w:rPr>
      </w:pPr>
      <w:r w:rsidRPr="000C178D">
        <w:rPr>
          <w:rFonts w:ascii="Book Antiqua" w:hAnsi="Book Antiqua" w:cs="Times New Roman"/>
          <w:sz w:val="24"/>
          <w:szCs w:val="24"/>
        </w:rPr>
        <w:t xml:space="preserve">11 </w:t>
      </w:r>
      <w:proofErr w:type="spellStart"/>
      <w:r w:rsidRPr="000C178D">
        <w:rPr>
          <w:rFonts w:ascii="Book Antiqua" w:hAnsi="Book Antiqua" w:cs="Times New Roman"/>
          <w:b/>
          <w:bCs/>
          <w:sz w:val="24"/>
          <w:szCs w:val="24"/>
        </w:rPr>
        <w:t>Campochiaro</w:t>
      </w:r>
      <w:proofErr w:type="spellEnd"/>
      <w:r w:rsidRPr="000C178D">
        <w:rPr>
          <w:rFonts w:ascii="Book Antiqua" w:hAnsi="Book Antiqua" w:cs="Times New Roman"/>
          <w:b/>
          <w:bCs/>
          <w:sz w:val="24"/>
          <w:szCs w:val="24"/>
        </w:rPr>
        <w:t xml:space="preserve"> C</w:t>
      </w:r>
      <w:r w:rsidRPr="000C178D">
        <w:rPr>
          <w:rFonts w:ascii="Book Antiqua" w:hAnsi="Book Antiqua" w:cs="Times New Roman"/>
          <w:sz w:val="24"/>
          <w:szCs w:val="24"/>
        </w:rPr>
        <w:t xml:space="preserve">, Ramirez GA, </w:t>
      </w:r>
      <w:proofErr w:type="spellStart"/>
      <w:r w:rsidRPr="000C178D">
        <w:rPr>
          <w:rFonts w:ascii="Book Antiqua" w:hAnsi="Book Antiqua" w:cs="Times New Roman"/>
          <w:sz w:val="24"/>
          <w:szCs w:val="24"/>
        </w:rPr>
        <w:t>Bozzolo</w:t>
      </w:r>
      <w:proofErr w:type="spellEnd"/>
      <w:r w:rsidRPr="000C178D">
        <w:rPr>
          <w:rFonts w:ascii="Book Antiqua" w:hAnsi="Book Antiqua" w:cs="Times New Roman"/>
          <w:sz w:val="24"/>
          <w:szCs w:val="24"/>
        </w:rPr>
        <w:t xml:space="preserve"> EP, </w:t>
      </w:r>
      <w:proofErr w:type="spellStart"/>
      <w:r w:rsidRPr="000C178D">
        <w:rPr>
          <w:rFonts w:ascii="Book Antiqua" w:hAnsi="Book Antiqua" w:cs="Times New Roman"/>
          <w:sz w:val="24"/>
          <w:szCs w:val="24"/>
        </w:rPr>
        <w:t>Lanzillotta</w:t>
      </w:r>
      <w:proofErr w:type="spellEnd"/>
      <w:r w:rsidRPr="000C178D">
        <w:rPr>
          <w:rFonts w:ascii="Book Antiqua" w:hAnsi="Book Antiqua" w:cs="Times New Roman"/>
          <w:sz w:val="24"/>
          <w:szCs w:val="24"/>
        </w:rPr>
        <w:t xml:space="preserve"> M, </w:t>
      </w:r>
      <w:proofErr w:type="spellStart"/>
      <w:r w:rsidRPr="000C178D">
        <w:rPr>
          <w:rFonts w:ascii="Book Antiqua" w:hAnsi="Book Antiqua" w:cs="Times New Roman"/>
          <w:sz w:val="24"/>
          <w:szCs w:val="24"/>
        </w:rPr>
        <w:t>Berti</w:t>
      </w:r>
      <w:proofErr w:type="spellEnd"/>
      <w:r w:rsidRPr="000C178D">
        <w:rPr>
          <w:rFonts w:ascii="Book Antiqua" w:hAnsi="Book Antiqua" w:cs="Times New Roman"/>
          <w:sz w:val="24"/>
          <w:szCs w:val="24"/>
        </w:rPr>
        <w:t xml:space="preserve"> A, </w:t>
      </w:r>
      <w:proofErr w:type="spellStart"/>
      <w:r w:rsidRPr="000C178D">
        <w:rPr>
          <w:rFonts w:ascii="Book Antiqua" w:hAnsi="Book Antiqua" w:cs="Times New Roman"/>
          <w:sz w:val="24"/>
          <w:szCs w:val="24"/>
        </w:rPr>
        <w:t>Baldissera</w:t>
      </w:r>
      <w:proofErr w:type="spellEnd"/>
      <w:r w:rsidRPr="000C178D">
        <w:rPr>
          <w:rFonts w:ascii="Book Antiqua" w:hAnsi="Book Antiqua" w:cs="Times New Roman"/>
          <w:sz w:val="24"/>
          <w:szCs w:val="24"/>
        </w:rPr>
        <w:t xml:space="preserve"> E, </w:t>
      </w:r>
      <w:proofErr w:type="spellStart"/>
      <w:r w:rsidRPr="000C178D">
        <w:rPr>
          <w:rFonts w:ascii="Book Antiqua" w:hAnsi="Book Antiqua" w:cs="Times New Roman"/>
          <w:sz w:val="24"/>
          <w:szCs w:val="24"/>
        </w:rPr>
        <w:t>Dagna</w:t>
      </w:r>
      <w:proofErr w:type="spellEnd"/>
      <w:r w:rsidRPr="000C178D">
        <w:rPr>
          <w:rFonts w:ascii="Book Antiqua" w:hAnsi="Book Antiqua" w:cs="Times New Roman"/>
          <w:sz w:val="24"/>
          <w:szCs w:val="24"/>
        </w:rPr>
        <w:t xml:space="preserve"> L, </w:t>
      </w:r>
      <w:proofErr w:type="spellStart"/>
      <w:r w:rsidRPr="000C178D">
        <w:rPr>
          <w:rFonts w:ascii="Book Antiqua" w:hAnsi="Book Antiqua" w:cs="Times New Roman"/>
          <w:sz w:val="24"/>
          <w:szCs w:val="24"/>
        </w:rPr>
        <w:t>Praderio</w:t>
      </w:r>
      <w:proofErr w:type="spellEnd"/>
      <w:r w:rsidRPr="000C178D">
        <w:rPr>
          <w:rFonts w:ascii="Book Antiqua" w:hAnsi="Book Antiqua" w:cs="Times New Roman"/>
          <w:sz w:val="24"/>
          <w:szCs w:val="24"/>
        </w:rPr>
        <w:t xml:space="preserve"> L, Scotti R, </w:t>
      </w:r>
      <w:proofErr w:type="spellStart"/>
      <w:r w:rsidRPr="000C178D">
        <w:rPr>
          <w:rFonts w:ascii="Book Antiqua" w:hAnsi="Book Antiqua" w:cs="Times New Roman"/>
          <w:sz w:val="24"/>
          <w:szCs w:val="24"/>
        </w:rPr>
        <w:t>Tresoldi</w:t>
      </w:r>
      <w:proofErr w:type="spellEnd"/>
      <w:r w:rsidRPr="000C178D">
        <w:rPr>
          <w:rFonts w:ascii="Book Antiqua" w:hAnsi="Book Antiqua" w:cs="Times New Roman"/>
          <w:sz w:val="24"/>
          <w:szCs w:val="24"/>
        </w:rPr>
        <w:t xml:space="preserve"> M, </w:t>
      </w:r>
      <w:proofErr w:type="spellStart"/>
      <w:r w:rsidRPr="000C178D">
        <w:rPr>
          <w:rFonts w:ascii="Book Antiqua" w:hAnsi="Book Antiqua" w:cs="Times New Roman"/>
          <w:sz w:val="24"/>
          <w:szCs w:val="24"/>
        </w:rPr>
        <w:t>Roveri</w:t>
      </w:r>
      <w:proofErr w:type="spellEnd"/>
      <w:r w:rsidRPr="000C178D">
        <w:rPr>
          <w:rFonts w:ascii="Book Antiqua" w:hAnsi="Book Antiqua" w:cs="Times New Roman"/>
          <w:sz w:val="24"/>
          <w:szCs w:val="24"/>
        </w:rPr>
        <w:t xml:space="preserve"> L, </w:t>
      </w:r>
      <w:proofErr w:type="spellStart"/>
      <w:r w:rsidRPr="000C178D">
        <w:rPr>
          <w:rFonts w:ascii="Book Antiqua" w:hAnsi="Book Antiqua" w:cs="Times New Roman"/>
          <w:sz w:val="24"/>
          <w:szCs w:val="24"/>
        </w:rPr>
        <w:t>Mariani</w:t>
      </w:r>
      <w:proofErr w:type="spellEnd"/>
      <w:r w:rsidRPr="000C178D">
        <w:rPr>
          <w:rFonts w:ascii="Book Antiqua" w:hAnsi="Book Antiqua" w:cs="Times New Roman"/>
          <w:sz w:val="24"/>
          <w:szCs w:val="24"/>
        </w:rPr>
        <w:t xml:space="preserve"> A, </w:t>
      </w:r>
      <w:proofErr w:type="spellStart"/>
      <w:r w:rsidRPr="000C178D">
        <w:rPr>
          <w:rFonts w:ascii="Book Antiqua" w:hAnsi="Book Antiqua" w:cs="Times New Roman"/>
          <w:sz w:val="24"/>
          <w:szCs w:val="24"/>
        </w:rPr>
        <w:t>Balzano</w:t>
      </w:r>
      <w:proofErr w:type="spellEnd"/>
      <w:r w:rsidRPr="000C178D">
        <w:rPr>
          <w:rFonts w:ascii="Book Antiqua" w:hAnsi="Book Antiqua" w:cs="Times New Roman"/>
          <w:sz w:val="24"/>
          <w:szCs w:val="24"/>
        </w:rPr>
        <w:t xml:space="preserve"> G, </w:t>
      </w:r>
      <w:proofErr w:type="spellStart"/>
      <w:r w:rsidRPr="000C178D">
        <w:rPr>
          <w:rFonts w:ascii="Book Antiqua" w:hAnsi="Book Antiqua" w:cs="Times New Roman"/>
          <w:sz w:val="24"/>
          <w:szCs w:val="24"/>
        </w:rPr>
        <w:t>Castoldi</w:t>
      </w:r>
      <w:proofErr w:type="spellEnd"/>
      <w:r w:rsidRPr="000C178D">
        <w:rPr>
          <w:rFonts w:ascii="Book Antiqua" w:hAnsi="Book Antiqua" w:cs="Times New Roman"/>
          <w:sz w:val="24"/>
          <w:szCs w:val="24"/>
        </w:rPr>
        <w:t xml:space="preserve"> R, </w:t>
      </w:r>
      <w:proofErr w:type="spellStart"/>
      <w:r w:rsidRPr="000C178D">
        <w:rPr>
          <w:rFonts w:ascii="Book Antiqua" w:hAnsi="Book Antiqua" w:cs="Times New Roman"/>
          <w:sz w:val="24"/>
          <w:szCs w:val="24"/>
        </w:rPr>
        <w:t>Doglioni</w:t>
      </w:r>
      <w:proofErr w:type="spellEnd"/>
      <w:r w:rsidRPr="000C178D">
        <w:rPr>
          <w:rFonts w:ascii="Book Antiqua" w:hAnsi="Book Antiqua" w:cs="Times New Roman"/>
          <w:sz w:val="24"/>
          <w:szCs w:val="24"/>
        </w:rPr>
        <w:t xml:space="preserve"> C, </w:t>
      </w:r>
      <w:proofErr w:type="spellStart"/>
      <w:r w:rsidRPr="000C178D">
        <w:rPr>
          <w:rFonts w:ascii="Book Antiqua" w:hAnsi="Book Antiqua" w:cs="Times New Roman"/>
          <w:sz w:val="24"/>
          <w:szCs w:val="24"/>
        </w:rPr>
        <w:t>Sabbadini</w:t>
      </w:r>
      <w:proofErr w:type="spellEnd"/>
      <w:r w:rsidRPr="000C178D">
        <w:rPr>
          <w:rFonts w:ascii="Book Antiqua" w:hAnsi="Book Antiqua" w:cs="Times New Roman"/>
          <w:sz w:val="24"/>
          <w:szCs w:val="24"/>
        </w:rPr>
        <w:t xml:space="preserve"> MG, Della-Torre E. IgG4-related disease in Italy: clinical features and outcomes of a large cohort of patients. </w:t>
      </w:r>
      <w:proofErr w:type="spellStart"/>
      <w:r w:rsidRPr="000C178D">
        <w:rPr>
          <w:rFonts w:ascii="Book Antiqua" w:hAnsi="Book Antiqua" w:cs="Times New Roman"/>
          <w:i/>
          <w:iCs/>
          <w:sz w:val="24"/>
          <w:szCs w:val="24"/>
        </w:rPr>
        <w:t>Scand</w:t>
      </w:r>
      <w:proofErr w:type="spellEnd"/>
      <w:r w:rsidRPr="000C178D">
        <w:rPr>
          <w:rFonts w:ascii="Book Antiqua" w:hAnsi="Book Antiqua" w:cs="Times New Roman"/>
          <w:i/>
          <w:iCs/>
          <w:sz w:val="24"/>
          <w:szCs w:val="24"/>
        </w:rPr>
        <w:t xml:space="preserve"> J </w:t>
      </w:r>
      <w:proofErr w:type="spellStart"/>
      <w:r w:rsidRPr="000C178D">
        <w:rPr>
          <w:rFonts w:ascii="Book Antiqua" w:hAnsi="Book Antiqua" w:cs="Times New Roman"/>
          <w:i/>
          <w:iCs/>
          <w:sz w:val="24"/>
          <w:szCs w:val="24"/>
        </w:rPr>
        <w:t>Rheumatol</w:t>
      </w:r>
      <w:proofErr w:type="spellEnd"/>
      <w:r w:rsidRPr="000C178D">
        <w:rPr>
          <w:rFonts w:ascii="Book Antiqua" w:hAnsi="Book Antiqua" w:cs="Times New Roman"/>
          <w:sz w:val="24"/>
          <w:szCs w:val="24"/>
        </w:rPr>
        <w:t xml:space="preserve"> 2016; </w:t>
      </w:r>
      <w:r w:rsidRPr="000C178D">
        <w:rPr>
          <w:rFonts w:ascii="Book Antiqua" w:hAnsi="Book Antiqua" w:cs="Times New Roman"/>
          <w:b/>
          <w:bCs/>
          <w:sz w:val="24"/>
          <w:szCs w:val="24"/>
        </w:rPr>
        <w:t>45</w:t>
      </w:r>
      <w:r w:rsidRPr="000C178D">
        <w:rPr>
          <w:rFonts w:ascii="Book Antiqua" w:hAnsi="Book Antiqua" w:cs="Times New Roman"/>
          <w:sz w:val="24"/>
          <w:szCs w:val="24"/>
        </w:rPr>
        <w:t>: 135-145 [PMID: 26398142 DOI: 10.3109/03009742.2015.1055796]</w:t>
      </w:r>
    </w:p>
    <w:p w14:paraId="6435B4C6" w14:textId="77777777" w:rsidR="00B64CD5" w:rsidRPr="000C178D" w:rsidRDefault="00B64CD5" w:rsidP="000C178D">
      <w:pPr>
        <w:snapToGrid w:val="0"/>
        <w:spacing w:after="0" w:line="360" w:lineRule="auto"/>
        <w:jc w:val="both"/>
        <w:rPr>
          <w:rFonts w:ascii="Book Antiqua" w:hAnsi="Book Antiqua" w:cs="Times New Roman"/>
          <w:sz w:val="24"/>
          <w:szCs w:val="24"/>
        </w:rPr>
      </w:pPr>
      <w:r w:rsidRPr="000C178D">
        <w:rPr>
          <w:rFonts w:ascii="Book Antiqua" w:hAnsi="Book Antiqua" w:cs="Times New Roman"/>
          <w:sz w:val="24"/>
          <w:szCs w:val="24"/>
        </w:rPr>
        <w:t xml:space="preserve">12 </w:t>
      </w:r>
      <w:proofErr w:type="spellStart"/>
      <w:r w:rsidRPr="000C178D">
        <w:rPr>
          <w:rFonts w:ascii="Book Antiqua" w:hAnsi="Book Antiqua" w:cs="Times New Roman"/>
          <w:b/>
          <w:bCs/>
          <w:sz w:val="24"/>
          <w:szCs w:val="24"/>
        </w:rPr>
        <w:t>Ebbo</w:t>
      </w:r>
      <w:proofErr w:type="spellEnd"/>
      <w:r w:rsidRPr="000C178D">
        <w:rPr>
          <w:rFonts w:ascii="Book Antiqua" w:hAnsi="Book Antiqua" w:cs="Times New Roman"/>
          <w:b/>
          <w:bCs/>
          <w:sz w:val="24"/>
          <w:szCs w:val="24"/>
        </w:rPr>
        <w:t xml:space="preserve"> M</w:t>
      </w:r>
      <w:r w:rsidRPr="000C178D">
        <w:rPr>
          <w:rFonts w:ascii="Book Antiqua" w:hAnsi="Book Antiqua" w:cs="Times New Roman"/>
          <w:sz w:val="24"/>
          <w:szCs w:val="24"/>
        </w:rPr>
        <w:t xml:space="preserve">, Daniel L, </w:t>
      </w:r>
      <w:proofErr w:type="spellStart"/>
      <w:r w:rsidRPr="000C178D">
        <w:rPr>
          <w:rFonts w:ascii="Book Antiqua" w:hAnsi="Book Antiqua" w:cs="Times New Roman"/>
          <w:sz w:val="24"/>
          <w:szCs w:val="24"/>
        </w:rPr>
        <w:t>Pavic</w:t>
      </w:r>
      <w:proofErr w:type="spellEnd"/>
      <w:r w:rsidRPr="000C178D">
        <w:rPr>
          <w:rFonts w:ascii="Book Antiqua" w:hAnsi="Book Antiqua" w:cs="Times New Roman"/>
          <w:sz w:val="24"/>
          <w:szCs w:val="24"/>
        </w:rPr>
        <w:t xml:space="preserve"> M, </w:t>
      </w:r>
      <w:proofErr w:type="spellStart"/>
      <w:r w:rsidRPr="000C178D">
        <w:rPr>
          <w:rFonts w:ascii="Book Antiqua" w:hAnsi="Book Antiqua" w:cs="Times New Roman"/>
          <w:sz w:val="24"/>
          <w:szCs w:val="24"/>
        </w:rPr>
        <w:t>Sève</w:t>
      </w:r>
      <w:proofErr w:type="spellEnd"/>
      <w:r w:rsidRPr="000C178D">
        <w:rPr>
          <w:rFonts w:ascii="Book Antiqua" w:hAnsi="Book Antiqua" w:cs="Times New Roman"/>
          <w:sz w:val="24"/>
          <w:szCs w:val="24"/>
        </w:rPr>
        <w:t xml:space="preserve"> P, </w:t>
      </w:r>
      <w:proofErr w:type="spellStart"/>
      <w:r w:rsidRPr="000C178D">
        <w:rPr>
          <w:rFonts w:ascii="Book Antiqua" w:hAnsi="Book Antiqua" w:cs="Times New Roman"/>
          <w:sz w:val="24"/>
          <w:szCs w:val="24"/>
        </w:rPr>
        <w:t>Hamidou</w:t>
      </w:r>
      <w:proofErr w:type="spellEnd"/>
      <w:r w:rsidRPr="000C178D">
        <w:rPr>
          <w:rFonts w:ascii="Book Antiqua" w:hAnsi="Book Antiqua" w:cs="Times New Roman"/>
          <w:sz w:val="24"/>
          <w:szCs w:val="24"/>
        </w:rPr>
        <w:t xml:space="preserve"> M, Andres E, </w:t>
      </w:r>
      <w:proofErr w:type="spellStart"/>
      <w:r w:rsidRPr="000C178D">
        <w:rPr>
          <w:rFonts w:ascii="Book Antiqua" w:hAnsi="Book Antiqua" w:cs="Times New Roman"/>
          <w:sz w:val="24"/>
          <w:szCs w:val="24"/>
        </w:rPr>
        <w:t>Burtey</w:t>
      </w:r>
      <w:proofErr w:type="spellEnd"/>
      <w:r w:rsidRPr="000C178D">
        <w:rPr>
          <w:rFonts w:ascii="Book Antiqua" w:hAnsi="Book Antiqua" w:cs="Times New Roman"/>
          <w:sz w:val="24"/>
          <w:szCs w:val="24"/>
        </w:rPr>
        <w:t xml:space="preserve"> S, </w:t>
      </w:r>
      <w:proofErr w:type="spellStart"/>
      <w:r w:rsidRPr="000C178D">
        <w:rPr>
          <w:rFonts w:ascii="Book Antiqua" w:hAnsi="Book Antiqua" w:cs="Times New Roman"/>
          <w:sz w:val="24"/>
          <w:szCs w:val="24"/>
        </w:rPr>
        <w:t>Chiche</w:t>
      </w:r>
      <w:proofErr w:type="spellEnd"/>
      <w:r w:rsidRPr="000C178D">
        <w:rPr>
          <w:rFonts w:ascii="Book Antiqua" w:hAnsi="Book Antiqua" w:cs="Times New Roman"/>
          <w:sz w:val="24"/>
          <w:szCs w:val="24"/>
        </w:rPr>
        <w:t xml:space="preserve"> L, </w:t>
      </w:r>
      <w:proofErr w:type="spellStart"/>
      <w:r w:rsidRPr="000C178D">
        <w:rPr>
          <w:rFonts w:ascii="Book Antiqua" w:hAnsi="Book Antiqua" w:cs="Times New Roman"/>
          <w:sz w:val="24"/>
          <w:szCs w:val="24"/>
        </w:rPr>
        <w:t>Serratrice</w:t>
      </w:r>
      <w:proofErr w:type="spellEnd"/>
      <w:r w:rsidRPr="000C178D">
        <w:rPr>
          <w:rFonts w:ascii="Book Antiqua" w:hAnsi="Book Antiqua" w:cs="Times New Roman"/>
          <w:sz w:val="24"/>
          <w:szCs w:val="24"/>
        </w:rPr>
        <w:t xml:space="preserve"> J, Longy-</w:t>
      </w:r>
      <w:proofErr w:type="spellStart"/>
      <w:r w:rsidRPr="000C178D">
        <w:rPr>
          <w:rFonts w:ascii="Book Antiqua" w:hAnsi="Book Antiqua" w:cs="Times New Roman"/>
          <w:sz w:val="24"/>
          <w:szCs w:val="24"/>
        </w:rPr>
        <w:t>Boursier</w:t>
      </w:r>
      <w:proofErr w:type="spellEnd"/>
      <w:r w:rsidRPr="000C178D">
        <w:rPr>
          <w:rFonts w:ascii="Book Antiqua" w:hAnsi="Book Antiqua" w:cs="Times New Roman"/>
          <w:sz w:val="24"/>
          <w:szCs w:val="24"/>
        </w:rPr>
        <w:t xml:space="preserve"> M, </w:t>
      </w:r>
      <w:proofErr w:type="spellStart"/>
      <w:r w:rsidRPr="000C178D">
        <w:rPr>
          <w:rFonts w:ascii="Book Antiqua" w:hAnsi="Book Antiqua" w:cs="Times New Roman"/>
          <w:sz w:val="24"/>
          <w:szCs w:val="24"/>
        </w:rPr>
        <w:t>Ruivard</w:t>
      </w:r>
      <w:proofErr w:type="spellEnd"/>
      <w:r w:rsidRPr="000C178D">
        <w:rPr>
          <w:rFonts w:ascii="Book Antiqua" w:hAnsi="Book Antiqua" w:cs="Times New Roman"/>
          <w:sz w:val="24"/>
          <w:szCs w:val="24"/>
        </w:rPr>
        <w:t xml:space="preserve"> M, </w:t>
      </w:r>
      <w:proofErr w:type="spellStart"/>
      <w:r w:rsidRPr="000C178D">
        <w:rPr>
          <w:rFonts w:ascii="Book Antiqua" w:hAnsi="Book Antiqua" w:cs="Times New Roman"/>
          <w:sz w:val="24"/>
          <w:szCs w:val="24"/>
        </w:rPr>
        <w:t>Haroche</w:t>
      </w:r>
      <w:proofErr w:type="spellEnd"/>
      <w:r w:rsidRPr="000C178D">
        <w:rPr>
          <w:rFonts w:ascii="Book Antiqua" w:hAnsi="Book Antiqua" w:cs="Times New Roman"/>
          <w:sz w:val="24"/>
          <w:szCs w:val="24"/>
        </w:rPr>
        <w:t xml:space="preserve"> J, </w:t>
      </w:r>
      <w:proofErr w:type="spellStart"/>
      <w:r w:rsidRPr="000C178D">
        <w:rPr>
          <w:rFonts w:ascii="Book Antiqua" w:hAnsi="Book Antiqua" w:cs="Times New Roman"/>
          <w:sz w:val="24"/>
          <w:szCs w:val="24"/>
        </w:rPr>
        <w:t>Godeau</w:t>
      </w:r>
      <w:proofErr w:type="spellEnd"/>
      <w:r w:rsidRPr="000C178D">
        <w:rPr>
          <w:rFonts w:ascii="Book Antiqua" w:hAnsi="Book Antiqua" w:cs="Times New Roman"/>
          <w:sz w:val="24"/>
          <w:szCs w:val="24"/>
        </w:rPr>
        <w:t xml:space="preserve"> B, </w:t>
      </w:r>
      <w:proofErr w:type="spellStart"/>
      <w:r w:rsidRPr="000C178D">
        <w:rPr>
          <w:rFonts w:ascii="Book Antiqua" w:hAnsi="Book Antiqua" w:cs="Times New Roman"/>
          <w:sz w:val="24"/>
          <w:szCs w:val="24"/>
        </w:rPr>
        <w:t>Beucher</w:t>
      </w:r>
      <w:proofErr w:type="spellEnd"/>
      <w:r w:rsidRPr="000C178D">
        <w:rPr>
          <w:rFonts w:ascii="Book Antiqua" w:hAnsi="Book Antiqua" w:cs="Times New Roman"/>
          <w:sz w:val="24"/>
          <w:szCs w:val="24"/>
        </w:rPr>
        <w:t xml:space="preserve"> AB, Berthelot JM, </w:t>
      </w:r>
      <w:proofErr w:type="spellStart"/>
      <w:r w:rsidRPr="000C178D">
        <w:rPr>
          <w:rFonts w:ascii="Book Antiqua" w:hAnsi="Book Antiqua" w:cs="Times New Roman"/>
          <w:sz w:val="24"/>
          <w:szCs w:val="24"/>
        </w:rPr>
        <w:t>Papo</w:t>
      </w:r>
      <w:proofErr w:type="spellEnd"/>
      <w:r w:rsidRPr="000C178D">
        <w:rPr>
          <w:rFonts w:ascii="Book Antiqua" w:hAnsi="Book Antiqua" w:cs="Times New Roman"/>
          <w:sz w:val="24"/>
          <w:szCs w:val="24"/>
        </w:rPr>
        <w:t xml:space="preserve"> T, </w:t>
      </w:r>
      <w:proofErr w:type="spellStart"/>
      <w:r w:rsidRPr="000C178D">
        <w:rPr>
          <w:rFonts w:ascii="Book Antiqua" w:hAnsi="Book Antiqua" w:cs="Times New Roman"/>
          <w:sz w:val="24"/>
          <w:szCs w:val="24"/>
        </w:rPr>
        <w:t>Pennaforte</w:t>
      </w:r>
      <w:proofErr w:type="spellEnd"/>
      <w:r w:rsidRPr="000C178D">
        <w:rPr>
          <w:rFonts w:ascii="Book Antiqua" w:hAnsi="Book Antiqua" w:cs="Times New Roman"/>
          <w:sz w:val="24"/>
          <w:szCs w:val="24"/>
        </w:rPr>
        <w:t xml:space="preserve"> JL, </w:t>
      </w:r>
      <w:proofErr w:type="spellStart"/>
      <w:r w:rsidRPr="000C178D">
        <w:rPr>
          <w:rFonts w:ascii="Book Antiqua" w:hAnsi="Book Antiqua" w:cs="Times New Roman"/>
          <w:sz w:val="24"/>
          <w:szCs w:val="24"/>
        </w:rPr>
        <w:t>Benyamine</w:t>
      </w:r>
      <w:proofErr w:type="spellEnd"/>
      <w:r w:rsidRPr="000C178D">
        <w:rPr>
          <w:rFonts w:ascii="Book Antiqua" w:hAnsi="Book Antiqua" w:cs="Times New Roman"/>
          <w:sz w:val="24"/>
          <w:szCs w:val="24"/>
        </w:rPr>
        <w:t xml:space="preserve"> A, </w:t>
      </w:r>
      <w:proofErr w:type="spellStart"/>
      <w:r w:rsidRPr="000C178D">
        <w:rPr>
          <w:rFonts w:ascii="Book Antiqua" w:hAnsi="Book Antiqua" w:cs="Times New Roman"/>
          <w:sz w:val="24"/>
          <w:szCs w:val="24"/>
        </w:rPr>
        <w:t>Jourde</w:t>
      </w:r>
      <w:proofErr w:type="spellEnd"/>
      <w:r w:rsidRPr="000C178D">
        <w:rPr>
          <w:rFonts w:ascii="Book Antiqua" w:hAnsi="Book Antiqua" w:cs="Times New Roman"/>
          <w:sz w:val="24"/>
          <w:szCs w:val="24"/>
        </w:rPr>
        <w:t xml:space="preserve"> N, </w:t>
      </w:r>
      <w:proofErr w:type="spellStart"/>
      <w:r w:rsidRPr="000C178D">
        <w:rPr>
          <w:rFonts w:ascii="Book Antiqua" w:hAnsi="Book Antiqua" w:cs="Times New Roman"/>
          <w:sz w:val="24"/>
          <w:szCs w:val="24"/>
        </w:rPr>
        <w:t>Landron</w:t>
      </w:r>
      <w:proofErr w:type="spellEnd"/>
      <w:r w:rsidRPr="000C178D">
        <w:rPr>
          <w:rFonts w:ascii="Book Antiqua" w:hAnsi="Book Antiqua" w:cs="Times New Roman"/>
          <w:sz w:val="24"/>
          <w:szCs w:val="24"/>
        </w:rPr>
        <w:t xml:space="preserve"> C, </w:t>
      </w:r>
      <w:proofErr w:type="spellStart"/>
      <w:r w:rsidRPr="000C178D">
        <w:rPr>
          <w:rFonts w:ascii="Book Antiqua" w:hAnsi="Book Antiqua" w:cs="Times New Roman"/>
          <w:sz w:val="24"/>
          <w:szCs w:val="24"/>
        </w:rPr>
        <w:t>Roblot</w:t>
      </w:r>
      <w:proofErr w:type="spellEnd"/>
      <w:r w:rsidRPr="000C178D">
        <w:rPr>
          <w:rFonts w:ascii="Book Antiqua" w:hAnsi="Book Antiqua" w:cs="Times New Roman"/>
          <w:sz w:val="24"/>
          <w:szCs w:val="24"/>
        </w:rPr>
        <w:t xml:space="preserve"> P, </w:t>
      </w:r>
      <w:proofErr w:type="spellStart"/>
      <w:r w:rsidRPr="000C178D">
        <w:rPr>
          <w:rFonts w:ascii="Book Antiqua" w:hAnsi="Book Antiqua" w:cs="Times New Roman"/>
          <w:sz w:val="24"/>
          <w:szCs w:val="24"/>
        </w:rPr>
        <w:t>Moranne</w:t>
      </w:r>
      <w:proofErr w:type="spellEnd"/>
      <w:r w:rsidRPr="000C178D">
        <w:rPr>
          <w:rFonts w:ascii="Book Antiqua" w:hAnsi="Book Antiqua" w:cs="Times New Roman"/>
          <w:sz w:val="24"/>
          <w:szCs w:val="24"/>
        </w:rPr>
        <w:t xml:space="preserve"> O, </w:t>
      </w:r>
      <w:proofErr w:type="spellStart"/>
      <w:r w:rsidRPr="000C178D">
        <w:rPr>
          <w:rFonts w:ascii="Book Antiqua" w:hAnsi="Book Antiqua" w:cs="Times New Roman"/>
          <w:sz w:val="24"/>
          <w:szCs w:val="24"/>
        </w:rPr>
        <w:t>Silvain</w:t>
      </w:r>
      <w:proofErr w:type="spellEnd"/>
      <w:r w:rsidRPr="000C178D">
        <w:rPr>
          <w:rFonts w:ascii="Book Antiqua" w:hAnsi="Book Antiqua" w:cs="Times New Roman"/>
          <w:sz w:val="24"/>
          <w:szCs w:val="24"/>
        </w:rPr>
        <w:t xml:space="preserve"> C, </w:t>
      </w:r>
      <w:proofErr w:type="spellStart"/>
      <w:r w:rsidRPr="000C178D">
        <w:rPr>
          <w:rFonts w:ascii="Book Antiqua" w:hAnsi="Book Antiqua" w:cs="Times New Roman"/>
          <w:sz w:val="24"/>
          <w:szCs w:val="24"/>
        </w:rPr>
        <w:t>Granel</w:t>
      </w:r>
      <w:proofErr w:type="spellEnd"/>
      <w:r w:rsidRPr="000C178D">
        <w:rPr>
          <w:rFonts w:ascii="Book Antiqua" w:hAnsi="Book Antiqua" w:cs="Times New Roman"/>
          <w:sz w:val="24"/>
          <w:szCs w:val="24"/>
        </w:rPr>
        <w:t xml:space="preserve"> B, Bernard F, </w:t>
      </w:r>
      <w:proofErr w:type="spellStart"/>
      <w:r w:rsidRPr="000C178D">
        <w:rPr>
          <w:rFonts w:ascii="Book Antiqua" w:hAnsi="Book Antiqua" w:cs="Times New Roman"/>
          <w:sz w:val="24"/>
          <w:szCs w:val="24"/>
        </w:rPr>
        <w:t>Veit</w:t>
      </w:r>
      <w:proofErr w:type="spellEnd"/>
      <w:r w:rsidRPr="000C178D">
        <w:rPr>
          <w:rFonts w:ascii="Book Antiqua" w:hAnsi="Book Antiqua" w:cs="Times New Roman"/>
          <w:sz w:val="24"/>
          <w:szCs w:val="24"/>
        </w:rPr>
        <w:t xml:space="preserve"> V, </w:t>
      </w:r>
      <w:proofErr w:type="spellStart"/>
      <w:r w:rsidRPr="000C178D">
        <w:rPr>
          <w:rFonts w:ascii="Book Antiqua" w:hAnsi="Book Antiqua" w:cs="Times New Roman"/>
          <w:sz w:val="24"/>
          <w:szCs w:val="24"/>
        </w:rPr>
        <w:t>Mazodier</w:t>
      </w:r>
      <w:proofErr w:type="spellEnd"/>
      <w:r w:rsidRPr="000C178D">
        <w:rPr>
          <w:rFonts w:ascii="Book Antiqua" w:hAnsi="Book Antiqua" w:cs="Times New Roman"/>
          <w:sz w:val="24"/>
          <w:szCs w:val="24"/>
        </w:rPr>
        <w:t xml:space="preserve"> K, </w:t>
      </w:r>
      <w:proofErr w:type="spellStart"/>
      <w:r w:rsidRPr="000C178D">
        <w:rPr>
          <w:rFonts w:ascii="Book Antiqua" w:hAnsi="Book Antiqua" w:cs="Times New Roman"/>
          <w:sz w:val="24"/>
          <w:szCs w:val="24"/>
        </w:rPr>
        <w:t>Bernit</w:t>
      </w:r>
      <w:proofErr w:type="spellEnd"/>
      <w:r w:rsidRPr="000C178D">
        <w:rPr>
          <w:rFonts w:ascii="Book Antiqua" w:hAnsi="Book Antiqua" w:cs="Times New Roman"/>
          <w:sz w:val="24"/>
          <w:szCs w:val="24"/>
        </w:rPr>
        <w:t xml:space="preserve"> E, </w:t>
      </w:r>
      <w:proofErr w:type="spellStart"/>
      <w:r w:rsidRPr="000C178D">
        <w:rPr>
          <w:rFonts w:ascii="Book Antiqua" w:hAnsi="Book Antiqua" w:cs="Times New Roman"/>
          <w:sz w:val="24"/>
          <w:szCs w:val="24"/>
        </w:rPr>
        <w:t>Rousset</w:t>
      </w:r>
      <w:proofErr w:type="spellEnd"/>
      <w:r w:rsidRPr="000C178D">
        <w:rPr>
          <w:rFonts w:ascii="Book Antiqua" w:hAnsi="Book Antiqua" w:cs="Times New Roman"/>
          <w:sz w:val="24"/>
          <w:szCs w:val="24"/>
        </w:rPr>
        <w:t xml:space="preserve"> H, </w:t>
      </w:r>
      <w:proofErr w:type="spellStart"/>
      <w:r w:rsidRPr="000C178D">
        <w:rPr>
          <w:rFonts w:ascii="Book Antiqua" w:hAnsi="Book Antiqua" w:cs="Times New Roman"/>
          <w:sz w:val="24"/>
          <w:szCs w:val="24"/>
        </w:rPr>
        <w:t>Boucraut</w:t>
      </w:r>
      <w:proofErr w:type="spellEnd"/>
      <w:r w:rsidRPr="000C178D">
        <w:rPr>
          <w:rFonts w:ascii="Book Antiqua" w:hAnsi="Book Antiqua" w:cs="Times New Roman"/>
          <w:sz w:val="24"/>
          <w:szCs w:val="24"/>
        </w:rPr>
        <w:t xml:space="preserve"> J, </w:t>
      </w:r>
      <w:proofErr w:type="spellStart"/>
      <w:r w:rsidRPr="000C178D">
        <w:rPr>
          <w:rFonts w:ascii="Book Antiqua" w:hAnsi="Book Antiqua" w:cs="Times New Roman"/>
          <w:sz w:val="24"/>
          <w:szCs w:val="24"/>
        </w:rPr>
        <w:t>Boffa</w:t>
      </w:r>
      <w:proofErr w:type="spellEnd"/>
      <w:r w:rsidRPr="000C178D">
        <w:rPr>
          <w:rFonts w:ascii="Book Antiqua" w:hAnsi="Book Antiqua" w:cs="Times New Roman"/>
          <w:sz w:val="24"/>
          <w:szCs w:val="24"/>
        </w:rPr>
        <w:t xml:space="preserve"> JJ, </w:t>
      </w:r>
      <w:proofErr w:type="spellStart"/>
      <w:r w:rsidRPr="000C178D">
        <w:rPr>
          <w:rFonts w:ascii="Book Antiqua" w:hAnsi="Book Antiqua" w:cs="Times New Roman"/>
          <w:sz w:val="24"/>
          <w:szCs w:val="24"/>
        </w:rPr>
        <w:t>Weiller</w:t>
      </w:r>
      <w:proofErr w:type="spellEnd"/>
      <w:r w:rsidRPr="000C178D">
        <w:rPr>
          <w:rFonts w:ascii="Book Antiqua" w:hAnsi="Book Antiqua" w:cs="Times New Roman"/>
          <w:sz w:val="24"/>
          <w:szCs w:val="24"/>
        </w:rPr>
        <w:t xml:space="preserve"> PJ, </w:t>
      </w:r>
      <w:proofErr w:type="spellStart"/>
      <w:r w:rsidRPr="000C178D">
        <w:rPr>
          <w:rFonts w:ascii="Book Antiqua" w:hAnsi="Book Antiqua" w:cs="Times New Roman"/>
          <w:sz w:val="24"/>
          <w:szCs w:val="24"/>
        </w:rPr>
        <w:t>Kaplanski</w:t>
      </w:r>
      <w:proofErr w:type="spellEnd"/>
      <w:r w:rsidRPr="000C178D">
        <w:rPr>
          <w:rFonts w:ascii="Book Antiqua" w:hAnsi="Book Antiqua" w:cs="Times New Roman"/>
          <w:sz w:val="24"/>
          <w:szCs w:val="24"/>
        </w:rPr>
        <w:t xml:space="preserve"> G, </w:t>
      </w:r>
      <w:proofErr w:type="spellStart"/>
      <w:r w:rsidRPr="000C178D">
        <w:rPr>
          <w:rFonts w:ascii="Book Antiqua" w:hAnsi="Book Antiqua" w:cs="Times New Roman"/>
          <w:sz w:val="24"/>
          <w:szCs w:val="24"/>
        </w:rPr>
        <w:t>Aucouturier</w:t>
      </w:r>
      <w:proofErr w:type="spellEnd"/>
      <w:r w:rsidRPr="000C178D">
        <w:rPr>
          <w:rFonts w:ascii="Book Antiqua" w:hAnsi="Book Antiqua" w:cs="Times New Roman"/>
          <w:sz w:val="24"/>
          <w:szCs w:val="24"/>
        </w:rPr>
        <w:t xml:space="preserve"> P, </w:t>
      </w:r>
      <w:proofErr w:type="spellStart"/>
      <w:r w:rsidRPr="000C178D">
        <w:rPr>
          <w:rFonts w:ascii="Book Antiqua" w:hAnsi="Book Antiqua" w:cs="Times New Roman"/>
          <w:sz w:val="24"/>
          <w:szCs w:val="24"/>
        </w:rPr>
        <w:t>Harlé</w:t>
      </w:r>
      <w:proofErr w:type="spellEnd"/>
      <w:r w:rsidRPr="000C178D">
        <w:rPr>
          <w:rFonts w:ascii="Book Antiqua" w:hAnsi="Book Antiqua" w:cs="Times New Roman"/>
          <w:sz w:val="24"/>
          <w:szCs w:val="24"/>
        </w:rPr>
        <w:t xml:space="preserve"> JR, </w:t>
      </w:r>
      <w:proofErr w:type="spellStart"/>
      <w:r w:rsidRPr="000C178D">
        <w:rPr>
          <w:rFonts w:ascii="Book Antiqua" w:hAnsi="Book Antiqua" w:cs="Times New Roman"/>
          <w:sz w:val="24"/>
          <w:szCs w:val="24"/>
        </w:rPr>
        <w:t>Schleinitz</w:t>
      </w:r>
      <w:proofErr w:type="spellEnd"/>
      <w:r w:rsidRPr="000C178D">
        <w:rPr>
          <w:rFonts w:ascii="Book Antiqua" w:hAnsi="Book Antiqua" w:cs="Times New Roman"/>
          <w:sz w:val="24"/>
          <w:szCs w:val="24"/>
        </w:rPr>
        <w:t xml:space="preserve"> N. IgG4-related systemic disease: features and treatment response in a French cohort: results of a multicenter registry. </w:t>
      </w:r>
      <w:r w:rsidRPr="000C178D">
        <w:rPr>
          <w:rFonts w:ascii="Book Antiqua" w:hAnsi="Book Antiqua" w:cs="Times New Roman"/>
          <w:i/>
          <w:iCs/>
          <w:sz w:val="24"/>
          <w:szCs w:val="24"/>
        </w:rPr>
        <w:t>Medicine (Baltimore)</w:t>
      </w:r>
      <w:r w:rsidRPr="000C178D">
        <w:rPr>
          <w:rFonts w:ascii="Book Antiqua" w:hAnsi="Book Antiqua" w:cs="Times New Roman"/>
          <w:sz w:val="24"/>
          <w:szCs w:val="24"/>
        </w:rPr>
        <w:t xml:space="preserve"> 2012; </w:t>
      </w:r>
      <w:r w:rsidRPr="000C178D">
        <w:rPr>
          <w:rFonts w:ascii="Book Antiqua" w:hAnsi="Book Antiqua" w:cs="Times New Roman"/>
          <w:b/>
          <w:bCs/>
          <w:sz w:val="24"/>
          <w:szCs w:val="24"/>
        </w:rPr>
        <w:t>91</w:t>
      </w:r>
      <w:r w:rsidRPr="000C178D">
        <w:rPr>
          <w:rFonts w:ascii="Book Antiqua" w:hAnsi="Book Antiqua" w:cs="Times New Roman"/>
          <w:sz w:val="24"/>
          <w:szCs w:val="24"/>
        </w:rPr>
        <w:t>: 49-56 [PMID: 22198501 DOI: 10.1097/MD.0b013e3182433d77]</w:t>
      </w:r>
    </w:p>
    <w:p w14:paraId="7B65033E" w14:textId="77777777" w:rsidR="00B64CD5" w:rsidRPr="000C178D" w:rsidRDefault="00B64CD5" w:rsidP="000C178D">
      <w:pPr>
        <w:snapToGrid w:val="0"/>
        <w:spacing w:after="0" w:line="360" w:lineRule="auto"/>
        <w:jc w:val="both"/>
        <w:rPr>
          <w:rFonts w:ascii="Book Antiqua" w:hAnsi="Book Antiqua" w:cs="Times New Roman"/>
          <w:sz w:val="24"/>
          <w:szCs w:val="24"/>
        </w:rPr>
      </w:pPr>
      <w:r w:rsidRPr="000C178D">
        <w:rPr>
          <w:rFonts w:ascii="Book Antiqua" w:hAnsi="Book Antiqua" w:cs="Times New Roman"/>
          <w:sz w:val="24"/>
          <w:szCs w:val="24"/>
        </w:rPr>
        <w:t xml:space="preserve">13 </w:t>
      </w:r>
      <w:r w:rsidRPr="000C178D">
        <w:rPr>
          <w:rFonts w:ascii="Book Antiqua" w:hAnsi="Book Antiqua" w:cs="Times New Roman"/>
          <w:b/>
          <w:bCs/>
          <w:sz w:val="24"/>
          <w:szCs w:val="24"/>
        </w:rPr>
        <w:t>Wang L</w:t>
      </w:r>
      <w:r w:rsidRPr="000C178D">
        <w:rPr>
          <w:rFonts w:ascii="Book Antiqua" w:hAnsi="Book Antiqua" w:cs="Times New Roman"/>
          <w:sz w:val="24"/>
          <w:szCs w:val="24"/>
        </w:rPr>
        <w:t xml:space="preserve">, Zhang P, Zhang X, Lin W, Tang H, Li J, Wang M, Liu X, Fei Y, Chen H, Peng L, Zhang L, Lai Y, Zeng X, Li X, </w:t>
      </w:r>
      <w:proofErr w:type="spellStart"/>
      <w:r w:rsidRPr="000C178D">
        <w:rPr>
          <w:rFonts w:ascii="Book Antiqua" w:hAnsi="Book Antiqua" w:cs="Times New Roman"/>
          <w:sz w:val="24"/>
          <w:szCs w:val="24"/>
        </w:rPr>
        <w:t>Xue</w:t>
      </w:r>
      <w:proofErr w:type="spellEnd"/>
      <w:r w:rsidRPr="000C178D">
        <w:rPr>
          <w:rFonts w:ascii="Book Antiqua" w:hAnsi="Book Antiqua" w:cs="Times New Roman"/>
          <w:sz w:val="24"/>
          <w:szCs w:val="24"/>
        </w:rPr>
        <w:t xml:space="preserve"> H, Zhao Y, Zhang F, Zhang W. Sex disparities in clinical characteristics and prognosis of immunoglobulin G4-</w:t>
      </w:r>
      <w:r w:rsidRPr="000C178D">
        <w:rPr>
          <w:rFonts w:ascii="Book Antiqua" w:hAnsi="Book Antiqua" w:cs="Times New Roman"/>
          <w:sz w:val="24"/>
          <w:szCs w:val="24"/>
        </w:rPr>
        <w:lastRenderedPageBreak/>
        <w:t xml:space="preserve">related disease: a prospective study of 403 patients. </w:t>
      </w:r>
      <w:r w:rsidRPr="000C178D">
        <w:rPr>
          <w:rFonts w:ascii="Book Antiqua" w:hAnsi="Book Antiqua" w:cs="Times New Roman"/>
          <w:i/>
          <w:iCs/>
          <w:sz w:val="24"/>
          <w:szCs w:val="24"/>
        </w:rPr>
        <w:t>Rheumatology (Oxford)</w:t>
      </w:r>
      <w:r w:rsidRPr="000C178D">
        <w:rPr>
          <w:rFonts w:ascii="Book Antiqua" w:hAnsi="Book Antiqua" w:cs="Times New Roman"/>
          <w:sz w:val="24"/>
          <w:szCs w:val="24"/>
        </w:rPr>
        <w:t xml:space="preserve"> 2019; </w:t>
      </w:r>
      <w:r w:rsidRPr="000C178D">
        <w:rPr>
          <w:rFonts w:ascii="Book Antiqua" w:hAnsi="Book Antiqua" w:cs="Times New Roman"/>
          <w:b/>
          <w:bCs/>
          <w:sz w:val="24"/>
          <w:szCs w:val="24"/>
        </w:rPr>
        <w:t>58</w:t>
      </w:r>
      <w:r w:rsidRPr="000C178D">
        <w:rPr>
          <w:rFonts w:ascii="Book Antiqua" w:hAnsi="Book Antiqua" w:cs="Times New Roman"/>
          <w:sz w:val="24"/>
          <w:szCs w:val="24"/>
        </w:rPr>
        <w:t>: 820-830 [PMID: 30561747 DOI: 10.1093/rheumatology/key397]</w:t>
      </w:r>
    </w:p>
    <w:p w14:paraId="6D3A5044" w14:textId="77777777" w:rsidR="00B64CD5" w:rsidRPr="000C178D" w:rsidRDefault="00B64CD5" w:rsidP="000C178D">
      <w:pPr>
        <w:snapToGrid w:val="0"/>
        <w:spacing w:after="0" w:line="360" w:lineRule="auto"/>
        <w:jc w:val="both"/>
        <w:rPr>
          <w:rFonts w:ascii="Book Antiqua" w:hAnsi="Book Antiqua" w:cs="Times New Roman"/>
          <w:sz w:val="24"/>
          <w:szCs w:val="24"/>
        </w:rPr>
      </w:pPr>
      <w:r w:rsidRPr="000C178D">
        <w:rPr>
          <w:rFonts w:ascii="Book Antiqua" w:hAnsi="Book Antiqua" w:cs="Times New Roman"/>
          <w:sz w:val="24"/>
          <w:szCs w:val="24"/>
        </w:rPr>
        <w:t xml:space="preserve">14 </w:t>
      </w:r>
      <w:r w:rsidRPr="000C178D">
        <w:rPr>
          <w:rFonts w:ascii="Book Antiqua" w:hAnsi="Book Antiqua" w:cs="Times New Roman"/>
          <w:b/>
          <w:bCs/>
          <w:sz w:val="24"/>
          <w:szCs w:val="24"/>
        </w:rPr>
        <w:t>Wallace ZS</w:t>
      </w:r>
      <w:r w:rsidRPr="000C178D">
        <w:rPr>
          <w:rFonts w:ascii="Book Antiqua" w:hAnsi="Book Antiqua" w:cs="Times New Roman"/>
          <w:sz w:val="24"/>
          <w:szCs w:val="24"/>
        </w:rPr>
        <w:t xml:space="preserve">, Zhang Y, Perugino CA, Naden R, Choi HK, Stone JH; ACR/EULAR IgG4-RD Classification Criteria Committee. Clinical phenotypes of IgG4-related disease: an analysis of two international cross-sectional cohorts. </w:t>
      </w:r>
      <w:r w:rsidRPr="000C178D">
        <w:rPr>
          <w:rFonts w:ascii="Book Antiqua" w:hAnsi="Book Antiqua" w:cs="Times New Roman"/>
          <w:i/>
          <w:iCs/>
          <w:sz w:val="24"/>
          <w:szCs w:val="24"/>
        </w:rPr>
        <w:t>Ann Rheum Dis</w:t>
      </w:r>
      <w:r w:rsidRPr="000C178D">
        <w:rPr>
          <w:rFonts w:ascii="Book Antiqua" w:hAnsi="Book Antiqua" w:cs="Times New Roman"/>
          <w:sz w:val="24"/>
          <w:szCs w:val="24"/>
        </w:rPr>
        <w:t xml:space="preserve"> 2019; </w:t>
      </w:r>
      <w:r w:rsidRPr="000C178D">
        <w:rPr>
          <w:rFonts w:ascii="Book Antiqua" w:hAnsi="Book Antiqua" w:cs="Times New Roman"/>
          <w:b/>
          <w:bCs/>
          <w:sz w:val="24"/>
          <w:szCs w:val="24"/>
        </w:rPr>
        <w:t>78</w:t>
      </w:r>
      <w:r w:rsidRPr="000C178D">
        <w:rPr>
          <w:rFonts w:ascii="Book Antiqua" w:hAnsi="Book Antiqua" w:cs="Times New Roman"/>
          <w:sz w:val="24"/>
          <w:szCs w:val="24"/>
        </w:rPr>
        <w:t>: 406-412 [PMID: 30612117 DOI: 10.1136/annrheumdis-2018-214603]</w:t>
      </w:r>
    </w:p>
    <w:p w14:paraId="71262C86" w14:textId="73046B1B" w:rsidR="00B64CD5" w:rsidRPr="000C178D" w:rsidRDefault="00B64CD5" w:rsidP="000C178D">
      <w:pPr>
        <w:snapToGrid w:val="0"/>
        <w:spacing w:after="0" w:line="360" w:lineRule="auto"/>
        <w:jc w:val="both"/>
        <w:rPr>
          <w:rFonts w:ascii="Book Antiqua" w:hAnsi="Book Antiqua" w:cs="Times New Roman"/>
          <w:sz w:val="24"/>
          <w:szCs w:val="24"/>
        </w:rPr>
      </w:pPr>
      <w:r w:rsidRPr="000C178D">
        <w:rPr>
          <w:rFonts w:ascii="Book Antiqua" w:hAnsi="Book Antiqua" w:cs="Times New Roman"/>
          <w:sz w:val="24"/>
          <w:szCs w:val="24"/>
        </w:rPr>
        <w:t xml:space="preserve">15 </w:t>
      </w:r>
      <w:proofErr w:type="spellStart"/>
      <w:r w:rsidRPr="000C178D">
        <w:rPr>
          <w:rFonts w:ascii="Book Antiqua" w:hAnsi="Book Antiqua" w:cs="Times New Roman"/>
          <w:b/>
          <w:bCs/>
          <w:sz w:val="24"/>
          <w:szCs w:val="24"/>
        </w:rPr>
        <w:t>Niwamoto</w:t>
      </w:r>
      <w:proofErr w:type="spellEnd"/>
      <w:r w:rsidRPr="000C178D">
        <w:rPr>
          <w:rFonts w:ascii="Book Antiqua" w:hAnsi="Book Antiqua" w:cs="Times New Roman"/>
          <w:b/>
          <w:bCs/>
          <w:sz w:val="24"/>
          <w:szCs w:val="24"/>
        </w:rPr>
        <w:t xml:space="preserve"> T</w:t>
      </w:r>
      <w:r w:rsidRPr="000C178D">
        <w:rPr>
          <w:rFonts w:ascii="Book Antiqua" w:hAnsi="Book Antiqua" w:cs="Times New Roman"/>
          <w:sz w:val="24"/>
          <w:szCs w:val="24"/>
        </w:rPr>
        <w:t xml:space="preserve">, </w:t>
      </w:r>
      <w:proofErr w:type="spellStart"/>
      <w:r w:rsidRPr="000C178D">
        <w:rPr>
          <w:rFonts w:ascii="Book Antiqua" w:hAnsi="Book Antiqua" w:cs="Times New Roman"/>
          <w:sz w:val="24"/>
          <w:szCs w:val="24"/>
        </w:rPr>
        <w:t>Handa</w:t>
      </w:r>
      <w:proofErr w:type="spellEnd"/>
      <w:r w:rsidRPr="000C178D">
        <w:rPr>
          <w:rFonts w:ascii="Book Antiqua" w:hAnsi="Book Antiqua" w:cs="Times New Roman"/>
          <w:sz w:val="24"/>
          <w:szCs w:val="24"/>
        </w:rPr>
        <w:t xml:space="preserve"> T, Matsui S, Yamamoto H, </w:t>
      </w:r>
      <w:proofErr w:type="spellStart"/>
      <w:r w:rsidRPr="000C178D">
        <w:rPr>
          <w:rFonts w:ascii="Book Antiqua" w:hAnsi="Book Antiqua" w:cs="Times New Roman"/>
          <w:sz w:val="24"/>
          <w:szCs w:val="24"/>
        </w:rPr>
        <w:t>Yoshifuji</w:t>
      </w:r>
      <w:proofErr w:type="spellEnd"/>
      <w:r w:rsidRPr="000C178D">
        <w:rPr>
          <w:rFonts w:ascii="Book Antiqua" w:hAnsi="Book Antiqua" w:cs="Times New Roman"/>
          <w:sz w:val="24"/>
          <w:szCs w:val="24"/>
        </w:rPr>
        <w:t xml:space="preserve"> H, Abe H, Matsumoto H, Kodama Y, Chiba T, Seno H, </w:t>
      </w:r>
      <w:proofErr w:type="spellStart"/>
      <w:r w:rsidRPr="000C178D">
        <w:rPr>
          <w:rFonts w:ascii="Book Antiqua" w:hAnsi="Book Antiqua" w:cs="Times New Roman"/>
          <w:sz w:val="24"/>
          <w:szCs w:val="24"/>
        </w:rPr>
        <w:t>Mimori</w:t>
      </w:r>
      <w:proofErr w:type="spellEnd"/>
      <w:r w:rsidRPr="000C178D">
        <w:rPr>
          <w:rFonts w:ascii="Book Antiqua" w:hAnsi="Book Antiqua" w:cs="Times New Roman"/>
          <w:sz w:val="24"/>
          <w:szCs w:val="24"/>
        </w:rPr>
        <w:t xml:space="preserve"> T, Hirai T. Phenotyping of IgG4-related diseases based on affected organ pattern: A multicenter cohort study using cluster analysis. </w:t>
      </w:r>
      <w:r w:rsidRPr="000C178D">
        <w:rPr>
          <w:rFonts w:ascii="Book Antiqua" w:hAnsi="Book Antiqua" w:cs="Times New Roman"/>
          <w:i/>
          <w:iCs/>
          <w:sz w:val="24"/>
          <w:szCs w:val="24"/>
        </w:rPr>
        <w:t xml:space="preserve">Mod </w:t>
      </w:r>
      <w:proofErr w:type="spellStart"/>
      <w:r w:rsidRPr="000C178D">
        <w:rPr>
          <w:rFonts w:ascii="Book Antiqua" w:hAnsi="Book Antiqua" w:cs="Times New Roman"/>
          <w:i/>
          <w:iCs/>
          <w:sz w:val="24"/>
          <w:szCs w:val="24"/>
        </w:rPr>
        <w:t>Rheumatol</w:t>
      </w:r>
      <w:proofErr w:type="spellEnd"/>
      <w:r w:rsidRPr="000C178D">
        <w:rPr>
          <w:rFonts w:ascii="Book Antiqua" w:hAnsi="Book Antiqua" w:cs="Times New Roman"/>
          <w:sz w:val="24"/>
          <w:szCs w:val="24"/>
        </w:rPr>
        <w:t xml:space="preserve"> 2020; 1-6 [PMID: 31902317 DOI: 10.1080/14397595.2019.1703522]</w:t>
      </w:r>
    </w:p>
    <w:p w14:paraId="6086F934" w14:textId="77777777" w:rsidR="00B64CD5" w:rsidRPr="000C178D" w:rsidRDefault="00B64CD5" w:rsidP="000C178D">
      <w:pPr>
        <w:snapToGrid w:val="0"/>
        <w:spacing w:after="0" w:line="360" w:lineRule="auto"/>
        <w:jc w:val="both"/>
        <w:rPr>
          <w:rFonts w:ascii="Book Antiqua" w:hAnsi="Book Antiqua" w:cs="Times New Roman"/>
          <w:sz w:val="24"/>
          <w:szCs w:val="24"/>
        </w:rPr>
      </w:pPr>
      <w:r w:rsidRPr="000C178D">
        <w:rPr>
          <w:rFonts w:ascii="Book Antiqua" w:hAnsi="Book Antiqua" w:cs="Times New Roman"/>
          <w:sz w:val="24"/>
          <w:szCs w:val="24"/>
        </w:rPr>
        <w:t xml:space="preserve">16 </w:t>
      </w:r>
      <w:r w:rsidRPr="000C178D">
        <w:rPr>
          <w:rFonts w:ascii="Book Antiqua" w:hAnsi="Book Antiqua" w:cs="Times New Roman"/>
          <w:b/>
          <w:bCs/>
          <w:sz w:val="24"/>
          <w:szCs w:val="24"/>
        </w:rPr>
        <w:t>Chari ST</w:t>
      </w:r>
      <w:r w:rsidRPr="000C178D">
        <w:rPr>
          <w:rFonts w:ascii="Book Antiqua" w:hAnsi="Book Antiqua" w:cs="Times New Roman"/>
          <w:sz w:val="24"/>
          <w:szCs w:val="24"/>
        </w:rPr>
        <w:t xml:space="preserve">. Diagnosis of autoimmune pancreatitis using its five cardinal features: introducing the Mayo Clinic's </w:t>
      </w:r>
      <w:proofErr w:type="spellStart"/>
      <w:r w:rsidRPr="000C178D">
        <w:rPr>
          <w:rFonts w:ascii="Book Antiqua" w:hAnsi="Book Antiqua" w:cs="Times New Roman"/>
          <w:sz w:val="24"/>
          <w:szCs w:val="24"/>
        </w:rPr>
        <w:t>HISORt</w:t>
      </w:r>
      <w:proofErr w:type="spellEnd"/>
      <w:r w:rsidRPr="000C178D">
        <w:rPr>
          <w:rFonts w:ascii="Book Antiqua" w:hAnsi="Book Antiqua" w:cs="Times New Roman"/>
          <w:sz w:val="24"/>
          <w:szCs w:val="24"/>
        </w:rPr>
        <w:t xml:space="preserve"> criteria. </w:t>
      </w:r>
      <w:r w:rsidRPr="000C178D">
        <w:rPr>
          <w:rFonts w:ascii="Book Antiqua" w:hAnsi="Book Antiqua" w:cs="Times New Roman"/>
          <w:i/>
          <w:iCs/>
          <w:sz w:val="24"/>
          <w:szCs w:val="24"/>
        </w:rPr>
        <w:t>J Gastroenterol</w:t>
      </w:r>
      <w:r w:rsidRPr="000C178D">
        <w:rPr>
          <w:rFonts w:ascii="Book Antiqua" w:hAnsi="Book Antiqua" w:cs="Times New Roman"/>
          <w:sz w:val="24"/>
          <w:szCs w:val="24"/>
        </w:rPr>
        <w:t xml:space="preserve"> 2007; </w:t>
      </w:r>
      <w:r w:rsidRPr="000C178D">
        <w:rPr>
          <w:rFonts w:ascii="Book Antiqua" w:hAnsi="Book Antiqua" w:cs="Times New Roman"/>
          <w:b/>
          <w:bCs/>
          <w:sz w:val="24"/>
          <w:szCs w:val="24"/>
        </w:rPr>
        <w:t>42 Suppl 18</w:t>
      </w:r>
      <w:r w:rsidRPr="000C178D">
        <w:rPr>
          <w:rFonts w:ascii="Book Antiqua" w:hAnsi="Book Antiqua" w:cs="Times New Roman"/>
          <w:sz w:val="24"/>
          <w:szCs w:val="24"/>
        </w:rPr>
        <w:t>: 39-41 [PMID: 17520222 DOI: 10.1007/s00535-007-2046-8]</w:t>
      </w:r>
    </w:p>
    <w:p w14:paraId="351328B7" w14:textId="77777777" w:rsidR="00B64CD5" w:rsidRPr="000C178D" w:rsidRDefault="00B64CD5" w:rsidP="000C178D">
      <w:pPr>
        <w:snapToGrid w:val="0"/>
        <w:spacing w:after="0" w:line="360" w:lineRule="auto"/>
        <w:jc w:val="both"/>
        <w:rPr>
          <w:rFonts w:ascii="Book Antiqua" w:hAnsi="Book Antiqua" w:cs="Times New Roman"/>
          <w:sz w:val="24"/>
          <w:szCs w:val="24"/>
        </w:rPr>
      </w:pPr>
      <w:r w:rsidRPr="000C178D">
        <w:rPr>
          <w:rFonts w:ascii="Book Antiqua" w:hAnsi="Book Antiqua" w:cs="Times New Roman"/>
          <w:sz w:val="24"/>
          <w:szCs w:val="24"/>
        </w:rPr>
        <w:t xml:space="preserve">17 </w:t>
      </w:r>
      <w:proofErr w:type="spellStart"/>
      <w:r w:rsidRPr="000C178D">
        <w:rPr>
          <w:rFonts w:ascii="Book Antiqua" w:hAnsi="Book Antiqua" w:cs="Times New Roman"/>
          <w:b/>
          <w:bCs/>
          <w:sz w:val="24"/>
          <w:szCs w:val="24"/>
        </w:rPr>
        <w:t>Umehara</w:t>
      </w:r>
      <w:proofErr w:type="spellEnd"/>
      <w:r w:rsidRPr="000C178D">
        <w:rPr>
          <w:rFonts w:ascii="Book Antiqua" w:hAnsi="Book Antiqua" w:cs="Times New Roman"/>
          <w:b/>
          <w:bCs/>
          <w:sz w:val="24"/>
          <w:szCs w:val="24"/>
        </w:rPr>
        <w:t xml:space="preserve"> H</w:t>
      </w:r>
      <w:r w:rsidRPr="000C178D">
        <w:rPr>
          <w:rFonts w:ascii="Book Antiqua" w:hAnsi="Book Antiqua" w:cs="Times New Roman"/>
          <w:sz w:val="24"/>
          <w:szCs w:val="24"/>
        </w:rPr>
        <w:t xml:space="preserve">, Okazaki K, Masaki Y, Kawano M, Yamamoto M, Saeki T, Matsui S, Yoshino T, Nakamura S, Kawa S, Hamano H, </w:t>
      </w:r>
      <w:proofErr w:type="spellStart"/>
      <w:r w:rsidRPr="000C178D">
        <w:rPr>
          <w:rFonts w:ascii="Book Antiqua" w:hAnsi="Book Antiqua" w:cs="Times New Roman"/>
          <w:sz w:val="24"/>
          <w:szCs w:val="24"/>
        </w:rPr>
        <w:t>Kamisawa</w:t>
      </w:r>
      <w:proofErr w:type="spellEnd"/>
      <w:r w:rsidRPr="000C178D">
        <w:rPr>
          <w:rFonts w:ascii="Book Antiqua" w:hAnsi="Book Antiqua" w:cs="Times New Roman"/>
          <w:sz w:val="24"/>
          <w:szCs w:val="24"/>
        </w:rPr>
        <w:t xml:space="preserve"> T, </w:t>
      </w:r>
      <w:proofErr w:type="spellStart"/>
      <w:r w:rsidRPr="000C178D">
        <w:rPr>
          <w:rFonts w:ascii="Book Antiqua" w:hAnsi="Book Antiqua" w:cs="Times New Roman"/>
          <w:sz w:val="24"/>
          <w:szCs w:val="24"/>
        </w:rPr>
        <w:t>Shimosegawa</w:t>
      </w:r>
      <w:proofErr w:type="spellEnd"/>
      <w:r w:rsidRPr="000C178D">
        <w:rPr>
          <w:rFonts w:ascii="Book Antiqua" w:hAnsi="Book Antiqua" w:cs="Times New Roman"/>
          <w:sz w:val="24"/>
          <w:szCs w:val="24"/>
        </w:rPr>
        <w:t xml:space="preserve"> T, </w:t>
      </w:r>
      <w:proofErr w:type="spellStart"/>
      <w:r w:rsidRPr="000C178D">
        <w:rPr>
          <w:rFonts w:ascii="Book Antiqua" w:hAnsi="Book Antiqua" w:cs="Times New Roman"/>
          <w:sz w:val="24"/>
          <w:szCs w:val="24"/>
        </w:rPr>
        <w:t>Shimatsu</w:t>
      </w:r>
      <w:proofErr w:type="spellEnd"/>
      <w:r w:rsidRPr="000C178D">
        <w:rPr>
          <w:rFonts w:ascii="Book Antiqua" w:hAnsi="Book Antiqua" w:cs="Times New Roman"/>
          <w:sz w:val="24"/>
          <w:szCs w:val="24"/>
        </w:rPr>
        <w:t xml:space="preserve"> A, Nakamura S, Ito T, </w:t>
      </w:r>
      <w:proofErr w:type="spellStart"/>
      <w:r w:rsidRPr="000C178D">
        <w:rPr>
          <w:rFonts w:ascii="Book Antiqua" w:hAnsi="Book Antiqua" w:cs="Times New Roman"/>
          <w:sz w:val="24"/>
          <w:szCs w:val="24"/>
        </w:rPr>
        <w:t>Notohara</w:t>
      </w:r>
      <w:proofErr w:type="spellEnd"/>
      <w:r w:rsidRPr="000C178D">
        <w:rPr>
          <w:rFonts w:ascii="Book Antiqua" w:hAnsi="Book Antiqua" w:cs="Times New Roman"/>
          <w:sz w:val="24"/>
          <w:szCs w:val="24"/>
        </w:rPr>
        <w:t xml:space="preserve"> K, Sumida T, Tanaka Y, </w:t>
      </w:r>
      <w:proofErr w:type="spellStart"/>
      <w:r w:rsidRPr="000C178D">
        <w:rPr>
          <w:rFonts w:ascii="Book Antiqua" w:hAnsi="Book Antiqua" w:cs="Times New Roman"/>
          <w:sz w:val="24"/>
          <w:szCs w:val="24"/>
        </w:rPr>
        <w:t>Mimori</w:t>
      </w:r>
      <w:proofErr w:type="spellEnd"/>
      <w:r w:rsidRPr="000C178D">
        <w:rPr>
          <w:rFonts w:ascii="Book Antiqua" w:hAnsi="Book Antiqua" w:cs="Times New Roman"/>
          <w:sz w:val="24"/>
          <w:szCs w:val="24"/>
        </w:rPr>
        <w:t xml:space="preserve"> T, Chiba T, Mishima M, </w:t>
      </w:r>
      <w:proofErr w:type="spellStart"/>
      <w:r w:rsidRPr="000C178D">
        <w:rPr>
          <w:rFonts w:ascii="Book Antiqua" w:hAnsi="Book Antiqua" w:cs="Times New Roman"/>
          <w:sz w:val="24"/>
          <w:szCs w:val="24"/>
        </w:rPr>
        <w:t>Hibi</w:t>
      </w:r>
      <w:proofErr w:type="spellEnd"/>
      <w:r w:rsidRPr="000C178D">
        <w:rPr>
          <w:rFonts w:ascii="Book Antiqua" w:hAnsi="Book Antiqua" w:cs="Times New Roman"/>
          <w:sz w:val="24"/>
          <w:szCs w:val="24"/>
        </w:rPr>
        <w:t xml:space="preserve"> T, </w:t>
      </w:r>
      <w:proofErr w:type="spellStart"/>
      <w:r w:rsidRPr="000C178D">
        <w:rPr>
          <w:rFonts w:ascii="Book Antiqua" w:hAnsi="Book Antiqua" w:cs="Times New Roman"/>
          <w:sz w:val="24"/>
          <w:szCs w:val="24"/>
        </w:rPr>
        <w:t>Tsubouchi</w:t>
      </w:r>
      <w:proofErr w:type="spellEnd"/>
      <w:r w:rsidRPr="000C178D">
        <w:rPr>
          <w:rFonts w:ascii="Book Antiqua" w:hAnsi="Book Antiqua" w:cs="Times New Roman"/>
          <w:sz w:val="24"/>
          <w:szCs w:val="24"/>
        </w:rPr>
        <w:t xml:space="preserve"> H, Inui K, Ohara H. Comprehensive diagnostic criteria for IgG4-related disease (IgG4-RD), 2011. </w:t>
      </w:r>
      <w:r w:rsidRPr="000C178D">
        <w:rPr>
          <w:rFonts w:ascii="Book Antiqua" w:hAnsi="Book Antiqua" w:cs="Times New Roman"/>
          <w:i/>
          <w:iCs/>
          <w:sz w:val="24"/>
          <w:szCs w:val="24"/>
        </w:rPr>
        <w:t xml:space="preserve">Mod </w:t>
      </w:r>
      <w:proofErr w:type="spellStart"/>
      <w:r w:rsidRPr="000C178D">
        <w:rPr>
          <w:rFonts w:ascii="Book Antiqua" w:hAnsi="Book Antiqua" w:cs="Times New Roman"/>
          <w:i/>
          <w:iCs/>
          <w:sz w:val="24"/>
          <w:szCs w:val="24"/>
        </w:rPr>
        <w:t>Rheumatol</w:t>
      </w:r>
      <w:proofErr w:type="spellEnd"/>
      <w:r w:rsidRPr="000C178D">
        <w:rPr>
          <w:rFonts w:ascii="Book Antiqua" w:hAnsi="Book Antiqua" w:cs="Times New Roman"/>
          <w:sz w:val="24"/>
          <w:szCs w:val="24"/>
        </w:rPr>
        <w:t xml:space="preserve"> 2012; </w:t>
      </w:r>
      <w:r w:rsidRPr="000C178D">
        <w:rPr>
          <w:rFonts w:ascii="Book Antiqua" w:hAnsi="Book Antiqua" w:cs="Times New Roman"/>
          <w:b/>
          <w:bCs/>
          <w:sz w:val="24"/>
          <w:szCs w:val="24"/>
        </w:rPr>
        <w:t>22</w:t>
      </w:r>
      <w:r w:rsidRPr="000C178D">
        <w:rPr>
          <w:rFonts w:ascii="Book Antiqua" w:hAnsi="Book Antiqua" w:cs="Times New Roman"/>
          <w:sz w:val="24"/>
          <w:szCs w:val="24"/>
        </w:rPr>
        <w:t>: 21-30 [PMID: 22218969 DOI: 10.1007/s10165-011-0571-z]</w:t>
      </w:r>
    </w:p>
    <w:p w14:paraId="3B0DD2BE" w14:textId="77777777" w:rsidR="00B64CD5" w:rsidRPr="000C178D" w:rsidRDefault="00B64CD5" w:rsidP="000C178D">
      <w:pPr>
        <w:snapToGrid w:val="0"/>
        <w:spacing w:after="0" w:line="360" w:lineRule="auto"/>
        <w:jc w:val="both"/>
        <w:rPr>
          <w:rFonts w:ascii="Book Antiqua" w:hAnsi="Book Antiqua" w:cs="Times New Roman"/>
          <w:sz w:val="24"/>
          <w:szCs w:val="24"/>
        </w:rPr>
      </w:pPr>
      <w:r w:rsidRPr="000C178D">
        <w:rPr>
          <w:rFonts w:ascii="Book Antiqua" w:hAnsi="Book Antiqua" w:cs="Times New Roman"/>
          <w:sz w:val="24"/>
          <w:szCs w:val="24"/>
        </w:rPr>
        <w:t xml:space="preserve">18 </w:t>
      </w:r>
      <w:proofErr w:type="spellStart"/>
      <w:r w:rsidRPr="000C178D">
        <w:rPr>
          <w:rFonts w:ascii="Book Antiqua" w:hAnsi="Book Antiqua" w:cs="Times New Roman"/>
          <w:b/>
          <w:bCs/>
          <w:sz w:val="24"/>
          <w:szCs w:val="24"/>
        </w:rPr>
        <w:t>Kamisawa</w:t>
      </w:r>
      <w:proofErr w:type="spellEnd"/>
      <w:r w:rsidRPr="000C178D">
        <w:rPr>
          <w:rFonts w:ascii="Book Antiqua" w:hAnsi="Book Antiqua" w:cs="Times New Roman"/>
          <w:b/>
          <w:bCs/>
          <w:sz w:val="24"/>
          <w:szCs w:val="24"/>
        </w:rPr>
        <w:t xml:space="preserve"> T</w:t>
      </w:r>
      <w:r w:rsidRPr="000C178D">
        <w:rPr>
          <w:rFonts w:ascii="Book Antiqua" w:hAnsi="Book Antiqua" w:cs="Times New Roman"/>
          <w:sz w:val="24"/>
          <w:szCs w:val="24"/>
        </w:rPr>
        <w:t xml:space="preserve">, Zen Y, Pillai S, Stone JH. IgG4-related disease. </w:t>
      </w:r>
      <w:r w:rsidRPr="000C178D">
        <w:rPr>
          <w:rFonts w:ascii="Book Antiqua" w:hAnsi="Book Antiqua" w:cs="Times New Roman"/>
          <w:i/>
          <w:iCs/>
          <w:sz w:val="24"/>
          <w:szCs w:val="24"/>
        </w:rPr>
        <w:t>Lancet</w:t>
      </w:r>
      <w:r w:rsidRPr="000C178D">
        <w:rPr>
          <w:rFonts w:ascii="Book Antiqua" w:hAnsi="Book Antiqua" w:cs="Times New Roman"/>
          <w:sz w:val="24"/>
          <w:szCs w:val="24"/>
        </w:rPr>
        <w:t xml:space="preserve"> 2015; </w:t>
      </w:r>
      <w:r w:rsidRPr="000C178D">
        <w:rPr>
          <w:rFonts w:ascii="Book Antiqua" w:hAnsi="Book Antiqua" w:cs="Times New Roman"/>
          <w:b/>
          <w:bCs/>
          <w:sz w:val="24"/>
          <w:szCs w:val="24"/>
        </w:rPr>
        <w:t>385</w:t>
      </w:r>
      <w:r w:rsidRPr="000C178D">
        <w:rPr>
          <w:rFonts w:ascii="Book Antiqua" w:hAnsi="Book Antiqua" w:cs="Times New Roman"/>
          <w:sz w:val="24"/>
          <w:szCs w:val="24"/>
        </w:rPr>
        <w:t>: 1460-1471 [PMID: 25481618 DOI: 10.1016/S0140-6736(14)60720-0]</w:t>
      </w:r>
    </w:p>
    <w:p w14:paraId="1C5A89D5" w14:textId="77777777" w:rsidR="00B64CD5" w:rsidRPr="000C178D" w:rsidRDefault="00B64CD5" w:rsidP="000C178D">
      <w:pPr>
        <w:snapToGrid w:val="0"/>
        <w:spacing w:after="0" w:line="360" w:lineRule="auto"/>
        <w:jc w:val="both"/>
        <w:rPr>
          <w:rFonts w:ascii="Book Antiqua" w:hAnsi="Book Antiqua" w:cs="Times New Roman"/>
          <w:sz w:val="24"/>
          <w:szCs w:val="24"/>
        </w:rPr>
      </w:pPr>
      <w:r w:rsidRPr="000C178D">
        <w:rPr>
          <w:rFonts w:ascii="Book Antiqua" w:hAnsi="Book Antiqua" w:cs="Times New Roman"/>
          <w:sz w:val="24"/>
          <w:szCs w:val="24"/>
        </w:rPr>
        <w:t xml:space="preserve">19 </w:t>
      </w:r>
      <w:proofErr w:type="spellStart"/>
      <w:r w:rsidRPr="000C178D">
        <w:rPr>
          <w:rFonts w:ascii="Book Antiqua" w:hAnsi="Book Antiqua" w:cs="Times New Roman"/>
          <w:b/>
          <w:bCs/>
          <w:sz w:val="24"/>
          <w:szCs w:val="24"/>
        </w:rPr>
        <w:t>Mattoo</w:t>
      </w:r>
      <w:proofErr w:type="spellEnd"/>
      <w:r w:rsidRPr="000C178D">
        <w:rPr>
          <w:rFonts w:ascii="Book Antiqua" w:hAnsi="Book Antiqua" w:cs="Times New Roman"/>
          <w:b/>
          <w:bCs/>
          <w:sz w:val="24"/>
          <w:szCs w:val="24"/>
        </w:rPr>
        <w:t xml:space="preserve"> H</w:t>
      </w:r>
      <w:r w:rsidRPr="000C178D">
        <w:rPr>
          <w:rFonts w:ascii="Book Antiqua" w:hAnsi="Book Antiqua" w:cs="Times New Roman"/>
          <w:sz w:val="24"/>
          <w:szCs w:val="24"/>
        </w:rPr>
        <w:t xml:space="preserve">, Mahajan VS, Maehara T, Deshpande V, Della-Torre E, Wallace ZS, </w:t>
      </w:r>
      <w:proofErr w:type="spellStart"/>
      <w:r w:rsidRPr="000C178D">
        <w:rPr>
          <w:rFonts w:ascii="Book Antiqua" w:hAnsi="Book Antiqua" w:cs="Times New Roman"/>
          <w:sz w:val="24"/>
          <w:szCs w:val="24"/>
        </w:rPr>
        <w:t>Kulikova</w:t>
      </w:r>
      <w:proofErr w:type="spellEnd"/>
      <w:r w:rsidRPr="000C178D">
        <w:rPr>
          <w:rFonts w:ascii="Book Antiqua" w:hAnsi="Book Antiqua" w:cs="Times New Roman"/>
          <w:sz w:val="24"/>
          <w:szCs w:val="24"/>
        </w:rPr>
        <w:t xml:space="preserve"> M, </w:t>
      </w:r>
      <w:proofErr w:type="spellStart"/>
      <w:r w:rsidRPr="000C178D">
        <w:rPr>
          <w:rFonts w:ascii="Book Antiqua" w:hAnsi="Book Antiqua" w:cs="Times New Roman"/>
          <w:sz w:val="24"/>
          <w:szCs w:val="24"/>
        </w:rPr>
        <w:t>Drijvers</w:t>
      </w:r>
      <w:proofErr w:type="spellEnd"/>
      <w:r w:rsidRPr="000C178D">
        <w:rPr>
          <w:rFonts w:ascii="Book Antiqua" w:hAnsi="Book Antiqua" w:cs="Times New Roman"/>
          <w:sz w:val="24"/>
          <w:szCs w:val="24"/>
        </w:rPr>
        <w:t xml:space="preserve"> JM, </w:t>
      </w:r>
      <w:proofErr w:type="spellStart"/>
      <w:r w:rsidRPr="000C178D">
        <w:rPr>
          <w:rFonts w:ascii="Book Antiqua" w:hAnsi="Book Antiqua" w:cs="Times New Roman"/>
          <w:sz w:val="24"/>
          <w:szCs w:val="24"/>
        </w:rPr>
        <w:t>Daccache</w:t>
      </w:r>
      <w:proofErr w:type="spellEnd"/>
      <w:r w:rsidRPr="000C178D">
        <w:rPr>
          <w:rFonts w:ascii="Book Antiqua" w:hAnsi="Book Antiqua" w:cs="Times New Roman"/>
          <w:sz w:val="24"/>
          <w:szCs w:val="24"/>
        </w:rPr>
        <w:t xml:space="preserve"> J, Carruthers MN, </w:t>
      </w:r>
      <w:proofErr w:type="spellStart"/>
      <w:r w:rsidRPr="000C178D">
        <w:rPr>
          <w:rFonts w:ascii="Book Antiqua" w:hAnsi="Book Antiqua" w:cs="Times New Roman"/>
          <w:sz w:val="24"/>
          <w:szCs w:val="24"/>
        </w:rPr>
        <w:t>Castelino</w:t>
      </w:r>
      <w:proofErr w:type="spellEnd"/>
      <w:r w:rsidRPr="000C178D">
        <w:rPr>
          <w:rFonts w:ascii="Book Antiqua" w:hAnsi="Book Antiqua" w:cs="Times New Roman"/>
          <w:sz w:val="24"/>
          <w:szCs w:val="24"/>
        </w:rPr>
        <w:t xml:space="preserve"> FV, Stone JR, Stone JH, Pillai S. Clonal expansion of CD4(+) cytotoxic T lymphocytes in patients with IgG4-related disease. </w:t>
      </w:r>
      <w:r w:rsidRPr="000C178D">
        <w:rPr>
          <w:rFonts w:ascii="Book Antiqua" w:hAnsi="Book Antiqua" w:cs="Times New Roman"/>
          <w:i/>
          <w:iCs/>
          <w:sz w:val="24"/>
          <w:szCs w:val="24"/>
        </w:rPr>
        <w:t>J Allergy Clin Immunol</w:t>
      </w:r>
      <w:r w:rsidRPr="000C178D">
        <w:rPr>
          <w:rFonts w:ascii="Book Antiqua" w:hAnsi="Book Antiqua" w:cs="Times New Roman"/>
          <w:sz w:val="24"/>
          <w:szCs w:val="24"/>
        </w:rPr>
        <w:t xml:space="preserve"> 2016; </w:t>
      </w:r>
      <w:r w:rsidRPr="000C178D">
        <w:rPr>
          <w:rFonts w:ascii="Book Antiqua" w:hAnsi="Book Antiqua" w:cs="Times New Roman"/>
          <w:b/>
          <w:bCs/>
          <w:sz w:val="24"/>
          <w:szCs w:val="24"/>
        </w:rPr>
        <w:t>138</w:t>
      </w:r>
      <w:r w:rsidRPr="000C178D">
        <w:rPr>
          <w:rFonts w:ascii="Book Antiqua" w:hAnsi="Book Antiqua" w:cs="Times New Roman"/>
          <w:sz w:val="24"/>
          <w:szCs w:val="24"/>
        </w:rPr>
        <w:t>: 825-838 [PMID: 26971690 DOI: 10.1016/j.jaci.2015.12.1330]</w:t>
      </w:r>
    </w:p>
    <w:p w14:paraId="58667CCE" w14:textId="77777777" w:rsidR="00B64CD5" w:rsidRPr="000C178D" w:rsidRDefault="00B64CD5" w:rsidP="000C178D">
      <w:pPr>
        <w:snapToGrid w:val="0"/>
        <w:spacing w:after="0" w:line="360" w:lineRule="auto"/>
        <w:jc w:val="both"/>
        <w:rPr>
          <w:rFonts w:ascii="Book Antiqua" w:hAnsi="Book Antiqua" w:cs="Times New Roman"/>
          <w:sz w:val="24"/>
          <w:szCs w:val="24"/>
        </w:rPr>
      </w:pPr>
      <w:r w:rsidRPr="000C178D">
        <w:rPr>
          <w:rFonts w:ascii="Book Antiqua" w:hAnsi="Book Antiqua" w:cs="Times New Roman"/>
          <w:sz w:val="24"/>
          <w:szCs w:val="24"/>
        </w:rPr>
        <w:t xml:space="preserve">20 </w:t>
      </w:r>
      <w:r w:rsidRPr="000C178D">
        <w:rPr>
          <w:rFonts w:ascii="Book Antiqua" w:hAnsi="Book Antiqua" w:cs="Times New Roman"/>
          <w:b/>
          <w:bCs/>
          <w:sz w:val="24"/>
          <w:szCs w:val="24"/>
        </w:rPr>
        <w:t>Wallace ZS</w:t>
      </w:r>
      <w:r w:rsidRPr="000C178D">
        <w:rPr>
          <w:rFonts w:ascii="Book Antiqua" w:hAnsi="Book Antiqua" w:cs="Times New Roman"/>
          <w:sz w:val="24"/>
          <w:szCs w:val="24"/>
        </w:rPr>
        <w:t xml:space="preserve">, Deshpande V, </w:t>
      </w:r>
      <w:proofErr w:type="spellStart"/>
      <w:r w:rsidRPr="000C178D">
        <w:rPr>
          <w:rFonts w:ascii="Book Antiqua" w:hAnsi="Book Antiqua" w:cs="Times New Roman"/>
          <w:sz w:val="24"/>
          <w:szCs w:val="24"/>
        </w:rPr>
        <w:t>Mattoo</w:t>
      </w:r>
      <w:proofErr w:type="spellEnd"/>
      <w:r w:rsidRPr="000C178D">
        <w:rPr>
          <w:rFonts w:ascii="Book Antiqua" w:hAnsi="Book Antiqua" w:cs="Times New Roman"/>
          <w:sz w:val="24"/>
          <w:szCs w:val="24"/>
        </w:rPr>
        <w:t xml:space="preserve"> H, Mahajan VS, </w:t>
      </w:r>
      <w:proofErr w:type="spellStart"/>
      <w:r w:rsidRPr="000C178D">
        <w:rPr>
          <w:rFonts w:ascii="Book Antiqua" w:hAnsi="Book Antiqua" w:cs="Times New Roman"/>
          <w:sz w:val="24"/>
          <w:szCs w:val="24"/>
        </w:rPr>
        <w:t>Kulikova</w:t>
      </w:r>
      <w:proofErr w:type="spellEnd"/>
      <w:r w:rsidRPr="000C178D">
        <w:rPr>
          <w:rFonts w:ascii="Book Antiqua" w:hAnsi="Book Antiqua" w:cs="Times New Roman"/>
          <w:sz w:val="24"/>
          <w:szCs w:val="24"/>
        </w:rPr>
        <w:t xml:space="preserve"> M, Pillai S, Stone JH. IgG4-Related Disease: Clinical and Laboratory Features in One </w:t>
      </w:r>
      <w:r w:rsidRPr="000C178D">
        <w:rPr>
          <w:rFonts w:ascii="Book Antiqua" w:hAnsi="Book Antiqua" w:cs="Times New Roman"/>
          <w:sz w:val="24"/>
          <w:szCs w:val="24"/>
        </w:rPr>
        <w:lastRenderedPageBreak/>
        <w:t xml:space="preserve">Hundred Twenty-Five Patients. </w:t>
      </w:r>
      <w:r w:rsidRPr="000C178D">
        <w:rPr>
          <w:rFonts w:ascii="Book Antiqua" w:hAnsi="Book Antiqua" w:cs="Times New Roman"/>
          <w:i/>
          <w:iCs/>
          <w:sz w:val="24"/>
          <w:szCs w:val="24"/>
        </w:rPr>
        <w:t xml:space="preserve">Arthritis </w:t>
      </w:r>
      <w:proofErr w:type="spellStart"/>
      <w:r w:rsidRPr="000C178D">
        <w:rPr>
          <w:rFonts w:ascii="Book Antiqua" w:hAnsi="Book Antiqua" w:cs="Times New Roman"/>
          <w:i/>
          <w:iCs/>
          <w:sz w:val="24"/>
          <w:szCs w:val="24"/>
        </w:rPr>
        <w:t>Rheumatol</w:t>
      </w:r>
      <w:proofErr w:type="spellEnd"/>
      <w:r w:rsidRPr="000C178D">
        <w:rPr>
          <w:rFonts w:ascii="Book Antiqua" w:hAnsi="Book Antiqua" w:cs="Times New Roman"/>
          <w:sz w:val="24"/>
          <w:szCs w:val="24"/>
        </w:rPr>
        <w:t xml:space="preserve"> 2015; </w:t>
      </w:r>
      <w:r w:rsidRPr="000C178D">
        <w:rPr>
          <w:rFonts w:ascii="Book Antiqua" w:hAnsi="Book Antiqua" w:cs="Times New Roman"/>
          <w:b/>
          <w:bCs/>
          <w:sz w:val="24"/>
          <w:szCs w:val="24"/>
        </w:rPr>
        <w:t>67</w:t>
      </w:r>
      <w:r w:rsidRPr="000C178D">
        <w:rPr>
          <w:rFonts w:ascii="Book Antiqua" w:hAnsi="Book Antiqua" w:cs="Times New Roman"/>
          <w:sz w:val="24"/>
          <w:szCs w:val="24"/>
        </w:rPr>
        <w:t>: 2466-2475 [PMID: 25988916 DOI: 10.1002/art.39205]</w:t>
      </w:r>
    </w:p>
    <w:p w14:paraId="6ECECF2A" w14:textId="77777777" w:rsidR="00B64CD5" w:rsidRPr="000C178D" w:rsidRDefault="00B64CD5" w:rsidP="000C178D">
      <w:pPr>
        <w:snapToGrid w:val="0"/>
        <w:spacing w:after="0" w:line="360" w:lineRule="auto"/>
        <w:jc w:val="both"/>
        <w:rPr>
          <w:rFonts w:ascii="Book Antiqua" w:hAnsi="Book Antiqua" w:cs="Times New Roman"/>
          <w:sz w:val="24"/>
          <w:szCs w:val="24"/>
        </w:rPr>
      </w:pPr>
      <w:r w:rsidRPr="000C178D">
        <w:rPr>
          <w:rFonts w:ascii="Book Antiqua" w:hAnsi="Book Antiqua" w:cs="Times New Roman"/>
          <w:sz w:val="24"/>
          <w:szCs w:val="24"/>
        </w:rPr>
        <w:t xml:space="preserve">21 </w:t>
      </w:r>
      <w:r w:rsidRPr="000C178D">
        <w:rPr>
          <w:rFonts w:ascii="Book Antiqua" w:hAnsi="Book Antiqua" w:cs="Times New Roman"/>
          <w:b/>
          <w:bCs/>
          <w:sz w:val="24"/>
          <w:szCs w:val="24"/>
        </w:rPr>
        <w:t>El Nasser A Mohammad A</w:t>
      </w:r>
      <w:r w:rsidRPr="000C178D">
        <w:rPr>
          <w:rFonts w:ascii="Book Antiqua" w:hAnsi="Book Antiqua" w:cs="Times New Roman"/>
          <w:sz w:val="24"/>
          <w:szCs w:val="24"/>
        </w:rPr>
        <w:t xml:space="preserve">. Local steroid injection for management of different types of acute idiopathic orbital inflammation: an 8-year study. </w:t>
      </w:r>
      <w:r w:rsidRPr="000C178D">
        <w:rPr>
          <w:rFonts w:ascii="Book Antiqua" w:hAnsi="Book Antiqua" w:cs="Times New Roman"/>
          <w:i/>
          <w:iCs/>
          <w:sz w:val="24"/>
          <w:szCs w:val="24"/>
        </w:rPr>
        <w:t xml:space="preserve">Ophthalmic </w:t>
      </w:r>
      <w:proofErr w:type="spellStart"/>
      <w:r w:rsidRPr="000C178D">
        <w:rPr>
          <w:rFonts w:ascii="Book Antiqua" w:hAnsi="Book Antiqua" w:cs="Times New Roman"/>
          <w:i/>
          <w:iCs/>
          <w:sz w:val="24"/>
          <w:szCs w:val="24"/>
        </w:rPr>
        <w:t>Plast</w:t>
      </w:r>
      <w:proofErr w:type="spellEnd"/>
      <w:r w:rsidRPr="000C178D">
        <w:rPr>
          <w:rFonts w:ascii="Book Antiqua" w:hAnsi="Book Antiqua" w:cs="Times New Roman"/>
          <w:i/>
          <w:iCs/>
          <w:sz w:val="24"/>
          <w:szCs w:val="24"/>
        </w:rPr>
        <w:t xml:space="preserve"> </w:t>
      </w:r>
      <w:proofErr w:type="spellStart"/>
      <w:r w:rsidRPr="000C178D">
        <w:rPr>
          <w:rFonts w:ascii="Book Antiqua" w:hAnsi="Book Antiqua" w:cs="Times New Roman"/>
          <w:i/>
          <w:iCs/>
          <w:sz w:val="24"/>
          <w:szCs w:val="24"/>
        </w:rPr>
        <w:t>Reconstr</w:t>
      </w:r>
      <w:proofErr w:type="spellEnd"/>
      <w:r w:rsidRPr="000C178D">
        <w:rPr>
          <w:rFonts w:ascii="Book Antiqua" w:hAnsi="Book Antiqua" w:cs="Times New Roman"/>
          <w:i/>
          <w:iCs/>
          <w:sz w:val="24"/>
          <w:szCs w:val="24"/>
        </w:rPr>
        <w:t xml:space="preserve"> Surg</w:t>
      </w:r>
      <w:r w:rsidRPr="000C178D">
        <w:rPr>
          <w:rFonts w:ascii="Book Antiqua" w:hAnsi="Book Antiqua" w:cs="Times New Roman"/>
          <w:sz w:val="24"/>
          <w:szCs w:val="24"/>
        </w:rPr>
        <w:t xml:space="preserve"> 2013; </w:t>
      </w:r>
      <w:r w:rsidRPr="000C178D">
        <w:rPr>
          <w:rFonts w:ascii="Book Antiqua" w:hAnsi="Book Antiqua" w:cs="Times New Roman"/>
          <w:b/>
          <w:bCs/>
          <w:sz w:val="24"/>
          <w:szCs w:val="24"/>
        </w:rPr>
        <w:t>29</w:t>
      </w:r>
      <w:r w:rsidRPr="000C178D">
        <w:rPr>
          <w:rFonts w:ascii="Book Antiqua" w:hAnsi="Book Antiqua" w:cs="Times New Roman"/>
          <w:sz w:val="24"/>
          <w:szCs w:val="24"/>
        </w:rPr>
        <w:t>: 286-289 [PMID: 23839634 DOI: 10.1097/IOP.0b013e318293750c]</w:t>
      </w:r>
    </w:p>
    <w:p w14:paraId="0EEE606B" w14:textId="77777777" w:rsidR="00B64CD5" w:rsidRPr="000C178D" w:rsidRDefault="00B64CD5" w:rsidP="000C178D">
      <w:pPr>
        <w:snapToGrid w:val="0"/>
        <w:spacing w:after="0" w:line="360" w:lineRule="auto"/>
        <w:jc w:val="both"/>
        <w:rPr>
          <w:rFonts w:ascii="Book Antiqua" w:hAnsi="Book Antiqua" w:cs="Times New Roman"/>
          <w:sz w:val="24"/>
          <w:szCs w:val="24"/>
        </w:rPr>
      </w:pPr>
      <w:r w:rsidRPr="000C178D">
        <w:rPr>
          <w:rFonts w:ascii="Book Antiqua" w:hAnsi="Book Antiqua" w:cs="Times New Roman"/>
          <w:sz w:val="24"/>
          <w:szCs w:val="24"/>
        </w:rPr>
        <w:t xml:space="preserve">22 </w:t>
      </w:r>
      <w:r w:rsidRPr="000C178D">
        <w:rPr>
          <w:rFonts w:ascii="Book Antiqua" w:hAnsi="Book Antiqua" w:cs="Times New Roman"/>
          <w:b/>
          <w:bCs/>
          <w:sz w:val="24"/>
          <w:szCs w:val="24"/>
        </w:rPr>
        <w:t>Wallace ZS</w:t>
      </w:r>
      <w:r w:rsidRPr="000C178D">
        <w:rPr>
          <w:rFonts w:ascii="Book Antiqua" w:hAnsi="Book Antiqua" w:cs="Times New Roman"/>
          <w:sz w:val="24"/>
          <w:szCs w:val="24"/>
        </w:rPr>
        <w:t xml:space="preserve">, Deshpande V, Stone JH. Ophthalmic manifestations of IgG4-related disease: single-center experience and literature review. </w:t>
      </w:r>
      <w:r w:rsidRPr="000C178D">
        <w:rPr>
          <w:rFonts w:ascii="Book Antiqua" w:hAnsi="Book Antiqua" w:cs="Times New Roman"/>
          <w:i/>
          <w:iCs/>
          <w:sz w:val="24"/>
          <w:szCs w:val="24"/>
        </w:rPr>
        <w:t>Semin Arthritis Rheum</w:t>
      </w:r>
      <w:r w:rsidRPr="000C178D">
        <w:rPr>
          <w:rFonts w:ascii="Book Antiqua" w:hAnsi="Book Antiqua" w:cs="Times New Roman"/>
          <w:sz w:val="24"/>
          <w:szCs w:val="24"/>
        </w:rPr>
        <w:t xml:space="preserve"> 2014; </w:t>
      </w:r>
      <w:r w:rsidRPr="000C178D">
        <w:rPr>
          <w:rFonts w:ascii="Book Antiqua" w:hAnsi="Book Antiqua" w:cs="Times New Roman"/>
          <w:b/>
          <w:bCs/>
          <w:sz w:val="24"/>
          <w:szCs w:val="24"/>
        </w:rPr>
        <w:t>43</w:t>
      </w:r>
      <w:r w:rsidRPr="000C178D">
        <w:rPr>
          <w:rFonts w:ascii="Book Antiqua" w:hAnsi="Book Antiqua" w:cs="Times New Roman"/>
          <w:sz w:val="24"/>
          <w:szCs w:val="24"/>
        </w:rPr>
        <w:t>: 806-817 [PMID: 24513111 DOI: 10.1016/j.semarthrit.2013.11.008]</w:t>
      </w:r>
    </w:p>
    <w:p w14:paraId="69F59A8C" w14:textId="77777777" w:rsidR="00B64CD5" w:rsidRPr="000C178D" w:rsidRDefault="00B64CD5" w:rsidP="000C178D">
      <w:pPr>
        <w:snapToGrid w:val="0"/>
        <w:spacing w:after="0" w:line="360" w:lineRule="auto"/>
        <w:jc w:val="both"/>
        <w:rPr>
          <w:rFonts w:ascii="Book Antiqua" w:hAnsi="Book Antiqua" w:cs="Times New Roman"/>
          <w:sz w:val="24"/>
          <w:szCs w:val="24"/>
        </w:rPr>
      </w:pPr>
      <w:r w:rsidRPr="000C178D">
        <w:rPr>
          <w:rFonts w:ascii="Book Antiqua" w:hAnsi="Book Antiqua" w:cs="Times New Roman"/>
          <w:sz w:val="24"/>
          <w:szCs w:val="24"/>
        </w:rPr>
        <w:t xml:space="preserve">23 </w:t>
      </w:r>
      <w:r w:rsidRPr="000C178D">
        <w:rPr>
          <w:rFonts w:ascii="Book Antiqua" w:hAnsi="Book Antiqua" w:cs="Times New Roman"/>
          <w:b/>
          <w:bCs/>
          <w:sz w:val="24"/>
          <w:szCs w:val="24"/>
        </w:rPr>
        <w:t>Geyer JT</w:t>
      </w:r>
      <w:r w:rsidRPr="000C178D">
        <w:rPr>
          <w:rFonts w:ascii="Book Antiqua" w:hAnsi="Book Antiqua" w:cs="Times New Roman"/>
          <w:sz w:val="24"/>
          <w:szCs w:val="24"/>
        </w:rPr>
        <w:t xml:space="preserve">, Deshpande V. IgG4-associated sialadenitis. </w:t>
      </w:r>
      <w:proofErr w:type="spellStart"/>
      <w:r w:rsidRPr="000C178D">
        <w:rPr>
          <w:rFonts w:ascii="Book Antiqua" w:hAnsi="Book Antiqua" w:cs="Times New Roman"/>
          <w:i/>
          <w:iCs/>
          <w:sz w:val="24"/>
          <w:szCs w:val="24"/>
        </w:rPr>
        <w:t>Curr</w:t>
      </w:r>
      <w:proofErr w:type="spellEnd"/>
      <w:r w:rsidRPr="000C178D">
        <w:rPr>
          <w:rFonts w:ascii="Book Antiqua" w:hAnsi="Book Antiqua" w:cs="Times New Roman"/>
          <w:i/>
          <w:iCs/>
          <w:sz w:val="24"/>
          <w:szCs w:val="24"/>
        </w:rPr>
        <w:t xml:space="preserve"> </w:t>
      </w:r>
      <w:proofErr w:type="spellStart"/>
      <w:r w:rsidRPr="000C178D">
        <w:rPr>
          <w:rFonts w:ascii="Book Antiqua" w:hAnsi="Book Antiqua" w:cs="Times New Roman"/>
          <w:i/>
          <w:iCs/>
          <w:sz w:val="24"/>
          <w:szCs w:val="24"/>
        </w:rPr>
        <w:t>Opin</w:t>
      </w:r>
      <w:proofErr w:type="spellEnd"/>
      <w:r w:rsidRPr="000C178D">
        <w:rPr>
          <w:rFonts w:ascii="Book Antiqua" w:hAnsi="Book Antiqua" w:cs="Times New Roman"/>
          <w:i/>
          <w:iCs/>
          <w:sz w:val="24"/>
          <w:szCs w:val="24"/>
        </w:rPr>
        <w:t xml:space="preserve"> </w:t>
      </w:r>
      <w:proofErr w:type="spellStart"/>
      <w:r w:rsidRPr="000C178D">
        <w:rPr>
          <w:rFonts w:ascii="Book Antiqua" w:hAnsi="Book Antiqua" w:cs="Times New Roman"/>
          <w:i/>
          <w:iCs/>
          <w:sz w:val="24"/>
          <w:szCs w:val="24"/>
        </w:rPr>
        <w:t>Rheumatol</w:t>
      </w:r>
      <w:proofErr w:type="spellEnd"/>
      <w:r w:rsidRPr="000C178D">
        <w:rPr>
          <w:rFonts w:ascii="Book Antiqua" w:hAnsi="Book Antiqua" w:cs="Times New Roman"/>
          <w:sz w:val="24"/>
          <w:szCs w:val="24"/>
        </w:rPr>
        <w:t xml:space="preserve"> 2011; </w:t>
      </w:r>
      <w:r w:rsidRPr="000C178D">
        <w:rPr>
          <w:rFonts w:ascii="Book Antiqua" w:hAnsi="Book Antiqua" w:cs="Times New Roman"/>
          <w:b/>
          <w:bCs/>
          <w:sz w:val="24"/>
          <w:szCs w:val="24"/>
        </w:rPr>
        <w:t>23</w:t>
      </w:r>
      <w:r w:rsidRPr="000C178D">
        <w:rPr>
          <w:rFonts w:ascii="Book Antiqua" w:hAnsi="Book Antiqua" w:cs="Times New Roman"/>
          <w:sz w:val="24"/>
          <w:szCs w:val="24"/>
        </w:rPr>
        <w:t>: 95-101 [PMID: 21124091 DOI: 10.1097/BOR.0b013e3283413011]</w:t>
      </w:r>
    </w:p>
    <w:p w14:paraId="0E36D71C" w14:textId="77777777" w:rsidR="00B64CD5" w:rsidRPr="000C178D" w:rsidRDefault="00B64CD5" w:rsidP="000C178D">
      <w:pPr>
        <w:snapToGrid w:val="0"/>
        <w:spacing w:after="0" w:line="360" w:lineRule="auto"/>
        <w:jc w:val="both"/>
        <w:rPr>
          <w:rFonts w:ascii="Book Antiqua" w:hAnsi="Book Antiqua" w:cs="Times New Roman"/>
          <w:sz w:val="24"/>
          <w:szCs w:val="24"/>
        </w:rPr>
      </w:pPr>
      <w:r w:rsidRPr="000C178D">
        <w:rPr>
          <w:rFonts w:ascii="Book Antiqua" w:hAnsi="Book Antiqua" w:cs="Times New Roman"/>
          <w:sz w:val="24"/>
          <w:szCs w:val="24"/>
        </w:rPr>
        <w:t xml:space="preserve">24 </w:t>
      </w:r>
      <w:r w:rsidRPr="000C178D">
        <w:rPr>
          <w:rFonts w:ascii="Book Antiqua" w:hAnsi="Book Antiqua" w:cs="Times New Roman"/>
          <w:b/>
          <w:bCs/>
          <w:sz w:val="24"/>
          <w:szCs w:val="24"/>
        </w:rPr>
        <w:t>Della Torre E</w:t>
      </w:r>
      <w:r w:rsidRPr="000C178D">
        <w:rPr>
          <w:rFonts w:ascii="Book Antiqua" w:hAnsi="Book Antiqua" w:cs="Times New Roman"/>
          <w:sz w:val="24"/>
          <w:szCs w:val="24"/>
        </w:rPr>
        <w:t xml:space="preserve">, </w:t>
      </w:r>
      <w:proofErr w:type="spellStart"/>
      <w:r w:rsidRPr="000C178D">
        <w:rPr>
          <w:rFonts w:ascii="Book Antiqua" w:hAnsi="Book Antiqua" w:cs="Times New Roman"/>
          <w:sz w:val="24"/>
          <w:szCs w:val="24"/>
        </w:rPr>
        <w:t>Mattoo</w:t>
      </w:r>
      <w:proofErr w:type="spellEnd"/>
      <w:r w:rsidRPr="000C178D">
        <w:rPr>
          <w:rFonts w:ascii="Book Antiqua" w:hAnsi="Book Antiqua" w:cs="Times New Roman"/>
          <w:sz w:val="24"/>
          <w:szCs w:val="24"/>
        </w:rPr>
        <w:t xml:space="preserve"> H, Mahajan VS, Carruthers M, Pillai S, Stone JH. Prevalence of atopy, eosinophilia, and </w:t>
      </w:r>
      <w:proofErr w:type="spellStart"/>
      <w:r w:rsidRPr="000C178D">
        <w:rPr>
          <w:rFonts w:ascii="Book Antiqua" w:hAnsi="Book Antiqua" w:cs="Times New Roman"/>
          <w:sz w:val="24"/>
          <w:szCs w:val="24"/>
        </w:rPr>
        <w:t>IgE</w:t>
      </w:r>
      <w:proofErr w:type="spellEnd"/>
      <w:r w:rsidRPr="000C178D">
        <w:rPr>
          <w:rFonts w:ascii="Book Antiqua" w:hAnsi="Book Antiqua" w:cs="Times New Roman"/>
          <w:sz w:val="24"/>
          <w:szCs w:val="24"/>
        </w:rPr>
        <w:t xml:space="preserve"> elevation in IgG4-related disease. </w:t>
      </w:r>
      <w:r w:rsidRPr="000C178D">
        <w:rPr>
          <w:rFonts w:ascii="Book Antiqua" w:hAnsi="Book Antiqua" w:cs="Times New Roman"/>
          <w:i/>
          <w:iCs/>
          <w:sz w:val="24"/>
          <w:szCs w:val="24"/>
        </w:rPr>
        <w:t>Allergy</w:t>
      </w:r>
      <w:r w:rsidRPr="000C178D">
        <w:rPr>
          <w:rFonts w:ascii="Book Antiqua" w:hAnsi="Book Antiqua" w:cs="Times New Roman"/>
          <w:sz w:val="24"/>
          <w:szCs w:val="24"/>
        </w:rPr>
        <w:t xml:space="preserve"> 2014; </w:t>
      </w:r>
      <w:r w:rsidRPr="000C178D">
        <w:rPr>
          <w:rFonts w:ascii="Book Antiqua" w:hAnsi="Book Antiqua" w:cs="Times New Roman"/>
          <w:b/>
          <w:bCs/>
          <w:sz w:val="24"/>
          <w:szCs w:val="24"/>
        </w:rPr>
        <w:t>69</w:t>
      </w:r>
      <w:r w:rsidRPr="000C178D">
        <w:rPr>
          <w:rFonts w:ascii="Book Antiqua" w:hAnsi="Book Antiqua" w:cs="Times New Roman"/>
          <w:sz w:val="24"/>
          <w:szCs w:val="24"/>
        </w:rPr>
        <w:t>: 269-272 [PMID: 24266692 DOI: 10.1111/all.12320]</w:t>
      </w:r>
    </w:p>
    <w:p w14:paraId="68E71660" w14:textId="77777777" w:rsidR="00B64CD5" w:rsidRPr="000C178D" w:rsidRDefault="00B64CD5" w:rsidP="000C178D">
      <w:pPr>
        <w:snapToGrid w:val="0"/>
        <w:spacing w:after="0" w:line="360" w:lineRule="auto"/>
        <w:jc w:val="both"/>
        <w:rPr>
          <w:rFonts w:ascii="Book Antiqua" w:hAnsi="Book Antiqua" w:cs="Times New Roman"/>
          <w:sz w:val="24"/>
          <w:szCs w:val="24"/>
        </w:rPr>
      </w:pPr>
      <w:r w:rsidRPr="000C178D">
        <w:rPr>
          <w:rFonts w:ascii="Book Antiqua" w:hAnsi="Book Antiqua" w:cs="Times New Roman"/>
          <w:sz w:val="24"/>
          <w:szCs w:val="24"/>
        </w:rPr>
        <w:t xml:space="preserve">25 </w:t>
      </w:r>
      <w:r w:rsidRPr="000C178D">
        <w:rPr>
          <w:rFonts w:ascii="Book Antiqua" w:hAnsi="Book Antiqua" w:cs="Times New Roman"/>
          <w:b/>
          <w:bCs/>
          <w:sz w:val="24"/>
          <w:szCs w:val="24"/>
        </w:rPr>
        <w:t>Sekiguchi H</w:t>
      </w:r>
      <w:r w:rsidRPr="000C178D">
        <w:rPr>
          <w:rFonts w:ascii="Book Antiqua" w:hAnsi="Book Antiqua" w:cs="Times New Roman"/>
          <w:sz w:val="24"/>
          <w:szCs w:val="24"/>
        </w:rPr>
        <w:t xml:space="preserve">, </w:t>
      </w:r>
      <w:proofErr w:type="spellStart"/>
      <w:r w:rsidRPr="000C178D">
        <w:rPr>
          <w:rFonts w:ascii="Book Antiqua" w:hAnsi="Book Antiqua" w:cs="Times New Roman"/>
          <w:sz w:val="24"/>
          <w:szCs w:val="24"/>
        </w:rPr>
        <w:t>Horie</w:t>
      </w:r>
      <w:proofErr w:type="spellEnd"/>
      <w:r w:rsidRPr="000C178D">
        <w:rPr>
          <w:rFonts w:ascii="Book Antiqua" w:hAnsi="Book Antiqua" w:cs="Times New Roman"/>
          <w:sz w:val="24"/>
          <w:szCs w:val="24"/>
        </w:rPr>
        <w:t xml:space="preserve"> R, </w:t>
      </w:r>
      <w:proofErr w:type="spellStart"/>
      <w:r w:rsidRPr="000C178D">
        <w:rPr>
          <w:rFonts w:ascii="Book Antiqua" w:hAnsi="Book Antiqua" w:cs="Times New Roman"/>
          <w:sz w:val="24"/>
          <w:szCs w:val="24"/>
        </w:rPr>
        <w:t>Aksamit</w:t>
      </w:r>
      <w:proofErr w:type="spellEnd"/>
      <w:r w:rsidRPr="000C178D">
        <w:rPr>
          <w:rFonts w:ascii="Book Antiqua" w:hAnsi="Book Antiqua" w:cs="Times New Roman"/>
          <w:sz w:val="24"/>
          <w:szCs w:val="24"/>
        </w:rPr>
        <w:t xml:space="preserve"> TR, Yi ES, Ryu JH. Immunoglobulin G4-related disease mimicking asthma. </w:t>
      </w:r>
      <w:r w:rsidRPr="000C178D">
        <w:rPr>
          <w:rFonts w:ascii="Book Antiqua" w:hAnsi="Book Antiqua" w:cs="Times New Roman"/>
          <w:i/>
          <w:iCs/>
          <w:sz w:val="24"/>
          <w:szCs w:val="24"/>
        </w:rPr>
        <w:t>Can Respir J</w:t>
      </w:r>
      <w:r w:rsidRPr="000C178D">
        <w:rPr>
          <w:rFonts w:ascii="Book Antiqua" w:hAnsi="Book Antiqua" w:cs="Times New Roman"/>
          <w:sz w:val="24"/>
          <w:szCs w:val="24"/>
        </w:rPr>
        <w:t xml:space="preserve"> 2013; </w:t>
      </w:r>
      <w:r w:rsidRPr="000C178D">
        <w:rPr>
          <w:rFonts w:ascii="Book Antiqua" w:hAnsi="Book Antiqua" w:cs="Times New Roman"/>
          <w:b/>
          <w:bCs/>
          <w:sz w:val="24"/>
          <w:szCs w:val="24"/>
        </w:rPr>
        <w:t>20</w:t>
      </w:r>
      <w:r w:rsidRPr="000C178D">
        <w:rPr>
          <w:rFonts w:ascii="Book Antiqua" w:hAnsi="Book Antiqua" w:cs="Times New Roman"/>
          <w:sz w:val="24"/>
          <w:szCs w:val="24"/>
        </w:rPr>
        <w:t>: 87-89 [PMID: 23616963 DOI: 10.1155/2013/619453]</w:t>
      </w:r>
    </w:p>
    <w:p w14:paraId="04524C7A" w14:textId="77777777" w:rsidR="00B64CD5" w:rsidRPr="000C178D" w:rsidRDefault="00B64CD5" w:rsidP="000C178D">
      <w:pPr>
        <w:snapToGrid w:val="0"/>
        <w:spacing w:after="0" w:line="360" w:lineRule="auto"/>
        <w:jc w:val="both"/>
        <w:rPr>
          <w:rFonts w:ascii="Book Antiqua" w:hAnsi="Book Antiqua" w:cs="Times New Roman"/>
          <w:sz w:val="24"/>
          <w:szCs w:val="24"/>
        </w:rPr>
      </w:pPr>
      <w:r w:rsidRPr="000C178D">
        <w:rPr>
          <w:rFonts w:ascii="Book Antiqua" w:hAnsi="Book Antiqua" w:cs="Times New Roman"/>
          <w:sz w:val="24"/>
          <w:szCs w:val="24"/>
        </w:rPr>
        <w:t xml:space="preserve">26 </w:t>
      </w:r>
      <w:proofErr w:type="spellStart"/>
      <w:r w:rsidRPr="000C178D">
        <w:rPr>
          <w:rFonts w:ascii="Book Antiqua" w:hAnsi="Book Antiqua" w:cs="Times New Roman"/>
          <w:b/>
          <w:bCs/>
          <w:sz w:val="24"/>
          <w:szCs w:val="24"/>
        </w:rPr>
        <w:t>Flament</w:t>
      </w:r>
      <w:proofErr w:type="spellEnd"/>
      <w:r w:rsidRPr="000C178D">
        <w:rPr>
          <w:rFonts w:ascii="Book Antiqua" w:hAnsi="Book Antiqua" w:cs="Times New Roman"/>
          <w:b/>
          <w:bCs/>
          <w:sz w:val="24"/>
          <w:szCs w:val="24"/>
        </w:rPr>
        <w:t xml:space="preserve"> T</w:t>
      </w:r>
      <w:r w:rsidRPr="000C178D">
        <w:rPr>
          <w:rFonts w:ascii="Book Antiqua" w:hAnsi="Book Antiqua" w:cs="Times New Roman"/>
          <w:sz w:val="24"/>
          <w:szCs w:val="24"/>
        </w:rPr>
        <w:t xml:space="preserve">, Marchand-Adam S, </w:t>
      </w:r>
      <w:proofErr w:type="spellStart"/>
      <w:r w:rsidRPr="000C178D">
        <w:rPr>
          <w:rFonts w:ascii="Book Antiqua" w:hAnsi="Book Antiqua" w:cs="Times New Roman"/>
          <w:sz w:val="24"/>
          <w:szCs w:val="24"/>
        </w:rPr>
        <w:t>Gatault</w:t>
      </w:r>
      <w:proofErr w:type="spellEnd"/>
      <w:r w:rsidRPr="000C178D">
        <w:rPr>
          <w:rFonts w:ascii="Book Antiqua" w:hAnsi="Book Antiqua" w:cs="Times New Roman"/>
          <w:sz w:val="24"/>
          <w:szCs w:val="24"/>
        </w:rPr>
        <w:t xml:space="preserve"> P, </w:t>
      </w:r>
      <w:proofErr w:type="spellStart"/>
      <w:r w:rsidRPr="000C178D">
        <w:rPr>
          <w:rFonts w:ascii="Book Antiqua" w:hAnsi="Book Antiqua" w:cs="Times New Roman"/>
          <w:sz w:val="24"/>
          <w:szCs w:val="24"/>
        </w:rPr>
        <w:t>Dupin</w:t>
      </w:r>
      <w:proofErr w:type="spellEnd"/>
      <w:r w:rsidRPr="000C178D">
        <w:rPr>
          <w:rFonts w:ascii="Book Antiqua" w:hAnsi="Book Antiqua" w:cs="Times New Roman"/>
          <w:sz w:val="24"/>
          <w:szCs w:val="24"/>
        </w:rPr>
        <w:t xml:space="preserve"> C, </w:t>
      </w:r>
      <w:proofErr w:type="spellStart"/>
      <w:r w:rsidRPr="000C178D">
        <w:rPr>
          <w:rFonts w:ascii="Book Antiqua" w:hAnsi="Book Antiqua" w:cs="Times New Roman"/>
          <w:sz w:val="24"/>
          <w:szCs w:val="24"/>
        </w:rPr>
        <w:t>Diot</w:t>
      </w:r>
      <w:proofErr w:type="spellEnd"/>
      <w:r w:rsidRPr="000C178D">
        <w:rPr>
          <w:rFonts w:ascii="Book Antiqua" w:hAnsi="Book Antiqua" w:cs="Times New Roman"/>
          <w:sz w:val="24"/>
          <w:szCs w:val="24"/>
        </w:rPr>
        <w:t xml:space="preserve"> P, </w:t>
      </w:r>
      <w:proofErr w:type="spellStart"/>
      <w:r w:rsidRPr="000C178D">
        <w:rPr>
          <w:rFonts w:ascii="Book Antiqua" w:hAnsi="Book Antiqua" w:cs="Times New Roman"/>
          <w:sz w:val="24"/>
          <w:szCs w:val="24"/>
        </w:rPr>
        <w:t>Guilleminault</w:t>
      </w:r>
      <w:proofErr w:type="spellEnd"/>
      <w:r w:rsidRPr="000C178D">
        <w:rPr>
          <w:rFonts w:ascii="Book Antiqua" w:hAnsi="Book Antiqua" w:cs="Times New Roman"/>
          <w:sz w:val="24"/>
          <w:szCs w:val="24"/>
        </w:rPr>
        <w:t xml:space="preserve"> L. What are the characteristics of asthma patients with elevated serum IgG4 levels? </w:t>
      </w:r>
      <w:r w:rsidRPr="000C178D">
        <w:rPr>
          <w:rFonts w:ascii="Book Antiqua" w:hAnsi="Book Antiqua" w:cs="Times New Roman"/>
          <w:i/>
          <w:iCs/>
          <w:sz w:val="24"/>
          <w:szCs w:val="24"/>
        </w:rPr>
        <w:t>Respir Med</w:t>
      </w:r>
      <w:r w:rsidRPr="000C178D">
        <w:rPr>
          <w:rFonts w:ascii="Book Antiqua" w:hAnsi="Book Antiqua" w:cs="Times New Roman"/>
          <w:sz w:val="24"/>
          <w:szCs w:val="24"/>
        </w:rPr>
        <w:t xml:space="preserve"> 2016; </w:t>
      </w:r>
      <w:r w:rsidRPr="000C178D">
        <w:rPr>
          <w:rFonts w:ascii="Book Antiqua" w:hAnsi="Book Antiqua" w:cs="Times New Roman"/>
          <w:b/>
          <w:bCs/>
          <w:sz w:val="24"/>
          <w:szCs w:val="24"/>
        </w:rPr>
        <w:t>112</w:t>
      </w:r>
      <w:r w:rsidRPr="000C178D">
        <w:rPr>
          <w:rFonts w:ascii="Book Antiqua" w:hAnsi="Book Antiqua" w:cs="Times New Roman"/>
          <w:sz w:val="24"/>
          <w:szCs w:val="24"/>
        </w:rPr>
        <w:t>: 39-44 [PMID: 26823212 DOI: 10.1016/j.rmed.2016.01.014]</w:t>
      </w:r>
    </w:p>
    <w:p w14:paraId="644C9180" w14:textId="77777777" w:rsidR="00B64CD5" w:rsidRPr="000C178D" w:rsidRDefault="00B64CD5" w:rsidP="000C178D">
      <w:pPr>
        <w:snapToGrid w:val="0"/>
        <w:spacing w:after="0" w:line="360" w:lineRule="auto"/>
        <w:jc w:val="both"/>
        <w:rPr>
          <w:rFonts w:ascii="Book Antiqua" w:hAnsi="Book Antiqua" w:cs="Times New Roman"/>
          <w:sz w:val="24"/>
          <w:szCs w:val="24"/>
        </w:rPr>
      </w:pPr>
      <w:r w:rsidRPr="000C178D">
        <w:rPr>
          <w:rFonts w:ascii="Book Antiqua" w:hAnsi="Book Antiqua" w:cs="Times New Roman"/>
          <w:sz w:val="24"/>
          <w:szCs w:val="24"/>
        </w:rPr>
        <w:t xml:space="preserve">27 </w:t>
      </w:r>
      <w:r w:rsidRPr="000C178D">
        <w:rPr>
          <w:rFonts w:ascii="Book Antiqua" w:hAnsi="Book Antiqua" w:cs="Times New Roman"/>
          <w:b/>
          <w:bCs/>
          <w:sz w:val="24"/>
          <w:szCs w:val="24"/>
        </w:rPr>
        <w:t>Yamamoto M</w:t>
      </w:r>
      <w:r w:rsidRPr="000C178D">
        <w:rPr>
          <w:rFonts w:ascii="Book Antiqua" w:hAnsi="Book Antiqua" w:cs="Times New Roman"/>
          <w:sz w:val="24"/>
          <w:szCs w:val="24"/>
        </w:rPr>
        <w:t xml:space="preserve">, Takahashi H, </w:t>
      </w:r>
      <w:proofErr w:type="spellStart"/>
      <w:r w:rsidRPr="000C178D">
        <w:rPr>
          <w:rFonts w:ascii="Book Antiqua" w:hAnsi="Book Antiqua" w:cs="Times New Roman"/>
          <w:sz w:val="24"/>
          <w:szCs w:val="24"/>
        </w:rPr>
        <w:t>Shinomura</w:t>
      </w:r>
      <w:proofErr w:type="spellEnd"/>
      <w:r w:rsidRPr="000C178D">
        <w:rPr>
          <w:rFonts w:ascii="Book Antiqua" w:hAnsi="Book Antiqua" w:cs="Times New Roman"/>
          <w:sz w:val="24"/>
          <w:szCs w:val="24"/>
        </w:rPr>
        <w:t xml:space="preserve"> Y. Mechanisms and assessment of IgG4-related disease: lessons for the rheumatologist. </w:t>
      </w:r>
      <w:r w:rsidRPr="000C178D">
        <w:rPr>
          <w:rFonts w:ascii="Book Antiqua" w:hAnsi="Book Antiqua" w:cs="Times New Roman"/>
          <w:i/>
          <w:iCs/>
          <w:sz w:val="24"/>
          <w:szCs w:val="24"/>
        </w:rPr>
        <w:t xml:space="preserve">Nat Rev </w:t>
      </w:r>
      <w:proofErr w:type="spellStart"/>
      <w:r w:rsidRPr="000C178D">
        <w:rPr>
          <w:rFonts w:ascii="Book Antiqua" w:hAnsi="Book Antiqua" w:cs="Times New Roman"/>
          <w:i/>
          <w:iCs/>
          <w:sz w:val="24"/>
          <w:szCs w:val="24"/>
        </w:rPr>
        <w:t>Rheumatol</w:t>
      </w:r>
      <w:proofErr w:type="spellEnd"/>
      <w:r w:rsidRPr="000C178D">
        <w:rPr>
          <w:rFonts w:ascii="Book Antiqua" w:hAnsi="Book Antiqua" w:cs="Times New Roman"/>
          <w:sz w:val="24"/>
          <w:szCs w:val="24"/>
        </w:rPr>
        <w:t xml:space="preserve"> 2014; </w:t>
      </w:r>
      <w:r w:rsidRPr="000C178D">
        <w:rPr>
          <w:rFonts w:ascii="Book Antiqua" w:hAnsi="Book Antiqua" w:cs="Times New Roman"/>
          <w:b/>
          <w:bCs/>
          <w:sz w:val="24"/>
          <w:szCs w:val="24"/>
        </w:rPr>
        <w:t>10</w:t>
      </w:r>
      <w:r w:rsidRPr="000C178D">
        <w:rPr>
          <w:rFonts w:ascii="Book Antiqua" w:hAnsi="Book Antiqua" w:cs="Times New Roman"/>
          <w:sz w:val="24"/>
          <w:szCs w:val="24"/>
        </w:rPr>
        <w:t>: 148-159 [PMID: 24296677 DOI: 10.1038/nrrheum.2013.183]</w:t>
      </w:r>
    </w:p>
    <w:p w14:paraId="6876C9A4" w14:textId="77777777" w:rsidR="00B64CD5" w:rsidRPr="000C178D" w:rsidRDefault="00B64CD5" w:rsidP="000C178D">
      <w:pPr>
        <w:snapToGrid w:val="0"/>
        <w:spacing w:after="0" w:line="360" w:lineRule="auto"/>
        <w:jc w:val="both"/>
        <w:rPr>
          <w:rFonts w:ascii="Book Antiqua" w:hAnsi="Book Antiqua" w:cs="Times New Roman"/>
          <w:sz w:val="24"/>
          <w:szCs w:val="24"/>
        </w:rPr>
      </w:pPr>
      <w:r w:rsidRPr="000C178D">
        <w:rPr>
          <w:rFonts w:ascii="Book Antiqua" w:hAnsi="Book Antiqua" w:cs="Times New Roman"/>
          <w:sz w:val="24"/>
          <w:szCs w:val="24"/>
        </w:rPr>
        <w:t xml:space="preserve">28 </w:t>
      </w:r>
      <w:r w:rsidRPr="000C178D">
        <w:rPr>
          <w:rFonts w:ascii="Book Antiqua" w:hAnsi="Book Antiqua" w:cs="Times New Roman"/>
          <w:b/>
          <w:bCs/>
          <w:sz w:val="24"/>
          <w:szCs w:val="24"/>
        </w:rPr>
        <w:t>Brito-</w:t>
      </w:r>
      <w:proofErr w:type="spellStart"/>
      <w:r w:rsidRPr="000C178D">
        <w:rPr>
          <w:rFonts w:ascii="Book Antiqua" w:hAnsi="Book Antiqua" w:cs="Times New Roman"/>
          <w:b/>
          <w:bCs/>
          <w:sz w:val="24"/>
          <w:szCs w:val="24"/>
        </w:rPr>
        <w:t>Zerón</w:t>
      </w:r>
      <w:proofErr w:type="spellEnd"/>
      <w:r w:rsidRPr="000C178D">
        <w:rPr>
          <w:rFonts w:ascii="Book Antiqua" w:hAnsi="Book Antiqua" w:cs="Times New Roman"/>
          <w:b/>
          <w:bCs/>
          <w:sz w:val="24"/>
          <w:szCs w:val="24"/>
        </w:rPr>
        <w:t xml:space="preserve"> P</w:t>
      </w:r>
      <w:r w:rsidRPr="000C178D">
        <w:rPr>
          <w:rFonts w:ascii="Book Antiqua" w:hAnsi="Book Antiqua" w:cs="Times New Roman"/>
          <w:sz w:val="24"/>
          <w:szCs w:val="24"/>
        </w:rPr>
        <w:t xml:space="preserve">, </w:t>
      </w:r>
      <w:proofErr w:type="spellStart"/>
      <w:r w:rsidRPr="000C178D">
        <w:rPr>
          <w:rFonts w:ascii="Book Antiqua" w:hAnsi="Book Antiqua" w:cs="Times New Roman"/>
          <w:sz w:val="24"/>
          <w:szCs w:val="24"/>
        </w:rPr>
        <w:t>Kostov</w:t>
      </w:r>
      <w:proofErr w:type="spellEnd"/>
      <w:r w:rsidRPr="000C178D">
        <w:rPr>
          <w:rFonts w:ascii="Book Antiqua" w:hAnsi="Book Antiqua" w:cs="Times New Roman"/>
          <w:sz w:val="24"/>
          <w:szCs w:val="24"/>
        </w:rPr>
        <w:t xml:space="preserve"> B, Bosch X, </w:t>
      </w:r>
      <w:proofErr w:type="spellStart"/>
      <w:r w:rsidRPr="000C178D">
        <w:rPr>
          <w:rFonts w:ascii="Book Antiqua" w:hAnsi="Book Antiqua" w:cs="Times New Roman"/>
          <w:sz w:val="24"/>
          <w:szCs w:val="24"/>
        </w:rPr>
        <w:t>Acar-Denizli</w:t>
      </w:r>
      <w:proofErr w:type="spellEnd"/>
      <w:r w:rsidRPr="000C178D">
        <w:rPr>
          <w:rFonts w:ascii="Book Antiqua" w:hAnsi="Book Antiqua" w:cs="Times New Roman"/>
          <w:sz w:val="24"/>
          <w:szCs w:val="24"/>
        </w:rPr>
        <w:t xml:space="preserve"> N, Ramos-Casals M, Stone JH. Therapeutic approach to IgG4-related disease: A systematic review. </w:t>
      </w:r>
      <w:r w:rsidRPr="000C178D">
        <w:rPr>
          <w:rFonts w:ascii="Book Antiqua" w:hAnsi="Book Antiqua" w:cs="Times New Roman"/>
          <w:i/>
          <w:iCs/>
          <w:sz w:val="24"/>
          <w:szCs w:val="24"/>
        </w:rPr>
        <w:t>Medicine (Baltimore)</w:t>
      </w:r>
      <w:r w:rsidRPr="000C178D">
        <w:rPr>
          <w:rFonts w:ascii="Book Antiqua" w:hAnsi="Book Antiqua" w:cs="Times New Roman"/>
          <w:sz w:val="24"/>
          <w:szCs w:val="24"/>
        </w:rPr>
        <w:t xml:space="preserve"> 2016; </w:t>
      </w:r>
      <w:r w:rsidRPr="000C178D">
        <w:rPr>
          <w:rFonts w:ascii="Book Antiqua" w:hAnsi="Book Antiqua" w:cs="Times New Roman"/>
          <w:b/>
          <w:bCs/>
          <w:sz w:val="24"/>
          <w:szCs w:val="24"/>
        </w:rPr>
        <w:t>95</w:t>
      </w:r>
      <w:r w:rsidRPr="000C178D">
        <w:rPr>
          <w:rFonts w:ascii="Book Antiqua" w:hAnsi="Book Antiqua" w:cs="Times New Roman"/>
          <w:sz w:val="24"/>
          <w:szCs w:val="24"/>
        </w:rPr>
        <w:t>: e4002 [PMID: 27368010 DOI: 10.1097/MD.0000000000004002]</w:t>
      </w:r>
    </w:p>
    <w:p w14:paraId="3022993B" w14:textId="77777777" w:rsidR="00B64CD5" w:rsidRPr="000C178D" w:rsidRDefault="00B64CD5" w:rsidP="000C178D">
      <w:pPr>
        <w:snapToGrid w:val="0"/>
        <w:spacing w:after="0" w:line="360" w:lineRule="auto"/>
        <w:jc w:val="both"/>
        <w:rPr>
          <w:rFonts w:ascii="Book Antiqua" w:hAnsi="Book Antiqua" w:cs="Times New Roman"/>
          <w:sz w:val="24"/>
          <w:szCs w:val="24"/>
        </w:rPr>
      </w:pPr>
      <w:r w:rsidRPr="000C178D">
        <w:rPr>
          <w:rFonts w:ascii="Book Antiqua" w:hAnsi="Book Antiqua" w:cs="Times New Roman"/>
          <w:sz w:val="24"/>
          <w:szCs w:val="24"/>
        </w:rPr>
        <w:t xml:space="preserve">29 </w:t>
      </w:r>
      <w:r w:rsidRPr="000C178D">
        <w:rPr>
          <w:rFonts w:ascii="Book Antiqua" w:hAnsi="Book Antiqua" w:cs="Times New Roman"/>
          <w:b/>
          <w:bCs/>
          <w:sz w:val="24"/>
          <w:szCs w:val="24"/>
        </w:rPr>
        <w:t>Okazaki K</w:t>
      </w:r>
      <w:r w:rsidRPr="000C178D">
        <w:rPr>
          <w:rFonts w:ascii="Book Antiqua" w:hAnsi="Book Antiqua" w:cs="Times New Roman"/>
          <w:sz w:val="24"/>
          <w:szCs w:val="24"/>
        </w:rPr>
        <w:t xml:space="preserve">, Chari ST, </w:t>
      </w:r>
      <w:proofErr w:type="spellStart"/>
      <w:r w:rsidRPr="000C178D">
        <w:rPr>
          <w:rFonts w:ascii="Book Antiqua" w:hAnsi="Book Antiqua" w:cs="Times New Roman"/>
          <w:sz w:val="24"/>
          <w:szCs w:val="24"/>
        </w:rPr>
        <w:t>Frulloni</w:t>
      </w:r>
      <w:proofErr w:type="spellEnd"/>
      <w:r w:rsidRPr="000C178D">
        <w:rPr>
          <w:rFonts w:ascii="Book Antiqua" w:hAnsi="Book Antiqua" w:cs="Times New Roman"/>
          <w:sz w:val="24"/>
          <w:szCs w:val="24"/>
        </w:rPr>
        <w:t xml:space="preserve"> L, Lerch MM, </w:t>
      </w:r>
      <w:proofErr w:type="spellStart"/>
      <w:r w:rsidRPr="000C178D">
        <w:rPr>
          <w:rFonts w:ascii="Book Antiqua" w:hAnsi="Book Antiqua" w:cs="Times New Roman"/>
          <w:sz w:val="24"/>
          <w:szCs w:val="24"/>
        </w:rPr>
        <w:t>Kamisawa</w:t>
      </w:r>
      <w:proofErr w:type="spellEnd"/>
      <w:r w:rsidRPr="000C178D">
        <w:rPr>
          <w:rFonts w:ascii="Book Antiqua" w:hAnsi="Book Antiqua" w:cs="Times New Roman"/>
          <w:sz w:val="24"/>
          <w:szCs w:val="24"/>
        </w:rPr>
        <w:t xml:space="preserve"> T, Kawa S, Kim MH, Lévy P, </w:t>
      </w:r>
      <w:proofErr w:type="spellStart"/>
      <w:r w:rsidRPr="000C178D">
        <w:rPr>
          <w:rFonts w:ascii="Book Antiqua" w:hAnsi="Book Antiqua" w:cs="Times New Roman"/>
          <w:sz w:val="24"/>
          <w:szCs w:val="24"/>
        </w:rPr>
        <w:t>Masamune</w:t>
      </w:r>
      <w:proofErr w:type="spellEnd"/>
      <w:r w:rsidRPr="000C178D">
        <w:rPr>
          <w:rFonts w:ascii="Book Antiqua" w:hAnsi="Book Antiqua" w:cs="Times New Roman"/>
          <w:sz w:val="24"/>
          <w:szCs w:val="24"/>
        </w:rPr>
        <w:t xml:space="preserve"> A, Webster G, </w:t>
      </w:r>
      <w:proofErr w:type="spellStart"/>
      <w:r w:rsidRPr="000C178D">
        <w:rPr>
          <w:rFonts w:ascii="Book Antiqua" w:hAnsi="Book Antiqua" w:cs="Times New Roman"/>
          <w:sz w:val="24"/>
          <w:szCs w:val="24"/>
        </w:rPr>
        <w:t>Shimosegawa</w:t>
      </w:r>
      <w:proofErr w:type="spellEnd"/>
      <w:r w:rsidRPr="000C178D">
        <w:rPr>
          <w:rFonts w:ascii="Book Antiqua" w:hAnsi="Book Antiqua" w:cs="Times New Roman"/>
          <w:sz w:val="24"/>
          <w:szCs w:val="24"/>
        </w:rPr>
        <w:t xml:space="preserve"> T. International consensus for </w:t>
      </w:r>
      <w:r w:rsidRPr="000C178D">
        <w:rPr>
          <w:rFonts w:ascii="Book Antiqua" w:hAnsi="Book Antiqua" w:cs="Times New Roman"/>
          <w:sz w:val="24"/>
          <w:szCs w:val="24"/>
        </w:rPr>
        <w:lastRenderedPageBreak/>
        <w:t xml:space="preserve">the treatment of autoimmune pancreatitis. </w:t>
      </w:r>
      <w:proofErr w:type="spellStart"/>
      <w:r w:rsidRPr="000C178D">
        <w:rPr>
          <w:rFonts w:ascii="Book Antiqua" w:hAnsi="Book Antiqua" w:cs="Times New Roman"/>
          <w:i/>
          <w:iCs/>
          <w:sz w:val="24"/>
          <w:szCs w:val="24"/>
        </w:rPr>
        <w:t>Pancreatology</w:t>
      </w:r>
      <w:proofErr w:type="spellEnd"/>
      <w:r w:rsidRPr="000C178D">
        <w:rPr>
          <w:rFonts w:ascii="Book Antiqua" w:hAnsi="Book Antiqua" w:cs="Times New Roman"/>
          <w:sz w:val="24"/>
          <w:szCs w:val="24"/>
        </w:rPr>
        <w:t xml:space="preserve"> 2017; </w:t>
      </w:r>
      <w:r w:rsidRPr="000C178D">
        <w:rPr>
          <w:rFonts w:ascii="Book Antiqua" w:hAnsi="Book Antiqua" w:cs="Times New Roman"/>
          <w:b/>
          <w:bCs/>
          <w:sz w:val="24"/>
          <w:szCs w:val="24"/>
        </w:rPr>
        <w:t>17</w:t>
      </w:r>
      <w:r w:rsidRPr="000C178D">
        <w:rPr>
          <w:rFonts w:ascii="Book Antiqua" w:hAnsi="Book Antiqua" w:cs="Times New Roman"/>
          <w:sz w:val="24"/>
          <w:szCs w:val="24"/>
        </w:rPr>
        <w:t>: 1-6 [PMID: 28027896 DOI: 10.1016/j.pan.2016.12.003]</w:t>
      </w:r>
    </w:p>
    <w:p w14:paraId="3A5D418E" w14:textId="77777777" w:rsidR="00B64CD5" w:rsidRPr="000C178D" w:rsidRDefault="00B64CD5" w:rsidP="000C178D">
      <w:pPr>
        <w:snapToGrid w:val="0"/>
        <w:spacing w:after="0" w:line="360" w:lineRule="auto"/>
        <w:jc w:val="both"/>
        <w:rPr>
          <w:rFonts w:ascii="Book Antiqua" w:hAnsi="Book Antiqua" w:cs="Times New Roman"/>
          <w:sz w:val="24"/>
          <w:szCs w:val="24"/>
        </w:rPr>
      </w:pPr>
      <w:r w:rsidRPr="000C178D">
        <w:rPr>
          <w:rFonts w:ascii="Book Antiqua" w:hAnsi="Book Antiqua" w:cs="Times New Roman"/>
          <w:sz w:val="24"/>
          <w:szCs w:val="24"/>
        </w:rPr>
        <w:t xml:space="preserve">30 </w:t>
      </w:r>
      <w:proofErr w:type="spellStart"/>
      <w:r w:rsidRPr="000C178D">
        <w:rPr>
          <w:rFonts w:ascii="Book Antiqua" w:hAnsi="Book Antiqua" w:cs="Times New Roman"/>
          <w:b/>
          <w:bCs/>
          <w:sz w:val="24"/>
          <w:szCs w:val="24"/>
        </w:rPr>
        <w:t>Khosroshahi</w:t>
      </w:r>
      <w:proofErr w:type="spellEnd"/>
      <w:r w:rsidRPr="000C178D">
        <w:rPr>
          <w:rFonts w:ascii="Book Antiqua" w:hAnsi="Book Antiqua" w:cs="Times New Roman"/>
          <w:b/>
          <w:bCs/>
          <w:sz w:val="24"/>
          <w:szCs w:val="24"/>
        </w:rPr>
        <w:t xml:space="preserve"> A</w:t>
      </w:r>
      <w:r w:rsidRPr="000C178D">
        <w:rPr>
          <w:rFonts w:ascii="Book Antiqua" w:hAnsi="Book Antiqua" w:cs="Times New Roman"/>
          <w:sz w:val="24"/>
          <w:szCs w:val="24"/>
        </w:rPr>
        <w:t xml:space="preserve">, Wallace ZS, Crowe JL, </w:t>
      </w:r>
      <w:proofErr w:type="spellStart"/>
      <w:r w:rsidRPr="000C178D">
        <w:rPr>
          <w:rFonts w:ascii="Book Antiqua" w:hAnsi="Book Antiqua" w:cs="Times New Roman"/>
          <w:sz w:val="24"/>
          <w:szCs w:val="24"/>
        </w:rPr>
        <w:t>Akamizu</w:t>
      </w:r>
      <w:proofErr w:type="spellEnd"/>
      <w:r w:rsidRPr="000C178D">
        <w:rPr>
          <w:rFonts w:ascii="Book Antiqua" w:hAnsi="Book Antiqua" w:cs="Times New Roman"/>
          <w:sz w:val="24"/>
          <w:szCs w:val="24"/>
        </w:rPr>
        <w:t xml:space="preserve"> T, Azumi A, Carruthers MN, Chari ST, Della-Torre E, </w:t>
      </w:r>
      <w:proofErr w:type="spellStart"/>
      <w:r w:rsidRPr="000C178D">
        <w:rPr>
          <w:rFonts w:ascii="Book Antiqua" w:hAnsi="Book Antiqua" w:cs="Times New Roman"/>
          <w:sz w:val="24"/>
          <w:szCs w:val="24"/>
        </w:rPr>
        <w:t>Frulloni</w:t>
      </w:r>
      <w:proofErr w:type="spellEnd"/>
      <w:r w:rsidRPr="000C178D">
        <w:rPr>
          <w:rFonts w:ascii="Book Antiqua" w:hAnsi="Book Antiqua" w:cs="Times New Roman"/>
          <w:sz w:val="24"/>
          <w:szCs w:val="24"/>
        </w:rPr>
        <w:t xml:space="preserve"> L, </w:t>
      </w:r>
      <w:proofErr w:type="spellStart"/>
      <w:r w:rsidRPr="000C178D">
        <w:rPr>
          <w:rFonts w:ascii="Book Antiqua" w:hAnsi="Book Antiqua" w:cs="Times New Roman"/>
          <w:sz w:val="24"/>
          <w:szCs w:val="24"/>
        </w:rPr>
        <w:t>Goto</w:t>
      </w:r>
      <w:proofErr w:type="spellEnd"/>
      <w:r w:rsidRPr="000C178D">
        <w:rPr>
          <w:rFonts w:ascii="Book Antiqua" w:hAnsi="Book Antiqua" w:cs="Times New Roman"/>
          <w:sz w:val="24"/>
          <w:szCs w:val="24"/>
        </w:rPr>
        <w:t xml:space="preserve"> H, Hart PA, </w:t>
      </w:r>
      <w:proofErr w:type="spellStart"/>
      <w:r w:rsidRPr="000C178D">
        <w:rPr>
          <w:rFonts w:ascii="Book Antiqua" w:hAnsi="Book Antiqua" w:cs="Times New Roman"/>
          <w:sz w:val="24"/>
          <w:szCs w:val="24"/>
        </w:rPr>
        <w:t>Kamisawa</w:t>
      </w:r>
      <w:proofErr w:type="spellEnd"/>
      <w:r w:rsidRPr="000C178D">
        <w:rPr>
          <w:rFonts w:ascii="Book Antiqua" w:hAnsi="Book Antiqua" w:cs="Times New Roman"/>
          <w:sz w:val="24"/>
          <w:szCs w:val="24"/>
        </w:rPr>
        <w:t xml:space="preserve"> T, Kawa S, Kawano M, Kim MH, Kodama Y, Kubota K, Lerch MM, </w:t>
      </w:r>
      <w:proofErr w:type="spellStart"/>
      <w:r w:rsidRPr="000C178D">
        <w:rPr>
          <w:rFonts w:ascii="Book Antiqua" w:hAnsi="Book Antiqua" w:cs="Times New Roman"/>
          <w:sz w:val="24"/>
          <w:szCs w:val="24"/>
        </w:rPr>
        <w:t>Löhr</w:t>
      </w:r>
      <w:proofErr w:type="spellEnd"/>
      <w:r w:rsidRPr="000C178D">
        <w:rPr>
          <w:rFonts w:ascii="Book Antiqua" w:hAnsi="Book Antiqua" w:cs="Times New Roman"/>
          <w:sz w:val="24"/>
          <w:szCs w:val="24"/>
        </w:rPr>
        <w:t xml:space="preserve"> M, Masaki Y, Matsui S, </w:t>
      </w:r>
      <w:proofErr w:type="spellStart"/>
      <w:r w:rsidRPr="000C178D">
        <w:rPr>
          <w:rFonts w:ascii="Book Antiqua" w:hAnsi="Book Antiqua" w:cs="Times New Roman"/>
          <w:sz w:val="24"/>
          <w:szCs w:val="24"/>
        </w:rPr>
        <w:t>Mimori</w:t>
      </w:r>
      <w:proofErr w:type="spellEnd"/>
      <w:r w:rsidRPr="000C178D">
        <w:rPr>
          <w:rFonts w:ascii="Book Antiqua" w:hAnsi="Book Antiqua" w:cs="Times New Roman"/>
          <w:sz w:val="24"/>
          <w:szCs w:val="24"/>
        </w:rPr>
        <w:t xml:space="preserve"> T, Nakamura S, Nakazawa T, Ohara H, Okazaki K, Ryu JH, Saeki T, </w:t>
      </w:r>
      <w:proofErr w:type="spellStart"/>
      <w:r w:rsidRPr="000C178D">
        <w:rPr>
          <w:rFonts w:ascii="Book Antiqua" w:hAnsi="Book Antiqua" w:cs="Times New Roman"/>
          <w:sz w:val="24"/>
          <w:szCs w:val="24"/>
        </w:rPr>
        <w:t>Schleinitz</w:t>
      </w:r>
      <w:proofErr w:type="spellEnd"/>
      <w:r w:rsidRPr="000C178D">
        <w:rPr>
          <w:rFonts w:ascii="Book Antiqua" w:hAnsi="Book Antiqua" w:cs="Times New Roman"/>
          <w:sz w:val="24"/>
          <w:szCs w:val="24"/>
        </w:rPr>
        <w:t xml:space="preserve"> N, </w:t>
      </w:r>
      <w:proofErr w:type="spellStart"/>
      <w:r w:rsidRPr="000C178D">
        <w:rPr>
          <w:rFonts w:ascii="Book Antiqua" w:hAnsi="Book Antiqua" w:cs="Times New Roman"/>
          <w:sz w:val="24"/>
          <w:szCs w:val="24"/>
        </w:rPr>
        <w:t>Shimatsu</w:t>
      </w:r>
      <w:proofErr w:type="spellEnd"/>
      <w:r w:rsidRPr="000C178D">
        <w:rPr>
          <w:rFonts w:ascii="Book Antiqua" w:hAnsi="Book Antiqua" w:cs="Times New Roman"/>
          <w:sz w:val="24"/>
          <w:szCs w:val="24"/>
        </w:rPr>
        <w:t xml:space="preserve"> A, </w:t>
      </w:r>
      <w:proofErr w:type="spellStart"/>
      <w:r w:rsidRPr="000C178D">
        <w:rPr>
          <w:rFonts w:ascii="Book Antiqua" w:hAnsi="Book Antiqua" w:cs="Times New Roman"/>
          <w:sz w:val="24"/>
          <w:szCs w:val="24"/>
        </w:rPr>
        <w:t>Shimosegawa</w:t>
      </w:r>
      <w:proofErr w:type="spellEnd"/>
      <w:r w:rsidRPr="000C178D">
        <w:rPr>
          <w:rFonts w:ascii="Book Antiqua" w:hAnsi="Book Antiqua" w:cs="Times New Roman"/>
          <w:sz w:val="24"/>
          <w:szCs w:val="24"/>
        </w:rPr>
        <w:t xml:space="preserve"> T, Takahashi H, </w:t>
      </w:r>
      <w:proofErr w:type="spellStart"/>
      <w:r w:rsidRPr="000C178D">
        <w:rPr>
          <w:rFonts w:ascii="Book Antiqua" w:hAnsi="Book Antiqua" w:cs="Times New Roman"/>
          <w:sz w:val="24"/>
          <w:szCs w:val="24"/>
        </w:rPr>
        <w:t>Takahira</w:t>
      </w:r>
      <w:proofErr w:type="spellEnd"/>
      <w:r w:rsidRPr="000C178D">
        <w:rPr>
          <w:rFonts w:ascii="Book Antiqua" w:hAnsi="Book Antiqua" w:cs="Times New Roman"/>
          <w:sz w:val="24"/>
          <w:szCs w:val="24"/>
        </w:rPr>
        <w:t xml:space="preserve"> M, Tanaka A, </w:t>
      </w:r>
      <w:proofErr w:type="spellStart"/>
      <w:r w:rsidRPr="000C178D">
        <w:rPr>
          <w:rFonts w:ascii="Book Antiqua" w:hAnsi="Book Antiqua" w:cs="Times New Roman"/>
          <w:sz w:val="24"/>
          <w:szCs w:val="24"/>
        </w:rPr>
        <w:t>Topazian</w:t>
      </w:r>
      <w:proofErr w:type="spellEnd"/>
      <w:r w:rsidRPr="000C178D">
        <w:rPr>
          <w:rFonts w:ascii="Book Antiqua" w:hAnsi="Book Antiqua" w:cs="Times New Roman"/>
          <w:sz w:val="24"/>
          <w:szCs w:val="24"/>
        </w:rPr>
        <w:t xml:space="preserve"> M, </w:t>
      </w:r>
      <w:proofErr w:type="spellStart"/>
      <w:r w:rsidRPr="000C178D">
        <w:rPr>
          <w:rFonts w:ascii="Book Antiqua" w:hAnsi="Book Antiqua" w:cs="Times New Roman"/>
          <w:sz w:val="24"/>
          <w:szCs w:val="24"/>
        </w:rPr>
        <w:t>Umehara</w:t>
      </w:r>
      <w:proofErr w:type="spellEnd"/>
      <w:r w:rsidRPr="000C178D">
        <w:rPr>
          <w:rFonts w:ascii="Book Antiqua" w:hAnsi="Book Antiqua" w:cs="Times New Roman"/>
          <w:sz w:val="24"/>
          <w:szCs w:val="24"/>
        </w:rPr>
        <w:t xml:space="preserve"> H, Webster GJ, </w:t>
      </w:r>
      <w:proofErr w:type="spellStart"/>
      <w:r w:rsidRPr="000C178D">
        <w:rPr>
          <w:rFonts w:ascii="Book Antiqua" w:hAnsi="Book Antiqua" w:cs="Times New Roman"/>
          <w:sz w:val="24"/>
          <w:szCs w:val="24"/>
        </w:rPr>
        <w:t>Witzig</w:t>
      </w:r>
      <w:proofErr w:type="spellEnd"/>
      <w:r w:rsidRPr="000C178D">
        <w:rPr>
          <w:rFonts w:ascii="Book Antiqua" w:hAnsi="Book Antiqua" w:cs="Times New Roman"/>
          <w:sz w:val="24"/>
          <w:szCs w:val="24"/>
        </w:rPr>
        <w:t xml:space="preserve"> TE, Yamamoto M, Zhang W, Chiba T, Stone JH; Second International Symposium on IgG4-Related Disease. International Consensus Guidance Statement on the Management and Treatment of IgG4-Related Disease. </w:t>
      </w:r>
      <w:r w:rsidRPr="000C178D">
        <w:rPr>
          <w:rFonts w:ascii="Book Antiqua" w:hAnsi="Book Antiqua" w:cs="Times New Roman"/>
          <w:i/>
          <w:iCs/>
          <w:sz w:val="24"/>
          <w:szCs w:val="24"/>
        </w:rPr>
        <w:t xml:space="preserve">Arthritis </w:t>
      </w:r>
      <w:proofErr w:type="spellStart"/>
      <w:r w:rsidRPr="000C178D">
        <w:rPr>
          <w:rFonts w:ascii="Book Antiqua" w:hAnsi="Book Antiqua" w:cs="Times New Roman"/>
          <w:i/>
          <w:iCs/>
          <w:sz w:val="24"/>
          <w:szCs w:val="24"/>
        </w:rPr>
        <w:t>Rheumatol</w:t>
      </w:r>
      <w:proofErr w:type="spellEnd"/>
      <w:r w:rsidRPr="000C178D">
        <w:rPr>
          <w:rFonts w:ascii="Book Antiqua" w:hAnsi="Book Antiqua" w:cs="Times New Roman"/>
          <w:sz w:val="24"/>
          <w:szCs w:val="24"/>
        </w:rPr>
        <w:t xml:space="preserve"> 2015; </w:t>
      </w:r>
      <w:r w:rsidRPr="000C178D">
        <w:rPr>
          <w:rFonts w:ascii="Book Antiqua" w:hAnsi="Book Antiqua" w:cs="Times New Roman"/>
          <w:b/>
          <w:bCs/>
          <w:sz w:val="24"/>
          <w:szCs w:val="24"/>
        </w:rPr>
        <w:t>67</w:t>
      </w:r>
      <w:r w:rsidRPr="000C178D">
        <w:rPr>
          <w:rFonts w:ascii="Book Antiqua" w:hAnsi="Book Antiqua" w:cs="Times New Roman"/>
          <w:sz w:val="24"/>
          <w:szCs w:val="24"/>
        </w:rPr>
        <w:t>: 1688-1699 [PMID: 25809420 DOI: 10.1002/art.39132]</w:t>
      </w:r>
    </w:p>
    <w:p w14:paraId="26A8A540" w14:textId="77777777" w:rsidR="00B64CD5" w:rsidRPr="000C178D" w:rsidRDefault="00B64CD5" w:rsidP="000C178D">
      <w:pPr>
        <w:snapToGrid w:val="0"/>
        <w:spacing w:after="0" w:line="360" w:lineRule="auto"/>
        <w:jc w:val="both"/>
        <w:rPr>
          <w:rFonts w:ascii="Book Antiqua" w:hAnsi="Book Antiqua" w:cs="Times New Roman"/>
          <w:sz w:val="24"/>
          <w:szCs w:val="24"/>
        </w:rPr>
      </w:pPr>
      <w:r w:rsidRPr="000C178D">
        <w:rPr>
          <w:rFonts w:ascii="Book Antiqua" w:hAnsi="Book Antiqua" w:cs="Times New Roman"/>
          <w:sz w:val="24"/>
          <w:szCs w:val="24"/>
        </w:rPr>
        <w:t xml:space="preserve">31 </w:t>
      </w:r>
      <w:r w:rsidRPr="000C178D">
        <w:rPr>
          <w:rFonts w:ascii="Book Antiqua" w:hAnsi="Book Antiqua" w:cs="Times New Roman"/>
          <w:b/>
          <w:bCs/>
          <w:sz w:val="24"/>
          <w:szCs w:val="24"/>
        </w:rPr>
        <w:t>Brito-</w:t>
      </w:r>
      <w:proofErr w:type="spellStart"/>
      <w:r w:rsidRPr="000C178D">
        <w:rPr>
          <w:rFonts w:ascii="Book Antiqua" w:hAnsi="Book Antiqua" w:cs="Times New Roman"/>
          <w:b/>
          <w:bCs/>
          <w:sz w:val="24"/>
          <w:szCs w:val="24"/>
        </w:rPr>
        <w:t>Zerón</w:t>
      </w:r>
      <w:proofErr w:type="spellEnd"/>
      <w:r w:rsidRPr="000C178D">
        <w:rPr>
          <w:rFonts w:ascii="Book Antiqua" w:hAnsi="Book Antiqua" w:cs="Times New Roman"/>
          <w:b/>
          <w:bCs/>
          <w:sz w:val="24"/>
          <w:szCs w:val="24"/>
        </w:rPr>
        <w:t xml:space="preserve"> P</w:t>
      </w:r>
      <w:r w:rsidRPr="000C178D">
        <w:rPr>
          <w:rFonts w:ascii="Book Antiqua" w:hAnsi="Book Antiqua" w:cs="Times New Roman"/>
          <w:sz w:val="24"/>
          <w:szCs w:val="24"/>
        </w:rPr>
        <w:t xml:space="preserve">, Bosch X, Ramos-Casals M, Stone JH. IgG4-related disease: Advances in the diagnosis and treatment. </w:t>
      </w:r>
      <w:r w:rsidRPr="000C178D">
        <w:rPr>
          <w:rFonts w:ascii="Book Antiqua" w:hAnsi="Book Antiqua" w:cs="Times New Roman"/>
          <w:i/>
          <w:iCs/>
          <w:sz w:val="24"/>
          <w:szCs w:val="24"/>
        </w:rPr>
        <w:t xml:space="preserve">Best </w:t>
      </w:r>
      <w:proofErr w:type="spellStart"/>
      <w:r w:rsidRPr="000C178D">
        <w:rPr>
          <w:rFonts w:ascii="Book Antiqua" w:hAnsi="Book Antiqua" w:cs="Times New Roman"/>
          <w:i/>
          <w:iCs/>
          <w:sz w:val="24"/>
          <w:szCs w:val="24"/>
        </w:rPr>
        <w:t>Pract</w:t>
      </w:r>
      <w:proofErr w:type="spellEnd"/>
      <w:r w:rsidRPr="000C178D">
        <w:rPr>
          <w:rFonts w:ascii="Book Antiqua" w:hAnsi="Book Antiqua" w:cs="Times New Roman"/>
          <w:i/>
          <w:iCs/>
          <w:sz w:val="24"/>
          <w:szCs w:val="24"/>
        </w:rPr>
        <w:t xml:space="preserve"> Res Clin </w:t>
      </w:r>
      <w:proofErr w:type="spellStart"/>
      <w:r w:rsidRPr="000C178D">
        <w:rPr>
          <w:rFonts w:ascii="Book Antiqua" w:hAnsi="Book Antiqua" w:cs="Times New Roman"/>
          <w:i/>
          <w:iCs/>
          <w:sz w:val="24"/>
          <w:szCs w:val="24"/>
        </w:rPr>
        <w:t>Rheumatol</w:t>
      </w:r>
      <w:proofErr w:type="spellEnd"/>
      <w:r w:rsidRPr="000C178D">
        <w:rPr>
          <w:rFonts w:ascii="Book Antiqua" w:hAnsi="Book Antiqua" w:cs="Times New Roman"/>
          <w:sz w:val="24"/>
          <w:szCs w:val="24"/>
        </w:rPr>
        <w:t xml:space="preserve"> 2016; </w:t>
      </w:r>
      <w:r w:rsidRPr="000C178D">
        <w:rPr>
          <w:rFonts w:ascii="Book Antiqua" w:hAnsi="Book Antiqua" w:cs="Times New Roman"/>
          <w:b/>
          <w:bCs/>
          <w:sz w:val="24"/>
          <w:szCs w:val="24"/>
        </w:rPr>
        <w:t>30</w:t>
      </w:r>
      <w:r w:rsidRPr="000C178D">
        <w:rPr>
          <w:rFonts w:ascii="Book Antiqua" w:hAnsi="Book Antiqua" w:cs="Times New Roman"/>
          <w:sz w:val="24"/>
          <w:szCs w:val="24"/>
        </w:rPr>
        <w:t>: 261-278 [PMID: 27886799 DOI: 10.1016/j.berh.2016.07.003]</w:t>
      </w:r>
    </w:p>
    <w:p w14:paraId="2ED858B9" w14:textId="77777777" w:rsidR="00B64CD5" w:rsidRPr="000C178D" w:rsidRDefault="00B64CD5" w:rsidP="000C178D">
      <w:pPr>
        <w:snapToGrid w:val="0"/>
        <w:spacing w:after="0" w:line="360" w:lineRule="auto"/>
        <w:jc w:val="both"/>
        <w:rPr>
          <w:rFonts w:ascii="Book Antiqua" w:hAnsi="Book Antiqua" w:cs="Times New Roman"/>
          <w:sz w:val="24"/>
          <w:szCs w:val="24"/>
        </w:rPr>
      </w:pPr>
      <w:r w:rsidRPr="000C178D">
        <w:rPr>
          <w:rFonts w:ascii="Book Antiqua" w:hAnsi="Book Antiqua" w:cs="Times New Roman"/>
          <w:sz w:val="24"/>
          <w:szCs w:val="24"/>
        </w:rPr>
        <w:t xml:space="preserve">32 </w:t>
      </w:r>
      <w:proofErr w:type="spellStart"/>
      <w:r w:rsidRPr="000C178D">
        <w:rPr>
          <w:rFonts w:ascii="Book Antiqua" w:hAnsi="Book Antiqua" w:cs="Times New Roman"/>
          <w:b/>
          <w:bCs/>
          <w:sz w:val="24"/>
          <w:szCs w:val="24"/>
        </w:rPr>
        <w:t>Khosroshahi</w:t>
      </w:r>
      <w:proofErr w:type="spellEnd"/>
      <w:r w:rsidRPr="000C178D">
        <w:rPr>
          <w:rFonts w:ascii="Book Antiqua" w:hAnsi="Book Antiqua" w:cs="Times New Roman"/>
          <w:b/>
          <w:bCs/>
          <w:sz w:val="24"/>
          <w:szCs w:val="24"/>
        </w:rPr>
        <w:t xml:space="preserve"> A</w:t>
      </w:r>
      <w:r w:rsidRPr="000C178D">
        <w:rPr>
          <w:rFonts w:ascii="Book Antiqua" w:hAnsi="Book Antiqua" w:cs="Times New Roman"/>
          <w:sz w:val="24"/>
          <w:szCs w:val="24"/>
        </w:rPr>
        <w:t xml:space="preserve">, Carruthers MN, Deshpande V, </w:t>
      </w:r>
      <w:proofErr w:type="spellStart"/>
      <w:r w:rsidRPr="000C178D">
        <w:rPr>
          <w:rFonts w:ascii="Book Antiqua" w:hAnsi="Book Antiqua" w:cs="Times New Roman"/>
          <w:sz w:val="24"/>
          <w:szCs w:val="24"/>
        </w:rPr>
        <w:t>Unizony</w:t>
      </w:r>
      <w:proofErr w:type="spellEnd"/>
      <w:r w:rsidRPr="000C178D">
        <w:rPr>
          <w:rFonts w:ascii="Book Antiqua" w:hAnsi="Book Antiqua" w:cs="Times New Roman"/>
          <w:sz w:val="24"/>
          <w:szCs w:val="24"/>
        </w:rPr>
        <w:t xml:space="preserve"> S, Bloch DB, Stone JH. Rituximab for the treatment of IgG4-related disease: lessons from 10 consecutive patients. </w:t>
      </w:r>
      <w:r w:rsidRPr="000C178D">
        <w:rPr>
          <w:rFonts w:ascii="Book Antiqua" w:hAnsi="Book Antiqua" w:cs="Times New Roman"/>
          <w:i/>
          <w:iCs/>
          <w:sz w:val="24"/>
          <w:szCs w:val="24"/>
        </w:rPr>
        <w:t>Medicine (Baltimore)</w:t>
      </w:r>
      <w:r w:rsidRPr="000C178D">
        <w:rPr>
          <w:rFonts w:ascii="Book Antiqua" w:hAnsi="Book Antiqua" w:cs="Times New Roman"/>
          <w:sz w:val="24"/>
          <w:szCs w:val="24"/>
        </w:rPr>
        <w:t xml:space="preserve"> 2012; </w:t>
      </w:r>
      <w:r w:rsidRPr="000C178D">
        <w:rPr>
          <w:rFonts w:ascii="Book Antiqua" w:hAnsi="Book Antiqua" w:cs="Times New Roman"/>
          <w:b/>
          <w:bCs/>
          <w:sz w:val="24"/>
          <w:szCs w:val="24"/>
        </w:rPr>
        <w:t>91</w:t>
      </w:r>
      <w:r w:rsidRPr="000C178D">
        <w:rPr>
          <w:rFonts w:ascii="Book Antiqua" w:hAnsi="Book Antiqua" w:cs="Times New Roman"/>
          <w:sz w:val="24"/>
          <w:szCs w:val="24"/>
        </w:rPr>
        <w:t>: 57-66 [PMID: 22210556 DOI: 10.1097/MD.0b013e3182431ef6]</w:t>
      </w:r>
    </w:p>
    <w:p w14:paraId="3CD08E32" w14:textId="77777777" w:rsidR="00B64CD5" w:rsidRPr="000C178D" w:rsidRDefault="00B64CD5" w:rsidP="000C178D">
      <w:pPr>
        <w:snapToGrid w:val="0"/>
        <w:spacing w:after="0" w:line="360" w:lineRule="auto"/>
        <w:jc w:val="both"/>
        <w:rPr>
          <w:rFonts w:ascii="Book Antiqua" w:hAnsi="Book Antiqua" w:cs="Times New Roman"/>
          <w:sz w:val="24"/>
          <w:szCs w:val="24"/>
        </w:rPr>
      </w:pPr>
      <w:r w:rsidRPr="000C178D">
        <w:rPr>
          <w:rFonts w:ascii="Book Antiqua" w:hAnsi="Book Antiqua" w:cs="Times New Roman"/>
          <w:sz w:val="24"/>
          <w:szCs w:val="24"/>
        </w:rPr>
        <w:t xml:space="preserve">33 </w:t>
      </w:r>
      <w:proofErr w:type="spellStart"/>
      <w:r w:rsidRPr="000C178D">
        <w:rPr>
          <w:rFonts w:ascii="Book Antiqua" w:hAnsi="Book Antiqua" w:cs="Times New Roman"/>
          <w:b/>
          <w:bCs/>
          <w:sz w:val="24"/>
          <w:szCs w:val="24"/>
        </w:rPr>
        <w:t>Khosroshahi</w:t>
      </w:r>
      <w:proofErr w:type="spellEnd"/>
      <w:r w:rsidRPr="000C178D">
        <w:rPr>
          <w:rFonts w:ascii="Book Antiqua" w:hAnsi="Book Antiqua" w:cs="Times New Roman"/>
          <w:b/>
          <w:bCs/>
          <w:sz w:val="24"/>
          <w:szCs w:val="24"/>
        </w:rPr>
        <w:t xml:space="preserve"> A</w:t>
      </w:r>
      <w:r w:rsidRPr="000C178D">
        <w:rPr>
          <w:rFonts w:ascii="Book Antiqua" w:hAnsi="Book Antiqua" w:cs="Times New Roman"/>
          <w:sz w:val="24"/>
          <w:szCs w:val="24"/>
        </w:rPr>
        <w:t xml:space="preserve">, Bloch DB, Deshpande V, Stone JH. Rituximab therapy leads to rapid decline of serum IgG4 levels and prompt clinical improvement in IgG4-related systemic disease. </w:t>
      </w:r>
      <w:r w:rsidRPr="000C178D">
        <w:rPr>
          <w:rFonts w:ascii="Book Antiqua" w:hAnsi="Book Antiqua" w:cs="Times New Roman"/>
          <w:i/>
          <w:iCs/>
          <w:sz w:val="24"/>
          <w:szCs w:val="24"/>
        </w:rPr>
        <w:t>Arthritis Rheum</w:t>
      </w:r>
      <w:r w:rsidRPr="000C178D">
        <w:rPr>
          <w:rFonts w:ascii="Book Antiqua" w:hAnsi="Book Antiqua" w:cs="Times New Roman"/>
          <w:sz w:val="24"/>
          <w:szCs w:val="24"/>
        </w:rPr>
        <w:t xml:space="preserve"> 2010; </w:t>
      </w:r>
      <w:r w:rsidRPr="000C178D">
        <w:rPr>
          <w:rFonts w:ascii="Book Antiqua" w:hAnsi="Book Antiqua" w:cs="Times New Roman"/>
          <w:b/>
          <w:bCs/>
          <w:sz w:val="24"/>
          <w:szCs w:val="24"/>
        </w:rPr>
        <w:t>62</w:t>
      </w:r>
      <w:r w:rsidRPr="000C178D">
        <w:rPr>
          <w:rFonts w:ascii="Book Antiqua" w:hAnsi="Book Antiqua" w:cs="Times New Roman"/>
          <w:sz w:val="24"/>
          <w:szCs w:val="24"/>
        </w:rPr>
        <w:t>: 1755-1762 [PMID: 20191576 DOI: 10.1002/art.27435]</w:t>
      </w:r>
    </w:p>
    <w:p w14:paraId="27EBD79A" w14:textId="77777777" w:rsidR="00B64CD5" w:rsidRPr="000C178D" w:rsidRDefault="00B64CD5" w:rsidP="000C178D">
      <w:pPr>
        <w:snapToGrid w:val="0"/>
        <w:spacing w:after="0" w:line="360" w:lineRule="auto"/>
        <w:jc w:val="both"/>
        <w:rPr>
          <w:rFonts w:ascii="Book Antiqua" w:hAnsi="Book Antiqua" w:cs="Times New Roman"/>
          <w:sz w:val="24"/>
          <w:szCs w:val="24"/>
        </w:rPr>
      </w:pPr>
      <w:r w:rsidRPr="000C178D">
        <w:rPr>
          <w:rFonts w:ascii="Book Antiqua" w:hAnsi="Book Antiqua" w:cs="Times New Roman"/>
          <w:sz w:val="24"/>
          <w:szCs w:val="24"/>
        </w:rPr>
        <w:t xml:space="preserve">34 </w:t>
      </w:r>
      <w:r w:rsidRPr="000C178D">
        <w:rPr>
          <w:rFonts w:ascii="Book Antiqua" w:hAnsi="Book Antiqua" w:cs="Times New Roman"/>
          <w:b/>
          <w:bCs/>
          <w:sz w:val="24"/>
          <w:szCs w:val="24"/>
        </w:rPr>
        <w:t>Khan ML</w:t>
      </w:r>
      <w:r w:rsidRPr="000C178D">
        <w:rPr>
          <w:rFonts w:ascii="Book Antiqua" w:hAnsi="Book Antiqua" w:cs="Times New Roman"/>
          <w:sz w:val="24"/>
          <w:szCs w:val="24"/>
        </w:rPr>
        <w:t xml:space="preserve">, Colby TV, </w:t>
      </w:r>
      <w:proofErr w:type="spellStart"/>
      <w:r w:rsidRPr="000C178D">
        <w:rPr>
          <w:rFonts w:ascii="Book Antiqua" w:hAnsi="Book Antiqua" w:cs="Times New Roman"/>
          <w:sz w:val="24"/>
          <w:szCs w:val="24"/>
        </w:rPr>
        <w:t>Viggiano</w:t>
      </w:r>
      <w:proofErr w:type="spellEnd"/>
      <w:r w:rsidRPr="000C178D">
        <w:rPr>
          <w:rFonts w:ascii="Book Antiqua" w:hAnsi="Book Antiqua" w:cs="Times New Roman"/>
          <w:sz w:val="24"/>
          <w:szCs w:val="24"/>
        </w:rPr>
        <w:t xml:space="preserve"> RW, Fonseca R. Treatment with bortezomib of a patient having hyper IgG4 disease. </w:t>
      </w:r>
      <w:r w:rsidRPr="000C178D">
        <w:rPr>
          <w:rFonts w:ascii="Book Antiqua" w:hAnsi="Book Antiqua" w:cs="Times New Roman"/>
          <w:i/>
          <w:iCs/>
          <w:sz w:val="24"/>
          <w:szCs w:val="24"/>
        </w:rPr>
        <w:t xml:space="preserve">Clin Lymphoma Myeloma </w:t>
      </w:r>
      <w:proofErr w:type="spellStart"/>
      <w:r w:rsidRPr="000C178D">
        <w:rPr>
          <w:rFonts w:ascii="Book Antiqua" w:hAnsi="Book Antiqua" w:cs="Times New Roman"/>
          <w:i/>
          <w:iCs/>
          <w:sz w:val="24"/>
          <w:szCs w:val="24"/>
        </w:rPr>
        <w:t>Leuk</w:t>
      </w:r>
      <w:proofErr w:type="spellEnd"/>
      <w:r w:rsidRPr="000C178D">
        <w:rPr>
          <w:rFonts w:ascii="Book Antiqua" w:hAnsi="Book Antiqua" w:cs="Times New Roman"/>
          <w:sz w:val="24"/>
          <w:szCs w:val="24"/>
        </w:rPr>
        <w:t xml:space="preserve"> 2010; </w:t>
      </w:r>
      <w:r w:rsidRPr="000C178D">
        <w:rPr>
          <w:rFonts w:ascii="Book Antiqua" w:hAnsi="Book Antiqua" w:cs="Times New Roman"/>
          <w:b/>
          <w:bCs/>
          <w:sz w:val="24"/>
          <w:szCs w:val="24"/>
        </w:rPr>
        <w:t>10</w:t>
      </w:r>
      <w:r w:rsidRPr="000C178D">
        <w:rPr>
          <w:rFonts w:ascii="Book Antiqua" w:hAnsi="Book Antiqua" w:cs="Times New Roman"/>
          <w:sz w:val="24"/>
          <w:szCs w:val="24"/>
        </w:rPr>
        <w:t>: 217-219 [PMID: 20511168 DOI: 10.3816/CLML.2010.n.034]</w:t>
      </w:r>
    </w:p>
    <w:p w14:paraId="1DBAF4B5" w14:textId="77777777" w:rsidR="00B64CD5" w:rsidRPr="000C178D" w:rsidRDefault="00B64CD5" w:rsidP="000C178D">
      <w:pPr>
        <w:snapToGrid w:val="0"/>
        <w:spacing w:after="0" w:line="360" w:lineRule="auto"/>
        <w:jc w:val="both"/>
        <w:rPr>
          <w:rFonts w:ascii="Book Antiqua" w:hAnsi="Book Antiqua" w:cs="Times New Roman"/>
          <w:sz w:val="24"/>
          <w:szCs w:val="24"/>
        </w:rPr>
      </w:pPr>
      <w:r w:rsidRPr="000C178D">
        <w:rPr>
          <w:rFonts w:ascii="Book Antiqua" w:hAnsi="Book Antiqua" w:cs="Times New Roman"/>
          <w:sz w:val="24"/>
          <w:szCs w:val="24"/>
        </w:rPr>
        <w:t xml:space="preserve">35 </w:t>
      </w:r>
      <w:r w:rsidRPr="000C178D">
        <w:rPr>
          <w:rFonts w:ascii="Book Antiqua" w:hAnsi="Book Antiqua" w:cs="Times New Roman"/>
          <w:b/>
          <w:bCs/>
          <w:sz w:val="24"/>
          <w:szCs w:val="24"/>
        </w:rPr>
        <w:t>Abraham M</w:t>
      </w:r>
      <w:r w:rsidRPr="000C178D">
        <w:rPr>
          <w:rFonts w:ascii="Book Antiqua" w:hAnsi="Book Antiqua" w:cs="Times New Roman"/>
          <w:sz w:val="24"/>
          <w:szCs w:val="24"/>
        </w:rPr>
        <w:t xml:space="preserve">, </w:t>
      </w:r>
      <w:proofErr w:type="spellStart"/>
      <w:r w:rsidRPr="000C178D">
        <w:rPr>
          <w:rFonts w:ascii="Book Antiqua" w:hAnsi="Book Antiqua" w:cs="Times New Roman"/>
          <w:sz w:val="24"/>
          <w:szCs w:val="24"/>
        </w:rPr>
        <w:t>Khosroshahi</w:t>
      </w:r>
      <w:proofErr w:type="spellEnd"/>
      <w:r w:rsidRPr="000C178D">
        <w:rPr>
          <w:rFonts w:ascii="Book Antiqua" w:hAnsi="Book Antiqua" w:cs="Times New Roman"/>
          <w:sz w:val="24"/>
          <w:szCs w:val="24"/>
        </w:rPr>
        <w:t xml:space="preserve"> A. Diagnostic and treatment workup for IgG4-related disease. </w:t>
      </w:r>
      <w:r w:rsidRPr="000C178D">
        <w:rPr>
          <w:rFonts w:ascii="Book Antiqua" w:hAnsi="Book Antiqua" w:cs="Times New Roman"/>
          <w:i/>
          <w:iCs/>
          <w:sz w:val="24"/>
          <w:szCs w:val="24"/>
        </w:rPr>
        <w:t>Expert Rev Clin Immunol</w:t>
      </w:r>
      <w:r w:rsidRPr="000C178D">
        <w:rPr>
          <w:rFonts w:ascii="Book Antiqua" w:hAnsi="Book Antiqua" w:cs="Times New Roman"/>
          <w:sz w:val="24"/>
          <w:szCs w:val="24"/>
        </w:rPr>
        <w:t xml:space="preserve"> 2017; </w:t>
      </w:r>
      <w:r w:rsidRPr="000C178D">
        <w:rPr>
          <w:rFonts w:ascii="Book Antiqua" w:hAnsi="Book Antiqua" w:cs="Times New Roman"/>
          <w:b/>
          <w:bCs/>
          <w:sz w:val="24"/>
          <w:szCs w:val="24"/>
        </w:rPr>
        <w:t>13</w:t>
      </w:r>
      <w:r w:rsidRPr="000C178D">
        <w:rPr>
          <w:rFonts w:ascii="Book Antiqua" w:hAnsi="Book Antiqua" w:cs="Times New Roman"/>
          <w:sz w:val="24"/>
          <w:szCs w:val="24"/>
        </w:rPr>
        <w:t>: 867-875 [PMID: 28701054 DOI: 10.1080/1744666X.2017.1354698]</w:t>
      </w:r>
    </w:p>
    <w:p w14:paraId="284A7B5A" w14:textId="77777777" w:rsidR="00B64CD5" w:rsidRPr="000C178D" w:rsidRDefault="00B64CD5" w:rsidP="000C178D">
      <w:pPr>
        <w:snapToGrid w:val="0"/>
        <w:spacing w:after="0" w:line="360" w:lineRule="auto"/>
        <w:jc w:val="both"/>
        <w:rPr>
          <w:rFonts w:ascii="Book Antiqua" w:hAnsi="Book Antiqua" w:cs="Times New Roman"/>
          <w:sz w:val="24"/>
          <w:szCs w:val="24"/>
        </w:rPr>
      </w:pPr>
      <w:r w:rsidRPr="000C178D">
        <w:rPr>
          <w:rFonts w:ascii="Book Antiqua" w:hAnsi="Book Antiqua" w:cs="Times New Roman"/>
          <w:sz w:val="24"/>
          <w:szCs w:val="24"/>
        </w:rPr>
        <w:t xml:space="preserve">36 </w:t>
      </w:r>
      <w:r w:rsidRPr="000C178D">
        <w:rPr>
          <w:rFonts w:ascii="Book Antiqua" w:hAnsi="Book Antiqua" w:cs="Times New Roman"/>
          <w:b/>
          <w:bCs/>
          <w:sz w:val="24"/>
          <w:szCs w:val="24"/>
        </w:rPr>
        <w:t>Yamamoto M</w:t>
      </w:r>
      <w:r w:rsidRPr="000C178D">
        <w:rPr>
          <w:rFonts w:ascii="Book Antiqua" w:hAnsi="Book Antiqua" w:cs="Times New Roman"/>
          <w:sz w:val="24"/>
          <w:szCs w:val="24"/>
        </w:rPr>
        <w:t xml:space="preserve">, Takahashi H, Takano K, Shimizu Y, Sakurai N, Suzuki C, </w:t>
      </w:r>
      <w:proofErr w:type="spellStart"/>
      <w:r w:rsidRPr="000C178D">
        <w:rPr>
          <w:rFonts w:ascii="Book Antiqua" w:hAnsi="Book Antiqua" w:cs="Times New Roman"/>
          <w:sz w:val="24"/>
          <w:szCs w:val="24"/>
        </w:rPr>
        <w:t>Naishiro</w:t>
      </w:r>
      <w:proofErr w:type="spellEnd"/>
      <w:r w:rsidRPr="000C178D">
        <w:rPr>
          <w:rFonts w:ascii="Book Antiqua" w:hAnsi="Book Antiqua" w:cs="Times New Roman"/>
          <w:sz w:val="24"/>
          <w:szCs w:val="24"/>
        </w:rPr>
        <w:t xml:space="preserve"> Y, </w:t>
      </w:r>
      <w:proofErr w:type="spellStart"/>
      <w:r w:rsidRPr="000C178D">
        <w:rPr>
          <w:rFonts w:ascii="Book Antiqua" w:hAnsi="Book Antiqua" w:cs="Times New Roman"/>
          <w:sz w:val="24"/>
          <w:szCs w:val="24"/>
        </w:rPr>
        <w:t>Yajima</w:t>
      </w:r>
      <w:proofErr w:type="spellEnd"/>
      <w:r w:rsidRPr="000C178D">
        <w:rPr>
          <w:rFonts w:ascii="Book Antiqua" w:hAnsi="Book Antiqua" w:cs="Times New Roman"/>
          <w:sz w:val="24"/>
          <w:szCs w:val="24"/>
        </w:rPr>
        <w:t xml:space="preserve"> H, </w:t>
      </w:r>
      <w:proofErr w:type="spellStart"/>
      <w:r w:rsidRPr="000C178D">
        <w:rPr>
          <w:rFonts w:ascii="Book Antiqua" w:hAnsi="Book Antiqua" w:cs="Times New Roman"/>
          <w:sz w:val="24"/>
          <w:szCs w:val="24"/>
        </w:rPr>
        <w:t>Awakawa</w:t>
      </w:r>
      <w:proofErr w:type="spellEnd"/>
      <w:r w:rsidRPr="000C178D">
        <w:rPr>
          <w:rFonts w:ascii="Book Antiqua" w:hAnsi="Book Antiqua" w:cs="Times New Roman"/>
          <w:sz w:val="24"/>
          <w:szCs w:val="24"/>
        </w:rPr>
        <w:t xml:space="preserve"> T, </w:t>
      </w:r>
      <w:proofErr w:type="spellStart"/>
      <w:r w:rsidRPr="000C178D">
        <w:rPr>
          <w:rFonts w:ascii="Book Antiqua" w:hAnsi="Book Antiqua" w:cs="Times New Roman"/>
          <w:sz w:val="24"/>
          <w:szCs w:val="24"/>
        </w:rPr>
        <w:t>Himi</w:t>
      </w:r>
      <w:proofErr w:type="spellEnd"/>
      <w:r w:rsidRPr="000C178D">
        <w:rPr>
          <w:rFonts w:ascii="Book Antiqua" w:hAnsi="Book Antiqua" w:cs="Times New Roman"/>
          <w:sz w:val="24"/>
          <w:szCs w:val="24"/>
        </w:rPr>
        <w:t xml:space="preserve"> T, Nakase H. Efficacy of abatacept for </w:t>
      </w:r>
      <w:r w:rsidRPr="000C178D">
        <w:rPr>
          <w:rFonts w:ascii="Book Antiqua" w:hAnsi="Book Antiqua" w:cs="Times New Roman"/>
          <w:sz w:val="24"/>
          <w:szCs w:val="24"/>
        </w:rPr>
        <w:lastRenderedPageBreak/>
        <w:t>IgG4-related disease over 8</w:t>
      </w:r>
      <w:r w:rsidRPr="000C178D">
        <w:rPr>
          <w:rFonts w:ascii="Times New Roman" w:eastAsia="MS Gothic" w:hAnsi="Times New Roman" w:cs="Times New Roman"/>
          <w:sz w:val="24"/>
          <w:szCs w:val="24"/>
        </w:rPr>
        <w:t> </w:t>
      </w:r>
      <w:r w:rsidRPr="000C178D">
        <w:rPr>
          <w:rFonts w:ascii="Book Antiqua" w:hAnsi="Book Antiqua" w:cs="Times New Roman"/>
          <w:sz w:val="24"/>
          <w:szCs w:val="24"/>
        </w:rPr>
        <w:t xml:space="preserve">months. </w:t>
      </w:r>
      <w:r w:rsidRPr="000C178D">
        <w:rPr>
          <w:rFonts w:ascii="Book Antiqua" w:hAnsi="Book Antiqua" w:cs="Times New Roman"/>
          <w:i/>
          <w:iCs/>
          <w:sz w:val="24"/>
          <w:szCs w:val="24"/>
        </w:rPr>
        <w:t>Ann Rheum Dis</w:t>
      </w:r>
      <w:r w:rsidRPr="000C178D">
        <w:rPr>
          <w:rFonts w:ascii="Book Antiqua" w:hAnsi="Book Antiqua" w:cs="Times New Roman"/>
          <w:sz w:val="24"/>
          <w:szCs w:val="24"/>
        </w:rPr>
        <w:t xml:space="preserve"> 2016; </w:t>
      </w:r>
      <w:r w:rsidRPr="000C178D">
        <w:rPr>
          <w:rFonts w:ascii="Book Antiqua" w:hAnsi="Book Antiqua" w:cs="Times New Roman"/>
          <w:b/>
          <w:bCs/>
          <w:sz w:val="24"/>
          <w:szCs w:val="24"/>
        </w:rPr>
        <w:t>75</w:t>
      </w:r>
      <w:r w:rsidRPr="000C178D">
        <w:rPr>
          <w:rFonts w:ascii="Book Antiqua" w:hAnsi="Book Antiqua" w:cs="Times New Roman"/>
          <w:sz w:val="24"/>
          <w:szCs w:val="24"/>
        </w:rPr>
        <w:t>: 1576-1578 [PMID: 27147710 DOI: 10.1136/annrheumdis-2016-209368]</w:t>
      </w:r>
    </w:p>
    <w:p w14:paraId="4C6AFCFE" w14:textId="77777777" w:rsidR="00B64CD5" w:rsidRPr="000C178D" w:rsidRDefault="00B64CD5" w:rsidP="000C178D">
      <w:pPr>
        <w:snapToGrid w:val="0"/>
        <w:spacing w:after="0" w:line="360" w:lineRule="auto"/>
        <w:jc w:val="both"/>
        <w:rPr>
          <w:rFonts w:ascii="Book Antiqua" w:hAnsi="Book Antiqua" w:cs="Times New Roman"/>
          <w:sz w:val="24"/>
          <w:szCs w:val="24"/>
        </w:rPr>
      </w:pPr>
      <w:r w:rsidRPr="000C178D">
        <w:rPr>
          <w:rFonts w:ascii="Book Antiqua" w:hAnsi="Book Antiqua" w:cs="Times New Roman"/>
          <w:sz w:val="24"/>
          <w:szCs w:val="24"/>
        </w:rPr>
        <w:t xml:space="preserve">37 </w:t>
      </w:r>
      <w:r w:rsidRPr="000C178D">
        <w:rPr>
          <w:rFonts w:ascii="Book Antiqua" w:hAnsi="Book Antiqua" w:cs="Times New Roman"/>
          <w:b/>
          <w:bCs/>
          <w:sz w:val="24"/>
          <w:szCs w:val="24"/>
        </w:rPr>
        <w:t>Yamamoto M</w:t>
      </w:r>
      <w:r w:rsidRPr="000C178D">
        <w:rPr>
          <w:rFonts w:ascii="Book Antiqua" w:hAnsi="Book Antiqua" w:cs="Times New Roman"/>
          <w:sz w:val="24"/>
          <w:szCs w:val="24"/>
        </w:rPr>
        <w:t xml:space="preserve">, Takahashi H, Takano K, </w:t>
      </w:r>
      <w:proofErr w:type="spellStart"/>
      <w:r w:rsidRPr="000C178D">
        <w:rPr>
          <w:rFonts w:ascii="Book Antiqua" w:hAnsi="Book Antiqua" w:cs="Times New Roman"/>
          <w:sz w:val="24"/>
          <w:szCs w:val="24"/>
        </w:rPr>
        <w:t>Himi</w:t>
      </w:r>
      <w:proofErr w:type="spellEnd"/>
      <w:r w:rsidRPr="000C178D">
        <w:rPr>
          <w:rFonts w:ascii="Book Antiqua" w:hAnsi="Book Antiqua" w:cs="Times New Roman"/>
          <w:sz w:val="24"/>
          <w:szCs w:val="24"/>
        </w:rPr>
        <w:t xml:space="preserve"> T, Nakase H. Response to: 'Could abatacept directly target expanded </w:t>
      </w:r>
      <w:proofErr w:type="spellStart"/>
      <w:r w:rsidRPr="000C178D">
        <w:rPr>
          <w:rFonts w:ascii="Book Antiqua" w:hAnsi="Book Antiqua" w:cs="Times New Roman"/>
          <w:sz w:val="24"/>
          <w:szCs w:val="24"/>
        </w:rPr>
        <w:t>plasmablasts</w:t>
      </w:r>
      <w:proofErr w:type="spellEnd"/>
      <w:r w:rsidRPr="000C178D">
        <w:rPr>
          <w:rFonts w:ascii="Book Antiqua" w:hAnsi="Book Antiqua" w:cs="Times New Roman"/>
          <w:sz w:val="24"/>
          <w:szCs w:val="24"/>
        </w:rPr>
        <w:t xml:space="preserve"> in IgG4-related disease?' by Alegria et al. </w:t>
      </w:r>
      <w:r w:rsidRPr="000C178D">
        <w:rPr>
          <w:rFonts w:ascii="Book Antiqua" w:hAnsi="Book Antiqua" w:cs="Times New Roman"/>
          <w:i/>
          <w:iCs/>
          <w:sz w:val="24"/>
          <w:szCs w:val="24"/>
        </w:rPr>
        <w:t>Ann Rheum Dis</w:t>
      </w:r>
      <w:r w:rsidRPr="000C178D">
        <w:rPr>
          <w:rFonts w:ascii="Book Antiqua" w:hAnsi="Book Antiqua" w:cs="Times New Roman"/>
          <w:sz w:val="24"/>
          <w:szCs w:val="24"/>
        </w:rPr>
        <w:t xml:space="preserve"> 2016; </w:t>
      </w:r>
      <w:r w:rsidRPr="000C178D">
        <w:rPr>
          <w:rFonts w:ascii="Book Antiqua" w:hAnsi="Book Antiqua" w:cs="Times New Roman"/>
          <w:b/>
          <w:bCs/>
          <w:sz w:val="24"/>
          <w:szCs w:val="24"/>
        </w:rPr>
        <w:t>75</w:t>
      </w:r>
      <w:r w:rsidRPr="000C178D">
        <w:rPr>
          <w:rFonts w:ascii="Book Antiqua" w:hAnsi="Book Antiqua" w:cs="Times New Roman"/>
          <w:sz w:val="24"/>
          <w:szCs w:val="24"/>
        </w:rPr>
        <w:t>: e74 [PMID: 27651399 DOI: 10.1136/annrheumdis-2016-210403]</w:t>
      </w:r>
    </w:p>
    <w:p w14:paraId="3F78792F" w14:textId="77777777" w:rsidR="00B64CD5" w:rsidRPr="000C178D" w:rsidRDefault="00B64CD5" w:rsidP="000C178D">
      <w:pPr>
        <w:snapToGrid w:val="0"/>
        <w:spacing w:after="0" w:line="360" w:lineRule="auto"/>
        <w:jc w:val="both"/>
        <w:rPr>
          <w:rFonts w:ascii="Book Antiqua" w:hAnsi="Book Antiqua" w:cs="Times New Roman"/>
          <w:sz w:val="24"/>
          <w:szCs w:val="24"/>
        </w:rPr>
      </w:pPr>
      <w:r w:rsidRPr="000C178D">
        <w:rPr>
          <w:rFonts w:ascii="Book Antiqua" w:hAnsi="Book Antiqua" w:cs="Times New Roman"/>
          <w:sz w:val="24"/>
          <w:szCs w:val="24"/>
        </w:rPr>
        <w:t xml:space="preserve">38 </w:t>
      </w:r>
      <w:r w:rsidRPr="000C178D">
        <w:rPr>
          <w:rFonts w:ascii="Book Antiqua" w:hAnsi="Book Antiqua" w:cs="Times New Roman"/>
          <w:b/>
          <w:bCs/>
          <w:sz w:val="24"/>
          <w:szCs w:val="24"/>
        </w:rPr>
        <w:t>Simpson RS</w:t>
      </w:r>
      <w:r w:rsidRPr="000C178D">
        <w:rPr>
          <w:rFonts w:ascii="Book Antiqua" w:hAnsi="Book Antiqua" w:cs="Times New Roman"/>
          <w:sz w:val="24"/>
          <w:szCs w:val="24"/>
        </w:rPr>
        <w:t xml:space="preserve">, Lau SKC, Lee JK. Dupilumab as a novel steroid-sparing treatment for IgG4-related disease. </w:t>
      </w:r>
      <w:r w:rsidRPr="000C178D">
        <w:rPr>
          <w:rFonts w:ascii="Book Antiqua" w:hAnsi="Book Antiqua" w:cs="Times New Roman"/>
          <w:i/>
          <w:iCs/>
          <w:sz w:val="24"/>
          <w:szCs w:val="24"/>
        </w:rPr>
        <w:t>Ann Rheum Dis</w:t>
      </w:r>
      <w:r w:rsidRPr="000C178D">
        <w:rPr>
          <w:rFonts w:ascii="Book Antiqua" w:hAnsi="Book Antiqua" w:cs="Times New Roman"/>
          <w:sz w:val="24"/>
          <w:szCs w:val="24"/>
        </w:rPr>
        <w:t xml:space="preserve"> 2020; </w:t>
      </w:r>
      <w:r w:rsidRPr="000C178D">
        <w:rPr>
          <w:rFonts w:ascii="Book Antiqua" w:hAnsi="Book Antiqua" w:cs="Times New Roman"/>
          <w:b/>
          <w:bCs/>
          <w:sz w:val="24"/>
          <w:szCs w:val="24"/>
        </w:rPr>
        <w:t>79</w:t>
      </w:r>
      <w:r w:rsidRPr="000C178D">
        <w:rPr>
          <w:rFonts w:ascii="Book Antiqua" w:hAnsi="Book Antiqua" w:cs="Times New Roman"/>
          <w:sz w:val="24"/>
          <w:szCs w:val="24"/>
        </w:rPr>
        <w:t>: 549-550 [PMID: 31857343 DOI: 10.1136/annrheumdis-2019-216368]</w:t>
      </w:r>
    </w:p>
    <w:p w14:paraId="0BCDE2E8" w14:textId="77777777" w:rsidR="00B64CD5" w:rsidRPr="000C178D" w:rsidRDefault="00B64CD5" w:rsidP="000C178D">
      <w:pPr>
        <w:snapToGrid w:val="0"/>
        <w:spacing w:after="0" w:line="360" w:lineRule="auto"/>
        <w:jc w:val="both"/>
        <w:rPr>
          <w:rFonts w:ascii="Book Antiqua" w:hAnsi="Book Antiqua" w:cs="Times New Roman"/>
          <w:sz w:val="24"/>
          <w:szCs w:val="24"/>
        </w:rPr>
      </w:pPr>
      <w:r w:rsidRPr="000C178D">
        <w:rPr>
          <w:rFonts w:ascii="Book Antiqua" w:hAnsi="Book Antiqua" w:cs="Times New Roman"/>
          <w:sz w:val="24"/>
          <w:szCs w:val="24"/>
        </w:rPr>
        <w:t xml:space="preserve">39 </w:t>
      </w:r>
      <w:r w:rsidRPr="000C178D">
        <w:rPr>
          <w:rFonts w:ascii="Book Antiqua" w:hAnsi="Book Antiqua" w:cs="Times New Roman"/>
          <w:b/>
          <w:bCs/>
          <w:sz w:val="24"/>
          <w:szCs w:val="24"/>
        </w:rPr>
        <w:t>Balaskas K</w:t>
      </w:r>
      <w:r w:rsidRPr="000C178D">
        <w:rPr>
          <w:rFonts w:ascii="Book Antiqua" w:hAnsi="Book Antiqua" w:cs="Times New Roman"/>
          <w:sz w:val="24"/>
          <w:szCs w:val="24"/>
        </w:rPr>
        <w:t xml:space="preserve">, de </w:t>
      </w:r>
      <w:proofErr w:type="spellStart"/>
      <w:r w:rsidRPr="000C178D">
        <w:rPr>
          <w:rFonts w:ascii="Book Antiqua" w:hAnsi="Book Antiqua" w:cs="Times New Roman"/>
          <w:sz w:val="24"/>
          <w:szCs w:val="24"/>
        </w:rPr>
        <w:t>Leval</w:t>
      </w:r>
      <w:proofErr w:type="spellEnd"/>
      <w:r w:rsidRPr="000C178D">
        <w:rPr>
          <w:rFonts w:ascii="Book Antiqua" w:hAnsi="Book Antiqua" w:cs="Times New Roman"/>
          <w:sz w:val="24"/>
          <w:szCs w:val="24"/>
        </w:rPr>
        <w:t xml:space="preserve"> L, La Corte R, </w:t>
      </w:r>
      <w:proofErr w:type="spellStart"/>
      <w:r w:rsidRPr="000C178D">
        <w:rPr>
          <w:rFonts w:ascii="Book Antiqua" w:hAnsi="Book Antiqua" w:cs="Times New Roman"/>
          <w:sz w:val="24"/>
          <w:szCs w:val="24"/>
        </w:rPr>
        <w:t>Zografos</w:t>
      </w:r>
      <w:proofErr w:type="spellEnd"/>
      <w:r w:rsidRPr="000C178D">
        <w:rPr>
          <w:rFonts w:ascii="Book Antiqua" w:hAnsi="Book Antiqua" w:cs="Times New Roman"/>
          <w:sz w:val="24"/>
          <w:szCs w:val="24"/>
        </w:rPr>
        <w:t xml:space="preserve"> L, </w:t>
      </w:r>
      <w:proofErr w:type="spellStart"/>
      <w:r w:rsidRPr="000C178D">
        <w:rPr>
          <w:rFonts w:ascii="Book Antiqua" w:hAnsi="Book Antiqua" w:cs="Times New Roman"/>
          <w:sz w:val="24"/>
          <w:szCs w:val="24"/>
        </w:rPr>
        <w:t>Guex</w:t>
      </w:r>
      <w:proofErr w:type="spellEnd"/>
      <w:r w:rsidRPr="000C178D">
        <w:rPr>
          <w:rFonts w:ascii="Book Antiqua" w:hAnsi="Book Antiqua" w:cs="Times New Roman"/>
          <w:sz w:val="24"/>
          <w:szCs w:val="24"/>
        </w:rPr>
        <w:t xml:space="preserve">-Crosier Y. Infliximab therapy for a severe case of IgG4-related ocular adnexal disorder recalcitrant to corticosteroid treatment. </w:t>
      </w:r>
      <w:proofErr w:type="spellStart"/>
      <w:r w:rsidRPr="000C178D">
        <w:rPr>
          <w:rFonts w:ascii="Book Antiqua" w:hAnsi="Book Antiqua" w:cs="Times New Roman"/>
          <w:i/>
          <w:iCs/>
          <w:sz w:val="24"/>
          <w:szCs w:val="24"/>
        </w:rPr>
        <w:t>Ocul</w:t>
      </w:r>
      <w:proofErr w:type="spellEnd"/>
      <w:r w:rsidRPr="000C178D">
        <w:rPr>
          <w:rFonts w:ascii="Book Antiqua" w:hAnsi="Book Antiqua" w:cs="Times New Roman"/>
          <w:i/>
          <w:iCs/>
          <w:sz w:val="24"/>
          <w:szCs w:val="24"/>
        </w:rPr>
        <w:t xml:space="preserve"> Immunol </w:t>
      </w:r>
      <w:proofErr w:type="spellStart"/>
      <w:r w:rsidRPr="000C178D">
        <w:rPr>
          <w:rFonts w:ascii="Book Antiqua" w:hAnsi="Book Antiqua" w:cs="Times New Roman"/>
          <w:i/>
          <w:iCs/>
          <w:sz w:val="24"/>
          <w:szCs w:val="24"/>
        </w:rPr>
        <w:t>Inflamm</w:t>
      </w:r>
      <w:proofErr w:type="spellEnd"/>
      <w:r w:rsidRPr="000C178D">
        <w:rPr>
          <w:rFonts w:ascii="Book Antiqua" w:hAnsi="Book Antiqua" w:cs="Times New Roman"/>
          <w:sz w:val="24"/>
          <w:szCs w:val="24"/>
        </w:rPr>
        <w:t xml:space="preserve"> 2012; </w:t>
      </w:r>
      <w:r w:rsidRPr="000C178D">
        <w:rPr>
          <w:rFonts w:ascii="Book Antiqua" w:hAnsi="Book Antiqua" w:cs="Times New Roman"/>
          <w:b/>
          <w:bCs/>
          <w:sz w:val="24"/>
          <w:szCs w:val="24"/>
        </w:rPr>
        <w:t>20</w:t>
      </w:r>
      <w:r w:rsidRPr="000C178D">
        <w:rPr>
          <w:rFonts w:ascii="Book Antiqua" w:hAnsi="Book Antiqua" w:cs="Times New Roman"/>
          <w:sz w:val="24"/>
          <w:szCs w:val="24"/>
        </w:rPr>
        <w:t>: 478-480 [PMID: 22946470 DOI: 10.3109/09273948.2012.714045]</w:t>
      </w:r>
    </w:p>
    <w:p w14:paraId="0B9BE46C" w14:textId="3982CBC4" w:rsidR="00D3224A" w:rsidRPr="000C178D" w:rsidRDefault="00B64CD5" w:rsidP="000C178D">
      <w:pPr>
        <w:snapToGrid w:val="0"/>
        <w:spacing w:after="0" w:line="360" w:lineRule="auto"/>
        <w:jc w:val="both"/>
        <w:rPr>
          <w:rFonts w:ascii="Book Antiqua" w:hAnsi="Book Antiqua" w:cs="Times New Roman"/>
          <w:sz w:val="24"/>
          <w:szCs w:val="24"/>
        </w:rPr>
      </w:pPr>
      <w:r w:rsidRPr="000C178D">
        <w:rPr>
          <w:rFonts w:ascii="Book Antiqua" w:hAnsi="Book Antiqua" w:cs="Times New Roman"/>
          <w:sz w:val="24"/>
          <w:szCs w:val="24"/>
        </w:rPr>
        <w:t xml:space="preserve">40 </w:t>
      </w:r>
      <w:r w:rsidRPr="000C178D">
        <w:rPr>
          <w:rFonts w:ascii="Book Antiqua" w:hAnsi="Book Antiqua" w:cs="Times New Roman"/>
          <w:b/>
          <w:bCs/>
          <w:sz w:val="24"/>
          <w:szCs w:val="24"/>
        </w:rPr>
        <w:t>Carruthers MN</w:t>
      </w:r>
      <w:r w:rsidRPr="000C178D">
        <w:rPr>
          <w:rFonts w:ascii="Book Antiqua" w:hAnsi="Book Antiqua" w:cs="Times New Roman"/>
          <w:sz w:val="24"/>
          <w:szCs w:val="24"/>
        </w:rPr>
        <w:t xml:space="preserve">, Stone JH, Deshpande V, </w:t>
      </w:r>
      <w:proofErr w:type="spellStart"/>
      <w:r w:rsidRPr="000C178D">
        <w:rPr>
          <w:rFonts w:ascii="Book Antiqua" w:hAnsi="Book Antiqua" w:cs="Times New Roman"/>
          <w:sz w:val="24"/>
          <w:szCs w:val="24"/>
        </w:rPr>
        <w:t>Khosroshahi</w:t>
      </w:r>
      <w:proofErr w:type="spellEnd"/>
      <w:r w:rsidRPr="000C178D">
        <w:rPr>
          <w:rFonts w:ascii="Book Antiqua" w:hAnsi="Book Antiqua" w:cs="Times New Roman"/>
          <w:sz w:val="24"/>
          <w:szCs w:val="24"/>
        </w:rPr>
        <w:t xml:space="preserve"> A. Development of an IgG4-RD Responder Index. </w:t>
      </w:r>
      <w:r w:rsidRPr="000C178D">
        <w:rPr>
          <w:rFonts w:ascii="Book Antiqua" w:hAnsi="Book Antiqua" w:cs="Times New Roman"/>
          <w:i/>
          <w:iCs/>
          <w:sz w:val="24"/>
          <w:szCs w:val="24"/>
        </w:rPr>
        <w:t xml:space="preserve">Int J </w:t>
      </w:r>
      <w:proofErr w:type="spellStart"/>
      <w:r w:rsidRPr="000C178D">
        <w:rPr>
          <w:rFonts w:ascii="Book Antiqua" w:hAnsi="Book Antiqua" w:cs="Times New Roman"/>
          <w:i/>
          <w:iCs/>
          <w:sz w:val="24"/>
          <w:szCs w:val="24"/>
        </w:rPr>
        <w:t>Rheumatol</w:t>
      </w:r>
      <w:proofErr w:type="spellEnd"/>
      <w:r w:rsidRPr="000C178D">
        <w:rPr>
          <w:rFonts w:ascii="Book Antiqua" w:hAnsi="Book Antiqua" w:cs="Times New Roman"/>
          <w:sz w:val="24"/>
          <w:szCs w:val="24"/>
        </w:rPr>
        <w:t xml:space="preserve"> 2012; </w:t>
      </w:r>
      <w:r w:rsidRPr="000C178D">
        <w:rPr>
          <w:rFonts w:ascii="Book Antiqua" w:hAnsi="Book Antiqua" w:cs="Times New Roman"/>
          <w:b/>
          <w:bCs/>
          <w:sz w:val="24"/>
          <w:szCs w:val="24"/>
        </w:rPr>
        <w:t>2012</w:t>
      </w:r>
      <w:r w:rsidRPr="000C178D">
        <w:rPr>
          <w:rFonts w:ascii="Book Antiqua" w:hAnsi="Book Antiqua" w:cs="Times New Roman"/>
          <w:sz w:val="24"/>
          <w:szCs w:val="24"/>
        </w:rPr>
        <w:t>: 259408 [PMID: 22611406 DOI: 10.1155/2012/259408]</w:t>
      </w:r>
    </w:p>
    <w:p w14:paraId="25108CE9" w14:textId="77777777" w:rsidR="00D3224A" w:rsidRPr="000C178D" w:rsidRDefault="00D3224A" w:rsidP="000C178D">
      <w:pPr>
        <w:snapToGrid w:val="0"/>
        <w:spacing w:after="0" w:line="360" w:lineRule="auto"/>
        <w:rPr>
          <w:rFonts w:ascii="Book Antiqua" w:hAnsi="Book Antiqua" w:cs="Times New Roman"/>
          <w:sz w:val="24"/>
          <w:szCs w:val="24"/>
        </w:rPr>
      </w:pPr>
      <w:r w:rsidRPr="000C178D">
        <w:rPr>
          <w:rFonts w:ascii="Book Antiqua" w:hAnsi="Book Antiqua" w:cs="Times New Roman"/>
          <w:sz w:val="24"/>
          <w:szCs w:val="24"/>
        </w:rPr>
        <w:br w:type="page"/>
      </w:r>
    </w:p>
    <w:p w14:paraId="62A15DDE" w14:textId="4DB1A0B2" w:rsidR="00D3224A" w:rsidRPr="000C178D" w:rsidRDefault="00D3224A" w:rsidP="000C178D">
      <w:pPr>
        <w:snapToGrid w:val="0"/>
        <w:spacing w:after="0" w:line="360" w:lineRule="auto"/>
        <w:jc w:val="both"/>
        <w:rPr>
          <w:rFonts w:ascii="Book Antiqua" w:eastAsia="Times New Roman" w:hAnsi="Book Antiqua" w:cs="Times New Roman"/>
          <w:b/>
          <w:color w:val="000000"/>
          <w:sz w:val="24"/>
          <w:szCs w:val="24"/>
          <w:lang w:eastAsia="de-DE"/>
        </w:rPr>
      </w:pPr>
      <w:r w:rsidRPr="000C178D">
        <w:rPr>
          <w:rFonts w:ascii="Book Antiqua" w:eastAsia="Times New Roman" w:hAnsi="Book Antiqua" w:cs="Times New Roman"/>
          <w:b/>
          <w:color w:val="000000"/>
          <w:sz w:val="24"/>
          <w:szCs w:val="24"/>
          <w:lang w:eastAsia="de-DE"/>
        </w:rPr>
        <w:lastRenderedPageBreak/>
        <w:t>Footnotes</w:t>
      </w:r>
    </w:p>
    <w:p w14:paraId="4A80700D" w14:textId="5346EA8F" w:rsidR="00D3224A" w:rsidRPr="000C178D" w:rsidRDefault="00D3224A" w:rsidP="000C178D">
      <w:pPr>
        <w:snapToGrid w:val="0"/>
        <w:spacing w:after="0" w:line="360" w:lineRule="auto"/>
        <w:jc w:val="both"/>
        <w:rPr>
          <w:rFonts w:ascii="Book Antiqua" w:eastAsia="Times New Roman" w:hAnsi="Book Antiqua" w:cs="Times New Roman"/>
          <w:color w:val="000000"/>
          <w:sz w:val="24"/>
          <w:szCs w:val="24"/>
          <w:lang w:eastAsia="de-DE"/>
        </w:rPr>
      </w:pPr>
      <w:r w:rsidRPr="000C178D">
        <w:rPr>
          <w:rFonts w:ascii="Book Antiqua" w:eastAsia="Times New Roman" w:hAnsi="Book Antiqua" w:cs="Times New Roman"/>
          <w:b/>
          <w:color w:val="000000"/>
          <w:sz w:val="24"/>
          <w:szCs w:val="24"/>
          <w:lang w:eastAsia="de-DE"/>
        </w:rPr>
        <w:t xml:space="preserve">Informed consent: </w:t>
      </w:r>
      <w:r w:rsidRPr="000C178D">
        <w:rPr>
          <w:rFonts w:ascii="Book Antiqua" w:eastAsia="Times New Roman" w:hAnsi="Book Antiqua" w:cs="Times New Roman"/>
          <w:color w:val="000000"/>
          <w:sz w:val="24"/>
          <w:szCs w:val="24"/>
          <w:lang w:eastAsia="de-DE"/>
        </w:rPr>
        <w:t>Informed written consent was obtained from the patient for the publication of this report and any accompanying images.</w:t>
      </w:r>
    </w:p>
    <w:p w14:paraId="3C57887A" w14:textId="77777777" w:rsidR="00D3224A" w:rsidRPr="000C178D" w:rsidRDefault="00D3224A" w:rsidP="000C178D">
      <w:pPr>
        <w:snapToGrid w:val="0"/>
        <w:spacing w:after="0" w:line="360" w:lineRule="auto"/>
        <w:jc w:val="both"/>
        <w:rPr>
          <w:rFonts w:ascii="Book Antiqua" w:eastAsia="Times New Roman" w:hAnsi="Book Antiqua" w:cs="Times New Roman"/>
          <w:b/>
          <w:color w:val="000000"/>
          <w:sz w:val="24"/>
          <w:szCs w:val="24"/>
          <w:lang w:eastAsia="de-DE"/>
        </w:rPr>
      </w:pPr>
    </w:p>
    <w:p w14:paraId="051B7D6D" w14:textId="77777777" w:rsidR="00D3224A" w:rsidRPr="000C178D" w:rsidRDefault="00D3224A" w:rsidP="000C178D">
      <w:pPr>
        <w:snapToGrid w:val="0"/>
        <w:spacing w:after="0" w:line="360" w:lineRule="auto"/>
        <w:jc w:val="both"/>
        <w:rPr>
          <w:rFonts w:ascii="Book Antiqua" w:eastAsia="Times New Roman" w:hAnsi="Book Antiqua" w:cs="Times New Roman"/>
          <w:color w:val="000000"/>
          <w:sz w:val="24"/>
          <w:szCs w:val="24"/>
          <w:lang w:eastAsia="de-DE"/>
        </w:rPr>
      </w:pPr>
      <w:r w:rsidRPr="000C178D">
        <w:rPr>
          <w:rFonts w:ascii="Book Antiqua" w:eastAsia="Times New Roman" w:hAnsi="Book Antiqua" w:cs="Times New Roman"/>
          <w:b/>
          <w:color w:val="000000"/>
          <w:sz w:val="24"/>
          <w:szCs w:val="24"/>
          <w:lang w:eastAsia="de-DE"/>
        </w:rPr>
        <w:t>Conflict-of-interest statement</w:t>
      </w:r>
      <w:r w:rsidRPr="000C178D">
        <w:rPr>
          <w:rFonts w:ascii="Book Antiqua" w:eastAsia="Times New Roman" w:hAnsi="Book Antiqua" w:cs="Times New Roman"/>
          <w:color w:val="000000"/>
          <w:sz w:val="24"/>
          <w:szCs w:val="24"/>
          <w:lang w:eastAsia="de-DE"/>
        </w:rPr>
        <w:t>: The authors declare that they have no conflicts of interest.</w:t>
      </w:r>
    </w:p>
    <w:p w14:paraId="0AA76E8E" w14:textId="77777777" w:rsidR="00D3224A" w:rsidRPr="000C178D" w:rsidRDefault="00D3224A" w:rsidP="000C178D">
      <w:pPr>
        <w:snapToGrid w:val="0"/>
        <w:spacing w:after="0" w:line="360" w:lineRule="auto"/>
        <w:jc w:val="both"/>
        <w:rPr>
          <w:rFonts w:ascii="Book Antiqua" w:eastAsia="Times New Roman" w:hAnsi="Book Antiqua" w:cs="Times New Roman"/>
          <w:b/>
          <w:color w:val="000000"/>
          <w:sz w:val="24"/>
          <w:szCs w:val="24"/>
          <w:lang w:eastAsia="de-DE"/>
        </w:rPr>
      </w:pPr>
    </w:p>
    <w:p w14:paraId="5448FAA7" w14:textId="77777777" w:rsidR="00D3224A" w:rsidRPr="000C178D" w:rsidRDefault="00D3224A" w:rsidP="000C178D">
      <w:pPr>
        <w:autoSpaceDE w:val="0"/>
        <w:autoSpaceDN w:val="0"/>
        <w:adjustRightInd w:val="0"/>
        <w:snapToGrid w:val="0"/>
        <w:spacing w:after="0" w:line="360" w:lineRule="auto"/>
        <w:rPr>
          <w:rFonts w:ascii="Book Antiqua" w:hAnsi="Book Antiqua" w:cs="Times New Roman"/>
          <w:sz w:val="24"/>
          <w:szCs w:val="24"/>
        </w:rPr>
      </w:pPr>
      <w:r w:rsidRPr="000C178D">
        <w:rPr>
          <w:rFonts w:ascii="Book Antiqua" w:hAnsi="Book Antiqua" w:cs="Times New Roman"/>
          <w:b/>
          <w:sz w:val="24"/>
          <w:szCs w:val="24"/>
        </w:rPr>
        <w:t>CARE Checklist (2016) statement</w:t>
      </w:r>
      <w:r w:rsidRPr="000C178D">
        <w:rPr>
          <w:rFonts w:ascii="Book Antiqua" w:hAnsi="Book Antiqua" w:cs="Times New Roman"/>
          <w:sz w:val="24"/>
          <w:szCs w:val="24"/>
        </w:rPr>
        <w:t>: The authors have read the CARE Checklist (2016), and the manuscript was prepared and revised according to the CARE Checklist (2016).</w:t>
      </w:r>
    </w:p>
    <w:p w14:paraId="0EC4B3EF" w14:textId="77777777" w:rsidR="00D3224A" w:rsidRPr="000C178D" w:rsidRDefault="00D3224A" w:rsidP="000C178D">
      <w:pPr>
        <w:snapToGrid w:val="0"/>
        <w:spacing w:after="0" w:line="360" w:lineRule="auto"/>
        <w:jc w:val="both"/>
        <w:rPr>
          <w:rFonts w:ascii="Book Antiqua" w:hAnsi="Book Antiqua" w:cs="Times New Roman"/>
          <w:sz w:val="24"/>
          <w:szCs w:val="24"/>
        </w:rPr>
      </w:pPr>
    </w:p>
    <w:p w14:paraId="2B379471" w14:textId="3AF0B6FF" w:rsidR="00D3224A" w:rsidRPr="000C178D" w:rsidRDefault="00D3224A" w:rsidP="000C178D">
      <w:pPr>
        <w:snapToGrid w:val="0"/>
        <w:spacing w:after="0" w:line="360" w:lineRule="auto"/>
        <w:jc w:val="both"/>
        <w:rPr>
          <w:rFonts w:ascii="Book Antiqua" w:eastAsia="Times New Roman" w:hAnsi="Book Antiqua" w:cs="Times New Roman"/>
          <w:b/>
          <w:color w:val="000000"/>
          <w:sz w:val="24"/>
          <w:szCs w:val="24"/>
          <w:lang w:eastAsia="de-DE"/>
        </w:rPr>
      </w:pPr>
      <w:r w:rsidRPr="000C178D">
        <w:rPr>
          <w:rFonts w:ascii="Book Antiqua" w:hAnsi="Book Antiqua" w:cs="Times New Roman"/>
          <w:b/>
          <w:sz w:val="24"/>
          <w:szCs w:val="24"/>
        </w:rPr>
        <w:t>Open-Access:</w:t>
      </w:r>
      <w:r w:rsidRPr="000C178D">
        <w:rPr>
          <w:rFonts w:ascii="Book Antiqua" w:hAnsi="Book Antiqua" w:cs="Times New Roman"/>
          <w:sz w:val="24"/>
          <w:szCs w:val="24"/>
        </w:rPr>
        <w:t xml:space="preserve"> This article is an open-access article which was selected by an in-house editor and fully peer-reviewed by external reviewers. It is distributed in accordance with the Creative </w:t>
      </w:r>
      <w:r w:rsidR="004D27D8" w:rsidRPr="000C178D">
        <w:rPr>
          <w:rFonts w:ascii="Book Antiqua" w:hAnsi="Book Antiqua" w:cs="Times New Roman"/>
          <w:sz w:val="24"/>
          <w:szCs w:val="24"/>
        </w:rPr>
        <w:t xml:space="preserve">Commons Attribution </w:t>
      </w:r>
      <w:proofErr w:type="spellStart"/>
      <w:r w:rsidR="004D27D8" w:rsidRPr="000C178D">
        <w:rPr>
          <w:rFonts w:ascii="Book Antiqua" w:hAnsi="Book Antiqua" w:cs="Times New Roman"/>
          <w:sz w:val="24"/>
          <w:szCs w:val="24"/>
        </w:rPr>
        <w:t>Non</w:t>
      </w:r>
      <w:r w:rsidRPr="000C178D">
        <w:rPr>
          <w:rFonts w:ascii="Book Antiqua" w:hAnsi="Book Antiqua" w:cs="Times New Roman"/>
          <w:sz w:val="24"/>
          <w:szCs w:val="24"/>
        </w:rPr>
        <w:t>Commercial</w:t>
      </w:r>
      <w:proofErr w:type="spellEnd"/>
      <w:r w:rsidRPr="000C178D">
        <w:rPr>
          <w:rFonts w:ascii="Book Antiqua" w:hAnsi="Book Antiqua" w:cs="Times New Roman"/>
          <w:sz w:val="24"/>
          <w:szCs w:val="24"/>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75961BC8" w14:textId="6C410222" w:rsidR="00385DBD" w:rsidRPr="000C178D" w:rsidRDefault="00385DBD" w:rsidP="000C178D">
      <w:pPr>
        <w:snapToGrid w:val="0"/>
        <w:spacing w:after="0" w:line="360" w:lineRule="auto"/>
        <w:jc w:val="both"/>
        <w:rPr>
          <w:rFonts w:ascii="Book Antiqua" w:hAnsi="Book Antiqua" w:cs="Times New Roman"/>
          <w:sz w:val="24"/>
          <w:szCs w:val="24"/>
          <w:lang w:val="lt-LT"/>
        </w:rPr>
      </w:pPr>
    </w:p>
    <w:p w14:paraId="1ABD6F3D" w14:textId="572B6AFC" w:rsidR="00D3224A" w:rsidRPr="000C178D" w:rsidRDefault="00D3224A" w:rsidP="000C178D">
      <w:pPr>
        <w:pStyle w:val="Default"/>
        <w:snapToGrid w:val="0"/>
        <w:spacing w:line="360" w:lineRule="auto"/>
      </w:pPr>
      <w:r w:rsidRPr="000C178D">
        <w:rPr>
          <w:b/>
          <w:bCs/>
        </w:rPr>
        <w:t xml:space="preserve">Manuscript source: </w:t>
      </w:r>
      <w:r w:rsidRPr="000C178D">
        <w:t xml:space="preserve">Unsolicited manuscript </w:t>
      </w:r>
    </w:p>
    <w:p w14:paraId="0DFDB5AC" w14:textId="77777777" w:rsidR="00D3224A" w:rsidRPr="000C178D" w:rsidRDefault="00D3224A" w:rsidP="000C178D">
      <w:pPr>
        <w:pStyle w:val="Default"/>
        <w:snapToGrid w:val="0"/>
        <w:spacing w:line="360" w:lineRule="auto"/>
      </w:pPr>
    </w:p>
    <w:p w14:paraId="70612AEF" w14:textId="6D6E2331" w:rsidR="00D3224A" w:rsidRPr="000C178D" w:rsidRDefault="00D3224A" w:rsidP="000C178D">
      <w:pPr>
        <w:pStyle w:val="Default"/>
        <w:snapToGrid w:val="0"/>
        <w:spacing w:line="360" w:lineRule="auto"/>
        <w:jc w:val="both"/>
        <w:rPr>
          <w:b/>
          <w:bCs/>
        </w:rPr>
      </w:pPr>
      <w:r w:rsidRPr="000C178D">
        <w:rPr>
          <w:b/>
          <w:bCs/>
        </w:rPr>
        <w:t>Corresponding Author's Membership in Professional Societies:</w:t>
      </w:r>
      <w:r w:rsidR="00C47A87" w:rsidRPr="000C178D">
        <w:rPr>
          <w:b/>
          <w:bCs/>
          <w:lang w:eastAsia="zh-CN"/>
        </w:rPr>
        <w:t xml:space="preserve"> </w:t>
      </w:r>
      <w:r w:rsidRPr="000C178D">
        <w:rPr>
          <w:rFonts w:cs="Times New Roman"/>
          <w:color w:val="auto"/>
          <w:lang w:val="lt-LT"/>
        </w:rPr>
        <w:t>Lithuanian Society of Gastroenterology</w:t>
      </w:r>
      <w:r w:rsidR="00C47A87" w:rsidRPr="000C178D">
        <w:rPr>
          <w:bCs/>
          <w:lang w:val="lt-LT" w:eastAsia="zh-CN"/>
        </w:rPr>
        <w:t xml:space="preserve">, </w:t>
      </w:r>
      <w:r w:rsidRPr="000C178D">
        <w:rPr>
          <w:rFonts w:cs="Times New Roman"/>
          <w:color w:val="auto"/>
          <w:lang w:val="lt-LT"/>
        </w:rPr>
        <w:t>United European Gastroenterology</w:t>
      </w:r>
      <w:r w:rsidR="00C76870" w:rsidRPr="000C178D">
        <w:rPr>
          <w:rFonts w:cs="Times New Roman"/>
          <w:color w:val="auto"/>
          <w:lang w:val="lt-LT"/>
        </w:rPr>
        <w:t>.</w:t>
      </w:r>
    </w:p>
    <w:p w14:paraId="4AE3CBEC" w14:textId="77777777" w:rsidR="00D3224A" w:rsidRPr="000C178D" w:rsidRDefault="00D3224A" w:rsidP="000C178D">
      <w:pPr>
        <w:pStyle w:val="Default"/>
        <w:snapToGrid w:val="0"/>
        <w:spacing w:line="360" w:lineRule="auto"/>
      </w:pPr>
    </w:p>
    <w:p w14:paraId="5AB9005E" w14:textId="3644EB20" w:rsidR="00D3224A" w:rsidRPr="000C178D" w:rsidRDefault="00D3224A" w:rsidP="000C178D">
      <w:pPr>
        <w:pStyle w:val="Default"/>
        <w:snapToGrid w:val="0"/>
        <w:spacing w:line="360" w:lineRule="auto"/>
      </w:pPr>
      <w:r w:rsidRPr="000C178D">
        <w:rPr>
          <w:b/>
          <w:bCs/>
        </w:rPr>
        <w:t xml:space="preserve">Peer-review started: </w:t>
      </w:r>
      <w:r w:rsidRPr="000C178D">
        <w:rPr>
          <w:bCs/>
        </w:rPr>
        <w:t xml:space="preserve">April </w:t>
      </w:r>
      <w:r w:rsidRPr="000C178D">
        <w:t>15, 20</w:t>
      </w:r>
      <w:r w:rsidR="00C47A87" w:rsidRPr="000C178D">
        <w:t>20</w:t>
      </w:r>
      <w:r w:rsidRPr="000C178D">
        <w:t xml:space="preserve"> </w:t>
      </w:r>
    </w:p>
    <w:p w14:paraId="06500592" w14:textId="78E1D01A" w:rsidR="00D3224A" w:rsidRPr="000C178D" w:rsidRDefault="00D3224A" w:rsidP="000C178D">
      <w:pPr>
        <w:pStyle w:val="Default"/>
        <w:snapToGrid w:val="0"/>
        <w:spacing w:line="360" w:lineRule="auto"/>
      </w:pPr>
      <w:r w:rsidRPr="000C178D">
        <w:rPr>
          <w:b/>
          <w:bCs/>
        </w:rPr>
        <w:t xml:space="preserve">First decision: </w:t>
      </w:r>
      <w:r w:rsidRPr="000C178D">
        <w:rPr>
          <w:bCs/>
        </w:rPr>
        <w:t>April 26</w:t>
      </w:r>
      <w:r w:rsidRPr="000C178D">
        <w:t>, 20</w:t>
      </w:r>
      <w:r w:rsidR="00C47A87" w:rsidRPr="000C178D">
        <w:t>20</w:t>
      </w:r>
    </w:p>
    <w:p w14:paraId="46F26956" w14:textId="6CF59659" w:rsidR="00D3224A" w:rsidRPr="000C178D" w:rsidRDefault="00D3224A" w:rsidP="000C178D">
      <w:pPr>
        <w:pStyle w:val="Default"/>
        <w:snapToGrid w:val="0"/>
        <w:spacing w:line="360" w:lineRule="auto"/>
        <w:rPr>
          <w:b/>
          <w:bCs/>
        </w:rPr>
      </w:pPr>
      <w:r w:rsidRPr="000C178D">
        <w:rPr>
          <w:b/>
          <w:bCs/>
        </w:rPr>
        <w:t xml:space="preserve">Article in press: </w:t>
      </w:r>
    </w:p>
    <w:p w14:paraId="2495C626" w14:textId="77777777" w:rsidR="00D3224A" w:rsidRPr="000C178D" w:rsidRDefault="00D3224A" w:rsidP="000C178D">
      <w:pPr>
        <w:pStyle w:val="Default"/>
        <w:snapToGrid w:val="0"/>
        <w:spacing w:line="360" w:lineRule="auto"/>
      </w:pPr>
    </w:p>
    <w:p w14:paraId="5CBFE407" w14:textId="02BCEB5E" w:rsidR="00D3224A" w:rsidRPr="000C178D" w:rsidRDefault="00D3224A" w:rsidP="000C178D">
      <w:pPr>
        <w:pStyle w:val="Default"/>
        <w:snapToGrid w:val="0"/>
        <w:spacing w:line="360" w:lineRule="auto"/>
      </w:pPr>
      <w:r w:rsidRPr="000C178D">
        <w:rPr>
          <w:b/>
          <w:bCs/>
        </w:rPr>
        <w:t xml:space="preserve">Specialty type: </w:t>
      </w:r>
      <w:r w:rsidRPr="000C178D">
        <w:t xml:space="preserve">Medicine, research and experimental </w:t>
      </w:r>
    </w:p>
    <w:p w14:paraId="489BCDF0" w14:textId="5D969271" w:rsidR="00D3224A" w:rsidRPr="000C178D" w:rsidRDefault="00D3224A" w:rsidP="000C178D">
      <w:pPr>
        <w:pStyle w:val="Default"/>
        <w:snapToGrid w:val="0"/>
        <w:spacing w:line="360" w:lineRule="auto"/>
      </w:pPr>
      <w:r w:rsidRPr="000C178D">
        <w:rPr>
          <w:b/>
          <w:bCs/>
        </w:rPr>
        <w:t xml:space="preserve">Country/Territory of origin: </w:t>
      </w:r>
      <w:r w:rsidRPr="000C178D">
        <w:t>Lithuania</w:t>
      </w:r>
    </w:p>
    <w:p w14:paraId="747CDA28" w14:textId="77777777" w:rsidR="00D3224A" w:rsidRPr="000C178D" w:rsidRDefault="00D3224A" w:rsidP="000C178D">
      <w:pPr>
        <w:pStyle w:val="Default"/>
        <w:snapToGrid w:val="0"/>
        <w:spacing w:line="360" w:lineRule="auto"/>
      </w:pPr>
    </w:p>
    <w:p w14:paraId="1C385186" w14:textId="34A54FE8" w:rsidR="00D3224A" w:rsidRPr="000C178D" w:rsidRDefault="00D3224A" w:rsidP="000C178D">
      <w:pPr>
        <w:pStyle w:val="Default"/>
        <w:snapToGrid w:val="0"/>
        <w:spacing w:line="360" w:lineRule="auto"/>
      </w:pPr>
      <w:r w:rsidRPr="000C178D">
        <w:rPr>
          <w:b/>
          <w:bCs/>
        </w:rPr>
        <w:lastRenderedPageBreak/>
        <w:t>Peer-review report</w:t>
      </w:r>
      <w:r w:rsidR="00F80C8F" w:rsidRPr="000C178D">
        <w:rPr>
          <w:b/>
          <w:bCs/>
        </w:rPr>
        <w:t>'</w:t>
      </w:r>
      <w:r w:rsidRPr="000C178D">
        <w:rPr>
          <w:b/>
          <w:bCs/>
        </w:rPr>
        <w:t xml:space="preserve">s scientific quality classification </w:t>
      </w:r>
    </w:p>
    <w:p w14:paraId="6E0BE822" w14:textId="2542B180" w:rsidR="00D3224A" w:rsidRPr="000C178D" w:rsidRDefault="00D3224A" w:rsidP="000C178D">
      <w:pPr>
        <w:pStyle w:val="Default"/>
        <w:snapToGrid w:val="0"/>
        <w:spacing w:line="360" w:lineRule="auto"/>
      </w:pPr>
      <w:r w:rsidRPr="000C178D">
        <w:t xml:space="preserve">Grade A (Excellent): </w:t>
      </w:r>
      <w:r w:rsidR="002828CD" w:rsidRPr="000C178D">
        <w:t>0</w:t>
      </w:r>
    </w:p>
    <w:p w14:paraId="7EB07A03" w14:textId="43E4171D" w:rsidR="00D3224A" w:rsidRPr="000C178D" w:rsidRDefault="00D3224A" w:rsidP="000C178D">
      <w:pPr>
        <w:pStyle w:val="Default"/>
        <w:snapToGrid w:val="0"/>
        <w:spacing w:line="360" w:lineRule="auto"/>
        <w:rPr>
          <w:color w:val="auto"/>
        </w:rPr>
      </w:pPr>
      <w:r w:rsidRPr="000C178D">
        <w:rPr>
          <w:color w:val="auto"/>
        </w:rPr>
        <w:t xml:space="preserve">Grade B (Very good): </w:t>
      </w:r>
      <w:r w:rsidR="00F80C8F" w:rsidRPr="000C178D">
        <w:rPr>
          <w:color w:val="auto"/>
        </w:rPr>
        <w:t>0</w:t>
      </w:r>
    </w:p>
    <w:p w14:paraId="5345B050" w14:textId="3FC78E36" w:rsidR="00D3224A" w:rsidRPr="000C178D" w:rsidRDefault="00D3224A" w:rsidP="000C178D">
      <w:pPr>
        <w:pStyle w:val="Default"/>
        <w:snapToGrid w:val="0"/>
        <w:spacing w:line="360" w:lineRule="auto"/>
        <w:rPr>
          <w:color w:val="auto"/>
        </w:rPr>
      </w:pPr>
      <w:r w:rsidRPr="000C178D">
        <w:rPr>
          <w:color w:val="auto"/>
        </w:rPr>
        <w:t xml:space="preserve">Grade C (Good): </w:t>
      </w:r>
      <w:r w:rsidR="002828CD" w:rsidRPr="000C178D">
        <w:rPr>
          <w:color w:val="auto"/>
        </w:rPr>
        <w:t>C</w:t>
      </w:r>
    </w:p>
    <w:p w14:paraId="3389C435" w14:textId="68B16BDD" w:rsidR="00D3224A" w:rsidRPr="000C178D" w:rsidRDefault="00D3224A" w:rsidP="000C178D">
      <w:pPr>
        <w:pStyle w:val="Default"/>
        <w:snapToGrid w:val="0"/>
        <w:spacing w:line="360" w:lineRule="auto"/>
        <w:rPr>
          <w:color w:val="auto"/>
        </w:rPr>
      </w:pPr>
      <w:r w:rsidRPr="000C178D">
        <w:rPr>
          <w:color w:val="auto"/>
        </w:rPr>
        <w:t xml:space="preserve">Grade D (Fair): </w:t>
      </w:r>
      <w:r w:rsidR="002828CD" w:rsidRPr="000C178D">
        <w:rPr>
          <w:color w:val="auto"/>
        </w:rPr>
        <w:t>0</w:t>
      </w:r>
    </w:p>
    <w:p w14:paraId="4738E23F" w14:textId="5907A37C" w:rsidR="00D3224A" w:rsidRPr="000C178D" w:rsidRDefault="00D3224A" w:rsidP="000C178D">
      <w:pPr>
        <w:pStyle w:val="Default"/>
        <w:snapToGrid w:val="0"/>
        <w:spacing w:line="360" w:lineRule="auto"/>
        <w:rPr>
          <w:color w:val="auto"/>
        </w:rPr>
      </w:pPr>
      <w:r w:rsidRPr="000C178D">
        <w:rPr>
          <w:color w:val="auto"/>
        </w:rPr>
        <w:t xml:space="preserve">Grade E (Poor): </w:t>
      </w:r>
      <w:r w:rsidR="002828CD" w:rsidRPr="000C178D">
        <w:rPr>
          <w:color w:val="auto"/>
        </w:rPr>
        <w:t>0</w:t>
      </w:r>
    </w:p>
    <w:p w14:paraId="07FA5E1D" w14:textId="77777777" w:rsidR="00D3224A" w:rsidRPr="000C178D" w:rsidRDefault="00D3224A" w:rsidP="000C178D">
      <w:pPr>
        <w:pStyle w:val="Default"/>
        <w:snapToGrid w:val="0"/>
        <w:spacing w:line="360" w:lineRule="auto"/>
        <w:rPr>
          <w:color w:val="auto"/>
        </w:rPr>
      </w:pPr>
    </w:p>
    <w:p w14:paraId="14FBD388" w14:textId="6E6D6651" w:rsidR="00D3224A" w:rsidRPr="000C178D" w:rsidRDefault="00D3224A" w:rsidP="000C178D">
      <w:pPr>
        <w:snapToGrid w:val="0"/>
        <w:spacing w:after="0" w:line="360" w:lineRule="auto"/>
        <w:jc w:val="both"/>
        <w:rPr>
          <w:rFonts w:ascii="Book Antiqua" w:hAnsi="Book Antiqua"/>
          <w:sz w:val="24"/>
          <w:szCs w:val="24"/>
        </w:rPr>
      </w:pPr>
      <w:r w:rsidRPr="000C178D">
        <w:rPr>
          <w:rFonts w:ascii="Book Antiqua" w:hAnsi="Book Antiqua"/>
          <w:b/>
          <w:bCs/>
          <w:sz w:val="24"/>
          <w:szCs w:val="24"/>
        </w:rPr>
        <w:t xml:space="preserve">P-Reviewer: </w:t>
      </w:r>
      <w:proofErr w:type="spellStart"/>
      <w:r w:rsidR="00C47A87" w:rsidRPr="000C178D">
        <w:rPr>
          <w:rFonts w:ascii="Book Antiqua" w:hAnsi="Book Antiqua"/>
          <w:sz w:val="24"/>
          <w:szCs w:val="24"/>
        </w:rPr>
        <w:t>Erdei</w:t>
      </w:r>
      <w:proofErr w:type="spellEnd"/>
      <w:r w:rsidR="00C47A87" w:rsidRPr="000C178D">
        <w:rPr>
          <w:rFonts w:ascii="Book Antiqua" w:hAnsi="Book Antiqua"/>
          <w:sz w:val="24"/>
          <w:szCs w:val="24"/>
          <w:lang w:eastAsia="zh-CN"/>
        </w:rPr>
        <w:t xml:space="preserve"> </w:t>
      </w:r>
      <w:r w:rsidR="00C47A87" w:rsidRPr="000C178D">
        <w:rPr>
          <w:rFonts w:ascii="Book Antiqua" w:hAnsi="Book Antiqua"/>
          <w:sz w:val="24"/>
          <w:szCs w:val="24"/>
        </w:rPr>
        <w:t xml:space="preserve">A </w:t>
      </w:r>
      <w:r w:rsidRPr="000C178D">
        <w:rPr>
          <w:rFonts w:ascii="Book Antiqua" w:hAnsi="Book Antiqua"/>
          <w:b/>
          <w:bCs/>
          <w:sz w:val="24"/>
          <w:szCs w:val="24"/>
        </w:rPr>
        <w:t xml:space="preserve">S-Editor: </w:t>
      </w:r>
      <w:r w:rsidR="00C47A87" w:rsidRPr="000C178D">
        <w:rPr>
          <w:rFonts w:ascii="Book Antiqua" w:hAnsi="Book Antiqua"/>
          <w:sz w:val="24"/>
          <w:szCs w:val="24"/>
        </w:rPr>
        <w:t>Liu M</w:t>
      </w:r>
      <w:r w:rsidR="00C47A87" w:rsidRPr="000C178D">
        <w:rPr>
          <w:rFonts w:ascii="Book Antiqua" w:hAnsi="Book Antiqua"/>
          <w:sz w:val="24"/>
          <w:szCs w:val="24"/>
          <w:lang w:eastAsia="zh-CN"/>
        </w:rPr>
        <w:t xml:space="preserve"> </w:t>
      </w:r>
      <w:r w:rsidRPr="000C178D">
        <w:rPr>
          <w:rFonts w:ascii="Book Antiqua" w:hAnsi="Book Antiqua"/>
          <w:b/>
          <w:bCs/>
          <w:sz w:val="24"/>
          <w:szCs w:val="24"/>
        </w:rPr>
        <w:t>L-Editor:</w:t>
      </w:r>
      <w:r w:rsidR="004312E3" w:rsidRPr="000C178D">
        <w:rPr>
          <w:rFonts w:ascii="Book Antiqua" w:hAnsi="Book Antiqua"/>
          <w:b/>
          <w:bCs/>
          <w:sz w:val="24"/>
          <w:szCs w:val="24"/>
        </w:rPr>
        <w:t xml:space="preserve"> </w:t>
      </w:r>
      <w:r w:rsidRPr="000C178D">
        <w:rPr>
          <w:rFonts w:ascii="Book Antiqua" w:hAnsi="Book Antiqua"/>
          <w:b/>
          <w:bCs/>
          <w:sz w:val="24"/>
          <w:szCs w:val="24"/>
        </w:rPr>
        <w:t>E-Editor:</w:t>
      </w:r>
    </w:p>
    <w:p w14:paraId="45D74C3E" w14:textId="727B6A68" w:rsidR="00B64CD5" w:rsidRPr="000C178D" w:rsidRDefault="00B64CD5" w:rsidP="000C178D">
      <w:pPr>
        <w:snapToGrid w:val="0"/>
        <w:spacing w:after="0" w:line="360" w:lineRule="auto"/>
        <w:jc w:val="both"/>
        <w:rPr>
          <w:rFonts w:ascii="Book Antiqua" w:hAnsi="Book Antiqua"/>
          <w:b/>
          <w:bCs/>
          <w:sz w:val="24"/>
          <w:szCs w:val="24"/>
        </w:rPr>
      </w:pPr>
      <w:r w:rsidRPr="000C178D">
        <w:rPr>
          <w:rFonts w:ascii="Book Antiqua" w:hAnsi="Book Antiqua"/>
          <w:b/>
          <w:bCs/>
          <w:sz w:val="24"/>
          <w:szCs w:val="24"/>
        </w:rPr>
        <w:br w:type="page"/>
      </w:r>
    </w:p>
    <w:p w14:paraId="36BAE430" w14:textId="77777777" w:rsidR="001A41CF" w:rsidRPr="000C178D" w:rsidRDefault="001A41CF" w:rsidP="000C178D">
      <w:pPr>
        <w:adjustRightInd w:val="0"/>
        <w:snapToGrid w:val="0"/>
        <w:spacing w:after="0" w:line="360" w:lineRule="auto"/>
        <w:jc w:val="both"/>
        <w:rPr>
          <w:rFonts w:ascii="Book Antiqua" w:hAnsi="Book Antiqua"/>
          <w:b/>
          <w:sz w:val="24"/>
          <w:szCs w:val="24"/>
          <w:lang w:val="el-GR" w:eastAsia="zh-CN"/>
        </w:rPr>
      </w:pPr>
      <w:r w:rsidRPr="000C178D">
        <w:rPr>
          <w:rFonts w:ascii="Book Antiqua" w:hAnsi="Book Antiqua"/>
          <w:b/>
          <w:sz w:val="24"/>
          <w:szCs w:val="24"/>
          <w:lang w:val="el-GR"/>
        </w:rPr>
        <w:lastRenderedPageBreak/>
        <w:t>Figure Legends</w:t>
      </w:r>
    </w:p>
    <w:p w14:paraId="3AD0E0A0" w14:textId="77777777" w:rsidR="001A41CF" w:rsidRPr="000C178D" w:rsidRDefault="001A41CF" w:rsidP="000C178D">
      <w:pPr>
        <w:pStyle w:val="ae"/>
        <w:snapToGrid w:val="0"/>
        <w:spacing w:after="0" w:line="360" w:lineRule="auto"/>
        <w:jc w:val="both"/>
        <w:rPr>
          <w:rFonts w:ascii="Book Antiqua" w:hAnsi="Book Antiqua" w:cs="Times New Roman"/>
          <w:b/>
          <w:i w:val="0"/>
          <w:color w:val="000000" w:themeColor="text1"/>
          <w:sz w:val="24"/>
          <w:szCs w:val="24"/>
        </w:rPr>
      </w:pPr>
      <w:r w:rsidRPr="000C178D">
        <w:rPr>
          <w:rFonts w:ascii="Book Antiqua" w:hAnsi="Book Antiqua" w:cs="Times New Roman"/>
          <w:b/>
          <w:i w:val="0"/>
          <w:noProof/>
          <w:color w:val="000000" w:themeColor="text1"/>
          <w:sz w:val="24"/>
          <w:szCs w:val="24"/>
          <w:lang w:eastAsia="zh-CN"/>
        </w:rPr>
        <w:drawing>
          <wp:inline distT="0" distB="0" distL="0" distR="0" wp14:anchorId="2C0F24F9" wp14:editId="5C0A2BCA">
            <wp:extent cx="5011420" cy="5078095"/>
            <wp:effectExtent l="0" t="0" r="0" b="825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11420" cy="5078095"/>
                    </a:xfrm>
                    <a:prstGeom prst="rect">
                      <a:avLst/>
                    </a:prstGeom>
                    <a:noFill/>
                  </pic:spPr>
                </pic:pic>
              </a:graphicData>
            </a:graphic>
          </wp:inline>
        </w:drawing>
      </w:r>
    </w:p>
    <w:p w14:paraId="7A463622" w14:textId="0A42E278" w:rsidR="001A41CF" w:rsidRPr="000C178D" w:rsidRDefault="001A41CF" w:rsidP="000C178D">
      <w:pPr>
        <w:pStyle w:val="ae"/>
        <w:snapToGrid w:val="0"/>
        <w:spacing w:after="0" w:line="360" w:lineRule="auto"/>
        <w:jc w:val="both"/>
        <w:rPr>
          <w:rFonts w:ascii="Book Antiqua" w:eastAsia="Times New Roman" w:hAnsi="Book Antiqua" w:cs="Times New Roman"/>
          <w:color w:val="000000" w:themeColor="text1"/>
          <w:sz w:val="24"/>
          <w:szCs w:val="24"/>
        </w:rPr>
      </w:pPr>
      <w:r w:rsidRPr="000C178D">
        <w:rPr>
          <w:rFonts w:ascii="Book Antiqua" w:hAnsi="Book Antiqua" w:cs="Times New Roman"/>
          <w:b/>
          <w:i w:val="0"/>
          <w:color w:val="000000" w:themeColor="text1"/>
          <w:sz w:val="24"/>
          <w:szCs w:val="24"/>
        </w:rPr>
        <w:t xml:space="preserve">Figure </w:t>
      </w:r>
      <w:r w:rsidRPr="000C178D">
        <w:rPr>
          <w:rFonts w:ascii="Book Antiqua" w:hAnsi="Book Antiqua" w:cs="Times New Roman"/>
          <w:b/>
          <w:i w:val="0"/>
          <w:color w:val="000000" w:themeColor="text1"/>
          <w:sz w:val="24"/>
          <w:szCs w:val="24"/>
        </w:rPr>
        <w:fldChar w:fldCharType="begin"/>
      </w:r>
      <w:r w:rsidRPr="000C178D">
        <w:rPr>
          <w:rFonts w:ascii="Book Antiqua" w:hAnsi="Book Antiqua" w:cs="Times New Roman"/>
          <w:b/>
          <w:i w:val="0"/>
          <w:color w:val="000000" w:themeColor="text1"/>
          <w:sz w:val="24"/>
          <w:szCs w:val="24"/>
        </w:rPr>
        <w:instrText xml:space="preserve"> SEQ Figure \* ARABIC </w:instrText>
      </w:r>
      <w:r w:rsidRPr="000C178D">
        <w:rPr>
          <w:rFonts w:ascii="Book Antiqua" w:hAnsi="Book Antiqua" w:cs="Times New Roman"/>
          <w:b/>
          <w:i w:val="0"/>
          <w:color w:val="000000" w:themeColor="text1"/>
          <w:sz w:val="24"/>
          <w:szCs w:val="24"/>
        </w:rPr>
        <w:fldChar w:fldCharType="separate"/>
      </w:r>
      <w:r w:rsidRPr="000C178D">
        <w:rPr>
          <w:rFonts w:ascii="Book Antiqua" w:hAnsi="Book Antiqua" w:cs="Times New Roman"/>
          <w:b/>
          <w:i w:val="0"/>
          <w:noProof/>
          <w:color w:val="000000" w:themeColor="text1"/>
          <w:sz w:val="24"/>
          <w:szCs w:val="24"/>
        </w:rPr>
        <w:t>1</w:t>
      </w:r>
      <w:r w:rsidRPr="000C178D">
        <w:rPr>
          <w:rFonts w:ascii="Book Antiqua" w:hAnsi="Book Antiqua" w:cs="Times New Roman"/>
          <w:b/>
          <w:i w:val="0"/>
          <w:color w:val="000000" w:themeColor="text1"/>
          <w:sz w:val="24"/>
          <w:szCs w:val="24"/>
        </w:rPr>
        <w:fldChar w:fldCharType="end"/>
      </w:r>
      <w:r w:rsidRPr="000C178D">
        <w:rPr>
          <w:rFonts w:ascii="Book Antiqua" w:eastAsia="Times New Roman" w:hAnsi="Book Antiqua" w:cs="Times New Roman"/>
          <w:color w:val="000000" w:themeColor="text1"/>
          <w:sz w:val="24"/>
          <w:szCs w:val="24"/>
        </w:rPr>
        <w:t xml:space="preserve"> </w:t>
      </w:r>
      <w:r w:rsidRPr="000C178D">
        <w:rPr>
          <w:rFonts w:ascii="Book Antiqua" w:eastAsia="Times New Roman" w:hAnsi="Book Antiqua" w:cs="Times New Roman"/>
          <w:b/>
          <w:i w:val="0"/>
          <w:color w:val="000000" w:themeColor="text1"/>
          <w:sz w:val="24"/>
          <w:szCs w:val="24"/>
        </w:rPr>
        <w:t>Orbital sonography.</w:t>
      </w:r>
      <w:r w:rsidR="00BB36E2" w:rsidRPr="000C178D">
        <w:rPr>
          <w:rFonts w:ascii="Book Antiqua" w:eastAsia="Times New Roman" w:hAnsi="Book Antiqua" w:cs="Times New Roman"/>
          <w:color w:val="000000" w:themeColor="text1"/>
          <w:sz w:val="24"/>
          <w:szCs w:val="24"/>
        </w:rPr>
        <w:t xml:space="preserve"> </w:t>
      </w:r>
      <w:r w:rsidRPr="000C178D">
        <w:rPr>
          <w:rFonts w:ascii="Book Antiqua" w:eastAsia="Times New Roman" w:hAnsi="Book Antiqua" w:cs="Times New Roman"/>
          <w:i w:val="0"/>
          <w:iCs w:val="0"/>
          <w:color w:val="000000" w:themeColor="text1"/>
          <w:sz w:val="24"/>
          <w:szCs w:val="24"/>
        </w:rPr>
        <w:t xml:space="preserve">Orbital sonography showing an irregular size heterogenic mass </w:t>
      </w:r>
      <w:proofErr w:type="spellStart"/>
      <w:r w:rsidRPr="000C178D">
        <w:rPr>
          <w:rFonts w:ascii="Book Antiqua" w:eastAsia="Times New Roman" w:hAnsi="Book Antiqua" w:cs="Times New Roman"/>
          <w:i w:val="0"/>
          <w:iCs w:val="0"/>
          <w:color w:val="000000" w:themeColor="text1"/>
          <w:sz w:val="24"/>
          <w:szCs w:val="24"/>
        </w:rPr>
        <w:t>transorbitally</w:t>
      </w:r>
      <w:proofErr w:type="spellEnd"/>
      <w:r w:rsidRPr="000C178D">
        <w:rPr>
          <w:rFonts w:ascii="Book Antiqua" w:eastAsia="Times New Roman" w:hAnsi="Book Antiqua" w:cs="Times New Roman"/>
          <w:i w:val="0"/>
          <w:iCs w:val="0"/>
          <w:color w:val="000000" w:themeColor="text1"/>
          <w:sz w:val="24"/>
          <w:szCs w:val="24"/>
        </w:rPr>
        <w:t xml:space="preserve"> on the left orbital cavity (arrow).</w:t>
      </w:r>
      <w:r w:rsidRPr="000C178D">
        <w:rPr>
          <w:rFonts w:ascii="Book Antiqua" w:eastAsia="Times New Roman" w:hAnsi="Book Antiqua" w:cs="Times New Roman"/>
          <w:color w:val="000000" w:themeColor="text1"/>
          <w:sz w:val="24"/>
          <w:szCs w:val="24"/>
        </w:rPr>
        <w:t xml:space="preserve"> </w:t>
      </w:r>
    </w:p>
    <w:p w14:paraId="7297B8A6" w14:textId="77777777" w:rsidR="001A41CF" w:rsidRPr="000C178D" w:rsidRDefault="001A41CF" w:rsidP="000C178D">
      <w:pPr>
        <w:snapToGrid w:val="0"/>
        <w:spacing w:after="0" w:line="360" w:lineRule="auto"/>
        <w:rPr>
          <w:rFonts w:ascii="Book Antiqua" w:hAnsi="Book Antiqua"/>
          <w:sz w:val="24"/>
          <w:szCs w:val="24"/>
        </w:rPr>
      </w:pPr>
      <w:r w:rsidRPr="000C178D">
        <w:rPr>
          <w:rFonts w:ascii="Book Antiqua" w:hAnsi="Book Antiqua"/>
          <w:noProof/>
          <w:sz w:val="24"/>
          <w:szCs w:val="24"/>
        </w:rPr>
        <w:lastRenderedPageBreak/>
        <w:t xml:space="preserve"> </w:t>
      </w:r>
      <w:r w:rsidRPr="000C178D">
        <w:rPr>
          <w:rFonts w:ascii="Book Antiqua" w:hAnsi="Book Antiqua"/>
          <w:noProof/>
          <w:sz w:val="24"/>
          <w:szCs w:val="24"/>
          <w:lang w:eastAsia="zh-CN"/>
        </w:rPr>
        <w:drawing>
          <wp:inline distT="0" distB="0" distL="0" distR="0" wp14:anchorId="0D3EBB3A" wp14:editId="3AA1678D">
            <wp:extent cx="4706607" cy="3657606"/>
            <wp:effectExtent l="0" t="0" r="0" b="0"/>
            <wp:docPr id="4"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10855" cy="3660907"/>
                    </a:xfrm>
                    <a:prstGeom prst="rect">
                      <a:avLst/>
                    </a:prstGeom>
                    <a:noFill/>
                    <a:ln>
                      <a:noFill/>
                    </a:ln>
                  </pic:spPr>
                </pic:pic>
              </a:graphicData>
            </a:graphic>
          </wp:inline>
        </w:drawing>
      </w:r>
    </w:p>
    <w:p w14:paraId="4193B3B6" w14:textId="77777777" w:rsidR="001A41CF" w:rsidRPr="000C178D" w:rsidRDefault="001A41CF" w:rsidP="000C178D">
      <w:pPr>
        <w:pStyle w:val="ae"/>
        <w:snapToGrid w:val="0"/>
        <w:spacing w:after="0" w:line="360" w:lineRule="auto"/>
        <w:jc w:val="both"/>
        <w:rPr>
          <w:rFonts w:ascii="Book Antiqua" w:hAnsi="Book Antiqua" w:cs="Times New Roman"/>
          <w:i w:val="0"/>
          <w:iCs w:val="0"/>
          <w:color w:val="000000" w:themeColor="text1"/>
          <w:sz w:val="24"/>
          <w:szCs w:val="24"/>
        </w:rPr>
      </w:pPr>
      <w:r w:rsidRPr="000C178D">
        <w:rPr>
          <w:rFonts w:ascii="Book Antiqua" w:hAnsi="Book Antiqua" w:cs="Times New Roman"/>
          <w:b/>
          <w:i w:val="0"/>
          <w:color w:val="000000" w:themeColor="text1"/>
          <w:sz w:val="24"/>
          <w:szCs w:val="24"/>
        </w:rPr>
        <w:t xml:space="preserve">Figure </w:t>
      </w:r>
      <w:r w:rsidRPr="000C178D">
        <w:rPr>
          <w:rFonts w:ascii="Book Antiqua" w:hAnsi="Book Antiqua" w:cs="Times New Roman"/>
          <w:b/>
          <w:i w:val="0"/>
          <w:color w:val="000000" w:themeColor="text1"/>
          <w:sz w:val="24"/>
          <w:szCs w:val="24"/>
        </w:rPr>
        <w:fldChar w:fldCharType="begin"/>
      </w:r>
      <w:r w:rsidRPr="000C178D">
        <w:rPr>
          <w:rFonts w:ascii="Book Antiqua" w:hAnsi="Book Antiqua" w:cs="Times New Roman"/>
          <w:b/>
          <w:i w:val="0"/>
          <w:color w:val="000000" w:themeColor="text1"/>
          <w:sz w:val="24"/>
          <w:szCs w:val="24"/>
        </w:rPr>
        <w:instrText xml:space="preserve"> SEQ Figure \* ARABIC </w:instrText>
      </w:r>
      <w:r w:rsidRPr="000C178D">
        <w:rPr>
          <w:rFonts w:ascii="Book Antiqua" w:hAnsi="Book Antiqua" w:cs="Times New Roman"/>
          <w:b/>
          <w:i w:val="0"/>
          <w:color w:val="000000" w:themeColor="text1"/>
          <w:sz w:val="24"/>
          <w:szCs w:val="24"/>
        </w:rPr>
        <w:fldChar w:fldCharType="separate"/>
      </w:r>
      <w:r w:rsidRPr="000C178D">
        <w:rPr>
          <w:rFonts w:ascii="Book Antiqua" w:hAnsi="Book Antiqua" w:cs="Times New Roman"/>
          <w:b/>
          <w:i w:val="0"/>
          <w:noProof/>
          <w:color w:val="000000" w:themeColor="text1"/>
          <w:sz w:val="24"/>
          <w:szCs w:val="24"/>
        </w:rPr>
        <w:t>2</w:t>
      </w:r>
      <w:r w:rsidRPr="000C178D">
        <w:rPr>
          <w:rFonts w:ascii="Book Antiqua" w:hAnsi="Book Antiqua" w:cs="Times New Roman"/>
          <w:b/>
          <w:i w:val="0"/>
          <w:color w:val="000000" w:themeColor="text1"/>
          <w:sz w:val="24"/>
          <w:szCs w:val="24"/>
        </w:rPr>
        <w:fldChar w:fldCharType="end"/>
      </w:r>
      <w:r w:rsidRPr="000C178D">
        <w:rPr>
          <w:rFonts w:ascii="Book Antiqua" w:hAnsi="Book Antiqua" w:cs="Times New Roman"/>
          <w:b/>
          <w:color w:val="000000" w:themeColor="text1"/>
          <w:sz w:val="24"/>
          <w:szCs w:val="24"/>
        </w:rPr>
        <w:t xml:space="preserve"> </w:t>
      </w:r>
      <w:r w:rsidRPr="000C178D">
        <w:rPr>
          <w:rFonts w:ascii="Book Antiqua" w:hAnsi="Book Antiqua" w:cs="Times New Roman"/>
          <w:b/>
          <w:i w:val="0"/>
          <w:color w:val="000000" w:themeColor="text1"/>
          <w:sz w:val="24"/>
          <w:szCs w:val="24"/>
        </w:rPr>
        <w:t xml:space="preserve">Magnetic resonance imaging of the orbital cavity. </w:t>
      </w:r>
      <w:r w:rsidRPr="000C178D">
        <w:rPr>
          <w:rFonts w:ascii="Book Antiqua" w:hAnsi="Book Antiqua" w:cs="Times New Roman"/>
          <w:i w:val="0"/>
          <w:color w:val="000000" w:themeColor="text1"/>
          <w:sz w:val="24"/>
          <w:szCs w:val="24"/>
        </w:rPr>
        <w:t>1.5-T</w:t>
      </w:r>
      <w:r w:rsidRPr="000C178D">
        <w:rPr>
          <w:rFonts w:ascii="Book Antiqua" w:hAnsi="Book Antiqua" w:cs="Times New Roman"/>
          <w:b/>
          <w:i w:val="0"/>
          <w:color w:val="000000" w:themeColor="text1"/>
          <w:sz w:val="24"/>
          <w:szCs w:val="24"/>
        </w:rPr>
        <w:t xml:space="preserve"> </w:t>
      </w:r>
      <w:r w:rsidRPr="000C178D">
        <w:rPr>
          <w:rFonts w:ascii="Book Antiqua" w:hAnsi="Book Antiqua" w:cs="Times New Roman"/>
          <w:bCs/>
          <w:i w:val="0"/>
          <w:color w:val="000000" w:themeColor="text1"/>
          <w:sz w:val="24"/>
          <w:szCs w:val="24"/>
        </w:rPr>
        <w:t>Magnetic resonance imaging</w:t>
      </w:r>
      <w:r w:rsidRPr="000C178D">
        <w:rPr>
          <w:rFonts w:ascii="Book Antiqua" w:hAnsi="Book Antiqua" w:cs="Times New Roman"/>
          <w:b/>
          <w:i w:val="0"/>
          <w:color w:val="000000" w:themeColor="text1"/>
          <w:sz w:val="24"/>
          <w:szCs w:val="24"/>
        </w:rPr>
        <w:t xml:space="preserve"> </w:t>
      </w:r>
      <w:r w:rsidRPr="000C178D">
        <w:rPr>
          <w:rFonts w:ascii="Book Antiqua" w:hAnsi="Book Antiqua" w:cs="Times New Roman"/>
          <w:i w:val="0"/>
          <w:color w:val="000000" w:themeColor="text1"/>
          <w:sz w:val="24"/>
          <w:szCs w:val="24"/>
        </w:rPr>
        <w:t xml:space="preserve">of the orbital cavity showing the swelling of the extra orbital muscles and sinusitis (T2-weighed image) (arrows): RL – musculus rectus lateralis sinister [5.5 mm (normal range 3.3 mm)], RI – musculus rectus inferior sinister [8 mm (normal range 4.6 mm)], RS – musculus rectus superior </w:t>
      </w:r>
      <w:proofErr w:type="spellStart"/>
      <w:r w:rsidRPr="000C178D">
        <w:rPr>
          <w:rFonts w:ascii="Book Antiqua" w:hAnsi="Book Antiqua" w:cs="Times New Roman"/>
          <w:i w:val="0"/>
          <w:color w:val="000000" w:themeColor="text1"/>
          <w:sz w:val="24"/>
          <w:szCs w:val="24"/>
        </w:rPr>
        <w:t>dexter</w:t>
      </w:r>
      <w:proofErr w:type="spellEnd"/>
      <w:r w:rsidRPr="000C178D">
        <w:rPr>
          <w:rFonts w:ascii="Book Antiqua" w:hAnsi="Book Antiqua" w:cs="Times New Roman"/>
          <w:i w:val="0"/>
          <w:color w:val="000000" w:themeColor="text1"/>
          <w:sz w:val="24"/>
          <w:szCs w:val="24"/>
        </w:rPr>
        <w:t xml:space="preserve"> [5 mm (normal range 4.6 mm)].</w:t>
      </w:r>
    </w:p>
    <w:p w14:paraId="5A622D40" w14:textId="77777777" w:rsidR="001A41CF" w:rsidRPr="000C178D" w:rsidRDefault="001A41CF" w:rsidP="000C178D">
      <w:pPr>
        <w:snapToGrid w:val="0"/>
        <w:spacing w:after="0" w:line="360" w:lineRule="auto"/>
        <w:rPr>
          <w:rFonts w:ascii="Book Antiqua" w:hAnsi="Book Antiqua"/>
          <w:sz w:val="24"/>
          <w:szCs w:val="24"/>
        </w:rPr>
      </w:pPr>
      <w:r w:rsidRPr="000C178D">
        <w:rPr>
          <w:rFonts w:ascii="Book Antiqua" w:hAnsi="Book Antiqua"/>
          <w:sz w:val="24"/>
          <w:szCs w:val="24"/>
        </w:rPr>
        <w:br w:type="page"/>
      </w:r>
    </w:p>
    <w:p w14:paraId="036ECBD1" w14:textId="77777777" w:rsidR="001A41CF" w:rsidRPr="000C178D" w:rsidRDefault="001A41CF" w:rsidP="000C178D">
      <w:pPr>
        <w:snapToGrid w:val="0"/>
        <w:spacing w:after="0" w:line="360" w:lineRule="auto"/>
        <w:jc w:val="both"/>
        <w:rPr>
          <w:rFonts w:ascii="Book Antiqua" w:hAnsi="Book Antiqua" w:cs="Times New Roman"/>
          <w:sz w:val="24"/>
          <w:szCs w:val="24"/>
          <w:lang w:val="lt-LT"/>
        </w:rPr>
      </w:pPr>
      <w:r w:rsidRPr="000C178D">
        <w:rPr>
          <w:rFonts w:ascii="Book Antiqua" w:hAnsi="Book Antiqua" w:cs="Times New Roman"/>
          <w:noProof/>
          <w:sz w:val="24"/>
          <w:szCs w:val="24"/>
          <w:lang w:eastAsia="zh-CN"/>
        </w:rPr>
        <w:lastRenderedPageBreak/>
        <w:drawing>
          <wp:inline distT="0" distB="0" distL="0" distR="0" wp14:anchorId="5D0E7100" wp14:editId="0E11F29B">
            <wp:extent cx="5273040" cy="2427605"/>
            <wp:effectExtent l="0" t="0" r="3810" b="0"/>
            <wp:docPr id="6"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73040" cy="2427605"/>
                    </a:xfrm>
                    <a:prstGeom prst="rect">
                      <a:avLst/>
                    </a:prstGeom>
                    <a:noFill/>
                    <a:ln>
                      <a:noFill/>
                    </a:ln>
                  </pic:spPr>
                </pic:pic>
              </a:graphicData>
            </a:graphic>
          </wp:inline>
        </w:drawing>
      </w:r>
    </w:p>
    <w:p w14:paraId="4C8DC30D" w14:textId="77777777" w:rsidR="001A41CF" w:rsidRPr="000C178D" w:rsidRDefault="001A41CF" w:rsidP="000C178D">
      <w:pPr>
        <w:pStyle w:val="ae"/>
        <w:snapToGrid w:val="0"/>
        <w:spacing w:after="0" w:line="360" w:lineRule="auto"/>
        <w:jc w:val="both"/>
        <w:rPr>
          <w:rFonts w:ascii="Book Antiqua" w:hAnsi="Book Antiqua" w:cs="Times New Roman"/>
          <w:i w:val="0"/>
          <w:color w:val="000000" w:themeColor="text1"/>
          <w:sz w:val="24"/>
          <w:szCs w:val="24"/>
          <w:lang w:val="lt-LT"/>
        </w:rPr>
      </w:pPr>
      <w:r w:rsidRPr="000C178D">
        <w:rPr>
          <w:rFonts w:ascii="Book Antiqua" w:hAnsi="Book Antiqua" w:cs="Times New Roman"/>
          <w:b/>
          <w:i w:val="0"/>
          <w:color w:val="000000" w:themeColor="text1"/>
          <w:sz w:val="24"/>
          <w:szCs w:val="24"/>
        </w:rPr>
        <w:t xml:space="preserve">Figure </w:t>
      </w:r>
      <w:r w:rsidRPr="000C178D">
        <w:rPr>
          <w:rFonts w:ascii="Book Antiqua" w:hAnsi="Book Antiqua" w:cs="Times New Roman"/>
          <w:b/>
          <w:i w:val="0"/>
          <w:color w:val="000000" w:themeColor="text1"/>
          <w:sz w:val="24"/>
          <w:szCs w:val="24"/>
        </w:rPr>
        <w:fldChar w:fldCharType="begin"/>
      </w:r>
      <w:r w:rsidRPr="000C178D">
        <w:rPr>
          <w:rFonts w:ascii="Book Antiqua" w:hAnsi="Book Antiqua" w:cs="Times New Roman"/>
          <w:b/>
          <w:i w:val="0"/>
          <w:color w:val="000000" w:themeColor="text1"/>
          <w:sz w:val="24"/>
          <w:szCs w:val="24"/>
        </w:rPr>
        <w:instrText xml:space="preserve"> SEQ Figure \* ARABIC </w:instrText>
      </w:r>
      <w:r w:rsidRPr="000C178D">
        <w:rPr>
          <w:rFonts w:ascii="Book Antiqua" w:hAnsi="Book Antiqua" w:cs="Times New Roman"/>
          <w:b/>
          <w:i w:val="0"/>
          <w:color w:val="000000" w:themeColor="text1"/>
          <w:sz w:val="24"/>
          <w:szCs w:val="24"/>
        </w:rPr>
        <w:fldChar w:fldCharType="separate"/>
      </w:r>
      <w:r w:rsidRPr="000C178D">
        <w:rPr>
          <w:rFonts w:ascii="Book Antiqua" w:hAnsi="Book Antiqua" w:cs="Times New Roman"/>
          <w:b/>
          <w:i w:val="0"/>
          <w:noProof/>
          <w:color w:val="000000" w:themeColor="text1"/>
          <w:sz w:val="24"/>
          <w:szCs w:val="24"/>
        </w:rPr>
        <w:t>3</w:t>
      </w:r>
      <w:r w:rsidRPr="000C178D">
        <w:rPr>
          <w:rFonts w:ascii="Book Antiqua" w:hAnsi="Book Antiqua" w:cs="Times New Roman"/>
          <w:b/>
          <w:i w:val="0"/>
          <w:color w:val="000000" w:themeColor="text1"/>
          <w:sz w:val="24"/>
          <w:szCs w:val="24"/>
        </w:rPr>
        <w:fldChar w:fldCharType="end"/>
      </w:r>
      <w:r w:rsidRPr="000C178D">
        <w:rPr>
          <w:rFonts w:ascii="Book Antiqua" w:hAnsi="Book Antiqua" w:cs="Times New Roman"/>
          <w:b/>
          <w:color w:val="000000" w:themeColor="text1"/>
          <w:sz w:val="24"/>
          <w:szCs w:val="24"/>
        </w:rPr>
        <w:t xml:space="preserve"> </w:t>
      </w:r>
      <w:r w:rsidRPr="000C178D">
        <w:rPr>
          <w:rFonts w:ascii="Book Antiqua" w:hAnsi="Book Antiqua" w:cs="Times New Roman"/>
          <w:b/>
          <w:i w:val="0"/>
          <w:color w:val="000000" w:themeColor="text1"/>
          <w:sz w:val="24"/>
          <w:szCs w:val="24"/>
        </w:rPr>
        <w:t xml:space="preserve">Abdominal </w:t>
      </w:r>
      <w:bookmarkStart w:id="3" w:name="_Hlk45186475"/>
      <w:r w:rsidRPr="000C178D">
        <w:rPr>
          <w:rFonts w:ascii="Book Antiqua" w:eastAsia="Times New Roman" w:hAnsi="Book Antiqua" w:cs="Times New Roman"/>
          <w:b/>
          <w:bCs/>
          <w:i w:val="0"/>
          <w:iCs w:val="0"/>
          <w:color w:val="0E101A"/>
          <w:sz w:val="24"/>
          <w:szCs w:val="24"/>
        </w:rPr>
        <w:t>magnetic resonance imaging</w:t>
      </w:r>
      <w:bookmarkEnd w:id="3"/>
      <w:r w:rsidRPr="000C178D">
        <w:rPr>
          <w:rFonts w:ascii="Book Antiqua" w:hAnsi="Book Antiqua" w:cs="Times New Roman"/>
          <w:b/>
          <w:i w:val="0"/>
          <w:color w:val="000000" w:themeColor="text1"/>
          <w:sz w:val="24"/>
          <w:szCs w:val="24"/>
        </w:rPr>
        <w:t xml:space="preserve"> before the treatment.</w:t>
      </w:r>
      <w:r w:rsidRPr="000C178D">
        <w:rPr>
          <w:rFonts w:ascii="Book Antiqua" w:hAnsi="Book Antiqua" w:cs="Times New Roman"/>
          <w:b/>
          <w:color w:val="000000" w:themeColor="text1"/>
          <w:sz w:val="24"/>
          <w:szCs w:val="24"/>
        </w:rPr>
        <w:t xml:space="preserve"> </w:t>
      </w:r>
      <w:r w:rsidRPr="000C178D">
        <w:rPr>
          <w:rFonts w:ascii="Book Antiqua" w:hAnsi="Book Antiqua" w:cs="Times New Roman"/>
          <w:i w:val="0"/>
          <w:color w:val="000000" w:themeColor="text1"/>
          <w:sz w:val="24"/>
          <w:szCs w:val="24"/>
          <w:lang w:val="lt-LT"/>
        </w:rPr>
        <w:t xml:space="preserve">Abdominal </w:t>
      </w:r>
      <w:r w:rsidRPr="000C178D">
        <w:rPr>
          <w:rFonts w:ascii="Book Antiqua" w:eastAsia="Times New Roman" w:hAnsi="Book Antiqua" w:cs="Times New Roman"/>
          <w:i w:val="0"/>
          <w:iCs w:val="0"/>
          <w:color w:val="0E101A"/>
          <w:sz w:val="24"/>
          <w:szCs w:val="24"/>
        </w:rPr>
        <w:t>magnetic resonance imaging</w:t>
      </w:r>
      <w:r w:rsidRPr="000C178D">
        <w:rPr>
          <w:rFonts w:ascii="Book Antiqua" w:hAnsi="Book Antiqua" w:cs="Times New Roman"/>
          <w:i w:val="0"/>
          <w:color w:val="000000" w:themeColor="text1"/>
          <w:sz w:val="24"/>
          <w:szCs w:val="24"/>
          <w:lang w:val="lt-LT"/>
        </w:rPr>
        <w:t xml:space="preserve"> before the treatment showing diffusely enlarged pancreas with a "halo" - peripancreatic rim with low attenuation (arrows) [T1-weighed (A) and T2-weighed (B) images].</w:t>
      </w:r>
    </w:p>
    <w:p w14:paraId="7580B76A" w14:textId="77777777" w:rsidR="001A41CF" w:rsidRPr="000C178D" w:rsidRDefault="001A41CF" w:rsidP="000C178D">
      <w:pPr>
        <w:snapToGrid w:val="0"/>
        <w:spacing w:after="0" w:line="360" w:lineRule="auto"/>
        <w:rPr>
          <w:rFonts w:ascii="Book Antiqua" w:hAnsi="Book Antiqua"/>
          <w:sz w:val="24"/>
          <w:szCs w:val="24"/>
          <w:lang w:val="lt-LT"/>
        </w:rPr>
      </w:pPr>
      <w:r w:rsidRPr="000C178D">
        <w:rPr>
          <w:rFonts w:ascii="Book Antiqua" w:hAnsi="Book Antiqua"/>
          <w:sz w:val="24"/>
          <w:szCs w:val="24"/>
          <w:lang w:val="lt-LT"/>
        </w:rPr>
        <w:br w:type="page"/>
      </w:r>
    </w:p>
    <w:p w14:paraId="66095AB6" w14:textId="77777777" w:rsidR="001A41CF" w:rsidRPr="000C178D" w:rsidRDefault="001A41CF" w:rsidP="000C178D">
      <w:pPr>
        <w:autoSpaceDE w:val="0"/>
        <w:autoSpaceDN w:val="0"/>
        <w:adjustRightInd w:val="0"/>
        <w:snapToGrid w:val="0"/>
        <w:spacing w:after="0" w:line="360" w:lineRule="auto"/>
        <w:jc w:val="both"/>
        <w:rPr>
          <w:rFonts w:ascii="Book Antiqua" w:hAnsi="Book Antiqua" w:cs="Times New Roman"/>
          <w:sz w:val="24"/>
          <w:szCs w:val="24"/>
          <w:lang w:val="lt-LT"/>
        </w:rPr>
      </w:pPr>
      <w:bookmarkStart w:id="4" w:name="Fifure4"/>
      <w:bookmarkStart w:id="5" w:name="Figure4"/>
      <w:r w:rsidRPr="000C178D">
        <w:rPr>
          <w:rFonts w:ascii="Book Antiqua" w:hAnsi="Book Antiqua" w:cs="Times New Roman"/>
          <w:noProof/>
          <w:sz w:val="24"/>
          <w:szCs w:val="24"/>
          <w:lang w:eastAsia="zh-CN"/>
        </w:rPr>
        <w:lastRenderedPageBreak/>
        <w:drawing>
          <wp:inline distT="0" distB="0" distL="0" distR="0" wp14:anchorId="6194E379" wp14:editId="27E77785">
            <wp:extent cx="5050087" cy="3992153"/>
            <wp:effectExtent l="0" t="0" r="0" b="889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50087" cy="3992153"/>
                    </a:xfrm>
                    <a:prstGeom prst="rect">
                      <a:avLst/>
                    </a:prstGeom>
                    <a:noFill/>
                    <a:ln>
                      <a:noFill/>
                    </a:ln>
                  </pic:spPr>
                </pic:pic>
              </a:graphicData>
            </a:graphic>
          </wp:inline>
        </w:drawing>
      </w:r>
      <w:bookmarkEnd w:id="4"/>
      <w:bookmarkEnd w:id="5"/>
    </w:p>
    <w:p w14:paraId="0FE9E60A" w14:textId="77777777" w:rsidR="001A41CF" w:rsidRPr="000C178D" w:rsidRDefault="001A41CF" w:rsidP="000C178D">
      <w:pPr>
        <w:autoSpaceDE w:val="0"/>
        <w:autoSpaceDN w:val="0"/>
        <w:adjustRightInd w:val="0"/>
        <w:snapToGrid w:val="0"/>
        <w:spacing w:after="0" w:line="360" w:lineRule="auto"/>
        <w:jc w:val="both"/>
        <w:rPr>
          <w:rFonts w:ascii="Book Antiqua" w:hAnsi="Book Antiqua" w:cs="Times New Roman"/>
          <w:color w:val="000000" w:themeColor="text1"/>
          <w:sz w:val="24"/>
          <w:szCs w:val="24"/>
        </w:rPr>
      </w:pPr>
      <w:r w:rsidRPr="000C178D">
        <w:rPr>
          <w:rFonts w:ascii="Book Antiqua" w:hAnsi="Book Antiqua" w:cs="Times New Roman"/>
          <w:b/>
          <w:color w:val="000000" w:themeColor="text1"/>
          <w:sz w:val="24"/>
          <w:szCs w:val="24"/>
        </w:rPr>
        <w:t xml:space="preserve">Figure 4 Ultrasound of the neck. </w:t>
      </w:r>
      <w:r w:rsidRPr="000C178D">
        <w:rPr>
          <w:rFonts w:ascii="Book Antiqua" w:hAnsi="Book Antiqua" w:cs="Times New Roman"/>
          <w:bCs/>
          <w:color w:val="000000" w:themeColor="text1"/>
          <w:sz w:val="24"/>
          <w:szCs w:val="24"/>
        </w:rPr>
        <w:t>A and B: Ultrasound imaging showing thyroid gland nodules</w:t>
      </w:r>
      <w:r w:rsidRPr="000C178D">
        <w:rPr>
          <w:rFonts w:ascii="Book Antiqua" w:hAnsi="Book Antiqua" w:cs="Times New Roman"/>
          <w:color w:val="000000" w:themeColor="text1"/>
          <w:sz w:val="24"/>
          <w:szCs w:val="24"/>
        </w:rPr>
        <w:t>; C and D: Enlarged submandibular glands.</w:t>
      </w:r>
    </w:p>
    <w:p w14:paraId="1B2AD305" w14:textId="77777777" w:rsidR="001A41CF" w:rsidRPr="000C178D" w:rsidRDefault="001A41CF" w:rsidP="000C178D">
      <w:pPr>
        <w:autoSpaceDE w:val="0"/>
        <w:autoSpaceDN w:val="0"/>
        <w:adjustRightInd w:val="0"/>
        <w:snapToGrid w:val="0"/>
        <w:spacing w:after="0" w:line="360" w:lineRule="auto"/>
        <w:jc w:val="both"/>
        <w:rPr>
          <w:rFonts w:ascii="Book Antiqua" w:hAnsi="Book Antiqua" w:cs="Times New Roman"/>
          <w:color w:val="000000" w:themeColor="text1"/>
          <w:sz w:val="24"/>
          <w:szCs w:val="24"/>
        </w:rPr>
      </w:pPr>
      <w:r w:rsidRPr="000C178D">
        <w:rPr>
          <w:rFonts w:ascii="Book Antiqua" w:hAnsi="Book Antiqua" w:cs="Times New Roman"/>
          <w:color w:val="000000" w:themeColor="text1"/>
          <w:sz w:val="24"/>
          <w:szCs w:val="24"/>
        </w:rPr>
        <w:br w:type="page"/>
      </w:r>
    </w:p>
    <w:p w14:paraId="4E98B3BA" w14:textId="77777777" w:rsidR="001A41CF" w:rsidRPr="000C178D" w:rsidRDefault="001A41CF" w:rsidP="000C178D">
      <w:pPr>
        <w:pStyle w:val="ae"/>
        <w:snapToGrid w:val="0"/>
        <w:spacing w:after="0" w:line="360" w:lineRule="auto"/>
        <w:rPr>
          <w:rFonts w:ascii="Book Antiqua" w:hAnsi="Book Antiqua" w:cs="Times New Roman"/>
          <w:b/>
          <w:i w:val="0"/>
          <w:iCs w:val="0"/>
          <w:sz w:val="24"/>
          <w:szCs w:val="24"/>
          <w:lang w:val="lt-LT"/>
        </w:rPr>
      </w:pPr>
      <w:r w:rsidRPr="000C178D">
        <w:rPr>
          <w:rFonts w:ascii="Book Antiqua" w:hAnsi="Book Antiqua"/>
          <w:noProof/>
          <w:sz w:val="24"/>
          <w:szCs w:val="24"/>
          <w:lang w:eastAsia="zh-CN"/>
        </w:rPr>
        <w:lastRenderedPageBreak/>
        <w:drawing>
          <wp:inline distT="0" distB="0" distL="0" distR="0" wp14:anchorId="75E0E5A1" wp14:editId="4FD65A28">
            <wp:extent cx="4655549" cy="1880945"/>
            <wp:effectExtent l="0" t="0" r="0" b="5080"/>
            <wp:docPr id="7"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669491" cy="1886578"/>
                    </a:xfrm>
                    <a:prstGeom prst="rect">
                      <a:avLst/>
                    </a:prstGeom>
                    <a:noFill/>
                    <a:ln>
                      <a:noFill/>
                    </a:ln>
                  </pic:spPr>
                </pic:pic>
              </a:graphicData>
            </a:graphic>
          </wp:inline>
        </w:drawing>
      </w:r>
      <w:r w:rsidRPr="000C178D">
        <w:rPr>
          <w:rFonts w:ascii="Book Antiqua" w:hAnsi="Book Antiqua" w:cs="Times New Roman"/>
          <w:b/>
          <w:i w:val="0"/>
          <w:iCs w:val="0"/>
          <w:sz w:val="24"/>
          <w:szCs w:val="24"/>
          <w:lang w:val="lt-LT"/>
        </w:rPr>
        <w:t xml:space="preserve"> </w:t>
      </w:r>
    </w:p>
    <w:p w14:paraId="5333C19B" w14:textId="101F4E21" w:rsidR="001A41CF" w:rsidRPr="000C178D" w:rsidRDefault="001A41CF" w:rsidP="000C178D">
      <w:pPr>
        <w:autoSpaceDE w:val="0"/>
        <w:autoSpaceDN w:val="0"/>
        <w:adjustRightInd w:val="0"/>
        <w:snapToGrid w:val="0"/>
        <w:spacing w:after="0" w:line="360" w:lineRule="auto"/>
        <w:jc w:val="both"/>
        <w:rPr>
          <w:rFonts w:ascii="Book Antiqua" w:hAnsi="Book Antiqua" w:cs="Times New Roman"/>
          <w:iCs/>
          <w:color w:val="000000" w:themeColor="text1"/>
          <w:sz w:val="24"/>
          <w:szCs w:val="24"/>
          <w:lang w:val="lt-LT"/>
        </w:rPr>
      </w:pPr>
      <w:r w:rsidRPr="000C178D">
        <w:rPr>
          <w:rFonts w:ascii="Book Antiqua" w:hAnsi="Book Antiqua" w:cs="Times New Roman"/>
          <w:b/>
          <w:color w:val="000000" w:themeColor="text1"/>
          <w:sz w:val="24"/>
          <w:szCs w:val="24"/>
        </w:rPr>
        <w:t>F</w:t>
      </w:r>
      <w:r w:rsidRPr="000C178D">
        <w:rPr>
          <w:rFonts w:ascii="Book Antiqua" w:hAnsi="Book Antiqua" w:cs="Times New Roman"/>
          <w:b/>
          <w:iCs/>
          <w:color w:val="000000" w:themeColor="text1"/>
          <w:sz w:val="24"/>
          <w:szCs w:val="24"/>
        </w:rPr>
        <w:t xml:space="preserve">igure </w:t>
      </w:r>
      <w:r w:rsidRPr="000C178D">
        <w:rPr>
          <w:rFonts w:ascii="Book Antiqua" w:hAnsi="Book Antiqua" w:cs="Times New Roman"/>
          <w:b/>
          <w:iCs/>
          <w:color w:val="000000" w:themeColor="text1"/>
          <w:sz w:val="24"/>
          <w:szCs w:val="24"/>
        </w:rPr>
        <w:fldChar w:fldCharType="begin"/>
      </w:r>
      <w:r w:rsidRPr="000C178D">
        <w:rPr>
          <w:rFonts w:ascii="Book Antiqua" w:hAnsi="Book Antiqua" w:cs="Times New Roman"/>
          <w:b/>
          <w:iCs/>
          <w:color w:val="000000" w:themeColor="text1"/>
          <w:sz w:val="24"/>
          <w:szCs w:val="24"/>
        </w:rPr>
        <w:instrText xml:space="preserve"> SEQ Figure \* ARABIC </w:instrText>
      </w:r>
      <w:r w:rsidRPr="000C178D">
        <w:rPr>
          <w:rFonts w:ascii="Book Antiqua" w:hAnsi="Book Antiqua" w:cs="Times New Roman"/>
          <w:b/>
          <w:iCs/>
          <w:color w:val="000000" w:themeColor="text1"/>
          <w:sz w:val="24"/>
          <w:szCs w:val="24"/>
        </w:rPr>
        <w:fldChar w:fldCharType="separate"/>
      </w:r>
      <w:r w:rsidRPr="000C178D">
        <w:rPr>
          <w:rFonts w:ascii="Book Antiqua" w:hAnsi="Book Antiqua" w:cs="Times New Roman"/>
          <w:b/>
          <w:iCs/>
          <w:noProof/>
          <w:color w:val="000000" w:themeColor="text1"/>
          <w:sz w:val="24"/>
          <w:szCs w:val="24"/>
        </w:rPr>
        <w:t>5</w:t>
      </w:r>
      <w:r w:rsidRPr="000C178D">
        <w:rPr>
          <w:rFonts w:ascii="Book Antiqua" w:hAnsi="Book Antiqua" w:cs="Times New Roman"/>
          <w:b/>
          <w:iCs/>
          <w:color w:val="000000" w:themeColor="text1"/>
          <w:sz w:val="24"/>
          <w:szCs w:val="24"/>
        </w:rPr>
        <w:fldChar w:fldCharType="end"/>
      </w:r>
      <w:r w:rsidR="00BB36E2" w:rsidRPr="000C178D">
        <w:rPr>
          <w:rFonts w:ascii="Book Antiqua" w:hAnsi="Book Antiqua" w:cs="Times New Roman"/>
          <w:b/>
          <w:iCs/>
          <w:color w:val="000000" w:themeColor="text1"/>
          <w:sz w:val="24"/>
          <w:szCs w:val="24"/>
          <w:lang w:val="lt-LT"/>
        </w:rPr>
        <w:t xml:space="preserve"> </w:t>
      </w:r>
      <w:r w:rsidRPr="000C178D">
        <w:rPr>
          <w:rFonts w:ascii="Book Antiqua" w:hAnsi="Book Antiqua" w:cs="Times New Roman"/>
          <w:b/>
          <w:iCs/>
          <w:color w:val="000000" w:themeColor="text1"/>
          <w:sz w:val="24"/>
          <w:szCs w:val="24"/>
          <w:lang w:val="lt-LT"/>
        </w:rPr>
        <w:t xml:space="preserve">Abdominal </w:t>
      </w:r>
      <w:r w:rsidRPr="000C178D">
        <w:rPr>
          <w:rFonts w:ascii="Book Antiqua" w:hAnsi="Book Antiqua" w:cs="Times New Roman"/>
          <w:b/>
          <w:bCs/>
          <w:color w:val="000000" w:themeColor="text1"/>
          <w:sz w:val="24"/>
          <w:szCs w:val="24"/>
        </w:rPr>
        <w:t>magnetic resonance imaging</w:t>
      </w:r>
      <w:r w:rsidRPr="000C178D">
        <w:rPr>
          <w:rFonts w:ascii="Book Antiqua" w:hAnsi="Book Antiqua" w:cs="Times New Roman"/>
          <w:b/>
          <w:color w:val="000000" w:themeColor="text1"/>
          <w:sz w:val="24"/>
          <w:szCs w:val="24"/>
          <w:lang w:val="lt-LT"/>
        </w:rPr>
        <w:t xml:space="preserve"> </w:t>
      </w:r>
      <w:r w:rsidRPr="000C178D">
        <w:rPr>
          <w:rFonts w:ascii="Book Antiqua" w:hAnsi="Book Antiqua" w:cs="Times New Roman"/>
          <w:b/>
          <w:iCs/>
          <w:color w:val="000000" w:themeColor="text1"/>
          <w:sz w:val="24"/>
          <w:szCs w:val="24"/>
          <w:lang w:val="lt-LT"/>
        </w:rPr>
        <w:t>after the treatment</w:t>
      </w:r>
      <w:r w:rsidRPr="000C178D">
        <w:rPr>
          <w:rFonts w:ascii="Book Antiqua" w:hAnsi="Book Antiqua" w:cs="Times New Roman"/>
          <w:b/>
          <w:i/>
          <w:iCs/>
          <w:color w:val="000000" w:themeColor="text1"/>
          <w:sz w:val="24"/>
          <w:szCs w:val="24"/>
          <w:lang w:val="lt-LT"/>
        </w:rPr>
        <w:t>.</w:t>
      </w:r>
      <w:r w:rsidRPr="000C178D">
        <w:rPr>
          <w:rFonts w:ascii="Book Antiqua" w:hAnsi="Book Antiqua" w:cs="Times New Roman"/>
          <w:iCs/>
          <w:color w:val="000000" w:themeColor="text1"/>
          <w:sz w:val="24"/>
          <w:szCs w:val="24"/>
          <w:lang w:val="lt-LT"/>
        </w:rPr>
        <w:t xml:space="preserve"> Abdominal </w:t>
      </w:r>
      <w:r w:rsidRPr="000C178D">
        <w:rPr>
          <w:rFonts w:ascii="Book Antiqua" w:hAnsi="Book Antiqua" w:cs="Times New Roman"/>
          <w:color w:val="000000" w:themeColor="text1"/>
          <w:sz w:val="24"/>
          <w:szCs w:val="24"/>
        </w:rPr>
        <w:t>magnetic resonance imaging</w:t>
      </w:r>
      <w:r w:rsidRPr="000C178D">
        <w:rPr>
          <w:rFonts w:ascii="Book Antiqua" w:hAnsi="Book Antiqua" w:cs="Times New Roman"/>
          <w:color w:val="000000" w:themeColor="text1"/>
          <w:sz w:val="24"/>
          <w:szCs w:val="24"/>
          <w:lang w:val="lt-LT"/>
        </w:rPr>
        <w:t xml:space="preserve"> </w:t>
      </w:r>
      <w:r w:rsidRPr="000C178D">
        <w:rPr>
          <w:rFonts w:ascii="Book Antiqua" w:hAnsi="Book Antiqua" w:cs="Times New Roman"/>
          <w:iCs/>
          <w:color w:val="000000" w:themeColor="text1"/>
          <w:sz w:val="24"/>
          <w:szCs w:val="24"/>
          <w:lang w:val="lt-LT"/>
        </w:rPr>
        <w:t>one month after the treatment with prednisolone showing the notable pancreas size reduction and no presence of the peripancreatic rim (arrows) [T1-weighed (A) and T2-weighed (B) images].</w:t>
      </w:r>
    </w:p>
    <w:p w14:paraId="03974BC0" w14:textId="77777777" w:rsidR="001A41CF" w:rsidRPr="000C178D" w:rsidRDefault="001A41CF" w:rsidP="000C178D">
      <w:pPr>
        <w:snapToGrid w:val="0"/>
        <w:spacing w:after="0" w:line="360" w:lineRule="auto"/>
        <w:rPr>
          <w:rFonts w:ascii="Book Antiqua" w:hAnsi="Book Antiqua" w:cs="Times New Roman"/>
          <w:noProof/>
          <w:color w:val="000000" w:themeColor="text1"/>
          <w:sz w:val="24"/>
          <w:szCs w:val="24"/>
          <w:lang w:val="lt-LT"/>
        </w:rPr>
      </w:pPr>
      <w:r w:rsidRPr="000C178D">
        <w:rPr>
          <w:rFonts w:ascii="Book Antiqua" w:hAnsi="Book Antiqua" w:cs="Times New Roman"/>
          <w:noProof/>
          <w:color w:val="000000" w:themeColor="text1"/>
          <w:sz w:val="24"/>
          <w:szCs w:val="24"/>
          <w:lang w:val="lt-LT"/>
        </w:rPr>
        <w:br w:type="page"/>
      </w:r>
    </w:p>
    <w:p w14:paraId="5E41C290" w14:textId="77777777" w:rsidR="001A41CF" w:rsidRPr="000C178D" w:rsidRDefault="001A41CF" w:rsidP="000C178D">
      <w:pPr>
        <w:autoSpaceDE w:val="0"/>
        <w:autoSpaceDN w:val="0"/>
        <w:adjustRightInd w:val="0"/>
        <w:snapToGrid w:val="0"/>
        <w:spacing w:after="0" w:line="360" w:lineRule="auto"/>
        <w:jc w:val="both"/>
        <w:rPr>
          <w:rFonts w:ascii="Book Antiqua" w:hAnsi="Book Antiqua" w:cs="Times New Roman"/>
          <w:color w:val="000000" w:themeColor="text1"/>
          <w:sz w:val="24"/>
          <w:szCs w:val="24"/>
          <w:lang w:val="lt-LT"/>
        </w:rPr>
      </w:pPr>
      <w:r w:rsidRPr="000C178D">
        <w:rPr>
          <w:rFonts w:ascii="Book Antiqua" w:hAnsi="Book Antiqua" w:cs="Times New Roman"/>
          <w:noProof/>
          <w:color w:val="000000" w:themeColor="text1"/>
          <w:sz w:val="24"/>
          <w:szCs w:val="24"/>
          <w:lang w:eastAsia="zh-CN"/>
        </w:rPr>
        <w:lastRenderedPageBreak/>
        <w:drawing>
          <wp:inline distT="0" distB="0" distL="0" distR="0" wp14:anchorId="6D4D965B" wp14:editId="548E1B7E">
            <wp:extent cx="5180965" cy="3503089"/>
            <wp:effectExtent l="0" t="0" r="635" b="254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97452" cy="3514236"/>
                    </a:xfrm>
                    <a:prstGeom prst="rect">
                      <a:avLst/>
                    </a:prstGeom>
                    <a:noFill/>
                  </pic:spPr>
                </pic:pic>
              </a:graphicData>
            </a:graphic>
          </wp:inline>
        </w:drawing>
      </w:r>
    </w:p>
    <w:p w14:paraId="1BD208E6" w14:textId="77777777" w:rsidR="001A41CF" w:rsidRPr="000C178D" w:rsidRDefault="001A41CF" w:rsidP="000C178D">
      <w:pPr>
        <w:pStyle w:val="ae"/>
        <w:snapToGrid w:val="0"/>
        <w:spacing w:after="0" w:line="360" w:lineRule="auto"/>
        <w:jc w:val="both"/>
        <w:rPr>
          <w:rFonts w:ascii="Book Antiqua" w:hAnsi="Book Antiqua" w:cs="Times New Roman"/>
          <w:i w:val="0"/>
          <w:color w:val="000000" w:themeColor="text1"/>
          <w:sz w:val="24"/>
          <w:szCs w:val="24"/>
        </w:rPr>
      </w:pPr>
      <w:bookmarkStart w:id="6" w:name="Figure6"/>
      <w:r w:rsidRPr="000C178D">
        <w:rPr>
          <w:rFonts w:ascii="Book Antiqua" w:hAnsi="Book Antiqua" w:cs="Times New Roman"/>
          <w:b/>
          <w:i w:val="0"/>
          <w:color w:val="000000" w:themeColor="text1"/>
          <w:sz w:val="24"/>
          <w:szCs w:val="24"/>
        </w:rPr>
        <w:t xml:space="preserve">Figure </w:t>
      </w:r>
      <w:r w:rsidRPr="000C178D">
        <w:rPr>
          <w:rFonts w:ascii="Book Antiqua" w:hAnsi="Book Antiqua" w:cs="Times New Roman"/>
          <w:b/>
          <w:i w:val="0"/>
          <w:color w:val="000000" w:themeColor="text1"/>
          <w:sz w:val="24"/>
          <w:szCs w:val="24"/>
        </w:rPr>
        <w:fldChar w:fldCharType="begin"/>
      </w:r>
      <w:r w:rsidRPr="000C178D">
        <w:rPr>
          <w:rFonts w:ascii="Book Antiqua" w:hAnsi="Book Antiqua" w:cs="Times New Roman"/>
          <w:b/>
          <w:i w:val="0"/>
          <w:color w:val="000000" w:themeColor="text1"/>
          <w:sz w:val="24"/>
          <w:szCs w:val="24"/>
        </w:rPr>
        <w:instrText xml:space="preserve"> SEQ Figure \* ARABIC </w:instrText>
      </w:r>
      <w:r w:rsidRPr="000C178D">
        <w:rPr>
          <w:rFonts w:ascii="Book Antiqua" w:hAnsi="Book Antiqua" w:cs="Times New Roman"/>
          <w:b/>
          <w:i w:val="0"/>
          <w:color w:val="000000" w:themeColor="text1"/>
          <w:sz w:val="24"/>
          <w:szCs w:val="24"/>
        </w:rPr>
        <w:fldChar w:fldCharType="separate"/>
      </w:r>
      <w:r w:rsidRPr="000C178D">
        <w:rPr>
          <w:rFonts w:ascii="Book Antiqua" w:hAnsi="Book Antiqua" w:cs="Times New Roman"/>
          <w:b/>
          <w:i w:val="0"/>
          <w:noProof/>
          <w:color w:val="000000" w:themeColor="text1"/>
          <w:sz w:val="24"/>
          <w:szCs w:val="24"/>
        </w:rPr>
        <w:t>6</w:t>
      </w:r>
      <w:r w:rsidRPr="000C178D">
        <w:rPr>
          <w:rFonts w:ascii="Book Antiqua" w:hAnsi="Book Antiqua" w:cs="Times New Roman"/>
          <w:b/>
          <w:i w:val="0"/>
          <w:color w:val="000000" w:themeColor="text1"/>
          <w:sz w:val="24"/>
          <w:szCs w:val="24"/>
        </w:rPr>
        <w:fldChar w:fldCharType="end"/>
      </w:r>
      <w:bookmarkEnd w:id="6"/>
      <w:r w:rsidRPr="000C178D">
        <w:rPr>
          <w:rFonts w:ascii="Book Antiqua" w:hAnsi="Book Antiqua" w:cs="Times New Roman"/>
          <w:b/>
          <w:color w:val="000000" w:themeColor="text1"/>
          <w:sz w:val="24"/>
          <w:szCs w:val="24"/>
        </w:rPr>
        <w:t xml:space="preserve"> </w:t>
      </w:r>
      <w:r w:rsidRPr="000C178D">
        <w:rPr>
          <w:rFonts w:ascii="Book Antiqua" w:hAnsi="Book Antiqua" w:cs="Times New Roman"/>
          <w:b/>
          <w:i w:val="0"/>
          <w:color w:val="000000" w:themeColor="text1"/>
          <w:sz w:val="24"/>
          <w:szCs w:val="24"/>
        </w:rPr>
        <w:t>Case history timeline</w:t>
      </w:r>
      <w:r w:rsidRPr="000C178D">
        <w:rPr>
          <w:rFonts w:ascii="Book Antiqua" w:hAnsi="Book Antiqua" w:cs="Times New Roman"/>
          <w:color w:val="000000" w:themeColor="text1"/>
          <w:sz w:val="24"/>
          <w:szCs w:val="24"/>
        </w:rPr>
        <w:t xml:space="preserve">. </w:t>
      </w:r>
      <w:r w:rsidRPr="000C178D">
        <w:rPr>
          <w:rFonts w:ascii="Book Antiqua" w:hAnsi="Book Antiqua" w:cs="Times New Roman"/>
          <w:i w:val="0"/>
          <w:color w:val="000000" w:themeColor="text1"/>
          <w:sz w:val="24"/>
          <w:szCs w:val="24"/>
        </w:rPr>
        <w:t xml:space="preserve">BA: Bronchial asthma; IV: Intravenous; GC: </w:t>
      </w:r>
      <w:proofErr w:type="spellStart"/>
      <w:r w:rsidRPr="000C178D">
        <w:rPr>
          <w:rFonts w:ascii="Book Antiqua" w:hAnsi="Book Antiqua" w:cs="Times New Roman"/>
          <w:i w:val="0"/>
          <w:color w:val="000000" w:themeColor="text1"/>
          <w:sz w:val="24"/>
          <w:szCs w:val="24"/>
        </w:rPr>
        <w:t>Glucocorticosteroids</w:t>
      </w:r>
      <w:proofErr w:type="spellEnd"/>
      <w:r w:rsidRPr="000C178D">
        <w:rPr>
          <w:rFonts w:ascii="Book Antiqua" w:hAnsi="Book Antiqua" w:cs="Times New Roman"/>
          <w:i w:val="0"/>
          <w:color w:val="000000" w:themeColor="text1"/>
          <w:sz w:val="24"/>
          <w:szCs w:val="24"/>
        </w:rPr>
        <w:t>; ED: Endocrinology department; MRI: Magnetic resonance imaging; BPH: Benign prostatic hyperplasia; AIP: Autoimmune pancreatitis; HGD: Hepatology and gastroenterology department; IgG4–RD: Immunoglobulin G4 - related disease.</w:t>
      </w:r>
    </w:p>
    <w:p w14:paraId="7E5C51CB" w14:textId="77777777" w:rsidR="001A41CF" w:rsidRPr="000C178D" w:rsidRDefault="001A41CF" w:rsidP="000C178D">
      <w:pPr>
        <w:snapToGrid w:val="0"/>
        <w:spacing w:after="0" w:line="360" w:lineRule="auto"/>
        <w:rPr>
          <w:rFonts w:ascii="Book Antiqua" w:hAnsi="Book Antiqua"/>
          <w:b/>
          <w:bCs/>
          <w:sz w:val="24"/>
          <w:szCs w:val="24"/>
          <w:lang w:val="en-GB"/>
        </w:rPr>
      </w:pPr>
      <w:r w:rsidRPr="000C178D">
        <w:rPr>
          <w:rFonts w:ascii="Book Antiqua" w:hAnsi="Book Antiqua"/>
          <w:b/>
          <w:bCs/>
          <w:sz w:val="24"/>
          <w:szCs w:val="24"/>
          <w:lang w:val="en-GB"/>
        </w:rPr>
        <w:br w:type="page"/>
      </w:r>
    </w:p>
    <w:p w14:paraId="03AE0063" w14:textId="73361F51" w:rsidR="002125CC" w:rsidRPr="000C178D" w:rsidRDefault="001F6CDE" w:rsidP="000C178D">
      <w:pPr>
        <w:snapToGrid w:val="0"/>
        <w:spacing w:after="0" w:line="360" w:lineRule="auto"/>
        <w:jc w:val="both"/>
        <w:rPr>
          <w:rFonts w:ascii="Book Antiqua" w:hAnsi="Book Antiqua"/>
          <w:b/>
          <w:bCs/>
          <w:sz w:val="24"/>
          <w:szCs w:val="24"/>
        </w:rPr>
      </w:pPr>
      <w:r w:rsidRPr="000C178D">
        <w:rPr>
          <w:rFonts w:ascii="Book Antiqua" w:hAnsi="Book Antiqua"/>
          <w:b/>
          <w:bCs/>
          <w:sz w:val="24"/>
          <w:szCs w:val="24"/>
          <w:lang w:val="en-GB"/>
        </w:rPr>
        <w:lastRenderedPageBreak/>
        <w:t xml:space="preserve">Table </w:t>
      </w:r>
      <w:r w:rsidRPr="000C178D">
        <w:rPr>
          <w:rFonts w:ascii="Book Antiqua" w:hAnsi="Book Antiqua"/>
          <w:b/>
          <w:bCs/>
          <w:sz w:val="24"/>
          <w:szCs w:val="24"/>
        </w:rPr>
        <w:t>1 Immunological tests</w:t>
      </w:r>
    </w:p>
    <w:tbl>
      <w:tblPr>
        <w:tblStyle w:val="af7"/>
        <w:tblW w:w="9453"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35"/>
        <w:gridCol w:w="2541"/>
        <w:gridCol w:w="1677"/>
      </w:tblGrid>
      <w:tr w:rsidR="002125CC" w:rsidRPr="000C178D" w14:paraId="25A84AC7" w14:textId="77777777" w:rsidTr="000C178D">
        <w:trPr>
          <w:trHeight w:val="241"/>
        </w:trPr>
        <w:tc>
          <w:tcPr>
            <w:tcW w:w="5235" w:type="dxa"/>
            <w:tcBorders>
              <w:top w:val="single" w:sz="4" w:space="0" w:color="auto"/>
              <w:bottom w:val="single" w:sz="4" w:space="0" w:color="auto"/>
            </w:tcBorders>
            <w:vAlign w:val="center"/>
          </w:tcPr>
          <w:p w14:paraId="262687E8" w14:textId="2A9C41C2" w:rsidR="002125CC" w:rsidRPr="000C178D" w:rsidRDefault="001F6CDE" w:rsidP="000C178D">
            <w:pPr>
              <w:snapToGrid w:val="0"/>
              <w:spacing w:after="0" w:line="360" w:lineRule="auto"/>
              <w:jc w:val="both"/>
              <w:rPr>
                <w:rFonts w:ascii="Book Antiqua" w:hAnsi="Book Antiqua" w:cs="Times New Roman"/>
                <w:color w:val="000000" w:themeColor="text1"/>
                <w:sz w:val="24"/>
                <w:szCs w:val="24"/>
                <w:lang w:val="en-GB"/>
              </w:rPr>
            </w:pPr>
            <w:r w:rsidRPr="000C178D">
              <w:rPr>
                <w:rFonts w:ascii="Book Antiqua" w:hAnsi="Book Antiqua" w:cs="Times New Roman"/>
                <w:b/>
                <w:bCs/>
                <w:color w:val="000000" w:themeColor="text1"/>
                <w:sz w:val="24"/>
                <w:szCs w:val="24"/>
                <w:lang w:val="en-GB"/>
              </w:rPr>
              <w:t>Immunological tests</w:t>
            </w:r>
          </w:p>
        </w:tc>
        <w:tc>
          <w:tcPr>
            <w:tcW w:w="2541" w:type="dxa"/>
            <w:tcBorders>
              <w:top w:val="single" w:sz="4" w:space="0" w:color="auto"/>
              <w:bottom w:val="single" w:sz="4" w:space="0" w:color="auto"/>
            </w:tcBorders>
            <w:vAlign w:val="center"/>
          </w:tcPr>
          <w:p w14:paraId="2F388887" w14:textId="77777777" w:rsidR="002125CC" w:rsidRPr="000C178D" w:rsidRDefault="002125CC" w:rsidP="000C178D">
            <w:pPr>
              <w:snapToGrid w:val="0"/>
              <w:spacing w:after="0" w:line="360" w:lineRule="auto"/>
              <w:rPr>
                <w:rFonts w:ascii="Book Antiqua" w:hAnsi="Book Antiqua" w:cs="Times New Roman"/>
                <w:b/>
                <w:color w:val="000000" w:themeColor="text1"/>
                <w:sz w:val="24"/>
                <w:szCs w:val="24"/>
                <w:lang w:val="en-GB"/>
              </w:rPr>
            </w:pPr>
            <w:r w:rsidRPr="000C178D">
              <w:rPr>
                <w:rFonts w:ascii="Book Antiqua" w:hAnsi="Book Antiqua" w:cs="Times New Roman"/>
                <w:b/>
                <w:color w:val="000000" w:themeColor="text1"/>
                <w:sz w:val="24"/>
                <w:szCs w:val="24"/>
                <w:lang w:val="en-GB"/>
              </w:rPr>
              <w:t>Value</w:t>
            </w:r>
          </w:p>
        </w:tc>
        <w:tc>
          <w:tcPr>
            <w:tcW w:w="1677" w:type="dxa"/>
            <w:tcBorders>
              <w:top w:val="single" w:sz="4" w:space="0" w:color="auto"/>
              <w:bottom w:val="single" w:sz="4" w:space="0" w:color="auto"/>
            </w:tcBorders>
            <w:vAlign w:val="center"/>
          </w:tcPr>
          <w:p w14:paraId="26DA7431" w14:textId="77777777" w:rsidR="002125CC" w:rsidRPr="000C178D" w:rsidRDefault="002125CC" w:rsidP="000C178D">
            <w:pPr>
              <w:snapToGrid w:val="0"/>
              <w:spacing w:after="0" w:line="360" w:lineRule="auto"/>
              <w:rPr>
                <w:rFonts w:ascii="Book Antiqua" w:hAnsi="Book Antiqua" w:cs="Times New Roman"/>
                <w:b/>
                <w:color w:val="000000" w:themeColor="text1"/>
                <w:sz w:val="24"/>
                <w:szCs w:val="24"/>
                <w:lang w:val="en-GB"/>
              </w:rPr>
            </w:pPr>
            <w:r w:rsidRPr="000C178D">
              <w:rPr>
                <w:rFonts w:ascii="Book Antiqua" w:hAnsi="Book Antiqua" w:cs="Times New Roman"/>
                <w:b/>
                <w:color w:val="000000" w:themeColor="text1"/>
                <w:sz w:val="24"/>
                <w:szCs w:val="24"/>
                <w:lang w:val="en-GB"/>
              </w:rPr>
              <w:t>Normal range</w:t>
            </w:r>
          </w:p>
        </w:tc>
      </w:tr>
      <w:tr w:rsidR="002125CC" w:rsidRPr="000C178D" w14:paraId="3E9D3916" w14:textId="77777777" w:rsidTr="000C178D">
        <w:trPr>
          <w:trHeight w:val="241"/>
        </w:trPr>
        <w:tc>
          <w:tcPr>
            <w:tcW w:w="5235" w:type="dxa"/>
            <w:tcBorders>
              <w:top w:val="single" w:sz="4" w:space="0" w:color="auto"/>
            </w:tcBorders>
            <w:vAlign w:val="center"/>
          </w:tcPr>
          <w:p w14:paraId="44497901" w14:textId="77777777" w:rsidR="002125CC" w:rsidRPr="000C178D" w:rsidRDefault="002125CC" w:rsidP="000C178D">
            <w:pPr>
              <w:snapToGrid w:val="0"/>
              <w:spacing w:after="0" w:line="360" w:lineRule="auto"/>
              <w:rPr>
                <w:rFonts w:ascii="Book Antiqua" w:hAnsi="Book Antiqua" w:cs="Times New Roman"/>
                <w:bCs/>
                <w:color w:val="000000" w:themeColor="text1"/>
                <w:sz w:val="24"/>
                <w:szCs w:val="24"/>
                <w:lang w:val="en-GB"/>
              </w:rPr>
            </w:pPr>
            <w:r w:rsidRPr="000C178D">
              <w:rPr>
                <w:rFonts w:ascii="Book Antiqua" w:hAnsi="Book Antiqua" w:cs="Times New Roman"/>
                <w:bCs/>
                <w:color w:val="000000" w:themeColor="text1"/>
                <w:sz w:val="24"/>
                <w:szCs w:val="24"/>
                <w:lang w:val="en-GB"/>
              </w:rPr>
              <w:t>β-2 Glycoprotein-1 antibodies Ig G, A, M (</w:t>
            </w:r>
            <w:proofErr w:type="spellStart"/>
            <w:r w:rsidRPr="000C178D">
              <w:rPr>
                <w:rFonts w:ascii="Book Antiqua" w:hAnsi="Book Antiqua" w:cs="Times New Roman"/>
                <w:bCs/>
                <w:i/>
                <w:color w:val="000000" w:themeColor="text1"/>
                <w:sz w:val="24"/>
                <w:szCs w:val="24"/>
                <w:lang w:val="en-GB"/>
              </w:rPr>
              <w:t>o.d.</w:t>
            </w:r>
            <w:proofErr w:type="spellEnd"/>
            <w:r w:rsidRPr="000C178D">
              <w:rPr>
                <w:rFonts w:ascii="Book Antiqua" w:hAnsi="Book Antiqua" w:cs="Times New Roman"/>
                <w:bCs/>
                <w:color w:val="000000" w:themeColor="text1"/>
                <w:sz w:val="24"/>
                <w:szCs w:val="24"/>
                <w:lang w:val="en-GB"/>
              </w:rPr>
              <w:t>)</w:t>
            </w:r>
          </w:p>
        </w:tc>
        <w:tc>
          <w:tcPr>
            <w:tcW w:w="2541" w:type="dxa"/>
            <w:tcBorders>
              <w:top w:val="single" w:sz="4" w:space="0" w:color="auto"/>
            </w:tcBorders>
            <w:vAlign w:val="center"/>
          </w:tcPr>
          <w:p w14:paraId="51B3E47E" w14:textId="3A5FBF50" w:rsidR="002125CC" w:rsidRPr="000C178D" w:rsidRDefault="002125CC" w:rsidP="000C178D">
            <w:pPr>
              <w:snapToGrid w:val="0"/>
              <w:spacing w:after="0" w:line="360" w:lineRule="auto"/>
              <w:rPr>
                <w:rFonts w:ascii="Book Antiqua" w:hAnsi="Book Antiqua" w:cs="Times New Roman"/>
                <w:bCs/>
                <w:color w:val="000000" w:themeColor="text1"/>
                <w:sz w:val="24"/>
                <w:szCs w:val="24"/>
                <w:lang w:val="en-GB"/>
              </w:rPr>
            </w:pPr>
            <w:r w:rsidRPr="000C178D">
              <w:rPr>
                <w:rFonts w:ascii="Book Antiqua" w:hAnsi="Book Antiqua" w:cs="Times New Roman"/>
                <w:bCs/>
                <w:color w:val="000000" w:themeColor="text1"/>
                <w:sz w:val="24"/>
                <w:szCs w:val="24"/>
                <w:lang w:val="en-GB"/>
              </w:rPr>
              <w:t>0.512 (</w:t>
            </w:r>
            <w:r w:rsidR="001F6CDE" w:rsidRPr="000C178D">
              <w:rPr>
                <w:rFonts w:ascii="Book Antiqua" w:hAnsi="Book Antiqua" w:cs="Times New Roman"/>
                <w:bCs/>
                <w:color w:val="000000" w:themeColor="text1"/>
                <w:sz w:val="24"/>
                <w:szCs w:val="24"/>
                <w:lang w:val="en-GB"/>
              </w:rPr>
              <w:t>p</w:t>
            </w:r>
            <w:r w:rsidRPr="000C178D">
              <w:rPr>
                <w:rFonts w:ascii="Book Antiqua" w:hAnsi="Book Antiqua" w:cs="Times New Roman"/>
                <w:bCs/>
                <w:color w:val="000000" w:themeColor="text1"/>
                <w:sz w:val="24"/>
                <w:szCs w:val="24"/>
                <w:lang w:val="en-GB"/>
              </w:rPr>
              <w:t>ositive)</w:t>
            </w:r>
          </w:p>
        </w:tc>
        <w:tc>
          <w:tcPr>
            <w:tcW w:w="1677" w:type="dxa"/>
            <w:tcBorders>
              <w:top w:val="single" w:sz="4" w:space="0" w:color="auto"/>
            </w:tcBorders>
            <w:vAlign w:val="center"/>
          </w:tcPr>
          <w:p w14:paraId="7D519A66" w14:textId="77777777" w:rsidR="002125CC" w:rsidRPr="000C178D" w:rsidRDefault="002125CC" w:rsidP="000C178D">
            <w:pPr>
              <w:snapToGrid w:val="0"/>
              <w:spacing w:after="0" w:line="360" w:lineRule="auto"/>
              <w:rPr>
                <w:rFonts w:ascii="Book Antiqua" w:hAnsi="Book Antiqua" w:cs="Times New Roman"/>
                <w:bCs/>
                <w:color w:val="000000" w:themeColor="text1"/>
                <w:sz w:val="24"/>
                <w:szCs w:val="24"/>
                <w:lang w:val="en-GB"/>
              </w:rPr>
            </w:pPr>
            <w:r w:rsidRPr="000C178D">
              <w:rPr>
                <w:rFonts w:ascii="Book Antiqua" w:hAnsi="Book Antiqua" w:cs="Times New Roman"/>
                <w:bCs/>
                <w:color w:val="000000" w:themeColor="text1"/>
                <w:sz w:val="24"/>
                <w:szCs w:val="24"/>
                <w:lang w:val="en-GB"/>
              </w:rPr>
              <w:t>0.497</w:t>
            </w:r>
          </w:p>
        </w:tc>
      </w:tr>
      <w:tr w:rsidR="002125CC" w:rsidRPr="000C178D" w14:paraId="0129784A" w14:textId="77777777" w:rsidTr="000C178D">
        <w:trPr>
          <w:trHeight w:val="241"/>
        </w:trPr>
        <w:tc>
          <w:tcPr>
            <w:tcW w:w="5235" w:type="dxa"/>
            <w:vAlign w:val="center"/>
          </w:tcPr>
          <w:p w14:paraId="30A3C88D" w14:textId="77777777" w:rsidR="002125CC" w:rsidRPr="000C178D" w:rsidRDefault="002125CC" w:rsidP="000C178D">
            <w:pPr>
              <w:snapToGrid w:val="0"/>
              <w:spacing w:after="0" w:line="360" w:lineRule="auto"/>
              <w:jc w:val="both"/>
              <w:rPr>
                <w:rFonts w:ascii="Book Antiqua" w:hAnsi="Book Antiqua" w:cs="Times New Roman"/>
                <w:color w:val="000000" w:themeColor="text1"/>
                <w:sz w:val="24"/>
                <w:szCs w:val="24"/>
                <w:lang w:val="en-GB"/>
              </w:rPr>
            </w:pPr>
            <w:r w:rsidRPr="000C178D">
              <w:rPr>
                <w:rFonts w:ascii="Book Antiqua" w:hAnsi="Book Antiqua" w:cs="Times New Roman"/>
                <w:color w:val="000000" w:themeColor="text1"/>
                <w:sz w:val="24"/>
                <w:szCs w:val="24"/>
                <w:lang w:val="en-GB"/>
              </w:rPr>
              <w:t>Cardiolipin antibodies Ig G, A, M (</w:t>
            </w:r>
            <w:proofErr w:type="spellStart"/>
            <w:r w:rsidRPr="000C178D">
              <w:rPr>
                <w:rFonts w:ascii="Book Antiqua" w:hAnsi="Book Antiqua" w:cs="Times New Roman"/>
                <w:i/>
                <w:color w:val="000000" w:themeColor="text1"/>
                <w:sz w:val="24"/>
                <w:szCs w:val="24"/>
                <w:lang w:val="en-GB"/>
              </w:rPr>
              <w:t>o.d</w:t>
            </w:r>
            <w:r w:rsidRPr="000C178D">
              <w:rPr>
                <w:rFonts w:ascii="Book Antiqua" w:hAnsi="Book Antiqua" w:cs="Times New Roman"/>
                <w:color w:val="000000" w:themeColor="text1"/>
                <w:sz w:val="24"/>
                <w:szCs w:val="24"/>
                <w:lang w:val="en-GB"/>
              </w:rPr>
              <w:t>.</w:t>
            </w:r>
            <w:proofErr w:type="spellEnd"/>
            <w:r w:rsidRPr="000C178D">
              <w:rPr>
                <w:rFonts w:ascii="Book Antiqua" w:hAnsi="Book Antiqua" w:cs="Times New Roman"/>
                <w:color w:val="000000" w:themeColor="text1"/>
                <w:sz w:val="24"/>
                <w:szCs w:val="24"/>
                <w:lang w:val="en-GB"/>
              </w:rPr>
              <w:t>)</w:t>
            </w:r>
          </w:p>
        </w:tc>
        <w:tc>
          <w:tcPr>
            <w:tcW w:w="2541" w:type="dxa"/>
            <w:vAlign w:val="center"/>
          </w:tcPr>
          <w:p w14:paraId="16518E9C" w14:textId="294BA30A" w:rsidR="002125CC" w:rsidRPr="000C178D" w:rsidRDefault="002125CC" w:rsidP="000C178D">
            <w:pPr>
              <w:snapToGrid w:val="0"/>
              <w:spacing w:after="0" w:line="360" w:lineRule="auto"/>
              <w:rPr>
                <w:rFonts w:ascii="Book Antiqua" w:hAnsi="Book Antiqua" w:cs="Times New Roman"/>
                <w:color w:val="000000" w:themeColor="text1"/>
                <w:sz w:val="24"/>
                <w:szCs w:val="24"/>
                <w:lang w:val="en-GB"/>
              </w:rPr>
            </w:pPr>
            <w:r w:rsidRPr="000C178D">
              <w:rPr>
                <w:rFonts w:ascii="Book Antiqua" w:hAnsi="Book Antiqua" w:cs="Times New Roman"/>
                <w:color w:val="000000" w:themeColor="text1"/>
                <w:sz w:val="24"/>
                <w:szCs w:val="24"/>
                <w:lang w:val="en-GB"/>
              </w:rPr>
              <w:t>0.588 (</w:t>
            </w:r>
            <w:r w:rsidR="001F6CDE" w:rsidRPr="000C178D">
              <w:rPr>
                <w:rFonts w:ascii="Book Antiqua" w:hAnsi="Book Antiqua" w:cs="Times New Roman"/>
                <w:color w:val="000000" w:themeColor="text1"/>
                <w:sz w:val="24"/>
                <w:szCs w:val="24"/>
                <w:lang w:val="en-GB"/>
              </w:rPr>
              <w:t>p</w:t>
            </w:r>
            <w:r w:rsidRPr="000C178D">
              <w:rPr>
                <w:rFonts w:ascii="Book Antiqua" w:hAnsi="Book Antiqua" w:cs="Times New Roman"/>
                <w:color w:val="000000" w:themeColor="text1"/>
                <w:sz w:val="24"/>
                <w:szCs w:val="24"/>
                <w:lang w:val="en-GB"/>
              </w:rPr>
              <w:t>ositive)</w:t>
            </w:r>
          </w:p>
        </w:tc>
        <w:tc>
          <w:tcPr>
            <w:tcW w:w="1677" w:type="dxa"/>
            <w:vAlign w:val="center"/>
          </w:tcPr>
          <w:p w14:paraId="51D8B1CA" w14:textId="77777777" w:rsidR="002125CC" w:rsidRPr="000C178D" w:rsidRDefault="002125CC" w:rsidP="000C178D">
            <w:pPr>
              <w:snapToGrid w:val="0"/>
              <w:spacing w:after="0" w:line="360" w:lineRule="auto"/>
              <w:rPr>
                <w:rFonts w:ascii="Book Antiqua" w:hAnsi="Book Antiqua" w:cs="Times New Roman"/>
                <w:color w:val="000000" w:themeColor="text1"/>
                <w:sz w:val="24"/>
                <w:szCs w:val="24"/>
                <w:lang w:val="en-GB"/>
              </w:rPr>
            </w:pPr>
            <w:r w:rsidRPr="000C178D">
              <w:rPr>
                <w:rFonts w:ascii="Book Antiqua" w:hAnsi="Book Antiqua" w:cs="Times New Roman"/>
                <w:color w:val="000000" w:themeColor="text1"/>
                <w:sz w:val="24"/>
                <w:szCs w:val="24"/>
                <w:lang w:val="en-GB"/>
              </w:rPr>
              <w:t>0.552</w:t>
            </w:r>
          </w:p>
        </w:tc>
      </w:tr>
      <w:tr w:rsidR="002125CC" w:rsidRPr="000C178D" w14:paraId="0B7593EE" w14:textId="77777777" w:rsidTr="000C178D">
        <w:trPr>
          <w:trHeight w:val="241"/>
        </w:trPr>
        <w:tc>
          <w:tcPr>
            <w:tcW w:w="5235" w:type="dxa"/>
            <w:vAlign w:val="center"/>
          </w:tcPr>
          <w:p w14:paraId="2EF8638F" w14:textId="29966AC3" w:rsidR="002125CC" w:rsidRPr="000C178D" w:rsidRDefault="002125CC" w:rsidP="000C178D">
            <w:pPr>
              <w:snapToGrid w:val="0"/>
              <w:spacing w:after="0" w:line="360" w:lineRule="auto"/>
              <w:jc w:val="both"/>
              <w:rPr>
                <w:rFonts w:ascii="Book Antiqua" w:hAnsi="Book Antiqua" w:cs="Times New Roman"/>
                <w:color w:val="000000" w:themeColor="text1"/>
                <w:sz w:val="24"/>
                <w:szCs w:val="24"/>
                <w:lang w:val="en-GB"/>
              </w:rPr>
            </w:pPr>
            <w:r w:rsidRPr="000C178D">
              <w:rPr>
                <w:rFonts w:ascii="Book Antiqua" w:hAnsi="Book Antiqua" w:cs="Times New Roman"/>
                <w:color w:val="000000" w:themeColor="text1"/>
                <w:sz w:val="24"/>
                <w:szCs w:val="24"/>
                <w:lang w:val="en-GB"/>
              </w:rPr>
              <w:t xml:space="preserve">Antinuclear antibodies </w:t>
            </w:r>
          </w:p>
        </w:tc>
        <w:tc>
          <w:tcPr>
            <w:tcW w:w="2541" w:type="dxa"/>
            <w:vAlign w:val="center"/>
          </w:tcPr>
          <w:p w14:paraId="0A103307" w14:textId="6F8A978B" w:rsidR="002125CC" w:rsidRPr="000C178D" w:rsidRDefault="002125CC" w:rsidP="000C178D">
            <w:pPr>
              <w:snapToGrid w:val="0"/>
              <w:spacing w:after="0" w:line="360" w:lineRule="auto"/>
              <w:rPr>
                <w:rFonts w:ascii="Book Antiqua" w:hAnsi="Book Antiqua" w:cs="Times New Roman"/>
                <w:color w:val="000000" w:themeColor="text1"/>
                <w:sz w:val="24"/>
                <w:szCs w:val="24"/>
                <w:lang w:val="en-GB"/>
              </w:rPr>
            </w:pPr>
            <w:r w:rsidRPr="000C178D">
              <w:rPr>
                <w:rFonts w:ascii="Book Antiqua" w:hAnsi="Book Antiqua" w:cs="Times New Roman"/>
                <w:color w:val="000000" w:themeColor="text1"/>
                <w:sz w:val="24"/>
                <w:szCs w:val="24"/>
                <w:lang w:val="en-GB"/>
              </w:rPr>
              <w:t>&gt; 1:200 (</w:t>
            </w:r>
            <w:r w:rsidR="001F6CDE" w:rsidRPr="000C178D">
              <w:rPr>
                <w:rFonts w:ascii="Book Antiqua" w:hAnsi="Book Antiqua" w:cs="Times New Roman"/>
                <w:color w:val="000000" w:themeColor="text1"/>
                <w:sz w:val="24"/>
                <w:szCs w:val="24"/>
                <w:lang w:val="en-GB"/>
              </w:rPr>
              <w:t>p</w:t>
            </w:r>
            <w:r w:rsidRPr="000C178D">
              <w:rPr>
                <w:rFonts w:ascii="Book Antiqua" w:hAnsi="Book Antiqua" w:cs="Times New Roman"/>
                <w:color w:val="000000" w:themeColor="text1"/>
                <w:sz w:val="24"/>
                <w:szCs w:val="24"/>
                <w:lang w:val="en-GB"/>
              </w:rPr>
              <w:t>ositive)</w:t>
            </w:r>
          </w:p>
          <w:p w14:paraId="2A825CDD" w14:textId="77777777" w:rsidR="002125CC" w:rsidRPr="000C178D" w:rsidRDefault="002125CC" w:rsidP="000C178D">
            <w:pPr>
              <w:snapToGrid w:val="0"/>
              <w:spacing w:after="0" w:line="360" w:lineRule="auto"/>
              <w:rPr>
                <w:rFonts w:ascii="Book Antiqua" w:hAnsi="Book Antiqua" w:cs="Times New Roman"/>
                <w:color w:val="000000" w:themeColor="text1"/>
                <w:sz w:val="24"/>
                <w:szCs w:val="24"/>
                <w:lang w:val="en-GB"/>
              </w:rPr>
            </w:pPr>
            <w:r w:rsidRPr="000C178D">
              <w:rPr>
                <w:rFonts w:ascii="Book Antiqua" w:hAnsi="Book Antiqua" w:cs="Times New Roman"/>
                <w:color w:val="000000" w:themeColor="text1"/>
                <w:sz w:val="24"/>
                <w:szCs w:val="24"/>
                <w:lang w:val="en-GB"/>
              </w:rPr>
              <w:t>Dense fine speckled</w:t>
            </w:r>
          </w:p>
        </w:tc>
        <w:tc>
          <w:tcPr>
            <w:tcW w:w="1677" w:type="dxa"/>
            <w:vAlign w:val="center"/>
          </w:tcPr>
          <w:p w14:paraId="663146CA" w14:textId="77777777" w:rsidR="002125CC" w:rsidRPr="000C178D" w:rsidRDefault="002125CC" w:rsidP="000C178D">
            <w:pPr>
              <w:snapToGrid w:val="0"/>
              <w:spacing w:after="0" w:line="360" w:lineRule="auto"/>
              <w:rPr>
                <w:rFonts w:ascii="Book Antiqua" w:hAnsi="Book Antiqua" w:cs="Times New Roman"/>
                <w:color w:val="000000" w:themeColor="text1"/>
                <w:sz w:val="24"/>
                <w:szCs w:val="24"/>
                <w:lang w:val="en-GB"/>
              </w:rPr>
            </w:pPr>
            <w:r w:rsidRPr="000C178D">
              <w:rPr>
                <w:rFonts w:ascii="Book Antiqua" w:hAnsi="Book Antiqua" w:cs="Times New Roman"/>
                <w:color w:val="000000" w:themeColor="text1"/>
                <w:sz w:val="24"/>
                <w:szCs w:val="24"/>
                <w:lang w:val="en-GB"/>
              </w:rPr>
              <w:t>&lt; 1:40</w:t>
            </w:r>
          </w:p>
        </w:tc>
      </w:tr>
      <w:tr w:rsidR="002125CC" w:rsidRPr="000C178D" w14:paraId="759FFCDB" w14:textId="77777777" w:rsidTr="000C178D">
        <w:trPr>
          <w:trHeight w:val="293"/>
        </w:trPr>
        <w:tc>
          <w:tcPr>
            <w:tcW w:w="5235" w:type="dxa"/>
            <w:vAlign w:val="center"/>
          </w:tcPr>
          <w:p w14:paraId="38B8D9D8" w14:textId="0A8A76C9" w:rsidR="002125CC" w:rsidRPr="000C178D" w:rsidRDefault="002125CC" w:rsidP="000C178D">
            <w:pPr>
              <w:snapToGrid w:val="0"/>
              <w:spacing w:after="0" w:line="360" w:lineRule="auto"/>
              <w:jc w:val="both"/>
              <w:rPr>
                <w:rFonts w:ascii="Book Antiqua" w:hAnsi="Book Antiqua" w:cs="Times New Roman"/>
                <w:color w:val="000000" w:themeColor="text1"/>
                <w:sz w:val="24"/>
                <w:szCs w:val="24"/>
                <w:lang w:val="en-GB"/>
              </w:rPr>
            </w:pPr>
            <w:r w:rsidRPr="000C178D">
              <w:rPr>
                <w:rFonts w:ascii="Book Antiqua" w:hAnsi="Book Antiqua" w:cs="Times New Roman"/>
                <w:color w:val="000000" w:themeColor="text1"/>
                <w:sz w:val="24"/>
                <w:szCs w:val="24"/>
                <w:lang w:val="en-GB"/>
              </w:rPr>
              <w:t>Anti-neutrophil cytoplasmic antibodies</w:t>
            </w:r>
          </w:p>
        </w:tc>
        <w:tc>
          <w:tcPr>
            <w:tcW w:w="2541" w:type="dxa"/>
            <w:vAlign w:val="center"/>
          </w:tcPr>
          <w:p w14:paraId="2689F8C8" w14:textId="078356D1" w:rsidR="002125CC" w:rsidRPr="000C178D" w:rsidRDefault="002125CC" w:rsidP="000C178D">
            <w:pPr>
              <w:snapToGrid w:val="0"/>
              <w:spacing w:after="0" w:line="360" w:lineRule="auto"/>
              <w:rPr>
                <w:rFonts w:ascii="Book Antiqua" w:hAnsi="Book Antiqua" w:cs="Times New Roman"/>
                <w:color w:val="000000" w:themeColor="text1"/>
                <w:sz w:val="24"/>
                <w:szCs w:val="24"/>
                <w:lang w:val="en-GB"/>
              </w:rPr>
            </w:pPr>
            <w:r w:rsidRPr="000C178D">
              <w:rPr>
                <w:rFonts w:ascii="Book Antiqua" w:hAnsi="Book Antiqua" w:cs="Times New Roman"/>
                <w:color w:val="000000" w:themeColor="text1"/>
                <w:sz w:val="24"/>
                <w:szCs w:val="24"/>
                <w:lang w:val="en-GB"/>
              </w:rPr>
              <w:t>&lt; 1:10 (</w:t>
            </w:r>
            <w:r w:rsidR="001F6CDE" w:rsidRPr="000C178D">
              <w:rPr>
                <w:rFonts w:ascii="Book Antiqua" w:hAnsi="Book Antiqua" w:cs="Times New Roman"/>
                <w:color w:val="000000" w:themeColor="text1"/>
                <w:sz w:val="24"/>
                <w:szCs w:val="24"/>
                <w:lang w:val="en-GB"/>
              </w:rPr>
              <w:t>n</w:t>
            </w:r>
            <w:r w:rsidRPr="000C178D">
              <w:rPr>
                <w:rFonts w:ascii="Book Antiqua" w:hAnsi="Book Antiqua" w:cs="Times New Roman"/>
                <w:color w:val="000000" w:themeColor="text1"/>
                <w:sz w:val="24"/>
                <w:szCs w:val="24"/>
                <w:lang w:val="en-GB"/>
              </w:rPr>
              <w:t>egative)</w:t>
            </w:r>
          </w:p>
        </w:tc>
        <w:tc>
          <w:tcPr>
            <w:tcW w:w="1677" w:type="dxa"/>
            <w:vAlign w:val="center"/>
          </w:tcPr>
          <w:p w14:paraId="1619C4CF" w14:textId="77777777" w:rsidR="002125CC" w:rsidRPr="000C178D" w:rsidRDefault="002125CC" w:rsidP="000C178D">
            <w:pPr>
              <w:snapToGrid w:val="0"/>
              <w:spacing w:after="0" w:line="360" w:lineRule="auto"/>
              <w:rPr>
                <w:rFonts w:ascii="Book Antiqua" w:hAnsi="Book Antiqua" w:cs="Times New Roman"/>
                <w:color w:val="000000" w:themeColor="text1"/>
                <w:sz w:val="24"/>
                <w:szCs w:val="24"/>
                <w:lang w:val="en-GB"/>
              </w:rPr>
            </w:pPr>
            <w:r w:rsidRPr="000C178D">
              <w:rPr>
                <w:rFonts w:ascii="Book Antiqua" w:hAnsi="Book Antiqua" w:cs="Times New Roman"/>
                <w:color w:val="000000" w:themeColor="text1"/>
                <w:sz w:val="24"/>
                <w:szCs w:val="24"/>
                <w:lang w:val="en-GB"/>
              </w:rPr>
              <w:t>&lt; 1:10</w:t>
            </w:r>
          </w:p>
        </w:tc>
      </w:tr>
      <w:tr w:rsidR="002125CC" w:rsidRPr="000C178D" w14:paraId="1880AE6C" w14:textId="77777777" w:rsidTr="000C178D">
        <w:trPr>
          <w:trHeight w:val="293"/>
        </w:trPr>
        <w:tc>
          <w:tcPr>
            <w:tcW w:w="5235" w:type="dxa"/>
            <w:vAlign w:val="center"/>
          </w:tcPr>
          <w:p w14:paraId="15B45E97" w14:textId="77777777" w:rsidR="002125CC" w:rsidRPr="000C178D" w:rsidRDefault="002125CC" w:rsidP="000C178D">
            <w:pPr>
              <w:snapToGrid w:val="0"/>
              <w:spacing w:after="0" w:line="360" w:lineRule="auto"/>
              <w:jc w:val="both"/>
              <w:rPr>
                <w:rFonts w:ascii="Book Antiqua" w:hAnsi="Book Antiqua" w:cs="Times New Roman"/>
                <w:color w:val="000000" w:themeColor="text1"/>
                <w:sz w:val="24"/>
                <w:szCs w:val="24"/>
                <w:lang w:val="en-GB"/>
              </w:rPr>
            </w:pPr>
            <w:r w:rsidRPr="000C178D">
              <w:rPr>
                <w:rFonts w:ascii="Book Antiqua" w:hAnsi="Book Antiqua" w:cs="Times New Roman"/>
                <w:color w:val="000000" w:themeColor="text1"/>
                <w:sz w:val="24"/>
                <w:szCs w:val="24"/>
                <w:lang w:val="en-GB"/>
              </w:rPr>
              <w:t>Rheumatoid factor</w:t>
            </w:r>
          </w:p>
        </w:tc>
        <w:tc>
          <w:tcPr>
            <w:tcW w:w="2541" w:type="dxa"/>
            <w:vAlign w:val="center"/>
          </w:tcPr>
          <w:p w14:paraId="439D723D" w14:textId="77777777" w:rsidR="002125CC" w:rsidRPr="000C178D" w:rsidRDefault="002125CC" w:rsidP="000C178D">
            <w:pPr>
              <w:snapToGrid w:val="0"/>
              <w:spacing w:after="0" w:line="360" w:lineRule="auto"/>
              <w:rPr>
                <w:rFonts w:ascii="Book Antiqua" w:hAnsi="Book Antiqua" w:cs="Times New Roman"/>
                <w:bCs/>
                <w:color w:val="000000" w:themeColor="text1"/>
                <w:sz w:val="24"/>
                <w:szCs w:val="24"/>
                <w:lang w:val="en-GB"/>
              </w:rPr>
            </w:pPr>
            <w:r w:rsidRPr="000C178D">
              <w:rPr>
                <w:rFonts w:ascii="Book Antiqua" w:hAnsi="Book Antiqua" w:cs="Times New Roman"/>
                <w:bCs/>
                <w:color w:val="000000" w:themeColor="text1"/>
                <w:sz w:val="24"/>
                <w:szCs w:val="24"/>
                <w:lang w:val="en-GB"/>
              </w:rPr>
              <w:t>&lt; 20.0</w:t>
            </w:r>
          </w:p>
        </w:tc>
        <w:tc>
          <w:tcPr>
            <w:tcW w:w="1677" w:type="dxa"/>
            <w:vAlign w:val="center"/>
          </w:tcPr>
          <w:p w14:paraId="0A346E86" w14:textId="77777777" w:rsidR="002125CC" w:rsidRPr="000C178D" w:rsidRDefault="002125CC" w:rsidP="000C178D">
            <w:pPr>
              <w:snapToGrid w:val="0"/>
              <w:spacing w:after="0" w:line="360" w:lineRule="auto"/>
              <w:rPr>
                <w:rFonts w:ascii="Book Antiqua" w:hAnsi="Book Antiqua" w:cs="Times New Roman"/>
                <w:bCs/>
                <w:color w:val="000000" w:themeColor="text1"/>
                <w:sz w:val="24"/>
                <w:szCs w:val="24"/>
                <w:lang w:val="en-GB"/>
              </w:rPr>
            </w:pPr>
            <w:r w:rsidRPr="000C178D">
              <w:rPr>
                <w:rFonts w:ascii="Book Antiqua" w:hAnsi="Book Antiqua" w:cs="Times New Roman"/>
                <w:bCs/>
                <w:color w:val="000000" w:themeColor="text1"/>
                <w:sz w:val="24"/>
                <w:szCs w:val="24"/>
                <w:lang w:val="en-GB"/>
              </w:rPr>
              <w:t>&lt; 30 U/mL</w:t>
            </w:r>
          </w:p>
        </w:tc>
      </w:tr>
      <w:tr w:rsidR="002125CC" w:rsidRPr="000C178D" w14:paraId="1700F9DE" w14:textId="77777777" w:rsidTr="000C178D">
        <w:trPr>
          <w:trHeight w:val="293"/>
        </w:trPr>
        <w:tc>
          <w:tcPr>
            <w:tcW w:w="5235" w:type="dxa"/>
            <w:vAlign w:val="center"/>
          </w:tcPr>
          <w:p w14:paraId="1BB0315D" w14:textId="77777777" w:rsidR="002125CC" w:rsidRPr="000C178D" w:rsidRDefault="002125CC" w:rsidP="000C178D">
            <w:pPr>
              <w:snapToGrid w:val="0"/>
              <w:spacing w:after="0" w:line="360" w:lineRule="auto"/>
              <w:jc w:val="both"/>
              <w:rPr>
                <w:rFonts w:ascii="Book Antiqua" w:hAnsi="Book Antiqua" w:cs="Times New Roman"/>
                <w:color w:val="000000" w:themeColor="text1"/>
                <w:sz w:val="24"/>
                <w:szCs w:val="24"/>
                <w:lang w:val="en-GB"/>
              </w:rPr>
            </w:pPr>
            <w:r w:rsidRPr="000C178D">
              <w:rPr>
                <w:rFonts w:ascii="Book Antiqua" w:hAnsi="Book Antiqua" w:cs="Times New Roman"/>
                <w:color w:val="000000" w:themeColor="text1"/>
                <w:sz w:val="24"/>
                <w:szCs w:val="24"/>
                <w:lang w:val="en-GB"/>
              </w:rPr>
              <w:t>Complement C4</w:t>
            </w:r>
          </w:p>
        </w:tc>
        <w:tc>
          <w:tcPr>
            <w:tcW w:w="2541" w:type="dxa"/>
            <w:vAlign w:val="center"/>
          </w:tcPr>
          <w:p w14:paraId="5162853D" w14:textId="77777777" w:rsidR="002125CC" w:rsidRPr="000C178D" w:rsidRDefault="002125CC" w:rsidP="000C178D">
            <w:pPr>
              <w:snapToGrid w:val="0"/>
              <w:spacing w:after="0" w:line="360" w:lineRule="auto"/>
              <w:rPr>
                <w:rFonts w:ascii="Book Antiqua" w:hAnsi="Book Antiqua" w:cs="Times New Roman"/>
                <w:color w:val="000000" w:themeColor="text1"/>
                <w:sz w:val="24"/>
                <w:szCs w:val="24"/>
                <w:lang w:val="en-GB"/>
              </w:rPr>
            </w:pPr>
            <w:r w:rsidRPr="000C178D">
              <w:rPr>
                <w:rFonts w:ascii="Book Antiqua" w:hAnsi="Book Antiqua" w:cs="Times New Roman"/>
                <w:color w:val="000000" w:themeColor="text1"/>
                <w:sz w:val="24"/>
                <w:szCs w:val="24"/>
                <w:lang w:val="en-GB"/>
              </w:rPr>
              <w:t>0.15</w:t>
            </w:r>
          </w:p>
        </w:tc>
        <w:tc>
          <w:tcPr>
            <w:tcW w:w="1677" w:type="dxa"/>
            <w:vAlign w:val="center"/>
          </w:tcPr>
          <w:p w14:paraId="4B9E67CD" w14:textId="092CBB54" w:rsidR="002125CC" w:rsidRPr="000C178D" w:rsidRDefault="002125CC" w:rsidP="000C178D">
            <w:pPr>
              <w:snapToGrid w:val="0"/>
              <w:spacing w:after="0" w:line="360" w:lineRule="auto"/>
              <w:rPr>
                <w:rFonts w:ascii="Book Antiqua" w:hAnsi="Book Antiqua" w:cs="Times New Roman"/>
                <w:color w:val="000000" w:themeColor="text1"/>
                <w:sz w:val="24"/>
                <w:szCs w:val="24"/>
                <w:lang w:val="en-GB"/>
              </w:rPr>
            </w:pPr>
            <w:r w:rsidRPr="000C178D">
              <w:rPr>
                <w:rFonts w:ascii="Book Antiqua" w:hAnsi="Book Antiqua" w:cs="Times New Roman"/>
                <w:color w:val="000000" w:themeColor="text1"/>
                <w:sz w:val="24"/>
                <w:szCs w:val="24"/>
                <w:lang w:val="en-GB"/>
              </w:rPr>
              <w:t>0.15– 0.57 g/L</w:t>
            </w:r>
          </w:p>
        </w:tc>
      </w:tr>
      <w:tr w:rsidR="002125CC" w:rsidRPr="000C178D" w14:paraId="6F279A09" w14:textId="77777777" w:rsidTr="000C178D">
        <w:trPr>
          <w:trHeight w:val="293"/>
        </w:trPr>
        <w:tc>
          <w:tcPr>
            <w:tcW w:w="5235" w:type="dxa"/>
            <w:vAlign w:val="center"/>
          </w:tcPr>
          <w:p w14:paraId="1B7E7DB0" w14:textId="77777777" w:rsidR="002125CC" w:rsidRPr="000C178D" w:rsidRDefault="002125CC" w:rsidP="000C178D">
            <w:pPr>
              <w:snapToGrid w:val="0"/>
              <w:spacing w:after="0" w:line="360" w:lineRule="auto"/>
              <w:jc w:val="both"/>
              <w:rPr>
                <w:rFonts w:ascii="Book Antiqua" w:hAnsi="Book Antiqua" w:cs="Times New Roman"/>
                <w:color w:val="000000" w:themeColor="text1"/>
                <w:sz w:val="24"/>
                <w:szCs w:val="24"/>
                <w:lang w:val="en-GB"/>
              </w:rPr>
            </w:pPr>
            <w:r w:rsidRPr="000C178D">
              <w:rPr>
                <w:rFonts w:ascii="Book Antiqua" w:hAnsi="Book Antiqua" w:cs="Times New Roman"/>
                <w:color w:val="000000" w:themeColor="text1"/>
                <w:sz w:val="24"/>
                <w:szCs w:val="24"/>
                <w:lang w:val="en-GB"/>
              </w:rPr>
              <w:t>Complement C3c</w:t>
            </w:r>
          </w:p>
        </w:tc>
        <w:tc>
          <w:tcPr>
            <w:tcW w:w="2541" w:type="dxa"/>
            <w:vAlign w:val="center"/>
          </w:tcPr>
          <w:p w14:paraId="5EA879B7" w14:textId="77777777" w:rsidR="002125CC" w:rsidRPr="000C178D" w:rsidRDefault="002125CC" w:rsidP="000C178D">
            <w:pPr>
              <w:snapToGrid w:val="0"/>
              <w:spacing w:after="0" w:line="360" w:lineRule="auto"/>
              <w:jc w:val="both"/>
              <w:rPr>
                <w:rFonts w:ascii="Book Antiqua" w:hAnsi="Book Antiqua" w:cs="Times New Roman"/>
                <w:bCs/>
                <w:color w:val="000000" w:themeColor="text1"/>
                <w:sz w:val="24"/>
                <w:szCs w:val="24"/>
                <w:lang w:val="en-GB"/>
              </w:rPr>
            </w:pPr>
            <w:r w:rsidRPr="000C178D">
              <w:rPr>
                <w:rFonts w:ascii="Book Antiqua" w:hAnsi="Book Antiqua" w:cs="Times New Roman"/>
                <w:bCs/>
                <w:color w:val="000000" w:themeColor="text1"/>
                <w:sz w:val="24"/>
                <w:szCs w:val="24"/>
                <w:lang w:val="en-GB"/>
              </w:rPr>
              <w:t>1.09</w:t>
            </w:r>
          </w:p>
        </w:tc>
        <w:tc>
          <w:tcPr>
            <w:tcW w:w="1677" w:type="dxa"/>
            <w:vAlign w:val="center"/>
          </w:tcPr>
          <w:p w14:paraId="005244D7" w14:textId="2AA240E8" w:rsidR="002125CC" w:rsidRPr="000C178D" w:rsidRDefault="002125CC" w:rsidP="000C178D">
            <w:pPr>
              <w:snapToGrid w:val="0"/>
              <w:spacing w:after="0" w:line="360" w:lineRule="auto"/>
              <w:jc w:val="both"/>
              <w:rPr>
                <w:rFonts w:ascii="Book Antiqua" w:hAnsi="Book Antiqua" w:cs="Times New Roman"/>
                <w:bCs/>
                <w:color w:val="000000" w:themeColor="text1"/>
                <w:sz w:val="24"/>
                <w:szCs w:val="24"/>
                <w:lang w:val="en-GB"/>
              </w:rPr>
            </w:pPr>
            <w:r w:rsidRPr="000C178D">
              <w:rPr>
                <w:rFonts w:ascii="Book Antiqua" w:hAnsi="Book Antiqua" w:cs="Times New Roman"/>
                <w:bCs/>
                <w:color w:val="000000" w:themeColor="text1"/>
                <w:sz w:val="24"/>
                <w:szCs w:val="24"/>
                <w:lang w:val="en-GB"/>
              </w:rPr>
              <w:t>0.9–1.8 g/L</w:t>
            </w:r>
          </w:p>
        </w:tc>
      </w:tr>
      <w:tr w:rsidR="002125CC" w:rsidRPr="000C178D" w14:paraId="3634AD8B" w14:textId="77777777" w:rsidTr="000C178D">
        <w:trPr>
          <w:trHeight w:val="241"/>
        </w:trPr>
        <w:tc>
          <w:tcPr>
            <w:tcW w:w="5235" w:type="dxa"/>
            <w:vAlign w:val="center"/>
          </w:tcPr>
          <w:p w14:paraId="5D4D325F" w14:textId="599B1E82" w:rsidR="002125CC" w:rsidRPr="000C178D" w:rsidRDefault="002125CC" w:rsidP="000C178D">
            <w:pPr>
              <w:snapToGrid w:val="0"/>
              <w:spacing w:after="0" w:line="360" w:lineRule="auto"/>
              <w:jc w:val="both"/>
              <w:rPr>
                <w:rFonts w:ascii="Book Antiqua" w:hAnsi="Book Antiqua" w:cs="Times New Roman"/>
                <w:color w:val="000000" w:themeColor="text1"/>
                <w:sz w:val="24"/>
                <w:szCs w:val="24"/>
                <w:lang w:val="en-GB"/>
              </w:rPr>
            </w:pPr>
            <w:bookmarkStart w:id="7" w:name="_Hlk45185558"/>
            <w:r w:rsidRPr="000C178D">
              <w:rPr>
                <w:rFonts w:ascii="Book Antiqua" w:hAnsi="Book Antiqua" w:cs="Times New Roman"/>
                <w:color w:val="000000" w:themeColor="text1"/>
                <w:sz w:val="24"/>
                <w:szCs w:val="24"/>
                <w:lang w:val="en-GB"/>
              </w:rPr>
              <w:t>ENA</w:t>
            </w:r>
            <w:bookmarkEnd w:id="7"/>
            <w:r w:rsidRPr="000C178D">
              <w:rPr>
                <w:rFonts w:ascii="Book Antiqua" w:hAnsi="Book Antiqua" w:cs="Times New Roman"/>
                <w:color w:val="000000" w:themeColor="text1"/>
                <w:sz w:val="24"/>
                <w:szCs w:val="24"/>
                <w:lang w:val="en-GB"/>
              </w:rPr>
              <w:t>:</w:t>
            </w:r>
          </w:p>
          <w:p w14:paraId="75924C56" w14:textId="77777777" w:rsidR="002125CC" w:rsidRPr="000C178D" w:rsidRDefault="002125CC" w:rsidP="000C178D">
            <w:pPr>
              <w:snapToGrid w:val="0"/>
              <w:spacing w:after="0" w:line="360" w:lineRule="auto"/>
              <w:jc w:val="both"/>
              <w:rPr>
                <w:rFonts w:ascii="Book Antiqua" w:hAnsi="Book Antiqua" w:cs="Times New Roman"/>
                <w:color w:val="000000" w:themeColor="text1"/>
                <w:sz w:val="24"/>
                <w:szCs w:val="24"/>
                <w:lang w:val="en-GB"/>
              </w:rPr>
            </w:pPr>
            <w:proofErr w:type="spellStart"/>
            <w:r w:rsidRPr="000C178D">
              <w:rPr>
                <w:rFonts w:ascii="Book Antiqua" w:hAnsi="Book Antiqua" w:cs="Times New Roman"/>
                <w:color w:val="000000" w:themeColor="text1"/>
                <w:sz w:val="24"/>
                <w:szCs w:val="24"/>
                <w:lang w:val="en-GB"/>
              </w:rPr>
              <w:t>nRNP</w:t>
            </w:r>
            <w:proofErr w:type="spellEnd"/>
            <w:r w:rsidRPr="000C178D">
              <w:rPr>
                <w:rFonts w:ascii="Book Antiqua" w:hAnsi="Book Antiqua" w:cs="Times New Roman"/>
                <w:color w:val="000000" w:themeColor="text1"/>
                <w:sz w:val="24"/>
                <w:szCs w:val="24"/>
                <w:lang w:val="en-GB"/>
              </w:rPr>
              <w:t>/</w:t>
            </w:r>
            <w:proofErr w:type="spellStart"/>
            <w:r w:rsidRPr="000C178D">
              <w:rPr>
                <w:rFonts w:ascii="Book Antiqua" w:hAnsi="Book Antiqua" w:cs="Times New Roman"/>
                <w:color w:val="000000" w:themeColor="text1"/>
                <w:sz w:val="24"/>
                <w:szCs w:val="24"/>
                <w:lang w:val="en-GB"/>
              </w:rPr>
              <w:t>Sm</w:t>
            </w:r>
            <w:proofErr w:type="spellEnd"/>
          </w:p>
        </w:tc>
        <w:tc>
          <w:tcPr>
            <w:tcW w:w="2541" w:type="dxa"/>
            <w:vAlign w:val="center"/>
          </w:tcPr>
          <w:p w14:paraId="088779AE" w14:textId="000F5A5B" w:rsidR="002125CC" w:rsidRPr="000C178D" w:rsidRDefault="001F6CDE" w:rsidP="000C178D">
            <w:pPr>
              <w:snapToGrid w:val="0"/>
              <w:spacing w:after="0" w:line="360" w:lineRule="auto"/>
              <w:jc w:val="both"/>
              <w:rPr>
                <w:rFonts w:ascii="Book Antiqua" w:hAnsi="Book Antiqua" w:cs="Times New Roman"/>
                <w:color w:val="000000" w:themeColor="text1"/>
                <w:sz w:val="24"/>
                <w:szCs w:val="24"/>
                <w:lang w:val="en-GB"/>
              </w:rPr>
            </w:pPr>
            <w:r w:rsidRPr="000C178D">
              <w:rPr>
                <w:rFonts w:ascii="Book Antiqua" w:hAnsi="Book Antiqua" w:cs="Times New Roman"/>
                <w:color w:val="000000" w:themeColor="text1"/>
                <w:sz w:val="24"/>
                <w:szCs w:val="24"/>
                <w:lang w:val="en-GB"/>
              </w:rPr>
              <w:t>N</w:t>
            </w:r>
            <w:r w:rsidR="002125CC" w:rsidRPr="000C178D">
              <w:rPr>
                <w:rFonts w:ascii="Book Antiqua" w:hAnsi="Book Antiqua" w:cs="Times New Roman"/>
                <w:color w:val="000000" w:themeColor="text1"/>
                <w:sz w:val="24"/>
                <w:szCs w:val="24"/>
                <w:lang w:val="en-GB"/>
              </w:rPr>
              <w:t>egative</w:t>
            </w:r>
          </w:p>
        </w:tc>
        <w:tc>
          <w:tcPr>
            <w:tcW w:w="1677" w:type="dxa"/>
            <w:vAlign w:val="center"/>
          </w:tcPr>
          <w:p w14:paraId="5053B431" w14:textId="77777777" w:rsidR="002125CC" w:rsidRPr="000C178D" w:rsidRDefault="002125CC" w:rsidP="000C178D">
            <w:pPr>
              <w:snapToGrid w:val="0"/>
              <w:spacing w:after="0" w:line="360" w:lineRule="auto"/>
              <w:jc w:val="both"/>
              <w:rPr>
                <w:rFonts w:ascii="Book Antiqua" w:hAnsi="Book Antiqua" w:cs="Times New Roman"/>
                <w:color w:val="000000" w:themeColor="text1"/>
                <w:sz w:val="24"/>
                <w:szCs w:val="24"/>
                <w:lang w:val="en-GB"/>
              </w:rPr>
            </w:pPr>
            <w:r w:rsidRPr="000C178D">
              <w:rPr>
                <w:rFonts w:ascii="Book Antiqua" w:hAnsi="Book Antiqua" w:cs="Times New Roman"/>
                <w:color w:val="000000" w:themeColor="text1"/>
                <w:sz w:val="24"/>
                <w:szCs w:val="24"/>
                <w:lang w:val="en-GB"/>
              </w:rPr>
              <w:t>Negative</w:t>
            </w:r>
          </w:p>
        </w:tc>
      </w:tr>
      <w:tr w:rsidR="002125CC" w:rsidRPr="000C178D" w14:paraId="3263D460" w14:textId="77777777" w:rsidTr="000C178D">
        <w:trPr>
          <w:trHeight w:val="241"/>
        </w:trPr>
        <w:tc>
          <w:tcPr>
            <w:tcW w:w="5235" w:type="dxa"/>
            <w:vAlign w:val="center"/>
          </w:tcPr>
          <w:p w14:paraId="1DF27CFF" w14:textId="77777777" w:rsidR="002125CC" w:rsidRPr="000C178D" w:rsidRDefault="002125CC" w:rsidP="000C178D">
            <w:pPr>
              <w:snapToGrid w:val="0"/>
              <w:spacing w:after="0" w:line="360" w:lineRule="auto"/>
              <w:jc w:val="both"/>
              <w:rPr>
                <w:rFonts w:ascii="Book Antiqua" w:hAnsi="Book Antiqua" w:cs="Times New Roman"/>
                <w:color w:val="000000" w:themeColor="text1"/>
                <w:sz w:val="24"/>
                <w:szCs w:val="24"/>
                <w:lang w:val="en-GB"/>
              </w:rPr>
            </w:pPr>
            <w:r w:rsidRPr="000C178D">
              <w:rPr>
                <w:rFonts w:ascii="Book Antiqua" w:hAnsi="Book Antiqua" w:cs="Times New Roman"/>
                <w:color w:val="000000" w:themeColor="text1"/>
                <w:sz w:val="24"/>
                <w:szCs w:val="24"/>
                <w:lang w:val="en-GB"/>
              </w:rPr>
              <w:t>ENA: Sm</w:t>
            </w:r>
          </w:p>
        </w:tc>
        <w:tc>
          <w:tcPr>
            <w:tcW w:w="2541" w:type="dxa"/>
            <w:vAlign w:val="center"/>
          </w:tcPr>
          <w:p w14:paraId="7AB211C2" w14:textId="77777777" w:rsidR="002125CC" w:rsidRPr="000C178D" w:rsidRDefault="002125CC" w:rsidP="000C178D">
            <w:pPr>
              <w:snapToGrid w:val="0"/>
              <w:spacing w:after="0" w:line="360" w:lineRule="auto"/>
              <w:jc w:val="both"/>
              <w:rPr>
                <w:rFonts w:ascii="Book Antiqua" w:hAnsi="Book Antiqua" w:cs="Times New Roman"/>
                <w:bCs/>
                <w:color w:val="000000" w:themeColor="text1"/>
                <w:sz w:val="24"/>
                <w:szCs w:val="24"/>
                <w:lang w:val="en-GB"/>
              </w:rPr>
            </w:pPr>
            <w:r w:rsidRPr="000C178D">
              <w:rPr>
                <w:rFonts w:ascii="Book Antiqua" w:hAnsi="Book Antiqua" w:cs="Times New Roman"/>
                <w:bCs/>
                <w:color w:val="000000" w:themeColor="text1"/>
                <w:sz w:val="24"/>
                <w:szCs w:val="24"/>
                <w:lang w:val="en-GB"/>
              </w:rPr>
              <w:t>Negative</w:t>
            </w:r>
          </w:p>
        </w:tc>
        <w:tc>
          <w:tcPr>
            <w:tcW w:w="1677" w:type="dxa"/>
            <w:vAlign w:val="center"/>
          </w:tcPr>
          <w:p w14:paraId="1C60387D" w14:textId="77777777" w:rsidR="002125CC" w:rsidRPr="000C178D" w:rsidRDefault="002125CC" w:rsidP="000C178D">
            <w:pPr>
              <w:snapToGrid w:val="0"/>
              <w:spacing w:after="0" w:line="360" w:lineRule="auto"/>
              <w:jc w:val="both"/>
              <w:rPr>
                <w:rFonts w:ascii="Book Antiqua" w:hAnsi="Book Antiqua" w:cs="Times New Roman"/>
                <w:bCs/>
                <w:color w:val="000000" w:themeColor="text1"/>
                <w:sz w:val="24"/>
                <w:szCs w:val="24"/>
                <w:lang w:val="en-GB"/>
              </w:rPr>
            </w:pPr>
            <w:r w:rsidRPr="000C178D">
              <w:rPr>
                <w:rFonts w:ascii="Book Antiqua" w:hAnsi="Book Antiqua" w:cs="Times New Roman"/>
                <w:bCs/>
                <w:color w:val="000000" w:themeColor="text1"/>
                <w:sz w:val="24"/>
                <w:szCs w:val="24"/>
                <w:lang w:val="en-GB"/>
              </w:rPr>
              <w:t>Negative</w:t>
            </w:r>
          </w:p>
        </w:tc>
      </w:tr>
      <w:tr w:rsidR="002125CC" w:rsidRPr="000C178D" w14:paraId="27C67171" w14:textId="77777777" w:rsidTr="000C178D">
        <w:trPr>
          <w:trHeight w:val="241"/>
        </w:trPr>
        <w:tc>
          <w:tcPr>
            <w:tcW w:w="5235" w:type="dxa"/>
            <w:vAlign w:val="center"/>
          </w:tcPr>
          <w:p w14:paraId="3AD72CDC" w14:textId="77777777" w:rsidR="002125CC" w:rsidRPr="000C178D" w:rsidRDefault="002125CC" w:rsidP="000C178D">
            <w:pPr>
              <w:snapToGrid w:val="0"/>
              <w:spacing w:after="0" w:line="360" w:lineRule="auto"/>
              <w:jc w:val="both"/>
              <w:rPr>
                <w:rFonts w:ascii="Book Antiqua" w:hAnsi="Book Antiqua" w:cs="Times New Roman"/>
                <w:color w:val="000000" w:themeColor="text1"/>
                <w:sz w:val="24"/>
                <w:szCs w:val="24"/>
                <w:lang w:val="en-GB"/>
              </w:rPr>
            </w:pPr>
            <w:r w:rsidRPr="000C178D">
              <w:rPr>
                <w:rFonts w:ascii="Book Antiqua" w:hAnsi="Book Antiqua" w:cs="Times New Roman"/>
                <w:color w:val="000000" w:themeColor="text1"/>
                <w:sz w:val="24"/>
                <w:szCs w:val="24"/>
                <w:lang w:val="en-GB"/>
              </w:rPr>
              <w:t>ENA: SS-A</w:t>
            </w:r>
          </w:p>
        </w:tc>
        <w:tc>
          <w:tcPr>
            <w:tcW w:w="2541" w:type="dxa"/>
            <w:vAlign w:val="center"/>
          </w:tcPr>
          <w:p w14:paraId="6BE0C06C" w14:textId="77777777" w:rsidR="002125CC" w:rsidRPr="000C178D" w:rsidRDefault="002125CC" w:rsidP="000C178D">
            <w:pPr>
              <w:snapToGrid w:val="0"/>
              <w:spacing w:after="0" w:line="360" w:lineRule="auto"/>
              <w:jc w:val="both"/>
              <w:rPr>
                <w:rFonts w:ascii="Book Antiqua" w:hAnsi="Book Antiqua" w:cs="Times New Roman"/>
                <w:color w:val="000000" w:themeColor="text1"/>
                <w:sz w:val="24"/>
                <w:szCs w:val="24"/>
                <w:lang w:val="en-GB"/>
              </w:rPr>
            </w:pPr>
            <w:r w:rsidRPr="000C178D">
              <w:rPr>
                <w:rFonts w:ascii="Book Antiqua" w:hAnsi="Book Antiqua" w:cs="Times New Roman"/>
                <w:color w:val="000000" w:themeColor="text1"/>
                <w:sz w:val="24"/>
                <w:szCs w:val="24"/>
                <w:lang w:val="en-GB"/>
              </w:rPr>
              <w:t>Negative</w:t>
            </w:r>
          </w:p>
        </w:tc>
        <w:tc>
          <w:tcPr>
            <w:tcW w:w="1677" w:type="dxa"/>
            <w:vAlign w:val="center"/>
          </w:tcPr>
          <w:p w14:paraId="2842DA89" w14:textId="77777777" w:rsidR="002125CC" w:rsidRPr="000C178D" w:rsidRDefault="002125CC" w:rsidP="000C178D">
            <w:pPr>
              <w:snapToGrid w:val="0"/>
              <w:spacing w:after="0" w:line="360" w:lineRule="auto"/>
              <w:jc w:val="both"/>
              <w:rPr>
                <w:rFonts w:ascii="Book Antiqua" w:hAnsi="Book Antiqua" w:cs="Times New Roman"/>
                <w:color w:val="000000" w:themeColor="text1"/>
                <w:sz w:val="24"/>
                <w:szCs w:val="24"/>
                <w:lang w:val="en-GB"/>
              </w:rPr>
            </w:pPr>
            <w:r w:rsidRPr="000C178D">
              <w:rPr>
                <w:rFonts w:ascii="Book Antiqua" w:hAnsi="Book Antiqua" w:cs="Times New Roman"/>
                <w:color w:val="000000" w:themeColor="text1"/>
                <w:sz w:val="24"/>
                <w:szCs w:val="24"/>
                <w:lang w:val="en-GB"/>
              </w:rPr>
              <w:t>Negative</w:t>
            </w:r>
          </w:p>
        </w:tc>
      </w:tr>
      <w:tr w:rsidR="002125CC" w:rsidRPr="000C178D" w14:paraId="11D70BE0" w14:textId="77777777" w:rsidTr="000C178D">
        <w:trPr>
          <w:trHeight w:val="278"/>
        </w:trPr>
        <w:tc>
          <w:tcPr>
            <w:tcW w:w="5235" w:type="dxa"/>
            <w:vAlign w:val="center"/>
          </w:tcPr>
          <w:p w14:paraId="02FAD452" w14:textId="77777777" w:rsidR="002125CC" w:rsidRPr="000C178D" w:rsidRDefault="002125CC" w:rsidP="000C178D">
            <w:pPr>
              <w:snapToGrid w:val="0"/>
              <w:spacing w:after="0" w:line="360" w:lineRule="auto"/>
              <w:jc w:val="both"/>
              <w:rPr>
                <w:rFonts w:ascii="Book Antiqua" w:hAnsi="Book Antiqua" w:cs="Times New Roman"/>
                <w:color w:val="000000" w:themeColor="text1"/>
                <w:sz w:val="24"/>
                <w:szCs w:val="24"/>
                <w:lang w:val="en-GB"/>
              </w:rPr>
            </w:pPr>
            <w:r w:rsidRPr="000C178D">
              <w:rPr>
                <w:rFonts w:ascii="Book Antiqua" w:hAnsi="Book Antiqua" w:cs="Times New Roman"/>
                <w:color w:val="000000" w:themeColor="text1"/>
                <w:sz w:val="24"/>
                <w:szCs w:val="24"/>
                <w:lang w:val="en-GB"/>
              </w:rPr>
              <w:t>ENA: SS-B</w:t>
            </w:r>
          </w:p>
        </w:tc>
        <w:tc>
          <w:tcPr>
            <w:tcW w:w="2541" w:type="dxa"/>
            <w:vAlign w:val="center"/>
          </w:tcPr>
          <w:p w14:paraId="6BB00037" w14:textId="77777777" w:rsidR="002125CC" w:rsidRPr="000C178D" w:rsidRDefault="002125CC" w:rsidP="000C178D">
            <w:pPr>
              <w:snapToGrid w:val="0"/>
              <w:spacing w:after="0" w:line="360" w:lineRule="auto"/>
              <w:jc w:val="both"/>
              <w:rPr>
                <w:rFonts w:ascii="Book Antiqua" w:hAnsi="Book Antiqua" w:cs="Times New Roman"/>
                <w:bCs/>
                <w:color w:val="000000" w:themeColor="text1"/>
                <w:sz w:val="24"/>
                <w:szCs w:val="24"/>
                <w:lang w:val="en-GB"/>
              </w:rPr>
            </w:pPr>
            <w:r w:rsidRPr="000C178D">
              <w:rPr>
                <w:rFonts w:ascii="Book Antiqua" w:hAnsi="Book Antiqua" w:cs="Times New Roman"/>
                <w:bCs/>
                <w:color w:val="000000" w:themeColor="text1"/>
                <w:sz w:val="24"/>
                <w:szCs w:val="24"/>
                <w:lang w:val="en-GB"/>
              </w:rPr>
              <w:t>Negative</w:t>
            </w:r>
          </w:p>
        </w:tc>
        <w:tc>
          <w:tcPr>
            <w:tcW w:w="1677" w:type="dxa"/>
            <w:vAlign w:val="center"/>
          </w:tcPr>
          <w:p w14:paraId="5A052130" w14:textId="77777777" w:rsidR="002125CC" w:rsidRPr="000C178D" w:rsidRDefault="002125CC" w:rsidP="000C178D">
            <w:pPr>
              <w:snapToGrid w:val="0"/>
              <w:spacing w:after="0" w:line="360" w:lineRule="auto"/>
              <w:jc w:val="both"/>
              <w:rPr>
                <w:rFonts w:ascii="Book Antiqua" w:hAnsi="Book Antiqua" w:cs="Times New Roman"/>
                <w:bCs/>
                <w:color w:val="000000" w:themeColor="text1"/>
                <w:sz w:val="24"/>
                <w:szCs w:val="24"/>
                <w:lang w:val="en-GB"/>
              </w:rPr>
            </w:pPr>
            <w:r w:rsidRPr="000C178D">
              <w:rPr>
                <w:rFonts w:ascii="Book Antiqua" w:hAnsi="Book Antiqua" w:cs="Times New Roman"/>
                <w:bCs/>
                <w:color w:val="000000" w:themeColor="text1"/>
                <w:sz w:val="24"/>
                <w:szCs w:val="24"/>
                <w:lang w:val="en-GB"/>
              </w:rPr>
              <w:t>Negative</w:t>
            </w:r>
          </w:p>
        </w:tc>
      </w:tr>
      <w:tr w:rsidR="002125CC" w:rsidRPr="000C178D" w14:paraId="47BF1A61" w14:textId="77777777" w:rsidTr="000C178D">
        <w:trPr>
          <w:trHeight w:val="278"/>
        </w:trPr>
        <w:tc>
          <w:tcPr>
            <w:tcW w:w="5235" w:type="dxa"/>
            <w:vAlign w:val="center"/>
          </w:tcPr>
          <w:p w14:paraId="01EF5743" w14:textId="77777777" w:rsidR="002125CC" w:rsidRPr="000C178D" w:rsidRDefault="002125CC" w:rsidP="000C178D">
            <w:pPr>
              <w:snapToGrid w:val="0"/>
              <w:spacing w:after="0" w:line="360" w:lineRule="auto"/>
              <w:jc w:val="both"/>
              <w:rPr>
                <w:rFonts w:ascii="Book Antiqua" w:hAnsi="Book Antiqua" w:cs="Times New Roman"/>
                <w:color w:val="000000" w:themeColor="text1"/>
                <w:sz w:val="24"/>
                <w:szCs w:val="24"/>
                <w:lang w:val="en-GB"/>
              </w:rPr>
            </w:pPr>
            <w:r w:rsidRPr="000C178D">
              <w:rPr>
                <w:rFonts w:ascii="Book Antiqua" w:hAnsi="Book Antiqua" w:cs="Times New Roman"/>
                <w:color w:val="000000" w:themeColor="text1"/>
                <w:sz w:val="24"/>
                <w:szCs w:val="24"/>
                <w:lang w:val="en-GB"/>
              </w:rPr>
              <w:t>ENA: Ro-52</w:t>
            </w:r>
          </w:p>
        </w:tc>
        <w:tc>
          <w:tcPr>
            <w:tcW w:w="2541" w:type="dxa"/>
            <w:vAlign w:val="center"/>
          </w:tcPr>
          <w:p w14:paraId="55F3525F" w14:textId="77777777" w:rsidR="002125CC" w:rsidRPr="000C178D" w:rsidRDefault="002125CC" w:rsidP="000C178D">
            <w:pPr>
              <w:snapToGrid w:val="0"/>
              <w:spacing w:after="0" w:line="360" w:lineRule="auto"/>
              <w:jc w:val="both"/>
              <w:rPr>
                <w:rFonts w:ascii="Book Antiqua" w:hAnsi="Book Antiqua" w:cs="Times New Roman"/>
                <w:color w:val="000000" w:themeColor="text1"/>
                <w:sz w:val="24"/>
                <w:szCs w:val="24"/>
                <w:lang w:val="en-GB"/>
              </w:rPr>
            </w:pPr>
            <w:r w:rsidRPr="000C178D">
              <w:rPr>
                <w:rFonts w:ascii="Book Antiqua" w:hAnsi="Book Antiqua" w:cs="Times New Roman"/>
                <w:color w:val="000000" w:themeColor="text1"/>
                <w:sz w:val="24"/>
                <w:szCs w:val="24"/>
                <w:lang w:val="en-GB"/>
              </w:rPr>
              <w:t>Negative</w:t>
            </w:r>
          </w:p>
        </w:tc>
        <w:tc>
          <w:tcPr>
            <w:tcW w:w="1677" w:type="dxa"/>
            <w:vAlign w:val="center"/>
          </w:tcPr>
          <w:p w14:paraId="72ABE6B8" w14:textId="77777777" w:rsidR="002125CC" w:rsidRPr="000C178D" w:rsidRDefault="002125CC" w:rsidP="000C178D">
            <w:pPr>
              <w:snapToGrid w:val="0"/>
              <w:spacing w:after="0" w:line="360" w:lineRule="auto"/>
              <w:jc w:val="both"/>
              <w:rPr>
                <w:rFonts w:ascii="Book Antiqua" w:hAnsi="Book Antiqua" w:cs="Times New Roman"/>
                <w:color w:val="000000" w:themeColor="text1"/>
                <w:sz w:val="24"/>
                <w:szCs w:val="24"/>
                <w:lang w:val="en-GB"/>
              </w:rPr>
            </w:pPr>
            <w:r w:rsidRPr="000C178D">
              <w:rPr>
                <w:rFonts w:ascii="Book Antiqua" w:hAnsi="Book Antiqua" w:cs="Times New Roman"/>
                <w:color w:val="000000" w:themeColor="text1"/>
                <w:sz w:val="24"/>
                <w:szCs w:val="24"/>
                <w:lang w:val="en-GB"/>
              </w:rPr>
              <w:t>Negative</w:t>
            </w:r>
          </w:p>
        </w:tc>
      </w:tr>
      <w:tr w:rsidR="002125CC" w:rsidRPr="000C178D" w14:paraId="19D7DE10" w14:textId="77777777" w:rsidTr="000C178D">
        <w:trPr>
          <w:trHeight w:val="278"/>
        </w:trPr>
        <w:tc>
          <w:tcPr>
            <w:tcW w:w="5235" w:type="dxa"/>
            <w:vAlign w:val="center"/>
          </w:tcPr>
          <w:p w14:paraId="0963C6B2" w14:textId="77777777" w:rsidR="002125CC" w:rsidRPr="000C178D" w:rsidRDefault="002125CC" w:rsidP="000C178D">
            <w:pPr>
              <w:snapToGrid w:val="0"/>
              <w:spacing w:after="0" w:line="360" w:lineRule="auto"/>
              <w:jc w:val="both"/>
              <w:rPr>
                <w:rFonts w:ascii="Book Antiqua" w:hAnsi="Book Antiqua" w:cs="Times New Roman"/>
                <w:color w:val="000000" w:themeColor="text1"/>
                <w:sz w:val="24"/>
                <w:szCs w:val="24"/>
                <w:lang w:val="en-GB"/>
              </w:rPr>
            </w:pPr>
            <w:r w:rsidRPr="000C178D">
              <w:rPr>
                <w:rFonts w:ascii="Book Antiqua" w:hAnsi="Book Antiqua" w:cs="Times New Roman"/>
                <w:color w:val="000000" w:themeColor="text1"/>
                <w:sz w:val="24"/>
                <w:szCs w:val="24"/>
                <w:lang w:val="en-GB"/>
              </w:rPr>
              <w:t>ENA: Scl-70</w:t>
            </w:r>
          </w:p>
        </w:tc>
        <w:tc>
          <w:tcPr>
            <w:tcW w:w="2541" w:type="dxa"/>
            <w:vAlign w:val="center"/>
          </w:tcPr>
          <w:p w14:paraId="53CA4AC4" w14:textId="77777777" w:rsidR="002125CC" w:rsidRPr="000C178D" w:rsidRDefault="002125CC" w:rsidP="000C178D">
            <w:pPr>
              <w:snapToGrid w:val="0"/>
              <w:spacing w:after="0" w:line="360" w:lineRule="auto"/>
              <w:jc w:val="both"/>
              <w:rPr>
                <w:rFonts w:ascii="Book Antiqua" w:hAnsi="Book Antiqua" w:cs="Times New Roman"/>
                <w:bCs/>
                <w:color w:val="000000" w:themeColor="text1"/>
                <w:sz w:val="24"/>
                <w:szCs w:val="24"/>
                <w:lang w:val="en-GB"/>
              </w:rPr>
            </w:pPr>
            <w:r w:rsidRPr="000C178D">
              <w:rPr>
                <w:rFonts w:ascii="Book Antiqua" w:hAnsi="Book Antiqua" w:cs="Times New Roman"/>
                <w:bCs/>
                <w:color w:val="000000" w:themeColor="text1"/>
                <w:sz w:val="24"/>
                <w:szCs w:val="24"/>
                <w:lang w:val="en-GB"/>
              </w:rPr>
              <w:t>Negative</w:t>
            </w:r>
          </w:p>
        </w:tc>
        <w:tc>
          <w:tcPr>
            <w:tcW w:w="1677" w:type="dxa"/>
            <w:vAlign w:val="center"/>
          </w:tcPr>
          <w:p w14:paraId="12A33293" w14:textId="77777777" w:rsidR="002125CC" w:rsidRPr="000C178D" w:rsidRDefault="002125CC" w:rsidP="000C178D">
            <w:pPr>
              <w:snapToGrid w:val="0"/>
              <w:spacing w:after="0" w:line="360" w:lineRule="auto"/>
              <w:jc w:val="both"/>
              <w:rPr>
                <w:rFonts w:ascii="Book Antiqua" w:hAnsi="Book Antiqua" w:cs="Times New Roman"/>
                <w:bCs/>
                <w:color w:val="000000" w:themeColor="text1"/>
                <w:sz w:val="24"/>
                <w:szCs w:val="24"/>
                <w:lang w:val="en-GB"/>
              </w:rPr>
            </w:pPr>
            <w:r w:rsidRPr="000C178D">
              <w:rPr>
                <w:rFonts w:ascii="Book Antiqua" w:hAnsi="Book Antiqua" w:cs="Times New Roman"/>
                <w:bCs/>
                <w:color w:val="000000" w:themeColor="text1"/>
                <w:sz w:val="24"/>
                <w:szCs w:val="24"/>
                <w:lang w:val="en-GB"/>
              </w:rPr>
              <w:t>Negative</w:t>
            </w:r>
          </w:p>
        </w:tc>
      </w:tr>
      <w:tr w:rsidR="002125CC" w:rsidRPr="000C178D" w14:paraId="602022E2" w14:textId="77777777" w:rsidTr="000C178D">
        <w:trPr>
          <w:trHeight w:val="278"/>
        </w:trPr>
        <w:tc>
          <w:tcPr>
            <w:tcW w:w="5235" w:type="dxa"/>
            <w:vAlign w:val="center"/>
          </w:tcPr>
          <w:p w14:paraId="096EC92F" w14:textId="77777777" w:rsidR="002125CC" w:rsidRPr="000C178D" w:rsidRDefault="002125CC" w:rsidP="000C178D">
            <w:pPr>
              <w:snapToGrid w:val="0"/>
              <w:spacing w:after="0" w:line="360" w:lineRule="auto"/>
              <w:jc w:val="both"/>
              <w:rPr>
                <w:rFonts w:ascii="Book Antiqua" w:hAnsi="Book Antiqua" w:cs="Times New Roman"/>
                <w:color w:val="000000" w:themeColor="text1"/>
                <w:sz w:val="24"/>
                <w:szCs w:val="24"/>
                <w:lang w:val="en-GB"/>
              </w:rPr>
            </w:pPr>
            <w:r w:rsidRPr="000C178D">
              <w:rPr>
                <w:rFonts w:ascii="Book Antiqua" w:hAnsi="Book Antiqua" w:cs="Times New Roman"/>
                <w:color w:val="000000" w:themeColor="text1"/>
                <w:sz w:val="24"/>
                <w:szCs w:val="24"/>
                <w:lang w:val="en-GB"/>
              </w:rPr>
              <w:t>ENA: PM-</w:t>
            </w:r>
            <w:proofErr w:type="spellStart"/>
            <w:r w:rsidRPr="000C178D">
              <w:rPr>
                <w:rFonts w:ascii="Book Antiqua" w:hAnsi="Book Antiqua" w:cs="Times New Roman"/>
                <w:color w:val="000000" w:themeColor="text1"/>
                <w:sz w:val="24"/>
                <w:szCs w:val="24"/>
                <w:lang w:val="en-GB"/>
              </w:rPr>
              <w:t>Scl</w:t>
            </w:r>
            <w:proofErr w:type="spellEnd"/>
          </w:p>
        </w:tc>
        <w:tc>
          <w:tcPr>
            <w:tcW w:w="2541" w:type="dxa"/>
            <w:vAlign w:val="center"/>
          </w:tcPr>
          <w:p w14:paraId="7A28BA7B" w14:textId="77777777" w:rsidR="002125CC" w:rsidRPr="000C178D" w:rsidRDefault="002125CC" w:rsidP="000C178D">
            <w:pPr>
              <w:snapToGrid w:val="0"/>
              <w:spacing w:after="0" w:line="360" w:lineRule="auto"/>
              <w:jc w:val="both"/>
              <w:rPr>
                <w:rFonts w:ascii="Book Antiqua" w:hAnsi="Book Antiqua" w:cs="Times New Roman"/>
                <w:color w:val="000000" w:themeColor="text1"/>
                <w:sz w:val="24"/>
                <w:szCs w:val="24"/>
                <w:lang w:val="en-GB"/>
              </w:rPr>
            </w:pPr>
            <w:r w:rsidRPr="000C178D">
              <w:rPr>
                <w:rFonts w:ascii="Book Antiqua" w:hAnsi="Book Antiqua" w:cs="Times New Roman"/>
                <w:color w:val="000000" w:themeColor="text1"/>
                <w:sz w:val="24"/>
                <w:szCs w:val="24"/>
                <w:lang w:val="en-GB"/>
              </w:rPr>
              <w:t>Negative</w:t>
            </w:r>
          </w:p>
        </w:tc>
        <w:tc>
          <w:tcPr>
            <w:tcW w:w="1677" w:type="dxa"/>
            <w:vAlign w:val="center"/>
          </w:tcPr>
          <w:p w14:paraId="0786F98C" w14:textId="77777777" w:rsidR="002125CC" w:rsidRPr="000C178D" w:rsidRDefault="002125CC" w:rsidP="000C178D">
            <w:pPr>
              <w:snapToGrid w:val="0"/>
              <w:spacing w:after="0" w:line="360" w:lineRule="auto"/>
              <w:jc w:val="both"/>
              <w:rPr>
                <w:rFonts w:ascii="Book Antiqua" w:hAnsi="Book Antiqua" w:cs="Times New Roman"/>
                <w:color w:val="000000" w:themeColor="text1"/>
                <w:sz w:val="24"/>
                <w:szCs w:val="24"/>
                <w:lang w:val="en-GB"/>
              </w:rPr>
            </w:pPr>
            <w:r w:rsidRPr="000C178D">
              <w:rPr>
                <w:rFonts w:ascii="Book Antiqua" w:hAnsi="Book Antiqua" w:cs="Times New Roman"/>
                <w:color w:val="000000" w:themeColor="text1"/>
                <w:sz w:val="24"/>
                <w:szCs w:val="24"/>
                <w:lang w:val="en-GB"/>
              </w:rPr>
              <w:t>Negative</w:t>
            </w:r>
          </w:p>
        </w:tc>
      </w:tr>
      <w:tr w:rsidR="002125CC" w:rsidRPr="000C178D" w14:paraId="06C3B5D9" w14:textId="77777777" w:rsidTr="000C178D">
        <w:trPr>
          <w:trHeight w:val="262"/>
        </w:trPr>
        <w:tc>
          <w:tcPr>
            <w:tcW w:w="5235" w:type="dxa"/>
            <w:vAlign w:val="center"/>
          </w:tcPr>
          <w:p w14:paraId="4BE72CB1" w14:textId="77777777" w:rsidR="002125CC" w:rsidRPr="000C178D" w:rsidRDefault="002125CC" w:rsidP="000C178D">
            <w:pPr>
              <w:snapToGrid w:val="0"/>
              <w:spacing w:after="0" w:line="360" w:lineRule="auto"/>
              <w:jc w:val="both"/>
              <w:rPr>
                <w:rFonts w:ascii="Book Antiqua" w:hAnsi="Book Antiqua" w:cs="Times New Roman"/>
                <w:color w:val="000000" w:themeColor="text1"/>
                <w:sz w:val="24"/>
                <w:szCs w:val="24"/>
                <w:lang w:val="en-GB"/>
              </w:rPr>
            </w:pPr>
            <w:r w:rsidRPr="000C178D">
              <w:rPr>
                <w:rFonts w:ascii="Book Antiqua" w:hAnsi="Book Antiqua" w:cs="Times New Roman"/>
                <w:color w:val="000000" w:themeColor="text1"/>
                <w:sz w:val="24"/>
                <w:szCs w:val="24"/>
                <w:lang w:val="en-GB"/>
              </w:rPr>
              <w:t>ENA: Jo-1</w:t>
            </w:r>
          </w:p>
        </w:tc>
        <w:tc>
          <w:tcPr>
            <w:tcW w:w="2541" w:type="dxa"/>
            <w:vAlign w:val="center"/>
          </w:tcPr>
          <w:p w14:paraId="7EAA4E0D" w14:textId="77777777" w:rsidR="002125CC" w:rsidRPr="000C178D" w:rsidRDefault="002125CC" w:rsidP="000C178D">
            <w:pPr>
              <w:snapToGrid w:val="0"/>
              <w:spacing w:after="0" w:line="360" w:lineRule="auto"/>
              <w:jc w:val="both"/>
              <w:rPr>
                <w:rFonts w:ascii="Book Antiqua" w:hAnsi="Book Antiqua" w:cs="Times New Roman"/>
                <w:bCs/>
                <w:color w:val="000000" w:themeColor="text1"/>
                <w:sz w:val="24"/>
                <w:szCs w:val="24"/>
                <w:lang w:val="en-GB"/>
              </w:rPr>
            </w:pPr>
            <w:r w:rsidRPr="000C178D">
              <w:rPr>
                <w:rFonts w:ascii="Book Antiqua" w:hAnsi="Book Antiqua" w:cs="Times New Roman"/>
                <w:bCs/>
                <w:color w:val="000000" w:themeColor="text1"/>
                <w:sz w:val="24"/>
                <w:szCs w:val="24"/>
                <w:lang w:val="en-GB"/>
              </w:rPr>
              <w:t>Negative</w:t>
            </w:r>
          </w:p>
        </w:tc>
        <w:tc>
          <w:tcPr>
            <w:tcW w:w="1677" w:type="dxa"/>
            <w:vAlign w:val="center"/>
          </w:tcPr>
          <w:p w14:paraId="66813B10" w14:textId="77777777" w:rsidR="002125CC" w:rsidRPr="000C178D" w:rsidRDefault="002125CC" w:rsidP="000C178D">
            <w:pPr>
              <w:snapToGrid w:val="0"/>
              <w:spacing w:after="0" w:line="360" w:lineRule="auto"/>
              <w:jc w:val="both"/>
              <w:rPr>
                <w:rFonts w:ascii="Book Antiqua" w:hAnsi="Book Antiqua" w:cs="Times New Roman"/>
                <w:bCs/>
                <w:color w:val="000000" w:themeColor="text1"/>
                <w:sz w:val="24"/>
                <w:szCs w:val="24"/>
                <w:lang w:val="en-GB"/>
              </w:rPr>
            </w:pPr>
            <w:r w:rsidRPr="000C178D">
              <w:rPr>
                <w:rFonts w:ascii="Book Antiqua" w:hAnsi="Book Antiqua" w:cs="Times New Roman"/>
                <w:bCs/>
                <w:color w:val="000000" w:themeColor="text1"/>
                <w:sz w:val="24"/>
                <w:szCs w:val="24"/>
                <w:lang w:val="en-GB"/>
              </w:rPr>
              <w:t>Negative</w:t>
            </w:r>
          </w:p>
        </w:tc>
      </w:tr>
      <w:tr w:rsidR="002125CC" w:rsidRPr="000C178D" w14:paraId="2E0BD976" w14:textId="77777777" w:rsidTr="000C178D">
        <w:trPr>
          <w:trHeight w:val="241"/>
        </w:trPr>
        <w:tc>
          <w:tcPr>
            <w:tcW w:w="5235" w:type="dxa"/>
            <w:vAlign w:val="center"/>
          </w:tcPr>
          <w:p w14:paraId="1D2401ED" w14:textId="77777777" w:rsidR="002125CC" w:rsidRPr="000C178D" w:rsidRDefault="002125CC" w:rsidP="000C178D">
            <w:pPr>
              <w:snapToGrid w:val="0"/>
              <w:spacing w:after="0" w:line="360" w:lineRule="auto"/>
              <w:jc w:val="both"/>
              <w:rPr>
                <w:rFonts w:ascii="Book Antiqua" w:hAnsi="Book Antiqua" w:cs="Times New Roman"/>
                <w:color w:val="000000" w:themeColor="text1"/>
                <w:sz w:val="24"/>
                <w:szCs w:val="24"/>
                <w:lang w:val="en-GB"/>
              </w:rPr>
            </w:pPr>
            <w:r w:rsidRPr="000C178D">
              <w:rPr>
                <w:rFonts w:ascii="Book Antiqua" w:hAnsi="Book Antiqua" w:cs="Times New Roman"/>
                <w:color w:val="000000" w:themeColor="text1"/>
                <w:sz w:val="24"/>
                <w:szCs w:val="24"/>
                <w:lang w:val="en-GB"/>
              </w:rPr>
              <w:t>ENA: CENP-B</w:t>
            </w:r>
          </w:p>
        </w:tc>
        <w:tc>
          <w:tcPr>
            <w:tcW w:w="2541" w:type="dxa"/>
            <w:vAlign w:val="center"/>
          </w:tcPr>
          <w:p w14:paraId="096AAE81" w14:textId="77777777" w:rsidR="002125CC" w:rsidRPr="000C178D" w:rsidRDefault="002125CC" w:rsidP="000C178D">
            <w:pPr>
              <w:snapToGrid w:val="0"/>
              <w:spacing w:after="0" w:line="360" w:lineRule="auto"/>
              <w:jc w:val="both"/>
              <w:rPr>
                <w:rFonts w:ascii="Book Antiqua" w:hAnsi="Book Antiqua" w:cs="Times New Roman"/>
                <w:color w:val="000000" w:themeColor="text1"/>
                <w:sz w:val="24"/>
                <w:szCs w:val="24"/>
                <w:lang w:val="en-GB"/>
              </w:rPr>
            </w:pPr>
            <w:r w:rsidRPr="000C178D">
              <w:rPr>
                <w:rFonts w:ascii="Book Antiqua" w:hAnsi="Book Antiqua" w:cs="Times New Roman"/>
                <w:color w:val="000000" w:themeColor="text1"/>
                <w:sz w:val="24"/>
                <w:szCs w:val="24"/>
                <w:lang w:val="en-GB"/>
              </w:rPr>
              <w:t>Negative</w:t>
            </w:r>
          </w:p>
        </w:tc>
        <w:tc>
          <w:tcPr>
            <w:tcW w:w="1677" w:type="dxa"/>
            <w:vAlign w:val="center"/>
          </w:tcPr>
          <w:p w14:paraId="5CB53053" w14:textId="77777777" w:rsidR="002125CC" w:rsidRPr="000C178D" w:rsidRDefault="002125CC" w:rsidP="000C178D">
            <w:pPr>
              <w:snapToGrid w:val="0"/>
              <w:spacing w:after="0" w:line="360" w:lineRule="auto"/>
              <w:jc w:val="both"/>
              <w:rPr>
                <w:rFonts w:ascii="Book Antiqua" w:hAnsi="Book Antiqua" w:cs="Times New Roman"/>
                <w:color w:val="000000" w:themeColor="text1"/>
                <w:sz w:val="24"/>
                <w:szCs w:val="24"/>
                <w:lang w:val="en-GB"/>
              </w:rPr>
            </w:pPr>
            <w:r w:rsidRPr="000C178D">
              <w:rPr>
                <w:rFonts w:ascii="Book Antiqua" w:hAnsi="Book Antiqua" w:cs="Times New Roman"/>
                <w:color w:val="000000" w:themeColor="text1"/>
                <w:sz w:val="24"/>
                <w:szCs w:val="24"/>
                <w:lang w:val="en-GB"/>
              </w:rPr>
              <w:t>Negative</w:t>
            </w:r>
          </w:p>
        </w:tc>
      </w:tr>
      <w:tr w:rsidR="002125CC" w:rsidRPr="000C178D" w14:paraId="5E5DB00B" w14:textId="77777777" w:rsidTr="000C178D">
        <w:trPr>
          <w:trHeight w:val="241"/>
        </w:trPr>
        <w:tc>
          <w:tcPr>
            <w:tcW w:w="5235" w:type="dxa"/>
            <w:vAlign w:val="center"/>
          </w:tcPr>
          <w:p w14:paraId="17A260A2" w14:textId="77777777" w:rsidR="002125CC" w:rsidRPr="000C178D" w:rsidRDefault="002125CC" w:rsidP="000C178D">
            <w:pPr>
              <w:snapToGrid w:val="0"/>
              <w:spacing w:after="0" w:line="360" w:lineRule="auto"/>
              <w:jc w:val="both"/>
              <w:rPr>
                <w:rFonts w:ascii="Book Antiqua" w:hAnsi="Book Antiqua" w:cs="Times New Roman"/>
                <w:color w:val="000000" w:themeColor="text1"/>
                <w:sz w:val="24"/>
                <w:szCs w:val="24"/>
                <w:lang w:val="en-GB"/>
              </w:rPr>
            </w:pPr>
            <w:r w:rsidRPr="000C178D">
              <w:rPr>
                <w:rFonts w:ascii="Book Antiqua" w:hAnsi="Book Antiqua" w:cs="Times New Roman"/>
                <w:color w:val="000000" w:themeColor="text1"/>
                <w:sz w:val="24"/>
                <w:szCs w:val="24"/>
                <w:lang w:val="en-GB"/>
              </w:rPr>
              <w:t>ENA: PCNA</w:t>
            </w:r>
          </w:p>
        </w:tc>
        <w:tc>
          <w:tcPr>
            <w:tcW w:w="2541" w:type="dxa"/>
            <w:vAlign w:val="center"/>
          </w:tcPr>
          <w:p w14:paraId="4B61D562" w14:textId="77777777" w:rsidR="002125CC" w:rsidRPr="000C178D" w:rsidRDefault="002125CC" w:rsidP="000C178D">
            <w:pPr>
              <w:snapToGrid w:val="0"/>
              <w:spacing w:after="0" w:line="360" w:lineRule="auto"/>
              <w:jc w:val="both"/>
              <w:rPr>
                <w:rFonts w:ascii="Book Antiqua" w:hAnsi="Book Antiqua" w:cs="Times New Roman"/>
                <w:bCs/>
                <w:color w:val="000000" w:themeColor="text1"/>
                <w:sz w:val="24"/>
                <w:szCs w:val="24"/>
                <w:lang w:val="en-GB"/>
              </w:rPr>
            </w:pPr>
            <w:r w:rsidRPr="000C178D">
              <w:rPr>
                <w:rFonts w:ascii="Book Antiqua" w:hAnsi="Book Antiqua" w:cs="Times New Roman"/>
                <w:bCs/>
                <w:color w:val="000000" w:themeColor="text1"/>
                <w:sz w:val="24"/>
                <w:szCs w:val="24"/>
                <w:lang w:val="en-GB"/>
              </w:rPr>
              <w:t>Negative</w:t>
            </w:r>
          </w:p>
        </w:tc>
        <w:tc>
          <w:tcPr>
            <w:tcW w:w="1677" w:type="dxa"/>
            <w:vAlign w:val="center"/>
          </w:tcPr>
          <w:p w14:paraId="0343E2BA" w14:textId="77777777" w:rsidR="002125CC" w:rsidRPr="000C178D" w:rsidRDefault="002125CC" w:rsidP="000C178D">
            <w:pPr>
              <w:snapToGrid w:val="0"/>
              <w:spacing w:after="0" w:line="360" w:lineRule="auto"/>
              <w:jc w:val="both"/>
              <w:rPr>
                <w:rFonts w:ascii="Book Antiqua" w:hAnsi="Book Antiqua" w:cs="Times New Roman"/>
                <w:bCs/>
                <w:color w:val="000000" w:themeColor="text1"/>
                <w:sz w:val="24"/>
                <w:szCs w:val="24"/>
                <w:lang w:val="en-GB"/>
              </w:rPr>
            </w:pPr>
            <w:r w:rsidRPr="000C178D">
              <w:rPr>
                <w:rFonts w:ascii="Book Antiqua" w:hAnsi="Book Antiqua" w:cs="Times New Roman"/>
                <w:bCs/>
                <w:color w:val="000000" w:themeColor="text1"/>
                <w:sz w:val="24"/>
                <w:szCs w:val="24"/>
                <w:lang w:val="en-GB"/>
              </w:rPr>
              <w:t>Negative</w:t>
            </w:r>
          </w:p>
        </w:tc>
      </w:tr>
      <w:tr w:rsidR="002125CC" w:rsidRPr="000C178D" w14:paraId="6A810CB0" w14:textId="77777777" w:rsidTr="000C178D">
        <w:trPr>
          <w:trHeight w:val="241"/>
        </w:trPr>
        <w:tc>
          <w:tcPr>
            <w:tcW w:w="5235" w:type="dxa"/>
            <w:vAlign w:val="center"/>
          </w:tcPr>
          <w:p w14:paraId="4B3771DC" w14:textId="77777777" w:rsidR="002125CC" w:rsidRPr="000C178D" w:rsidRDefault="002125CC" w:rsidP="000C178D">
            <w:pPr>
              <w:snapToGrid w:val="0"/>
              <w:spacing w:after="0" w:line="360" w:lineRule="auto"/>
              <w:jc w:val="both"/>
              <w:rPr>
                <w:rFonts w:ascii="Book Antiqua" w:hAnsi="Book Antiqua" w:cs="Times New Roman"/>
                <w:color w:val="000000" w:themeColor="text1"/>
                <w:sz w:val="24"/>
                <w:szCs w:val="24"/>
                <w:lang w:val="en-GB"/>
              </w:rPr>
            </w:pPr>
            <w:r w:rsidRPr="000C178D">
              <w:rPr>
                <w:rFonts w:ascii="Book Antiqua" w:hAnsi="Book Antiqua" w:cs="Times New Roman"/>
                <w:color w:val="000000" w:themeColor="text1"/>
                <w:sz w:val="24"/>
                <w:szCs w:val="24"/>
                <w:lang w:val="en-GB"/>
              </w:rPr>
              <w:t>ENA: dsDNA</w:t>
            </w:r>
          </w:p>
        </w:tc>
        <w:tc>
          <w:tcPr>
            <w:tcW w:w="2541" w:type="dxa"/>
            <w:vAlign w:val="center"/>
          </w:tcPr>
          <w:p w14:paraId="2917E9ED" w14:textId="77777777" w:rsidR="002125CC" w:rsidRPr="000C178D" w:rsidRDefault="002125CC" w:rsidP="000C178D">
            <w:pPr>
              <w:snapToGrid w:val="0"/>
              <w:spacing w:after="0" w:line="360" w:lineRule="auto"/>
              <w:jc w:val="both"/>
              <w:rPr>
                <w:rFonts w:ascii="Book Antiqua" w:hAnsi="Book Antiqua" w:cs="Times New Roman"/>
                <w:color w:val="000000" w:themeColor="text1"/>
                <w:sz w:val="24"/>
                <w:szCs w:val="24"/>
                <w:lang w:val="en-GB"/>
              </w:rPr>
            </w:pPr>
            <w:r w:rsidRPr="000C178D">
              <w:rPr>
                <w:rFonts w:ascii="Book Antiqua" w:hAnsi="Book Antiqua" w:cs="Times New Roman"/>
                <w:color w:val="000000" w:themeColor="text1"/>
                <w:sz w:val="24"/>
                <w:szCs w:val="24"/>
                <w:lang w:val="en-GB"/>
              </w:rPr>
              <w:t>Negative</w:t>
            </w:r>
          </w:p>
        </w:tc>
        <w:tc>
          <w:tcPr>
            <w:tcW w:w="1677" w:type="dxa"/>
            <w:vAlign w:val="center"/>
          </w:tcPr>
          <w:p w14:paraId="1575FD3F" w14:textId="77777777" w:rsidR="002125CC" w:rsidRPr="000C178D" w:rsidRDefault="002125CC" w:rsidP="000C178D">
            <w:pPr>
              <w:snapToGrid w:val="0"/>
              <w:spacing w:after="0" w:line="360" w:lineRule="auto"/>
              <w:jc w:val="both"/>
              <w:rPr>
                <w:rFonts w:ascii="Book Antiqua" w:hAnsi="Book Antiqua" w:cs="Times New Roman"/>
                <w:color w:val="000000" w:themeColor="text1"/>
                <w:sz w:val="24"/>
                <w:szCs w:val="24"/>
                <w:lang w:val="en-GB"/>
              </w:rPr>
            </w:pPr>
            <w:r w:rsidRPr="000C178D">
              <w:rPr>
                <w:rFonts w:ascii="Book Antiqua" w:hAnsi="Book Antiqua" w:cs="Times New Roman"/>
                <w:color w:val="000000" w:themeColor="text1"/>
                <w:sz w:val="24"/>
                <w:szCs w:val="24"/>
                <w:lang w:val="en-GB"/>
              </w:rPr>
              <w:t>Negative</w:t>
            </w:r>
          </w:p>
        </w:tc>
      </w:tr>
      <w:tr w:rsidR="002125CC" w:rsidRPr="000C178D" w14:paraId="5689104D" w14:textId="77777777" w:rsidTr="000C178D">
        <w:trPr>
          <w:trHeight w:val="241"/>
        </w:trPr>
        <w:tc>
          <w:tcPr>
            <w:tcW w:w="5235" w:type="dxa"/>
            <w:vAlign w:val="center"/>
          </w:tcPr>
          <w:p w14:paraId="73D09B9E" w14:textId="77777777" w:rsidR="002125CC" w:rsidRPr="000C178D" w:rsidRDefault="002125CC" w:rsidP="000C178D">
            <w:pPr>
              <w:snapToGrid w:val="0"/>
              <w:spacing w:after="0" w:line="360" w:lineRule="auto"/>
              <w:jc w:val="both"/>
              <w:rPr>
                <w:rFonts w:ascii="Book Antiqua" w:hAnsi="Book Antiqua" w:cs="Times New Roman"/>
                <w:color w:val="000000" w:themeColor="text1"/>
                <w:sz w:val="24"/>
                <w:szCs w:val="24"/>
                <w:lang w:val="en-GB"/>
              </w:rPr>
            </w:pPr>
            <w:r w:rsidRPr="000C178D">
              <w:rPr>
                <w:rFonts w:ascii="Book Antiqua" w:hAnsi="Book Antiqua" w:cs="Times New Roman"/>
                <w:color w:val="000000" w:themeColor="text1"/>
                <w:sz w:val="24"/>
                <w:szCs w:val="24"/>
                <w:lang w:val="en-GB"/>
              </w:rPr>
              <w:t>ENA: nucleosome</w:t>
            </w:r>
          </w:p>
        </w:tc>
        <w:tc>
          <w:tcPr>
            <w:tcW w:w="2541" w:type="dxa"/>
            <w:vAlign w:val="center"/>
          </w:tcPr>
          <w:p w14:paraId="24EEFAE1" w14:textId="77777777" w:rsidR="002125CC" w:rsidRPr="000C178D" w:rsidRDefault="002125CC" w:rsidP="000C178D">
            <w:pPr>
              <w:snapToGrid w:val="0"/>
              <w:spacing w:after="0" w:line="360" w:lineRule="auto"/>
              <w:jc w:val="both"/>
              <w:rPr>
                <w:rFonts w:ascii="Book Antiqua" w:hAnsi="Book Antiqua" w:cs="Times New Roman"/>
                <w:bCs/>
                <w:color w:val="000000" w:themeColor="text1"/>
                <w:sz w:val="24"/>
                <w:szCs w:val="24"/>
                <w:lang w:val="en-GB"/>
              </w:rPr>
            </w:pPr>
            <w:r w:rsidRPr="000C178D">
              <w:rPr>
                <w:rFonts w:ascii="Book Antiqua" w:hAnsi="Book Antiqua" w:cs="Times New Roman"/>
                <w:bCs/>
                <w:color w:val="000000" w:themeColor="text1"/>
                <w:sz w:val="24"/>
                <w:szCs w:val="24"/>
                <w:lang w:val="en-GB"/>
              </w:rPr>
              <w:t>Negative</w:t>
            </w:r>
          </w:p>
        </w:tc>
        <w:tc>
          <w:tcPr>
            <w:tcW w:w="1677" w:type="dxa"/>
            <w:vAlign w:val="center"/>
          </w:tcPr>
          <w:p w14:paraId="7F1B5497" w14:textId="77777777" w:rsidR="002125CC" w:rsidRPr="000C178D" w:rsidRDefault="002125CC" w:rsidP="000C178D">
            <w:pPr>
              <w:snapToGrid w:val="0"/>
              <w:spacing w:after="0" w:line="360" w:lineRule="auto"/>
              <w:jc w:val="both"/>
              <w:rPr>
                <w:rFonts w:ascii="Book Antiqua" w:hAnsi="Book Antiqua" w:cs="Times New Roman"/>
                <w:bCs/>
                <w:color w:val="000000" w:themeColor="text1"/>
                <w:sz w:val="24"/>
                <w:szCs w:val="24"/>
                <w:lang w:val="en-GB"/>
              </w:rPr>
            </w:pPr>
            <w:r w:rsidRPr="000C178D">
              <w:rPr>
                <w:rFonts w:ascii="Book Antiqua" w:hAnsi="Book Antiqua" w:cs="Times New Roman"/>
                <w:bCs/>
                <w:color w:val="000000" w:themeColor="text1"/>
                <w:sz w:val="24"/>
                <w:szCs w:val="24"/>
                <w:lang w:val="en-GB"/>
              </w:rPr>
              <w:t>Negative</w:t>
            </w:r>
          </w:p>
        </w:tc>
      </w:tr>
      <w:tr w:rsidR="002125CC" w:rsidRPr="000C178D" w14:paraId="60243023" w14:textId="77777777" w:rsidTr="000C178D">
        <w:trPr>
          <w:trHeight w:val="241"/>
        </w:trPr>
        <w:tc>
          <w:tcPr>
            <w:tcW w:w="5235" w:type="dxa"/>
            <w:vAlign w:val="center"/>
          </w:tcPr>
          <w:p w14:paraId="63434618" w14:textId="77777777" w:rsidR="002125CC" w:rsidRPr="000C178D" w:rsidRDefault="002125CC" w:rsidP="000C178D">
            <w:pPr>
              <w:snapToGrid w:val="0"/>
              <w:spacing w:after="0" w:line="360" w:lineRule="auto"/>
              <w:jc w:val="both"/>
              <w:rPr>
                <w:rFonts w:ascii="Book Antiqua" w:hAnsi="Book Antiqua" w:cs="Times New Roman"/>
                <w:color w:val="000000" w:themeColor="text1"/>
                <w:sz w:val="24"/>
                <w:szCs w:val="24"/>
                <w:lang w:val="en-GB"/>
              </w:rPr>
            </w:pPr>
            <w:r w:rsidRPr="000C178D">
              <w:rPr>
                <w:rFonts w:ascii="Book Antiqua" w:hAnsi="Book Antiqua" w:cs="Times New Roman"/>
                <w:color w:val="000000" w:themeColor="text1"/>
                <w:sz w:val="24"/>
                <w:szCs w:val="24"/>
                <w:lang w:val="en-GB"/>
              </w:rPr>
              <w:t>ENA: histones</w:t>
            </w:r>
          </w:p>
        </w:tc>
        <w:tc>
          <w:tcPr>
            <w:tcW w:w="2541" w:type="dxa"/>
            <w:vAlign w:val="center"/>
          </w:tcPr>
          <w:p w14:paraId="26E4E4AE" w14:textId="77777777" w:rsidR="002125CC" w:rsidRPr="000C178D" w:rsidRDefault="002125CC" w:rsidP="000C178D">
            <w:pPr>
              <w:snapToGrid w:val="0"/>
              <w:spacing w:after="0" w:line="360" w:lineRule="auto"/>
              <w:jc w:val="both"/>
              <w:rPr>
                <w:rFonts w:ascii="Book Antiqua" w:hAnsi="Book Antiqua" w:cs="Times New Roman"/>
                <w:color w:val="000000" w:themeColor="text1"/>
                <w:sz w:val="24"/>
                <w:szCs w:val="24"/>
                <w:lang w:val="en-GB"/>
              </w:rPr>
            </w:pPr>
            <w:r w:rsidRPr="000C178D">
              <w:rPr>
                <w:rFonts w:ascii="Book Antiqua" w:hAnsi="Book Antiqua" w:cs="Times New Roman"/>
                <w:color w:val="000000" w:themeColor="text1"/>
                <w:sz w:val="24"/>
                <w:szCs w:val="24"/>
                <w:lang w:val="en-GB"/>
              </w:rPr>
              <w:t>Negative</w:t>
            </w:r>
          </w:p>
        </w:tc>
        <w:tc>
          <w:tcPr>
            <w:tcW w:w="1677" w:type="dxa"/>
            <w:vAlign w:val="center"/>
          </w:tcPr>
          <w:p w14:paraId="3625B882" w14:textId="77777777" w:rsidR="002125CC" w:rsidRPr="000C178D" w:rsidRDefault="002125CC" w:rsidP="000C178D">
            <w:pPr>
              <w:snapToGrid w:val="0"/>
              <w:spacing w:after="0" w:line="360" w:lineRule="auto"/>
              <w:jc w:val="both"/>
              <w:rPr>
                <w:rFonts w:ascii="Book Antiqua" w:hAnsi="Book Antiqua" w:cs="Times New Roman"/>
                <w:color w:val="000000" w:themeColor="text1"/>
                <w:sz w:val="24"/>
                <w:szCs w:val="24"/>
                <w:lang w:val="en-GB"/>
              </w:rPr>
            </w:pPr>
            <w:r w:rsidRPr="000C178D">
              <w:rPr>
                <w:rFonts w:ascii="Book Antiqua" w:hAnsi="Book Antiqua" w:cs="Times New Roman"/>
                <w:color w:val="000000" w:themeColor="text1"/>
                <w:sz w:val="24"/>
                <w:szCs w:val="24"/>
                <w:lang w:val="en-GB"/>
              </w:rPr>
              <w:t>Negative</w:t>
            </w:r>
          </w:p>
        </w:tc>
      </w:tr>
      <w:tr w:rsidR="002125CC" w:rsidRPr="000C178D" w14:paraId="7E616EB4" w14:textId="77777777" w:rsidTr="000C178D">
        <w:trPr>
          <w:trHeight w:val="241"/>
        </w:trPr>
        <w:tc>
          <w:tcPr>
            <w:tcW w:w="5235" w:type="dxa"/>
            <w:vAlign w:val="center"/>
          </w:tcPr>
          <w:p w14:paraId="6757918B" w14:textId="77777777" w:rsidR="002125CC" w:rsidRPr="000C178D" w:rsidRDefault="002125CC" w:rsidP="000C178D">
            <w:pPr>
              <w:snapToGrid w:val="0"/>
              <w:spacing w:after="0" w:line="360" w:lineRule="auto"/>
              <w:jc w:val="both"/>
              <w:rPr>
                <w:rFonts w:ascii="Book Antiqua" w:hAnsi="Book Antiqua" w:cs="Times New Roman"/>
                <w:color w:val="000000" w:themeColor="text1"/>
                <w:sz w:val="24"/>
                <w:szCs w:val="24"/>
                <w:lang w:val="en-GB"/>
              </w:rPr>
            </w:pPr>
            <w:r w:rsidRPr="000C178D">
              <w:rPr>
                <w:rFonts w:ascii="Book Antiqua" w:hAnsi="Book Antiqua" w:cs="Times New Roman"/>
                <w:color w:val="000000" w:themeColor="text1"/>
                <w:sz w:val="24"/>
                <w:szCs w:val="24"/>
                <w:lang w:val="en-GB"/>
              </w:rPr>
              <w:t>ENA: ribosomal P-protein</w:t>
            </w:r>
          </w:p>
        </w:tc>
        <w:tc>
          <w:tcPr>
            <w:tcW w:w="2541" w:type="dxa"/>
            <w:vAlign w:val="center"/>
          </w:tcPr>
          <w:p w14:paraId="257771BE" w14:textId="77777777" w:rsidR="002125CC" w:rsidRPr="000C178D" w:rsidRDefault="002125CC" w:rsidP="000C178D">
            <w:pPr>
              <w:snapToGrid w:val="0"/>
              <w:spacing w:after="0" w:line="360" w:lineRule="auto"/>
              <w:jc w:val="both"/>
              <w:rPr>
                <w:rFonts w:ascii="Book Antiqua" w:hAnsi="Book Antiqua" w:cs="Times New Roman"/>
                <w:bCs/>
                <w:color w:val="000000" w:themeColor="text1"/>
                <w:sz w:val="24"/>
                <w:szCs w:val="24"/>
                <w:lang w:val="en-GB"/>
              </w:rPr>
            </w:pPr>
            <w:r w:rsidRPr="000C178D">
              <w:rPr>
                <w:rFonts w:ascii="Book Antiqua" w:hAnsi="Book Antiqua" w:cs="Times New Roman"/>
                <w:bCs/>
                <w:color w:val="000000" w:themeColor="text1"/>
                <w:sz w:val="24"/>
                <w:szCs w:val="24"/>
                <w:lang w:val="en-GB"/>
              </w:rPr>
              <w:t>Negative</w:t>
            </w:r>
          </w:p>
        </w:tc>
        <w:tc>
          <w:tcPr>
            <w:tcW w:w="1677" w:type="dxa"/>
            <w:vAlign w:val="center"/>
          </w:tcPr>
          <w:p w14:paraId="72533D3E" w14:textId="77777777" w:rsidR="002125CC" w:rsidRPr="000C178D" w:rsidRDefault="002125CC" w:rsidP="000C178D">
            <w:pPr>
              <w:snapToGrid w:val="0"/>
              <w:spacing w:after="0" w:line="360" w:lineRule="auto"/>
              <w:jc w:val="both"/>
              <w:rPr>
                <w:rFonts w:ascii="Book Antiqua" w:hAnsi="Book Antiqua" w:cs="Times New Roman"/>
                <w:bCs/>
                <w:color w:val="000000" w:themeColor="text1"/>
                <w:sz w:val="24"/>
                <w:szCs w:val="24"/>
                <w:lang w:val="en-GB"/>
              </w:rPr>
            </w:pPr>
            <w:r w:rsidRPr="000C178D">
              <w:rPr>
                <w:rFonts w:ascii="Book Antiqua" w:hAnsi="Book Antiqua" w:cs="Times New Roman"/>
                <w:bCs/>
                <w:color w:val="000000" w:themeColor="text1"/>
                <w:sz w:val="24"/>
                <w:szCs w:val="24"/>
                <w:lang w:val="en-GB"/>
              </w:rPr>
              <w:t>Negative</w:t>
            </w:r>
          </w:p>
        </w:tc>
      </w:tr>
      <w:tr w:rsidR="002125CC" w:rsidRPr="000C178D" w14:paraId="79E48B96" w14:textId="77777777" w:rsidTr="000C178D">
        <w:trPr>
          <w:trHeight w:val="241"/>
        </w:trPr>
        <w:tc>
          <w:tcPr>
            <w:tcW w:w="5235" w:type="dxa"/>
            <w:vAlign w:val="center"/>
          </w:tcPr>
          <w:p w14:paraId="7AE0E0E7" w14:textId="77777777" w:rsidR="002125CC" w:rsidRPr="000C178D" w:rsidRDefault="002125CC" w:rsidP="000C178D">
            <w:pPr>
              <w:snapToGrid w:val="0"/>
              <w:spacing w:after="0" w:line="360" w:lineRule="auto"/>
              <w:jc w:val="both"/>
              <w:rPr>
                <w:rFonts w:ascii="Book Antiqua" w:hAnsi="Book Antiqua" w:cs="Times New Roman"/>
                <w:color w:val="000000" w:themeColor="text1"/>
                <w:sz w:val="24"/>
                <w:szCs w:val="24"/>
                <w:lang w:val="en-GB"/>
              </w:rPr>
            </w:pPr>
            <w:r w:rsidRPr="000C178D">
              <w:rPr>
                <w:rFonts w:ascii="Book Antiqua" w:hAnsi="Book Antiqua" w:cs="Times New Roman"/>
                <w:color w:val="000000" w:themeColor="text1"/>
                <w:sz w:val="24"/>
                <w:szCs w:val="24"/>
                <w:lang w:val="en-GB"/>
              </w:rPr>
              <w:t>ENA: AMA-M2</w:t>
            </w:r>
          </w:p>
        </w:tc>
        <w:tc>
          <w:tcPr>
            <w:tcW w:w="2541" w:type="dxa"/>
            <w:vAlign w:val="center"/>
          </w:tcPr>
          <w:p w14:paraId="20210551" w14:textId="77777777" w:rsidR="002125CC" w:rsidRPr="000C178D" w:rsidRDefault="002125CC" w:rsidP="000C178D">
            <w:pPr>
              <w:snapToGrid w:val="0"/>
              <w:spacing w:after="0" w:line="360" w:lineRule="auto"/>
              <w:jc w:val="both"/>
              <w:rPr>
                <w:rFonts w:ascii="Book Antiqua" w:hAnsi="Book Antiqua" w:cs="Times New Roman"/>
                <w:color w:val="000000" w:themeColor="text1"/>
                <w:sz w:val="24"/>
                <w:szCs w:val="24"/>
                <w:lang w:val="en-GB"/>
              </w:rPr>
            </w:pPr>
            <w:r w:rsidRPr="000C178D">
              <w:rPr>
                <w:rFonts w:ascii="Book Antiqua" w:hAnsi="Book Antiqua" w:cs="Times New Roman"/>
                <w:color w:val="000000" w:themeColor="text1"/>
                <w:sz w:val="24"/>
                <w:szCs w:val="24"/>
                <w:lang w:val="en-GB"/>
              </w:rPr>
              <w:t>Negative</w:t>
            </w:r>
          </w:p>
        </w:tc>
        <w:tc>
          <w:tcPr>
            <w:tcW w:w="1677" w:type="dxa"/>
            <w:vAlign w:val="center"/>
          </w:tcPr>
          <w:p w14:paraId="2DD5B098" w14:textId="77777777" w:rsidR="002125CC" w:rsidRPr="000C178D" w:rsidRDefault="002125CC" w:rsidP="000C178D">
            <w:pPr>
              <w:snapToGrid w:val="0"/>
              <w:spacing w:after="0" w:line="360" w:lineRule="auto"/>
              <w:jc w:val="both"/>
              <w:rPr>
                <w:rFonts w:ascii="Book Antiqua" w:hAnsi="Book Antiqua" w:cs="Times New Roman"/>
                <w:color w:val="000000" w:themeColor="text1"/>
                <w:sz w:val="24"/>
                <w:szCs w:val="24"/>
                <w:lang w:val="en-GB"/>
              </w:rPr>
            </w:pPr>
            <w:r w:rsidRPr="000C178D">
              <w:rPr>
                <w:rFonts w:ascii="Book Antiqua" w:hAnsi="Book Antiqua" w:cs="Times New Roman"/>
                <w:color w:val="000000" w:themeColor="text1"/>
                <w:sz w:val="24"/>
                <w:szCs w:val="24"/>
                <w:lang w:val="en-GB"/>
              </w:rPr>
              <w:t>Negative</w:t>
            </w:r>
          </w:p>
        </w:tc>
      </w:tr>
    </w:tbl>
    <w:p w14:paraId="4FCBE790" w14:textId="4758B432" w:rsidR="002125CC" w:rsidRPr="000C178D" w:rsidRDefault="002125CC" w:rsidP="000C178D">
      <w:pPr>
        <w:snapToGrid w:val="0"/>
        <w:spacing w:after="0" w:line="360" w:lineRule="auto"/>
        <w:rPr>
          <w:rFonts w:ascii="Book Antiqua" w:eastAsia="Times New Roman" w:hAnsi="Book Antiqua" w:cs="Arial"/>
          <w:i/>
          <w:color w:val="231F20"/>
          <w:sz w:val="24"/>
          <w:szCs w:val="24"/>
          <w:shd w:val="clear" w:color="auto" w:fill="FFFFFF"/>
        </w:rPr>
      </w:pPr>
      <w:r w:rsidRPr="000C178D">
        <w:rPr>
          <w:rFonts w:ascii="Book Antiqua" w:eastAsia="Times New Roman" w:hAnsi="Book Antiqua" w:cs="Arial"/>
          <w:i/>
          <w:color w:val="231F20"/>
          <w:sz w:val="24"/>
          <w:szCs w:val="24"/>
          <w:shd w:val="clear" w:color="auto" w:fill="FFFFFF"/>
        </w:rPr>
        <w:t xml:space="preserve"> </w:t>
      </w:r>
      <w:proofErr w:type="spellStart"/>
      <w:r w:rsidRPr="000C178D">
        <w:rPr>
          <w:rFonts w:ascii="Book Antiqua" w:eastAsia="Times New Roman" w:hAnsi="Book Antiqua" w:cs="Arial"/>
          <w:i/>
          <w:color w:val="231F20"/>
          <w:sz w:val="24"/>
          <w:szCs w:val="24"/>
          <w:shd w:val="clear" w:color="auto" w:fill="FFFFFF"/>
        </w:rPr>
        <w:t>o.d</w:t>
      </w:r>
      <w:r w:rsidR="001F6CDE" w:rsidRPr="000C178D">
        <w:rPr>
          <w:rFonts w:ascii="Book Antiqua" w:eastAsia="Times New Roman" w:hAnsi="Book Antiqua" w:cs="Arial"/>
          <w:i/>
          <w:color w:val="231F20"/>
          <w:sz w:val="24"/>
          <w:szCs w:val="24"/>
          <w:shd w:val="clear" w:color="auto" w:fill="FFFFFF"/>
        </w:rPr>
        <w:t>.</w:t>
      </w:r>
      <w:proofErr w:type="spellEnd"/>
      <w:r w:rsidR="001F6CDE" w:rsidRPr="000C178D">
        <w:rPr>
          <w:rFonts w:ascii="Book Antiqua" w:eastAsia="Times New Roman" w:hAnsi="Book Antiqua" w:cs="Arial"/>
          <w:i/>
          <w:color w:val="231F20"/>
          <w:sz w:val="24"/>
          <w:szCs w:val="24"/>
          <w:shd w:val="clear" w:color="auto" w:fill="FFFFFF"/>
        </w:rPr>
        <w:t xml:space="preserve">: </w:t>
      </w:r>
      <w:r w:rsidR="001F6CDE" w:rsidRPr="000C178D">
        <w:rPr>
          <w:rFonts w:ascii="Book Antiqua" w:eastAsia="Times New Roman" w:hAnsi="Book Antiqua" w:cs="Arial"/>
          <w:iCs/>
          <w:color w:val="231F20"/>
          <w:sz w:val="24"/>
          <w:szCs w:val="24"/>
          <w:shd w:val="clear" w:color="auto" w:fill="FFFFFF"/>
        </w:rPr>
        <w:t>O</w:t>
      </w:r>
      <w:r w:rsidRPr="000C178D">
        <w:rPr>
          <w:rFonts w:ascii="Book Antiqua" w:eastAsia="Times New Roman" w:hAnsi="Book Antiqua" w:cs="Arial"/>
          <w:iCs/>
          <w:color w:val="231F20"/>
          <w:sz w:val="24"/>
          <w:szCs w:val="24"/>
          <w:shd w:val="clear" w:color="auto" w:fill="FFFFFF"/>
        </w:rPr>
        <w:t>ptical density</w:t>
      </w:r>
      <w:r w:rsidR="001F6CDE" w:rsidRPr="000C178D">
        <w:rPr>
          <w:rFonts w:ascii="Book Antiqua" w:eastAsia="Times New Roman" w:hAnsi="Book Antiqua" w:cs="Arial"/>
          <w:iCs/>
          <w:color w:val="231F20"/>
          <w:sz w:val="24"/>
          <w:szCs w:val="24"/>
          <w:shd w:val="clear" w:color="auto" w:fill="FFFFFF"/>
        </w:rPr>
        <w:t xml:space="preserve">; </w:t>
      </w:r>
      <w:r w:rsidR="001F6CDE" w:rsidRPr="000C178D">
        <w:rPr>
          <w:rFonts w:ascii="Book Antiqua" w:hAnsi="Book Antiqua" w:cs="Times New Roman"/>
          <w:color w:val="000000" w:themeColor="text1"/>
          <w:sz w:val="24"/>
          <w:szCs w:val="24"/>
          <w:lang w:val="en-GB"/>
        </w:rPr>
        <w:t xml:space="preserve">ENA: Extractable nuclear antigens; </w:t>
      </w:r>
      <w:r w:rsidR="001F6CDE" w:rsidRPr="000C178D">
        <w:rPr>
          <w:rFonts w:ascii="Book Antiqua" w:hAnsi="Book Antiqua" w:cs="Times New Roman"/>
          <w:sz w:val="24"/>
          <w:szCs w:val="24"/>
          <w:lang w:val="lt-LT"/>
        </w:rPr>
        <w:t xml:space="preserve">SS: </w:t>
      </w:r>
      <w:proofErr w:type="spellStart"/>
      <w:r w:rsidR="001F6CDE" w:rsidRPr="000C178D">
        <w:rPr>
          <w:rFonts w:ascii="Book Antiqua" w:hAnsi="Book Antiqua" w:cs="Times New Roman"/>
          <w:sz w:val="24"/>
          <w:szCs w:val="24"/>
        </w:rPr>
        <w:t>Sjögren's</w:t>
      </w:r>
      <w:proofErr w:type="spellEnd"/>
      <w:r w:rsidR="001F6CDE" w:rsidRPr="000C178D">
        <w:rPr>
          <w:rFonts w:ascii="Book Antiqua" w:hAnsi="Book Antiqua" w:cs="Times New Roman"/>
          <w:sz w:val="24"/>
          <w:szCs w:val="24"/>
          <w:lang w:val="lt-LT"/>
        </w:rPr>
        <w:t xml:space="preserve"> syndrome</w:t>
      </w:r>
      <w:r w:rsidR="00990A21" w:rsidRPr="000C178D">
        <w:rPr>
          <w:rFonts w:ascii="Book Antiqua" w:hAnsi="Book Antiqua" w:cs="Times New Roman"/>
          <w:sz w:val="24"/>
          <w:szCs w:val="24"/>
          <w:lang w:val="lt-LT"/>
        </w:rPr>
        <w:t>.</w:t>
      </w:r>
    </w:p>
    <w:p w14:paraId="0B000BDC" w14:textId="77777777" w:rsidR="000C178D" w:rsidRPr="000C178D" w:rsidRDefault="000C178D" w:rsidP="000C178D">
      <w:pPr>
        <w:snapToGrid w:val="0"/>
        <w:spacing w:after="0" w:line="360" w:lineRule="auto"/>
        <w:rPr>
          <w:rFonts w:ascii="Book Antiqua" w:hAnsi="Book Antiqua" w:cs="Times New Roman"/>
          <w:b/>
          <w:color w:val="000000" w:themeColor="text1"/>
          <w:sz w:val="24"/>
          <w:szCs w:val="24"/>
        </w:rPr>
      </w:pPr>
      <w:r w:rsidRPr="000C178D">
        <w:rPr>
          <w:rFonts w:ascii="Book Antiqua" w:hAnsi="Book Antiqua" w:cs="Times New Roman"/>
          <w:b/>
          <w:i/>
          <w:iCs/>
          <w:color w:val="000000" w:themeColor="text1"/>
          <w:sz w:val="24"/>
          <w:szCs w:val="24"/>
        </w:rPr>
        <w:br w:type="page"/>
      </w:r>
    </w:p>
    <w:p w14:paraId="232394F3" w14:textId="53309CE6" w:rsidR="002125CC" w:rsidRPr="000C178D" w:rsidRDefault="00990A21" w:rsidP="000C178D">
      <w:pPr>
        <w:pStyle w:val="ae"/>
        <w:snapToGrid w:val="0"/>
        <w:spacing w:after="0" w:line="360" w:lineRule="auto"/>
        <w:jc w:val="both"/>
        <w:rPr>
          <w:rFonts w:ascii="Book Antiqua" w:hAnsi="Book Antiqua" w:cs="Times New Roman"/>
          <w:b/>
          <w:i w:val="0"/>
          <w:iCs w:val="0"/>
          <w:color w:val="000000" w:themeColor="text1"/>
          <w:sz w:val="24"/>
          <w:szCs w:val="24"/>
        </w:rPr>
      </w:pPr>
      <w:r w:rsidRPr="000C178D">
        <w:rPr>
          <w:rFonts w:ascii="Book Antiqua" w:hAnsi="Book Antiqua" w:cs="Times New Roman"/>
          <w:b/>
          <w:i w:val="0"/>
          <w:iCs w:val="0"/>
          <w:color w:val="000000" w:themeColor="text1"/>
          <w:sz w:val="24"/>
          <w:szCs w:val="24"/>
        </w:rPr>
        <w:lastRenderedPageBreak/>
        <w:t xml:space="preserve">Table </w:t>
      </w:r>
      <w:r w:rsidRPr="000C178D">
        <w:rPr>
          <w:rFonts w:ascii="Book Antiqua" w:hAnsi="Book Antiqua" w:cs="Times New Roman"/>
          <w:b/>
          <w:i w:val="0"/>
          <w:iCs w:val="0"/>
          <w:color w:val="000000" w:themeColor="text1"/>
          <w:sz w:val="24"/>
          <w:szCs w:val="24"/>
        </w:rPr>
        <w:fldChar w:fldCharType="begin"/>
      </w:r>
      <w:r w:rsidRPr="000C178D">
        <w:rPr>
          <w:rFonts w:ascii="Book Antiqua" w:hAnsi="Book Antiqua" w:cs="Times New Roman"/>
          <w:b/>
          <w:i w:val="0"/>
          <w:iCs w:val="0"/>
          <w:color w:val="000000" w:themeColor="text1"/>
          <w:sz w:val="24"/>
          <w:szCs w:val="24"/>
        </w:rPr>
        <w:instrText xml:space="preserve"> SEQ Table \* ARABIC </w:instrText>
      </w:r>
      <w:r w:rsidRPr="000C178D">
        <w:rPr>
          <w:rFonts w:ascii="Book Antiqua" w:hAnsi="Book Antiqua" w:cs="Times New Roman"/>
          <w:b/>
          <w:i w:val="0"/>
          <w:iCs w:val="0"/>
          <w:color w:val="000000" w:themeColor="text1"/>
          <w:sz w:val="24"/>
          <w:szCs w:val="24"/>
        </w:rPr>
        <w:fldChar w:fldCharType="separate"/>
      </w:r>
      <w:r w:rsidRPr="000C178D">
        <w:rPr>
          <w:rFonts w:ascii="Book Antiqua" w:hAnsi="Book Antiqua" w:cs="Times New Roman"/>
          <w:b/>
          <w:i w:val="0"/>
          <w:iCs w:val="0"/>
          <w:noProof/>
          <w:color w:val="000000" w:themeColor="text1"/>
          <w:sz w:val="24"/>
          <w:szCs w:val="24"/>
        </w:rPr>
        <w:t>2</w:t>
      </w:r>
      <w:r w:rsidRPr="000C178D">
        <w:rPr>
          <w:rFonts w:ascii="Book Antiqua" w:hAnsi="Book Antiqua" w:cs="Times New Roman"/>
          <w:b/>
          <w:i w:val="0"/>
          <w:iCs w:val="0"/>
          <w:color w:val="000000" w:themeColor="text1"/>
          <w:sz w:val="24"/>
          <w:szCs w:val="24"/>
        </w:rPr>
        <w:fldChar w:fldCharType="end"/>
      </w:r>
      <w:r w:rsidRPr="000C178D">
        <w:rPr>
          <w:rFonts w:ascii="Book Antiqua" w:hAnsi="Book Antiqua" w:cs="Times New Roman"/>
          <w:b/>
          <w:i w:val="0"/>
          <w:iCs w:val="0"/>
          <w:color w:val="000000" w:themeColor="text1"/>
          <w:sz w:val="24"/>
          <w:szCs w:val="24"/>
        </w:rPr>
        <w:t>. Main laboratory findings</w:t>
      </w:r>
    </w:p>
    <w:tbl>
      <w:tblPr>
        <w:tblStyle w:val="af7"/>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34"/>
        <w:gridCol w:w="2607"/>
        <w:gridCol w:w="2655"/>
      </w:tblGrid>
      <w:tr w:rsidR="00A30DB7" w:rsidRPr="000C178D" w14:paraId="7D7E36CE" w14:textId="77777777" w:rsidTr="00990A21">
        <w:trPr>
          <w:trHeight w:val="242"/>
        </w:trPr>
        <w:tc>
          <w:tcPr>
            <w:tcW w:w="3034" w:type="dxa"/>
            <w:tcBorders>
              <w:top w:val="single" w:sz="4" w:space="0" w:color="auto"/>
              <w:bottom w:val="single" w:sz="4" w:space="0" w:color="auto"/>
            </w:tcBorders>
          </w:tcPr>
          <w:p w14:paraId="6D9CF10F" w14:textId="21EF739F" w:rsidR="00A30DB7" w:rsidRPr="000C178D" w:rsidRDefault="00990A21" w:rsidP="000C178D">
            <w:pPr>
              <w:snapToGrid w:val="0"/>
              <w:spacing w:after="0" w:line="360" w:lineRule="auto"/>
              <w:jc w:val="both"/>
              <w:rPr>
                <w:rFonts w:ascii="Book Antiqua" w:hAnsi="Book Antiqua" w:cs="Times New Roman"/>
                <w:b/>
                <w:bCs/>
                <w:sz w:val="24"/>
                <w:szCs w:val="24"/>
              </w:rPr>
            </w:pPr>
            <w:r w:rsidRPr="000C178D">
              <w:rPr>
                <w:rFonts w:ascii="Book Antiqua" w:hAnsi="Book Antiqua" w:cs="Times New Roman"/>
                <w:b/>
                <w:bCs/>
                <w:sz w:val="24"/>
                <w:szCs w:val="24"/>
              </w:rPr>
              <w:t>Main laboratory findings</w:t>
            </w:r>
          </w:p>
        </w:tc>
        <w:tc>
          <w:tcPr>
            <w:tcW w:w="2607" w:type="dxa"/>
            <w:tcBorders>
              <w:top w:val="single" w:sz="4" w:space="0" w:color="auto"/>
              <w:bottom w:val="single" w:sz="4" w:space="0" w:color="auto"/>
            </w:tcBorders>
          </w:tcPr>
          <w:p w14:paraId="38D8AD42" w14:textId="77777777" w:rsidR="00A30DB7" w:rsidRPr="000C178D" w:rsidRDefault="00A30DB7" w:rsidP="000C178D">
            <w:pPr>
              <w:snapToGrid w:val="0"/>
              <w:spacing w:after="0" w:line="360" w:lineRule="auto"/>
              <w:rPr>
                <w:rFonts w:ascii="Book Antiqua" w:hAnsi="Book Antiqua" w:cs="Times New Roman"/>
                <w:b/>
                <w:bCs/>
                <w:sz w:val="24"/>
                <w:szCs w:val="24"/>
              </w:rPr>
            </w:pPr>
            <w:r w:rsidRPr="000C178D">
              <w:rPr>
                <w:rFonts w:ascii="Book Antiqua" w:hAnsi="Book Antiqua" w:cs="Times New Roman"/>
                <w:b/>
                <w:bCs/>
                <w:sz w:val="24"/>
                <w:szCs w:val="24"/>
              </w:rPr>
              <w:t>Value</w:t>
            </w:r>
          </w:p>
        </w:tc>
        <w:tc>
          <w:tcPr>
            <w:tcW w:w="2655" w:type="dxa"/>
            <w:tcBorders>
              <w:top w:val="single" w:sz="4" w:space="0" w:color="auto"/>
              <w:bottom w:val="single" w:sz="4" w:space="0" w:color="auto"/>
            </w:tcBorders>
          </w:tcPr>
          <w:p w14:paraId="6B7B8A86" w14:textId="77777777" w:rsidR="00A30DB7" w:rsidRPr="000C178D" w:rsidRDefault="00A30DB7" w:rsidP="000C178D">
            <w:pPr>
              <w:snapToGrid w:val="0"/>
              <w:spacing w:after="0" w:line="360" w:lineRule="auto"/>
              <w:rPr>
                <w:rFonts w:ascii="Book Antiqua" w:hAnsi="Book Antiqua" w:cs="Times New Roman"/>
                <w:b/>
                <w:bCs/>
                <w:sz w:val="24"/>
                <w:szCs w:val="24"/>
              </w:rPr>
            </w:pPr>
            <w:r w:rsidRPr="000C178D">
              <w:rPr>
                <w:rFonts w:ascii="Book Antiqua" w:hAnsi="Book Antiqua" w:cs="Times New Roman"/>
                <w:b/>
                <w:bCs/>
                <w:sz w:val="24"/>
                <w:szCs w:val="24"/>
              </w:rPr>
              <w:t>Normal range</w:t>
            </w:r>
          </w:p>
        </w:tc>
      </w:tr>
      <w:tr w:rsidR="00A30DB7" w:rsidRPr="000C178D" w14:paraId="47F51E14" w14:textId="77777777" w:rsidTr="00990A21">
        <w:trPr>
          <w:trHeight w:val="242"/>
        </w:trPr>
        <w:tc>
          <w:tcPr>
            <w:tcW w:w="3034" w:type="dxa"/>
            <w:tcBorders>
              <w:top w:val="single" w:sz="4" w:space="0" w:color="auto"/>
            </w:tcBorders>
          </w:tcPr>
          <w:p w14:paraId="6E096E0D" w14:textId="77777777" w:rsidR="00A30DB7" w:rsidRPr="000C178D" w:rsidRDefault="00A30DB7" w:rsidP="000C178D">
            <w:pPr>
              <w:snapToGrid w:val="0"/>
              <w:spacing w:after="0" w:line="360" w:lineRule="auto"/>
              <w:jc w:val="both"/>
              <w:rPr>
                <w:rFonts w:ascii="Book Antiqua" w:hAnsi="Book Antiqua" w:cs="Times New Roman"/>
                <w:bCs/>
                <w:sz w:val="24"/>
                <w:szCs w:val="24"/>
              </w:rPr>
            </w:pPr>
            <w:r w:rsidRPr="000C178D">
              <w:rPr>
                <w:rFonts w:ascii="Book Antiqua" w:hAnsi="Book Antiqua" w:cs="Times New Roman"/>
                <w:bCs/>
                <w:sz w:val="24"/>
                <w:szCs w:val="24"/>
              </w:rPr>
              <w:t>White blood count</w:t>
            </w:r>
          </w:p>
        </w:tc>
        <w:tc>
          <w:tcPr>
            <w:tcW w:w="2607" w:type="dxa"/>
            <w:tcBorders>
              <w:top w:val="single" w:sz="4" w:space="0" w:color="auto"/>
            </w:tcBorders>
          </w:tcPr>
          <w:p w14:paraId="7ACFD43E" w14:textId="77777777" w:rsidR="00A30DB7" w:rsidRPr="000C178D" w:rsidRDefault="00A30DB7" w:rsidP="000C178D">
            <w:pPr>
              <w:snapToGrid w:val="0"/>
              <w:spacing w:after="0" w:line="360" w:lineRule="auto"/>
              <w:jc w:val="both"/>
              <w:rPr>
                <w:rFonts w:ascii="Book Antiqua" w:hAnsi="Book Antiqua" w:cs="Times New Roman"/>
                <w:sz w:val="24"/>
                <w:szCs w:val="24"/>
              </w:rPr>
            </w:pPr>
            <w:r w:rsidRPr="000C178D">
              <w:rPr>
                <w:rFonts w:ascii="Book Antiqua" w:hAnsi="Book Antiqua" w:cs="Times New Roman"/>
                <w:sz w:val="24"/>
                <w:szCs w:val="24"/>
              </w:rPr>
              <w:t>3.62</w:t>
            </w:r>
          </w:p>
        </w:tc>
        <w:tc>
          <w:tcPr>
            <w:tcW w:w="2655" w:type="dxa"/>
            <w:tcBorders>
              <w:top w:val="single" w:sz="4" w:space="0" w:color="auto"/>
            </w:tcBorders>
          </w:tcPr>
          <w:p w14:paraId="120E418B" w14:textId="0B90B77A" w:rsidR="00A30DB7" w:rsidRPr="000C178D" w:rsidRDefault="00A30DB7" w:rsidP="000C178D">
            <w:pPr>
              <w:snapToGrid w:val="0"/>
              <w:spacing w:after="0" w:line="360" w:lineRule="auto"/>
              <w:jc w:val="both"/>
              <w:rPr>
                <w:rFonts w:ascii="Book Antiqua" w:hAnsi="Book Antiqua" w:cs="Times New Roman"/>
                <w:bCs/>
                <w:sz w:val="24"/>
                <w:szCs w:val="24"/>
              </w:rPr>
            </w:pPr>
            <w:r w:rsidRPr="000C178D">
              <w:rPr>
                <w:rFonts w:ascii="Book Antiqua" w:hAnsi="Book Antiqua" w:cs="Times New Roman"/>
                <w:bCs/>
                <w:sz w:val="24"/>
                <w:szCs w:val="24"/>
              </w:rPr>
              <w:t>4.0</w:t>
            </w:r>
            <w:r w:rsidR="007063C9" w:rsidRPr="000C178D">
              <w:rPr>
                <w:rFonts w:ascii="Book Antiqua" w:hAnsi="Book Antiqua" w:cs="Times New Roman"/>
                <w:bCs/>
                <w:sz w:val="24"/>
                <w:szCs w:val="24"/>
              </w:rPr>
              <w:t>-</w:t>
            </w:r>
            <w:r w:rsidRPr="000C178D">
              <w:rPr>
                <w:rFonts w:ascii="Book Antiqua" w:hAnsi="Book Antiqua" w:cs="Times New Roman"/>
                <w:bCs/>
                <w:sz w:val="24"/>
                <w:szCs w:val="24"/>
              </w:rPr>
              <w:t xml:space="preserve">9.8 </w:t>
            </w:r>
            <w:r w:rsidR="00703703" w:rsidRPr="000C178D">
              <w:rPr>
                <w:rFonts w:ascii="Book Antiqua" w:hAnsi="Book Antiqua" w:cs="Times New Roman"/>
                <w:bCs/>
                <w:sz w:val="24"/>
                <w:szCs w:val="24"/>
              </w:rPr>
              <w:t xml:space="preserve">× </w:t>
            </w:r>
            <w:r w:rsidRPr="000C178D">
              <w:rPr>
                <w:rFonts w:ascii="Book Antiqua" w:hAnsi="Book Antiqua" w:cs="Times New Roman"/>
                <w:bCs/>
                <w:sz w:val="24"/>
                <w:szCs w:val="24"/>
              </w:rPr>
              <w:t>10</w:t>
            </w:r>
            <w:r w:rsidRPr="000C178D">
              <w:rPr>
                <w:rFonts w:ascii="Book Antiqua" w:hAnsi="Book Antiqua" w:cs="Times New Roman"/>
                <w:sz w:val="24"/>
                <w:szCs w:val="24"/>
                <w:vertAlign w:val="superscript"/>
              </w:rPr>
              <w:t>9</w:t>
            </w:r>
            <w:r w:rsidRPr="000C178D">
              <w:rPr>
                <w:rFonts w:ascii="Book Antiqua" w:hAnsi="Book Antiqua" w:cs="Times New Roman"/>
                <w:bCs/>
                <w:sz w:val="24"/>
                <w:szCs w:val="24"/>
              </w:rPr>
              <w:t>/L</w:t>
            </w:r>
          </w:p>
        </w:tc>
      </w:tr>
      <w:tr w:rsidR="00A30DB7" w:rsidRPr="000C178D" w14:paraId="132A470A" w14:textId="77777777" w:rsidTr="00990A21">
        <w:trPr>
          <w:trHeight w:val="240"/>
        </w:trPr>
        <w:tc>
          <w:tcPr>
            <w:tcW w:w="3034" w:type="dxa"/>
          </w:tcPr>
          <w:p w14:paraId="218FC207" w14:textId="77777777" w:rsidR="00A30DB7" w:rsidRPr="000C178D" w:rsidRDefault="00A30DB7" w:rsidP="000C178D">
            <w:pPr>
              <w:snapToGrid w:val="0"/>
              <w:spacing w:after="0" w:line="360" w:lineRule="auto"/>
              <w:jc w:val="both"/>
              <w:rPr>
                <w:rFonts w:ascii="Book Antiqua" w:hAnsi="Book Antiqua" w:cs="Times New Roman"/>
                <w:bCs/>
                <w:sz w:val="24"/>
                <w:szCs w:val="24"/>
              </w:rPr>
            </w:pPr>
            <w:proofErr w:type="spellStart"/>
            <w:r w:rsidRPr="000C178D">
              <w:rPr>
                <w:rFonts w:ascii="Book Antiqua" w:hAnsi="Book Antiqua" w:cs="Times New Roman"/>
                <w:bCs/>
                <w:sz w:val="24"/>
                <w:szCs w:val="24"/>
              </w:rPr>
              <w:t>Haemoglobin</w:t>
            </w:r>
            <w:proofErr w:type="spellEnd"/>
          </w:p>
        </w:tc>
        <w:tc>
          <w:tcPr>
            <w:tcW w:w="2607" w:type="dxa"/>
          </w:tcPr>
          <w:p w14:paraId="23135B70" w14:textId="77777777" w:rsidR="00A30DB7" w:rsidRPr="000C178D" w:rsidRDefault="00A30DB7" w:rsidP="000C178D">
            <w:pPr>
              <w:snapToGrid w:val="0"/>
              <w:spacing w:after="0" w:line="360" w:lineRule="auto"/>
              <w:jc w:val="both"/>
              <w:rPr>
                <w:rFonts w:ascii="Book Antiqua" w:hAnsi="Book Antiqua" w:cs="Times New Roman"/>
                <w:sz w:val="24"/>
                <w:szCs w:val="24"/>
              </w:rPr>
            </w:pPr>
            <w:r w:rsidRPr="000C178D">
              <w:rPr>
                <w:rFonts w:ascii="Book Antiqua" w:hAnsi="Book Antiqua" w:cs="Times New Roman"/>
                <w:sz w:val="24"/>
                <w:szCs w:val="24"/>
              </w:rPr>
              <w:t>144</w:t>
            </w:r>
          </w:p>
        </w:tc>
        <w:tc>
          <w:tcPr>
            <w:tcW w:w="2655" w:type="dxa"/>
          </w:tcPr>
          <w:p w14:paraId="38A7A9CF" w14:textId="39A5D7FD" w:rsidR="00A30DB7" w:rsidRPr="000C178D" w:rsidRDefault="00A30DB7" w:rsidP="000C178D">
            <w:pPr>
              <w:snapToGrid w:val="0"/>
              <w:spacing w:after="0" w:line="360" w:lineRule="auto"/>
              <w:jc w:val="both"/>
              <w:rPr>
                <w:rFonts w:ascii="Book Antiqua" w:hAnsi="Book Antiqua" w:cs="Times New Roman"/>
                <w:bCs/>
                <w:sz w:val="24"/>
                <w:szCs w:val="24"/>
              </w:rPr>
            </w:pPr>
            <w:r w:rsidRPr="000C178D">
              <w:rPr>
                <w:rFonts w:ascii="Book Antiqua" w:hAnsi="Book Antiqua" w:cs="Times New Roman"/>
                <w:bCs/>
                <w:sz w:val="24"/>
                <w:szCs w:val="24"/>
              </w:rPr>
              <w:t>128</w:t>
            </w:r>
            <w:r w:rsidR="007063C9" w:rsidRPr="000C178D">
              <w:rPr>
                <w:rFonts w:ascii="Book Antiqua" w:hAnsi="Book Antiqua" w:cs="Times New Roman"/>
                <w:bCs/>
                <w:sz w:val="24"/>
                <w:szCs w:val="24"/>
              </w:rPr>
              <w:t>-</w:t>
            </w:r>
            <w:r w:rsidRPr="000C178D">
              <w:rPr>
                <w:rFonts w:ascii="Book Antiqua" w:hAnsi="Book Antiqua" w:cs="Times New Roman"/>
                <w:bCs/>
                <w:sz w:val="24"/>
                <w:szCs w:val="24"/>
              </w:rPr>
              <w:t>160 g/L</w:t>
            </w:r>
          </w:p>
        </w:tc>
      </w:tr>
      <w:tr w:rsidR="00A30DB7" w:rsidRPr="000C178D" w14:paraId="4697879F" w14:textId="77777777" w:rsidTr="00990A21">
        <w:trPr>
          <w:trHeight w:val="242"/>
        </w:trPr>
        <w:tc>
          <w:tcPr>
            <w:tcW w:w="3034" w:type="dxa"/>
          </w:tcPr>
          <w:p w14:paraId="57F40021" w14:textId="77777777" w:rsidR="00A30DB7" w:rsidRPr="000C178D" w:rsidRDefault="00A30DB7" w:rsidP="000C178D">
            <w:pPr>
              <w:snapToGrid w:val="0"/>
              <w:spacing w:after="0" w:line="360" w:lineRule="auto"/>
              <w:jc w:val="both"/>
              <w:rPr>
                <w:rFonts w:ascii="Book Antiqua" w:hAnsi="Book Antiqua" w:cs="Times New Roman"/>
                <w:bCs/>
                <w:sz w:val="24"/>
                <w:szCs w:val="24"/>
              </w:rPr>
            </w:pPr>
            <w:r w:rsidRPr="000C178D">
              <w:rPr>
                <w:rFonts w:ascii="Book Antiqua" w:hAnsi="Book Antiqua" w:cs="Times New Roman"/>
                <w:bCs/>
                <w:sz w:val="24"/>
                <w:szCs w:val="24"/>
              </w:rPr>
              <w:t>Platelet count</w:t>
            </w:r>
          </w:p>
        </w:tc>
        <w:tc>
          <w:tcPr>
            <w:tcW w:w="2607" w:type="dxa"/>
          </w:tcPr>
          <w:p w14:paraId="46B5E65A" w14:textId="77777777" w:rsidR="00A30DB7" w:rsidRPr="000C178D" w:rsidRDefault="00A30DB7" w:rsidP="000C178D">
            <w:pPr>
              <w:snapToGrid w:val="0"/>
              <w:spacing w:after="0" w:line="360" w:lineRule="auto"/>
              <w:jc w:val="both"/>
              <w:rPr>
                <w:rFonts w:ascii="Book Antiqua" w:hAnsi="Book Antiqua" w:cs="Times New Roman"/>
                <w:sz w:val="24"/>
                <w:szCs w:val="24"/>
              </w:rPr>
            </w:pPr>
            <w:r w:rsidRPr="000C178D">
              <w:rPr>
                <w:rFonts w:ascii="Book Antiqua" w:hAnsi="Book Antiqua" w:cs="Times New Roman"/>
                <w:sz w:val="24"/>
                <w:szCs w:val="24"/>
              </w:rPr>
              <w:t>160</w:t>
            </w:r>
          </w:p>
        </w:tc>
        <w:tc>
          <w:tcPr>
            <w:tcW w:w="2655" w:type="dxa"/>
          </w:tcPr>
          <w:p w14:paraId="4B52E7E8" w14:textId="17716C1C" w:rsidR="00A30DB7" w:rsidRPr="000C178D" w:rsidRDefault="00A30DB7" w:rsidP="000C178D">
            <w:pPr>
              <w:snapToGrid w:val="0"/>
              <w:spacing w:after="0" w:line="360" w:lineRule="auto"/>
              <w:jc w:val="both"/>
              <w:rPr>
                <w:rFonts w:ascii="Book Antiqua" w:hAnsi="Book Antiqua" w:cs="Times New Roman"/>
                <w:sz w:val="24"/>
                <w:szCs w:val="24"/>
              </w:rPr>
            </w:pPr>
            <w:r w:rsidRPr="000C178D">
              <w:rPr>
                <w:rFonts w:ascii="Book Antiqua" w:hAnsi="Book Antiqua" w:cs="Times New Roman"/>
                <w:sz w:val="24"/>
                <w:szCs w:val="24"/>
              </w:rPr>
              <w:t>130</w:t>
            </w:r>
            <w:r w:rsidR="007063C9" w:rsidRPr="000C178D">
              <w:rPr>
                <w:rFonts w:ascii="Book Antiqua" w:hAnsi="Book Antiqua" w:cs="Times New Roman"/>
                <w:sz w:val="24"/>
                <w:szCs w:val="24"/>
              </w:rPr>
              <w:t>-</w:t>
            </w:r>
            <w:r w:rsidRPr="000C178D">
              <w:rPr>
                <w:rFonts w:ascii="Book Antiqua" w:hAnsi="Book Antiqua" w:cs="Times New Roman"/>
                <w:sz w:val="24"/>
                <w:szCs w:val="24"/>
              </w:rPr>
              <w:t xml:space="preserve">400 </w:t>
            </w:r>
            <w:r w:rsidR="00703703" w:rsidRPr="000C178D">
              <w:rPr>
                <w:rFonts w:ascii="Book Antiqua" w:hAnsi="Book Antiqua" w:cs="Times New Roman"/>
                <w:sz w:val="24"/>
                <w:szCs w:val="24"/>
                <w:lang w:eastAsia="zh-CN"/>
              </w:rPr>
              <w:t xml:space="preserve">× </w:t>
            </w:r>
            <w:r w:rsidRPr="000C178D">
              <w:rPr>
                <w:rFonts w:ascii="Book Antiqua" w:hAnsi="Book Antiqua" w:cs="Times New Roman"/>
                <w:sz w:val="24"/>
                <w:szCs w:val="24"/>
              </w:rPr>
              <w:t>10</w:t>
            </w:r>
            <w:r w:rsidRPr="000C178D">
              <w:rPr>
                <w:rFonts w:ascii="Book Antiqua" w:hAnsi="Book Antiqua" w:cs="Times New Roman"/>
                <w:sz w:val="24"/>
                <w:szCs w:val="24"/>
                <w:vertAlign w:val="superscript"/>
              </w:rPr>
              <w:t>9</w:t>
            </w:r>
            <w:r w:rsidRPr="000C178D">
              <w:rPr>
                <w:rFonts w:ascii="Book Antiqua" w:hAnsi="Book Antiqua" w:cs="Times New Roman"/>
                <w:sz w:val="24"/>
                <w:szCs w:val="24"/>
              </w:rPr>
              <w:t>/L</w:t>
            </w:r>
          </w:p>
        </w:tc>
      </w:tr>
      <w:tr w:rsidR="00A30DB7" w:rsidRPr="000C178D" w14:paraId="5105E6A0" w14:textId="77777777" w:rsidTr="00990A21">
        <w:trPr>
          <w:trHeight w:val="294"/>
        </w:trPr>
        <w:tc>
          <w:tcPr>
            <w:tcW w:w="3034" w:type="dxa"/>
          </w:tcPr>
          <w:p w14:paraId="3E3ABE85" w14:textId="77777777" w:rsidR="00A30DB7" w:rsidRPr="000C178D" w:rsidRDefault="00A30DB7" w:rsidP="000C178D">
            <w:pPr>
              <w:snapToGrid w:val="0"/>
              <w:spacing w:after="0" w:line="360" w:lineRule="auto"/>
              <w:jc w:val="both"/>
              <w:rPr>
                <w:rFonts w:ascii="Book Antiqua" w:hAnsi="Book Antiqua" w:cs="Times New Roman"/>
                <w:bCs/>
                <w:sz w:val="24"/>
                <w:szCs w:val="24"/>
              </w:rPr>
            </w:pPr>
            <w:r w:rsidRPr="000C178D">
              <w:rPr>
                <w:rFonts w:ascii="Book Antiqua" w:hAnsi="Book Antiqua" w:cs="Times New Roman"/>
                <w:bCs/>
                <w:sz w:val="24"/>
                <w:szCs w:val="24"/>
              </w:rPr>
              <w:t>C reactive protein</w:t>
            </w:r>
          </w:p>
        </w:tc>
        <w:tc>
          <w:tcPr>
            <w:tcW w:w="2607" w:type="dxa"/>
          </w:tcPr>
          <w:p w14:paraId="6EABD366" w14:textId="77777777" w:rsidR="00A30DB7" w:rsidRPr="000C178D" w:rsidRDefault="00A30DB7" w:rsidP="000C178D">
            <w:pPr>
              <w:snapToGrid w:val="0"/>
              <w:spacing w:after="0" w:line="360" w:lineRule="auto"/>
              <w:jc w:val="both"/>
              <w:rPr>
                <w:rFonts w:ascii="Book Antiqua" w:hAnsi="Book Antiqua" w:cs="Times New Roman"/>
                <w:sz w:val="24"/>
                <w:szCs w:val="24"/>
              </w:rPr>
            </w:pPr>
            <w:r w:rsidRPr="000C178D">
              <w:rPr>
                <w:rFonts w:ascii="Book Antiqua" w:hAnsi="Book Antiqua" w:cs="Times New Roman"/>
                <w:sz w:val="24"/>
                <w:szCs w:val="24"/>
              </w:rPr>
              <w:t>0.42</w:t>
            </w:r>
          </w:p>
        </w:tc>
        <w:tc>
          <w:tcPr>
            <w:tcW w:w="2655" w:type="dxa"/>
          </w:tcPr>
          <w:p w14:paraId="50D9DD26" w14:textId="0537A807" w:rsidR="00A30DB7" w:rsidRPr="000C178D" w:rsidRDefault="00A30DB7" w:rsidP="000C178D">
            <w:pPr>
              <w:snapToGrid w:val="0"/>
              <w:spacing w:after="0" w:line="360" w:lineRule="auto"/>
              <w:jc w:val="both"/>
              <w:rPr>
                <w:rFonts w:ascii="Book Antiqua" w:hAnsi="Book Antiqua" w:cs="Times New Roman"/>
                <w:bCs/>
                <w:sz w:val="24"/>
                <w:szCs w:val="24"/>
              </w:rPr>
            </w:pPr>
            <w:r w:rsidRPr="000C178D">
              <w:rPr>
                <w:rFonts w:ascii="Book Antiqua" w:hAnsi="Book Antiqua" w:cs="Times New Roman"/>
                <w:bCs/>
                <w:sz w:val="24"/>
                <w:szCs w:val="24"/>
              </w:rPr>
              <w:sym w:font="Symbol" w:char="F0A3"/>
            </w:r>
            <w:r w:rsidR="00BB67EB" w:rsidRPr="000C178D">
              <w:rPr>
                <w:rFonts w:ascii="Book Antiqua" w:hAnsi="Book Antiqua" w:cs="Times New Roman"/>
                <w:bCs/>
                <w:sz w:val="24"/>
                <w:szCs w:val="24"/>
              </w:rPr>
              <w:t xml:space="preserve"> </w:t>
            </w:r>
            <w:r w:rsidRPr="000C178D">
              <w:rPr>
                <w:rFonts w:ascii="Book Antiqua" w:hAnsi="Book Antiqua" w:cs="Times New Roman"/>
                <w:bCs/>
                <w:sz w:val="24"/>
                <w:szCs w:val="24"/>
              </w:rPr>
              <w:t>5</w:t>
            </w:r>
            <w:r w:rsidR="00BB67EB" w:rsidRPr="000C178D">
              <w:rPr>
                <w:rFonts w:ascii="Book Antiqua" w:hAnsi="Book Antiqua" w:cs="Times New Roman"/>
                <w:bCs/>
                <w:sz w:val="24"/>
                <w:szCs w:val="24"/>
              </w:rPr>
              <w:t xml:space="preserve"> </w:t>
            </w:r>
            <w:r w:rsidRPr="000C178D">
              <w:rPr>
                <w:rFonts w:ascii="Book Antiqua" w:hAnsi="Book Antiqua" w:cs="Times New Roman"/>
                <w:bCs/>
                <w:sz w:val="24"/>
                <w:szCs w:val="24"/>
              </w:rPr>
              <w:t>mg/L</w:t>
            </w:r>
          </w:p>
        </w:tc>
      </w:tr>
      <w:tr w:rsidR="00A30DB7" w:rsidRPr="000C178D" w14:paraId="348F34F7" w14:textId="77777777" w:rsidTr="00990A21">
        <w:trPr>
          <w:trHeight w:val="294"/>
        </w:trPr>
        <w:tc>
          <w:tcPr>
            <w:tcW w:w="3034" w:type="dxa"/>
          </w:tcPr>
          <w:p w14:paraId="6A6D7093" w14:textId="77777777" w:rsidR="00A30DB7" w:rsidRPr="000C178D" w:rsidRDefault="00A30DB7" w:rsidP="000C178D">
            <w:pPr>
              <w:snapToGrid w:val="0"/>
              <w:spacing w:after="0" w:line="360" w:lineRule="auto"/>
              <w:jc w:val="both"/>
              <w:rPr>
                <w:rFonts w:ascii="Book Antiqua" w:hAnsi="Book Antiqua" w:cs="Times New Roman"/>
                <w:bCs/>
                <w:sz w:val="24"/>
                <w:szCs w:val="24"/>
              </w:rPr>
            </w:pPr>
            <w:r w:rsidRPr="000C178D">
              <w:rPr>
                <w:rFonts w:ascii="Book Antiqua" w:hAnsi="Book Antiqua" w:cs="Times New Roman"/>
                <w:bCs/>
                <w:sz w:val="24"/>
                <w:szCs w:val="24"/>
              </w:rPr>
              <w:t>Glucose</w:t>
            </w:r>
          </w:p>
        </w:tc>
        <w:tc>
          <w:tcPr>
            <w:tcW w:w="2607" w:type="dxa"/>
          </w:tcPr>
          <w:p w14:paraId="03849930" w14:textId="77777777" w:rsidR="00A30DB7" w:rsidRPr="000C178D" w:rsidRDefault="00A30DB7" w:rsidP="000C178D">
            <w:pPr>
              <w:snapToGrid w:val="0"/>
              <w:spacing w:after="0" w:line="360" w:lineRule="auto"/>
              <w:jc w:val="both"/>
              <w:rPr>
                <w:rFonts w:ascii="Book Antiqua" w:hAnsi="Book Antiqua" w:cs="Times New Roman"/>
                <w:sz w:val="24"/>
                <w:szCs w:val="24"/>
              </w:rPr>
            </w:pPr>
            <w:r w:rsidRPr="000C178D">
              <w:rPr>
                <w:rFonts w:ascii="Book Antiqua" w:hAnsi="Book Antiqua" w:cs="Times New Roman"/>
                <w:sz w:val="24"/>
                <w:szCs w:val="24"/>
              </w:rPr>
              <w:t>6.2</w:t>
            </w:r>
          </w:p>
        </w:tc>
        <w:tc>
          <w:tcPr>
            <w:tcW w:w="2655" w:type="dxa"/>
          </w:tcPr>
          <w:p w14:paraId="10F57B7D" w14:textId="7EBD3EBF" w:rsidR="00A30DB7" w:rsidRPr="000C178D" w:rsidRDefault="00A30DB7" w:rsidP="000C178D">
            <w:pPr>
              <w:snapToGrid w:val="0"/>
              <w:spacing w:after="0" w:line="360" w:lineRule="auto"/>
              <w:jc w:val="both"/>
              <w:rPr>
                <w:rFonts w:ascii="Book Antiqua" w:hAnsi="Book Antiqua" w:cs="Times New Roman"/>
                <w:sz w:val="24"/>
                <w:szCs w:val="24"/>
              </w:rPr>
            </w:pPr>
            <w:r w:rsidRPr="000C178D">
              <w:rPr>
                <w:rFonts w:ascii="Book Antiqua" w:hAnsi="Book Antiqua" w:cs="Times New Roman"/>
                <w:sz w:val="24"/>
                <w:szCs w:val="24"/>
              </w:rPr>
              <w:t>4.2</w:t>
            </w:r>
            <w:r w:rsidR="007063C9" w:rsidRPr="000C178D">
              <w:rPr>
                <w:rFonts w:ascii="Book Antiqua" w:hAnsi="Book Antiqua" w:cs="Times New Roman"/>
                <w:sz w:val="24"/>
                <w:szCs w:val="24"/>
              </w:rPr>
              <w:t>-</w:t>
            </w:r>
            <w:r w:rsidRPr="000C178D">
              <w:rPr>
                <w:rFonts w:ascii="Book Antiqua" w:hAnsi="Book Antiqua" w:cs="Times New Roman"/>
                <w:sz w:val="24"/>
                <w:szCs w:val="24"/>
              </w:rPr>
              <w:t>6.1 mmol/L</w:t>
            </w:r>
          </w:p>
        </w:tc>
      </w:tr>
      <w:tr w:rsidR="00A30DB7" w:rsidRPr="000C178D" w14:paraId="0D98078C" w14:textId="77777777" w:rsidTr="00990A21">
        <w:trPr>
          <w:trHeight w:val="242"/>
        </w:trPr>
        <w:tc>
          <w:tcPr>
            <w:tcW w:w="3034" w:type="dxa"/>
          </w:tcPr>
          <w:p w14:paraId="74EFB74D" w14:textId="77777777" w:rsidR="00A30DB7" w:rsidRPr="000C178D" w:rsidRDefault="00A30DB7" w:rsidP="000C178D">
            <w:pPr>
              <w:snapToGrid w:val="0"/>
              <w:spacing w:after="0" w:line="360" w:lineRule="auto"/>
              <w:jc w:val="both"/>
              <w:rPr>
                <w:rFonts w:ascii="Book Antiqua" w:hAnsi="Book Antiqua" w:cs="Times New Roman"/>
                <w:bCs/>
                <w:sz w:val="24"/>
                <w:szCs w:val="24"/>
              </w:rPr>
            </w:pPr>
            <w:r w:rsidRPr="000C178D">
              <w:rPr>
                <w:rFonts w:ascii="Book Antiqua" w:hAnsi="Book Antiqua" w:cs="Times New Roman"/>
                <w:bCs/>
                <w:sz w:val="24"/>
                <w:szCs w:val="24"/>
              </w:rPr>
              <w:t xml:space="preserve">Aspartate aminotransferase </w:t>
            </w:r>
          </w:p>
        </w:tc>
        <w:tc>
          <w:tcPr>
            <w:tcW w:w="2607" w:type="dxa"/>
          </w:tcPr>
          <w:p w14:paraId="2B58016E" w14:textId="77777777" w:rsidR="00A30DB7" w:rsidRPr="000C178D" w:rsidRDefault="00A30DB7" w:rsidP="000C178D">
            <w:pPr>
              <w:snapToGrid w:val="0"/>
              <w:spacing w:after="0" w:line="360" w:lineRule="auto"/>
              <w:jc w:val="both"/>
              <w:rPr>
                <w:rFonts w:ascii="Book Antiqua" w:hAnsi="Book Antiqua" w:cs="Times New Roman"/>
                <w:sz w:val="24"/>
                <w:szCs w:val="24"/>
              </w:rPr>
            </w:pPr>
            <w:r w:rsidRPr="000C178D">
              <w:rPr>
                <w:rFonts w:ascii="Book Antiqua" w:hAnsi="Book Antiqua" w:cs="Times New Roman"/>
                <w:sz w:val="24"/>
                <w:szCs w:val="24"/>
              </w:rPr>
              <w:t>28</w:t>
            </w:r>
          </w:p>
        </w:tc>
        <w:tc>
          <w:tcPr>
            <w:tcW w:w="2655" w:type="dxa"/>
          </w:tcPr>
          <w:p w14:paraId="6A3BA78F" w14:textId="77777777" w:rsidR="00A30DB7" w:rsidRPr="000C178D" w:rsidRDefault="00A30DB7" w:rsidP="000C178D">
            <w:pPr>
              <w:snapToGrid w:val="0"/>
              <w:spacing w:after="0" w:line="360" w:lineRule="auto"/>
              <w:jc w:val="both"/>
              <w:rPr>
                <w:rFonts w:ascii="Book Antiqua" w:hAnsi="Book Antiqua" w:cs="Times New Roman"/>
                <w:bCs/>
                <w:sz w:val="24"/>
                <w:szCs w:val="24"/>
              </w:rPr>
            </w:pPr>
            <w:r w:rsidRPr="000C178D">
              <w:rPr>
                <w:rFonts w:ascii="Book Antiqua" w:hAnsi="Book Antiqua" w:cs="Times New Roman"/>
                <w:bCs/>
                <w:sz w:val="24"/>
                <w:szCs w:val="24"/>
              </w:rPr>
              <w:t>&lt; 40 U/L</w:t>
            </w:r>
          </w:p>
        </w:tc>
      </w:tr>
      <w:tr w:rsidR="00A30DB7" w:rsidRPr="000C178D" w14:paraId="3659D4D3" w14:textId="77777777" w:rsidTr="00990A21">
        <w:trPr>
          <w:trHeight w:val="242"/>
        </w:trPr>
        <w:tc>
          <w:tcPr>
            <w:tcW w:w="3034" w:type="dxa"/>
          </w:tcPr>
          <w:p w14:paraId="1C663D3C" w14:textId="77777777" w:rsidR="00A30DB7" w:rsidRPr="000C178D" w:rsidRDefault="00A30DB7" w:rsidP="000C178D">
            <w:pPr>
              <w:snapToGrid w:val="0"/>
              <w:spacing w:after="0" w:line="360" w:lineRule="auto"/>
              <w:jc w:val="both"/>
              <w:rPr>
                <w:rFonts w:ascii="Book Antiqua" w:hAnsi="Book Antiqua" w:cs="Times New Roman"/>
                <w:bCs/>
                <w:sz w:val="24"/>
                <w:szCs w:val="24"/>
              </w:rPr>
            </w:pPr>
            <w:r w:rsidRPr="000C178D">
              <w:rPr>
                <w:rFonts w:ascii="Book Antiqua" w:hAnsi="Book Antiqua" w:cs="Times New Roman"/>
                <w:bCs/>
                <w:sz w:val="24"/>
                <w:szCs w:val="24"/>
              </w:rPr>
              <w:t>Alanine aminotransferase</w:t>
            </w:r>
          </w:p>
        </w:tc>
        <w:tc>
          <w:tcPr>
            <w:tcW w:w="2607" w:type="dxa"/>
          </w:tcPr>
          <w:p w14:paraId="1947E331" w14:textId="77777777" w:rsidR="00A30DB7" w:rsidRPr="000C178D" w:rsidRDefault="00A30DB7" w:rsidP="000C178D">
            <w:pPr>
              <w:snapToGrid w:val="0"/>
              <w:spacing w:after="0" w:line="360" w:lineRule="auto"/>
              <w:jc w:val="both"/>
              <w:rPr>
                <w:rFonts w:ascii="Book Antiqua" w:hAnsi="Book Antiqua" w:cs="Times New Roman"/>
                <w:sz w:val="24"/>
                <w:szCs w:val="24"/>
              </w:rPr>
            </w:pPr>
            <w:r w:rsidRPr="000C178D">
              <w:rPr>
                <w:rFonts w:ascii="Book Antiqua" w:hAnsi="Book Antiqua" w:cs="Times New Roman"/>
                <w:sz w:val="24"/>
                <w:szCs w:val="24"/>
              </w:rPr>
              <w:t>34</w:t>
            </w:r>
          </w:p>
        </w:tc>
        <w:tc>
          <w:tcPr>
            <w:tcW w:w="2655" w:type="dxa"/>
          </w:tcPr>
          <w:p w14:paraId="75E391B5" w14:textId="77777777" w:rsidR="00A30DB7" w:rsidRPr="000C178D" w:rsidRDefault="00A30DB7" w:rsidP="000C178D">
            <w:pPr>
              <w:snapToGrid w:val="0"/>
              <w:spacing w:after="0" w:line="360" w:lineRule="auto"/>
              <w:jc w:val="both"/>
              <w:rPr>
                <w:rFonts w:ascii="Book Antiqua" w:hAnsi="Book Antiqua" w:cs="Times New Roman"/>
                <w:sz w:val="24"/>
                <w:szCs w:val="24"/>
              </w:rPr>
            </w:pPr>
            <w:r w:rsidRPr="000C178D">
              <w:rPr>
                <w:rFonts w:ascii="Book Antiqua" w:hAnsi="Book Antiqua" w:cs="Times New Roman"/>
                <w:sz w:val="24"/>
                <w:szCs w:val="24"/>
              </w:rPr>
              <w:t>&lt; 40 U/L</w:t>
            </w:r>
          </w:p>
        </w:tc>
      </w:tr>
      <w:tr w:rsidR="00A30DB7" w:rsidRPr="000C178D" w14:paraId="6A338B76" w14:textId="77777777" w:rsidTr="00990A21">
        <w:trPr>
          <w:trHeight w:val="242"/>
        </w:trPr>
        <w:tc>
          <w:tcPr>
            <w:tcW w:w="3034" w:type="dxa"/>
          </w:tcPr>
          <w:p w14:paraId="2F467719" w14:textId="29DA0BC2" w:rsidR="00A30DB7" w:rsidRPr="000C178D" w:rsidRDefault="00020DDB" w:rsidP="000C178D">
            <w:pPr>
              <w:snapToGrid w:val="0"/>
              <w:spacing w:after="0" w:line="360" w:lineRule="auto"/>
              <w:jc w:val="both"/>
              <w:rPr>
                <w:rFonts w:ascii="Book Antiqua" w:hAnsi="Book Antiqua" w:cs="Times New Roman"/>
                <w:bCs/>
                <w:sz w:val="24"/>
                <w:szCs w:val="24"/>
              </w:rPr>
            </w:pPr>
            <w:r>
              <w:rPr>
                <w:rFonts w:ascii="Book Antiqua" w:hAnsi="Book Antiqua" w:cs="Times New Roman"/>
                <w:bCs/>
                <w:sz w:val="24"/>
                <w:szCs w:val="24"/>
              </w:rPr>
              <w:t>γ-</w:t>
            </w:r>
            <w:r w:rsidR="00A30DB7" w:rsidRPr="000C178D">
              <w:rPr>
                <w:rFonts w:ascii="Book Antiqua" w:hAnsi="Book Antiqua" w:cs="Times New Roman"/>
                <w:bCs/>
                <w:sz w:val="24"/>
                <w:szCs w:val="24"/>
              </w:rPr>
              <w:t>glutamyl transferase</w:t>
            </w:r>
          </w:p>
        </w:tc>
        <w:tc>
          <w:tcPr>
            <w:tcW w:w="2607" w:type="dxa"/>
          </w:tcPr>
          <w:p w14:paraId="3D53C8C2" w14:textId="77777777" w:rsidR="00A30DB7" w:rsidRPr="000C178D" w:rsidRDefault="00A30DB7" w:rsidP="000C178D">
            <w:pPr>
              <w:snapToGrid w:val="0"/>
              <w:spacing w:after="0" w:line="360" w:lineRule="auto"/>
              <w:jc w:val="both"/>
              <w:rPr>
                <w:rFonts w:ascii="Book Antiqua" w:hAnsi="Book Antiqua" w:cs="Times New Roman"/>
                <w:sz w:val="24"/>
                <w:szCs w:val="24"/>
              </w:rPr>
            </w:pPr>
            <w:r w:rsidRPr="000C178D">
              <w:rPr>
                <w:rFonts w:ascii="Book Antiqua" w:hAnsi="Book Antiqua" w:cs="Times New Roman"/>
                <w:sz w:val="24"/>
                <w:szCs w:val="24"/>
              </w:rPr>
              <w:t xml:space="preserve">30 </w:t>
            </w:r>
          </w:p>
        </w:tc>
        <w:tc>
          <w:tcPr>
            <w:tcW w:w="2655" w:type="dxa"/>
          </w:tcPr>
          <w:p w14:paraId="524989AD" w14:textId="77777777" w:rsidR="00A30DB7" w:rsidRPr="000C178D" w:rsidRDefault="00A30DB7" w:rsidP="000C178D">
            <w:pPr>
              <w:snapToGrid w:val="0"/>
              <w:spacing w:after="0" w:line="360" w:lineRule="auto"/>
              <w:jc w:val="both"/>
              <w:rPr>
                <w:rFonts w:ascii="Book Antiqua" w:hAnsi="Book Antiqua" w:cs="Times New Roman"/>
                <w:bCs/>
                <w:sz w:val="24"/>
                <w:szCs w:val="24"/>
              </w:rPr>
            </w:pPr>
            <w:r w:rsidRPr="000C178D">
              <w:rPr>
                <w:rFonts w:ascii="Book Antiqua" w:hAnsi="Book Antiqua" w:cs="Times New Roman"/>
                <w:bCs/>
                <w:sz w:val="24"/>
                <w:szCs w:val="24"/>
              </w:rPr>
              <w:t>≤ 36 U/L</w:t>
            </w:r>
          </w:p>
        </w:tc>
      </w:tr>
      <w:tr w:rsidR="00A30DB7" w:rsidRPr="000C178D" w14:paraId="4BBAA347" w14:textId="77777777" w:rsidTr="00990A21">
        <w:trPr>
          <w:trHeight w:val="279"/>
        </w:trPr>
        <w:tc>
          <w:tcPr>
            <w:tcW w:w="3034" w:type="dxa"/>
          </w:tcPr>
          <w:p w14:paraId="567A10FF" w14:textId="77777777" w:rsidR="00A30DB7" w:rsidRPr="000C178D" w:rsidRDefault="00A30DB7" w:rsidP="000C178D">
            <w:pPr>
              <w:snapToGrid w:val="0"/>
              <w:spacing w:after="0" w:line="360" w:lineRule="auto"/>
              <w:jc w:val="both"/>
              <w:rPr>
                <w:rFonts w:ascii="Book Antiqua" w:hAnsi="Book Antiqua" w:cs="Times New Roman"/>
                <w:bCs/>
                <w:sz w:val="24"/>
                <w:szCs w:val="24"/>
              </w:rPr>
            </w:pPr>
            <w:r w:rsidRPr="000C178D">
              <w:rPr>
                <w:rFonts w:ascii="Book Antiqua" w:hAnsi="Book Antiqua" w:cs="Times New Roman"/>
                <w:bCs/>
                <w:sz w:val="24"/>
                <w:szCs w:val="24"/>
              </w:rPr>
              <w:t>Alkaline phosphatase</w:t>
            </w:r>
          </w:p>
        </w:tc>
        <w:tc>
          <w:tcPr>
            <w:tcW w:w="2607" w:type="dxa"/>
          </w:tcPr>
          <w:p w14:paraId="23EAEC64" w14:textId="77777777" w:rsidR="00A30DB7" w:rsidRPr="000C178D" w:rsidRDefault="00A30DB7" w:rsidP="000C178D">
            <w:pPr>
              <w:snapToGrid w:val="0"/>
              <w:spacing w:after="0" w:line="360" w:lineRule="auto"/>
              <w:jc w:val="both"/>
              <w:rPr>
                <w:rFonts w:ascii="Book Antiqua" w:hAnsi="Book Antiqua" w:cs="Times New Roman"/>
                <w:sz w:val="24"/>
                <w:szCs w:val="24"/>
              </w:rPr>
            </w:pPr>
            <w:r w:rsidRPr="000C178D">
              <w:rPr>
                <w:rFonts w:ascii="Book Antiqua" w:hAnsi="Book Antiqua" w:cs="Times New Roman"/>
                <w:sz w:val="24"/>
                <w:szCs w:val="24"/>
              </w:rPr>
              <w:t>68</w:t>
            </w:r>
          </w:p>
        </w:tc>
        <w:tc>
          <w:tcPr>
            <w:tcW w:w="2655" w:type="dxa"/>
          </w:tcPr>
          <w:p w14:paraId="067B856F" w14:textId="68A024AD" w:rsidR="00A30DB7" w:rsidRPr="000C178D" w:rsidRDefault="00A30DB7" w:rsidP="000C178D">
            <w:pPr>
              <w:snapToGrid w:val="0"/>
              <w:spacing w:after="0" w:line="360" w:lineRule="auto"/>
              <w:jc w:val="both"/>
              <w:rPr>
                <w:rFonts w:ascii="Book Antiqua" w:hAnsi="Book Antiqua" w:cs="Times New Roman"/>
                <w:sz w:val="24"/>
                <w:szCs w:val="24"/>
              </w:rPr>
            </w:pPr>
            <w:r w:rsidRPr="000C178D">
              <w:rPr>
                <w:rFonts w:ascii="Book Antiqua" w:hAnsi="Book Antiqua" w:cs="Times New Roman"/>
                <w:sz w:val="24"/>
                <w:szCs w:val="24"/>
              </w:rPr>
              <w:t>40</w:t>
            </w:r>
            <w:r w:rsidR="007063C9" w:rsidRPr="000C178D">
              <w:rPr>
                <w:rFonts w:ascii="Book Antiqua" w:hAnsi="Book Antiqua" w:cs="Times New Roman"/>
                <w:sz w:val="24"/>
                <w:szCs w:val="24"/>
              </w:rPr>
              <w:t>-</w:t>
            </w:r>
            <w:r w:rsidRPr="000C178D">
              <w:rPr>
                <w:rFonts w:ascii="Book Antiqua" w:hAnsi="Book Antiqua" w:cs="Times New Roman"/>
                <w:sz w:val="24"/>
                <w:szCs w:val="24"/>
              </w:rPr>
              <w:t>150 U/L</w:t>
            </w:r>
          </w:p>
        </w:tc>
      </w:tr>
      <w:tr w:rsidR="00A30DB7" w:rsidRPr="000C178D" w14:paraId="4D6B6CB8" w14:textId="77777777" w:rsidTr="00990A21">
        <w:trPr>
          <w:trHeight w:val="279"/>
        </w:trPr>
        <w:tc>
          <w:tcPr>
            <w:tcW w:w="3034" w:type="dxa"/>
          </w:tcPr>
          <w:p w14:paraId="5216BE39" w14:textId="77777777" w:rsidR="00A30DB7" w:rsidRPr="000C178D" w:rsidRDefault="00A30DB7" w:rsidP="000C178D">
            <w:pPr>
              <w:snapToGrid w:val="0"/>
              <w:spacing w:after="0" w:line="360" w:lineRule="auto"/>
              <w:jc w:val="both"/>
              <w:rPr>
                <w:rFonts w:ascii="Book Antiqua" w:hAnsi="Book Antiqua" w:cs="Times New Roman"/>
                <w:bCs/>
                <w:sz w:val="24"/>
                <w:szCs w:val="24"/>
              </w:rPr>
            </w:pPr>
            <w:r w:rsidRPr="000C178D">
              <w:rPr>
                <w:rFonts w:ascii="Book Antiqua" w:hAnsi="Book Antiqua" w:cs="Times New Roman"/>
                <w:bCs/>
                <w:sz w:val="24"/>
                <w:szCs w:val="24"/>
              </w:rPr>
              <w:t>Lactate dehydrogenase </w:t>
            </w:r>
          </w:p>
        </w:tc>
        <w:tc>
          <w:tcPr>
            <w:tcW w:w="2607" w:type="dxa"/>
          </w:tcPr>
          <w:p w14:paraId="4D8C6BF8" w14:textId="77777777" w:rsidR="00A30DB7" w:rsidRPr="000C178D" w:rsidRDefault="00A30DB7" w:rsidP="000C178D">
            <w:pPr>
              <w:snapToGrid w:val="0"/>
              <w:spacing w:after="0" w:line="360" w:lineRule="auto"/>
              <w:jc w:val="both"/>
              <w:rPr>
                <w:rFonts w:ascii="Book Antiqua" w:hAnsi="Book Antiqua" w:cs="Times New Roman"/>
                <w:sz w:val="24"/>
                <w:szCs w:val="24"/>
              </w:rPr>
            </w:pPr>
            <w:r w:rsidRPr="000C178D">
              <w:rPr>
                <w:rFonts w:ascii="Book Antiqua" w:hAnsi="Book Antiqua" w:cs="Times New Roman"/>
                <w:sz w:val="24"/>
                <w:szCs w:val="24"/>
              </w:rPr>
              <w:t>225</w:t>
            </w:r>
          </w:p>
        </w:tc>
        <w:tc>
          <w:tcPr>
            <w:tcW w:w="2655" w:type="dxa"/>
          </w:tcPr>
          <w:p w14:paraId="1F16EC14" w14:textId="773634FE" w:rsidR="00A30DB7" w:rsidRPr="000C178D" w:rsidRDefault="00A30DB7" w:rsidP="000C178D">
            <w:pPr>
              <w:snapToGrid w:val="0"/>
              <w:spacing w:after="0" w:line="360" w:lineRule="auto"/>
              <w:jc w:val="both"/>
              <w:rPr>
                <w:rFonts w:ascii="Book Antiqua" w:hAnsi="Book Antiqua" w:cs="Times New Roman"/>
                <w:bCs/>
                <w:sz w:val="24"/>
                <w:szCs w:val="24"/>
              </w:rPr>
            </w:pPr>
            <w:r w:rsidRPr="000C178D">
              <w:rPr>
                <w:rFonts w:ascii="Book Antiqua" w:hAnsi="Book Antiqua" w:cs="Times New Roman"/>
                <w:bCs/>
                <w:sz w:val="24"/>
                <w:szCs w:val="24"/>
              </w:rPr>
              <w:t>125</w:t>
            </w:r>
            <w:r w:rsidR="007063C9" w:rsidRPr="000C178D">
              <w:rPr>
                <w:rFonts w:ascii="Book Antiqua" w:hAnsi="Book Antiqua" w:cs="Times New Roman"/>
                <w:bCs/>
                <w:sz w:val="24"/>
                <w:szCs w:val="24"/>
              </w:rPr>
              <w:t>-</w:t>
            </w:r>
            <w:r w:rsidRPr="000C178D">
              <w:rPr>
                <w:rFonts w:ascii="Book Antiqua" w:hAnsi="Book Antiqua" w:cs="Times New Roman"/>
                <w:bCs/>
                <w:sz w:val="24"/>
                <w:szCs w:val="24"/>
              </w:rPr>
              <w:t>243 U/L</w:t>
            </w:r>
          </w:p>
        </w:tc>
      </w:tr>
      <w:tr w:rsidR="00A30DB7" w:rsidRPr="000C178D" w14:paraId="626172DA" w14:textId="77777777" w:rsidTr="00990A21">
        <w:trPr>
          <w:trHeight w:val="279"/>
        </w:trPr>
        <w:tc>
          <w:tcPr>
            <w:tcW w:w="3034" w:type="dxa"/>
          </w:tcPr>
          <w:p w14:paraId="2D36A430" w14:textId="77777777" w:rsidR="00A30DB7" w:rsidRPr="000C178D" w:rsidRDefault="00A30DB7" w:rsidP="000C178D">
            <w:pPr>
              <w:snapToGrid w:val="0"/>
              <w:spacing w:after="0" w:line="360" w:lineRule="auto"/>
              <w:jc w:val="both"/>
              <w:rPr>
                <w:rFonts w:ascii="Book Antiqua" w:hAnsi="Book Antiqua" w:cs="Times New Roman"/>
                <w:bCs/>
                <w:sz w:val="24"/>
                <w:szCs w:val="24"/>
              </w:rPr>
            </w:pPr>
            <w:r w:rsidRPr="000C178D">
              <w:rPr>
                <w:rFonts w:ascii="Book Antiqua" w:hAnsi="Book Antiqua" w:cs="Times New Roman"/>
                <w:bCs/>
                <w:sz w:val="24"/>
                <w:szCs w:val="24"/>
              </w:rPr>
              <w:t>Lipase</w:t>
            </w:r>
          </w:p>
        </w:tc>
        <w:tc>
          <w:tcPr>
            <w:tcW w:w="2607" w:type="dxa"/>
          </w:tcPr>
          <w:p w14:paraId="24459B02" w14:textId="77777777" w:rsidR="00A30DB7" w:rsidRPr="000C178D" w:rsidRDefault="00A30DB7" w:rsidP="000C178D">
            <w:pPr>
              <w:snapToGrid w:val="0"/>
              <w:spacing w:after="0" w:line="360" w:lineRule="auto"/>
              <w:jc w:val="both"/>
              <w:rPr>
                <w:rFonts w:ascii="Book Antiqua" w:hAnsi="Book Antiqua" w:cs="Times New Roman"/>
                <w:sz w:val="24"/>
                <w:szCs w:val="24"/>
              </w:rPr>
            </w:pPr>
            <w:r w:rsidRPr="000C178D">
              <w:rPr>
                <w:rFonts w:ascii="Book Antiqua" w:hAnsi="Book Antiqua" w:cs="Times New Roman"/>
                <w:sz w:val="24"/>
                <w:szCs w:val="24"/>
              </w:rPr>
              <w:t>4</w:t>
            </w:r>
          </w:p>
        </w:tc>
        <w:tc>
          <w:tcPr>
            <w:tcW w:w="2655" w:type="dxa"/>
          </w:tcPr>
          <w:p w14:paraId="1D585FD7" w14:textId="7A216819" w:rsidR="00A30DB7" w:rsidRPr="000C178D" w:rsidRDefault="00A30DB7" w:rsidP="000C178D">
            <w:pPr>
              <w:snapToGrid w:val="0"/>
              <w:spacing w:after="0" w:line="360" w:lineRule="auto"/>
              <w:jc w:val="both"/>
              <w:rPr>
                <w:rFonts w:ascii="Book Antiqua" w:hAnsi="Book Antiqua" w:cs="Times New Roman"/>
                <w:sz w:val="24"/>
                <w:szCs w:val="24"/>
              </w:rPr>
            </w:pPr>
            <w:r w:rsidRPr="000C178D">
              <w:rPr>
                <w:rFonts w:ascii="Book Antiqua" w:hAnsi="Book Antiqua" w:cs="Times New Roman"/>
                <w:sz w:val="24"/>
                <w:szCs w:val="24"/>
              </w:rPr>
              <w:t>&lt; 8</w:t>
            </w:r>
            <w:r w:rsidR="007063C9" w:rsidRPr="000C178D">
              <w:rPr>
                <w:rFonts w:ascii="Book Antiqua" w:hAnsi="Book Antiqua" w:cs="Times New Roman"/>
                <w:sz w:val="24"/>
                <w:szCs w:val="24"/>
              </w:rPr>
              <w:t>-</w:t>
            </w:r>
            <w:r w:rsidRPr="000C178D">
              <w:rPr>
                <w:rFonts w:ascii="Book Antiqua" w:hAnsi="Book Antiqua" w:cs="Times New Roman"/>
                <w:sz w:val="24"/>
                <w:szCs w:val="24"/>
              </w:rPr>
              <w:t>78 U/L</w:t>
            </w:r>
          </w:p>
        </w:tc>
      </w:tr>
      <w:tr w:rsidR="00A30DB7" w:rsidRPr="000C178D" w14:paraId="344D7D73" w14:textId="77777777" w:rsidTr="00990A21">
        <w:trPr>
          <w:trHeight w:val="279"/>
        </w:trPr>
        <w:tc>
          <w:tcPr>
            <w:tcW w:w="3034" w:type="dxa"/>
          </w:tcPr>
          <w:p w14:paraId="4F7FF46E" w14:textId="77777777" w:rsidR="00A30DB7" w:rsidRPr="000C178D" w:rsidRDefault="00A30DB7" w:rsidP="000C178D">
            <w:pPr>
              <w:snapToGrid w:val="0"/>
              <w:spacing w:after="0" w:line="360" w:lineRule="auto"/>
              <w:jc w:val="both"/>
              <w:rPr>
                <w:rFonts w:ascii="Book Antiqua" w:hAnsi="Book Antiqua" w:cs="Times New Roman"/>
                <w:bCs/>
                <w:sz w:val="24"/>
                <w:szCs w:val="24"/>
              </w:rPr>
            </w:pPr>
            <w:r w:rsidRPr="000C178D">
              <w:rPr>
                <w:rFonts w:ascii="Book Antiqua" w:hAnsi="Book Antiqua" w:cs="Times New Roman"/>
                <w:bCs/>
                <w:sz w:val="24"/>
                <w:szCs w:val="24"/>
              </w:rPr>
              <w:t>Thyrotropin</w:t>
            </w:r>
          </w:p>
        </w:tc>
        <w:tc>
          <w:tcPr>
            <w:tcW w:w="2607" w:type="dxa"/>
          </w:tcPr>
          <w:p w14:paraId="7AD0F4A0" w14:textId="77777777" w:rsidR="00A30DB7" w:rsidRPr="000C178D" w:rsidRDefault="00A30DB7" w:rsidP="000C178D">
            <w:pPr>
              <w:snapToGrid w:val="0"/>
              <w:spacing w:after="0" w:line="360" w:lineRule="auto"/>
              <w:jc w:val="both"/>
              <w:rPr>
                <w:rFonts w:ascii="Book Antiqua" w:hAnsi="Book Antiqua" w:cs="Times New Roman"/>
                <w:sz w:val="24"/>
                <w:szCs w:val="24"/>
              </w:rPr>
            </w:pPr>
            <w:r w:rsidRPr="000C178D">
              <w:rPr>
                <w:rFonts w:ascii="Book Antiqua" w:hAnsi="Book Antiqua" w:cs="Times New Roman"/>
                <w:sz w:val="24"/>
                <w:szCs w:val="24"/>
              </w:rPr>
              <w:t>1.402</w:t>
            </w:r>
          </w:p>
        </w:tc>
        <w:tc>
          <w:tcPr>
            <w:tcW w:w="2655" w:type="dxa"/>
          </w:tcPr>
          <w:p w14:paraId="3D45A812" w14:textId="769F56F3" w:rsidR="00A30DB7" w:rsidRPr="000C178D" w:rsidRDefault="00A30DB7" w:rsidP="002A4DA9">
            <w:pPr>
              <w:snapToGrid w:val="0"/>
              <w:spacing w:after="0" w:line="360" w:lineRule="auto"/>
              <w:jc w:val="both"/>
              <w:rPr>
                <w:rFonts w:ascii="Book Antiqua" w:hAnsi="Book Antiqua" w:cs="Times New Roman"/>
                <w:bCs/>
                <w:sz w:val="24"/>
                <w:szCs w:val="24"/>
              </w:rPr>
            </w:pPr>
            <w:r w:rsidRPr="000C178D">
              <w:rPr>
                <w:rFonts w:ascii="Book Antiqua" w:hAnsi="Book Antiqua" w:cs="Times New Roman"/>
                <w:bCs/>
                <w:sz w:val="24"/>
                <w:szCs w:val="24"/>
              </w:rPr>
              <w:t>0.4</w:t>
            </w:r>
            <w:r w:rsidR="002A4DA9">
              <w:rPr>
                <w:rFonts w:ascii="Book Antiqua" w:hAnsi="Book Antiqua" w:cs="Times New Roman"/>
                <w:bCs/>
                <w:sz w:val="24"/>
                <w:szCs w:val="24"/>
              </w:rPr>
              <w:t>-</w:t>
            </w:r>
            <w:r w:rsidRPr="000C178D">
              <w:rPr>
                <w:rFonts w:ascii="Book Antiqua" w:hAnsi="Book Antiqua" w:cs="Times New Roman"/>
                <w:bCs/>
                <w:sz w:val="24"/>
                <w:szCs w:val="24"/>
              </w:rPr>
              <w:t xml:space="preserve">4.0 </w:t>
            </w:r>
            <w:proofErr w:type="spellStart"/>
            <w:r w:rsidRPr="000C178D">
              <w:rPr>
                <w:rFonts w:ascii="Book Antiqua" w:hAnsi="Book Antiqua" w:cs="Times New Roman"/>
                <w:bCs/>
                <w:sz w:val="24"/>
                <w:szCs w:val="24"/>
              </w:rPr>
              <w:t>mU</w:t>
            </w:r>
            <w:proofErr w:type="spellEnd"/>
            <w:r w:rsidRPr="000C178D">
              <w:rPr>
                <w:rFonts w:ascii="Book Antiqua" w:hAnsi="Book Antiqua" w:cs="Times New Roman"/>
                <w:bCs/>
                <w:sz w:val="24"/>
                <w:szCs w:val="24"/>
              </w:rPr>
              <w:t>/L</w:t>
            </w:r>
          </w:p>
        </w:tc>
      </w:tr>
      <w:tr w:rsidR="00A30DB7" w:rsidRPr="000C178D" w14:paraId="72BC0A20" w14:textId="77777777" w:rsidTr="00990A21">
        <w:trPr>
          <w:trHeight w:val="263"/>
        </w:trPr>
        <w:tc>
          <w:tcPr>
            <w:tcW w:w="3034" w:type="dxa"/>
          </w:tcPr>
          <w:p w14:paraId="1BD2867D" w14:textId="77777777" w:rsidR="00A30DB7" w:rsidRPr="000C178D" w:rsidRDefault="00A30DB7" w:rsidP="000C178D">
            <w:pPr>
              <w:snapToGrid w:val="0"/>
              <w:spacing w:after="0" w:line="360" w:lineRule="auto"/>
              <w:jc w:val="both"/>
              <w:rPr>
                <w:rFonts w:ascii="Book Antiqua" w:hAnsi="Book Antiqua" w:cs="Times New Roman"/>
                <w:bCs/>
                <w:sz w:val="24"/>
                <w:szCs w:val="24"/>
              </w:rPr>
            </w:pPr>
            <w:r w:rsidRPr="000C178D">
              <w:rPr>
                <w:rFonts w:ascii="Book Antiqua" w:hAnsi="Book Antiqua" w:cs="Times New Roman"/>
                <w:bCs/>
                <w:sz w:val="24"/>
                <w:szCs w:val="24"/>
              </w:rPr>
              <w:t>Total bilirubin</w:t>
            </w:r>
          </w:p>
        </w:tc>
        <w:tc>
          <w:tcPr>
            <w:tcW w:w="2607" w:type="dxa"/>
          </w:tcPr>
          <w:p w14:paraId="767E177D" w14:textId="77777777" w:rsidR="00A30DB7" w:rsidRPr="000C178D" w:rsidRDefault="00A30DB7" w:rsidP="000C178D">
            <w:pPr>
              <w:snapToGrid w:val="0"/>
              <w:spacing w:after="0" w:line="360" w:lineRule="auto"/>
              <w:jc w:val="both"/>
              <w:rPr>
                <w:rFonts w:ascii="Book Antiqua" w:hAnsi="Book Antiqua" w:cs="Times New Roman"/>
                <w:sz w:val="24"/>
                <w:szCs w:val="24"/>
              </w:rPr>
            </w:pPr>
            <w:r w:rsidRPr="000C178D">
              <w:rPr>
                <w:rFonts w:ascii="Book Antiqua" w:hAnsi="Book Antiqua" w:cs="Times New Roman"/>
                <w:sz w:val="24"/>
                <w:szCs w:val="24"/>
              </w:rPr>
              <w:t xml:space="preserve">12.5 </w:t>
            </w:r>
          </w:p>
        </w:tc>
        <w:tc>
          <w:tcPr>
            <w:tcW w:w="2655" w:type="dxa"/>
          </w:tcPr>
          <w:p w14:paraId="5E580B72" w14:textId="77777777" w:rsidR="00A30DB7" w:rsidRPr="000C178D" w:rsidRDefault="00A30DB7" w:rsidP="000C178D">
            <w:pPr>
              <w:snapToGrid w:val="0"/>
              <w:spacing w:after="0" w:line="360" w:lineRule="auto"/>
              <w:jc w:val="both"/>
              <w:rPr>
                <w:rFonts w:ascii="Book Antiqua" w:hAnsi="Book Antiqua" w:cs="Times New Roman"/>
                <w:sz w:val="24"/>
                <w:szCs w:val="24"/>
              </w:rPr>
            </w:pPr>
            <w:r w:rsidRPr="000C178D">
              <w:rPr>
                <w:rFonts w:ascii="Book Antiqua" w:hAnsi="Book Antiqua" w:cs="Times New Roman"/>
                <w:sz w:val="24"/>
                <w:szCs w:val="24"/>
              </w:rPr>
              <w:t xml:space="preserve">&lt; 21 </w:t>
            </w:r>
            <w:r w:rsidRPr="000C178D">
              <w:rPr>
                <w:rFonts w:ascii="Book Antiqua" w:hAnsi="Book Antiqua" w:cs="Times New Roman"/>
                <w:sz w:val="24"/>
                <w:szCs w:val="24"/>
              </w:rPr>
              <w:sym w:font="Symbol" w:char="F06D"/>
            </w:r>
            <w:r w:rsidRPr="000C178D">
              <w:rPr>
                <w:rFonts w:ascii="Book Antiqua" w:hAnsi="Book Antiqua" w:cs="Times New Roman"/>
                <w:sz w:val="24"/>
                <w:szCs w:val="24"/>
              </w:rPr>
              <w:t>mol</w:t>
            </w:r>
          </w:p>
        </w:tc>
      </w:tr>
      <w:tr w:rsidR="00A30DB7" w:rsidRPr="000C178D" w14:paraId="6783C1F6" w14:textId="77777777" w:rsidTr="00990A21">
        <w:trPr>
          <w:trHeight w:val="242"/>
        </w:trPr>
        <w:tc>
          <w:tcPr>
            <w:tcW w:w="3034" w:type="dxa"/>
          </w:tcPr>
          <w:p w14:paraId="32DD552D" w14:textId="77777777" w:rsidR="00A30DB7" w:rsidRPr="000C178D" w:rsidRDefault="00A30DB7" w:rsidP="000C178D">
            <w:pPr>
              <w:snapToGrid w:val="0"/>
              <w:spacing w:after="0" w:line="360" w:lineRule="auto"/>
              <w:jc w:val="both"/>
              <w:rPr>
                <w:rFonts w:ascii="Book Antiqua" w:hAnsi="Book Antiqua" w:cs="Times New Roman"/>
                <w:bCs/>
                <w:sz w:val="24"/>
                <w:szCs w:val="24"/>
              </w:rPr>
            </w:pPr>
            <w:r w:rsidRPr="000C178D">
              <w:rPr>
                <w:rFonts w:ascii="Book Antiqua" w:hAnsi="Book Antiqua" w:cs="Times New Roman"/>
                <w:bCs/>
                <w:sz w:val="24"/>
                <w:szCs w:val="24"/>
              </w:rPr>
              <w:t>Total protein</w:t>
            </w:r>
          </w:p>
        </w:tc>
        <w:tc>
          <w:tcPr>
            <w:tcW w:w="2607" w:type="dxa"/>
          </w:tcPr>
          <w:p w14:paraId="70197A62" w14:textId="77777777" w:rsidR="00A30DB7" w:rsidRPr="000C178D" w:rsidRDefault="00A30DB7" w:rsidP="000C178D">
            <w:pPr>
              <w:snapToGrid w:val="0"/>
              <w:spacing w:after="0" w:line="360" w:lineRule="auto"/>
              <w:jc w:val="both"/>
              <w:rPr>
                <w:rFonts w:ascii="Book Antiqua" w:hAnsi="Book Antiqua" w:cs="Times New Roman"/>
                <w:sz w:val="24"/>
                <w:szCs w:val="24"/>
              </w:rPr>
            </w:pPr>
            <w:r w:rsidRPr="000C178D">
              <w:rPr>
                <w:rFonts w:ascii="Book Antiqua" w:hAnsi="Book Antiqua" w:cs="Times New Roman"/>
                <w:sz w:val="24"/>
                <w:szCs w:val="24"/>
              </w:rPr>
              <w:t>55.6</w:t>
            </w:r>
          </w:p>
        </w:tc>
        <w:tc>
          <w:tcPr>
            <w:tcW w:w="2655" w:type="dxa"/>
          </w:tcPr>
          <w:p w14:paraId="1C78F60B" w14:textId="1061E61A" w:rsidR="00A30DB7" w:rsidRPr="000C178D" w:rsidRDefault="00A30DB7" w:rsidP="000C178D">
            <w:pPr>
              <w:snapToGrid w:val="0"/>
              <w:spacing w:after="0" w:line="360" w:lineRule="auto"/>
              <w:jc w:val="both"/>
              <w:rPr>
                <w:rFonts w:ascii="Book Antiqua" w:hAnsi="Book Antiqua" w:cs="Times New Roman"/>
                <w:bCs/>
                <w:sz w:val="24"/>
                <w:szCs w:val="24"/>
              </w:rPr>
            </w:pPr>
            <w:r w:rsidRPr="000C178D">
              <w:rPr>
                <w:rFonts w:ascii="Book Antiqua" w:hAnsi="Book Antiqua" w:cs="Times New Roman"/>
                <w:bCs/>
                <w:sz w:val="24"/>
                <w:szCs w:val="24"/>
              </w:rPr>
              <w:t>66</w:t>
            </w:r>
            <w:r w:rsidR="007063C9" w:rsidRPr="000C178D">
              <w:rPr>
                <w:rFonts w:ascii="Book Antiqua" w:hAnsi="Book Antiqua" w:cs="Times New Roman"/>
                <w:bCs/>
                <w:sz w:val="24"/>
                <w:szCs w:val="24"/>
              </w:rPr>
              <w:t>-</w:t>
            </w:r>
            <w:r w:rsidRPr="000C178D">
              <w:rPr>
                <w:rFonts w:ascii="Book Antiqua" w:hAnsi="Book Antiqua" w:cs="Times New Roman"/>
                <w:bCs/>
                <w:sz w:val="24"/>
                <w:szCs w:val="24"/>
              </w:rPr>
              <w:t>83 g/L</w:t>
            </w:r>
          </w:p>
        </w:tc>
      </w:tr>
      <w:tr w:rsidR="00A30DB7" w:rsidRPr="000C178D" w14:paraId="45448F24" w14:textId="77777777" w:rsidTr="00990A21">
        <w:trPr>
          <w:trHeight w:val="242"/>
        </w:trPr>
        <w:tc>
          <w:tcPr>
            <w:tcW w:w="3034" w:type="dxa"/>
          </w:tcPr>
          <w:p w14:paraId="44B4DC86" w14:textId="77777777" w:rsidR="00A30DB7" w:rsidRPr="000C178D" w:rsidRDefault="00A30DB7" w:rsidP="000C178D">
            <w:pPr>
              <w:snapToGrid w:val="0"/>
              <w:spacing w:after="0" w:line="360" w:lineRule="auto"/>
              <w:jc w:val="both"/>
              <w:rPr>
                <w:rFonts w:ascii="Book Antiqua" w:hAnsi="Book Antiqua" w:cs="Times New Roman"/>
                <w:bCs/>
                <w:sz w:val="24"/>
                <w:szCs w:val="24"/>
              </w:rPr>
            </w:pPr>
            <w:r w:rsidRPr="000C178D">
              <w:rPr>
                <w:rFonts w:ascii="Book Antiqua" w:hAnsi="Book Antiqua" w:cs="Times New Roman"/>
                <w:bCs/>
                <w:sz w:val="24"/>
                <w:szCs w:val="24"/>
              </w:rPr>
              <w:t>K</w:t>
            </w:r>
            <w:r w:rsidRPr="000001CA">
              <w:rPr>
                <w:rFonts w:ascii="Book Antiqua" w:hAnsi="Book Antiqua" w:cs="Times New Roman"/>
                <w:bCs/>
                <w:sz w:val="24"/>
                <w:szCs w:val="24"/>
                <w:vertAlign w:val="superscript"/>
              </w:rPr>
              <w:t>+</w:t>
            </w:r>
          </w:p>
        </w:tc>
        <w:tc>
          <w:tcPr>
            <w:tcW w:w="2607" w:type="dxa"/>
          </w:tcPr>
          <w:p w14:paraId="697CD892" w14:textId="77777777" w:rsidR="00A30DB7" w:rsidRPr="000C178D" w:rsidRDefault="00A30DB7" w:rsidP="000C178D">
            <w:pPr>
              <w:snapToGrid w:val="0"/>
              <w:spacing w:after="0" w:line="360" w:lineRule="auto"/>
              <w:jc w:val="both"/>
              <w:rPr>
                <w:rFonts w:ascii="Book Antiqua" w:hAnsi="Book Antiqua" w:cs="Times New Roman"/>
                <w:sz w:val="24"/>
                <w:szCs w:val="24"/>
              </w:rPr>
            </w:pPr>
            <w:r w:rsidRPr="000C178D">
              <w:rPr>
                <w:rFonts w:ascii="Book Antiqua" w:hAnsi="Book Antiqua" w:cs="Times New Roman"/>
                <w:sz w:val="24"/>
                <w:szCs w:val="24"/>
              </w:rPr>
              <w:t xml:space="preserve">4.3 </w:t>
            </w:r>
          </w:p>
        </w:tc>
        <w:tc>
          <w:tcPr>
            <w:tcW w:w="2655" w:type="dxa"/>
          </w:tcPr>
          <w:p w14:paraId="758D3559" w14:textId="23480ADC" w:rsidR="00A30DB7" w:rsidRPr="000C178D" w:rsidRDefault="00A30DB7" w:rsidP="000C178D">
            <w:pPr>
              <w:snapToGrid w:val="0"/>
              <w:spacing w:after="0" w:line="360" w:lineRule="auto"/>
              <w:jc w:val="both"/>
              <w:rPr>
                <w:rFonts w:ascii="Book Antiqua" w:hAnsi="Book Antiqua" w:cs="Times New Roman"/>
                <w:sz w:val="24"/>
                <w:szCs w:val="24"/>
              </w:rPr>
            </w:pPr>
            <w:r w:rsidRPr="000C178D">
              <w:rPr>
                <w:rFonts w:ascii="Book Antiqua" w:hAnsi="Book Antiqua" w:cs="Times New Roman"/>
                <w:sz w:val="24"/>
                <w:szCs w:val="24"/>
              </w:rPr>
              <w:t>3.8</w:t>
            </w:r>
            <w:r w:rsidR="007063C9" w:rsidRPr="000C178D">
              <w:rPr>
                <w:rFonts w:ascii="Book Antiqua" w:hAnsi="Book Antiqua" w:cs="Times New Roman"/>
                <w:sz w:val="24"/>
                <w:szCs w:val="24"/>
              </w:rPr>
              <w:t>-</w:t>
            </w:r>
            <w:r w:rsidRPr="000C178D">
              <w:rPr>
                <w:rFonts w:ascii="Book Antiqua" w:hAnsi="Book Antiqua" w:cs="Times New Roman"/>
                <w:sz w:val="24"/>
                <w:szCs w:val="24"/>
              </w:rPr>
              <w:t>5.3 mmol/L</w:t>
            </w:r>
          </w:p>
        </w:tc>
      </w:tr>
      <w:tr w:rsidR="00A30DB7" w:rsidRPr="000C178D" w14:paraId="70DFFB29" w14:textId="77777777" w:rsidTr="00990A21">
        <w:trPr>
          <w:trHeight w:val="242"/>
        </w:trPr>
        <w:tc>
          <w:tcPr>
            <w:tcW w:w="3034" w:type="dxa"/>
          </w:tcPr>
          <w:p w14:paraId="72344300" w14:textId="77777777" w:rsidR="00A30DB7" w:rsidRPr="000C178D" w:rsidRDefault="00A30DB7" w:rsidP="000C178D">
            <w:pPr>
              <w:snapToGrid w:val="0"/>
              <w:spacing w:after="0" w:line="360" w:lineRule="auto"/>
              <w:jc w:val="both"/>
              <w:rPr>
                <w:rFonts w:ascii="Book Antiqua" w:hAnsi="Book Antiqua" w:cs="Times New Roman"/>
                <w:bCs/>
                <w:sz w:val="24"/>
                <w:szCs w:val="24"/>
              </w:rPr>
            </w:pPr>
            <w:r w:rsidRPr="000C178D">
              <w:rPr>
                <w:rFonts w:ascii="Book Antiqua" w:hAnsi="Book Antiqua" w:cs="Times New Roman"/>
                <w:bCs/>
                <w:sz w:val="24"/>
                <w:szCs w:val="24"/>
              </w:rPr>
              <w:t>Na</w:t>
            </w:r>
            <w:r w:rsidRPr="000001CA">
              <w:rPr>
                <w:rFonts w:ascii="Book Antiqua" w:hAnsi="Book Antiqua" w:cs="Times New Roman"/>
                <w:bCs/>
                <w:sz w:val="24"/>
                <w:szCs w:val="24"/>
                <w:vertAlign w:val="superscript"/>
              </w:rPr>
              <w:t>+</w:t>
            </w:r>
          </w:p>
        </w:tc>
        <w:tc>
          <w:tcPr>
            <w:tcW w:w="2607" w:type="dxa"/>
          </w:tcPr>
          <w:p w14:paraId="59FB388E" w14:textId="77777777" w:rsidR="00A30DB7" w:rsidRPr="000C178D" w:rsidRDefault="00A30DB7" w:rsidP="000C178D">
            <w:pPr>
              <w:snapToGrid w:val="0"/>
              <w:spacing w:after="0" w:line="360" w:lineRule="auto"/>
              <w:jc w:val="both"/>
              <w:rPr>
                <w:rFonts w:ascii="Book Antiqua" w:hAnsi="Book Antiqua" w:cs="Times New Roman"/>
                <w:sz w:val="24"/>
                <w:szCs w:val="24"/>
              </w:rPr>
            </w:pPr>
            <w:r w:rsidRPr="000C178D">
              <w:rPr>
                <w:rFonts w:ascii="Book Antiqua" w:hAnsi="Book Antiqua" w:cs="Times New Roman"/>
                <w:sz w:val="24"/>
                <w:szCs w:val="24"/>
              </w:rPr>
              <w:t xml:space="preserve">140 </w:t>
            </w:r>
          </w:p>
        </w:tc>
        <w:tc>
          <w:tcPr>
            <w:tcW w:w="2655" w:type="dxa"/>
          </w:tcPr>
          <w:p w14:paraId="15B58C9C" w14:textId="1BF2C920" w:rsidR="00A30DB7" w:rsidRPr="000C178D" w:rsidRDefault="00A30DB7" w:rsidP="000C178D">
            <w:pPr>
              <w:snapToGrid w:val="0"/>
              <w:spacing w:after="0" w:line="360" w:lineRule="auto"/>
              <w:jc w:val="both"/>
              <w:rPr>
                <w:rFonts w:ascii="Book Antiqua" w:hAnsi="Book Antiqua" w:cs="Times New Roman"/>
                <w:bCs/>
                <w:sz w:val="24"/>
                <w:szCs w:val="24"/>
              </w:rPr>
            </w:pPr>
            <w:r w:rsidRPr="000C178D">
              <w:rPr>
                <w:rFonts w:ascii="Book Antiqua" w:hAnsi="Book Antiqua" w:cs="Times New Roman"/>
                <w:bCs/>
                <w:sz w:val="24"/>
                <w:szCs w:val="24"/>
              </w:rPr>
              <w:t>134</w:t>
            </w:r>
            <w:r w:rsidR="007063C9" w:rsidRPr="000C178D">
              <w:rPr>
                <w:rFonts w:ascii="Book Antiqua" w:hAnsi="Book Antiqua" w:cs="Times New Roman"/>
                <w:bCs/>
                <w:sz w:val="24"/>
                <w:szCs w:val="24"/>
              </w:rPr>
              <w:t>-</w:t>
            </w:r>
            <w:r w:rsidRPr="000C178D">
              <w:rPr>
                <w:rFonts w:ascii="Book Antiqua" w:hAnsi="Book Antiqua" w:cs="Times New Roman"/>
                <w:bCs/>
                <w:sz w:val="24"/>
                <w:szCs w:val="24"/>
              </w:rPr>
              <w:t>145 mmol/L</w:t>
            </w:r>
          </w:p>
        </w:tc>
      </w:tr>
      <w:tr w:rsidR="00A30DB7" w:rsidRPr="000C178D" w14:paraId="4528BCDB" w14:textId="77777777" w:rsidTr="00990A21">
        <w:trPr>
          <w:trHeight w:val="242"/>
        </w:trPr>
        <w:tc>
          <w:tcPr>
            <w:tcW w:w="3034" w:type="dxa"/>
          </w:tcPr>
          <w:p w14:paraId="5BB34077" w14:textId="77777777" w:rsidR="00A30DB7" w:rsidRPr="000C178D" w:rsidRDefault="00A30DB7" w:rsidP="000C178D">
            <w:pPr>
              <w:snapToGrid w:val="0"/>
              <w:spacing w:after="0" w:line="360" w:lineRule="auto"/>
              <w:jc w:val="both"/>
              <w:rPr>
                <w:rFonts w:ascii="Book Antiqua" w:hAnsi="Book Antiqua" w:cs="Times New Roman"/>
                <w:bCs/>
                <w:sz w:val="24"/>
                <w:szCs w:val="24"/>
              </w:rPr>
            </w:pPr>
            <w:r w:rsidRPr="000C178D">
              <w:rPr>
                <w:rFonts w:ascii="Book Antiqua" w:hAnsi="Book Antiqua" w:cs="Times New Roman"/>
                <w:bCs/>
                <w:sz w:val="24"/>
                <w:szCs w:val="24"/>
              </w:rPr>
              <w:t>Fe</w:t>
            </w:r>
          </w:p>
        </w:tc>
        <w:tc>
          <w:tcPr>
            <w:tcW w:w="2607" w:type="dxa"/>
          </w:tcPr>
          <w:p w14:paraId="06BCF6B7" w14:textId="77777777" w:rsidR="00A30DB7" w:rsidRPr="000C178D" w:rsidRDefault="00A30DB7" w:rsidP="000C178D">
            <w:pPr>
              <w:snapToGrid w:val="0"/>
              <w:spacing w:after="0" w:line="360" w:lineRule="auto"/>
              <w:jc w:val="both"/>
              <w:rPr>
                <w:rFonts w:ascii="Book Antiqua" w:hAnsi="Book Antiqua" w:cs="Times New Roman"/>
                <w:sz w:val="24"/>
                <w:szCs w:val="24"/>
              </w:rPr>
            </w:pPr>
            <w:r w:rsidRPr="000C178D">
              <w:rPr>
                <w:rFonts w:ascii="Book Antiqua" w:hAnsi="Book Antiqua" w:cs="Times New Roman"/>
                <w:sz w:val="24"/>
                <w:szCs w:val="24"/>
              </w:rPr>
              <w:t>17.4</w:t>
            </w:r>
          </w:p>
        </w:tc>
        <w:tc>
          <w:tcPr>
            <w:tcW w:w="2655" w:type="dxa"/>
          </w:tcPr>
          <w:p w14:paraId="1A518A06" w14:textId="31531F38" w:rsidR="00A30DB7" w:rsidRPr="000C178D" w:rsidRDefault="00A30DB7" w:rsidP="000C178D">
            <w:pPr>
              <w:snapToGrid w:val="0"/>
              <w:spacing w:after="0" w:line="360" w:lineRule="auto"/>
              <w:jc w:val="both"/>
              <w:rPr>
                <w:rFonts w:ascii="Book Antiqua" w:hAnsi="Book Antiqua" w:cs="Times New Roman"/>
                <w:sz w:val="24"/>
                <w:szCs w:val="24"/>
              </w:rPr>
            </w:pPr>
            <w:r w:rsidRPr="000C178D">
              <w:rPr>
                <w:rFonts w:ascii="Book Antiqua" w:hAnsi="Book Antiqua" w:cs="Times New Roman"/>
                <w:sz w:val="24"/>
                <w:szCs w:val="24"/>
              </w:rPr>
              <w:t>9.5</w:t>
            </w:r>
            <w:r w:rsidR="007063C9" w:rsidRPr="000C178D">
              <w:rPr>
                <w:rFonts w:ascii="Book Antiqua" w:hAnsi="Book Antiqua" w:cs="Times New Roman"/>
                <w:sz w:val="24"/>
                <w:szCs w:val="24"/>
              </w:rPr>
              <w:t>-</w:t>
            </w:r>
            <w:r w:rsidRPr="000C178D">
              <w:rPr>
                <w:rFonts w:ascii="Book Antiqua" w:hAnsi="Book Antiqua" w:cs="Times New Roman"/>
                <w:sz w:val="24"/>
                <w:szCs w:val="24"/>
              </w:rPr>
              <w:t>29.9 µmol/L</w:t>
            </w:r>
          </w:p>
        </w:tc>
      </w:tr>
      <w:tr w:rsidR="00A30DB7" w:rsidRPr="000C178D" w14:paraId="6D2390C1" w14:textId="77777777" w:rsidTr="00990A21">
        <w:trPr>
          <w:trHeight w:val="242"/>
        </w:trPr>
        <w:tc>
          <w:tcPr>
            <w:tcW w:w="3034" w:type="dxa"/>
          </w:tcPr>
          <w:p w14:paraId="46E1EBA2" w14:textId="77777777" w:rsidR="00A30DB7" w:rsidRPr="000C178D" w:rsidRDefault="00A30DB7" w:rsidP="000C178D">
            <w:pPr>
              <w:snapToGrid w:val="0"/>
              <w:spacing w:after="0" w:line="360" w:lineRule="auto"/>
              <w:jc w:val="both"/>
              <w:rPr>
                <w:rFonts w:ascii="Book Antiqua" w:hAnsi="Book Antiqua" w:cs="Times New Roman"/>
                <w:bCs/>
                <w:sz w:val="24"/>
                <w:szCs w:val="24"/>
              </w:rPr>
            </w:pPr>
            <w:r w:rsidRPr="000C178D">
              <w:rPr>
                <w:rFonts w:ascii="Book Antiqua" w:hAnsi="Book Antiqua" w:cs="Times New Roman"/>
                <w:bCs/>
                <w:sz w:val="24"/>
                <w:szCs w:val="24"/>
              </w:rPr>
              <w:t>Ferritin</w:t>
            </w:r>
          </w:p>
        </w:tc>
        <w:tc>
          <w:tcPr>
            <w:tcW w:w="2607" w:type="dxa"/>
          </w:tcPr>
          <w:p w14:paraId="64198A07" w14:textId="77777777" w:rsidR="00A30DB7" w:rsidRPr="000C178D" w:rsidRDefault="00A30DB7" w:rsidP="000C178D">
            <w:pPr>
              <w:snapToGrid w:val="0"/>
              <w:spacing w:after="0" w:line="360" w:lineRule="auto"/>
              <w:jc w:val="both"/>
              <w:rPr>
                <w:rFonts w:ascii="Book Antiqua" w:hAnsi="Book Antiqua" w:cs="Times New Roman"/>
                <w:sz w:val="24"/>
                <w:szCs w:val="24"/>
              </w:rPr>
            </w:pPr>
            <w:r w:rsidRPr="000C178D">
              <w:rPr>
                <w:rFonts w:ascii="Book Antiqua" w:hAnsi="Book Antiqua" w:cs="Times New Roman"/>
                <w:sz w:val="24"/>
                <w:szCs w:val="24"/>
              </w:rPr>
              <w:t>170.4</w:t>
            </w:r>
          </w:p>
        </w:tc>
        <w:tc>
          <w:tcPr>
            <w:tcW w:w="2655" w:type="dxa"/>
          </w:tcPr>
          <w:p w14:paraId="42D12920" w14:textId="52C0F2C3" w:rsidR="00A30DB7" w:rsidRPr="000C178D" w:rsidRDefault="00A30DB7" w:rsidP="000C178D">
            <w:pPr>
              <w:snapToGrid w:val="0"/>
              <w:spacing w:after="0" w:line="360" w:lineRule="auto"/>
              <w:jc w:val="both"/>
              <w:rPr>
                <w:rFonts w:ascii="Book Antiqua" w:hAnsi="Book Antiqua" w:cs="Times New Roman"/>
                <w:bCs/>
                <w:sz w:val="24"/>
                <w:szCs w:val="24"/>
              </w:rPr>
            </w:pPr>
            <w:r w:rsidRPr="000C178D">
              <w:rPr>
                <w:rFonts w:ascii="Book Antiqua" w:hAnsi="Book Antiqua" w:cs="Times New Roman"/>
                <w:bCs/>
                <w:sz w:val="24"/>
                <w:szCs w:val="24"/>
              </w:rPr>
              <w:t>20</w:t>
            </w:r>
            <w:r w:rsidR="007063C9" w:rsidRPr="000C178D">
              <w:rPr>
                <w:rFonts w:ascii="Book Antiqua" w:hAnsi="Book Antiqua" w:cs="Times New Roman"/>
                <w:bCs/>
                <w:sz w:val="24"/>
                <w:szCs w:val="24"/>
              </w:rPr>
              <w:t>-</w:t>
            </w:r>
            <w:r w:rsidRPr="000C178D">
              <w:rPr>
                <w:rFonts w:ascii="Book Antiqua" w:hAnsi="Book Antiqua" w:cs="Times New Roman"/>
                <w:bCs/>
                <w:sz w:val="24"/>
                <w:szCs w:val="24"/>
              </w:rPr>
              <w:t>300 mcg/L</w:t>
            </w:r>
          </w:p>
        </w:tc>
      </w:tr>
      <w:tr w:rsidR="00A30DB7" w:rsidRPr="000C178D" w14:paraId="42C1B9A1" w14:textId="77777777" w:rsidTr="00990A21">
        <w:trPr>
          <w:trHeight w:val="242"/>
        </w:trPr>
        <w:tc>
          <w:tcPr>
            <w:tcW w:w="3034" w:type="dxa"/>
          </w:tcPr>
          <w:p w14:paraId="08753E0B" w14:textId="77777777" w:rsidR="00A30DB7" w:rsidRPr="000C178D" w:rsidRDefault="00A30DB7" w:rsidP="000C178D">
            <w:pPr>
              <w:snapToGrid w:val="0"/>
              <w:spacing w:after="0" w:line="360" w:lineRule="auto"/>
              <w:jc w:val="both"/>
              <w:rPr>
                <w:rFonts w:ascii="Book Antiqua" w:hAnsi="Book Antiqua" w:cs="Times New Roman"/>
                <w:bCs/>
                <w:sz w:val="24"/>
                <w:szCs w:val="24"/>
              </w:rPr>
            </w:pPr>
            <w:r w:rsidRPr="000C178D">
              <w:rPr>
                <w:rFonts w:ascii="Book Antiqua" w:hAnsi="Book Antiqua" w:cs="Times New Roman"/>
                <w:bCs/>
                <w:sz w:val="24"/>
                <w:szCs w:val="24"/>
              </w:rPr>
              <w:t>Prostate-specific antigen</w:t>
            </w:r>
          </w:p>
        </w:tc>
        <w:tc>
          <w:tcPr>
            <w:tcW w:w="2607" w:type="dxa"/>
          </w:tcPr>
          <w:p w14:paraId="14D9DE47" w14:textId="77777777" w:rsidR="00A30DB7" w:rsidRPr="000C178D" w:rsidRDefault="00A30DB7" w:rsidP="000C178D">
            <w:pPr>
              <w:snapToGrid w:val="0"/>
              <w:spacing w:after="0" w:line="360" w:lineRule="auto"/>
              <w:jc w:val="both"/>
              <w:rPr>
                <w:rFonts w:ascii="Book Antiqua" w:hAnsi="Book Antiqua" w:cs="Times New Roman"/>
                <w:sz w:val="24"/>
                <w:szCs w:val="24"/>
              </w:rPr>
            </w:pPr>
            <w:r w:rsidRPr="000C178D">
              <w:rPr>
                <w:rFonts w:ascii="Book Antiqua" w:hAnsi="Book Antiqua" w:cs="Times New Roman"/>
                <w:sz w:val="24"/>
                <w:szCs w:val="24"/>
              </w:rPr>
              <w:t>0.303</w:t>
            </w:r>
          </w:p>
        </w:tc>
        <w:tc>
          <w:tcPr>
            <w:tcW w:w="2655" w:type="dxa"/>
          </w:tcPr>
          <w:p w14:paraId="0530F8B4" w14:textId="77777777" w:rsidR="00A30DB7" w:rsidRPr="000C178D" w:rsidRDefault="00A30DB7" w:rsidP="000C178D">
            <w:pPr>
              <w:snapToGrid w:val="0"/>
              <w:spacing w:after="0" w:line="360" w:lineRule="auto"/>
              <w:jc w:val="both"/>
              <w:rPr>
                <w:rFonts w:ascii="Book Antiqua" w:hAnsi="Book Antiqua" w:cs="Times New Roman"/>
                <w:sz w:val="24"/>
                <w:szCs w:val="24"/>
              </w:rPr>
            </w:pPr>
            <w:r w:rsidRPr="000C178D">
              <w:rPr>
                <w:rFonts w:ascii="Book Antiqua" w:hAnsi="Book Antiqua" w:cs="Times New Roman"/>
                <w:sz w:val="24"/>
                <w:szCs w:val="24"/>
              </w:rPr>
              <w:t>&lt; 4.0 ng/mL</w:t>
            </w:r>
          </w:p>
        </w:tc>
      </w:tr>
      <w:tr w:rsidR="00A30DB7" w:rsidRPr="000C178D" w14:paraId="0F3D2898" w14:textId="77777777" w:rsidTr="00990A21">
        <w:trPr>
          <w:trHeight w:val="242"/>
        </w:trPr>
        <w:tc>
          <w:tcPr>
            <w:tcW w:w="3034" w:type="dxa"/>
          </w:tcPr>
          <w:p w14:paraId="1CFB1DB9" w14:textId="77777777" w:rsidR="00A30DB7" w:rsidRPr="000C178D" w:rsidRDefault="00A30DB7" w:rsidP="000C178D">
            <w:pPr>
              <w:snapToGrid w:val="0"/>
              <w:spacing w:after="0" w:line="360" w:lineRule="auto"/>
              <w:jc w:val="both"/>
              <w:rPr>
                <w:rFonts w:ascii="Book Antiqua" w:hAnsi="Book Antiqua" w:cs="Times New Roman"/>
                <w:bCs/>
                <w:sz w:val="24"/>
                <w:szCs w:val="24"/>
              </w:rPr>
            </w:pPr>
            <w:r w:rsidRPr="000C178D">
              <w:rPr>
                <w:rFonts w:ascii="Book Antiqua" w:hAnsi="Book Antiqua" w:cs="Times New Roman"/>
                <w:bCs/>
                <w:sz w:val="24"/>
                <w:szCs w:val="24"/>
              </w:rPr>
              <w:t>Prothrombin time</w:t>
            </w:r>
          </w:p>
        </w:tc>
        <w:tc>
          <w:tcPr>
            <w:tcW w:w="2607" w:type="dxa"/>
          </w:tcPr>
          <w:p w14:paraId="68AFF994" w14:textId="77777777" w:rsidR="00A30DB7" w:rsidRPr="000C178D" w:rsidRDefault="00A30DB7" w:rsidP="000C178D">
            <w:pPr>
              <w:snapToGrid w:val="0"/>
              <w:spacing w:after="0" w:line="360" w:lineRule="auto"/>
              <w:jc w:val="both"/>
              <w:rPr>
                <w:rFonts w:ascii="Book Antiqua" w:hAnsi="Book Antiqua" w:cs="Times New Roman"/>
                <w:sz w:val="24"/>
                <w:szCs w:val="24"/>
              </w:rPr>
            </w:pPr>
            <w:r w:rsidRPr="000C178D">
              <w:rPr>
                <w:rFonts w:ascii="Book Antiqua" w:hAnsi="Book Antiqua" w:cs="Times New Roman"/>
                <w:sz w:val="24"/>
                <w:szCs w:val="24"/>
              </w:rPr>
              <w:t xml:space="preserve">62 </w:t>
            </w:r>
          </w:p>
        </w:tc>
        <w:tc>
          <w:tcPr>
            <w:tcW w:w="2655" w:type="dxa"/>
          </w:tcPr>
          <w:p w14:paraId="42068585" w14:textId="5FCC51D1" w:rsidR="00A30DB7" w:rsidRPr="000C178D" w:rsidRDefault="00A30DB7" w:rsidP="000C178D">
            <w:pPr>
              <w:snapToGrid w:val="0"/>
              <w:spacing w:after="0" w:line="360" w:lineRule="auto"/>
              <w:jc w:val="both"/>
              <w:rPr>
                <w:rFonts w:ascii="Book Antiqua" w:hAnsi="Book Antiqua" w:cs="Times New Roman"/>
                <w:bCs/>
                <w:sz w:val="24"/>
                <w:szCs w:val="24"/>
              </w:rPr>
            </w:pPr>
            <w:r w:rsidRPr="000C178D">
              <w:rPr>
                <w:rFonts w:ascii="Book Antiqua" w:hAnsi="Book Antiqua" w:cs="Times New Roman"/>
                <w:bCs/>
                <w:sz w:val="24"/>
                <w:szCs w:val="24"/>
              </w:rPr>
              <w:t>70</w:t>
            </w:r>
            <w:r w:rsidR="00A36A0A" w:rsidRPr="000C178D">
              <w:rPr>
                <w:rFonts w:ascii="Book Antiqua" w:hAnsi="Book Antiqua" w:cs="Times New Roman"/>
                <w:bCs/>
                <w:sz w:val="24"/>
                <w:szCs w:val="24"/>
              </w:rPr>
              <w:t>%</w:t>
            </w:r>
            <w:r w:rsidR="007063C9" w:rsidRPr="000C178D">
              <w:rPr>
                <w:rFonts w:ascii="Book Antiqua" w:hAnsi="Book Antiqua" w:cs="Times New Roman"/>
                <w:bCs/>
                <w:sz w:val="24"/>
                <w:szCs w:val="24"/>
              </w:rPr>
              <w:t>-</w:t>
            </w:r>
            <w:r w:rsidRPr="000C178D">
              <w:rPr>
                <w:rFonts w:ascii="Book Antiqua" w:hAnsi="Book Antiqua" w:cs="Times New Roman"/>
                <w:bCs/>
                <w:sz w:val="24"/>
                <w:szCs w:val="24"/>
              </w:rPr>
              <w:t>130%</w:t>
            </w:r>
          </w:p>
        </w:tc>
      </w:tr>
      <w:tr w:rsidR="00A30DB7" w:rsidRPr="000C178D" w14:paraId="74C23E5D" w14:textId="77777777" w:rsidTr="00990A21">
        <w:trPr>
          <w:trHeight w:val="242"/>
        </w:trPr>
        <w:tc>
          <w:tcPr>
            <w:tcW w:w="3034" w:type="dxa"/>
          </w:tcPr>
          <w:p w14:paraId="384B0A90" w14:textId="77777777" w:rsidR="00A30DB7" w:rsidRPr="000C178D" w:rsidRDefault="00A30DB7" w:rsidP="000C178D">
            <w:pPr>
              <w:snapToGrid w:val="0"/>
              <w:spacing w:after="0" w:line="360" w:lineRule="auto"/>
              <w:jc w:val="both"/>
              <w:rPr>
                <w:rFonts w:ascii="Book Antiqua" w:hAnsi="Book Antiqua" w:cs="Times New Roman"/>
                <w:bCs/>
                <w:sz w:val="24"/>
                <w:szCs w:val="24"/>
              </w:rPr>
            </w:pPr>
            <w:r w:rsidRPr="000C178D">
              <w:rPr>
                <w:rFonts w:ascii="Book Antiqua" w:hAnsi="Book Antiqua" w:cs="Times New Roman"/>
                <w:bCs/>
                <w:sz w:val="24"/>
                <w:szCs w:val="24"/>
              </w:rPr>
              <w:t xml:space="preserve">INR by </w:t>
            </w:r>
            <w:proofErr w:type="spellStart"/>
            <w:r w:rsidRPr="000C178D">
              <w:rPr>
                <w:rFonts w:ascii="Book Antiqua" w:hAnsi="Book Antiqua" w:cs="Times New Roman"/>
                <w:bCs/>
                <w:sz w:val="24"/>
                <w:szCs w:val="24"/>
              </w:rPr>
              <w:t>Owren</w:t>
            </w:r>
            <w:proofErr w:type="spellEnd"/>
          </w:p>
        </w:tc>
        <w:tc>
          <w:tcPr>
            <w:tcW w:w="2607" w:type="dxa"/>
          </w:tcPr>
          <w:p w14:paraId="31E10AC2" w14:textId="77777777" w:rsidR="00A30DB7" w:rsidRPr="000C178D" w:rsidRDefault="00A30DB7" w:rsidP="000C178D">
            <w:pPr>
              <w:snapToGrid w:val="0"/>
              <w:spacing w:after="0" w:line="360" w:lineRule="auto"/>
              <w:jc w:val="both"/>
              <w:rPr>
                <w:rFonts w:ascii="Book Antiqua" w:hAnsi="Book Antiqua" w:cs="Times New Roman"/>
                <w:sz w:val="24"/>
                <w:szCs w:val="24"/>
              </w:rPr>
            </w:pPr>
            <w:r w:rsidRPr="000C178D">
              <w:rPr>
                <w:rFonts w:ascii="Book Antiqua" w:hAnsi="Book Antiqua" w:cs="Times New Roman"/>
                <w:sz w:val="24"/>
                <w:szCs w:val="24"/>
              </w:rPr>
              <w:t>1.24</w:t>
            </w:r>
          </w:p>
        </w:tc>
        <w:tc>
          <w:tcPr>
            <w:tcW w:w="2655" w:type="dxa"/>
          </w:tcPr>
          <w:p w14:paraId="21668327" w14:textId="77832E76" w:rsidR="00A30DB7" w:rsidRPr="000C178D" w:rsidRDefault="00A30DB7" w:rsidP="000C178D">
            <w:pPr>
              <w:snapToGrid w:val="0"/>
              <w:spacing w:after="0" w:line="360" w:lineRule="auto"/>
              <w:jc w:val="both"/>
              <w:rPr>
                <w:rFonts w:ascii="Book Antiqua" w:hAnsi="Book Antiqua" w:cs="Times New Roman"/>
                <w:sz w:val="24"/>
                <w:szCs w:val="24"/>
              </w:rPr>
            </w:pPr>
            <w:r w:rsidRPr="000C178D">
              <w:rPr>
                <w:rFonts w:ascii="Book Antiqua" w:hAnsi="Book Antiqua" w:cs="Times New Roman"/>
                <w:sz w:val="24"/>
                <w:szCs w:val="24"/>
              </w:rPr>
              <w:t>0.90</w:t>
            </w:r>
            <w:r w:rsidR="007063C9" w:rsidRPr="000C178D">
              <w:rPr>
                <w:rFonts w:ascii="Book Antiqua" w:hAnsi="Book Antiqua" w:cs="Times New Roman"/>
                <w:sz w:val="24"/>
                <w:szCs w:val="24"/>
              </w:rPr>
              <w:t>-</w:t>
            </w:r>
            <w:r w:rsidRPr="000C178D">
              <w:rPr>
                <w:rFonts w:ascii="Book Antiqua" w:hAnsi="Book Antiqua" w:cs="Times New Roman"/>
                <w:sz w:val="24"/>
                <w:szCs w:val="24"/>
              </w:rPr>
              <w:t>1.19</w:t>
            </w:r>
          </w:p>
        </w:tc>
      </w:tr>
      <w:tr w:rsidR="00A30DB7" w:rsidRPr="000C178D" w14:paraId="425A40EF" w14:textId="77777777" w:rsidTr="00990A21">
        <w:trPr>
          <w:trHeight w:val="242"/>
        </w:trPr>
        <w:tc>
          <w:tcPr>
            <w:tcW w:w="3034" w:type="dxa"/>
          </w:tcPr>
          <w:p w14:paraId="5ADF75C3" w14:textId="77777777" w:rsidR="00A30DB7" w:rsidRPr="000C178D" w:rsidRDefault="00A30DB7" w:rsidP="000C178D">
            <w:pPr>
              <w:snapToGrid w:val="0"/>
              <w:spacing w:after="0" w:line="360" w:lineRule="auto"/>
              <w:jc w:val="both"/>
              <w:rPr>
                <w:rFonts w:ascii="Book Antiqua" w:hAnsi="Book Antiqua" w:cs="Times New Roman"/>
                <w:bCs/>
                <w:sz w:val="24"/>
                <w:szCs w:val="24"/>
              </w:rPr>
            </w:pPr>
            <w:r w:rsidRPr="000C178D">
              <w:rPr>
                <w:rFonts w:ascii="Book Antiqua" w:hAnsi="Book Antiqua" w:cs="Times New Roman"/>
                <w:bCs/>
                <w:sz w:val="24"/>
                <w:szCs w:val="24"/>
              </w:rPr>
              <w:t>Creatinine</w:t>
            </w:r>
          </w:p>
        </w:tc>
        <w:tc>
          <w:tcPr>
            <w:tcW w:w="2607" w:type="dxa"/>
          </w:tcPr>
          <w:p w14:paraId="49B59CF8" w14:textId="77777777" w:rsidR="00A30DB7" w:rsidRPr="000C178D" w:rsidRDefault="00A30DB7" w:rsidP="000C178D">
            <w:pPr>
              <w:snapToGrid w:val="0"/>
              <w:spacing w:after="0" w:line="360" w:lineRule="auto"/>
              <w:jc w:val="both"/>
              <w:rPr>
                <w:rFonts w:ascii="Book Antiqua" w:hAnsi="Book Antiqua" w:cs="Times New Roman"/>
                <w:sz w:val="24"/>
                <w:szCs w:val="24"/>
              </w:rPr>
            </w:pPr>
            <w:r w:rsidRPr="000C178D">
              <w:rPr>
                <w:rFonts w:ascii="Book Antiqua" w:hAnsi="Book Antiqua" w:cs="Times New Roman"/>
                <w:sz w:val="24"/>
                <w:szCs w:val="24"/>
              </w:rPr>
              <w:t>51</w:t>
            </w:r>
          </w:p>
        </w:tc>
        <w:tc>
          <w:tcPr>
            <w:tcW w:w="2655" w:type="dxa"/>
          </w:tcPr>
          <w:p w14:paraId="5753BBD8" w14:textId="031BC130" w:rsidR="00A30DB7" w:rsidRPr="000C178D" w:rsidRDefault="00A30DB7" w:rsidP="000C178D">
            <w:pPr>
              <w:snapToGrid w:val="0"/>
              <w:spacing w:after="0" w:line="360" w:lineRule="auto"/>
              <w:jc w:val="both"/>
              <w:rPr>
                <w:rFonts w:ascii="Book Antiqua" w:hAnsi="Book Antiqua" w:cs="Times New Roman"/>
                <w:bCs/>
                <w:sz w:val="24"/>
                <w:szCs w:val="24"/>
              </w:rPr>
            </w:pPr>
            <w:r w:rsidRPr="000C178D">
              <w:rPr>
                <w:rFonts w:ascii="Book Antiqua" w:hAnsi="Book Antiqua" w:cs="Times New Roman"/>
                <w:bCs/>
                <w:sz w:val="24"/>
                <w:szCs w:val="24"/>
              </w:rPr>
              <w:t>62</w:t>
            </w:r>
            <w:r w:rsidR="007063C9" w:rsidRPr="000C178D">
              <w:rPr>
                <w:rFonts w:ascii="Book Antiqua" w:hAnsi="Book Antiqua" w:cs="Times New Roman"/>
                <w:bCs/>
                <w:sz w:val="24"/>
                <w:szCs w:val="24"/>
              </w:rPr>
              <w:t>-</w:t>
            </w:r>
            <w:r w:rsidRPr="000C178D">
              <w:rPr>
                <w:rFonts w:ascii="Book Antiqua" w:hAnsi="Book Antiqua" w:cs="Times New Roman"/>
                <w:bCs/>
                <w:sz w:val="24"/>
                <w:szCs w:val="24"/>
              </w:rPr>
              <w:t>11 µmol/L</w:t>
            </w:r>
          </w:p>
        </w:tc>
      </w:tr>
      <w:tr w:rsidR="00A30DB7" w:rsidRPr="000C178D" w14:paraId="65FEE763" w14:textId="77777777" w:rsidTr="00990A21">
        <w:trPr>
          <w:trHeight w:val="242"/>
        </w:trPr>
        <w:tc>
          <w:tcPr>
            <w:tcW w:w="3034" w:type="dxa"/>
          </w:tcPr>
          <w:p w14:paraId="1B79E725" w14:textId="77777777" w:rsidR="00A30DB7" w:rsidRPr="000C178D" w:rsidRDefault="00A30DB7" w:rsidP="000C178D">
            <w:pPr>
              <w:snapToGrid w:val="0"/>
              <w:spacing w:after="0" w:line="360" w:lineRule="auto"/>
              <w:jc w:val="both"/>
              <w:rPr>
                <w:rFonts w:ascii="Book Antiqua" w:hAnsi="Book Antiqua" w:cs="Times New Roman"/>
                <w:bCs/>
                <w:sz w:val="24"/>
                <w:szCs w:val="24"/>
              </w:rPr>
            </w:pPr>
            <w:r w:rsidRPr="000C178D">
              <w:rPr>
                <w:rFonts w:ascii="Book Antiqua" w:hAnsi="Book Antiqua" w:cs="Times New Roman"/>
                <w:bCs/>
                <w:sz w:val="24"/>
                <w:szCs w:val="24"/>
              </w:rPr>
              <w:t>Urea</w:t>
            </w:r>
          </w:p>
        </w:tc>
        <w:tc>
          <w:tcPr>
            <w:tcW w:w="2607" w:type="dxa"/>
          </w:tcPr>
          <w:p w14:paraId="2EA53382" w14:textId="77777777" w:rsidR="00A30DB7" w:rsidRPr="000C178D" w:rsidRDefault="00A30DB7" w:rsidP="000C178D">
            <w:pPr>
              <w:snapToGrid w:val="0"/>
              <w:spacing w:after="0" w:line="360" w:lineRule="auto"/>
              <w:jc w:val="both"/>
              <w:rPr>
                <w:rFonts w:ascii="Book Antiqua" w:hAnsi="Book Antiqua" w:cs="Times New Roman"/>
                <w:sz w:val="24"/>
                <w:szCs w:val="24"/>
              </w:rPr>
            </w:pPr>
            <w:r w:rsidRPr="000C178D">
              <w:rPr>
                <w:rFonts w:ascii="Book Antiqua" w:hAnsi="Book Antiqua" w:cs="Times New Roman"/>
                <w:sz w:val="24"/>
                <w:szCs w:val="24"/>
              </w:rPr>
              <w:t>4.2</w:t>
            </w:r>
          </w:p>
        </w:tc>
        <w:tc>
          <w:tcPr>
            <w:tcW w:w="2655" w:type="dxa"/>
          </w:tcPr>
          <w:p w14:paraId="12B5DD7E" w14:textId="52D9BC0F" w:rsidR="00A30DB7" w:rsidRPr="000C178D" w:rsidRDefault="00A30DB7" w:rsidP="000C178D">
            <w:pPr>
              <w:snapToGrid w:val="0"/>
              <w:spacing w:after="0" w:line="360" w:lineRule="auto"/>
              <w:jc w:val="both"/>
              <w:rPr>
                <w:rFonts w:ascii="Book Antiqua" w:hAnsi="Book Antiqua" w:cs="Times New Roman"/>
                <w:sz w:val="24"/>
                <w:szCs w:val="24"/>
              </w:rPr>
            </w:pPr>
            <w:r w:rsidRPr="000C178D">
              <w:rPr>
                <w:rFonts w:ascii="Book Antiqua" w:hAnsi="Book Antiqua" w:cs="Times New Roman"/>
                <w:sz w:val="24"/>
                <w:szCs w:val="24"/>
              </w:rPr>
              <w:t>2.5</w:t>
            </w:r>
            <w:r w:rsidR="007063C9" w:rsidRPr="000C178D">
              <w:rPr>
                <w:rFonts w:ascii="Book Antiqua" w:hAnsi="Book Antiqua" w:cs="Times New Roman"/>
                <w:sz w:val="24"/>
                <w:szCs w:val="24"/>
              </w:rPr>
              <w:t>-</w:t>
            </w:r>
            <w:r w:rsidRPr="000C178D">
              <w:rPr>
                <w:rFonts w:ascii="Book Antiqua" w:hAnsi="Book Antiqua" w:cs="Times New Roman"/>
                <w:sz w:val="24"/>
                <w:szCs w:val="24"/>
              </w:rPr>
              <w:t>7.5 mmol/L</w:t>
            </w:r>
          </w:p>
        </w:tc>
      </w:tr>
    </w:tbl>
    <w:p w14:paraId="54E6EFBA" w14:textId="3BE59FF4" w:rsidR="00990A21" w:rsidRPr="000C178D" w:rsidRDefault="00990A21" w:rsidP="000C178D">
      <w:pPr>
        <w:snapToGrid w:val="0"/>
        <w:spacing w:after="0" w:line="360" w:lineRule="auto"/>
        <w:rPr>
          <w:rFonts w:ascii="Book Antiqua" w:hAnsi="Book Antiqua"/>
          <w:sz w:val="24"/>
          <w:szCs w:val="24"/>
        </w:rPr>
      </w:pPr>
    </w:p>
    <w:sectPr w:rsidR="00990A21" w:rsidRPr="000C178D" w:rsidSect="001B35E8">
      <w:footerReference w:type="default" r:id="rId15"/>
      <w:pgSz w:w="11906" w:h="16838"/>
      <w:pgMar w:top="1440" w:right="1800" w:bottom="1440" w:left="1800" w:header="567" w:footer="567" w:gutter="0"/>
      <w:cols w:space="129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4B2307C" w14:textId="77777777" w:rsidR="00D7783A" w:rsidRDefault="00D7783A" w:rsidP="00036FD5">
      <w:pPr>
        <w:spacing w:after="0" w:line="240" w:lineRule="auto"/>
      </w:pPr>
      <w:r>
        <w:separator/>
      </w:r>
    </w:p>
  </w:endnote>
  <w:endnote w:type="continuationSeparator" w:id="0">
    <w:p w14:paraId="7F3F655F" w14:textId="77777777" w:rsidR="00D7783A" w:rsidRDefault="00D7783A" w:rsidP="00036F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altName w:val="Book Antiqua"/>
    <w:panose1 w:val="020406020503050303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n-ea">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AdvOTbc475f09">
    <w:altName w:val="Times New Roman"/>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65120722"/>
      <w:docPartObj>
        <w:docPartGallery w:val="Page Numbers (Bottom of Page)"/>
        <w:docPartUnique/>
      </w:docPartObj>
    </w:sdtPr>
    <w:sdtEndPr/>
    <w:sdtContent>
      <w:sdt>
        <w:sdtPr>
          <w:id w:val="-1705238520"/>
          <w:docPartObj>
            <w:docPartGallery w:val="Page Numbers (Top of Page)"/>
            <w:docPartUnique/>
          </w:docPartObj>
        </w:sdtPr>
        <w:sdtEndPr/>
        <w:sdtContent>
          <w:p w14:paraId="5274BB90" w14:textId="05EA485C" w:rsidR="00907594" w:rsidRDefault="00907594" w:rsidP="00907594">
            <w:pPr>
              <w:pStyle w:val="af2"/>
              <w:jc w:val="right"/>
            </w:pPr>
            <w:r w:rsidRPr="00907594">
              <w:rPr>
                <w:rFonts w:ascii="Book Antiqua" w:hAnsi="Book Antiqua"/>
                <w:sz w:val="24"/>
                <w:szCs w:val="24"/>
                <w:lang w:val="zh-CN" w:eastAsia="zh-CN"/>
              </w:rPr>
              <w:t xml:space="preserve"> </w:t>
            </w:r>
            <w:r w:rsidRPr="00907594">
              <w:rPr>
                <w:rFonts w:ascii="Book Antiqua" w:hAnsi="Book Antiqua"/>
                <w:b/>
                <w:bCs/>
                <w:sz w:val="24"/>
                <w:szCs w:val="24"/>
              </w:rPr>
              <w:fldChar w:fldCharType="begin"/>
            </w:r>
            <w:r w:rsidRPr="00907594">
              <w:rPr>
                <w:rFonts w:ascii="Book Antiqua" w:hAnsi="Book Antiqua"/>
                <w:b/>
                <w:bCs/>
                <w:sz w:val="24"/>
                <w:szCs w:val="24"/>
              </w:rPr>
              <w:instrText>PAGE</w:instrText>
            </w:r>
            <w:r w:rsidRPr="00907594">
              <w:rPr>
                <w:rFonts w:ascii="Book Antiqua" w:hAnsi="Book Antiqua"/>
                <w:b/>
                <w:bCs/>
                <w:sz w:val="24"/>
                <w:szCs w:val="24"/>
              </w:rPr>
              <w:fldChar w:fldCharType="separate"/>
            </w:r>
            <w:r w:rsidR="008541AA">
              <w:rPr>
                <w:rFonts w:ascii="Book Antiqua" w:hAnsi="Book Antiqua"/>
                <w:b/>
                <w:bCs/>
                <w:noProof/>
                <w:sz w:val="24"/>
                <w:szCs w:val="24"/>
              </w:rPr>
              <w:t>21</w:t>
            </w:r>
            <w:r w:rsidRPr="00907594">
              <w:rPr>
                <w:rFonts w:ascii="Book Antiqua" w:hAnsi="Book Antiqua"/>
                <w:b/>
                <w:bCs/>
                <w:sz w:val="24"/>
                <w:szCs w:val="24"/>
              </w:rPr>
              <w:fldChar w:fldCharType="end"/>
            </w:r>
            <w:r w:rsidRPr="00907594">
              <w:rPr>
                <w:rFonts w:ascii="Book Antiqua" w:hAnsi="Book Antiqua"/>
                <w:sz w:val="24"/>
                <w:szCs w:val="24"/>
                <w:lang w:val="zh-CN" w:eastAsia="zh-CN"/>
              </w:rPr>
              <w:t xml:space="preserve"> / </w:t>
            </w:r>
            <w:r w:rsidRPr="00907594">
              <w:rPr>
                <w:rFonts w:ascii="Book Antiqua" w:hAnsi="Book Antiqua"/>
                <w:b/>
                <w:bCs/>
                <w:sz w:val="24"/>
                <w:szCs w:val="24"/>
              </w:rPr>
              <w:fldChar w:fldCharType="begin"/>
            </w:r>
            <w:r w:rsidRPr="00907594">
              <w:rPr>
                <w:rFonts w:ascii="Book Antiqua" w:hAnsi="Book Antiqua"/>
                <w:b/>
                <w:bCs/>
                <w:sz w:val="24"/>
                <w:szCs w:val="24"/>
              </w:rPr>
              <w:instrText>NUMPAGES</w:instrText>
            </w:r>
            <w:r w:rsidRPr="00907594">
              <w:rPr>
                <w:rFonts w:ascii="Book Antiqua" w:hAnsi="Book Antiqua"/>
                <w:b/>
                <w:bCs/>
                <w:sz w:val="24"/>
                <w:szCs w:val="24"/>
              </w:rPr>
              <w:fldChar w:fldCharType="separate"/>
            </w:r>
            <w:r w:rsidR="008541AA">
              <w:rPr>
                <w:rFonts w:ascii="Book Antiqua" w:hAnsi="Book Antiqua"/>
                <w:b/>
                <w:bCs/>
                <w:noProof/>
                <w:sz w:val="24"/>
                <w:szCs w:val="24"/>
              </w:rPr>
              <w:t>33</w:t>
            </w:r>
            <w:r w:rsidRPr="00907594">
              <w:rPr>
                <w:rFonts w:ascii="Book Antiqua" w:hAnsi="Book Antiqua"/>
                <w:b/>
                <w:bCs/>
                <w:sz w:val="24"/>
                <w:szCs w:val="24"/>
              </w:rPr>
              <w:fldChar w:fldCharType="end"/>
            </w:r>
          </w:p>
        </w:sdtContent>
      </w:sdt>
    </w:sdtContent>
  </w:sdt>
  <w:p w14:paraId="331D080E" w14:textId="77777777" w:rsidR="00A060AF" w:rsidRDefault="00A060AF">
    <w:pPr>
      <w:pStyle w:val="af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9FAA738" w14:textId="77777777" w:rsidR="00D7783A" w:rsidRDefault="00D7783A" w:rsidP="00036FD5">
      <w:pPr>
        <w:spacing w:after="0" w:line="240" w:lineRule="auto"/>
      </w:pPr>
      <w:r>
        <w:separator/>
      </w:r>
    </w:p>
  </w:footnote>
  <w:footnote w:type="continuationSeparator" w:id="0">
    <w:p w14:paraId="34260C9C" w14:textId="77777777" w:rsidR="00D7783A" w:rsidRDefault="00D7783A" w:rsidP="00036FD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F025907"/>
    <w:multiLevelType w:val="hybridMultilevel"/>
    <w:tmpl w:val="471C90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14A3EF0"/>
    <w:multiLevelType w:val="hybridMultilevel"/>
    <w:tmpl w:val="6FEAC2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37D05D9"/>
    <w:multiLevelType w:val="hybridMultilevel"/>
    <w:tmpl w:val="56A0BF84"/>
    <w:lvl w:ilvl="0" w:tplc="F612C450">
      <w:start w:val="4"/>
      <w:numFmt w:val="bullet"/>
      <w:lvlText w:val="-"/>
      <w:lvlJc w:val="left"/>
      <w:pPr>
        <w:ind w:left="502" w:hanging="360"/>
      </w:pPr>
      <w:rPr>
        <w:rFonts w:ascii="Times New Roman" w:eastAsia="Times New Roman" w:hAnsi="Times New Roman" w:cs="Times New Roman"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3" w15:restartNumberingAfterBreak="0">
    <w:nsid w:val="3A370764"/>
    <w:multiLevelType w:val="hybridMultilevel"/>
    <w:tmpl w:val="E1DA2482"/>
    <w:lvl w:ilvl="0" w:tplc="7048EC7C">
      <w:start w:val="2000"/>
      <w:numFmt w:val="bullet"/>
      <w:lvlText w:val="-"/>
      <w:lvlJc w:val="left"/>
      <w:pPr>
        <w:ind w:left="502" w:hanging="360"/>
      </w:pPr>
      <w:rPr>
        <w:rFonts w:ascii="Times New Roman" w:eastAsia="Times New Roman" w:hAnsi="Times New Roman" w:cs="Times New Roman"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4" w15:restartNumberingAfterBreak="0">
    <w:nsid w:val="4230685B"/>
    <w:multiLevelType w:val="hybridMultilevel"/>
    <w:tmpl w:val="5F4C4E00"/>
    <w:lvl w:ilvl="0" w:tplc="A58A20E2">
      <w:start w:val="1"/>
      <w:numFmt w:val="bullet"/>
      <w:lvlText w:val=""/>
      <w:lvlJc w:val="left"/>
      <w:pPr>
        <w:ind w:left="644" w:hanging="360"/>
      </w:pPr>
      <w:rPr>
        <w:rFonts w:ascii="Symbol" w:hAnsi="Symbol" w:hint="default"/>
        <w:sz w:val="20"/>
        <w:szCs w:val="20"/>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5" w15:restartNumberingAfterBreak="0">
    <w:nsid w:val="57FF0C04"/>
    <w:multiLevelType w:val="hybridMultilevel"/>
    <w:tmpl w:val="31FAB3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8FA3361"/>
    <w:multiLevelType w:val="hybridMultilevel"/>
    <w:tmpl w:val="B4721E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518241C"/>
    <w:multiLevelType w:val="multilevel"/>
    <w:tmpl w:val="F03496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E1662B6"/>
    <w:multiLevelType w:val="hybridMultilevel"/>
    <w:tmpl w:val="D55808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6"/>
  </w:num>
  <w:num w:numId="3">
    <w:abstractNumId w:val="0"/>
  </w:num>
  <w:num w:numId="4">
    <w:abstractNumId w:val="8"/>
  </w:num>
  <w:num w:numId="5">
    <w:abstractNumId w:val="5"/>
  </w:num>
  <w:num w:numId="6">
    <w:abstractNumId w:val="4"/>
  </w:num>
  <w:num w:numId="7">
    <w:abstractNumId w:val="3"/>
  </w:num>
  <w:num w:numId="8">
    <w:abstractNumId w:val="7"/>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hideSpellingErrors/>
  <w:hideGrammaticalErrors/>
  <w:proofState w:spelling="clean" w:grammar="clean"/>
  <w:defaultTabStop w:val="1296"/>
  <w:hyphenationZone w:val="396"/>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jCyNDU2NDAxMrY0szRV0lEKTi0uzszPAykwtKgFAKsdelAtAAAA"/>
  </w:docVars>
  <w:rsids>
    <w:rsidRoot w:val="00385DBD"/>
    <w:rsid w:val="000001CA"/>
    <w:rsid w:val="00004357"/>
    <w:rsid w:val="00012382"/>
    <w:rsid w:val="000166F5"/>
    <w:rsid w:val="00017DAF"/>
    <w:rsid w:val="00020DDB"/>
    <w:rsid w:val="000307AB"/>
    <w:rsid w:val="00030F92"/>
    <w:rsid w:val="00036FD5"/>
    <w:rsid w:val="000461EF"/>
    <w:rsid w:val="00061CB6"/>
    <w:rsid w:val="00070EA0"/>
    <w:rsid w:val="00081638"/>
    <w:rsid w:val="000832FE"/>
    <w:rsid w:val="00092178"/>
    <w:rsid w:val="000C178D"/>
    <w:rsid w:val="000C1D7C"/>
    <w:rsid w:val="000C2BE6"/>
    <w:rsid w:val="000D092C"/>
    <w:rsid w:val="000E61EB"/>
    <w:rsid w:val="000E7673"/>
    <w:rsid w:val="000F141F"/>
    <w:rsid w:val="000F3010"/>
    <w:rsid w:val="001428E0"/>
    <w:rsid w:val="00181555"/>
    <w:rsid w:val="001867B4"/>
    <w:rsid w:val="001A3B87"/>
    <w:rsid w:val="001A41CF"/>
    <w:rsid w:val="001A4A76"/>
    <w:rsid w:val="001A608A"/>
    <w:rsid w:val="001A6AD0"/>
    <w:rsid w:val="001B088B"/>
    <w:rsid w:val="001B35E8"/>
    <w:rsid w:val="001C4A46"/>
    <w:rsid w:val="001C6F5B"/>
    <w:rsid w:val="001D74A5"/>
    <w:rsid w:val="001E3235"/>
    <w:rsid w:val="001E4A17"/>
    <w:rsid w:val="001E62C6"/>
    <w:rsid w:val="001E7BF6"/>
    <w:rsid w:val="001F6CDE"/>
    <w:rsid w:val="001F6DF4"/>
    <w:rsid w:val="00206ECD"/>
    <w:rsid w:val="00207FCF"/>
    <w:rsid w:val="00210965"/>
    <w:rsid w:val="002125CC"/>
    <w:rsid w:val="002216C4"/>
    <w:rsid w:val="00221C0E"/>
    <w:rsid w:val="00226315"/>
    <w:rsid w:val="0022694E"/>
    <w:rsid w:val="002333AB"/>
    <w:rsid w:val="00240FC1"/>
    <w:rsid w:val="00241DAA"/>
    <w:rsid w:val="00261691"/>
    <w:rsid w:val="00267282"/>
    <w:rsid w:val="002828CD"/>
    <w:rsid w:val="0028757C"/>
    <w:rsid w:val="002919E8"/>
    <w:rsid w:val="0029403B"/>
    <w:rsid w:val="00297807"/>
    <w:rsid w:val="002A4DA9"/>
    <w:rsid w:val="002B1AC4"/>
    <w:rsid w:val="002B2BF9"/>
    <w:rsid w:val="002B2E6C"/>
    <w:rsid w:val="002B4200"/>
    <w:rsid w:val="002C7576"/>
    <w:rsid w:val="002D25D8"/>
    <w:rsid w:val="002D2E82"/>
    <w:rsid w:val="002E350D"/>
    <w:rsid w:val="002E522D"/>
    <w:rsid w:val="002F41DA"/>
    <w:rsid w:val="003065A3"/>
    <w:rsid w:val="00317266"/>
    <w:rsid w:val="00322E65"/>
    <w:rsid w:val="00335F4F"/>
    <w:rsid w:val="00343D48"/>
    <w:rsid w:val="003559A2"/>
    <w:rsid w:val="00367936"/>
    <w:rsid w:val="00385DBD"/>
    <w:rsid w:val="003963E8"/>
    <w:rsid w:val="003A6338"/>
    <w:rsid w:val="003C6D1B"/>
    <w:rsid w:val="003D1BB5"/>
    <w:rsid w:val="003D70DD"/>
    <w:rsid w:val="003E3769"/>
    <w:rsid w:val="0041234A"/>
    <w:rsid w:val="00412D1B"/>
    <w:rsid w:val="004312E3"/>
    <w:rsid w:val="004331B5"/>
    <w:rsid w:val="00454B7B"/>
    <w:rsid w:val="00460862"/>
    <w:rsid w:val="00467ADD"/>
    <w:rsid w:val="00480ECC"/>
    <w:rsid w:val="004B4025"/>
    <w:rsid w:val="004C5738"/>
    <w:rsid w:val="004C59CE"/>
    <w:rsid w:val="004D27D8"/>
    <w:rsid w:val="005035C8"/>
    <w:rsid w:val="00516396"/>
    <w:rsid w:val="005165FF"/>
    <w:rsid w:val="0052387E"/>
    <w:rsid w:val="0053554B"/>
    <w:rsid w:val="005420B6"/>
    <w:rsid w:val="00586B36"/>
    <w:rsid w:val="005B4A8D"/>
    <w:rsid w:val="005B4BBA"/>
    <w:rsid w:val="005C145E"/>
    <w:rsid w:val="005E3998"/>
    <w:rsid w:val="005E640E"/>
    <w:rsid w:val="006104D8"/>
    <w:rsid w:val="00610E5B"/>
    <w:rsid w:val="00623BAF"/>
    <w:rsid w:val="006241BE"/>
    <w:rsid w:val="00627231"/>
    <w:rsid w:val="00635A1A"/>
    <w:rsid w:val="00656888"/>
    <w:rsid w:val="00662018"/>
    <w:rsid w:val="00691138"/>
    <w:rsid w:val="006B75CF"/>
    <w:rsid w:val="006B7C22"/>
    <w:rsid w:val="006C5DF7"/>
    <w:rsid w:val="006D6653"/>
    <w:rsid w:val="006E0ED5"/>
    <w:rsid w:val="006F1122"/>
    <w:rsid w:val="006F35C2"/>
    <w:rsid w:val="006F5C6E"/>
    <w:rsid w:val="00703703"/>
    <w:rsid w:val="00704576"/>
    <w:rsid w:val="007063C9"/>
    <w:rsid w:val="00713741"/>
    <w:rsid w:val="00735906"/>
    <w:rsid w:val="00746568"/>
    <w:rsid w:val="00771B27"/>
    <w:rsid w:val="00780C5B"/>
    <w:rsid w:val="007A6922"/>
    <w:rsid w:val="007C6A06"/>
    <w:rsid w:val="007E0E2D"/>
    <w:rsid w:val="00801C9E"/>
    <w:rsid w:val="00806FAE"/>
    <w:rsid w:val="008151AA"/>
    <w:rsid w:val="008203FA"/>
    <w:rsid w:val="0082220D"/>
    <w:rsid w:val="008541AA"/>
    <w:rsid w:val="00856671"/>
    <w:rsid w:val="00863740"/>
    <w:rsid w:val="0086467A"/>
    <w:rsid w:val="008679E3"/>
    <w:rsid w:val="00873DE7"/>
    <w:rsid w:val="00882538"/>
    <w:rsid w:val="008973CC"/>
    <w:rsid w:val="008A2913"/>
    <w:rsid w:val="008A56B6"/>
    <w:rsid w:val="008A608F"/>
    <w:rsid w:val="008C05E7"/>
    <w:rsid w:val="008F17F0"/>
    <w:rsid w:val="00907594"/>
    <w:rsid w:val="00912917"/>
    <w:rsid w:val="009308DA"/>
    <w:rsid w:val="00967AFF"/>
    <w:rsid w:val="00990A21"/>
    <w:rsid w:val="009C5B03"/>
    <w:rsid w:val="009D78FB"/>
    <w:rsid w:val="009E2ED6"/>
    <w:rsid w:val="009E7CAF"/>
    <w:rsid w:val="00A022ED"/>
    <w:rsid w:val="00A060AF"/>
    <w:rsid w:val="00A11DC6"/>
    <w:rsid w:val="00A22A04"/>
    <w:rsid w:val="00A2757F"/>
    <w:rsid w:val="00A30DB7"/>
    <w:rsid w:val="00A36A0A"/>
    <w:rsid w:val="00A41B26"/>
    <w:rsid w:val="00A46B2A"/>
    <w:rsid w:val="00A50E6B"/>
    <w:rsid w:val="00A563D0"/>
    <w:rsid w:val="00A719BC"/>
    <w:rsid w:val="00AA134A"/>
    <w:rsid w:val="00AA46C1"/>
    <w:rsid w:val="00AA7C98"/>
    <w:rsid w:val="00AB6972"/>
    <w:rsid w:val="00AC4686"/>
    <w:rsid w:val="00AC5A84"/>
    <w:rsid w:val="00AC6D92"/>
    <w:rsid w:val="00AD10A4"/>
    <w:rsid w:val="00AD4D95"/>
    <w:rsid w:val="00AF06CE"/>
    <w:rsid w:val="00B01398"/>
    <w:rsid w:val="00B024EC"/>
    <w:rsid w:val="00B064BD"/>
    <w:rsid w:val="00B1609D"/>
    <w:rsid w:val="00B219C5"/>
    <w:rsid w:val="00B34D3D"/>
    <w:rsid w:val="00B3527D"/>
    <w:rsid w:val="00B47351"/>
    <w:rsid w:val="00B55904"/>
    <w:rsid w:val="00B55F03"/>
    <w:rsid w:val="00B64CD5"/>
    <w:rsid w:val="00B70F94"/>
    <w:rsid w:val="00B71708"/>
    <w:rsid w:val="00B82086"/>
    <w:rsid w:val="00B85421"/>
    <w:rsid w:val="00B86E85"/>
    <w:rsid w:val="00BA6C94"/>
    <w:rsid w:val="00BB0408"/>
    <w:rsid w:val="00BB1F3E"/>
    <w:rsid w:val="00BB36E2"/>
    <w:rsid w:val="00BB67EB"/>
    <w:rsid w:val="00BC36BB"/>
    <w:rsid w:val="00BE476F"/>
    <w:rsid w:val="00BE7DE1"/>
    <w:rsid w:val="00BF3F13"/>
    <w:rsid w:val="00C052A1"/>
    <w:rsid w:val="00C4594A"/>
    <w:rsid w:val="00C46963"/>
    <w:rsid w:val="00C477F8"/>
    <w:rsid w:val="00C47A87"/>
    <w:rsid w:val="00C65A79"/>
    <w:rsid w:val="00C71F97"/>
    <w:rsid w:val="00C737A5"/>
    <w:rsid w:val="00C74A8F"/>
    <w:rsid w:val="00C74CC8"/>
    <w:rsid w:val="00C76870"/>
    <w:rsid w:val="00CB2E97"/>
    <w:rsid w:val="00CB3F50"/>
    <w:rsid w:val="00CB4756"/>
    <w:rsid w:val="00CB7F1C"/>
    <w:rsid w:val="00CE726F"/>
    <w:rsid w:val="00CE7809"/>
    <w:rsid w:val="00CF0C0F"/>
    <w:rsid w:val="00D11702"/>
    <w:rsid w:val="00D30DDE"/>
    <w:rsid w:val="00D3224A"/>
    <w:rsid w:val="00D327B4"/>
    <w:rsid w:val="00D44578"/>
    <w:rsid w:val="00D461CC"/>
    <w:rsid w:val="00D579BB"/>
    <w:rsid w:val="00D60938"/>
    <w:rsid w:val="00D7082F"/>
    <w:rsid w:val="00D7783A"/>
    <w:rsid w:val="00D77CA2"/>
    <w:rsid w:val="00D865D6"/>
    <w:rsid w:val="00DC5002"/>
    <w:rsid w:val="00DC57C1"/>
    <w:rsid w:val="00DE2775"/>
    <w:rsid w:val="00DE584F"/>
    <w:rsid w:val="00DF296D"/>
    <w:rsid w:val="00DF3C08"/>
    <w:rsid w:val="00E10EAB"/>
    <w:rsid w:val="00E3203A"/>
    <w:rsid w:val="00E360F7"/>
    <w:rsid w:val="00E3750F"/>
    <w:rsid w:val="00E52D41"/>
    <w:rsid w:val="00E550B3"/>
    <w:rsid w:val="00E576ED"/>
    <w:rsid w:val="00E72E6E"/>
    <w:rsid w:val="00E73980"/>
    <w:rsid w:val="00E77303"/>
    <w:rsid w:val="00E82FAC"/>
    <w:rsid w:val="00E9109B"/>
    <w:rsid w:val="00EC7859"/>
    <w:rsid w:val="00EE060F"/>
    <w:rsid w:val="00F070D3"/>
    <w:rsid w:val="00F13746"/>
    <w:rsid w:val="00F20BB1"/>
    <w:rsid w:val="00F809C4"/>
    <w:rsid w:val="00F80C8F"/>
    <w:rsid w:val="00F83E3C"/>
    <w:rsid w:val="00FB3737"/>
    <w:rsid w:val="00FB7571"/>
    <w:rsid w:val="00FC728A"/>
    <w:rsid w:val="00FD0AE9"/>
    <w:rsid w:val="00FD6173"/>
  </w:rsids>
  <m:mathPr>
    <m:mathFont m:val="Cambria Math"/>
    <m:brkBin m:val="before"/>
    <m:brkBinSub m:val="--"/>
    <m:smallFrac m:val="0"/>
    <m:dispDef/>
    <m:lMargin m:val="0"/>
    <m:rMargin m:val="0"/>
    <m:defJc m:val="centerGroup"/>
    <m:wrapIndent m:val="1440"/>
    <m:intLim m:val="subSup"/>
    <m:naryLim m:val="undOvr"/>
  </m:mathPr>
  <w:themeFontLang w:val="lt-LT"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82986FB"/>
  <w15:chartTrackingRefBased/>
  <w15:docId w15:val="{8A7F522C-D36F-4B44-B71A-C0F4412DC2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heme="minorBidi"/>
        <w:sz w:val="24"/>
        <w:szCs w:val="22"/>
        <w:lang w:val="lt-L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85DBD"/>
    <w:pPr>
      <w:spacing w:after="160" w:line="259" w:lineRule="auto"/>
    </w:pPr>
    <w:rPr>
      <w:rFonts w:asciiTheme="minorHAnsi" w:hAnsiTheme="minorHAnsi"/>
      <w:sz w:val="22"/>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85DBD"/>
    <w:pPr>
      <w:spacing w:after="0" w:line="240" w:lineRule="auto"/>
      <w:ind w:left="720"/>
      <w:contextualSpacing/>
    </w:pPr>
    <w:rPr>
      <w:rFonts w:ascii="Times New Roman" w:eastAsia="Times New Roman" w:hAnsi="Times New Roman" w:cs="Times New Roman"/>
      <w:sz w:val="24"/>
      <w:szCs w:val="24"/>
    </w:rPr>
  </w:style>
  <w:style w:type="character" w:styleId="a4">
    <w:name w:val="Hyperlink"/>
    <w:basedOn w:val="a0"/>
    <w:uiPriority w:val="99"/>
    <w:unhideWhenUsed/>
    <w:rsid w:val="00385DBD"/>
    <w:rPr>
      <w:color w:val="0000FF"/>
      <w:u w:val="single"/>
    </w:rPr>
  </w:style>
  <w:style w:type="paragraph" w:styleId="a5">
    <w:name w:val="Normal (Web)"/>
    <w:basedOn w:val="a"/>
    <w:uiPriority w:val="99"/>
    <w:unhideWhenUsed/>
    <w:rsid w:val="00385DBD"/>
    <w:pPr>
      <w:spacing w:before="100" w:beforeAutospacing="1" w:after="100" w:afterAutospacing="1" w:line="240" w:lineRule="auto"/>
    </w:pPr>
    <w:rPr>
      <w:rFonts w:ascii="Times New Roman" w:eastAsia="Times New Roman" w:hAnsi="Times New Roman" w:cs="Times New Roman"/>
      <w:sz w:val="24"/>
      <w:szCs w:val="24"/>
    </w:rPr>
  </w:style>
  <w:style w:type="character" w:styleId="a6">
    <w:name w:val="annotation reference"/>
    <w:basedOn w:val="a0"/>
    <w:uiPriority w:val="99"/>
    <w:semiHidden/>
    <w:unhideWhenUsed/>
    <w:rsid w:val="00385DBD"/>
    <w:rPr>
      <w:sz w:val="16"/>
      <w:szCs w:val="16"/>
    </w:rPr>
  </w:style>
  <w:style w:type="character" w:styleId="a7">
    <w:name w:val="Strong"/>
    <w:basedOn w:val="a0"/>
    <w:uiPriority w:val="22"/>
    <w:qFormat/>
    <w:rsid w:val="00385DBD"/>
    <w:rPr>
      <w:b/>
      <w:bCs/>
    </w:rPr>
  </w:style>
  <w:style w:type="table" w:styleId="4-2">
    <w:name w:val="Grid Table 4 Accent 2"/>
    <w:basedOn w:val="a1"/>
    <w:uiPriority w:val="49"/>
    <w:rsid w:val="00385DBD"/>
    <w:rPr>
      <w:rFonts w:asciiTheme="minorHAnsi" w:hAnsiTheme="minorHAnsi"/>
      <w:szCs w:val="24"/>
      <w:lang w:val="en-US"/>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styleId="a8">
    <w:name w:val="annotation text"/>
    <w:basedOn w:val="a"/>
    <w:link w:val="a9"/>
    <w:uiPriority w:val="99"/>
    <w:unhideWhenUsed/>
    <w:rsid w:val="00385DBD"/>
    <w:pPr>
      <w:spacing w:line="240" w:lineRule="auto"/>
    </w:pPr>
    <w:rPr>
      <w:sz w:val="20"/>
      <w:szCs w:val="20"/>
    </w:rPr>
  </w:style>
  <w:style w:type="character" w:customStyle="1" w:styleId="a9">
    <w:name w:val="批注文字 字符"/>
    <w:basedOn w:val="a0"/>
    <w:link w:val="a8"/>
    <w:uiPriority w:val="99"/>
    <w:rsid w:val="00385DBD"/>
    <w:rPr>
      <w:rFonts w:asciiTheme="minorHAnsi" w:hAnsiTheme="minorHAnsi"/>
      <w:sz w:val="20"/>
      <w:szCs w:val="20"/>
      <w:lang w:val="en-US"/>
    </w:rPr>
  </w:style>
  <w:style w:type="paragraph" w:customStyle="1" w:styleId="Default">
    <w:name w:val="Default"/>
    <w:rsid w:val="002919E8"/>
    <w:pPr>
      <w:autoSpaceDE w:val="0"/>
      <w:autoSpaceDN w:val="0"/>
      <w:adjustRightInd w:val="0"/>
    </w:pPr>
    <w:rPr>
      <w:rFonts w:ascii="Book Antiqua" w:hAnsi="Book Antiqua" w:cs="Book Antiqua"/>
      <w:color w:val="000000"/>
      <w:szCs w:val="24"/>
      <w:lang w:val="en-US"/>
    </w:rPr>
  </w:style>
  <w:style w:type="paragraph" w:styleId="aa">
    <w:name w:val="annotation subject"/>
    <w:basedOn w:val="a8"/>
    <w:next w:val="a8"/>
    <w:link w:val="ab"/>
    <w:uiPriority w:val="99"/>
    <w:semiHidden/>
    <w:unhideWhenUsed/>
    <w:rsid w:val="002D2E82"/>
    <w:rPr>
      <w:b/>
      <w:bCs/>
    </w:rPr>
  </w:style>
  <w:style w:type="character" w:customStyle="1" w:styleId="ab">
    <w:name w:val="批注主题 字符"/>
    <w:basedOn w:val="a9"/>
    <w:link w:val="aa"/>
    <w:uiPriority w:val="99"/>
    <w:semiHidden/>
    <w:rsid w:val="002D2E82"/>
    <w:rPr>
      <w:rFonts w:asciiTheme="minorHAnsi" w:hAnsiTheme="minorHAnsi"/>
      <w:b/>
      <w:bCs/>
      <w:sz w:val="20"/>
      <w:szCs w:val="20"/>
      <w:lang w:val="en-US"/>
    </w:rPr>
  </w:style>
  <w:style w:type="paragraph" w:styleId="ac">
    <w:name w:val="Balloon Text"/>
    <w:basedOn w:val="a"/>
    <w:link w:val="ad"/>
    <w:uiPriority w:val="99"/>
    <w:semiHidden/>
    <w:unhideWhenUsed/>
    <w:rsid w:val="002D2E82"/>
    <w:pPr>
      <w:spacing w:after="0" w:line="240" w:lineRule="auto"/>
    </w:pPr>
    <w:rPr>
      <w:rFonts w:ascii="Segoe UI" w:hAnsi="Segoe UI" w:cs="Segoe UI"/>
      <w:sz w:val="18"/>
      <w:szCs w:val="18"/>
    </w:rPr>
  </w:style>
  <w:style w:type="character" w:customStyle="1" w:styleId="ad">
    <w:name w:val="批注框文本 字符"/>
    <w:basedOn w:val="a0"/>
    <w:link w:val="ac"/>
    <w:uiPriority w:val="99"/>
    <w:semiHidden/>
    <w:rsid w:val="002D2E82"/>
    <w:rPr>
      <w:rFonts w:ascii="Segoe UI" w:hAnsi="Segoe UI" w:cs="Segoe UI"/>
      <w:sz w:val="18"/>
      <w:szCs w:val="18"/>
      <w:lang w:val="en-US"/>
    </w:rPr>
  </w:style>
  <w:style w:type="character" w:customStyle="1" w:styleId="frontelement">
    <w:name w:val="frontelement"/>
    <w:basedOn w:val="a0"/>
    <w:rsid w:val="005E3998"/>
  </w:style>
  <w:style w:type="table" w:styleId="4-4">
    <w:name w:val="Grid Table 4 Accent 4"/>
    <w:basedOn w:val="a1"/>
    <w:uiPriority w:val="49"/>
    <w:rsid w:val="005E3998"/>
    <w:rPr>
      <w:rFonts w:asciiTheme="minorHAnsi" w:hAnsiTheme="minorHAnsi"/>
      <w:sz w:val="22"/>
      <w:lang w:val="en-US"/>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paragraph" w:styleId="ae">
    <w:name w:val="caption"/>
    <w:basedOn w:val="a"/>
    <w:next w:val="a"/>
    <w:uiPriority w:val="35"/>
    <w:unhideWhenUsed/>
    <w:qFormat/>
    <w:rsid w:val="00F070D3"/>
    <w:pPr>
      <w:spacing w:after="200" w:line="240" w:lineRule="auto"/>
    </w:pPr>
    <w:rPr>
      <w:i/>
      <w:iCs/>
      <w:color w:val="44546A" w:themeColor="text2"/>
      <w:sz w:val="18"/>
      <w:szCs w:val="18"/>
    </w:rPr>
  </w:style>
  <w:style w:type="character" w:styleId="af">
    <w:name w:val="FollowedHyperlink"/>
    <w:basedOn w:val="a0"/>
    <w:uiPriority w:val="99"/>
    <w:semiHidden/>
    <w:unhideWhenUsed/>
    <w:rsid w:val="00F070D3"/>
    <w:rPr>
      <w:color w:val="954F72" w:themeColor="followedHyperlink"/>
      <w:u w:val="single"/>
    </w:rPr>
  </w:style>
  <w:style w:type="paragraph" w:styleId="af0">
    <w:name w:val="header"/>
    <w:basedOn w:val="a"/>
    <w:link w:val="af1"/>
    <w:uiPriority w:val="99"/>
    <w:unhideWhenUsed/>
    <w:rsid w:val="00036FD5"/>
    <w:pPr>
      <w:tabs>
        <w:tab w:val="center" w:pos="4680"/>
        <w:tab w:val="right" w:pos="9360"/>
      </w:tabs>
      <w:spacing w:after="0" w:line="240" w:lineRule="auto"/>
    </w:pPr>
  </w:style>
  <w:style w:type="character" w:customStyle="1" w:styleId="af1">
    <w:name w:val="页眉 字符"/>
    <w:basedOn w:val="a0"/>
    <w:link w:val="af0"/>
    <w:uiPriority w:val="99"/>
    <w:rsid w:val="00036FD5"/>
    <w:rPr>
      <w:rFonts w:asciiTheme="minorHAnsi" w:hAnsiTheme="minorHAnsi"/>
      <w:sz w:val="22"/>
      <w:lang w:val="en-US"/>
    </w:rPr>
  </w:style>
  <w:style w:type="paragraph" w:styleId="af2">
    <w:name w:val="footer"/>
    <w:basedOn w:val="a"/>
    <w:link w:val="af3"/>
    <w:uiPriority w:val="99"/>
    <w:unhideWhenUsed/>
    <w:rsid w:val="00036FD5"/>
    <w:pPr>
      <w:tabs>
        <w:tab w:val="center" w:pos="4680"/>
        <w:tab w:val="right" w:pos="9360"/>
      </w:tabs>
      <w:spacing w:after="0" w:line="240" w:lineRule="auto"/>
    </w:pPr>
  </w:style>
  <w:style w:type="character" w:customStyle="1" w:styleId="af3">
    <w:name w:val="页脚 字符"/>
    <w:basedOn w:val="a0"/>
    <w:link w:val="af2"/>
    <w:uiPriority w:val="99"/>
    <w:rsid w:val="00036FD5"/>
    <w:rPr>
      <w:rFonts w:asciiTheme="minorHAnsi" w:hAnsiTheme="minorHAnsi"/>
      <w:sz w:val="22"/>
      <w:lang w:val="en-US"/>
    </w:rPr>
  </w:style>
  <w:style w:type="paragraph" w:styleId="af4">
    <w:name w:val="Revision"/>
    <w:hidden/>
    <w:uiPriority w:val="99"/>
    <w:semiHidden/>
    <w:rsid w:val="006241BE"/>
    <w:rPr>
      <w:rFonts w:asciiTheme="minorHAnsi" w:hAnsiTheme="minorHAnsi"/>
      <w:sz w:val="22"/>
      <w:lang w:val="en-US"/>
    </w:rPr>
  </w:style>
  <w:style w:type="character" w:styleId="af5">
    <w:name w:val="line number"/>
    <w:basedOn w:val="a0"/>
    <w:uiPriority w:val="99"/>
    <w:semiHidden/>
    <w:unhideWhenUsed/>
    <w:rsid w:val="00E3750F"/>
  </w:style>
  <w:style w:type="character" w:styleId="af6">
    <w:name w:val="Emphasis"/>
    <w:basedOn w:val="a0"/>
    <w:uiPriority w:val="20"/>
    <w:qFormat/>
    <w:rsid w:val="00806FAE"/>
    <w:rPr>
      <w:i/>
      <w:iCs/>
    </w:rPr>
  </w:style>
  <w:style w:type="table" w:styleId="af7">
    <w:name w:val="Table Grid"/>
    <w:basedOn w:val="a1"/>
    <w:uiPriority w:val="39"/>
    <w:rsid w:val="00E360F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34263107">
      <w:bodyDiv w:val="1"/>
      <w:marLeft w:val="0"/>
      <w:marRight w:val="0"/>
      <w:marTop w:val="0"/>
      <w:marBottom w:val="0"/>
      <w:divBdr>
        <w:top w:val="none" w:sz="0" w:space="0" w:color="auto"/>
        <w:left w:val="none" w:sz="0" w:space="0" w:color="auto"/>
        <w:bottom w:val="none" w:sz="0" w:space="0" w:color="auto"/>
        <w:right w:val="none" w:sz="0" w:space="0" w:color="auto"/>
      </w:divBdr>
      <w:divsChild>
        <w:div w:id="1740056713">
          <w:marLeft w:val="0"/>
          <w:marRight w:val="0"/>
          <w:marTop w:val="0"/>
          <w:marBottom w:val="0"/>
          <w:divBdr>
            <w:top w:val="none" w:sz="0" w:space="0" w:color="auto"/>
            <w:left w:val="none" w:sz="0" w:space="0" w:color="auto"/>
            <w:bottom w:val="none" w:sz="0" w:space="0" w:color="auto"/>
            <w:right w:val="none" w:sz="0" w:space="0" w:color="auto"/>
          </w:divBdr>
          <w:divsChild>
            <w:div w:id="1505903146">
              <w:marLeft w:val="0"/>
              <w:marRight w:val="0"/>
              <w:marTop w:val="0"/>
              <w:marBottom w:val="0"/>
              <w:divBdr>
                <w:top w:val="none" w:sz="0" w:space="0" w:color="auto"/>
                <w:left w:val="none" w:sz="0" w:space="0" w:color="auto"/>
                <w:bottom w:val="none" w:sz="0" w:space="0" w:color="auto"/>
                <w:right w:val="none" w:sz="0" w:space="0" w:color="auto"/>
              </w:divBdr>
            </w:div>
            <w:div w:id="1947345624">
              <w:marLeft w:val="0"/>
              <w:marRight w:val="0"/>
              <w:marTop w:val="0"/>
              <w:marBottom w:val="0"/>
              <w:divBdr>
                <w:top w:val="none" w:sz="0" w:space="0" w:color="auto"/>
                <w:left w:val="none" w:sz="0" w:space="0" w:color="auto"/>
                <w:bottom w:val="none" w:sz="0" w:space="0" w:color="auto"/>
                <w:right w:val="none" w:sz="0" w:space="0" w:color="auto"/>
              </w:divBdr>
            </w:div>
            <w:div w:id="1376466283">
              <w:marLeft w:val="0"/>
              <w:marRight w:val="0"/>
              <w:marTop w:val="0"/>
              <w:marBottom w:val="0"/>
              <w:divBdr>
                <w:top w:val="none" w:sz="0" w:space="0" w:color="auto"/>
                <w:left w:val="none" w:sz="0" w:space="0" w:color="auto"/>
                <w:bottom w:val="none" w:sz="0" w:space="0" w:color="auto"/>
                <w:right w:val="none" w:sz="0" w:space="0" w:color="auto"/>
              </w:divBdr>
            </w:div>
            <w:div w:id="1778596807">
              <w:marLeft w:val="0"/>
              <w:marRight w:val="0"/>
              <w:marTop w:val="0"/>
              <w:marBottom w:val="0"/>
              <w:divBdr>
                <w:top w:val="none" w:sz="0" w:space="0" w:color="auto"/>
                <w:left w:val="none" w:sz="0" w:space="0" w:color="auto"/>
                <w:bottom w:val="none" w:sz="0" w:space="0" w:color="auto"/>
                <w:right w:val="none" w:sz="0" w:space="0" w:color="auto"/>
              </w:divBdr>
            </w:div>
            <w:div w:id="1824465610">
              <w:marLeft w:val="0"/>
              <w:marRight w:val="0"/>
              <w:marTop w:val="0"/>
              <w:marBottom w:val="0"/>
              <w:divBdr>
                <w:top w:val="none" w:sz="0" w:space="0" w:color="auto"/>
                <w:left w:val="none" w:sz="0" w:space="0" w:color="auto"/>
                <w:bottom w:val="none" w:sz="0" w:space="0" w:color="auto"/>
                <w:right w:val="none" w:sz="0" w:space="0" w:color="auto"/>
              </w:divBdr>
            </w:div>
            <w:div w:id="763569100">
              <w:marLeft w:val="0"/>
              <w:marRight w:val="0"/>
              <w:marTop w:val="0"/>
              <w:marBottom w:val="0"/>
              <w:divBdr>
                <w:top w:val="none" w:sz="0" w:space="0" w:color="auto"/>
                <w:left w:val="none" w:sz="0" w:space="0" w:color="auto"/>
                <w:bottom w:val="none" w:sz="0" w:space="0" w:color="auto"/>
                <w:right w:val="none" w:sz="0" w:space="0" w:color="auto"/>
              </w:divBdr>
            </w:div>
            <w:div w:id="1402675657">
              <w:marLeft w:val="0"/>
              <w:marRight w:val="0"/>
              <w:marTop w:val="0"/>
              <w:marBottom w:val="0"/>
              <w:divBdr>
                <w:top w:val="none" w:sz="0" w:space="0" w:color="auto"/>
                <w:left w:val="none" w:sz="0" w:space="0" w:color="auto"/>
                <w:bottom w:val="none" w:sz="0" w:space="0" w:color="auto"/>
                <w:right w:val="none" w:sz="0" w:space="0" w:color="auto"/>
              </w:divBdr>
            </w:div>
            <w:div w:id="568157089">
              <w:marLeft w:val="0"/>
              <w:marRight w:val="0"/>
              <w:marTop w:val="0"/>
              <w:marBottom w:val="0"/>
              <w:divBdr>
                <w:top w:val="none" w:sz="0" w:space="0" w:color="auto"/>
                <w:left w:val="none" w:sz="0" w:space="0" w:color="auto"/>
                <w:bottom w:val="none" w:sz="0" w:space="0" w:color="auto"/>
                <w:right w:val="none" w:sz="0" w:space="0" w:color="auto"/>
              </w:divBdr>
            </w:div>
            <w:div w:id="1171989035">
              <w:marLeft w:val="0"/>
              <w:marRight w:val="0"/>
              <w:marTop w:val="0"/>
              <w:marBottom w:val="0"/>
              <w:divBdr>
                <w:top w:val="none" w:sz="0" w:space="0" w:color="auto"/>
                <w:left w:val="none" w:sz="0" w:space="0" w:color="auto"/>
                <w:bottom w:val="none" w:sz="0" w:space="0" w:color="auto"/>
                <w:right w:val="none" w:sz="0" w:space="0" w:color="auto"/>
              </w:divBdr>
            </w:div>
            <w:div w:id="1832677200">
              <w:marLeft w:val="0"/>
              <w:marRight w:val="0"/>
              <w:marTop w:val="0"/>
              <w:marBottom w:val="0"/>
              <w:divBdr>
                <w:top w:val="none" w:sz="0" w:space="0" w:color="auto"/>
                <w:left w:val="none" w:sz="0" w:space="0" w:color="auto"/>
                <w:bottom w:val="none" w:sz="0" w:space="0" w:color="auto"/>
                <w:right w:val="none" w:sz="0" w:space="0" w:color="auto"/>
              </w:divBdr>
            </w:div>
            <w:div w:id="1909878651">
              <w:marLeft w:val="0"/>
              <w:marRight w:val="0"/>
              <w:marTop w:val="0"/>
              <w:marBottom w:val="0"/>
              <w:divBdr>
                <w:top w:val="none" w:sz="0" w:space="0" w:color="auto"/>
                <w:left w:val="none" w:sz="0" w:space="0" w:color="auto"/>
                <w:bottom w:val="none" w:sz="0" w:space="0" w:color="auto"/>
                <w:right w:val="none" w:sz="0" w:space="0" w:color="auto"/>
              </w:divBdr>
            </w:div>
            <w:div w:id="1722974040">
              <w:marLeft w:val="0"/>
              <w:marRight w:val="0"/>
              <w:marTop w:val="0"/>
              <w:marBottom w:val="0"/>
              <w:divBdr>
                <w:top w:val="none" w:sz="0" w:space="0" w:color="auto"/>
                <w:left w:val="none" w:sz="0" w:space="0" w:color="auto"/>
                <w:bottom w:val="none" w:sz="0" w:space="0" w:color="auto"/>
                <w:right w:val="none" w:sz="0" w:space="0" w:color="auto"/>
              </w:divBdr>
            </w:div>
            <w:div w:id="311065341">
              <w:marLeft w:val="0"/>
              <w:marRight w:val="0"/>
              <w:marTop w:val="0"/>
              <w:marBottom w:val="0"/>
              <w:divBdr>
                <w:top w:val="none" w:sz="0" w:space="0" w:color="auto"/>
                <w:left w:val="none" w:sz="0" w:space="0" w:color="auto"/>
                <w:bottom w:val="none" w:sz="0" w:space="0" w:color="auto"/>
                <w:right w:val="none" w:sz="0" w:space="0" w:color="auto"/>
              </w:divBdr>
            </w:div>
            <w:div w:id="1534492664">
              <w:marLeft w:val="0"/>
              <w:marRight w:val="0"/>
              <w:marTop w:val="0"/>
              <w:marBottom w:val="0"/>
              <w:divBdr>
                <w:top w:val="none" w:sz="0" w:space="0" w:color="auto"/>
                <w:left w:val="none" w:sz="0" w:space="0" w:color="auto"/>
                <w:bottom w:val="none" w:sz="0" w:space="0" w:color="auto"/>
                <w:right w:val="none" w:sz="0" w:space="0" w:color="auto"/>
              </w:divBdr>
            </w:div>
            <w:div w:id="8339367">
              <w:marLeft w:val="0"/>
              <w:marRight w:val="0"/>
              <w:marTop w:val="0"/>
              <w:marBottom w:val="0"/>
              <w:divBdr>
                <w:top w:val="none" w:sz="0" w:space="0" w:color="auto"/>
                <w:left w:val="none" w:sz="0" w:space="0" w:color="auto"/>
                <w:bottom w:val="none" w:sz="0" w:space="0" w:color="auto"/>
                <w:right w:val="none" w:sz="0" w:space="0" w:color="auto"/>
              </w:divBdr>
            </w:div>
            <w:div w:id="145439352">
              <w:marLeft w:val="0"/>
              <w:marRight w:val="0"/>
              <w:marTop w:val="0"/>
              <w:marBottom w:val="0"/>
              <w:divBdr>
                <w:top w:val="none" w:sz="0" w:space="0" w:color="auto"/>
                <w:left w:val="none" w:sz="0" w:space="0" w:color="auto"/>
                <w:bottom w:val="none" w:sz="0" w:space="0" w:color="auto"/>
                <w:right w:val="none" w:sz="0" w:space="0" w:color="auto"/>
              </w:divBdr>
            </w:div>
            <w:div w:id="523128660">
              <w:marLeft w:val="0"/>
              <w:marRight w:val="0"/>
              <w:marTop w:val="0"/>
              <w:marBottom w:val="0"/>
              <w:divBdr>
                <w:top w:val="none" w:sz="0" w:space="0" w:color="auto"/>
                <w:left w:val="none" w:sz="0" w:space="0" w:color="auto"/>
                <w:bottom w:val="none" w:sz="0" w:space="0" w:color="auto"/>
                <w:right w:val="none" w:sz="0" w:space="0" w:color="auto"/>
              </w:divBdr>
            </w:div>
            <w:div w:id="1934391156">
              <w:marLeft w:val="0"/>
              <w:marRight w:val="0"/>
              <w:marTop w:val="0"/>
              <w:marBottom w:val="0"/>
              <w:divBdr>
                <w:top w:val="none" w:sz="0" w:space="0" w:color="auto"/>
                <w:left w:val="none" w:sz="0" w:space="0" w:color="auto"/>
                <w:bottom w:val="none" w:sz="0" w:space="0" w:color="auto"/>
                <w:right w:val="none" w:sz="0" w:space="0" w:color="auto"/>
              </w:divBdr>
            </w:div>
            <w:div w:id="1357343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834682">
      <w:bodyDiv w:val="1"/>
      <w:marLeft w:val="0"/>
      <w:marRight w:val="0"/>
      <w:marTop w:val="0"/>
      <w:marBottom w:val="0"/>
      <w:divBdr>
        <w:top w:val="none" w:sz="0" w:space="0" w:color="auto"/>
        <w:left w:val="none" w:sz="0" w:space="0" w:color="auto"/>
        <w:bottom w:val="none" w:sz="0" w:space="0" w:color="auto"/>
        <w:right w:val="none" w:sz="0" w:space="0" w:color="auto"/>
      </w:divBdr>
    </w:div>
    <w:div w:id="600263003">
      <w:bodyDiv w:val="1"/>
      <w:marLeft w:val="0"/>
      <w:marRight w:val="0"/>
      <w:marTop w:val="0"/>
      <w:marBottom w:val="0"/>
      <w:divBdr>
        <w:top w:val="none" w:sz="0" w:space="0" w:color="auto"/>
        <w:left w:val="none" w:sz="0" w:space="0" w:color="auto"/>
        <w:bottom w:val="none" w:sz="0" w:space="0" w:color="auto"/>
        <w:right w:val="none" w:sz="0" w:space="0" w:color="auto"/>
      </w:divBdr>
    </w:div>
    <w:div w:id="795294613">
      <w:bodyDiv w:val="1"/>
      <w:marLeft w:val="0"/>
      <w:marRight w:val="0"/>
      <w:marTop w:val="0"/>
      <w:marBottom w:val="0"/>
      <w:divBdr>
        <w:top w:val="none" w:sz="0" w:space="0" w:color="auto"/>
        <w:left w:val="none" w:sz="0" w:space="0" w:color="auto"/>
        <w:bottom w:val="none" w:sz="0" w:space="0" w:color="auto"/>
        <w:right w:val="none" w:sz="0" w:space="0" w:color="auto"/>
      </w:divBdr>
      <w:divsChild>
        <w:div w:id="808982654">
          <w:marLeft w:val="0"/>
          <w:marRight w:val="0"/>
          <w:marTop w:val="0"/>
          <w:marBottom w:val="0"/>
          <w:divBdr>
            <w:top w:val="none" w:sz="0" w:space="0" w:color="auto"/>
            <w:left w:val="none" w:sz="0" w:space="0" w:color="auto"/>
            <w:bottom w:val="none" w:sz="0" w:space="0" w:color="auto"/>
            <w:right w:val="none" w:sz="0" w:space="0" w:color="auto"/>
          </w:divBdr>
        </w:div>
      </w:divsChild>
    </w:div>
    <w:div w:id="832380243">
      <w:bodyDiv w:val="1"/>
      <w:marLeft w:val="0"/>
      <w:marRight w:val="0"/>
      <w:marTop w:val="0"/>
      <w:marBottom w:val="0"/>
      <w:divBdr>
        <w:top w:val="none" w:sz="0" w:space="0" w:color="auto"/>
        <w:left w:val="none" w:sz="0" w:space="0" w:color="auto"/>
        <w:bottom w:val="none" w:sz="0" w:space="0" w:color="auto"/>
        <w:right w:val="none" w:sz="0" w:space="0" w:color="auto"/>
      </w:divBdr>
    </w:div>
    <w:div w:id="1011184712">
      <w:bodyDiv w:val="1"/>
      <w:marLeft w:val="0"/>
      <w:marRight w:val="0"/>
      <w:marTop w:val="0"/>
      <w:marBottom w:val="0"/>
      <w:divBdr>
        <w:top w:val="none" w:sz="0" w:space="0" w:color="auto"/>
        <w:left w:val="none" w:sz="0" w:space="0" w:color="auto"/>
        <w:bottom w:val="none" w:sz="0" w:space="0" w:color="auto"/>
        <w:right w:val="none" w:sz="0" w:space="0" w:color="auto"/>
      </w:divBdr>
    </w:div>
    <w:div w:id="1426882296">
      <w:bodyDiv w:val="1"/>
      <w:marLeft w:val="0"/>
      <w:marRight w:val="0"/>
      <w:marTop w:val="0"/>
      <w:marBottom w:val="0"/>
      <w:divBdr>
        <w:top w:val="none" w:sz="0" w:space="0" w:color="auto"/>
        <w:left w:val="none" w:sz="0" w:space="0" w:color="auto"/>
        <w:bottom w:val="none" w:sz="0" w:space="0" w:color="auto"/>
        <w:right w:val="none" w:sz="0" w:space="0" w:color="auto"/>
      </w:divBdr>
    </w:div>
    <w:div w:id="1990090225">
      <w:bodyDiv w:val="1"/>
      <w:marLeft w:val="0"/>
      <w:marRight w:val="0"/>
      <w:marTop w:val="0"/>
      <w:marBottom w:val="0"/>
      <w:divBdr>
        <w:top w:val="none" w:sz="0" w:space="0" w:color="auto"/>
        <w:left w:val="none" w:sz="0" w:space="0" w:color="auto"/>
        <w:bottom w:val="none" w:sz="0" w:space="0" w:color="auto"/>
        <w:right w:val="none" w:sz="0" w:space="0" w:color="auto"/>
      </w:divBdr>
    </w:div>
    <w:div w:id="20669042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andra.strainiene@santa.lt" TargetMode="Externa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BF05A7-F6B6-4EF8-918E-CA11F0E40B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33</Pages>
  <Words>44493</Words>
  <Characters>253613</Characters>
  <Application>Microsoft Office Word</Application>
  <DocSecurity>0</DocSecurity>
  <Lines>2113</Lines>
  <Paragraphs>595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297511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Liansheng Ma</cp:lastModifiedBy>
  <cp:revision>2</cp:revision>
  <dcterms:created xsi:type="dcterms:W3CDTF">2020-07-14T21:19:00Z</dcterms:created>
  <dcterms:modified xsi:type="dcterms:W3CDTF">2020-07-14T21:19:00Z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http://www.zotero.org/styles/harvard-cite-them-right</vt:lpwstr>
  </property>
  <property fmtid="{D5CDD505-2E9C-101B-9397-08002B2CF9AE}" pid="7" name="Mendeley Recent Style Name 2_1">
    <vt:lpwstr>Cite Them Right 10th edition - Harvard</vt:lpwstr>
  </property>
  <property fmtid="{D5CDD505-2E9C-101B-9397-08002B2CF9AE}" pid="8" name="Mendeley Recent Style Id 3_1">
    <vt:lpwstr>http://www.zotero.org/styles/clinical-neurology-and-neurosurgery</vt:lpwstr>
  </property>
  <property fmtid="{D5CDD505-2E9C-101B-9397-08002B2CF9AE}" pid="9" name="Mendeley Recent Style Name 3_1">
    <vt:lpwstr>Clinical Neurology and Neurosurgery</vt:lpwstr>
  </property>
  <property fmtid="{D5CDD505-2E9C-101B-9397-08002B2CF9AE}" pid="10" name="Mendeley Recent Style Id 4_1">
    <vt:lpwstr>http://www.zotero.org/styles/ieee</vt:lpwstr>
  </property>
  <property fmtid="{D5CDD505-2E9C-101B-9397-08002B2CF9AE}" pid="11" name="Mendeley Recent Style Name 4_1">
    <vt:lpwstr>IEEE</vt:lpwstr>
  </property>
  <property fmtid="{D5CDD505-2E9C-101B-9397-08002B2CF9AE}" pid="12" name="Mendeley Recent Style Id 5_1">
    <vt:lpwstr>http://www.zotero.org/styles/modern-language-association</vt:lpwstr>
  </property>
  <property fmtid="{D5CDD505-2E9C-101B-9397-08002B2CF9AE}" pid="13" name="Mendeley Recent Style Name 5_1">
    <vt:lpwstr>Modern Language Association 8th edition</vt:lpwstr>
  </property>
  <property fmtid="{D5CDD505-2E9C-101B-9397-08002B2CF9AE}" pid="14" name="Mendeley Recent Style Id 6_1">
    <vt:lpwstr>http://www.zotero.org/styles/national-library-of-medicine</vt:lpwstr>
  </property>
  <property fmtid="{D5CDD505-2E9C-101B-9397-08002B2CF9AE}" pid="15" name="Mendeley Recent Style Name 6_1">
    <vt:lpwstr>National Library of Medicine</vt:lpwstr>
  </property>
  <property fmtid="{D5CDD505-2E9C-101B-9397-08002B2CF9AE}" pid="16" name="Mendeley Recent Style Id 7_1">
    <vt:lpwstr>http://www.zotero.org/styles/nature</vt:lpwstr>
  </property>
  <property fmtid="{D5CDD505-2E9C-101B-9397-08002B2CF9AE}" pid="17" name="Mendeley Recent Style Name 7_1">
    <vt:lpwstr>Nature</vt:lpwstr>
  </property>
  <property fmtid="{D5CDD505-2E9C-101B-9397-08002B2CF9AE}" pid="18" name="Mendeley Recent Style Id 8_1">
    <vt:lpwstr>http://www.zotero.org/styles/oxford-review-of-education</vt:lpwstr>
  </property>
  <property fmtid="{D5CDD505-2E9C-101B-9397-08002B2CF9AE}" pid="19" name="Mendeley Recent Style Name 8_1">
    <vt:lpwstr>Oxford Review of Education</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y fmtid="{D5CDD505-2E9C-101B-9397-08002B2CF9AE}" pid="22" name="Mendeley Document_1">
    <vt:lpwstr>True</vt:lpwstr>
  </property>
  <property fmtid="{D5CDD505-2E9C-101B-9397-08002B2CF9AE}" pid="23" name="Mendeley Unique User Id_1">
    <vt:lpwstr>b6a43997-4600-3963-9f39-fee5b770cf56</vt:lpwstr>
  </property>
  <property fmtid="{D5CDD505-2E9C-101B-9397-08002B2CF9AE}" pid="24" name="Mendeley Citation Style_1">
    <vt:lpwstr>http://www.zotero.org/styles/american-medical-association</vt:lpwstr>
  </property>
</Properties>
</file>