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45D14" w14:textId="77777777" w:rsidR="005B6ADE" w:rsidRDefault="00E26689">
      <w:pPr>
        <w:snapToGrid w:val="0"/>
        <w:spacing w:line="360" w:lineRule="auto"/>
        <w:rPr>
          <w:rFonts w:ascii="Book Antiqua" w:eastAsia="Times New Roman" w:hAnsi="Book Antiqua" w:cs="宋体"/>
          <w:b/>
          <w:i/>
          <w:sz w:val="24"/>
          <w:szCs w:val="24"/>
        </w:rPr>
      </w:pPr>
      <w:bookmarkStart w:id="0" w:name="OLE_LINK5"/>
      <w:bookmarkStart w:id="1" w:name="OLE_LINK42"/>
      <w:bookmarkStart w:id="2" w:name="OLE_LINK43"/>
      <w:r>
        <w:rPr>
          <w:rFonts w:ascii="Book Antiqua" w:eastAsia="Times New Roman" w:hAnsi="Book Antiqua" w:cs="宋体"/>
          <w:b/>
          <w:sz w:val="24"/>
          <w:szCs w:val="24"/>
        </w:rPr>
        <w:t xml:space="preserve">Name of Journal: </w:t>
      </w:r>
      <w:bookmarkStart w:id="3" w:name="OLE_LINK1068"/>
      <w:bookmarkStart w:id="4" w:name="OLE_LINK335"/>
      <w:bookmarkStart w:id="5" w:name="OLE_LINK718"/>
      <w:bookmarkStart w:id="6" w:name="OLE_LINK696"/>
      <w:bookmarkStart w:id="7" w:name="OLE_LINK661"/>
      <w:bookmarkStart w:id="8" w:name="OLE_LINK719"/>
      <w:bookmarkStart w:id="9" w:name="OLE_LINK645"/>
      <w:bookmarkStart w:id="10" w:name="_Hlk45720097"/>
      <w:r>
        <w:rPr>
          <w:rFonts w:ascii="Book Antiqua" w:eastAsia="Times New Roman" w:hAnsi="Book Antiqua" w:cs="宋体"/>
          <w:i/>
          <w:sz w:val="24"/>
          <w:szCs w:val="24"/>
        </w:rPr>
        <w:t xml:space="preserve">World Journal of </w:t>
      </w:r>
      <w:bookmarkEnd w:id="3"/>
      <w:bookmarkEnd w:id="4"/>
      <w:bookmarkEnd w:id="5"/>
      <w:bookmarkEnd w:id="6"/>
      <w:bookmarkEnd w:id="7"/>
      <w:bookmarkEnd w:id="8"/>
      <w:bookmarkEnd w:id="9"/>
      <w:r>
        <w:rPr>
          <w:rFonts w:ascii="Book Antiqua" w:eastAsia="Times New Roman" w:hAnsi="Book Antiqua" w:cs="宋体"/>
          <w:i/>
          <w:sz w:val="24"/>
          <w:szCs w:val="24"/>
        </w:rPr>
        <w:t>Clinical Cases</w:t>
      </w:r>
      <w:bookmarkEnd w:id="10"/>
    </w:p>
    <w:p w14:paraId="314E7D51" w14:textId="20113E73" w:rsidR="005B6ADE" w:rsidRDefault="00E26689">
      <w:pPr>
        <w:snapToGrid w:val="0"/>
        <w:spacing w:line="360" w:lineRule="auto"/>
        <w:rPr>
          <w:rFonts w:ascii="Book Antiqua" w:eastAsia="宋体" w:hAnsi="Book Antiqua" w:cs="Arial"/>
          <w:b/>
          <w:sz w:val="24"/>
          <w:szCs w:val="24"/>
          <w:lang w:val="en-GB"/>
        </w:rPr>
      </w:pPr>
      <w:r>
        <w:rPr>
          <w:rFonts w:ascii="Book Antiqua" w:eastAsia="Times New Roman" w:hAnsi="Book Antiqua" w:cs="Times New Roman"/>
          <w:b/>
          <w:bCs/>
          <w:sz w:val="24"/>
          <w:szCs w:val="24"/>
        </w:rPr>
        <w:t>Manuscript NO</w:t>
      </w:r>
      <w:r>
        <w:rPr>
          <w:rFonts w:ascii="Book Antiqua" w:eastAsia="宋体" w:hAnsi="Book Antiqua" w:cs="Arial"/>
          <w:b/>
          <w:sz w:val="24"/>
          <w:szCs w:val="24"/>
          <w:lang w:val="en"/>
        </w:rPr>
        <w:t>:</w:t>
      </w:r>
      <w:r>
        <w:rPr>
          <w:rFonts w:ascii="Book Antiqua" w:eastAsia="宋体" w:hAnsi="Book Antiqua" w:cs="Arial"/>
          <w:bCs/>
          <w:sz w:val="24"/>
          <w:szCs w:val="24"/>
          <w:lang w:val="en"/>
        </w:rPr>
        <w:t xml:space="preserve"> 55903</w:t>
      </w:r>
    </w:p>
    <w:p w14:paraId="2B2A4D77" w14:textId="77777777" w:rsidR="005B6ADE" w:rsidRDefault="00E26689">
      <w:pPr>
        <w:snapToGrid w:val="0"/>
        <w:spacing w:line="360" w:lineRule="auto"/>
        <w:rPr>
          <w:rFonts w:ascii="Book Antiqua" w:eastAsia="宋体" w:hAnsi="Book Antiqua" w:cs="Times New Roman"/>
          <w:b/>
          <w:sz w:val="24"/>
          <w:szCs w:val="24"/>
        </w:rPr>
      </w:pPr>
      <w:bookmarkStart w:id="11" w:name="OLE_LINK3"/>
      <w:bookmarkStart w:id="12" w:name="OLE_LINK4"/>
      <w:r>
        <w:rPr>
          <w:rFonts w:ascii="Book Antiqua" w:eastAsia="宋体" w:hAnsi="Book Antiqua" w:cs="Times New Roman"/>
          <w:b/>
          <w:sz w:val="24"/>
          <w:szCs w:val="24"/>
        </w:rPr>
        <w:t xml:space="preserve">Manuscript Type: </w:t>
      </w:r>
      <w:bookmarkEnd w:id="11"/>
      <w:bookmarkEnd w:id="12"/>
      <w:r>
        <w:rPr>
          <w:rFonts w:ascii="Book Antiqua" w:eastAsia="宋体" w:hAnsi="Book Antiqua" w:cs="Times New Roman"/>
          <w:sz w:val="24"/>
          <w:szCs w:val="24"/>
        </w:rPr>
        <w:t>CASE REPORT</w:t>
      </w:r>
    </w:p>
    <w:bookmarkEnd w:id="0"/>
    <w:p w14:paraId="10EA9B2F" w14:textId="77777777" w:rsidR="005B6ADE" w:rsidRDefault="005B6ADE">
      <w:pPr>
        <w:kinsoku w:val="0"/>
        <w:snapToGrid w:val="0"/>
        <w:spacing w:line="360" w:lineRule="auto"/>
        <w:rPr>
          <w:rFonts w:ascii="Book Antiqua" w:hAnsi="Book Antiqua"/>
          <w:b/>
          <w:bCs/>
          <w:color w:val="000000" w:themeColor="text1"/>
          <w:sz w:val="24"/>
          <w:szCs w:val="24"/>
        </w:rPr>
      </w:pPr>
    </w:p>
    <w:p w14:paraId="13502275" w14:textId="50958B0E" w:rsidR="005B6ADE" w:rsidRDefault="00E26689">
      <w:pPr>
        <w:kinsoku w:val="0"/>
        <w:snapToGrid w:val="0"/>
        <w:spacing w:line="360" w:lineRule="auto"/>
        <w:rPr>
          <w:rFonts w:ascii="Book Antiqua" w:hAnsi="Book Antiqua" w:cs="Times New Roman"/>
          <w:b/>
          <w:color w:val="000000" w:themeColor="text1"/>
          <w:sz w:val="24"/>
          <w:szCs w:val="24"/>
        </w:rPr>
      </w:pPr>
      <w:bookmarkStart w:id="13" w:name="OLE_LINK1"/>
      <w:bookmarkStart w:id="14" w:name="OLE_LINK33"/>
      <w:bookmarkStart w:id="15" w:name="OLE_LINK51"/>
      <w:bookmarkStart w:id="16" w:name="OLE_LINK59"/>
      <w:bookmarkStart w:id="17" w:name="OLE_LINK58"/>
      <w:bookmarkStart w:id="18" w:name="OLE_LINK34"/>
      <w:bookmarkStart w:id="19" w:name="OLE_LINK56"/>
      <w:bookmarkStart w:id="20" w:name="OLE_LINK53"/>
      <w:r>
        <w:rPr>
          <w:rFonts w:ascii="Book Antiqua" w:hAnsi="Book Antiqua" w:cs="Times New Roman"/>
          <w:b/>
          <w:color w:val="000000" w:themeColor="text1"/>
          <w:sz w:val="24"/>
          <w:szCs w:val="24"/>
        </w:rPr>
        <w:t>L</w:t>
      </w:r>
      <w:bookmarkStart w:id="21" w:name="OLE_LINK16"/>
      <w:bookmarkStart w:id="22" w:name="OLE_LINK17"/>
      <w:bookmarkStart w:id="23" w:name="OLE_LINK15"/>
      <w:r>
        <w:rPr>
          <w:rFonts w:ascii="Book Antiqua" w:hAnsi="Book Antiqua" w:cs="Times New Roman"/>
          <w:b/>
          <w:color w:val="000000" w:themeColor="text1"/>
          <w:sz w:val="24"/>
          <w:szCs w:val="24"/>
        </w:rPr>
        <w:t>eft bundle branch pacing with optimization of cardiac resynchronization treatment</w:t>
      </w:r>
      <w:bookmarkEnd w:id="21"/>
      <w:bookmarkEnd w:id="22"/>
      <w:bookmarkEnd w:id="23"/>
      <w:r>
        <w:rPr>
          <w:rFonts w:ascii="Book Antiqua" w:hAnsi="Book Antiqua" w:cs="Times New Roman"/>
          <w:b/>
          <w:color w:val="000000" w:themeColor="text1"/>
          <w:sz w:val="24"/>
          <w:szCs w:val="24"/>
        </w:rPr>
        <w:t>: A case report</w:t>
      </w:r>
    </w:p>
    <w:p w14:paraId="0446A7D1" w14:textId="77777777" w:rsidR="005B6ADE" w:rsidRDefault="005B6ADE">
      <w:pPr>
        <w:snapToGrid w:val="0"/>
        <w:spacing w:line="360" w:lineRule="auto"/>
        <w:rPr>
          <w:rFonts w:ascii="Book Antiqua" w:hAnsi="Book Antiqua" w:cs="Times New Roman"/>
          <w:b/>
          <w:color w:val="000000" w:themeColor="text1"/>
          <w:sz w:val="24"/>
          <w:szCs w:val="24"/>
        </w:rPr>
      </w:pPr>
      <w:bookmarkStart w:id="24" w:name="OLE_LINK35"/>
      <w:bookmarkStart w:id="25" w:name="OLE_LINK36"/>
      <w:bookmarkEnd w:id="1"/>
      <w:bookmarkEnd w:id="2"/>
      <w:bookmarkEnd w:id="13"/>
      <w:bookmarkEnd w:id="14"/>
      <w:bookmarkEnd w:id="15"/>
      <w:bookmarkEnd w:id="16"/>
      <w:bookmarkEnd w:id="17"/>
      <w:bookmarkEnd w:id="18"/>
      <w:bookmarkEnd w:id="19"/>
      <w:bookmarkEnd w:id="20"/>
    </w:p>
    <w:p w14:paraId="25A0B114"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eastAsia="宋体" w:hAnsi="Book Antiqua" w:cs="Times New Roman"/>
          <w:color w:val="000000" w:themeColor="text1"/>
          <w:sz w:val="24"/>
          <w:szCs w:val="24"/>
        </w:rPr>
        <w:t>Zhang DH</w:t>
      </w:r>
      <w:r>
        <w:rPr>
          <w:rFonts w:ascii="Book Antiqua" w:hAnsi="Book Antiqua" w:cstheme="minorHAnsi"/>
          <w:i/>
          <w:sz w:val="24"/>
          <w:szCs w:val="24"/>
        </w:rPr>
        <w:t xml:space="preserve"> et al.</w:t>
      </w:r>
      <w:r>
        <w:rPr>
          <w:rFonts w:ascii="Book Antiqua" w:hAnsi="Book Antiqua" w:cstheme="minorHAnsi"/>
          <w:sz w:val="24"/>
          <w:szCs w:val="24"/>
        </w:rPr>
        <w:t xml:space="preserve"> </w:t>
      </w:r>
      <w:bookmarkStart w:id="26" w:name="OLE_LINK9"/>
      <w:bookmarkStart w:id="27" w:name="OLE_LINK8"/>
      <w:r>
        <w:rPr>
          <w:rFonts w:ascii="Book Antiqua" w:hAnsi="Book Antiqua" w:cs="Times New Roman"/>
          <w:color w:val="000000" w:themeColor="text1"/>
          <w:sz w:val="24"/>
          <w:szCs w:val="24"/>
        </w:rPr>
        <w:t>Optimization</w:t>
      </w:r>
      <w:bookmarkEnd w:id="26"/>
      <w:bookmarkEnd w:id="27"/>
      <w:r>
        <w:rPr>
          <w:rFonts w:ascii="Book Antiqua" w:hAnsi="Book Antiqua" w:cs="Times New Roman"/>
          <w:color w:val="000000" w:themeColor="text1"/>
          <w:sz w:val="24"/>
          <w:szCs w:val="24"/>
        </w:rPr>
        <w:t xml:space="preserve"> of cardiac resynchronization treatment</w:t>
      </w:r>
      <w:bookmarkEnd w:id="24"/>
      <w:bookmarkEnd w:id="25"/>
    </w:p>
    <w:p w14:paraId="20B60FEE" w14:textId="77777777" w:rsidR="005B6ADE" w:rsidRDefault="005B6ADE">
      <w:pPr>
        <w:widowControl/>
        <w:snapToGrid w:val="0"/>
        <w:spacing w:line="360" w:lineRule="auto"/>
        <w:rPr>
          <w:rFonts w:ascii="Book Antiqua" w:eastAsia="宋体" w:hAnsi="Book Antiqua" w:cs="Times New Roman"/>
          <w:color w:val="000000" w:themeColor="text1"/>
          <w:sz w:val="24"/>
          <w:szCs w:val="24"/>
        </w:rPr>
      </w:pPr>
      <w:bookmarkStart w:id="28" w:name="OLE_LINK52"/>
      <w:bookmarkStart w:id="29" w:name="OLE_LINK165"/>
    </w:p>
    <w:p w14:paraId="038DD1C4" w14:textId="77777777" w:rsidR="005B6ADE" w:rsidRDefault="00E26689">
      <w:pPr>
        <w:widowControl/>
        <w:snapToGrid w:val="0"/>
        <w:spacing w:line="360" w:lineRule="auto"/>
        <w:rPr>
          <w:rFonts w:ascii="Book Antiqua" w:eastAsia="宋体" w:hAnsi="Book Antiqua" w:cs="Times New Roman"/>
          <w:color w:val="000000" w:themeColor="text1"/>
          <w:sz w:val="24"/>
          <w:szCs w:val="24"/>
        </w:rPr>
      </w:pPr>
      <w:bookmarkStart w:id="30" w:name="OLE_LINK20"/>
      <w:bookmarkStart w:id="31" w:name="OLE_LINK57"/>
      <w:r>
        <w:rPr>
          <w:rFonts w:ascii="Book Antiqua" w:eastAsia="宋体" w:hAnsi="Book Antiqua" w:cs="Times New Roman"/>
          <w:color w:val="000000" w:themeColor="text1"/>
          <w:sz w:val="24"/>
          <w:szCs w:val="24"/>
        </w:rPr>
        <w:t xml:space="preserve">Deng-Hong Zhang, </w:t>
      </w:r>
      <w:bookmarkStart w:id="32" w:name="OLE_LINK23"/>
      <w:bookmarkStart w:id="33" w:name="OLE_LINK260"/>
      <w:bookmarkStart w:id="34" w:name="OLE_LINK55"/>
      <w:bookmarkStart w:id="35" w:name="OLE_LINK54"/>
      <w:bookmarkStart w:id="36" w:name="OLE_LINK261"/>
      <w:bookmarkStart w:id="37" w:name="OLE_LINK24"/>
      <w:r>
        <w:rPr>
          <w:rFonts w:ascii="Book Antiqua" w:eastAsia="宋体" w:hAnsi="Book Antiqua" w:cs="Times New Roman"/>
          <w:color w:val="000000" w:themeColor="text1"/>
          <w:sz w:val="24"/>
          <w:szCs w:val="24"/>
        </w:rPr>
        <w:t>Ming-Jian Lang</w:t>
      </w:r>
      <w:bookmarkEnd w:id="32"/>
      <w:bookmarkEnd w:id="33"/>
      <w:bookmarkEnd w:id="34"/>
      <w:bookmarkEnd w:id="35"/>
      <w:bookmarkEnd w:id="36"/>
      <w:bookmarkEnd w:id="37"/>
      <w:r>
        <w:rPr>
          <w:rFonts w:ascii="Book Antiqua" w:eastAsia="宋体" w:hAnsi="Book Antiqua" w:cs="Times New Roman"/>
          <w:color w:val="000000" w:themeColor="text1"/>
          <w:sz w:val="24"/>
          <w:szCs w:val="24"/>
        </w:rPr>
        <w:t>, Gang Tang, Xiao-Xiao Chen, Hong-Fei Li</w:t>
      </w:r>
    </w:p>
    <w:bookmarkEnd w:id="30"/>
    <w:bookmarkEnd w:id="31"/>
    <w:p w14:paraId="72B4F76F" w14:textId="77777777" w:rsidR="005B6ADE" w:rsidRDefault="005B6ADE">
      <w:pPr>
        <w:widowControl/>
        <w:snapToGrid w:val="0"/>
        <w:spacing w:line="360" w:lineRule="auto"/>
        <w:rPr>
          <w:rFonts w:ascii="Book Antiqua" w:eastAsia="宋体" w:hAnsi="Book Antiqua" w:cs="Times New Roman"/>
          <w:color w:val="000000" w:themeColor="text1"/>
          <w:sz w:val="24"/>
          <w:szCs w:val="24"/>
        </w:rPr>
      </w:pPr>
    </w:p>
    <w:p w14:paraId="2385561C" w14:textId="77777777" w:rsidR="005B6ADE" w:rsidRDefault="00E26689">
      <w:pPr>
        <w:widowControl/>
        <w:snapToGrid w:val="0"/>
        <w:spacing w:line="360" w:lineRule="auto"/>
        <w:rPr>
          <w:rFonts w:ascii="Book Antiqua" w:eastAsia="宋体" w:hAnsi="Book Antiqua" w:cs="Times New Roman"/>
          <w:color w:val="000000" w:themeColor="text1"/>
          <w:sz w:val="24"/>
          <w:szCs w:val="24"/>
        </w:rPr>
      </w:pPr>
      <w:bookmarkStart w:id="38" w:name="OLE_LINK73"/>
      <w:bookmarkStart w:id="39" w:name="OLE_LINK67"/>
      <w:bookmarkStart w:id="40" w:name="OLE_LINK110"/>
      <w:bookmarkStart w:id="41" w:name="OLE_LINK109"/>
      <w:bookmarkStart w:id="42" w:name="OLE_LINK25"/>
      <w:bookmarkStart w:id="43" w:name="OLE_LINK26"/>
      <w:bookmarkEnd w:id="28"/>
      <w:bookmarkEnd w:id="29"/>
      <w:r>
        <w:rPr>
          <w:rFonts w:ascii="Book Antiqua" w:eastAsia="宋体" w:hAnsi="Book Antiqua" w:cs="Times New Roman"/>
          <w:b/>
          <w:bCs/>
          <w:color w:val="000000" w:themeColor="text1"/>
          <w:sz w:val="24"/>
          <w:szCs w:val="24"/>
        </w:rPr>
        <w:t xml:space="preserve">Deng-Hong Zhang, </w:t>
      </w:r>
      <w:bookmarkStart w:id="44" w:name="OLE_LINK64"/>
      <w:bookmarkStart w:id="45" w:name="OLE_LINK63"/>
      <w:r>
        <w:rPr>
          <w:rFonts w:ascii="Book Antiqua" w:eastAsia="宋体" w:hAnsi="Book Antiqua" w:cs="Times New Roman"/>
          <w:b/>
          <w:bCs/>
          <w:color w:val="000000" w:themeColor="text1"/>
          <w:sz w:val="24"/>
          <w:szCs w:val="24"/>
        </w:rPr>
        <w:t xml:space="preserve">Ming-Jian </w:t>
      </w:r>
      <w:bookmarkStart w:id="46" w:name="_Hlk45718423"/>
      <w:r>
        <w:rPr>
          <w:rFonts w:ascii="Book Antiqua" w:eastAsia="宋体" w:hAnsi="Book Antiqua" w:cs="Times New Roman"/>
          <w:b/>
          <w:bCs/>
          <w:color w:val="000000" w:themeColor="text1"/>
          <w:sz w:val="24"/>
          <w:szCs w:val="24"/>
        </w:rPr>
        <w:t>Lang</w:t>
      </w:r>
      <w:bookmarkEnd w:id="44"/>
      <w:bookmarkEnd w:id="45"/>
      <w:bookmarkEnd w:id="46"/>
      <w:r>
        <w:rPr>
          <w:rFonts w:ascii="Book Antiqua" w:eastAsia="宋体" w:hAnsi="Book Antiqua" w:cs="Times New Roman"/>
          <w:b/>
          <w:bCs/>
          <w:color w:val="000000" w:themeColor="text1"/>
          <w:sz w:val="24"/>
          <w:szCs w:val="24"/>
        </w:rPr>
        <w:t>, Gang Tang, Xiao-Xiao Chen, Hong-Fei Li</w:t>
      </w:r>
      <w:r>
        <w:rPr>
          <w:rFonts w:ascii="Book Antiqua" w:eastAsia="宋体" w:hAnsi="Book Antiqua" w:cs="Times New Roman"/>
          <w:color w:val="000000" w:themeColor="text1"/>
          <w:sz w:val="24"/>
          <w:szCs w:val="24"/>
        </w:rPr>
        <w:t xml:space="preserve">, </w:t>
      </w:r>
      <w:r>
        <w:rPr>
          <w:rFonts w:ascii="Book Antiqua" w:hAnsi="Book Antiqua" w:cs="Times New Roman"/>
          <w:color w:val="000000" w:themeColor="text1"/>
          <w:sz w:val="24"/>
          <w:szCs w:val="24"/>
        </w:rPr>
        <w:t>Department of Cardiovascular</w:t>
      </w:r>
      <w:bookmarkEnd w:id="38"/>
      <w:bookmarkEnd w:id="39"/>
      <w:bookmarkEnd w:id="40"/>
      <w:bookmarkEnd w:id="41"/>
      <w:r>
        <w:rPr>
          <w:rFonts w:ascii="Book Antiqua" w:hAnsi="Book Antiqua" w:cs="Times New Roman"/>
          <w:color w:val="000000" w:themeColor="text1"/>
          <w:sz w:val="24"/>
          <w:szCs w:val="24"/>
        </w:rPr>
        <w:t xml:space="preserve"> Medicine, </w:t>
      </w:r>
      <w:bookmarkStart w:id="47" w:name="OLE_LINK113"/>
      <w:bookmarkStart w:id="48" w:name="OLE_LINK68"/>
      <w:bookmarkStart w:id="49" w:name="OLE_LINK74"/>
      <w:bookmarkStart w:id="50" w:name="OLE_LINK114"/>
      <w:r>
        <w:rPr>
          <w:rFonts w:ascii="Book Antiqua" w:hAnsi="Book Antiqua" w:cs="Times New Roman"/>
          <w:color w:val="000000" w:themeColor="text1"/>
          <w:sz w:val="24"/>
          <w:szCs w:val="24"/>
        </w:rPr>
        <w:t>Chengdu Fifth People's Hospital</w:t>
      </w:r>
      <w:bookmarkEnd w:id="47"/>
      <w:bookmarkEnd w:id="48"/>
      <w:bookmarkEnd w:id="49"/>
      <w:bookmarkEnd w:id="50"/>
      <w:r>
        <w:rPr>
          <w:rFonts w:ascii="Book Antiqua" w:hAnsi="Book Antiqua" w:cs="Times New Roman"/>
          <w:color w:val="000000" w:themeColor="text1"/>
          <w:sz w:val="24"/>
          <w:szCs w:val="24"/>
        </w:rPr>
        <w:t xml:space="preserve">, Chengdu 611130, </w:t>
      </w:r>
      <w:bookmarkStart w:id="51" w:name="OLE_LINK65"/>
      <w:bookmarkStart w:id="52" w:name="OLE_LINK66"/>
      <w:r>
        <w:rPr>
          <w:rFonts w:ascii="Book Antiqua" w:hAnsi="Book Antiqua" w:cs="Times New Roman"/>
          <w:color w:val="000000" w:themeColor="text1"/>
          <w:sz w:val="24"/>
          <w:szCs w:val="24"/>
        </w:rPr>
        <w:t>Sichuan Province, China</w:t>
      </w:r>
    </w:p>
    <w:p w14:paraId="4D454285" w14:textId="77777777" w:rsidR="005B6ADE" w:rsidRDefault="005B6ADE">
      <w:pPr>
        <w:snapToGrid w:val="0"/>
        <w:spacing w:line="360" w:lineRule="auto"/>
        <w:rPr>
          <w:rFonts w:ascii="Book Antiqua" w:hAnsi="Book Antiqua" w:cs="Times New Roman"/>
          <w:b/>
          <w:bCs/>
          <w:color w:val="000000" w:themeColor="text1"/>
          <w:sz w:val="24"/>
          <w:szCs w:val="24"/>
        </w:rPr>
      </w:pPr>
      <w:bookmarkStart w:id="53" w:name="OLE_LINK171"/>
      <w:bookmarkEnd w:id="42"/>
      <w:bookmarkEnd w:id="43"/>
      <w:bookmarkEnd w:id="51"/>
      <w:bookmarkEnd w:id="52"/>
    </w:p>
    <w:p w14:paraId="7515B3B1" w14:textId="7B90F875" w:rsidR="005B6ADE" w:rsidRDefault="00E26689">
      <w:pPr>
        <w:snapToGrid w:val="0"/>
        <w:spacing w:line="360" w:lineRule="auto"/>
        <w:rPr>
          <w:rFonts w:ascii="Book Antiqua" w:eastAsia="宋体" w:hAnsi="Book Antiqua" w:cs="Times New Roman"/>
          <w:color w:val="000000" w:themeColor="text1"/>
          <w:kern w:val="0"/>
          <w:sz w:val="24"/>
          <w:szCs w:val="24"/>
        </w:rPr>
      </w:pPr>
      <w:r>
        <w:rPr>
          <w:rFonts w:ascii="Book Antiqua" w:hAnsi="Book Antiqua"/>
          <w:b/>
          <w:sz w:val="24"/>
          <w:szCs w:val="24"/>
          <w:lang w:val="en-GB"/>
        </w:rPr>
        <w:t>Author contributions:</w:t>
      </w:r>
      <w:r>
        <w:rPr>
          <w:rFonts w:ascii="Book Antiqua" w:hAnsi="Book Antiqua" w:cs="Times New Roman"/>
          <w:b/>
          <w:bCs/>
          <w:color w:val="000000" w:themeColor="text1"/>
          <w:sz w:val="24"/>
          <w:szCs w:val="24"/>
        </w:rPr>
        <w:t xml:space="preserve"> </w:t>
      </w:r>
      <w:r>
        <w:rPr>
          <w:rFonts w:ascii="Book Antiqua" w:eastAsia="宋体" w:hAnsi="Book Antiqua" w:cs="Times New Roman"/>
          <w:color w:val="000000" w:themeColor="text1"/>
          <w:sz w:val="24"/>
          <w:szCs w:val="24"/>
        </w:rPr>
        <w:t>Zhang DH</w:t>
      </w:r>
      <w:r>
        <w:rPr>
          <w:rFonts w:ascii="Book Antiqua" w:eastAsia="宋体" w:hAnsi="Book Antiqua" w:cs="Times New Roman"/>
          <w:color w:val="000000" w:themeColor="text1"/>
          <w:kern w:val="0"/>
          <w:sz w:val="24"/>
          <w:szCs w:val="24"/>
        </w:rPr>
        <w:t xml:space="preserve"> and </w:t>
      </w:r>
      <w:r>
        <w:rPr>
          <w:rFonts w:ascii="Book Antiqua" w:eastAsia="宋体" w:hAnsi="Book Antiqua" w:cs="Times New Roman"/>
          <w:color w:val="000000" w:themeColor="text1"/>
          <w:sz w:val="24"/>
          <w:szCs w:val="24"/>
        </w:rPr>
        <w:t>Lang MJ</w:t>
      </w:r>
      <w:r>
        <w:rPr>
          <w:rFonts w:ascii="Book Antiqua" w:eastAsia="宋体" w:hAnsi="Book Antiqua" w:cs="Times New Roman"/>
          <w:color w:val="000000" w:themeColor="text1"/>
          <w:kern w:val="0"/>
          <w:sz w:val="24"/>
          <w:szCs w:val="24"/>
        </w:rPr>
        <w:t xml:space="preserve"> performed the study, participated in collecting the data, and drafted the manuscript; Tang </w:t>
      </w:r>
      <w:r>
        <w:rPr>
          <w:rFonts w:ascii="Book Antiqua" w:eastAsia="宋体" w:hAnsi="Book Antiqua" w:cs="Times New Roman"/>
          <w:color w:val="000000" w:themeColor="text1"/>
          <w:sz w:val="24"/>
          <w:szCs w:val="24"/>
        </w:rPr>
        <w:t>G and Chen XX</w:t>
      </w:r>
      <w:r>
        <w:rPr>
          <w:rFonts w:ascii="Book Antiqua" w:eastAsia="宋体" w:hAnsi="Book Antiqua" w:cs="Times New Roman"/>
          <w:color w:val="000000" w:themeColor="text1"/>
          <w:kern w:val="0"/>
          <w:sz w:val="24"/>
          <w:szCs w:val="24"/>
        </w:rPr>
        <w:t xml:space="preserve"> performed the statistical analysis and participated in the study design; Li </w:t>
      </w:r>
      <w:r>
        <w:rPr>
          <w:rFonts w:ascii="Book Antiqua" w:eastAsia="宋体" w:hAnsi="Book Antiqua" w:cs="Times New Roman"/>
          <w:color w:val="000000" w:themeColor="text1"/>
          <w:sz w:val="24"/>
          <w:szCs w:val="24"/>
        </w:rPr>
        <w:t>HF</w:t>
      </w:r>
      <w:r>
        <w:rPr>
          <w:rFonts w:ascii="Book Antiqua" w:eastAsia="宋体" w:hAnsi="Book Antiqua" w:cs="Times New Roman"/>
          <w:color w:val="000000" w:themeColor="text1"/>
          <w:kern w:val="0"/>
          <w:sz w:val="24"/>
          <w:szCs w:val="24"/>
        </w:rPr>
        <w:t xml:space="preserve"> and </w:t>
      </w:r>
      <w:r>
        <w:rPr>
          <w:rFonts w:ascii="Book Antiqua" w:eastAsia="宋体" w:hAnsi="Book Antiqua" w:cs="Times New Roman"/>
          <w:color w:val="000000" w:themeColor="text1"/>
          <w:sz w:val="24"/>
          <w:szCs w:val="24"/>
        </w:rPr>
        <w:t>Lang MJ</w:t>
      </w:r>
      <w:r>
        <w:rPr>
          <w:rFonts w:ascii="Book Antiqua" w:eastAsia="宋体" w:hAnsi="Book Antiqua" w:cs="Times New Roman"/>
          <w:color w:val="000000" w:themeColor="text1"/>
          <w:kern w:val="0"/>
          <w:sz w:val="24"/>
          <w:szCs w:val="24"/>
        </w:rPr>
        <w:t xml:space="preserve"> helped in </w:t>
      </w:r>
      <w:r w:rsidRPr="00EE5DF2">
        <w:rPr>
          <w:rFonts w:ascii="Book Antiqua" w:eastAsia="宋体" w:hAnsi="Book Antiqua" w:cs="Times New Roman"/>
          <w:color w:val="000000" w:themeColor="text1"/>
          <w:kern w:val="0"/>
          <w:sz w:val="24"/>
          <w:szCs w:val="24"/>
        </w:rPr>
        <w:t>wri</w:t>
      </w:r>
      <w:r>
        <w:rPr>
          <w:rFonts w:ascii="Book Antiqua" w:eastAsia="宋体" w:hAnsi="Book Antiqua" w:cs="Times New Roman"/>
          <w:color w:val="000000" w:themeColor="text1"/>
          <w:kern w:val="0"/>
          <w:sz w:val="24"/>
          <w:szCs w:val="24"/>
        </w:rPr>
        <w:t>ting the manuscript; all authors read and approved the final manuscript.</w:t>
      </w:r>
    </w:p>
    <w:p w14:paraId="5C9B8329" w14:textId="77777777" w:rsidR="005B6ADE" w:rsidRDefault="005B6ADE">
      <w:pPr>
        <w:kinsoku w:val="0"/>
        <w:snapToGrid w:val="0"/>
        <w:spacing w:line="360" w:lineRule="auto"/>
        <w:rPr>
          <w:rFonts w:ascii="Book Antiqua" w:hAnsi="Book Antiqua"/>
          <w:b/>
          <w:bCs/>
          <w:color w:val="000000" w:themeColor="text1"/>
          <w:sz w:val="24"/>
          <w:szCs w:val="24"/>
        </w:rPr>
      </w:pPr>
      <w:bookmarkStart w:id="54" w:name="OLE_LINK172"/>
      <w:bookmarkEnd w:id="53"/>
    </w:p>
    <w:p w14:paraId="5503B175" w14:textId="33A4F94F" w:rsidR="005B6ADE" w:rsidRDefault="00E26689">
      <w:pPr>
        <w:widowControl/>
        <w:snapToGrid w:val="0"/>
        <w:spacing w:line="360" w:lineRule="auto"/>
        <w:rPr>
          <w:rFonts w:ascii="Book Antiqua" w:hAnsi="Book Antiqua" w:cs="Times New Roman"/>
          <w:color w:val="000000" w:themeColor="text1"/>
          <w:sz w:val="24"/>
          <w:szCs w:val="24"/>
          <w:u w:val="single"/>
        </w:rPr>
      </w:pPr>
      <w:bookmarkStart w:id="55" w:name="OLE_LINK60"/>
      <w:bookmarkStart w:id="56" w:name="OLE_LINK62"/>
      <w:r>
        <w:rPr>
          <w:rFonts w:ascii="Book Antiqua" w:hAnsi="Book Antiqua" w:cstheme="minorHAnsi"/>
          <w:b/>
          <w:sz w:val="24"/>
          <w:szCs w:val="24"/>
          <w:lang w:val="hu-HU"/>
        </w:rPr>
        <w:t>Corresponding author</w:t>
      </w:r>
      <w:bookmarkEnd w:id="55"/>
      <w:bookmarkEnd w:id="56"/>
      <w:r>
        <w:rPr>
          <w:rFonts w:ascii="Book Antiqua" w:hAnsi="Book Antiqua" w:cstheme="minorHAnsi"/>
          <w:b/>
          <w:sz w:val="24"/>
          <w:szCs w:val="24"/>
          <w:lang w:val="hu-HU"/>
        </w:rPr>
        <w:t xml:space="preserve">: </w:t>
      </w:r>
      <w:bookmarkStart w:id="57" w:name="OLE_LINK30"/>
      <w:bookmarkStart w:id="58" w:name="OLE_LINK27"/>
      <w:bookmarkStart w:id="59" w:name="OLE_LINK28"/>
      <w:bookmarkStart w:id="60" w:name="OLE_LINK29"/>
      <w:bookmarkStart w:id="61" w:name="OLE_LINK76"/>
      <w:bookmarkStart w:id="62" w:name="OLE_LINK71"/>
      <w:r>
        <w:rPr>
          <w:rFonts w:ascii="Book Antiqua" w:eastAsia="宋体" w:hAnsi="Book Antiqua" w:cs="Times New Roman"/>
          <w:b/>
          <w:bCs/>
          <w:color w:val="000000" w:themeColor="text1"/>
          <w:sz w:val="24"/>
          <w:szCs w:val="24"/>
        </w:rPr>
        <w:t xml:space="preserve">Ming-Jian Lang, MD, Doctor, </w:t>
      </w:r>
      <w:r>
        <w:rPr>
          <w:rFonts w:ascii="Book Antiqua" w:eastAsia="宋体" w:hAnsi="Book Antiqua" w:cs="Times New Roman"/>
          <w:color w:val="000000" w:themeColor="text1"/>
          <w:sz w:val="24"/>
          <w:szCs w:val="24"/>
        </w:rPr>
        <w:t xml:space="preserve">Department of cardiovascular, Chengdu Fifth People's Hospital, No. 33, Mashi Street, Wenjiang District, Chengdu 611130, </w:t>
      </w:r>
      <w:bookmarkStart w:id="63" w:name="OLE_LINK77"/>
      <w:bookmarkStart w:id="64" w:name="OLE_LINK79"/>
      <w:bookmarkStart w:id="65" w:name="OLE_LINK78"/>
      <w:r>
        <w:rPr>
          <w:rFonts w:ascii="Book Antiqua" w:hAnsi="Book Antiqua" w:cs="Times New Roman"/>
          <w:color w:val="000000" w:themeColor="text1"/>
          <w:sz w:val="24"/>
          <w:szCs w:val="24"/>
        </w:rPr>
        <w:t>Sichuan Province</w:t>
      </w:r>
      <w:bookmarkEnd w:id="63"/>
      <w:bookmarkEnd w:id="64"/>
      <w:bookmarkEnd w:id="65"/>
      <w:r>
        <w:rPr>
          <w:rFonts w:ascii="Book Antiqua" w:hAnsi="Book Antiqua" w:cs="Times New Roman"/>
          <w:color w:val="000000" w:themeColor="text1"/>
          <w:sz w:val="24"/>
          <w:szCs w:val="24"/>
        </w:rPr>
        <w:t xml:space="preserve">, China. </w:t>
      </w:r>
      <w:r w:rsidRPr="008A252C">
        <w:rPr>
          <w:rFonts w:ascii="Book Antiqua" w:hAnsi="Book Antiqua" w:cs="Times New Roman"/>
          <w:sz w:val="24"/>
          <w:szCs w:val="24"/>
        </w:rPr>
        <w:t>64518190@qq.com</w:t>
      </w:r>
      <w:bookmarkEnd w:id="57"/>
      <w:bookmarkEnd w:id="58"/>
      <w:bookmarkEnd w:id="59"/>
      <w:bookmarkEnd w:id="60"/>
    </w:p>
    <w:p w14:paraId="09BBAF1F" w14:textId="77777777" w:rsidR="005B6ADE" w:rsidRDefault="005B6ADE">
      <w:pPr>
        <w:widowControl/>
        <w:snapToGrid w:val="0"/>
        <w:spacing w:line="360" w:lineRule="auto"/>
        <w:rPr>
          <w:rFonts w:ascii="Book Antiqua" w:hAnsi="Book Antiqua" w:cs="Times New Roman"/>
          <w:color w:val="000000" w:themeColor="text1"/>
          <w:sz w:val="24"/>
          <w:szCs w:val="24"/>
        </w:rPr>
      </w:pPr>
    </w:p>
    <w:bookmarkEnd w:id="61"/>
    <w:bookmarkEnd w:id="62"/>
    <w:p w14:paraId="0039F508"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Received: </w:t>
      </w:r>
      <w:r>
        <w:rPr>
          <w:rFonts w:ascii="Book Antiqua" w:hAnsi="Book Antiqua"/>
          <w:sz w:val="24"/>
          <w:szCs w:val="24"/>
          <w:lang w:val="en-GB"/>
        </w:rPr>
        <w:t>April 8, 2020</w:t>
      </w:r>
    </w:p>
    <w:p w14:paraId="4A79F34C"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sz w:val="24"/>
          <w:szCs w:val="24"/>
          <w:lang w:val="en-GB"/>
        </w:rPr>
        <w:t>July 20, 2020</w:t>
      </w:r>
    </w:p>
    <w:p w14:paraId="437777B6"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Accepted:</w:t>
      </w:r>
      <w:r>
        <w:t xml:space="preserve"> </w:t>
      </w:r>
      <w:r>
        <w:rPr>
          <w:rFonts w:ascii="Book Antiqua" w:hAnsi="Book Antiqua"/>
          <w:bCs/>
          <w:sz w:val="24"/>
          <w:szCs w:val="24"/>
          <w:lang w:val="en-GB"/>
        </w:rPr>
        <w:t>July 30, 2020</w:t>
      </w:r>
      <w:r>
        <w:rPr>
          <w:rFonts w:ascii="Book Antiqua" w:hAnsi="Book Antiqua"/>
          <w:bCs/>
          <w:sz w:val="24"/>
          <w:szCs w:val="24"/>
        </w:rPr>
        <w:t xml:space="preserve"> </w:t>
      </w:r>
    </w:p>
    <w:p w14:paraId="593865D2" w14:textId="3E4193B3"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Published online:</w:t>
      </w:r>
      <w:bookmarkEnd w:id="54"/>
      <w:r w:rsidR="00556132">
        <w:rPr>
          <w:rFonts w:ascii="Book Antiqua" w:hAnsi="Book Antiqua" w:hint="eastAsia"/>
          <w:b/>
          <w:sz w:val="24"/>
          <w:szCs w:val="24"/>
          <w:lang w:val="en-GB"/>
        </w:rPr>
        <w:t xml:space="preserve"> </w:t>
      </w:r>
      <w:r w:rsidR="00556132" w:rsidRPr="002142AF">
        <w:rPr>
          <w:rFonts w:ascii="Book Antiqua" w:hAnsi="Book Antiqua"/>
          <w:sz w:val="24"/>
          <w:szCs w:val="24"/>
        </w:rPr>
        <w:t>September 26, 2020</w:t>
      </w:r>
    </w:p>
    <w:p w14:paraId="63A707EC" w14:textId="77777777" w:rsidR="005B6ADE" w:rsidRDefault="00E26689">
      <w:pPr>
        <w:widowControl/>
        <w:snapToGrid w:val="0"/>
        <w:spacing w:line="360" w:lineRule="auto"/>
        <w:rPr>
          <w:rFonts w:ascii="Book Antiqua" w:hAnsi="Book Antiqua"/>
          <w:b/>
          <w:sz w:val="24"/>
          <w:szCs w:val="24"/>
          <w:lang w:val="en-GB"/>
        </w:rPr>
      </w:pPr>
      <w:r>
        <w:rPr>
          <w:rFonts w:ascii="Book Antiqua" w:hAnsi="Book Antiqua"/>
          <w:b/>
          <w:sz w:val="24"/>
          <w:szCs w:val="24"/>
          <w:lang w:val="en-GB"/>
        </w:rPr>
        <w:br w:type="page"/>
      </w:r>
    </w:p>
    <w:p w14:paraId="19E7D263" w14:textId="77777777" w:rsidR="005B6ADE" w:rsidRDefault="00E26689">
      <w:pPr>
        <w:autoSpaceDE w:val="0"/>
        <w:autoSpaceDN w:val="0"/>
        <w:snapToGrid w:val="0"/>
        <w:spacing w:line="360" w:lineRule="auto"/>
        <w:rPr>
          <w:rFonts w:ascii="Book Antiqua" w:hAnsi="Book Antiqua" w:cstheme="minorHAnsi"/>
          <w:b/>
          <w:sz w:val="24"/>
          <w:szCs w:val="24"/>
        </w:rPr>
      </w:pPr>
      <w:bookmarkStart w:id="66" w:name="OLE_LINK38"/>
      <w:bookmarkStart w:id="67" w:name="OLE_LINK39"/>
      <w:bookmarkStart w:id="68" w:name="OLE_LINK37"/>
      <w:r>
        <w:rPr>
          <w:rFonts w:ascii="Book Antiqua" w:hAnsi="Book Antiqua" w:cstheme="minorHAnsi"/>
          <w:b/>
          <w:sz w:val="24"/>
          <w:szCs w:val="24"/>
        </w:rPr>
        <w:lastRenderedPageBreak/>
        <w:t>Abstract</w:t>
      </w:r>
    </w:p>
    <w:p w14:paraId="6D7ED7C9" w14:textId="77777777" w:rsidR="005B6ADE" w:rsidRDefault="00E26689">
      <w:pPr>
        <w:autoSpaceDE w:val="0"/>
        <w:autoSpaceDN w:val="0"/>
        <w:snapToGrid w:val="0"/>
        <w:spacing w:line="360" w:lineRule="auto"/>
        <w:rPr>
          <w:rFonts w:ascii="Book Antiqua" w:hAnsi="Book Antiqua" w:cstheme="minorHAnsi"/>
          <w:sz w:val="24"/>
          <w:szCs w:val="24"/>
        </w:rPr>
      </w:pPr>
      <w:r>
        <w:rPr>
          <w:rFonts w:ascii="Book Antiqua" w:hAnsi="Book Antiqua" w:cstheme="minorHAnsi"/>
          <w:sz w:val="24"/>
          <w:szCs w:val="24"/>
        </w:rPr>
        <w:t>BACKGROUND</w:t>
      </w:r>
    </w:p>
    <w:p w14:paraId="6044D091" w14:textId="760FB4E6" w:rsidR="005B6ADE" w:rsidRDefault="00E26689">
      <w:pPr>
        <w:snapToGrid w:val="0"/>
        <w:spacing w:line="360" w:lineRule="auto"/>
        <w:rPr>
          <w:rStyle w:val="transsent"/>
          <w:rFonts w:ascii="Book Antiqua" w:eastAsia="宋体" w:hAnsi="Book Antiqua" w:cs="Times New Roman"/>
          <w:color w:val="000000" w:themeColor="text1"/>
          <w:sz w:val="24"/>
          <w:szCs w:val="24"/>
        </w:rPr>
      </w:pPr>
      <w:bookmarkStart w:id="69" w:name="OLE_LINK40"/>
      <w:bookmarkStart w:id="70" w:name="OLE_LINK41"/>
      <w:r>
        <w:rPr>
          <w:rStyle w:val="transsent"/>
          <w:rFonts w:ascii="Book Antiqua" w:eastAsia="宋体" w:hAnsi="Book Antiqua" w:cs="Times New Roman"/>
          <w:color w:val="000000" w:themeColor="text1"/>
          <w:sz w:val="24"/>
          <w:szCs w:val="24"/>
        </w:rPr>
        <w:t>Cardiac resynchronization therapy</w:t>
      </w:r>
      <w:bookmarkEnd w:id="69"/>
      <w:bookmarkEnd w:id="70"/>
      <w:r>
        <w:rPr>
          <w:rStyle w:val="transsent"/>
          <w:rFonts w:ascii="Book Antiqua" w:eastAsia="宋体" w:hAnsi="Book Antiqua" w:cs="Times New Roman"/>
          <w:color w:val="000000" w:themeColor="text1"/>
          <w:sz w:val="24"/>
          <w:szCs w:val="24"/>
        </w:rPr>
        <w:t xml:space="preserve"> (CRT) is a well-established therapy for patients with cardiomyopathy.</w:t>
      </w:r>
    </w:p>
    <w:p w14:paraId="4B02305A" w14:textId="77777777" w:rsidR="005B6ADE" w:rsidRDefault="005B6ADE">
      <w:pPr>
        <w:snapToGrid w:val="0"/>
        <w:spacing w:line="360" w:lineRule="auto"/>
        <w:rPr>
          <w:rStyle w:val="transsent"/>
          <w:rFonts w:ascii="Book Antiqua" w:eastAsia="宋体" w:hAnsi="Book Antiqua" w:cs="Times New Roman"/>
          <w:color w:val="000000" w:themeColor="text1"/>
          <w:sz w:val="24"/>
          <w:szCs w:val="24"/>
        </w:rPr>
      </w:pPr>
    </w:p>
    <w:p w14:paraId="2E05D931" w14:textId="77777777" w:rsidR="005B6ADE" w:rsidRDefault="00E26689">
      <w:pPr>
        <w:autoSpaceDE w:val="0"/>
        <w:autoSpaceDN w:val="0"/>
        <w:snapToGrid w:val="0"/>
        <w:spacing w:line="360" w:lineRule="auto"/>
        <w:rPr>
          <w:rStyle w:val="transsent"/>
          <w:rFonts w:ascii="Book Antiqua" w:hAnsi="Book Antiqua" w:cstheme="minorHAnsi"/>
          <w:sz w:val="24"/>
          <w:szCs w:val="24"/>
        </w:rPr>
      </w:pPr>
      <w:r>
        <w:rPr>
          <w:rFonts w:ascii="Book Antiqua" w:hAnsi="Book Antiqua" w:cstheme="minorHAnsi"/>
          <w:sz w:val="24"/>
          <w:szCs w:val="24"/>
        </w:rPr>
        <w:t>CASE SUMMARY</w:t>
      </w:r>
    </w:p>
    <w:p w14:paraId="316A073E" w14:textId="02648BEF" w:rsidR="005B6ADE" w:rsidRDefault="00E26689">
      <w:pPr>
        <w:snapToGrid w:val="0"/>
        <w:spacing w:line="360" w:lineRule="auto"/>
        <w:rPr>
          <w:rStyle w:val="transsent"/>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The patient underwent left bundle branch area and left ventricular (reaching the left ventricular lateral vein through the coronary sinus) pacing. The optimal CRT was performed under the right bundle branch of the patient by adjusting the optimal a-v and v-v interphases to achieve the maximal benefit of the treatment.</w:t>
      </w:r>
    </w:p>
    <w:p w14:paraId="4BA49237" w14:textId="77777777" w:rsidR="005B6ADE" w:rsidRDefault="005B6ADE">
      <w:pPr>
        <w:snapToGrid w:val="0"/>
        <w:spacing w:line="360" w:lineRule="auto"/>
        <w:rPr>
          <w:rStyle w:val="transsent"/>
          <w:rFonts w:ascii="Book Antiqua" w:eastAsia="宋体" w:hAnsi="Book Antiqua" w:cs="Times New Roman"/>
          <w:color w:val="000000" w:themeColor="text1"/>
          <w:sz w:val="24"/>
          <w:szCs w:val="24"/>
        </w:rPr>
      </w:pPr>
    </w:p>
    <w:p w14:paraId="038A26C5" w14:textId="0C0EB177" w:rsidR="005B6ADE" w:rsidRDefault="00E26689">
      <w:pPr>
        <w:snapToGrid w:val="0"/>
        <w:spacing w:line="360" w:lineRule="auto"/>
        <w:rPr>
          <w:rStyle w:val="transsent"/>
          <w:rFonts w:ascii="Book Antiqua" w:hAnsi="Book Antiqua" w:cstheme="minorHAnsi"/>
          <w:sz w:val="24"/>
          <w:szCs w:val="24"/>
        </w:rPr>
      </w:pPr>
      <w:r>
        <w:rPr>
          <w:rFonts w:ascii="Book Antiqua" w:hAnsi="Book Antiqua" w:cstheme="minorHAnsi"/>
          <w:sz w:val="24"/>
          <w:szCs w:val="24"/>
        </w:rPr>
        <w:t>CONCLUSION</w:t>
      </w:r>
    </w:p>
    <w:p w14:paraId="65FDFE6C" w14:textId="7F4539A0" w:rsidR="005B6ADE" w:rsidRDefault="00E26689">
      <w:pPr>
        <w:snapToGrid w:val="0"/>
        <w:spacing w:line="360" w:lineRule="auto"/>
        <w:rPr>
          <w:rStyle w:val="transsent"/>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The patient was diagnosed with left bundle branch block and heart failure. A left bundle branch area pacemaker assisted in correcting the complete left bundle branch block. However, the shorter QRS wave shape after pacemaker implantation through the left bundle branch area indicated a complete right bundle branch block pattern. Hence, the left bundle branch area pacemaker is not always considered as the optimal treatment. The left bundle branch pacing with the optimization of cardiac resynchronization treatment may serve as a new CRT strategy.</w:t>
      </w:r>
      <w:bookmarkEnd w:id="66"/>
      <w:bookmarkEnd w:id="67"/>
      <w:bookmarkEnd w:id="68"/>
    </w:p>
    <w:p w14:paraId="640EA215" w14:textId="77777777" w:rsidR="005B6ADE" w:rsidRDefault="005B6ADE">
      <w:pPr>
        <w:snapToGrid w:val="0"/>
        <w:spacing w:line="360" w:lineRule="auto"/>
        <w:rPr>
          <w:rStyle w:val="transsent"/>
          <w:rFonts w:ascii="Book Antiqua" w:eastAsia="宋体" w:hAnsi="Book Antiqua"/>
          <w:color w:val="000000" w:themeColor="text1"/>
          <w:sz w:val="24"/>
          <w:szCs w:val="24"/>
        </w:rPr>
      </w:pPr>
    </w:p>
    <w:p w14:paraId="206CEF80" w14:textId="27731EED" w:rsidR="005B6ADE" w:rsidRDefault="00E26689">
      <w:pPr>
        <w:tabs>
          <w:tab w:val="left" w:pos="720"/>
        </w:tabs>
        <w:snapToGrid w:val="0"/>
        <w:spacing w:line="360" w:lineRule="auto"/>
        <w:rPr>
          <w:rFonts w:ascii="Book Antiqua" w:hAnsi="Book Antiqua" w:cs="Times New Roman"/>
          <w:color w:val="000000" w:themeColor="text1"/>
          <w:sz w:val="24"/>
          <w:szCs w:val="24"/>
        </w:rPr>
      </w:pPr>
      <w:bookmarkStart w:id="71" w:name="OLE_LINK44"/>
      <w:r>
        <w:rPr>
          <w:rFonts w:ascii="Book Antiqua" w:hAnsi="Book Antiqua" w:cstheme="minorHAnsi"/>
          <w:b/>
          <w:sz w:val="24"/>
          <w:szCs w:val="24"/>
        </w:rPr>
        <w:t xml:space="preserve">Key </w:t>
      </w:r>
      <w:r w:rsidR="00556132">
        <w:rPr>
          <w:rFonts w:ascii="Book Antiqua" w:hAnsi="Book Antiqua" w:cstheme="minorHAnsi" w:hint="eastAsia"/>
          <w:b/>
          <w:sz w:val="24"/>
          <w:szCs w:val="24"/>
        </w:rPr>
        <w:t>W</w:t>
      </w:r>
      <w:r>
        <w:rPr>
          <w:rFonts w:ascii="Book Antiqua" w:hAnsi="Book Antiqua" w:cstheme="minorHAnsi"/>
          <w:b/>
          <w:sz w:val="24"/>
          <w:szCs w:val="24"/>
        </w:rPr>
        <w:t xml:space="preserve">ords: </w:t>
      </w:r>
      <w:bookmarkStart w:id="72" w:name="OLE_LINK81"/>
      <w:bookmarkStart w:id="73" w:name="OLE_LINK82"/>
      <w:r>
        <w:rPr>
          <w:rStyle w:val="transsent"/>
          <w:rFonts w:ascii="Book Antiqua" w:eastAsia="宋体" w:hAnsi="Book Antiqua" w:cs="Times New Roman"/>
          <w:color w:val="000000" w:themeColor="text1"/>
          <w:sz w:val="24"/>
          <w:szCs w:val="24"/>
        </w:rPr>
        <w:t>Cardiac resynchronization therapy</w:t>
      </w:r>
      <w:bookmarkEnd w:id="71"/>
      <w:bookmarkEnd w:id="72"/>
      <w:bookmarkEnd w:id="73"/>
      <w:r>
        <w:rPr>
          <w:rStyle w:val="transsent"/>
          <w:rFonts w:ascii="Book Antiqua" w:eastAsia="宋体" w:hAnsi="Book Antiqua" w:cs="Times New Roman"/>
          <w:color w:val="000000" w:themeColor="text1"/>
          <w:sz w:val="24"/>
          <w:szCs w:val="24"/>
        </w:rPr>
        <w:t xml:space="preserve">; </w:t>
      </w:r>
      <w:bookmarkStart w:id="74" w:name="OLE_LINK45"/>
      <w:r>
        <w:rPr>
          <w:rStyle w:val="highlightedmodterm"/>
          <w:rFonts w:ascii="Book Antiqua" w:hAnsi="Book Antiqua"/>
          <w:color w:val="000000" w:themeColor="text1"/>
          <w:sz w:val="24"/>
          <w:szCs w:val="24"/>
        </w:rPr>
        <w:t>Cardiomyopathy</w:t>
      </w:r>
      <w:bookmarkEnd w:id="74"/>
      <w:r>
        <w:rPr>
          <w:rStyle w:val="highlightedmodterm"/>
          <w:rFonts w:ascii="Book Antiqua" w:hAnsi="Book Antiqua"/>
          <w:color w:val="000000" w:themeColor="text1"/>
          <w:sz w:val="24"/>
          <w:szCs w:val="24"/>
        </w:rPr>
        <w:t xml:space="preserve">; </w:t>
      </w:r>
      <w:bookmarkStart w:id="75" w:name="OLE_LINK47"/>
      <w:bookmarkStart w:id="76" w:name="OLE_LINK48"/>
      <w:bookmarkStart w:id="77" w:name="OLE_LINK46"/>
      <w:r>
        <w:rPr>
          <w:rFonts w:ascii="Book Antiqua" w:hAnsi="Book Antiqua" w:cs="Times New Roman"/>
          <w:color w:val="000000" w:themeColor="text1"/>
          <w:sz w:val="24"/>
          <w:szCs w:val="24"/>
        </w:rPr>
        <w:t>Left bundle branch</w:t>
      </w:r>
      <w:bookmarkEnd w:id="75"/>
      <w:bookmarkEnd w:id="76"/>
      <w:bookmarkEnd w:id="77"/>
      <w:r>
        <w:rPr>
          <w:rFonts w:ascii="Book Antiqua" w:hAnsi="Book Antiqua" w:cs="Times New Roman"/>
          <w:color w:val="000000" w:themeColor="text1"/>
          <w:sz w:val="24"/>
          <w:szCs w:val="24"/>
        </w:rPr>
        <w:t xml:space="preserve">; </w:t>
      </w:r>
      <w:bookmarkStart w:id="78" w:name="OLE_LINK49"/>
      <w:bookmarkStart w:id="79" w:name="OLE_LINK50"/>
      <w:r>
        <w:rPr>
          <w:rFonts w:ascii="Book Antiqua" w:hAnsi="Book Antiqua" w:cs="Times New Roman"/>
          <w:color w:val="000000" w:themeColor="text1"/>
          <w:sz w:val="24"/>
          <w:szCs w:val="24"/>
        </w:rPr>
        <w:t>Case report</w:t>
      </w:r>
    </w:p>
    <w:p w14:paraId="0E2CBC3F" w14:textId="77777777" w:rsidR="005B6ADE" w:rsidRDefault="005B6ADE">
      <w:pPr>
        <w:tabs>
          <w:tab w:val="left" w:pos="720"/>
        </w:tabs>
        <w:snapToGrid w:val="0"/>
        <w:spacing w:line="360" w:lineRule="auto"/>
        <w:rPr>
          <w:rFonts w:ascii="Book Antiqua" w:hAnsi="Book Antiqua" w:cs="Times New Roman"/>
          <w:color w:val="000000" w:themeColor="text1"/>
          <w:sz w:val="24"/>
          <w:szCs w:val="24"/>
        </w:rPr>
      </w:pPr>
    </w:p>
    <w:p w14:paraId="7252DE84" w14:textId="14475993" w:rsidR="00B96DFB" w:rsidRDefault="00B96DFB">
      <w:pPr>
        <w:kinsoku w:val="0"/>
        <w:snapToGrid w:val="0"/>
        <w:spacing w:line="360" w:lineRule="auto"/>
        <w:rPr>
          <w:rFonts w:ascii="Book Antiqua" w:hAnsi="Book Antiqua" w:hint="eastAsia"/>
          <w:bCs/>
          <w:sz w:val="24"/>
          <w:szCs w:val="24"/>
        </w:rPr>
      </w:pPr>
      <w:bookmarkStart w:id="80" w:name="OLE_LINK69"/>
      <w:bookmarkStart w:id="81" w:name="OLE_LINK70"/>
      <w:r w:rsidRPr="00B96DFB">
        <w:rPr>
          <w:rFonts w:ascii="Book Antiqua" w:eastAsia="宋体" w:hAnsi="Book Antiqua" w:cs="Times New Roman" w:hint="eastAsia"/>
          <w:b/>
          <w:color w:val="000000" w:themeColor="text1"/>
          <w:sz w:val="24"/>
          <w:szCs w:val="24"/>
        </w:rPr>
        <w:t xml:space="preserve">Citation: </w:t>
      </w:r>
      <w:r w:rsidR="00E26689">
        <w:rPr>
          <w:rFonts w:ascii="Book Antiqua" w:eastAsia="宋体" w:hAnsi="Book Antiqua" w:cs="Times New Roman"/>
          <w:color w:val="000000" w:themeColor="text1"/>
          <w:sz w:val="24"/>
          <w:szCs w:val="24"/>
        </w:rPr>
        <w:t xml:space="preserve">Zhang DH, Lang MJ, Tang G, Chen XX, Li HF. </w:t>
      </w:r>
      <w:r w:rsidR="00E26689">
        <w:rPr>
          <w:rFonts w:ascii="Book Antiqua" w:hAnsi="Book Antiqua" w:cs="Times New Roman"/>
          <w:bCs/>
          <w:color w:val="000000" w:themeColor="text1"/>
          <w:sz w:val="24"/>
          <w:szCs w:val="24"/>
        </w:rPr>
        <w:t xml:space="preserve">Left bundle branch pacing with optimization of cardiac resynchronization treatment: A case report. </w:t>
      </w:r>
      <w:r w:rsidR="00E26689">
        <w:rPr>
          <w:rFonts w:ascii="Book Antiqua" w:hAnsi="Book Antiqua"/>
          <w:i/>
          <w:iCs/>
          <w:sz w:val="24"/>
          <w:szCs w:val="24"/>
        </w:rPr>
        <w:t xml:space="preserve">World J Clin Cases </w:t>
      </w:r>
      <w:r w:rsidR="00E26689">
        <w:rPr>
          <w:rFonts w:ascii="Book Antiqua" w:hAnsi="Book Antiqua"/>
          <w:iCs/>
          <w:sz w:val="24"/>
          <w:szCs w:val="24"/>
        </w:rPr>
        <w:t>2020</w:t>
      </w:r>
      <w:r w:rsidR="00E26689">
        <w:rPr>
          <w:rFonts w:ascii="Book Antiqua" w:hAnsi="Book Antiqua"/>
          <w:bCs/>
          <w:sz w:val="24"/>
          <w:szCs w:val="24"/>
        </w:rPr>
        <w:t xml:space="preserve">; </w:t>
      </w:r>
      <w:r w:rsidR="00556132" w:rsidRPr="00556132">
        <w:rPr>
          <w:rFonts w:ascii="Book Antiqua" w:hAnsi="Book Antiqua"/>
          <w:bCs/>
          <w:sz w:val="24"/>
          <w:szCs w:val="24"/>
        </w:rPr>
        <w:t xml:space="preserve">8(18): </w:t>
      </w:r>
      <w:r w:rsidR="007D3861" w:rsidRPr="007D3861">
        <w:rPr>
          <w:rFonts w:ascii="Book Antiqua" w:hAnsi="Book Antiqua"/>
          <w:bCs/>
          <w:sz w:val="24"/>
          <w:szCs w:val="24"/>
        </w:rPr>
        <w:t>4266-4271</w:t>
      </w:r>
      <w:r w:rsidR="00556132" w:rsidRPr="00556132">
        <w:rPr>
          <w:rFonts w:ascii="Book Antiqua" w:hAnsi="Book Antiqua"/>
          <w:bCs/>
          <w:sz w:val="24"/>
          <w:szCs w:val="24"/>
        </w:rPr>
        <w:t xml:space="preserve"> </w:t>
      </w:r>
    </w:p>
    <w:p w14:paraId="66B8C53E" w14:textId="77777777" w:rsidR="00B96DFB" w:rsidRDefault="00556132">
      <w:pPr>
        <w:kinsoku w:val="0"/>
        <w:snapToGrid w:val="0"/>
        <w:spacing w:line="360" w:lineRule="auto"/>
        <w:rPr>
          <w:rFonts w:ascii="Book Antiqua" w:hAnsi="Book Antiqua" w:hint="eastAsia"/>
          <w:bCs/>
          <w:sz w:val="24"/>
          <w:szCs w:val="24"/>
        </w:rPr>
      </w:pPr>
      <w:r w:rsidRPr="00B96DFB">
        <w:rPr>
          <w:rFonts w:ascii="Book Antiqua" w:hAnsi="Book Antiqua"/>
          <w:b/>
          <w:bCs/>
          <w:sz w:val="24"/>
          <w:szCs w:val="24"/>
        </w:rPr>
        <w:t>URL:</w:t>
      </w:r>
      <w:r w:rsidRPr="00556132">
        <w:rPr>
          <w:rFonts w:ascii="Book Antiqua" w:hAnsi="Book Antiqua"/>
          <w:bCs/>
          <w:sz w:val="24"/>
          <w:szCs w:val="24"/>
        </w:rPr>
        <w:t xml:space="preserve"> https://www.wjgnet.com/2307-8960/full/v8/i18/</w:t>
      </w:r>
      <w:r w:rsidR="007D3861">
        <w:rPr>
          <w:rFonts w:ascii="Book Antiqua" w:hAnsi="Book Antiqua" w:hint="eastAsia"/>
          <w:bCs/>
          <w:sz w:val="24"/>
          <w:szCs w:val="24"/>
        </w:rPr>
        <w:t>4266</w:t>
      </w:r>
      <w:r w:rsidRPr="00556132">
        <w:rPr>
          <w:rFonts w:ascii="Book Antiqua" w:hAnsi="Book Antiqua"/>
          <w:bCs/>
          <w:sz w:val="24"/>
          <w:szCs w:val="24"/>
        </w:rPr>
        <w:t xml:space="preserve">.htm </w:t>
      </w:r>
    </w:p>
    <w:p w14:paraId="653E7FF2" w14:textId="5973C15A" w:rsidR="005B6ADE" w:rsidRDefault="00556132">
      <w:pPr>
        <w:kinsoku w:val="0"/>
        <w:snapToGrid w:val="0"/>
        <w:spacing w:line="360" w:lineRule="auto"/>
        <w:rPr>
          <w:rFonts w:ascii="Book Antiqua" w:hAnsi="Book Antiqua" w:cs="Times New Roman"/>
          <w:b/>
          <w:color w:val="000000" w:themeColor="text1"/>
          <w:sz w:val="24"/>
          <w:szCs w:val="24"/>
        </w:rPr>
      </w:pPr>
      <w:bookmarkStart w:id="82" w:name="_GoBack"/>
      <w:r w:rsidRPr="00B96DFB">
        <w:rPr>
          <w:rFonts w:ascii="Book Antiqua" w:hAnsi="Book Antiqua"/>
          <w:b/>
          <w:bCs/>
          <w:sz w:val="24"/>
          <w:szCs w:val="24"/>
        </w:rPr>
        <w:t xml:space="preserve">DOI: </w:t>
      </w:r>
      <w:bookmarkEnd w:id="82"/>
      <w:r w:rsidRPr="00556132">
        <w:rPr>
          <w:rFonts w:ascii="Book Antiqua" w:hAnsi="Book Antiqua"/>
          <w:bCs/>
          <w:sz w:val="24"/>
          <w:szCs w:val="24"/>
        </w:rPr>
        <w:t>https://dx.doi.org/10.12998/wjcc.v8.i18.</w:t>
      </w:r>
      <w:r w:rsidR="00301BBE">
        <w:rPr>
          <w:rFonts w:ascii="Book Antiqua" w:hAnsi="Book Antiqua" w:hint="eastAsia"/>
          <w:bCs/>
          <w:sz w:val="24"/>
          <w:szCs w:val="24"/>
        </w:rPr>
        <w:t>4266</w:t>
      </w:r>
    </w:p>
    <w:bookmarkEnd w:id="78"/>
    <w:bookmarkEnd w:id="79"/>
    <w:bookmarkEnd w:id="80"/>
    <w:bookmarkEnd w:id="81"/>
    <w:p w14:paraId="29BF568F" w14:textId="77777777" w:rsidR="005B6ADE" w:rsidRDefault="005B6ADE">
      <w:pPr>
        <w:tabs>
          <w:tab w:val="left" w:pos="720"/>
        </w:tabs>
        <w:snapToGrid w:val="0"/>
        <w:spacing w:line="360" w:lineRule="auto"/>
        <w:rPr>
          <w:rFonts w:ascii="Book Antiqua" w:eastAsia="FreeSans" w:hAnsi="Book Antiqua" w:cs="Times New Roman"/>
          <w:bCs/>
          <w:color w:val="000000" w:themeColor="text1"/>
          <w:kern w:val="0"/>
          <w:sz w:val="24"/>
          <w:szCs w:val="24"/>
        </w:rPr>
      </w:pPr>
    </w:p>
    <w:p w14:paraId="2C687827" w14:textId="01304A57" w:rsidR="005B6ADE" w:rsidRDefault="00E26689">
      <w:pPr>
        <w:tabs>
          <w:tab w:val="left" w:pos="720"/>
        </w:tabs>
        <w:snapToGrid w:val="0"/>
        <w:spacing w:line="360" w:lineRule="auto"/>
        <w:rPr>
          <w:rStyle w:val="transsent"/>
          <w:rFonts w:ascii="Book Antiqua" w:eastAsia="宋体" w:hAnsi="Book Antiqua"/>
          <w:color w:val="000000" w:themeColor="text1"/>
          <w:sz w:val="24"/>
          <w:szCs w:val="24"/>
        </w:rPr>
      </w:pPr>
      <w:r>
        <w:rPr>
          <w:rFonts w:ascii="Book Antiqua" w:hAnsi="Book Antiqua"/>
          <w:b/>
          <w:sz w:val="24"/>
          <w:szCs w:val="24"/>
        </w:rPr>
        <w:t xml:space="preserve">Core </w:t>
      </w:r>
      <w:r w:rsidR="00556132">
        <w:rPr>
          <w:rFonts w:ascii="Book Antiqua" w:hAnsi="Book Antiqua" w:hint="eastAsia"/>
          <w:b/>
          <w:sz w:val="24"/>
          <w:szCs w:val="24"/>
        </w:rPr>
        <w:t>T</w:t>
      </w:r>
      <w:r>
        <w:rPr>
          <w:rFonts w:ascii="Book Antiqua" w:hAnsi="Book Antiqua"/>
          <w:b/>
          <w:sz w:val="24"/>
          <w:szCs w:val="24"/>
        </w:rPr>
        <w:t>ip:</w:t>
      </w:r>
      <w:r>
        <w:rPr>
          <w:rFonts w:ascii="Book Antiqua" w:eastAsia="FreeSans" w:hAnsi="Book Antiqua" w:cs="Times New Roman"/>
          <w:b/>
          <w:bCs/>
          <w:color w:val="000000" w:themeColor="text1"/>
          <w:kern w:val="0"/>
          <w:sz w:val="24"/>
          <w:szCs w:val="24"/>
        </w:rPr>
        <w:t xml:space="preserve"> </w:t>
      </w:r>
      <w:bookmarkStart w:id="83" w:name="OLE_LINK83"/>
      <w:r>
        <w:rPr>
          <w:rStyle w:val="transsent"/>
          <w:rFonts w:ascii="Book Antiqua" w:eastAsia="宋体" w:hAnsi="Book Antiqua" w:cs="Times New Roman"/>
          <w:color w:val="000000" w:themeColor="text1"/>
          <w:sz w:val="24"/>
          <w:szCs w:val="24"/>
        </w:rPr>
        <w:t xml:space="preserve">The traditional cardiac resynchronization therapy (CRT) method was not employed; rather the left bundle branch region was used for pacing. Then, the coronal sinus left ventricular wire was combined with the right bundle branch to fuse the down transmission, which significantly narrowed the </w:t>
      </w:r>
      <w:bookmarkStart w:id="84" w:name="OLE_LINK21"/>
      <w:bookmarkStart w:id="85" w:name="OLE_LINK22"/>
      <w:r>
        <w:rPr>
          <w:rStyle w:val="transsent"/>
          <w:rFonts w:ascii="Book Antiqua" w:eastAsia="宋体" w:hAnsi="Book Antiqua" w:cs="Times New Roman"/>
          <w:color w:val="000000" w:themeColor="text1"/>
          <w:sz w:val="24"/>
          <w:szCs w:val="24"/>
        </w:rPr>
        <w:t>electrocardiogram QRS</w:t>
      </w:r>
      <w:bookmarkEnd w:id="84"/>
      <w:bookmarkEnd w:id="85"/>
      <w:r>
        <w:rPr>
          <w:rStyle w:val="transsent"/>
          <w:rFonts w:ascii="Book Antiqua" w:eastAsia="宋体" w:hAnsi="Book Antiqua" w:cs="Times New Roman"/>
          <w:color w:val="000000" w:themeColor="text1"/>
          <w:sz w:val="24"/>
          <w:szCs w:val="24"/>
        </w:rPr>
        <w:t xml:space="preserve"> and achieved the optimal effect of </w:t>
      </w:r>
      <w:r w:rsidRPr="00EE5DF2">
        <w:rPr>
          <w:rStyle w:val="transsent"/>
          <w:rFonts w:ascii="Book Antiqua" w:eastAsia="宋体" w:hAnsi="Book Antiqua" w:cs="Times New Roman"/>
          <w:color w:val="000000" w:themeColor="text1"/>
          <w:sz w:val="24"/>
          <w:szCs w:val="24"/>
        </w:rPr>
        <w:t>CRT</w:t>
      </w:r>
      <w:r>
        <w:rPr>
          <w:rStyle w:val="transsent"/>
          <w:rFonts w:ascii="Book Antiqua" w:eastAsia="宋体" w:hAnsi="Book Antiqua" w:cs="Times New Roman"/>
          <w:color w:val="000000" w:themeColor="text1"/>
          <w:sz w:val="24"/>
          <w:szCs w:val="24"/>
        </w:rPr>
        <w:t>.</w:t>
      </w:r>
    </w:p>
    <w:bookmarkEnd w:id="83"/>
    <w:p w14:paraId="3ED63F98" w14:textId="77777777" w:rsidR="005B6ADE" w:rsidRDefault="00E26689">
      <w:pPr>
        <w:widowControl/>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C527260" w14:textId="77777777" w:rsidR="005B6ADE" w:rsidRDefault="00E26689">
      <w:pPr>
        <w:autoSpaceDE w:val="0"/>
        <w:autoSpaceDN w:val="0"/>
        <w:snapToGrid w:val="0"/>
        <w:spacing w:line="360" w:lineRule="auto"/>
        <w:rPr>
          <w:rFonts w:ascii="Book Antiqua" w:hAnsi="Book Antiqua" w:cstheme="minorHAnsi"/>
          <w:b/>
          <w:sz w:val="24"/>
          <w:szCs w:val="24"/>
          <w:u w:val="single"/>
          <w:lang w:val="en-GB"/>
        </w:rPr>
      </w:pPr>
      <w:r>
        <w:rPr>
          <w:rFonts w:ascii="Book Antiqua" w:hAnsi="Book Antiqua" w:cstheme="minorHAnsi"/>
          <w:b/>
          <w:sz w:val="24"/>
          <w:szCs w:val="24"/>
          <w:u w:val="single"/>
          <w:lang w:val="en-GB"/>
        </w:rPr>
        <w:t>INTRODUCTION</w:t>
      </w:r>
    </w:p>
    <w:p w14:paraId="41FAA3A4" w14:textId="3237F4C7" w:rsidR="005B6ADE" w:rsidRDefault="00E26689">
      <w:pPr>
        <w:snapToGrid w:val="0"/>
        <w:spacing w:line="360" w:lineRule="auto"/>
        <w:rPr>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 xml:space="preserve">The main treatment methods for patients with chronic heart failure include medication therapy and device therapy. Cardiac resynchronization therapy (CRT) can obviously reduce the hospitalization rate and mortality for patients with heart failure combined with complete left bundle branch block. However, nearly a third of the patients undergoing CRT with the traditional double ventricular pacing </w:t>
      </w:r>
      <w:r w:rsidRPr="00EE5DF2">
        <w:rPr>
          <w:rStyle w:val="transsent"/>
          <w:rFonts w:ascii="Book Antiqua" w:eastAsia="宋体" w:hAnsi="Book Antiqua" w:cs="Times New Roman"/>
          <w:color w:val="000000" w:themeColor="text1"/>
          <w:sz w:val="24"/>
          <w:szCs w:val="24"/>
        </w:rPr>
        <w:t>do</w:t>
      </w:r>
      <w:r>
        <w:rPr>
          <w:rStyle w:val="transsent"/>
          <w:rFonts w:ascii="Book Antiqua" w:eastAsia="宋体" w:hAnsi="Book Antiqua" w:cs="Times New Roman"/>
          <w:color w:val="000000" w:themeColor="text1"/>
          <w:sz w:val="24"/>
          <w:szCs w:val="24"/>
        </w:rPr>
        <w:t xml:space="preserve"> not show any improvement. Thus, the traditional dual-chamber pacing may not be the best way for CRT. The left bundle branch pacing can work together with the coronal sinus left ventricular wire, thus making the left and right ventricles more synchronized and the QRS duration more shortened. Herein, we report a case of left bundle branch pacing with the optimization of CRT.</w:t>
      </w:r>
    </w:p>
    <w:p w14:paraId="4764B174" w14:textId="77777777" w:rsidR="005B6ADE" w:rsidRDefault="005B6ADE">
      <w:pPr>
        <w:autoSpaceDE w:val="0"/>
        <w:autoSpaceDN w:val="0"/>
        <w:snapToGrid w:val="0"/>
        <w:spacing w:line="360" w:lineRule="auto"/>
        <w:rPr>
          <w:rFonts w:ascii="Book Antiqua" w:eastAsia="宋体" w:hAnsi="Book Antiqua" w:cs="宋体"/>
          <w:b/>
          <w:color w:val="000000" w:themeColor="text1"/>
          <w:sz w:val="24"/>
          <w:szCs w:val="24"/>
        </w:rPr>
      </w:pPr>
    </w:p>
    <w:p w14:paraId="7CF89809" w14:textId="77777777" w:rsidR="005B6ADE" w:rsidRDefault="00E26689">
      <w:pPr>
        <w:snapToGrid w:val="0"/>
        <w:spacing w:line="360" w:lineRule="auto"/>
        <w:rPr>
          <w:rFonts w:ascii="Book Antiqua" w:hAnsi="Book Antiqua" w:cstheme="minorHAnsi"/>
          <w:b/>
          <w:sz w:val="24"/>
          <w:szCs w:val="24"/>
          <w:u w:val="single"/>
        </w:rPr>
      </w:pPr>
      <w:r>
        <w:rPr>
          <w:rFonts w:ascii="Book Antiqua" w:hAnsi="Book Antiqua" w:cstheme="minorHAnsi"/>
          <w:b/>
          <w:sz w:val="24"/>
          <w:szCs w:val="24"/>
          <w:u w:val="single"/>
        </w:rPr>
        <w:t>CASE PRESENTATION</w:t>
      </w:r>
    </w:p>
    <w:p w14:paraId="67ED9CDC"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Chief complaints</w:t>
      </w:r>
    </w:p>
    <w:p w14:paraId="21A78D0C" w14:textId="2CD7D5A5"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 63-year-old female patient had repeated experiences of heart fatigue and shortness of breath after activities in the last 3 years. She had no symptoms of syncope, blackness, chest tightness, or chest pain.</w:t>
      </w:r>
    </w:p>
    <w:p w14:paraId="33DAD921" w14:textId="77777777" w:rsidR="005B6ADE" w:rsidRDefault="005B6ADE">
      <w:pPr>
        <w:snapToGrid w:val="0"/>
        <w:spacing w:line="360" w:lineRule="auto"/>
        <w:rPr>
          <w:rFonts w:ascii="Book Antiqua" w:hAnsi="Book Antiqua" w:cs="Times New Roman"/>
          <w:color w:val="000000" w:themeColor="text1"/>
          <w:sz w:val="24"/>
          <w:szCs w:val="24"/>
        </w:rPr>
      </w:pPr>
    </w:p>
    <w:p w14:paraId="6DC8A3AC"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History of present illness</w:t>
      </w:r>
    </w:p>
    <w:p w14:paraId="453BF1C6"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was admitted to the hospital due to the aggravation of heart fatigue and tightness of breath.</w:t>
      </w:r>
    </w:p>
    <w:p w14:paraId="27B70F2D" w14:textId="77777777" w:rsidR="005B6ADE" w:rsidRDefault="005B6ADE">
      <w:pPr>
        <w:snapToGrid w:val="0"/>
        <w:spacing w:line="360" w:lineRule="auto"/>
        <w:rPr>
          <w:rFonts w:ascii="Book Antiqua" w:hAnsi="Book Antiqua" w:cs="Times New Roman"/>
          <w:color w:val="000000" w:themeColor="text1"/>
          <w:sz w:val="24"/>
          <w:szCs w:val="24"/>
        </w:rPr>
      </w:pPr>
    </w:p>
    <w:p w14:paraId="34CDE772"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History of past illness</w:t>
      </w:r>
    </w:p>
    <w:p w14:paraId="5A34DFCC" w14:textId="7F7526B6"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had no medical history.</w:t>
      </w:r>
    </w:p>
    <w:p w14:paraId="397A77B7" w14:textId="77777777" w:rsidR="005B6ADE" w:rsidRDefault="005B6ADE">
      <w:pPr>
        <w:snapToGrid w:val="0"/>
        <w:spacing w:line="360" w:lineRule="auto"/>
        <w:rPr>
          <w:rFonts w:ascii="Book Antiqua" w:hAnsi="Book Antiqua" w:cs="Times New Roman"/>
          <w:color w:val="000000" w:themeColor="text1"/>
          <w:sz w:val="24"/>
          <w:szCs w:val="24"/>
        </w:rPr>
      </w:pPr>
    </w:p>
    <w:p w14:paraId="2A4F82D2" w14:textId="77777777" w:rsidR="005B6ADE" w:rsidRDefault="00E26689">
      <w:pPr>
        <w:snapToGrid w:val="0"/>
        <w:spacing w:line="360" w:lineRule="auto"/>
        <w:rPr>
          <w:rFonts w:ascii="Book Antiqua" w:hAnsi="Book Antiqua" w:cstheme="minorHAnsi"/>
          <w:b/>
          <w:i/>
          <w:sz w:val="24"/>
          <w:szCs w:val="24"/>
        </w:rPr>
      </w:pPr>
      <w:r>
        <w:rPr>
          <w:rFonts w:ascii="Book Antiqua" w:eastAsia="Calibri" w:hAnsi="Book Antiqua" w:cstheme="minorHAnsi"/>
          <w:b/>
          <w:i/>
          <w:sz w:val="24"/>
          <w:szCs w:val="24"/>
        </w:rPr>
        <w:t>Physical examination</w:t>
      </w:r>
    </w:p>
    <w:p w14:paraId="475A75E0" w14:textId="35CFD486"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physical examination results revealed blood pressure of 98/62 mm Hg, enlarged heart border on the left lower side, heart rate of 70 times/min, dull heart tone, and 2/6 systolic blowing murmur.</w:t>
      </w:r>
    </w:p>
    <w:p w14:paraId="7468E611" w14:textId="77777777" w:rsidR="005B6ADE" w:rsidRDefault="005B6ADE">
      <w:pPr>
        <w:snapToGrid w:val="0"/>
        <w:spacing w:line="360" w:lineRule="auto"/>
        <w:rPr>
          <w:rFonts w:ascii="Book Antiqua" w:eastAsia="Calibri" w:hAnsi="Book Antiqua" w:cstheme="minorHAnsi"/>
          <w:b/>
          <w:i/>
          <w:sz w:val="24"/>
          <w:szCs w:val="24"/>
        </w:rPr>
      </w:pPr>
    </w:p>
    <w:p w14:paraId="774F1641" w14:textId="77777777" w:rsidR="005B6ADE" w:rsidRDefault="00E26689">
      <w:pPr>
        <w:snapToGrid w:val="0"/>
        <w:spacing w:line="360" w:lineRule="auto"/>
        <w:rPr>
          <w:rFonts w:ascii="Book Antiqua" w:hAnsi="Book Antiqua" w:cstheme="minorHAnsi"/>
          <w:b/>
          <w:i/>
          <w:sz w:val="24"/>
          <w:szCs w:val="24"/>
        </w:rPr>
      </w:pPr>
      <w:r>
        <w:rPr>
          <w:rFonts w:ascii="Book Antiqua" w:eastAsia="Calibri" w:hAnsi="Book Antiqua" w:cstheme="minorHAnsi"/>
          <w:b/>
          <w:i/>
          <w:sz w:val="24"/>
          <w:szCs w:val="24"/>
        </w:rPr>
        <w:t xml:space="preserve">Laboratory </w:t>
      </w:r>
      <w:r>
        <w:rPr>
          <w:rFonts w:ascii="Book Antiqua" w:hAnsi="Book Antiqua"/>
          <w:b/>
          <w:i/>
          <w:color w:val="000000" w:themeColor="text1"/>
          <w:sz w:val="24"/>
          <w:szCs w:val="24"/>
        </w:rPr>
        <w:t>examinations</w:t>
      </w:r>
    </w:p>
    <w:p w14:paraId="3015B406" w14:textId="0118D992"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N-terminal pro-B-type natriuretic peptide level was 2600 pg/mL.</w:t>
      </w:r>
    </w:p>
    <w:p w14:paraId="4BA8201F" w14:textId="77777777" w:rsidR="005B6ADE" w:rsidRDefault="005B6ADE">
      <w:pPr>
        <w:snapToGrid w:val="0"/>
        <w:spacing w:line="360" w:lineRule="auto"/>
        <w:rPr>
          <w:rFonts w:ascii="Book Antiqua" w:hAnsi="Book Antiqua" w:cs="Times New Roman"/>
          <w:color w:val="000000" w:themeColor="text1"/>
          <w:sz w:val="24"/>
          <w:szCs w:val="24"/>
        </w:rPr>
      </w:pPr>
    </w:p>
    <w:p w14:paraId="0BE52C37" w14:textId="315F750E"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Further diagnostic workup</w:t>
      </w:r>
    </w:p>
    <w:p w14:paraId="71DE037B" w14:textId="7A5961E3"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electrocardiogram (ECG) results showed sinus rhythm, complete left bundle branch block, and QRS duration of 160 ms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1). Color Doppler ultrasound revealed a left atrial diameter of 45 mm, left ventricular diastolic diameter of 73 mm, and left ventricular ejection fraction of 21%. Coronary angiography results revealed no obvious stenosis in the left and right coronary arteries.</w:t>
      </w:r>
    </w:p>
    <w:p w14:paraId="6D388D27" w14:textId="77777777" w:rsidR="005B6ADE" w:rsidRDefault="005B6ADE">
      <w:pPr>
        <w:snapToGrid w:val="0"/>
        <w:spacing w:line="360" w:lineRule="auto"/>
        <w:rPr>
          <w:rFonts w:ascii="Book Antiqua" w:hAnsi="Book Antiqua" w:cs="Times New Roman"/>
          <w:color w:val="000000" w:themeColor="text1"/>
          <w:sz w:val="24"/>
          <w:szCs w:val="24"/>
        </w:rPr>
      </w:pPr>
    </w:p>
    <w:p w14:paraId="2D8BFA98" w14:textId="77777777" w:rsidR="005B6ADE" w:rsidRDefault="00E26689">
      <w:pPr>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FINAL DIAGNOSIS</w:t>
      </w:r>
    </w:p>
    <w:p w14:paraId="6E196292" w14:textId="2E7C982E"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patient was diagnosed with dilated cardiomyopathy New York Heart Association (NYHA) cardiac function level III, and therefore </w:t>
      </w:r>
      <w:r>
        <w:rPr>
          <w:rFonts w:ascii="Book Antiqua" w:eastAsia="宋体" w:hAnsi="Book Antiqua" w:cs="Times New Roman"/>
          <w:color w:val="000000" w:themeColor="text1"/>
          <w:sz w:val="24"/>
          <w:szCs w:val="24"/>
        </w:rPr>
        <w:t>CRT</w:t>
      </w:r>
      <w:r>
        <w:rPr>
          <w:rFonts w:ascii="Book Antiqua" w:hAnsi="Book Antiqua" w:cs="Times New Roman"/>
          <w:color w:val="000000" w:themeColor="text1"/>
          <w:sz w:val="24"/>
          <w:szCs w:val="24"/>
        </w:rPr>
        <w:t xml:space="preserve"> (model C2TR01, Medtronic, United States) was performed. </w:t>
      </w:r>
    </w:p>
    <w:p w14:paraId="5EE77492" w14:textId="77777777" w:rsidR="005B6ADE" w:rsidRDefault="005B6ADE">
      <w:pPr>
        <w:snapToGrid w:val="0"/>
        <w:spacing w:line="360" w:lineRule="auto"/>
        <w:rPr>
          <w:rFonts w:ascii="Book Antiqua" w:hAnsi="Book Antiqua" w:cs="Times New Roman"/>
          <w:color w:val="000000" w:themeColor="text1"/>
          <w:sz w:val="24"/>
          <w:szCs w:val="24"/>
        </w:rPr>
      </w:pPr>
    </w:p>
    <w:p w14:paraId="706FF6DA" w14:textId="77777777" w:rsidR="005B6ADE" w:rsidRDefault="00E26689">
      <w:pPr>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TREATMENT</w:t>
      </w:r>
    </w:p>
    <w:p w14:paraId="125E0607" w14:textId="48E9CF5B"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left bundle branch pacing with the optimization of CRT was adopted. The left axillary vein was punctured during the surgery, and the pacemaker bag was successfully placed. This was followed by the introduction of a 10-stage electrophysiological catheter into the long sheath of the left ventricle </w:t>
      </w:r>
      <w:r w:rsidRPr="00EE5DF2">
        <w:rPr>
          <w:rFonts w:ascii="Book Antiqua" w:hAnsi="Book Antiqua" w:cs="Times New Roman"/>
          <w:i/>
          <w:color w:val="000000" w:themeColor="text1"/>
          <w:sz w:val="24"/>
          <w:szCs w:val="24"/>
        </w:rPr>
        <w:t>via</w:t>
      </w:r>
      <w:r>
        <w:rPr>
          <w:rFonts w:ascii="Book Antiqua" w:hAnsi="Book Antiqua" w:cs="Times New Roman"/>
          <w:color w:val="000000" w:themeColor="text1"/>
          <w:sz w:val="24"/>
          <w:szCs w:val="24"/>
        </w:rPr>
        <w:t xml:space="preserve"> the coronary sinus. Coronary angiography was performed for choosing a left ventricular lateral vein as the target vessel</w:t>
      </w:r>
      <w:r>
        <w:rPr>
          <w:rFonts w:ascii="Book Antiqua" w:hAnsi="Book Antiqua" w:cs="Times New Roman"/>
          <w:color w:val="000000" w:themeColor="text1"/>
          <w:sz w:val="24"/>
          <w:szCs w:val="24"/>
          <w:vertAlign w:val="superscript"/>
        </w:rPr>
        <w:t>[1]</w:t>
      </w:r>
      <w:r>
        <w:rPr>
          <w:rFonts w:ascii="Book Antiqua" w:hAnsi="Book Antiqua" w:cs="Times New Roman"/>
          <w:color w:val="000000" w:themeColor="text1"/>
          <w:sz w:val="24"/>
          <w:szCs w:val="24"/>
        </w:rPr>
        <w:t>. A Medtronic 4296 left ventricular electrode was used to guide the filament along the percutaneous transluminal coronary angioplasty finger into the anterior coronary sinus. The lateral wall of the left ventricle was successfully paced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2), with a pacing threshold of 0.8 </w:t>
      </w:r>
      <w:r w:rsidR="00B0400A">
        <w:rPr>
          <w:rFonts w:ascii="Book Antiqua" w:hAnsi="Book Antiqua" w:cs="Times New Roman"/>
          <w:color w:val="000000" w:themeColor="text1"/>
          <w:sz w:val="24"/>
          <w:szCs w:val="24"/>
        </w:rPr>
        <w:t>V</w:t>
      </w:r>
      <w:r>
        <w:rPr>
          <w:rFonts w:ascii="Book Antiqua" w:hAnsi="Book Antiqua" w:cs="Times New Roman"/>
          <w:color w:val="000000" w:themeColor="text1"/>
          <w:sz w:val="24"/>
          <w:szCs w:val="24"/>
        </w:rPr>
        <w:t>, diaphragmatic muscle stimulation of 10 V, and application of Medtronic 3830 electrodes with C315HIS long sheath. The electrodes were placed across the tricuspid valve for about 1.5-cm interval as</w:t>
      </w:r>
      <w:r w:rsidR="00B0400A">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the implant site in the left bundle branch area. Then, the Medtronic 3830 pacing lead was screwed. Multi-body fluoroscopy was used, and the left bundle branch was paced after two to four turns of the lead screw. The ECG showed a complete left bundle branch block pattern, namely, V1 as QS type, I and AVL QRS wave of &gt;120 ms, a notch on the top, output voltage of 1.5 V, pulse width of 0.4 ms, perception of 5.5 V, and impedance of 580 Ω. The findings indicated that the electrode was located in the right ventricular space. Further, the</w:t>
      </w:r>
      <w:r w:rsidR="00B0400A">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3830 electrode penetrated into the interventricular septum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3). Multiple-lead QRS wave was observed, which was obviously narrowed to 120–138 ms. The pattern in lead V1 was suggestive of the presence of the right bundle branch block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4). This observation indicated that the electrode turned into the left bundle branch area of the His-Purkinje system, which was paced with an output voltage of 1.0 V, pulse width of 0.4 ms, perception of 10.0 V, and impedance of 960 Ω. The pacemaker threshold, impedance, </w:t>
      </w:r>
      <w:r w:rsidR="00DE4E2E">
        <w:rPr>
          <w:rFonts w:ascii="Book Antiqua" w:hAnsi="Book Antiqua" w:cs="Times New Roman"/>
          <w:color w:val="000000" w:themeColor="text1"/>
          <w:sz w:val="24"/>
          <w:szCs w:val="24"/>
        </w:rPr>
        <w:t xml:space="preserve">and </w:t>
      </w:r>
      <w:r>
        <w:rPr>
          <w:rFonts w:ascii="Book Antiqua" w:hAnsi="Book Antiqua" w:cs="Times New Roman"/>
          <w:color w:val="000000" w:themeColor="text1"/>
          <w:sz w:val="24"/>
          <w:szCs w:val="24"/>
        </w:rPr>
        <w:t xml:space="preserve">perception parameters were monitored repeatedly during the surgery. The orderly implanted atrial electrodes were tested, revealing good test parameters. The outer sheath of electrode C315 in the left bundle branch, the electrode connected to the right ventricular jack, and the atrial electrode connected to the atrial socket were removed, and the bag was sutured with the pacing threshold of 1.2 V, perception of 3 V, and impedance of 780 Ω </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The pacemaker after the surgery was programmed by adjusting atrioventricular (AV) delay and </w:t>
      </w:r>
      <w:bookmarkStart w:id="86" w:name="OLE_LINK7"/>
      <w:bookmarkStart w:id="87" w:name="OLE_LINK10"/>
      <w:bookmarkStart w:id="88" w:name="OLE_LINK11"/>
      <w:bookmarkStart w:id="89" w:name="OLE_LINK12"/>
      <w:r>
        <w:rPr>
          <w:rFonts w:ascii="Book Antiqua" w:hAnsi="Book Antiqua" w:cs="Times New Roman"/>
          <w:color w:val="000000" w:themeColor="text1"/>
          <w:sz w:val="24"/>
          <w:szCs w:val="24"/>
        </w:rPr>
        <w:t>VV</w:t>
      </w:r>
      <w:bookmarkStart w:id="90" w:name="OLE_LINK13"/>
      <w:bookmarkStart w:id="91" w:name="OLE_LINK14"/>
      <w:bookmarkEnd w:id="86"/>
      <w:bookmarkEnd w:id="87"/>
      <w:r>
        <w:rPr>
          <w:rFonts w:ascii="Book Antiqua" w:hAnsi="Book Antiqua" w:cs="Times New Roman"/>
          <w:color w:val="000000" w:themeColor="text1"/>
          <w:sz w:val="24"/>
          <w:szCs w:val="24"/>
        </w:rPr>
        <w:t xml:space="preserve"> interphase</w:t>
      </w:r>
      <w:bookmarkEnd w:id="88"/>
      <w:bookmarkEnd w:id="89"/>
      <w:bookmarkEnd w:id="90"/>
      <w:bookmarkEnd w:id="91"/>
      <w:r>
        <w:rPr>
          <w:rFonts w:ascii="Book Antiqua" w:hAnsi="Book Antiqua" w:cs="Times New Roman"/>
          <w:color w:val="000000" w:themeColor="text1"/>
          <w:sz w:val="24"/>
          <w:szCs w:val="24"/>
        </w:rPr>
        <w:t xml:space="preserve"> for fusing the left bundle branch area electrode and the left ventricular electrode with the right bundle branch, and then transmitted down to achieve the narrowest QRS wave graph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5A). Compared with the initial ECG, the QRS wave showed significant narrowing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5B), and the electrode position was observed through multiple postures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6).</w:t>
      </w:r>
    </w:p>
    <w:p w14:paraId="4D595E9F" w14:textId="77777777" w:rsidR="005B6ADE" w:rsidRDefault="005B6ADE">
      <w:pPr>
        <w:snapToGrid w:val="0"/>
        <w:spacing w:line="360" w:lineRule="auto"/>
        <w:rPr>
          <w:rFonts w:ascii="Book Antiqua" w:hAnsi="Book Antiqua" w:cs="Times New Roman"/>
          <w:color w:val="000000" w:themeColor="text1"/>
          <w:sz w:val="24"/>
          <w:szCs w:val="24"/>
        </w:rPr>
      </w:pPr>
    </w:p>
    <w:p w14:paraId="788FD53F" w14:textId="77777777" w:rsidR="005B6ADE" w:rsidRDefault="00E26689">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40F4C9C6" w14:textId="3D513FBC" w:rsidR="005B6ADE" w:rsidRDefault="00E26689">
      <w:pPr>
        <w:snapToGrid w:val="0"/>
        <w:spacing w:line="360" w:lineRule="auto"/>
        <w:rPr>
          <w:rFonts w:ascii="Book Antiqua" w:hAnsi="Book Antiqua" w:cs="Times New Roman"/>
          <w:b/>
          <w:bCs/>
          <w:color w:val="000000" w:themeColor="text1"/>
          <w:sz w:val="24"/>
          <w:szCs w:val="24"/>
        </w:rPr>
      </w:pPr>
      <w:r>
        <w:rPr>
          <w:rFonts w:ascii="Book Antiqua" w:hAnsi="Book Antiqua" w:cs="Times New Roman"/>
          <w:color w:val="000000" w:themeColor="text1"/>
          <w:sz w:val="24"/>
          <w:szCs w:val="24"/>
        </w:rPr>
        <w:t xml:space="preserve">The follow-up at 3 </w:t>
      </w:r>
      <w:r w:rsidR="00DE4E2E">
        <w:rPr>
          <w:rFonts w:ascii="Book Antiqua" w:hAnsi="Book Antiqua" w:cs="Times New Roman"/>
          <w:color w:val="000000" w:themeColor="text1"/>
          <w:sz w:val="24"/>
          <w:szCs w:val="24"/>
        </w:rPr>
        <w:t xml:space="preserve">mo </w:t>
      </w:r>
      <w:r>
        <w:rPr>
          <w:rFonts w:ascii="Book Antiqua" w:hAnsi="Book Antiqua" w:cs="Times New Roman"/>
          <w:color w:val="000000" w:themeColor="text1"/>
          <w:sz w:val="24"/>
          <w:szCs w:val="24"/>
        </w:rPr>
        <w:t>after the surgery showed that the patient's NYHA heart function was recovered to level II, with good pacing threshold, perceived impedance, and perceived parameters of atrial electrode, left bundle branch area electrode, and left ventricular electrode.</w:t>
      </w:r>
    </w:p>
    <w:p w14:paraId="09ED7C63" w14:textId="77777777" w:rsidR="005B6ADE" w:rsidRDefault="005B6ADE">
      <w:pPr>
        <w:snapToGrid w:val="0"/>
        <w:spacing w:line="360" w:lineRule="auto"/>
        <w:rPr>
          <w:rFonts w:ascii="Book Antiqua" w:hAnsi="Book Antiqua" w:cs="Times New Roman"/>
          <w:b/>
          <w:bCs/>
          <w:color w:val="000000" w:themeColor="text1"/>
          <w:sz w:val="24"/>
          <w:szCs w:val="24"/>
        </w:rPr>
      </w:pPr>
      <w:bookmarkStart w:id="92" w:name="OLE_LINK61"/>
    </w:p>
    <w:p w14:paraId="76C99211" w14:textId="77777777" w:rsidR="005B6ADE" w:rsidRDefault="00E26689">
      <w:pPr>
        <w:pStyle w:val="Normal1"/>
        <w:snapToGrid w:val="0"/>
        <w:spacing w:after="0" w:line="360" w:lineRule="auto"/>
        <w:jc w:val="both"/>
        <w:rPr>
          <w:rFonts w:ascii="Book Antiqua" w:hAnsi="Book Antiqua" w:cstheme="minorHAnsi"/>
          <w:sz w:val="24"/>
          <w:szCs w:val="24"/>
          <w:u w:val="single"/>
        </w:rPr>
      </w:pPr>
      <w:r>
        <w:rPr>
          <w:rFonts w:ascii="Book Antiqua" w:hAnsi="Book Antiqua" w:cstheme="minorHAnsi"/>
          <w:b/>
          <w:sz w:val="24"/>
          <w:szCs w:val="24"/>
          <w:u w:val="single"/>
        </w:rPr>
        <w:t>DISCUSSION</w:t>
      </w:r>
    </w:p>
    <w:p w14:paraId="2DF5878B" w14:textId="15BA2A5E"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CRT is a therapy used for treating cardiomyopathy, heart failure, and left bundle branch block</w:t>
      </w:r>
      <w:r>
        <w:rPr>
          <w:rFonts w:ascii="Book Antiqua" w:hAnsi="Book Antiqua" w:cs="Times New Roman"/>
          <w:color w:val="000000" w:themeColor="text1"/>
          <w:sz w:val="24"/>
          <w:szCs w:val="24"/>
          <w:vertAlign w:val="superscript"/>
        </w:rPr>
        <w:t>[3]</w:t>
      </w:r>
      <w:r>
        <w:rPr>
          <w:rFonts w:ascii="Book Antiqua" w:hAnsi="Book Antiqua" w:cs="Times New Roman"/>
          <w:color w:val="000000" w:themeColor="text1"/>
          <w:sz w:val="24"/>
          <w:szCs w:val="24"/>
        </w:rPr>
        <w:t xml:space="preserve">. The self-conscious symptoms, exercise tolerance, and quality of life of patients with heart failure can be improved by enhancing the cardiac atrioventricular, interventricular, and left ventricular movement in coordination and improving the hemodynamics. Long-term treatment can reverse left ventricular remodeling, thus significantly reducing hospitalization and mortality in patients with heart failure. About 30% of patients undergoing conventional CRT showed no response due to the following reasons: (1) </w:t>
      </w:r>
      <w:r w:rsidR="00DE4E2E">
        <w:rPr>
          <w:rFonts w:ascii="Book Antiqua" w:hAnsi="Book Antiqua" w:cs="Times New Roman"/>
          <w:color w:val="000000" w:themeColor="text1"/>
          <w:sz w:val="24"/>
          <w:szCs w:val="24"/>
        </w:rPr>
        <w:t>I</w:t>
      </w:r>
      <w:r>
        <w:rPr>
          <w:rFonts w:ascii="Book Antiqua" w:hAnsi="Book Antiqua" w:cs="Times New Roman"/>
          <w:color w:val="000000" w:themeColor="text1"/>
          <w:sz w:val="24"/>
          <w:szCs w:val="24"/>
        </w:rPr>
        <w:t xml:space="preserve">mproper position of the left ventricular electrode; (2) advanced heart failure; (3) left ventricular free wall with a transmural myocardial infarction; and (4) mild ventricular dyssynchrony </w:t>
      </w:r>
      <w:r>
        <w:rPr>
          <w:rFonts w:ascii="Book Antiqua" w:hAnsi="Book Antiqua" w:cs="Times New Roman"/>
          <w:color w:val="000000" w:themeColor="text1"/>
          <w:sz w:val="24"/>
          <w:szCs w:val="24"/>
          <w:vertAlign w:val="superscript"/>
        </w:rPr>
        <w:t>[4]</w:t>
      </w:r>
      <w:r>
        <w:rPr>
          <w:rFonts w:ascii="Book Antiqua" w:hAnsi="Book Antiqua" w:cs="Times New Roman"/>
          <w:color w:val="000000" w:themeColor="text1"/>
          <w:sz w:val="24"/>
          <w:szCs w:val="24"/>
        </w:rPr>
        <w:t xml:space="preserve">. Vijayaraman </w:t>
      </w:r>
      <w:r>
        <w:rPr>
          <w:rFonts w:ascii="Book Antiqua" w:hAnsi="Book Antiqua" w:cs="Times New Roman"/>
          <w:i/>
          <w:iCs/>
          <w:color w:val="000000" w:themeColor="text1"/>
          <w:sz w:val="24"/>
          <w:szCs w:val="24"/>
        </w:rPr>
        <w:t xml:space="preserve">et al. </w:t>
      </w:r>
      <w:r>
        <w:rPr>
          <w:rFonts w:ascii="Book Antiqua" w:hAnsi="Book Antiqua" w:cs="Times New Roman"/>
          <w:color w:val="000000" w:themeColor="text1"/>
          <w:sz w:val="24"/>
          <w:szCs w:val="24"/>
          <w:vertAlign w:val="superscript"/>
        </w:rPr>
        <w:t>[5]</w:t>
      </w:r>
      <w:r>
        <w:rPr>
          <w:rFonts w:ascii="Book Antiqua" w:hAnsi="Book Antiqua" w:cs="Times New Roman"/>
          <w:color w:val="000000" w:themeColor="text1"/>
          <w:sz w:val="24"/>
          <w:szCs w:val="24"/>
        </w:rPr>
        <w:t xml:space="preserve"> achieved satisfactory clinical results, including clinical prognosis and ultrasonic findings, using His-optimized CRT. However, the stability and perception of the electrode remained poor, and the technical requirements were high, with certain risks of short- and long-term electrode dislocation</w:t>
      </w:r>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rPr>
        <w:t>. Therefore, the left bundle branch pacing with the optimization of CRT may serve as a potential CRT strategy.</w:t>
      </w:r>
    </w:p>
    <w:p w14:paraId="3F5DB298" w14:textId="77777777" w:rsidR="005B6ADE" w:rsidRDefault="005B6ADE">
      <w:pPr>
        <w:snapToGrid w:val="0"/>
        <w:spacing w:line="360" w:lineRule="auto"/>
        <w:rPr>
          <w:rFonts w:ascii="Book Antiqua" w:hAnsi="Book Antiqua" w:cs="Times New Roman"/>
          <w:color w:val="000000" w:themeColor="text1"/>
          <w:sz w:val="24"/>
          <w:szCs w:val="24"/>
        </w:rPr>
      </w:pPr>
    </w:p>
    <w:bookmarkEnd w:id="92"/>
    <w:p w14:paraId="0899358F" w14:textId="4C4FC3AF" w:rsidR="005B6ADE" w:rsidRDefault="00E26689">
      <w:pPr>
        <w:autoSpaceDE w:val="0"/>
        <w:autoSpaceDN w:val="0"/>
        <w:snapToGrid w:val="0"/>
        <w:spacing w:line="360" w:lineRule="auto"/>
        <w:rPr>
          <w:rFonts w:ascii="Book Antiqua" w:eastAsia="Calibri" w:hAnsi="Book Antiqua" w:cstheme="minorHAnsi"/>
          <w:b/>
          <w:sz w:val="24"/>
          <w:szCs w:val="24"/>
          <w:u w:val="single"/>
        </w:rPr>
      </w:pPr>
      <w:r>
        <w:rPr>
          <w:rFonts w:ascii="Book Antiqua" w:eastAsia="Calibri" w:hAnsi="Book Antiqua" w:cstheme="minorHAnsi"/>
          <w:b/>
          <w:sz w:val="24"/>
          <w:szCs w:val="24"/>
          <w:u w:val="single"/>
        </w:rPr>
        <w:t>CONCLUSION</w:t>
      </w:r>
    </w:p>
    <w:p w14:paraId="78A8553C" w14:textId="4CF477A4"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left bundle branch area pacemaker assists in correcting the complete left bundle branch block partly, which then cooperates with the coronary sinus left ventricular pacing lead. By adjusting the optimal </w:t>
      </w:r>
      <w:bookmarkStart w:id="93" w:name="OLE_LINK18"/>
      <w:bookmarkStart w:id="94" w:name="OLE_LINK19"/>
      <w:r>
        <w:rPr>
          <w:rFonts w:ascii="Book Antiqua" w:hAnsi="Book Antiqua" w:cs="Times New Roman"/>
          <w:color w:val="000000" w:themeColor="text1"/>
          <w:sz w:val="24"/>
          <w:szCs w:val="24"/>
        </w:rPr>
        <w:t>AV</w:t>
      </w:r>
      <w:bookmarkEnd w:id="93"/>
      <w:bookmarkEnd w:id="94"/>
      <w:r>
        <w:rPr>
          <w:rFonts w:ascii="Book Antiqua" w:hAnsi="Book Antiqua" w:cs="Times New Roman"/>
          <w:color w:val="000000" w:themeColor="text1"/>
          <w:sz w:val="24"/>
          <w:szCs w:val="24"/>
        </w:rPr>
        <w:t xml:space="preserve"> delay and VV interphase, the electrode in the region of the left bundle branch and the electrode in the left ventricle were fused with the right bundle branch to produce a narrower QRS. This was considered as an independent predictor of the effectiveness of treatment</w:t>
      </w:r>
      <w:r>
        <w:rPr>
          <w:rFonts w:ascii="Book Antiqua" w:hAnsi="Book Antiqua" w:cs="Times New Roman"/>
          <w:color w:val="000000" w:themeColor="text1"/>
          <w:sz w:val="24"/>
          <w:szCs w:val="24"/>
          <w:vertAlign w:val="superscript"/>
        </w:rPr>
        <w:t>[7]</w:t>
      </w:r>
      <w:r>
        <w:rPr>
          <w:rFonts w:ascii="Book Antiqua" w:hAnsi="Book Antiqua" w:cs="Times New Roman"/>
          <w:color w:val="000000" w:themeColor="text1"/>
          <w:sz w:val="24"/>
          <w:szCs w:val="24"/>
        </w:rPr>
        <w:t xml:space="preserve"> and helped in maximizing electric resynchronization and improving the prognosis of patients with heart failure. In this study, the effect of CRT was achieved in a patient with dilated cardiomyopathy and class III NYHA cardiac function. By adjusting the AV delay to 130 ms, the QRS wave was reduced to 110 ms using the two-chamber pacing fusion technique </w:t>
      </w:r>
      <w:r>
        <w:rPr>
          <w:rStyle w:val="transsent"/>
          <w:rFonts w:ascii="Book Antiqua" w:eastAsia="宋体" w:hAnsi="Book Antiqua" w:cs="Times New Roman"/>
          <w:color w:val="000000" w:themeColor="text1"/>
          <w:sz w:val="24"/>
          <w:szCs w:val="24"/>
        </w:rPr>
        <w:t>with the right bundle branch to fuse the down transmission</w:t>
      </w:r>
      <w:r>
        <w:rPr>
          <w:rFonts w:ascii="Book Antiqua" w:hAnsi="Book Antiqua" w:cs="Times New Roman"/>
          <w:color w:val="000000" w:themeColor="text1"/>
          <w:sz w:val="24"/>
          <w:szCs w:val="24"/>
        </w:rPr>
        <w:t xml:space="preserve">. </w:t>
      </w:r>
      <w:r w:rsidRPr="00EE5DF2">
        <w:rPr>
          <w:rFonts w:ascii="Book Antiqua" w:hAnsi="Book Antiqua" w:cs="Times New Roman"/>
          <w:color w:val="000000" w:themeColor="text1"/>
          <w:sz w:val="24"/>
          <w:szCs w:val="24"/>
        </w:rPr>
        <w:t>The patient was</w:t>
      </w:r>
      <w:r>
        <w:rPr>
          <w:rFonts w:ascii="Book Antiqua" w:hAnsi="Book Antiqua" w:cs="Times New Roman"/>
          <w:color w:val="000000" w:themeColor="text1"/>
          <w:sz w:val="24"/>
          <w:szCs w:val="24"/>
        </w:rPr>
        <w:t xml:space="preserve"> followed</w:t>
      </w:r>
      <w:r w:rsidR="00DE4E2E">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3 mo</w:t>
      </w:r>
      <w:r w:rsidR="00DE4E2E">
        <w:rPr>
          <w:rFonts w:ascii="Book Antiqua" w:hAnsi="Book Antiqua" w:cs="Times New Roman"/>
          <w:color w:val="000000" w:themeColor="text1"/>
          <w:sz w:val="24"/>
          <w:szCs w:val="24"/>
        </w:rPr>
        <w:t xml:space="preserve"> </w:t>
      </w:r>
      <w:r w:rsidRPr="00EE5DF2">
        <w:rPr>
          <w:rFonts w:ascii="Book Antiqua" w:hAnsi="Book Antiqua" w:cs="Times New Roman"/>
          <w:color w:val="000000" w:themeColor="text1"/>
          <w:sz w:val="24"/>
          <w:szCs w:val="24"/>
        </w:rPr>
        <w:t>postoperatively</w:t>
      </w:r>
      <w:r>
        <w:rPr>
          <w:rFonts w:ascii="Book Antiqua" w:hAnsi="Book Antiqua" w:cs="Times New Roman"/>
          <w:color w:val="000000" w:themeColor="text1"/>
          <w:sz w:val="24"/>
          <w:szCs w:val="24"/>
        </w:rPr>
        <w:t>. The results showed that the patient's NYHA cardiac function recovered to level II, and she had good pacing threshold, perceived impedance, and perceived parameters of atrial electrode, left bundle branch area electrode, and left ventricular electrode. The patient was followed for only a few months. Longer follow-ups are needed to observe electrode stability and clinical improvement.</w:t>
      </w:r>
    </w:p>
    <w:p w14:paraId="6CDAD807" w14:textId="77777777" w:rsidR="005B6ADE" w:rsidRDefault="005B6ADE">
      <w:pPr>
        <w:widowControl/>
        <w:snapToGrid w:val="0"/>
        <w:spacing w:line="360" w:lineRule="auto"/>
        <w:rPr>
          <w:rFonts w:ascii="Book Antiqua" w:hAnsi="Book Antiqua" w:cs="Times New Roman"/>
          <w:bCs/>
          <w:color w:val="000000" w:themeColor="text1"/>
          <w:sz w:val="24"/>
          <w:szCs w:val="24"/>
        </w:rPr>
      </w:pPr>
    </w:p>
    <w:p w14:paraId="229E80DA" w14:textId="77777777" w:rsidR="005B6ADE" w:rsidRDefault="00E26689">
      <w:pPr>
        <w:widowControl/>
        <w:snapToGrid w:val="0"/>
        <w:spacing w:line="360" w:lineRule="auto"/>
        <w:rPr>
          <w:rFonts w:ascii="Book Antiqua" w:hAnsi="Book Antiqua" w:cs="Times New Roman"/>
          <w:bCs/>
          <w:color w:val="000000" w:themeColor="text1"/>
          <w:sz w:val="24"/>
          <w:szCs w:val="24"/>
        </w:rPr>
      </w:pPr>
      <w:r>
        <w:rPr>
          <w:rFonts w:ascii="Book Antiqua" w:hAnsi="Book Antiqua" w:cstheme="minorHAnsi"/>
          <w:b/>
          <w:sz w:val="24"/>
          <w:szCs w:val="24"/>
        </w:rPr>
        <w:t>REFERENCES</w:t>
      </w:r>
    </w:p>
    <w:p w14:paraId="35C1EBDC"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Cheng XL,</w:t>
      </w:r>
      <w:r>
        <w:rPr>
          <w:rFonts w:ascii="Book Antiqua" w:hAnsi="Book Antiqua"/>
          <w:sz w:val="24"/>
          <w:szCs w:val="24"/>
        </w:rPr>
        <w:t xml:space="preserve"> Huang QL, Zhang J. </w:t>
      </w:r>
      <w:bookmarkStart w:id="95" w:name="OLE_LINK31"/>
      <w:r>
        <w:rPr>
          <w:rFonts w:ascii="Book Antiqua" w:hAnsi="Book Antiqua"/>
          <w:sz w:val="24"/>
          <w:szCs w:val="24"/>
        </w:rPr>
        <w:t>Clinical application of percutaneous axillary vein puncture technique in the implantation of permanent pacemaker</w:t>
      </w:r>
      <w:bookmarkEnd w:id="95"/>
      <w:r>
        <w:rPr>
          <w:rFonts w:ascii="Book Antiqua" w:hAnsi="Book Antiqua"/>
          <w:sz w:val="24"/>
          <w:szCs w:val="24"/>
        </w:rPr>
        <w:t xml:space="preserve">. </w:t>
      </w:r>
      <w:r>
        <w:rPr>
          <w:rFonts w:ascii="Book Antiqua" w:hAnsi="Book Antiqua"/>
          <w:i/>
          <w:sz w:val="24"/>
          <w:szCs w:val="24"/>
        </w:rPr>
        <w:t xml:space="preserve">Zhongwai Yiliao Zazhi </w:t>
      </w:r>
      <w:r>
        <w:rPr>
          <w:rFonts w:ascii="Book Antiqua" w:hAnsi="Book Antiqua"/>
          <w:sz w:val="24"/>
          <w:szCs w:val="24"/>
        </w:rPr>
        <w:t>2017;</w:t>
      </w:r>
      <w:r>
        <w:rPr>
          <w:rFonts w:ascii="Book Antiqua" w:hAnsi="Book Antiqua"/>
          <w:b/>
          <w:sz w:val="24"/>
          <w:szCs w:val="24"/>
        </w:rPr>
        <w:t xml:space="preserve"> 28</w:t>
      </w:r>
      <w:r>
        <w:rPr>
          <w:rFonts w:ascii="Book Antiqua" w:hAnsi="Book Antiqua"/>
          <w:sz w:val="24"/>
          <w:szCs w:val="24"/>
        </w:rPr>
        <w:t>: 115-117 [DOI: 10.16662/j.cnki.1674-0742.2017.28.115]</w:t>
      </w:r>
    </w:p>
    <w:p w14:paraId="6B822764"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Feng XF,</w:t>
      </w:r>
      <w:r>
        <w:rPr>
          <w:rFonts w:ascii="Book Antiqua" w:hAnsi="Book Antiqua"/>
          <w:sz w:val="24"/>
          <w:szCs w:val="24"/>
        </w:rPr>
        <w:t xml:space="preserve"> Yu Y, Zhao Y, Lu QF, Li YG. Experience report of single center pacing in the region of left bundle branch </w:t>
      </w:r>
      <w:r>
        <w:rPr>
          <w:rFonts w:ascii="Book Antiqua" w:hAnsi="Book Antiqua"/>
          <w:i/>
          <w:iCs/>
          <w:sz w:val="24"/>
          <w:szCs w:val="24"/>
        </w:rPr>
        <w:t>via</w:t>
      </w:r>
      <w:r>
        <w:rPr>
          <w:rFonts w:ascii="Book Antiqua" w:hAnsi="Book Antiqua"/>
          <w:sz w:val="24"/>
          <w:szCs w:val="24"/>
        </w:rPr>
        <w:t xml:space="preserve"> right axillary vein route. </w:t>
      </w:r>
      <w:r>
        <w:rPr>
          <w:rFonts w:ascii="Book Antiqua" w:hAnsi="Book Antiqua"/>
          <w:i/>
          <w:sz w:val="24"/>
          <w:szCs w:val="24"/>
        </w:rPr>
        <w:t xml:space="preserve">Zhonghua Xinlv Shichangxue Zazhi </w:t>
      </w:r>
      <w:r>
        <w:rPr>
          <w:rFonts w:ascii="Book Antiqua" w:hAnsi="Book Antiqua"/>
          <w:sz w:val="24"/>
          <w:szCs w:val="24"/>
        </w:rPr>
        <w:t xml:space="preserve">2019; </w:t>
      </w:r>
      <w:r>
        <w:rPr>
          <w:rFonts w:ascii="Book Antiqua" w:hAnsi="Book Antiqua"/>
          <w:b/>
          <w:sz w:val="24"/>
          <w:szCs w:val="24"/>
        </w:rPr>
        <w:t>23</w:t>
      </w:r>
      <w:r>
        <w:rPr>
          <w:rFonts w:ascii="Book Antiqua" w:hAnsi="Book Antiqua"/>
          <w:sz w:val="24"/>
          <w:szCs w:val="24"/>
        </w:rPr>
        <w:t>: 96-101 [DOI: 10.3760/cma.j.issn.1007-6638.2019.02.002]</w:t>
      </w:r>
    </w:p>
    <w:p w14:paraId="7B2E2AAD"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McMurray JJ</w:t>
      </w:r>
      <w:r>
        <w:rPr>
          <w:rFonts w:ascii="Book Antiqua" w:hAnsi="Book Antiqua"/>
          <w:sz w:val="24"/>
          <w:szCs w:val="24"/>
        </w:rPr>
        <w:t xml:space="preserve">, Adamopoulos S, Anker SD, Auricchio A, Böhm M, Dickstein K, Falk V, Filippatos G, Fonseca C, Gomez-Sanchez MA, Jaarsma T, Køber L, Lip GY, Maggioni AP, Parkhomenko A, Pieske BM, Popescu BA, Rønnevik PK, Rutten FH, Schwitter J, Seferovic P, Stepinska J, Trindade PT, Voors AA, Zannad F, Zeiher A; ESC Committee for Practice Guidelines.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r>
        <w:rPr>
          <w:rFonts w:ascii="Book Antiqua" w:hAnsi="Book Antiqua"/>
          <w:i/>
          <w:sz w:val="24"/>
          <w:szCs w:val="24"/>
        </w:rPr>
        <w:t>Eur Heart J</w:t>
      </w:r>
      <w:r>
        <w:rPr>
          <w:rFonts w:ascii="Book Antiqua" w:hAnsi="Book Antiqua"/>
          <w:sz w:val="24"/>
          <w:szCs w:val="24"/>
        </w:rPr>
        <w:t xml:space="preserve"> 2012; </w:t>
      </w:r>
      <w:r>
        <w:rPr>
          <w:rFonts w:ascii="Book Antiqua" w:hAnsi="Book Antiqua"/>
          <w:b/>
          <w:sz w:val="24"/>
          <w:szCs w:val="24"/>
        </w:rPr>
        <w:t>33</w:t>
      </w:r>
      <w:r>
        <w:rPr>
          <w:rFonts w:ascii="Book Antiqua" w:hAnsi="Book Antiqua"/>
          <w:sz w:val="24"/>
          <w:szCs w:val="24"/>
        </w:rPr>
        <w:t>: 1787-1847 [PMID: 22611136 DOI: 10.1093/eurheartj/ehs104]</w:t>
      </w:r>
    </w:p>
    <w:p w14:paraId="352818B9"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 xml:space="preserve">Matsuda </w:t>
      </w:r>
      <w:r>
        <w:rPr>
          <w:rFonts w:ascii="Book Antiqua" w:hAnsi="Book Antiqua"/>
          <w:b/>
          <w:caps/>
          <w:sz w:val="24"/>
          <w:szCs w:val="24"/>
        </w:rPr>
        <w:t>n</w:t>
      </w:r>
      <w:r>
        <w:rPr>
          <w:rFonts w:ascii="Book Antiqua" w:hAnsi="Book Antiqua"/>
          <w:b/>
          <w:sz w:val="24"/>
          <w:szCs w:val="24"/>
        </w:rPr>
        <w:t>,</w:t>
      </w:r>
      <w:r>
        <w:rPr>
          <w:rFonts w:ascii="Book Antiqua" w:hAnsi="Book Antiqua"/>
          <w:sz w:val="24"/>
          <w:szCs w:val="24"/>
        </w:rPr>
        <w:t xml:space="preserve"> Shichunhong. </w:t>
      </w:r>
      <w:bookmarkStart w:id="96" w:name="OLE_LINK32"/>
      <w:bookmarkStart w:id="97" w:name="OLE_LINK80"/>
      <w:r>
        <w:rPr>
          <w:rFonts w:ascii="Book Antiqua" w:hAnsi="Book Antiqua"/>
          <w:sz w:val="24"/>
          <w:szCs w:val="24"/>
        </w:rPr>
        <w:t>Cardiac resynchronization therapy</w:t>
      </w:r>
      <w:bookmarkEnd w:id="96"/>
      <w:bookmarkEnd w:id="97"/>
      <w:r>
        <w:rPr>
          <w:rFonts w:ascii="Book Antiqua" w:hAnsi="Book Antiqua"/>
          <w:sz w:val="24"/>
          <w:szCs w:val="24"/>
        </w:rPr>
        <w:t xml:space="preserve">. </w:t>
      </w:r>
      <w:r>
        <w:rPr>
          <w:rFonts w:ascii="Book Antiqua" w:hAnsi="Book Antiqua"/>
          <w:i/>
          <w:sz w:val="24"/>
          <w:szCs w:val="24"/>
        </w:rPr>
        <w:t xml:space="preserve">JPN Med </w:t>
      </w:r>
      <w:r>
        <w:rPr>
          <w:rFonts w:ascii="Book Antiqua" w:hAnsi="Book Antiqua"/>
          <w:sz w:val="24"/>
          <w:szCs w:val="24"/>
        </w:rPr>
        <w:t xml:space="preserve">2007; </w:t>
      </w:r>
      <w:r>
        <w:rPr>
          <w:rFonts w:ascii="Book Antiqua" w:hAnsi="Book Antiqua"/>
          <w:b/>
          <w:sz w:val="24"/>
          <w:szCs w:val="24"/>
        </w:rPr>
        <w:t>5</w:t>
      </w:r>
      <w:r>
        <w:rPr>
          <w:rFonts w:ascii="Book Antiqua" w:hAnsi="Book Antiqua"/>
          <w:sz w:val="24"/>
          <w:szCs w:val="24"/>
        </w:rPr>
        <w:t>: 36-39</w:t>
      </w:r>
    </w:p>
    <w:p w14:paraId="5E493E02"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Vijayaraman P</w:t>
      </w:r>
      <w:r>
        <w:rPr>
          <w:rFonts w:ascii="Book Antiqua" w:hAnsi="Book Antiqua"/>
          <w:sz w:val="24"/>
          <w:szCs w:val="24"/>
        </w:rPr>
        <w:t xml:space="preserve">, Herweg B, Ellenbogen KA, Gajek J. His-Optimized Cardiac Resynchronization Therapy to Maximize Electrical Resynchronization: A Feasibility Study. </w:t>
      </w:r>
      <w:r>
        <w:rPr>
          <w:rFonts w:ascii="Book Antiqua" w:hAnsi="Book Antiqua"/>
          <w:i/>
          <w:sz w:val="24"/>
          <w:szCs w:val="24"/>
        </w:rPr>
        <w:t>Circ Arrhythm Electrophysiol</w:t>
      </w:r>
      <w:r>
        <w:rPr>
          <w:rFonts w:ascii="Book Antiqua" w:hAnsi="Book Antiqua"/>
          <w:sz w:val="24"/>
          <w:szCs w:val="24"/>
        </w:rPr>
        <w:t xml:space="preserve"> 2019; </w:t>
      </w:r>
      <w:r>
        <w:rPr>
          <w:rFonts w:ascii="Book Antiqua" w:hAnsi="Book Antiqua"/>
          <w:b/>
          <w:sz w:val="24"/>
          <w:szCs w:val="24"/>
        </w:rPr>
        <w:t>12</w:t>
      </w:r>
      <w:r>
        <w:rPr>
          <w:rFonts w:ascii="Book Antiqua" w:hAnsi="Book Antiqua"/>
          <w:sz w:val="24"/>
          <w:szCs w:val="24"/>
        </w:rPr>
        <w:t>: e006934 [PMID: 30681348 DOI: 10.1161/circep.118.006934]</w:t>
      </w:r>
    </w:p>
    <w:p w14:paraId="3ADCB389"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Lustgarten DL</w:t>
      </w:r>
      <w:r>
        <w:rPr>
          <w:rFonts w:ascii="Book Antiqua" w:hAnsi="Book Antiqua"/>
          <w:sz w:val="24"/>
          <w:szCs w:val="24"/>
        </w:rPr>
        <w:t xml:space="preserve">, Calame S, Crespo EM, Calame J, Lobel R, Spector PS. Electrical resynchronization induced by direct His-bundle pacing. </w:t>
      </w:r>
      <w:r>
        <w:rPr>
          <w:rFonts w:ascii="Book Antiqua" w:hAnsi="Book Antiqua"/>
          <w:i/>
          <w:sz w:val="24"/>
          <w:szCs w:val="24"/>
        </w:rPr>
        <w:t>Heart Rhythm</w:t>
      </w:r>
      <w:r>
        <w:rPr>
          <w:rFonts w:ascii="Book Antiqua" w:hAnsi="Book Antiqua"/>
          <w:sz w:val="24"/>
          <w:szCs w:val="24"/>
        </w:rPr>
        <w:t xml:space="preserve"> 2010; </w:t>
      </w:r>
      <w:r>
        <w:rPr>
          <w:rFonts w:ascii="Book Antiqua" w:hAnsi="Book Antiqua"/>
          <w:b/>
          <w:sz w:val="24"/>
          <w:szCs w:val="24"/>
        </w:rPr>
        <w:t>7</w:t>
      </w:r>
      <w:r>
        <w:rPr>
          <w:rFonts w:ascii="Book Antiqua" w:hAnsi="Book Antiqua"/>
          <w:sz w:val="24"/>
          <w:szCs w:val="24"/>
        </w:rPr>
        <w:t>: 15-21 [PMID: 19914142 DOI: 10.1016/j.hrthm.2009.09.066]</w:t>
      </w:r>
    </w:p>
    <w:p w14:paraId="3FE05C52"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Lecoq G</w:t>
      </w:r>
      <w:r>
        <w:rPr>
          <w:rFonts w:ascii="Book Antiqua" w:hAnsi="Book Antiqua"/>
          <w:sz w:val="24"/>
          <w:szCs w:val="24"/>
        </w:rPr>
        <w:t xml:space="preserve">, Leclercq C, Leray E, Crocq C, Alonso C, de Place C, Mabo P, Daubert C. Clinical and electrocardiographic predictors of a positive response to cardiac resynchronization therapy in advanced heart failure. </w:t>
      </w:r>
      <w:r>
        <w:rPr>
          <w:rFonts w:ascii="Book Antiqua" w:hAnsi="Book Antiqua"/>
          <w:i/>
          <w:sz w:val="24"/>
          <w:szCs w:val="24"/>
        </w:rPr>
        <w:t>Eur Heart J</w:t>
      </w:r>
      <w:r>
        <w:rPr>
          <w:rFonts w:ascii="Book Antiqua" w:hAnsi="Book Antiqua"/>
          <w:sz w:val="24"/>
          <w:szCs w:val="24"/>
        </w:rPr>
        <w:t xml:space="preserve"> 2005; </w:t>
      </w:r>
      <w:r>
        <w:rPr>
          <w:rFonts w:ascii="Book Antiqua" w:hAnsi="Book Antiqua"/>
          <w:b/>
          <w:sz w:val="24"/>
          <w:szCs w:val="24"/>
        </w:rPr>
        <w:t>26</w:t>
      </w:r>
      <w:r>
        <w:rPr>
          <w:rFonts w:ascii="Book Antiqua" w:hAnsi="Book Antiqua"/>
          <w:sz w:val="24"/>
          <w:szCs w:val="24"/>
        </w:rPr>
        <w:t>: 1094-1100 [PMID: 15728648 DOI: 10.1093/eurheartj/ehi146]</w:t>
      </w:r>
    </w:p>
    <w:p w14:paraId="1D428F8E" w14:textId="77777777" w:rsidR="005B6ADE" w:rsidRDefault="00E26689">
      <w:pPr>
        <w:widowControl/>
        <w:snapToGrid w:val="0"/>
        <w:spacing w:line="360" w:lineRule="auto"/>
        <w:rPr>
          <w:rFonts w:ascii="Book Antiqua" w:eastAsia="等线" w:hAnsi="Book Antiqua" w:cs="Times New Roman"/>
          <w:b/>
          <w:bCs/>
          <w:color w:val="000000" w:themeColor="text1"/>
          <w:sz w:val="24"/>
          <w:szCs w:val="24"/>
        </w:rPr>
      </w:pPr>
      <w:r>
        <w:rPr>
          <w:rFonts w:ascii="Book Antiqua" w:eastAsia="等线" w:hAnsi="Book Antiqua" w:cs="Times New Roman"/>
          <w:b/>
          <w:bCs/>
          <w:color w:val="000000" w:themeColor="text1"/>
          <w:sz w:val="24"/>
          <w:szCs w:val="24"/>
        </w:rPr>
        <w:br w:type="page"/>
      </w:r>
    </w:p>
    <w:p w14:paraId="1D8A054B" w14:textId="77777777" w:rsidR="005B6ADE" w:rsidRDefault="00E26689">
      <w:pPr>
        <w:snapToGrid w:val="0"/>
        <w:spacing w:line="360" w:lineRule="auto"/>
        <w:rPr>
          <w:rFonts w:ascii="Book Antiqua" w:hAnsi="Book Antiqua"/>
          <w:b/>
          <w:sz w:val="24"/>
          <w:szCs w:val="24"/>
        </w:rPr>
      </w:pPr>
      <w:r>
        <w:rPr>
          <w:rFonts w:ascii="Book Antiqua" w:hAnsi="Book Antiqua"/>
          <w:b/>
          <w:sz w:val="24"/>
          <w:szCs w:val="24"/>
        </w:rPr>
        <w:t>Footnotes</w:t>
      </w:r>
    </w:p>
    <w:p w14:paraId="52F9C564" w14:textId="77777777" w:rsidR="005B6ADE" w:rsidRDefault="00E26689">
      <w:pPr>
        <w:kinsoku w:val="0"/>
        <w:snapToGrid w:val="0"/>
        <w:spacing w:line="360" w:lineRule="auto"/>
        <w:rPr>
          <w:rFonts w:ascii="Book Antiqua" w:hAnsi="Book Antiqua"/>
          <w:b/>
          <w:bCs/>
          <w:color w:val="000000" w:themeColor="text1"/>
          <w:sz w:val="24"/>
          <w:szCs w:val="24"/>
        </w:rPr>
      </w:pPr>
      <w:r>
        <w:rPr>
          <w:rFonts w:ascii="Book Antiqua" w:hAnsi="Book Antiqua" w:cs="Tahoma"/>
          <w:b/>
          <w:sz w:val="24"/>
          <w:szCs w:val="24"/>
          <w:lang w:val="en-GB"/>
        </w:rPr>
        <w:t>Informed consent statement:</w:t>
      </w:r>
      <w:r>
        <w:rPr>
          <w:rFonts w:ascii="Book Antiqua" w:hAnsi="Book Antiqua"/>
          <w:b/>
          <w:bCs/>
          <w:color w:val="000000" w:themeColor="text1"/>
          <w:sz w:val="24"/>
          <w:szCs w:val="24"/>
          <w:lang w:val="en-GB"/>
        </w:rPr>
        <w:t xml:space="preserve"> </w:t>
      </w:r>
      <w:r>
        <w:rPr>
          <w:rFonts w:ascii="Book Antiqua" w:hAnsi="Book Antiqua"/>
          <w:bCs/>
          <w:color w:val="000000" w:themeColor="text1"/>
          <w:sz w:val="24"/>
          <w:szCs w:val="24"/>
        </w:rPr>
        <w:t>Informed written consent was obtained from the patient for the publication of this report and any accompanying images.</w:t>
      </w:r>
    </w:p>
    <w:p w14:paraId="5316818B" w14:textId="77777777" w:rsidR="005B6ADE" w:rsidRDefault="005B6ADE">
      <w:pPr>
        <w:kinsoku w:val="0"/>
        <w:snapToGrid w:val="0"/>
        <w:spacing w:line="360" w:lineRule="auto"/>
        <w:rPr>
          <w:rFonts w:ascii="Book Antiqua" w:hAnsi="Book Antiqua"/>
          <w:b/>
          <w:bCs/>
          <w:color w:val="000000" w:themeColor="text1"/>
          <w:sz w:val="24"/>
          <w:szCs w:val="24"/>
        </w:rPr>
      </w:pPr>
    </w:p>
    <w:p w14:paraId="217480C6" w14:textId="6A79909B" w:rsidR="005B6ADE" w:rsidRDefault="00E26689">
      <w:pPr>
        <w:kinsoku w:val="0"/>
        <w:snapToGrid w:val="0"/>
        <w:spacing w:line="360" w:lineRule="auto"/>
        <w:rPr>
          <w:rFonts w:ascii="Book Antiqua" w:hAnsi="Book Antiqua"/>
          <w:bCs/>
          <w:color w:val="000000" w:themeColor="text1"/>
          <w:sz w:val="24"/>
          <w:szCs w:val="24"/>
        </w:rPr>
      </w:pPr>
      <w:bookmarkStart w:id="98" w:name="OLE_LINK96"/>
      <w:bookmarkStart w:id="99" w:name="OLE_LINK97"/>
      <w:bookmarkStart w:id="100" w:name="OLE_LINK98"/>
      <w:r>
        <w:rPr>
          <w:rFonts w:ascii="Book Antiqua" w:hAnsi="Book Antiqua" w:cs="Tahoma"/>
          <w:b/>
          <w:sz w:val="24"/>
          <w:szCs w:val="24"/>
          <w:lang w:val="en-GB"/>
        </w:rPr>
        <w:t>Conflict-of-interest statement:</w:t>
      </w:r>
      <w:r>
        <w:rPr>
          <w:rFonts w:ascii="Book Antiqua" w:hAnsi="Book Antiqua" w:cs="Tahoma"/>
          <w:sz w:val="24"/>
          <w:szCs w:val="24"/>
          <w:lang w:val="en-GB"/>
        </w:rPr>
        <w:t xml:space="preserve"> </w:t>
      </w:r>
      <w:r>
        <w:rPr>
          <w:rFonts w:ascii="Book Antiqua" w:hAnsi="Book Antiqua"/>
          <w:bCs/>
          <w:color w:val="000000" w:themeColor="text1"/>
          <w:sz w:val="24"/>
          <w:szCs w:val="24"/>
        </w:rPr>
        <w:t>The authors declare no conflicts of interest.</w:t>
      </w:r>
    </w:p>
    <w:bookmarkEnd w:id="98"/>
    <w:bookmarkEnd w:id="99"/>
    <w:bookmarkEnd w:id="100"/>
    <w:p w14:paraId="0D7CE627" w14:textId="77777777" w:rsidR="005B6ADE" w:rsidRDefault="005B6ADE">
      <w:pPr>
        <w:kinsoku w:val="0"/>
        <w:snapToGrid w:val="0"/>
        <w:spacing w:line="360" w:lineRule="auto"/>
        <w:rPr>
          <w:rFonts w:ascii="Book Antiqua" w:hAnsi="Book Antiqua"/>
          <w:b/>
          <w:bCs/>
          <w:color w:val="000000" w:themeColor="text1"/>
          <w:sz w:val="24"/>
          <w:szCs w:val="24"/>
        </w:rPr>
      </w:pPr>
    </w:p>
    <w:p w14:paraId="0B961ED1" w14:textId="77777777" w:rsidR="005B6ADE" w:rsidRDefault="00E26689">
      <w:pPr>
        <w:autoSpaceDE w:val="0"/>
        <w:autoSpaceDN w:val="0"/>
        <w:snapToGrid w:val="0"/>
        <w:spacing w:line="360" w:lineRule="auto"/>
        <w:rPr>
          <w:rFonts w:ascii="Book Antiqua" w:eastAsia="宋体" w:hAnsi="Book Antiqua" w:cs="Times New Roman"/>
          <w:sz w:val="24"/>
          <w:szCs w:val="24"/>
        </w:rPr>
      </w:pPr>
      <w:bookmarkStart w:id="101" w:name="OLE_LINK190"/>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cs="TimesNewRomanPSMT"/>
          <w:sz w:val="24"/>
          <w:szCs w:val="24"/>
          <w:lang w:val="en-GB"/>
        </w:rPr>
        <w:t>The authors have read the CARE Checklist (2016), and the manuscript was prepared and revised according to the CARE Checklist (2016).</w:t>
      </w:r>
    </w:p>
    <w:p w14:paraId="1928F7B1" w14:textId="77777777" w:rsidR="005B6ADE" w:rsidRDefault="005B6ADE">
      <w:pPr>
        <w:snapToGrid w:val="0"/>
        <w:spacing w:line="360" w:lineRule="auto"/>
        <w:rPr>
          <w:rFonts w:ascii="Book Antiqua" w:hAnsi="Book Antiqua" w:cs="Times New Roman"/>
          <w:b/>
          <w:bCs/>
          <w:color w:val="000000" w:themeColor="text1"/>
          <w:sz w:val="24"/>
          <w:szCs w:val="24"/>
        </w:rPr>
      </w:pPr>
    </w:p>
    <w:p w14:paraId="53B30AE1" w14:textId="77777777" w:rsidR="005B6ADE" w:rsidRDefault="00E26689">
      <w:pPr>
        <w:adjustRightInd w:val="0"/>
        <w:snapToGrid w:val="0"/>
        <w:spacing w:line="360" w:lineRule="auto"/>
        <w:rPr>
          <w:rFonts w:ascii="Book Antiqua" w:hAnsi="Book Antiqua"/>
          <w:sz w:val="24"/>
          <w:szCs w:val="24"/>
          <w:lang w:val="en-GB"/>
        </w:rPr>
      </w:pPr>
      <w:r>
        <w:rPr>
          <w:rFonts w:ascii="Book Antiqua" w:hAnsi="Book Antiqua"/>
          <w:b/>
          <w:color w:val="000000"/>
          <w:sz w:val="24"/>
          <w:szCs w:val="24"/>
        </w:rPr>
        <w:t>Open-Access:</w:t>
      </w:r>
      <w:r>
        <w:rPr>
          <w:rFonts w:ascii="Book Antiqua" w:hAnsi="Book Antiqua"/>
          <w:color w:val="000000"/>
          <w:sz w:val="24"/>
          <w:szCs w:val="24"/>
        </w:rPr>
        <w:t xml:space="preserve"> This article is an open-access </w:t>
      </w:r>
      <w:r>
        <w:rPr>
          <w:rFonts w:ascii="Book Antiqua" w:hAnsi="Book Antiqua"/>
          <w:sz w:val="24"/>
          <w:szCs w:val="24"/>
        </w:rPr>
        <w:t xml:space="preserve">article that was selected </w:t>
      </w:r>
      <w:r>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541D1" w14:textId="77777777" w:rsidR="005B6ADE" w:rsidRDefault="005B6ADE">
      <w:pPr>
        <w:snapToGrid w:val="0"/>
        <w:spacing w:line="360" w:lineRule="auto"/>
        <w:rPr>
          <w:rFonts w:ascii="Book Antiqua" w:hAnsi="Book Antiqua" w:cstheme="minorHAnsi"/>
          <w:b/>
          <w:bCs/>
          <w:sz w:val="24"/>
          <w:szCs w:val="24"/>
          <w:lang w:val="en-GB"/>
        </w:rPr>
      </w:pPr>
    </w:p>
    <w:p w14:paraId="42AAADDE" w14:textId="77777777" w:rsidR="005B6ADE" w:rsidRDefault="00E26689">
      <w:pPr>
        <w:snapToGrid w:val="0"/>
        <w:spacing w:line="360" w:lineRule="auto"/>
        <w:rPr>
          <w:rFonts w:ascii="Book Antiqua" w:eastAsia="宋体" w:hAnsi="Book Antiqua" w:cs="宋体"/>
          <w:sz w:val="24"/>
          <w:szCs w:val="24"/>
          <w:lang w:val="en-GB"/>
        </w:rPr>
      </w:pPr>
      <w:r>
        <w:rPr>
          <w:rFonts w:ascii="Book Antiqua" w:eastAsia="宋体" w:hAnsi="Book Antiqua" w:cs="宋体"/>
          <w:b/>
          <w:sz w:val="24"/>
          <w:szCs w:val="24"/>
          <w:lang w:val="en-GB"/>
        </w:rPr>
        <w:t>Manuscript source:</w:t>
      </w:r>
      <w:r>
        <w:rPr>
          <w:rFonts w:ascii="Book Antiqua" w:eastAsia="宋体" w:hAnsi="Book Antiqua" w:cs="宋体"/>
          <w:sz w:val="24"/>
          <w:szCs w:val="24"/>
          <w:lang w:val="en-GB"/>
        </w:rPr>
        <w:t> Unsolicited manuscript</w:t>
      </w:r>
    </w:p>
    <w:p w14:paraId="28DCE74E" w14:textId="77777777" w:rsidR="005B6ADE" w:rsidRDefault="005B6ADE">
      <w:pPr>
        <w:snapToGrid w:val="0"/>
        <w:spacing w:line="360" w:lineRule="auto"/>
        <w:rPr>
          <w:rFonts w:ascii="Book Antiqua" w:hAnsi="Book Antiqua" w:cs="Times New Roman"/>
          <w:b/>
          <w:bCs/>
          <w:color w:val="000000" w:themeColor="text1"/>
          <w:sz w:val="24"/>
          <w:szCs w:val="24"/>
          <w:lang w:val="en-GB"/>
        </w:rPr>
      </w:pPr>
    </w:p>
    <w:p w14:paraId="3DA26404"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April 8, 2020</w:t>
      </w:r>
    </w:p>
    <w:p w14:paraId="19E3CEA3"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April 22, 2020</w:t>
      </w:r>
    </w:p>
    <w:p w14:paraId="537B0D3E" w14:textId="59533C3F" w:rsidR="005B6ADE" w:rsidRDefault="00E26689">
      <w:pPr>
        <w:snapToGrid w:val="0"/>
        <w:spacing w:line="360" w:lineRule="auto"/>
        <w:rPr>
          <w:rFonts w:ascii="Book Antiqua" w:hAnsi="Book Antiqua"/>
          <w:sz w:val="24"/>
          <w:szCs w:val="24"/>
          <w:lang w:val="en-GB"/>
        </w:rPr>
      </w:pPr>
      <w:r>
        <w:rPr>
          <w:rFonts w:ascii="Book Antiqua" w:hAnsi="Book Antiqua"/>
          <w:b/>
          <w:sz w:val="24"/>
          <w:szCs w:val="24"/>
          <w:lang w:val="en-GB"/>
        </w:rPr>
        <w:t>Article in press:</w:t>
      </w:r>
      <w:r>
        <w:rPr>
          <w:rFonts w:ascii="Book Antiqua" w:hAnsi="Book Antiqua"/>
          <w:sz w:val="24"/>
          <w:szCs w:val="24"/>
          <w:lang w:val="en-GB"/>
        </w:rPr>
        <w:t xml:space="preserve"> </w:t>
      </w:r>
      <w:r w:rsidR="00556132">
        <w:rPr>
          <w:rFonts w:ascii="Book Antiqua" w:hAnsi="Book Antiqua"/>
          <w:bCs/>
          <w:sz w:val="24"/>
          <w:szCs w:val="24"/>
          <w:lang w:val="en-GB"/>
        </w:rPr>
        <w:t>July 30, 2020</w:t>
      </w:r>
    </w:p>
    <w:p w14:paraId="32B7EF0C" w14:textId="77777777" w:rsidR="005B6ADE" w:rsidRDefault="005B6ADE">
      <w:pPr>
        <w:snapToGrid w:val="0"/>
        <w:spacing w:line="360" w:lineRule="auto"/>
        <w:rPr>
          <w:rFonts w:ascii="Book Antiqua" w:hAnsi="Book Antiqua" w:cs="Times New Roman"/>
          <w:b/>
          <w:bCs/>
          <w:color w:val="000000" w:themeColor="text1"/>
          <w:sz w:val="24"/>
          <w:szCs w:val="24"/>
          <w:lang w:val="en-GB"/>
        </w:rPr>
      </w:pPr>
    </w:p>
    <w:p w14:paraId="555A6BEF" w14:textId="77777777" w:rsidR="005B6ADE" w:rsidRDefault="00E26689">
      <w:pPr>
        <w:snapToGrid w:val="0"/>
        <w:spacing w:line="360" w:lineRule="auto"/>
        <w:rPr>
          <w:rFonts w:ascii="Book Antiqua" w:hAnsi="Book Antiqua" w:cs="宋体"/>
          <w:b/>
          <w:sz w:val="24"/>
          <w:szCs w:val="24"/>
        </w:rPr>
      </w:pPr>
      <w:r>
        <w:rPr>
          <w:rFonts w:ascii="Book Antiqua" w:eastAsia="宋体" w:hAnsi="Book Antiqua" w:cs="Helvetica"/>
          <w:b/>
          <w:sz w:val="24"/>
          <w:szCs w:val="24"/>
        </w:rPr>
        <w:t xml:space="preserve">Specialty type: </w:t>
      </w:r>
      <w:r>
        <w:rPr>
          <w:rFonts w:ascii="Book Antiqua" w:eastAsia="微软雅黑" w:hAnsi="Book Antiqua" w:cs="宋体"/>
          <w:kern w:val="0"/>
          <w:sz w:val="24"/>
          <w:szCs w:val="24"/>
        </w:rPr>
        <w:t>Medicine, research and experimental</w:t>
      </w:r>
    </w:p>
    <w:p w14:paraId="08EBA218" w14:textId="77777777" w:rsidR="005B6ADE" w:rsidRDefault="00E26689">
      <w:pPr>
        <w:snapToGrid w:val="0"/>
        <w:spacing w:line="360" w:lineRule="auto"/>
        <w:rPr>
          <w:rFonts w:ascii="Book Antiqua" w:eastAsia="宋体" w:hAnsi="Book Antiqua" w:cs="Helvetica"/>
          <w:b/>
          <w:sz w:val="24"/>
          <w:szCs w:val="24"/>
        </w:rPr>
      </w:pPr>
      <w:r>
        <w:rPr>
          <w:rFonts w:ascii="Book Antiqua" w:hAnsi="Book Antiqua" w:cs="宋体"/>
          <w:b/>
          <w:sz w:val="24"/>
          <w:szCs w:val="24"/>
        </w:rPr>
        <w:t>Country/Territory </w:t>
      </w:r>
      <w:r>
        <w:rPr>
          <w:rFonts w:ascii="Book Antiqua" w:eastAsia="宋体" w:hAnsi="Book Antiqua" w:cs="Helvetica"/>
          <w:b/>
          <w:sz w:val="24"/>
          <w:szCs w:val="24"/>
        </w:rPr>
        <w:t xml:space="preserve">of origin: </w:t>
      </w:r>
      <w:r>
        <w:rPr>
          <w:rFonts w:ascii="Book Antiqua" w:eastAsia="宋体" w:hAnsi="Book Antiqua" w:cs="Helvetica"/>
          <w:bCs/>
          <w:sz w:val="24"/>
          <w:szCs w:val="24"/>
        </w:rPr>
        <w:t>China</w:t>
      </w:r>
    </w:p>
    <w:p w14:paraId="52B62645" w14:textId="77777777" w:rsidR="005B6ADE" w:rsidRDefault="00E26689">
      <w:pPr>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14:paraId="30E6FDB5"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A (Excellent): 0</w:t>
      </w:r>
    </w:p>
    <w:p w14:paraId="289FDE06"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B (Very good): 0</w:t>
      </w:r>
    </w:p>
    <w:p w14:paraId="18155AC8"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C (Good): C</w:t>
      </w:r>
    </w:p>
    <w:p w14:paraId="064872E4"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 xml:space="preserve">Grade D (Fair): 0 </w:t>
      </w:r>
    </w:p>
    <w:p w14:paraId="246C4C34" w14:textId="77777777" w:rsidR="005B6ADE" w:rsidRDefault="00E26689">
      <w:pPr>
        <w:snapToGrid w:val="0"/>
        <w:spacing w:line="360" w:lineRule="auto"/>
        <w:rPr>
          <w:rFonts w:ascii="Book Antiqua" w:hAnsi="Book Antiqua" w:cs="Calibri"/>
          <w:sz w:val="24"/>
          <w:szCs w:val="24"/>
        </w:rPr>
      </w:pPr>
      <w:r>
        <w:rPr>
          <w:rFonts w:ascii="Book Antiqua" w:eastAsia="宋体" w:hAnsi="Book Antiqua" w:cs="Helvetica"/>
          <w:sz w:val="24"/>
          <w:szCs w:val="24"/>
        </w:rPr>
        <w:t>Grade E (Poor): 0</w:t>
      </w:r>
    </w:p>
    <w:p w14:paraId="69B42348" w14:textId="77777777" w:rsidR="005B6ADE" w:rsidRDefault="005B6ADE">
      <w:pPr>
        <w:snapToGrid w:val="0"/>
        <w:spacing w:line="360" w:lineRule="auto"/>
        <w:rPr>
          <w:rFonts w:ascii="Book Antiqua" w:hAnsi="Book Antiqua" w:cs="Calibri"/>
          <w:sz w:val="24"/>
          <w:szCs w:val="24"/>
          <w:lang w:val="en-GB"/>
        </w:rPr>
      </w:pPr>
    </w:p>
    <w:p w14:paraId="3EBA6A6E" w14:textId="2FEF9499" w:rsidR="005B6ADE" w:rsidRPr="00556132" w:rsidRDefault="00E26689">
      <w:pPr>
        <w:pStyle w:val="a4"/>
        <w:snapToGrid w:val="0"/>
        <w:spacing w:line="360" w:lineRule="auto"/>
        <w:rPr>
          <w:rFonts w:ascii="Book Antiqua" w:hAnsi="Book Antiqua"/>
          <w:sz w:val="24"/>
          <w:szCs w:val="24"/>
        </w:rPr>
      </w:pPr>
      <w:r>
        <w:rPr>
          <w:rFonts w:ascii="Book Antiqua" w:hAnsi="Book Antiqua"/>
          <w:b/>
          <w:sz w:val="24"/>
          <w:szCs w:val="24"/>
        </w:rPr>
        <w:t xml:space="preserve">P-Reviewer: </w:t>
      </w:r>
      <w:r>
        <w:rPr>
          <w:rFonts w:ascii="Book Antiqua" w:hAnsi="Book Antiqua"/>
          <w:color w:val="000000"/>
          <w:sz w:val="24"/>
          <w:szCs w:val="24"/>
        </w:rPr>
        <w:t xml:space="preserve">Zavras N </w:t>
      </w:r>
      <w:r>
        <w:rPr>
          <w:rFonts w:ascii="Book Antiqua" w:hAnsi="Book Antiqua"/>
          <w:b/>
          <w:sz w:val="24"/>
          <w:szCs w:val="24"/>
        </w:rPr>
        <w:t xml:space="preserve">S-Editor: </w:t>
      </w:r>
      <w:r>
        <w:rPr>
          <w:rFonts w:ascii="Book Antiqua" w:hAnsi="Book Antiqua"/>
          <w:sz w:val="24"/>
          <w:szCs w:val="24"/>
        </w:rPr>
        <w:t>Zhang L</w:t>
      </w:r>
      <w:r>
        <w:rPr>
          <w:rFonts w:ascii="Book Antiqua" w:hAnsi="Book Antiqua"/>
          <w:b/>
          <w:sz w:val="24"/>
          <w:szCs w:val="24"/>
        </w:rPr>
        <w:t xml:space="preserve"> L-Editor: Wang TQ</w:t>
      </w:r>
      <w:r w:rsidR="00DE4E2E">
        <w:rPr>
          <w:rFonts w:ascii="Book Antiqua" w:hAnsi="Book Antiqua"/>
          <w:b/>
          <w:sz w:val="24"/>
          <w:szCs w:val="24"/>
        </w:rPr>
        <w:t xml:space="preserve"> </w:t>
      </w:r>
      <w:r w:rsidR="00556132">
        <w:rPr>
          <w:rFonts w:ascii="Book Antiqua" w:hAnsi="Book Antiqua" w:hint="eastAsia"/>
          <w:b/>
          <w:sz w:val="24"/>
          <w:szCs w:val="24"/>
        </w:rPr>
        <w:t>P</w:t>
      </w:r>
      <w:r>
        <w:rPr>
          <w:rFonts w:ascii="Book Antiqua" w:hAnsi="Book Antiqua"/>
          <w:b/>
          <w:sz w:val="24"/>
          <w:szCs w:val="24"/>
        </w:rPr>
        <w:t xml:space="preserve">-Editor: </w:t>
      </w:r>
      <w:r w:rsidR="00556132" w:rsidRPr="00556132">
        <w:rPr>
          <w:rFonts w:ascii="Book Antiqua" w:hAnsi="Book Antiqua"/>
          <w:sz w:val="24"/>
          <w:szCs w:val="24"/>
        </w:rPr>
        <w:t>Xing YX</w:t>
      </w:r>
    </w:p>
    <w:bookmarkEnd w:id="101"/>
    <w:p w14:paraId="1091DFAC" w14:textId="77777777" w:rsidR="005B6ADE" w:rsidRDefault="00E26689">
      <w:pPr>
        <w:widowControl/>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73E7791" w14:textId="77777777" w:rsidR="005B6ADE" w:rsidRDefault="00E26689">
      <w:pPr>
        <w:snapToGrid w:val="0"/>
        <w:spacing w:line="360" w:lineRule="auto"/>
        <w:rPr>
          <w:rFonts w:ascii="Book Antiqua" w:hAnsi="Book Antiqua"/>
          <w:b/>
          <w:sz w:val="24"/>
          <w:szCs w:val="24"/>
        </w:rPr>
      </w:pPr>
      <w:r>
        <w:rPr>
          <w:rFonts w:ascii="Book Antiqua" w:hAnsi="Book Antiqua"/>
          <w:b/>
          <w:sz w:val="24"/>
          <w:szCs w:val="24"/>
        </w:rPr>
        <w:t>Figure Legends</w:t>
      </w:r>
    </w:p>
    <w:p w14:paraId="427DC45A" w14:textId="77777777" w:rsidR="005B6ADE" w:rsidRDefault="00E26689">
      <w:pPr>
        <w:snapToGrid w:val="0"/>
        <w:spacing w:line="360" w:lineRule="auto"/>
        <w:rPr>
          <w:rFonts w:ascii="Book Antiqua" w:hAnsi="Book Antiqua" w:cs="Times New Roman"/>
          <w:b/>
          <w:color w:val="000000" w:themeColor="text1"/>
          <w:sz w:val="24"/>
          <w:szCs w:val="24"/>
        </w:rPr>
      </w:pPr>
      <w:r>
        <w:rPr>
          <w:rFonts w:ascii="Book Antiqua" w:hAnsi="Book Antiqua"/>
          <w:noProof/>
          <w:sz w:val="24"/>
          <w:szCs w:val="24"/>
        </w:rPr>
        <w:drawing>
          <wp:inline distT="0" distB="0" distL="0" distR="0" wp14:anchorId="765BE89B" wp14:editId="3EF76DD5">
            <wp:extent cx="5276850" cy="2006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2006600"/>
                    </a:xfrm>
                    <a:prstGeom prst="rect">
                      <a:avLst/>
                    </a:prstGeom>
                    <a:noFill/>
                    <a:ln>
                      <a:noFill/>
                    </a:ln>
                  </pic:spPr>
                </pic:pic>
              </a:graphicData>
            </a:graphic>
          </wp:inline>
        </w:drawing>
      </w:r>
    </w:p>
    <w:p w14:paraId="6DE27FE4" w14:textId="54AD89E9" w:rsidR="005B6ADE" w:rsidRDefault="00E26689">
      <w:pPr>
        <w:snapToGrid w:val="0"/>
        <w:spacing w:line="360" w:lineRule="auto"/>
        <w:rPr>
          <w:rFonts w:ascii="Book Antiqua" w:hAnsi="Book Antiqua" w:cs="Times New Roman"/>
          <w:b/>
          <w:bCs/>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1</w:t>
      </w:r>
      <w:r>
        <w:rPr>
          <w:rFonts w:ascii="Book Antiqua" w:hAnsi="Book Antiqua" w:cs="Times New Roman"/>
          <w:color w:val="000000" w:themeColor="text1"/>
          <w:sz w:val="24"/>
          <w:szCs w:val="24"/>
        </w:rPr>
        <w:t xml:space="preserve"> </w:t>
      </w:r>
      <w:r>
        <w:rPr>
          <w:rFonts w:ascii="Book Antiqua" w:hAnsi="Book Antiqua" w:cs="Times New Roman"/>
          <w:b/>
          <w:bCs/>
          <w:color w:val="000000" w:themeColor="text1"/>
          <w:sz w:val="24"/>
          <w:szCs w:val="24"/>
        </w:rPr>
        <w:t>Preoperative basic electrocardiogram</w:t>
      </w:r>
      <w:r>
        <w:rPr>
          <w:rFonts w:ascii="Book Antiqua" w:hAnsi="Book Antiqua" w:cs="Times New Roman"/>
          <w:color w:val="000000" w:themeColor="text1"/>
          <w:sz w:val="24"/>
          <w:szCs w:val="24"/>
        </w:rPr>
        <w:t>. The electrocardiogram results showed sinus rhythm, complete left bundle branch block, and QRS duration of 160 ms.</w:t>
      </w:r>
    </w:p>
    <w:p w14:paraId="25514DCF"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3B22BAF7"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353D5108" wp14:editId="0C5A72C8">
            <wp:extent cx="2880360" cy="2880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inline>
        </w:drawing>
      </w:r>
    </w:p>
    <w:p w14:paraId="3E6B7B7C" w14:textId="2090964C"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2</w:t>
      </w:r>
      <w:r>
        <w:rPr>
          <w:rFonts w:ascii="Book Antiqua" w:hAnsi="Book Antiqua" w:cs="Times New Roman"/>
          <w:color w:val="000000" w:themeColor="text1"/>
          <w:sz w:val="24"/>
          <w:szCs w:val="24"/>
        </w:rPr>
        <w:t xml:space="preserve"> </w:t>
      </w:r>
      <w:r>
        <w:rPr>
          <w:rFonts w:ascii="Book Antiqua" w:hAnsi="Book Antiqua" w:cs="Times New Roman"/>
          <w:b/>
          <w:color w:val="000000" w:themeColor="text1"/>
          <w:sz w:val="24"/>
          <w:szCs w:val="24"/>
        </w:rPr>
        <w:t>Electrode image</w:t>
      </w:r>
      <w:r>
        <w:rPr>
          <w:rFonts w:ascii="Book Antiqua" w:hAnsi="Book Antiqua" w:cs="Times New Roman"/>
          <w:color w:val="000000" w:themeColor="text1"/>
          <w:sz w:val="24"/>
          <w:szCs w:val="24"/>
        </w:rPr>
        <w:t>. The left ventricular wire was successfully inserted into the left ventricular vein of the coronary sinus.</w:t>
      </w:r>
    </w:p>
    <w:p w14:paraId="3F37B51F"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72C49B1"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04F21217" wp14:editId="55ACAF02">
            <wp:extent cx="2880360" cy="2517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517648"/>
                    </a:xfrm>
                    <a:prstGeom prst="rect">
                      <a:avLst/>
                    </a:prstGeom>
                  </pic:spPr>
                </pic:pic>
              </a:graphicData>
            </a:graphic>
          </wp:inline>
        </w:drawing>
      </w:r>
    </w:p>
    <w:p w14:paraId="5913E690" w14:textId="65E2B59A"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3.</w:t>
      </w:r>
      <w:r>
        <w:rPr>
          <w:rFonts w:ascii="Book Antiqua" w:hAnsi="Book Antiqua" w:cs="Times New Roman"/>
          <w:color w:val="000000" w:themeColor="text1"/>
          <w:sz w:val="24"/>
          <w:szCs w:val="24"/>
        </w:rPr>
        <w:t xml:space="preserve"> </w:t>
      </w:r>
      <w:r>
        <w:rPr>
          <w:rFonts w:ascii="Book Antiqua" w:hAnsi="Book Antiqua" w:cs="Times New Roman"/>
          <w:b/>
          <w:color w:val="000000" w:themeColor="text1"/>
          <w:sz w:val="24"/>
          <w:szCs w:val="24"/>
        </w:rPr>
        <w:t>Electrode image</w:t>
      </w:r>
      <w:r>
        <w:rPr>
          <w:rFonts w:ascii="Book Antiqua" w:hAnsi="Book Antiqua" w:cs="Times New Roman"/>
          <w:color w:val="000000" w:themeColor="text1"/>
          <w:sz w:val="24"/>
          <w:szCs w:val="24"/>
        </w:rPr>
        <w:t xml:space="preserve">. The wire was placed in the region of the left bundle branch, and the depth of the electrode could be seen. </w:t>
      </w:r>
    </w:p>
    <w:p w14:paraId="6B81054A"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4FB4E610"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5CC2B179" wp14:editId="341F4F51">
            <wp:extent cx="5278120" cy="181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8120" cy="1816100"/>
                    </a:xfrm>
                    <a:prstGeom prst="rect">
                      <a:avLst/>
                    </a:prstGeom>
                  </pic:spPr>
                </pic:pic>
              </a:graphicData>
            </a:graphic>
          </wp:inline>
        </w:drawing>
      </w:r>
    </w:p>
    <w:p w14:paraId="69EAC927" w14:textId="5F58D6D2"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4</w:t>
      </w:r>
      <w:r>
        <w:rPr>
          <w:rFonts w:ascii="Book Antiqua" w:hAnsi="Book Antiqua" w:cs="Times New Roman"/>
          <w:color w:val="000000" w:themeColor="text1"/>
          <w:sz w:val="24"/>
          <w:szCs w:val="24"/>
        </w:rPr>
        <w:t xml:space="preserve"> </w:t>
      </w:r>
      <w:r>
        <w:rPr>
          <w:rFonts w:ascii="Book Antiqua" w:hAnsi="Book Antiqua" w:cs="Times New Roman"/>
          <w:b/>
          <w:bCs/>
          <w:color w:val="000000" w:themeColor="text1"/>
          <w:sz w:val="24"/>
          <w:szCs w:val="24"/>
        </w:rPr>
        <w:t>Electrocardiogram</w:t>
      </w:r>
      <w:r>
        <w:rPr>
          <w:rFonts w:ascii="Book Antiqua" w:hAnsi="Book Antiqua" w:cs="Times New Roman"/>
          <w:color w:val="000000" w:themeColor="text1"/>
          <w:sz w:val="24"/>
          <w:szCs w:val="24"/>
        </w:rPr>
        <w:t>. Unipolar pacing of the right ventricular septum and gradual rotation of the interior septum to reach the left bundle branch region (lead V1 R wave gradually increased, and the final QRS wave width was 137 ms). Comparison of the correction of complete left bundle branch block with unipolar pacing using ECG.</w:t>
      </w:r>
    </w:p>
    <w:p w14:paraId="331C7E8E"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72FEBC5"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3032A088" wp14:editId="21454D89">
            <wp:extent cx="5278120" cy="21977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8120" cy="2197735"/>
                    </a:xfrm>
                    <a:prstGeom prst="rect">
                      <a:avLst/>
                    </a:prstGeom>
                  </pic:spPr>
                </pic:pic>
              </a:graphicData>
            </a:graphic>
          </wp:inline>
        </w:drawing>
      </w:r>
    </w:p>
    <w:p w14:paraId="3474CAC5" w14:textId="543F081D"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5 Electrocardiogram.</w:t>
      </w:r>
      <w:r>
        <w:rPr>
          <w:rFonts w:ascii="Book Antiqua" w:hAnsi="Book Antiqua" w:cs="Times New Roman"/>
          <w:color w:val="000000" w:themeColor="text1"/>
          <w:sz w:val="24"/>
          <w:szCs w:val="24"/>
        </w:rPr>
        <w:t xml:space="preserve"> A: Graph when the atrioventricular delay was adjusted to 130 ms, and the two-chamber pacemaker was fused with the right bundle branch and down transmission (QRS 110 ms); B: Left bundle branch pacing with the optimization of cardiac resynchronization.</w:t>
      </w:r>
    </w:p>
    <w:p w14:paraId="610B147D"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sz w:val="24"/>
          <w:szCs w:val="24"/>
        </w:rPr>
        <w:br w:type="page"/>
      </w:r>
      <w:r>
        <w:rPr>
          <w:rFonts w:ascii="Book Antiqua" w:hAnsi="Book Antiqua" w:cs="Times New Roman"/>
          <w:noProof/>
          <w:color w:val="000000" w:themeColor="text1"/>
          <w:sz w:val="24"/>
          <w:szCs w:val="24"/>
        </w:rPr>
        <w:drawing>
          <wp:inline distT="0" distB="0" distL="0" distR="0" wp14:anchorId="7ABC4939" wp14:editId="24520259">
            <wp:extent cx="5278120" cy="2101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120" cy="2101850"/>
                    </a:xfrm>
                    <a:prstGeom prst="rect">
                      <a:avLst/>
                    </a:prstGeom>
                  </pic:spPr>
                </pic:pic>
              </a:graphicData>
            </a:graphic>
          </wp:inline>
        </w:drawing>
      </w:r>
    </w:p>
    <w:p w14:paraId="011DE53E" w14:textId="112732CE" w:rsidR="005B6ADE" w:rsidRDefault="00E26689">
      <w:pPr>
        <w:snapToGrid w:val="0"/>
        <w:spacing w:line="360" w:lineRule="auto"/>
        <w:rPr>
          <w:rFonts w:ascii="Book Antiqua" w:hAnsi="Book Antiqua" w:cs="Times New Roman"/>
          <w:b/>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6 Final electrode images (left anterior oblique position: 30 degrees; posterior and anterior sides).</w:t>
      </w:r>
    </w:p>
    <w:sectPr w:rsidR="005B6ADE">
      <w:footerReference w:type="default" r:id="rId15"/>
      <w:pgSz w:w="11906" w:h="16838"/>
      <w:pgMar w:top="1440" w:right="1797" w:bottom="1440"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CF68F9" w16cid:durableId="22F2A6A2"/>
  <w16cid:commentId w16cid:paraId="61360C8F" w16cid:durableId="22F2A6A3"/>
  <w16cid:commentId w16cid:paraId="380A6682" w16cid:durableId="22F2A6A4"/>
  <w16cid:commentId w16cid:paraId="23191D9C" w16cid:durableId="22F2A6A5"/>
  <w16cid:commentId w16cid:paraId="219161F6" w16cid:durableId="22F2A6A6"/>
  <w16cid:commentId w16cid:paraId="1A9D6F9B" w16cid:durableId="22F2A6A7"/>
  <w16cid:commentId w16cid:paraId="31F5672A" w16cid:durableId="22F2A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C83E5" w14:textId="77777777" w:rsidR="00A85D2D" w:rsidRDefault="00A85D2D">
      <w:r>
        <w:separator/>
      </w:r>
    </w:p>
  </w:endnote>
  <w:endnote w:type="continuationSeparator" w:id="0">
    <w:p w14:paraId="3ABA0021" w14:textId="77777777" w:rsidR="00A85D2D" w:rsidRDefault="00A8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eSans">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00"/>
    <w:family w:val="roman"/>
    <w:pitch w:val="default"/>
    <w:sig w:usb0="00000000" w:usb1="00000000" w:usb2="00000010" w:usb3="00000000" w:csb0="000A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15706"/>
      <w:docPartObj>
        <w:docPartGallery w:val="AutoText"/>
      </w:docPartObj>
    </w:sdtPr>
    <w:sdtEndPr/>
    <w:sdtContent>
      <w:sdt>
        <w:sdtPr>
          <w:id w:val="-1769616900"/>
          <w:docPartObj>
            <w:docPartGallery w:val="AutoText"/>
          </w:docPartObj>
        </w:sdtPr>
        <w:sdtEndPr/>
        <w:sdtContent>
          <w:p w14:paraId="6C2BA134" w14:textId="77777777" w:rsidR="005B6ADE" w:rsidRDefault="00E26689">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A85D2D">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85D2D">
              <w:rPr>
                <w:b/>
                <w:bCs/>
                <w:noProof/>
              </w:rPr>
              <w:t>1</w:t>
            </w:r>
            <w:r>
              <w:rPr>
                <w:b/>
                <w:bCs/>
                <w:sz w:val="24"/>
                <w:szCs w:val="24"/>
              </w:rPr>
              <w:fldChar w:fldCharType="end"/>
            </w:r>
          </w:p>
        </w:sdtContent>
      </w:sdt>
    </w:sdtContent>
  </w:sdt>
  <w:p w14:paraId="60D42FF7" w14:textId="77777777" w:rsidR="005B6ADE" w:rsidRDefault="005B6A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49F81" w14:textId="77777777" w:rsidR="00A85D2D" w:rsidRDefault="00A85D2D">
      <w:r>
        <w:separator/>
      </w:r>
    </w:p>
  </w:footnote>
  <w:footnote w:type="continuationSeparator" w:id="0">
    <w:p w14:paraId="550A6268" w14:textId="77777777" w:rsidR="00A85D2D" w:rsidRDefault="00A85D2D">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IwNDQxNzAyMjU3MrRU0lEKTi0uzszPAykwqgUAc0ng0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r9rasdttvrvcetafo50twcfe2xrpzpsddx&quot;&gt;FS&lt;record-ids&gt;&lt;item&gt;1&lt;/item&gt;&lt;item&gt;2&lt;/item&gt;&lt;item&gt;3&lt;/item&gt;&lt;item&gt;4&lt;/item&gt;&lt;item&gt;5&lt;/item&gt;&lt;item&gt;6&lt;/item&gt;&lt;item&gt;7&lt;/item&gt;&lt;/record-ids&gt;&lt;/item&gt;&lt;/Libraries&gt;"/>
  </w:docVars>
  <w:rsids>
    <w:rsidRoot w:val="00FC2417"/>
    <w:rsid w:val="000063F3"/>
    <w:rsid w:val="0001351C"/>
    <w:rsid w:val="0001613D"/>
    <w:rsid w:val="00020AE8"/>
    <w:rsid w:val="00032841"/>
    <w:rsid w:val="00033459"/>
    <w:rsid w:val="0003691A"/>
    <w:rsid w:val="000510F2"/>
    <w:rsid w:val="00057BFA"/>
    <w:rsid w:val="0007136E"/>
    <w:rsid w:val="00086376"/>
    <w:rsid w:val="00090298"/>
    <w:rsid w:val="00095DA6"/>
    <w:rsid w:val="000960F4"/>
    <w:rsid w:val="000A1362"/>
    <w:rsid w:val="000A1D16"/>
    <w:rsid w:val="000A7778"/>
    <w:rsid w:val="000B6595"/>
    <w:rsid w:val="000D6F2A"/>
    <w:rsid w:val="000E4067"/>
    <w:rsid w:val="001014B6"/>
    <w:rsid w:val="00106D2C"/>
    <w:rsid w:val="00110DBB"/>
    <w:rsid w:val="001149F1"/>
    <w:rsid w:val="00135ED2"/>
    <w:rsid w:val="00140981"/>
    <w:rsid w:val="0016384A"/>
    <w:rsid w:val="00165FE6"/>
    <w:rsid w:val="001664F5"/>
    <w:rsid w:val="0018220D"/>
    <w:rsid w:val="0019549A"/>
    <w:rsid w:val="001A17B7"/>
    <w:rsid w:val="001C1EF3"/>
    <w:rsid w:val="001C5158"/>
    <w:rsid w:val="001D1ADB"/>
    <w:rsid w:val="001D360B"/>
    <w:rsid w:val="001D4A46"/>
    <w:rsid w:val="001E0958"/>
    <w:rsid w:val="001E349B"/>
    <w:rsid w:val="001F0ADE"/>
    <w:rsid w:val="002012F4"/>
    <w:rsid w:val="0020391C"/>
    <w:rsid w:val="00214065"/>
    <w:rsid w:val="00221334"/>
    <w:rsid w:val="00221BF0"/>
    <w:rsid w:val="002348AE"/>
    <w:rsid w:val="00241AD0"/>
    <w:rsid w:val="00255840"/>
    <w:rsid w:val="00257180"/>
    <w:rsid w:val="00262DAE"/>
    <w:rsid w:val="00263823"/>
    <w:rsid w:val="00265EFC"/>
    <w:rsid w:val="00272604"/>
    <w:rsid w:val="00272E5D"/>
    <w:rsid w:val="002840F3"/>
    <w:rsid w:val="00294543"/>
    <w:rsid w:val="002A00DE"/>
    <w:rsid w:val="002A5C00"/>
    <w:rsid w:val="002A5D7A"/>
    <w:rsid w:val="002B0935"/>
    <w:rsid w:val="002B1473"/>
    <w:rsid w:val="002B59F3"/>
    <w:rsid w:val="002B756A"/>
    <w:rsid w:val="002C53EE"/>
    <w:rsid w:val="002C5C59"/>
    <w:rsid w:val="002E0A1B"/>
    <w:rsid w:val="002E24CC"/>
    <w:rsid w:val="002F5634"/>
    <w:rsid w:val="002F7129"/>
    <w:rsid w:val="00300027"/>
    <w:rsid w:val="00301BBE"/>
    <w:rsid w:val="00310D06"/>
    <w:rsid w:val="003223AF"/>
    <w:rsid w:val="00322915"/>
    <w:rsid w:val="003237E1"/>
    <w:rsid w:val="00340CDD"/>
    <w:rsid w:val="00344456"/>
    <w:rsid w:val="00352EB9"/>
    <w:rsid w:val="00392E2C"/>
    <w:rsid w:val="0039450C"/>
    <w:rsid w:val="003A3A23"/>
    <w:rsid w:val="003B280D"/>
    <w:rsid w:val="003B7EAC"/>
    <w:rsid w:val="003C4EE2"/>
    <w:rsid w:val="003D222B"/>
    <w:rsid w:val="003D2BE9"/>
    <w:rsid w:val="003F1121"/>
    <w:rsid w:val="003F1369"/>
    <w:rsid w:val="00402314"/>
    <w:rsid w:val="00403B79"/>
    <w:rsid w:val="00407950"/>
    <w:rsid w:val="0041663E"/>
    <w:rsid w:val="0042256B"/>
    <w:rsid w:val="00422668"/>
    <w:rsid w:val="0043340B"/>
    <w:rsid w:val="00436441"/>
    <w:rsid w:val="00446D15"/>
    <w:rsid w:val="004475A6"/>
    <w:rsid w:val="0045089C"/>
    <w:rsid w:val="00453393"/>
    <w:rsid w:val="00455BBA"/>
    <w:rsid w:val="00456883"/>
    <w:rsid w:val="00456887"/>
    <w:rsid w:val="00484097"/>
    <w:rsid w:val="004A34F7"/>
    <w:rsid w:val="004A4B9C"/>
    <w:rsid w:val="004C0651"/>
    <w:rsid w:val="004C0FAB"/>
    <w:rsid w:val="004C3FD2"/>
    <w:rsid w:val="004C6494"/>
    <w:rsid w:val="004F7001"/>
    <w:rsid w:val="0050497D"/>
    <w:rsid w:val="005227A9"/>
    <w:rsid w:val="0052633B"/>
    <w:rsid w:val="00546CB2"/>
    <w:rsid w:val="00550348"/>
    <w:rsid w:val="00553A50"/>
    <w:rsid w:val="00556132"/>
    <w:rsid w:val="005619ED"/>
    <w:rsid w:val="0056710D"/>
    <w:rsid w:val="00571374"/>
    <w:rsid w:val="005734E8"/>
    <w:rsid w:val="0057749A"/>
    <w:rsid w:val="005777A1"/>
    <w:rsid w:val="0058634F"/>
    <w:rsid w:val="00586357"/>
    <w:rsid w:val="005875BD"/>
    <w:rsid w:val="0059404B"/>
    <w:rsid w:val="005974EA"/>
    <w:rsid w:val="005A2B8E"/>
    <w:rsid w:val="005A5C79"/>
    <w:rsid w:val="005B149F"/>
    <w:rsid w:val="005B6ADE"/>
    <w:rsid w:val="005D0425"/>
    <w:rsid w:val="005D35DF"/>
    <w:rsid w:val="005E128B"/>
    <w:rsid w:val="005F6DCB"/>
    <w:rsid w:val="00602AAF"/>
    <w:rsid w:val="00606C21"/>
    <w:rsid w:val="00615C9B"/>
    <w:rsid w:val="006329D4"/>
    <w:rsid w:val="00652523"/>
    <w:rsid w:val="00660E5F"/>
    <w:rsid w:val="0066383E"/>
    <w:rsid w:val="00672188"/>
    <w:rsid w:val="00674CB6"/>
    <w:rsid w:val="00676343"/>
    <w:rsid w:val="00681354"/>
    <w:rsid w:val="00684E41"/>
    <w:rsid w:val="006A0914"/>
    <w:rsid w:val="006C2844"/>
    <w:rsid w:val="006C4603"/>
    <w:rsid w:val="006F2C68"/>
    <w:rsid w:val="006F4A03"/>
    <w:rsid w:val="006F508D"/>
    <w:rsid w:val="006F60E1"/>
    <w:rsid w:val="00706C60"/>
    <w:rsid w:val="007252AC"/>
    <w:rsid w:val="00750EA2"/>
    <w:rsid w:val="00754C71"/>
    <w:rsid w:val="00757E7C"/>
    <w:rsid w:val="00764C10"/>
    <w:rsid w:val="00771854"/>
    <w:rsid w:val="007828B7"/>
    <w:rsid w:val="00785CE6"/>
    <w:rsid w:val="007A0DD8"/>
    <w:rsid w:val="007A53D9"/>
    <w:rsid w:val="007C142C"/>
    <w:rsid w:val="007C7B33"/>
    <w:rsid w:val="007D3861"/>
    <w:rsid w:val="007E1BD7"/>
    <w:rsid w:val="007E6408"/>
    <w:rsid w:val="007F073B"/>
    <w:rsid w:val="008023F3"/>
    <w:rsid w:val="008074E3"/>
    <w:rsid w:val="008215C2"/>
    <w:rsid w:val="00823CA9"/>
    <w:rsid w:val="00831720"/>
    <w:rsid w:val="00832A71"/>
    <w:rsid w:val="00834AE4"/>
    <w:rsid w:val="008364AF"/>
    <w:rsid w:val="00844862"/>
    <w:rsid w:val="00847EE5"/>
    <w:rsid w:val="00850E4C"/>
    <w:rsid w:val="0086491F"/>
    <w:rsid w:val="008664D8"/>
    <w:rsid w:val="008765B3"/>
    <w:rsid w:val="008775E7"/>
    <w:rsid w:val="00880218"/>
    <w:rsid w:val="00890B81"/>
    <w:rsid w:val="008916E1"/>
    <w:rsid w:val="008926E5"/>
    <w:rsid w:val="008A252C"/>
    <w:rsid w:val="008A2D5E"/>
    <w:rsid w:val="008C4176"/>
    <w:rsid w:val="008C5F9F"/>
    <w:rsid w:val="008C6EFF"/>
    <w:rsid w:val="008C7DEE"/>
    <w:rsid w:val="008D7090"/>
    <w:rsid w:val="008F0BAD"/>
    <w:rsid w:val="00900F82"/>
    <w:rsid w:val="00902785"/>
    <w:rsid w:val="00903A55"/>
    <w:rsid w:val="00905FCA"/>
    <w:rsid w:val="00912F4D"/>
    <w:rsid w:val="009157CF"/>
    <w:rsid w:val="009160A9"/>
    <w:rsid w:val="009211F2"/>
    <w:rsid w:val="00924B22"/>
    <w:rsid w:val="009273D5"/>
    <w:rsid w:val="0093474F"/>
    <w:rsid w:val="00936AB2"/>
    <w:rsid w:val="009542AE"/>
    <w:rsid w:val="00957BB7"/>
    <w:rsid w:val="00970E0B"/>
    <w:rsid w:val="00974CB0"/>
    <w:rsid w:val="009969A4"/>
    <w:rsid w:val="00996FF6"/>
    <w:rsid w:val="009A21C4"/>
    <w:rsid w:val="009B17C3"/>
    <w:rsid w:val="009C4443"/>
    <w:rsid w:val="009D089E"/>
    <w:rsid w:val="009D42A8"/>
    <w:rsid w:val="009D508B"/>
    <w:rsid w:val="009D51CF"/>
    <w:rsid w:val="009D5536"/>
    <w:rsid w:val="009F1669"/>
    <w:rsid w:val="00A018D3"/>
    <w:rsid w:val="00A11361"/>
    <w:rsid w:val="00A32699"/>
    <w:rsid w:val="00A3366A"/>
    <w:rsid w:val="00A338FB"/>
    <w:rsid w:val="00A735AE"/>
    <w:rsid w:val="00A76FC3"/>
    <w:rsid w:val="00A803BE"/>
    <w:rsid w:val="00A84ED8"/>
    <w:rsid w:val="00A85D2D"/>
    <w:rsid w:val="00A90602"/>
    <w:rsid w:val="00A96D72"/>
    <w:rsid w:val="00AA0A9E"/>
    <w:rsid w:val="00AA303B"/>
    <w:rsid w:val="00AA4E16"/>
    <w:rsid w:val="00AA5ED7"/>
    <w:rsid w:val="00AB0186"/>
    <w:rsid w:val="00AB4D4F"/>
    <w:rsid w:val="00AB6A1C"/>
    <w:rsid w:val="00AB764D"/>
    <w:rsid w:val="00AC29B2"/>
    <w:rsid w:val="00AC6F7E"/>
    <w:rsid w:val="00AE1625"/>
    <w:rsid w:val="00AF2C7C"/>
    <w:rsid w:val="00B0400A"/>
    <w:rsid w:val="00B118C4"/>
    <w:rsid w:val="00B41F49"/>
    <w:rsid w:val="00B4416F"/>
    <w:rsid w:val="00B5267D"/>
    <w:rsid w:val="00B70892"/>
    <w:rsid w:val="00B72289"/>
    <w:rsid w:val="00B7555B"/>
    <w:rsid w:val="00B856C3"/>
    <w:rsid w:val="00B95126"/>
    <w:rsid w:val="00B96DFB"/>
    <w:rsid w:val="00BA4F5B"/>
    <w:rsid w:val="00BB4FE3"/>
    <w:rsid w:val="00BB7420"/>
    <w:rsid w:val="00BC442A"/>
    <w:rsid w:val="00BD1959"/>
    <w:rsid w:val="00C06718"/>
    <w:rsid w:val="00C10B54"/>
    <w:rsid w:val="00C25C0A"/>
    <w:rsid w:val="00C32F11"/>
    <w:rsid w:val="00C33361"/>
    <w:rsid w:val="00C34B32"/>
    <w:rsid w:val="00C41AB8"/>
    <w:rsid w:val="00C41E8C"/>
    <w:rsid w:val="00C45020"/>
    <w:rsid w:val="00C603EE"/>
    <w:rsid w:val="00C773D6"/>
    <w:rsid w:val="00C77873"/>
    <w:rsid w:val="00C81355"/>
    <w:rsid w:val="00C83C7B"/>
    <w:rsid w:val="00C83E74"/>
    <w:rsid w:val="00C85786"/>
    <w:rsid w:val="00C91AEE"/>
    <w:rsid w:val="00C978DE"/>
    <w:rsid w:val="00CA06E3"/>
    <w:rsid w:val="00CA43E9"/>
    <w:rsid w:val="00CA5E15"/>
    <w:rsid w:val="00CA77B3"/>
    <w:rsid w:val="00CD0564"/>
    <w:rsid w:val="00CD6BC9"/>
    <w:rsid w:val="00CE5814"/>
    <w:rsid w:val="00D05273"/>
    <w:rsid w:val="00D1027D"/>
    <w:rsid w:val="00D106C5"/>
    <w:rsid w:val="00D13FF7"/>
    <w:rsid w:val="00D14D99"/>
    <w:rsid w:val="00D17D5C"/>
    <w:rsid w:val="00D20C07"/>
    <w:rsid w:val="00D24DA8"/>
    <w:rsid w:val="00D42EDC"/>
    <w:rsid w:val="00D546C8"/>
    <w:rsid w:val="00D56ACD"/>
    <w:rsid w:val="00D610A0"/>
    <w:rsid w:val="00D6210C"/>
    <w:rsid w:val="00D759E2"/>
    <w:rsid w:val="00D871B6"/>
    <w:rsid w:val="00D90D0A"/>
    <w:rsid w:val="00D96C23"/>
    <w:rsid w:val="00DA6C52"/>
    <w:rsid w:val="00DC21D8"/>
    <w:rsid w:val="00DC5F22"/>
    <w:rsid w:val="00DD2CC2"/>
    <w:rsid w:val="00DE4E2E"/>
    <w:rsid w:val="00DE7CC5"/>
    <w:rsid w:val="00DF4DFE"/>
    <w:rsid w:val="00DF6F4D"/>
    <w:rsid w:val="00E03B05"/>
    <w:rsid w:val="00E12506"/>
    <w:rsid w:val="00E12B83"/>
    <w:rsid w:val="00E26689"/>
    <w:rsid w:val="00E278BC"/>
    <w:rsid w:val="00E35E9D"/>
    <w:rsid w:val="00E648AA"/>
    <w:rsid w:val="00E653FC"/>
    <w:rsid w:val="00E65FAD"/>
    <w:rsid w:val="00E92FAC"/>
    <w:rsid w:val="00E96535"/>
    <w:rsid w:val="00E9745D"/>
    <w:rsid w:val="00EA321F"/>
    <w:rsid w:val="00EA60B9"/>
    <w:rsid w:val="00EA637D"/>
    <w:rsid w:val="00EB1C04"/>
    <w:rsid w:val="00EB1D15"/>
    <w:rsid w:val="00ED2B24"/>
    <w:rsid w:val="00EE5DF2"/>
    <w:rsid w:val="00EF039F"/>
    <w:rsid w:val="00EF0A43"/>
    <w:rsid w:val="00EF4D87"/>
    <w:rsid w:val="00F013BD"/>
    <w:rsid w:val="00F01CC4"/>
    <w:rsid w:val="00F027F7"/>
    <w:rsid w:val="00F40A20"/>
    <w:rsid w:val="00F55380"/>
    <w:rsid w:val="00F635B3"/>
    <w:rsid w:val="00F6546E"/>
    <w:rsid w:val="00F730DC"/>
    <w:rsid w:val="00F73CFF"/>
    <w:rsid w:val="00F90F16"/>
    <w:rsid w:val="00F946CB"/>
    <w:rsid w:val="00FA1C65"/>
    <w:rsid w:val="00FC2417"/>
    <w:rsid w:val="00FD7C5F"/>
    <w:rsid w:val="00FE35ED"/>
    <w:rsid w:val="00FF3861"/>
    <w:rsid w:val="0A471B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16"/>
      <w:szCs w:val="16"/>
    </w:rPr>
  </w:style>
  <w:style w:type="character" w:customStyle="1" w:styleId="transsent">
    <w:name w:val="transsent"/>
    <w:basedOn w:val="a0"/>
    <w:qFormat/>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keyword">
    <w:name w:val="keyword"/>
    <w:basedOn w:val="a0"/>
    <w:qFormat/>
  </w:style>
  <w:style w:type="character" w:customStyle="1" w:styleId="Char1">
    <w:name w:val="批注框文本 Char"/>
    <w:basedOn w:val="a0"/>
    <w:link w:val="a5"/>
    <w:uiPriority w:val="99"/>
    <w:semiHidden/>
    <w:qFormat/>
    <w:rPr>
      <w:sz w:val="18"/>
      <w:szCs w:val="18"/>
    </w:rPr>
  </w:style>
  <w:style w:type="character" w:customStyle="1" w:styleId="Char">
    <w:name w:val="批注文字 Char"/>
    <w:basedOn w:val="a0"/>
    <w:link w:val="a3"/>
    <w:uiPriority w:val="99"/>
    <w:semiHidden/>
    <w:qFormat/>
    <w:rPr>
      <w:sz w:val="20"/>
      <w:szCs w:val="20"/>
    </w:rPr>
  </w:style>
  <w:style w:type="character" w:customStyle="1" w:styleId="Char4">
    <w:name w:val="批注主题 Char"/>
    <w:basedOn w:val="Char"/>
    <w:link w:val="a9"/>
    <w:uiPriority w:val="99"/>
    <w:semiHidden/>
    <w:qFormat/>
    <w:rPr>
      <w:b/>
      <w:bCs/>
      <w:sz w:val="20"/>
      <w:szCs w:val="20"/>
    </w:rPr>
  </w:style>
  <w:style w:type="paragraph" w:customStyle="1" w:styleId="EndNoteBibliographyTitle">
    <w:name w:val="EndNote Bibliography Title"/>
    <w:basedOn w:val="a"/>
    <w:link w:val="EndNoteBibliographyTitleChar"/>
    <w:qFormat/>
    <w:pPr>
      <w:jc w:val="center"/>
    </w:pPr>
    <w:rPr>
      <w:rFonts w:ascii="等线" w:eastAsia="等线" w:hAnsi="等线"/>
      <w:sz w:val="20"/>
    </w:rPr>
  </w:style>
  <w:style w:type="character" w:customStyle="1" w:styleId="EndNoteBibliographyTitleChar">
    <w:name w:val="EndNote Bibliography Title Char"/>
    <w:basedOn w:val="a0"/>
    <w:link w:val="EndNoteBibliographyTitle"/>
    <w:qFormat/>
    <w:rPr>
      <w:rFonts w:ascii="等线" w:eastAsia="等线" w:hAnsi="等线"/>
      <w:sz w:val="20"/>
    </w:rPr>
  </w:style>
  <w:style w:type="paragraph" w:customStyle="1" w:styleId="EndNoteBibliography">
    <w:name w:val="EndNote Bibliography"/>
    <w:basedOn w:val="a"/>
    <w:link w:val="EndNoteBibliographyChar"/>
    <w:qFormat/>
    <w:rPr>
      <w:rFonts w:ascii="等线" w:eastAsia="等线" w:hAnsi="等线"/>
      <w:sz w:val="20"/>
    </w:rPr>
  </w:style>
  <w:style w:type="character" w:customStyle="1" w:styleId="EndNoteBibliographyChar">
    <w:name w:val="EndNote Bibliography Char"/>
    <w:basedOn w:val="a0"/>
    <w:link w:val="EndNoteBibliography"/>
    <w:qFormat/>
    <w:rPr>
      <w:rFonts w:ascii="等线" w:eastAsia="等线" w:hAnsi="等线"/>
      <w:sz w:val="20"/>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highlightedmodterm">
    <w:name w:val="highlightedmodterm"/>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纯文本 Char"/>
    <w:basedOn w:val="a0"/>
    <w:link w:val="a4"/>
    <w:qFormat/>
    <w:rPr>
      <w:rFonts w:ascii="宋体" w:eastAsia="宋体" w:hAnsi="Courier New" w:cs="Courier New"/>
      <w:szCs w:val="21"/>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0">
    <w:name w:val="修订1"/>
    <w:hidden/>
    <w:uiPriority w:val="99"/>
    <w:semiHidden/>
    <w:qFormat/>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16"/>
      <w:szCs w:val="16"/>
    </w:rPr>
  </w:style>
  <w:style w:type="character" w:customStyle="1" w:styleId="transsent">
    <w:name w:val="transsent"/>
    <w:basedOn w:val="a0"/>
    <w:qFormat/>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keyword">
    <w:name w:val="keyword"/>
    <w:basedOn w:val="a0"/>
    <w:qFormat/>
  </w:style>
  <w:style w:type="character" w:customStyle="1" w:styleId="Char1">
    <w:name w:val="批注框文本 Char"/>
    <w:basedOn w:val="a0"/>
    <w:link w:val="a5"/>
    <w:uiPriority w:val="99"/>
    <w:semiHidden/>
    <w:qFormat/>
    <w:rPr>
      <w:sz w:val="18"/>
      <w:szCs w:val="18"/>
    </w:rPr>
  </w:style>
  <w:style w:type="character" w:customStyle="1" w:styleId="Char">
    <w:name w:val="批注文字 Char"/>
    <w:basedOn w:val="a0"/>
    <w:link w:val="a3"/>
    <w:uiPriority w:val="99"/>
    <w:semiHidden/>
    <w:qFormat/>
    <w:rPr>
      <w:sz w:val="20"/>
      <w:szCs w:val="20"/>
    </w:rPr>
  </w:style>
  <w:style w:type="character" w:customStyle="1" w:styleId="Char4">
    <w:name w:val="批注主题 Char"/>
    <w:basedOn w:val="Char"/>
    <w:link w:val="a9"/>
    <w:uiPriority w:val="99"/>
    <w:semiHidden/>
    <w:qFormat/>
    <w:rPr>
      <w:b/>
      <w:bCs/>
      <w:sz w:val="20"/>
      <w:szCs w:val="20"/>
    </w:rPr>
  </w:style>
  <w:style w:type="paragraph" w:customStyle="1" w:styleId="EndNoteBibliographyTitle">
    <w:name w:val="EndNote Bibliography Title"/>
    <w:basedOn w:val="a"/>
    <w:link w:val="EndNoteBibliographyTitleChar"/>
    <w:qFormat/>
    <w:pPr>
      <w:jc w:val="center"/>
    </w:pPr>
    <w:rPr>
      <w:rFonts w:ascii="等线" w:eastAsia="等线" w:hAnsi="等线"/>
      <w:sz w:val="20"/>
    </w:rPr>
  </w:style>
  <w:style w:type="character" w:customStyle="1" w:styleId="EndNoteBibliographyTitleChar">
    <w:name w:val="EndNote Bibliography Title Char"/>
    <w:basedOn w:val="a0"/>
    <w:link w:val="EndNoteBibliographyTitle"/>
    <w:qFormat/>
    <w:rPr>
      <w:rFonts w:ascii="等线" w:eastAsia="等线" w:hAnsi="等线"/>
      <w:sz w:val="20"/>
    </w:rPr>
  </w:style>
  <w:style w:type="paragraph" w:customStyle="1" w:styleId="EndNoteBibliography">
    <w:name w:val="EndNote Bibliography"/>
    <w:basedOn w:val="a"/>
    <w:link w:val="EndNoteBibliographyChar"/>
    <w:qFormat/>
    <w:rPr>
      <w:rFonts w:ascii="等线" w:eastAsia="等线" w:hAnsi="等线"/>
      <w:sz w:val="20"/>
    </w:rPr>
  </w:style>
  <w:style w:type="character" w:customStyle="1" w:styleId="EndNoteBibliographyChar">
    <w:name w:val="EndNote Bibliography Char"/>
    <w:basedOn w:val="a0"/>
    <w:link w:val="EndNoteBibliography"/>
    <w:qFormat/>
    <w:rPr>
      <w:rFonts w:ascii="等线" w:eastAsia="等线" w:hAnsi="等线"/>
      <w:sz w:val="20"/>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highlightedmodterm">
    <w:name w:val="highlightedmodterm"/>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纯文本 Char"/>
    <w:basedOn w:val="a0"/>
    <w:link w:val="a4"/>
    <w:qFormat/>
    <w:rPr>
      <w:rFonts w:ascii="宋体" w:eastAsia="宋体" w:hAnsi="Courier New" w:cs="Courier New"/>
      <w:szCs w:val="21"/>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0">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126FCA-012D-454D-A01E-EFB26FB0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2318</Words>
  <Characters>13218</Characters>
  <Application>Microsoft Office Word</Application>
  <DocSecurity>0</DocSecurity>
  <Lines>110</Lines>
  <Paragraphs>31</Paragraphs>
  <ScaleCrop>false</ScaleCrop>
  <Company/>
  <LinksUpToDate>false</LinksUpToDate>
  <CharactersWithSpaces>15505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大连理工大学 新时代药业</dc:creator>
  <cp:lastModifiedBy>liujihong2008@qq.con</cp:lastModifiedBy>
  <cp:revision>12</cp:revision>
  <dcterms:created xsi:type="dcterms:W3CDTF">2020-08-28T08:43:00Z</dcterms:created>
  <dcterms:modified xsi:type="dcterms:W3CDTF">2020-09-17T07:22:00Z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