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9A5B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Name of Journal: </w:t>
      </w:r>
      <w:r w:rsidRPr="00BA6ACF">
        <w:rPr>
          <w:rFonts w:ascii="Book Antiqua" w:eastAsia="Book Antiqua" w:hAnsi="Book Antiqua" w:cs="Book Antiqua"/>
          <w:i/>
          <w:color w:val="000000"/>
        </w:rPr>
        <w:t>World Journal of Stem Cells</w:t>
      </w:r>
    </w:p>
    <w:p w14:paraId="3C871ED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Manuscript NO: </w:t>
      </w:r>
      <w:r w:rsidRPr="00BA6ACF">
        <w:rPr>
          <w:rFonts w:ascii="Book Antiqua" w:eastAsia="Book Antiqua" w:hAnsi="Book Antiqua" w:cs="Book Antiqua"/>
          <w:color w:val="000000"/>
        </w:rPr>
        <w:t>56051</w:t>
      </w:r>
    </w:p>
    <w:p w14:paraId="26B620C1"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Manuscript Type: </w:t>
      </w:r>
      <w:r w:rsidRPr="00BA6ACF">
        <w:rPr>
          <w:rFonts w:ascii="Book Antiqua" w:eastAsia="Book Antiqua" w:hAnsi="Book Antiqua" w:cs="Book Antiqua"/>
          <w:color w:val="000000"/>
        </w:rPr>
        <w:t>REVIEW</w:t>
      </w:r>
    </w:p>
    <w:p w14:paraId="34134403" w14:textId="77777777" w:rsidR="00A77B3E" w:rsidRPr="00BA6ACF" w:rsidRDefault="00A77B3E" w:rsidP="007260F0">
      <w:pPr>
        <w:adjustRightInd w:val="0"/>
        <w:snapToGrid w:val="0"/>
        <w:spacing w:line="360" w:lineRule="auto"/>
        <w:jc w:val="both"/>
        <w:rPr>
          <w:rFonts w:ascii="Book Antiqua" w:hAnsi="Book Antiqua"/>
        </w:rPr>
      </w:pPr>
    </w:p>
    <w:p w14:paraId="6224EDE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Inflammatory niche: Mesenchymal stromal cell priming by soluble mediators</w:t>
      </w:r>
    </w:p>
    <w:p w14:paraId="3DC75CFB" w14:textId="77777777" w:rsidR="00A77B3E" w:rsidRPr="00BA6ACF" w:rsidRDefault="00A77B3E" w:rsidP="007260F0">
      <w:pPr>
        <w:adjustRightInd w:val="0"/>
        <w:snapToGrid w:val="0"/>
        <w:spacing w:line="360" w:lineRule="auto"/>
        <w:jc w:val="both"/>
        <w:rPr>
          <w:rFonts w:ascii="Book Antiqua" w:hAnsi="Book Antiqua"/>
        </w:rPr>
      </w:pPr>
    </w:p>
    <w:p w14:paraId="2446ED8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Jauković</w:t>
      </w:r>
      <w:r w:rsidRPr="00BA6ACF">
        <w:rPr>
          <w:rFonts w:ascii="Book Antiqua" w:eastAsia="Book Antiqua" w:hAnsi="Book Antiqua" w:cs="Book Antiqua"/>
          <w:color w:val="000000"/>
          <w:shd w:val="clear" w:color="auto" w:fill="FFFFFF"/>
        </w:rPr>
        <w:t xml:space="preserve"> A </w:t>
      </w:r>
      <w:r w:rsidRPr="00BA6ACF">
        <w:rPr>
          <w:rFonts w:ascii="Book Antiqua" w:eastAsia="Book Antiqua" w:hAnsi="Book Antiqua" w:cs="Book Antiqua"/>
          <w:i/>
          <w:iCs/>
          <w:color w:val="000000"/>
          <w:shd w:val="clear" w:color="auto" w:fill="FFFFFF"/>
        </w:rPr>
        <w:t>et al</w:t>
      </w:r>
      <w:r w:rsidRPr="00BA6ACF">
        <w:rPr>
          <w:rFonts w:ascii="Book Antiqua" w:eastAsia="Book Antiqua" w:hAnsi="Book Antiqua" w:cs="Book Antiqua"/>
          <w:color w:val="000000"/>
          <w:shd w:val="clear" w:color="auto" w:fill="FFFFFF"/>
        </w:rPr>
        <w:t>.</w:t>
      </w:r>
      <w:r w:rsidRPr="00BA6ACF">
        <w:rPr>
          <w:rFonts w:ascii="Book Antiqua" w:eastAsia="Book Antiqua" w:hAnsi="Book Antiqua" w:cs="Book Antiqua"/>
          <w:color w:val="000000"/>
        </w:rPr>
        <w:t xml:space="preserve"> Improving MSC functionality by inflammatory priming</w:t>
      </w:r>
    </w:p>
    <w:p w14:paraId="50129CBF" w14:textId="77777777" w:rsidR="00A77B3E" w:rsidRPr="00BA6ACF" w:rsidRDefault="00A77B3E" w:rsidP="007260F0">
      <w:pPr>
        <w:adjustRightInd w:val="0"/>
        <w:snapToGrid w:val="0"/>
        <w:spacing w:line="360" w:lineRule="auto"/>
        <w:jc w:val="both"/>
        <w:rPr>
          <w:rFonts w:ascii="Book Antiqua" w:hAnsi="Book Antiqua"/>
        </w:rPr>
      </w:pPr>
    </w:p>
    <w:p w14:paraId="75142346" w14:textId="2C55088D"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Aleksandra Jauković, Tamara Kukolj, Hristina Obradović, Ivana Okić-Đorđević, Slavko Mojsilovi</w:t>
      </w:r>
      <w:r w:rsidR="007E0A29" w:rsidRPr="00BA6ACF">
        <w:rPr>
          <w:rFonts w:ascii="Book Antiqua" w:eastAsia="Book Antiqua" w:hAnsi="Book Antiqua" w:cs="Book Antiqua"/>
          <w:color w:val="000000"/>
        </w:rPr>
        <w:t>ć</w:t>
      </w:r>
      <w:r w:rsidRPr="00BA6ACF">
        <w:rPr>
          <w:rFonts w:ascii="Book Antiqua" w:eastAsia="Book Antiqua" w:hAnsi="Book Antiqua" w:cs="Book Antiqua"/>
          <w:color w:val="000000"/>
        </w:rPr>
        <w:t>, Diana Bugarski</w:t>
      </w:r>
    </w:p>
    <w:p w14:paraId="209A371B" w14:textId="77777777" w:rsidR="00A77B3E" w:rsidRPr="00BA6ACF" w:rsidRDefault="00A77B3E" w:rsidP="007260F0">
      <w:pPr>
        <w:adjustRightInd w:val="0"/>
        <w:snapToGrid w:val="0"/>
        <w:spacing w:line="360" w:lineRule="auto"/>
        <w:jc w:val="both"/>
        <w:rPr>
          <w:rFonts w:ascii="Book Antiqua" w:hAnsi="Book Antiqua"/>
        </w:rPr>
      </w:pPr>
    </w:p>
    <w:p w14:paraId="5740D841" w14:textId="63FACAB1"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Aleksandra Jauković, Tamara Kukolj, Hristina Obradović, Ivana Okić-Đorđevi</w:t>
      </w:r>
      <w:bookmarkStart w:id="0" w:name="_Hlk49848122"/>
      <w:r w:rsidRPr="00BA6ACF">
        <w:rPr>
          <w:rFonts w:ascii="Book Antiqua" w:eastAsia="Book Antiqua" w:hAnsi="Book Antiqua" w:cs="Book Antiqua"/>
          <w:b/>
          <w:bCs/>
          <w:color w:val="000000"/>
        </w:rPr>
        <w:t>ć</w:t>
      </w:r>
      <w:bookmarkEnd w:id="0"/>
      <w:r w:rsidRPr="00BA6ACF">
        <w:rPr>
          <w:rFonts w:ascii="Book Antiqua" w:eastAsia="Book Antiqua" w:hAnsi="Book Antiqua" w:cs="Book Antiqua"/>
          <w:b/>
          <w:bCs/>
          <w:color w:val="000000"/>
        </w:rPr>
        <w:t xml:space="preserve">, Slavko </w:t>
      </w:r>
      <w:r w:rsidR="007E0A29" w:rsidRPr="00BA6ACF">
        <w:rPr>
          <w:rFonts w:ascii="Book Antiqua" w:eastAsia="Book Antiqua" w:hAnsi="Book Antiqua" w:cs="Book Antiqua"/>
          <w:b/>
          <w:bCs/>
          <w:color w:val="000000"/>
        </w:rPr>
        <w:t>Mojsilović</w:t>
      </w:r>
      <w:r w:rsidRPr="00BA6ACF">
        <w:rPr>
          <w:rFonts w:ascii="Book Antiqua" w:eastAsia="Book Antiqua" w:hAnsi="Book Antiqua" w:cs="Book Antiqua"/>
          <w:b/>
          <w:bCs/>
          <w:color w:val="000000"/>
        </w:rPr>
        <w:t xml:space="preserve">, Diana Bugarski, </w:t>
      </w:r>
      <w:r w:rsidRPr="00BA6ACF">
        <w:rPr>
          <w:rFonts w:ascii="Book Antiqua" w:eastAsia="Book Antiqua" w:hAnsi="Book Antiqua" w:cs="Book Antiqua"/>
          <w:color w:val="000000"/>
        </w:rPr>
        <w:t>Laboratory for Experimental Hematology and Stem Cells, Institute for Medical Research, University of Belgrade, Belgrade 11129, Serbia</w:t>
      </w:r>
    </w:p>
    <w:p w14:paraId="6DB52075" w14:textId="77777777" w:rsidR="00A77B3E" w:rsidRPr="00BA6ACF" w:rsidRDefault="00A77B3E" w:rsidP="007260F0">
      <w:pPr>
        <w:adjustRightInd w:val="0"/>
        <w:snapToGrid w:val="0"/>
        <w:spacing w:line="360" w:lineRule="auto"/>
        <w:jc w:val="both"/>
        <w:rPr>
          <w:rFonts w:ascii="Book Antiqua" w:hAnsi="Book Antiqua"/>
        </w:rPr>
      </w:pPr>
    </w:p>
    <w:p w14:paraId="58AB2974" w14:textId="520DF2E4"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Author contributions: </w:t>
      </w:r>
      <w:r w:rsidRPr="00BA6ACF">
        <w:rPr>
          <w:rFonts w:ascii="Book Antiqua" w:eastAsia="Book Antiqua" w:hAnsi="Book Antiqua" w:cs="Book Antiqua"/>
          <w:color w:val="000000"/>
        </w:rPr>
        <w:t xml:space="preserve">Jauković A conceived of, designed, and wrote the manuscript; Kukolj T contributed to the article’s conception and writing; Obradović H performed the literature review and writing; Okić-Đorđević I contributed to the literature review and article writing; Mojsilović S performed the literature analysis and article editing; Bugarski D made critical revisions to the manuscript; </w:t>
      </w:r>
      <w:r w:rsidR="00514625" w:rsidRPr="00BA6ACF">
        <w:rPr>
          <w:rFonts w:ascii="Book Antiqua" w:eastAsia="Book Antiqua" w:hAnsi="Book Antiqua" w:cs="Book Antiqua"/>
          <w:color w:val="000000"/>
        </w:rPr>
        <w:t>a</w:t>
      </w:r>
      <w:r w:rsidRPr="00BA6ACF">
        <w:rPr>
          <w:rFonts w:ascii="Book Antiqua" w:eastAsia="Book Antiqua" w:hAnsi="Book Antiqua" w:cs="Book Antiqua"/>
          <w:color w:val="000000"/>
        </w:rPr>
        <w:t>ll authors read and approved the final version of the manuscript.</w:t>
      </w:r>
    </w:p>
    <w:p w14:paraId="39623835" w14:textId="77777777" w:rsidR="00A77B3E" w:rsidRPr="00BA6ACF" w:rsidRDefault="00A77B3E" w:rsidP="007260F0">
      <w:pPr>
        <w:adjustRightInd w:val="0"/>
        <w:snapToGrid w:val="0"/>
        <w:spacing w:line="360" w:lineRule="auto"/>
        <w:jc w:val="both"/>
        <w:rPr>
          <w:rFonts w:ascii="Book Antiqua" w:hAnsi="Book Antiqua"/>
        </w:rPr>
      </w:pPr>
    </w:p>
    <w:p w14:paraId="61C2FB0D" w14:textId="072BD520" w:rsidR="00A77B3E" w:rsidRPr="00BA6ACF" w:rsidRDefault="003C0C04" w:rsidP="007260F0">
      <w:pPr>
        <w:adjustRightInd w:val="0"/>
        <w:snapToGrid w:val="0"/>
        <w:spacing w:line="360" w:lineRule="auto"/>
        <w:jc w:val="both"/>
        <w:rPr>
          <w:rFonts w:ascii="Book Antiqua" w:eastAsia="Book Antiqua" w:hAnsi="Book Antiqua" w:cs="Book Antiqua"/>
          <w:color w:val="000000"/>
        </w:rPr>
      </w:pPr>
      <w:r w:rsidRPr="00BA6ACF">
        <w:rPr>
          <w:rFonts w:ascii="Book Antiqua" w:eastAsia="Book Antiqua" w:hAnsi="Book Antiqua" w:cs="Book Antiqua"/>
          <w:b/>
          <w:bCs/>
          <w:color w:val="000000"/>
        </w:rPr>
        <w:t xml:space="preserve">Supported by </w:t>
      </w:r>
      <w:r w:rsidR="00BA6ACF" w:rsidRPr="00BA6ACF">
        <w:rPr>
          <w:rFonts w:ascii="Book Antiqua" w:eastAsia="Book Antiqua" w:hAnsi="Book Antiqua" w:cs="Book Antiqua"/>
          <w:color w:val="000000"/>
        </w:rPr>
        <w:t>the Ministry of Education, Science and Technological Development, Republic of Serbia, No. 451-03-68/2020-14/200015.</w:t>
      </w:r>
    </w:p>
    <w:p w14:paraId="379BD5B0" w14:textId="77777777" w:rsidR="00BA6ACF" w:rsidRPr="00BA6ACF" w:rsidRDefault="00BA6ACF" w:rsidP="007260F0">
      <w:pPr>
        <w:adjustRightInd w:val="0"/>
        <w:snapToGrid w:val="0"/>
        <w:spacing w:line="360" w:lineRule="auto"/>
        <w:jc w:val="both"/>
        <w:rPr>
          <w:rFonts w:ascii="Book Antiqua" w:hAnsi="Book Antiqua"/>
        </w:rPr>
      </w:pPr>
    </w:p>
    <w:p w14:paraId="1026175D"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Corresponding author: Aleksandra Jauković, PhD, Associate Professor, </w:t>
      </w:r>
      <w:r w:rsidRPr="00BA6ACF">
        <w:rPr>
          <w:rFonts w:ascii="Book Antiqua" w:eastAsia="Book Antiqua" w:hAnsi="Book Antiqua" w:cs="Book Antiqua"/>
          <w:color w:val="000000"/>
        </w:rPr>
        <w:t xml:space="preserve">Laboratory for Experimental Hematology and Stem Cells, Institute for Medical Research, </w:t>
      </w:r>
      <w:r w:rsidRPr="00BA6ACF">
        <w:rPr>
          <w:rFonts w:ascii="Book Antiqua" w:eastAsia="Book Antiqua" w:hAnsi="Book Antiqua" w:cs="Book Antiqua"/>
          <w:color w:val="000000"/>
        </w:rPr>
        <w:lastRenderedPageBreak/>
        <w:t>University of Belgrade, Dr. Subotića 4, PO BOX 102, Belgrade 11129, Serbia. aleksandra@imi.bg.ac.rs</w:t>
      </w:r>
    </w:p>
    <w:p w14:paraId="205B0502" w14:textId="77777777" w:rsidR="00A77B3E" w:rsidRPr="00BA6ACF" w:rsidRDefault="00A77B3E" w:rsidP="007260F0">
      <w:pPr>
        <w:adjustRightInd w:val="0"/>
        <w:snapToGrid w:val="0"/>
        <w:spacing w:line="360" w:lineRule="auto"/>
        <w:jc w:val="both"/>
        <w:rPr>
          <w:rFonts w:ascii="Book Antiqua" w:hAnsi="Book Antiqua"/>
        </w:rPr>
      </w:pPr>
    </w:p>
    <w:p w14:paraId="5EDBD65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Received: </w:t>
      </w:r>
      <w:r w:rsidRPr="00BA6ACF">
        <w:rPr>
          <w:rFonts w:ascii="Book Antiqua" w:eastAsia="Book Antiqua" w:hAnsi="Book Antiqua" w:cs="Book Antiqua"/>
          <w:color w:val="000000"/>
        </w:rPr>
        <w:t>April 14, 2020</w:t>
      </w:r>
    </w:p>
    <w:p w14:paraId="32BBE0A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Revised: </w:t>
      </w:r>
      <w:r w:rsidRPr="00BA6ACF">
        <w:rPr>
          <w:rFonts w:ascii="Book Antiqua" w:eastAsia="Book Antiqua" w:hAnsi="Book Antiqua" w:cs="Book Antiqua"/>
          <w:color w:val="000000"/>
        </w:rPr>
        <w:t>May 13, 2020</w:t>
      </w:r>
    </w:p>
    <w:p w14:paraId="6CA5BD28" w14:textId="60964991"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Accepted: </w:t>
      </w:r>
      <w:r w:rsidR="00C54AD3" w:rsidRPr="00C54AD3">
        <w:rPr>
          <w:rFonts w:ascii="Book Antiqua" w:eastAsia="Book Antiqua" w:hAnsi="Book Antiqua" w:cs="Book Antiqua"/>
          <w:bCs/>
          <w:color w:val="000000"/>
        </w:rPr>
        <w:t>September 1, 2020</w:t>
      </w:r>
    </w:p>
    <w:p w14:paraId="2D568F9C" w14:textId="2C47E79B"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Published online: </w:t>
      </w:r>
      <w:r w:rsidR="00751EC4" w:rsidRPr="00D243B6">
        <w:rPr>
          <w:rFonts w:ascii="Book Antiqua" w:eastAsia="Book Antiqua" w:hAnsi="Book Antiqua" w:cs="Book Antiqua"/>
          <w:bCs/>
          <w:color w:val="000000"/>
        </w:rPr>
        <w:t xml:space="preserve">September </w:t>
      </w:r>
      <w:r w:rsidR="00751EC4" w:rsidRPr="00D243B6">
        <w:rPr>
          <w:rFonts w:ascii="Book Antiqua" w:hAnsi="Book Antiqua" w:cs="Book Antiqua" w:hint="eastAsia"/>
          <w:bCs/>
          <w:color w:val="000000"/>
          <w:lang w:eastAsia="zh-CN"/>
        </w:rPr>
        <w:t>26</w:t>
      </w:r>
      <w:r w:rsidR="00751EC4" w:rsidRPr="00D243B6">
        <w:rPr>
          <w:rFonts w:ascii="Book Antiqua" w:eastAsia="Book Antiqua" w:hAnsi="Book Antiqua" w:cs="Book Antiqua"/>
          <w:bCs/>
          <w:color w:val="000000"/>
        </w:rPr>
        <w:t>, 2020</w:t>
      </w:r>
    </w:p>
    <w:p w14:paraId="6CD012AF" w14:textId="77777777" w:rsidR="00A77B3E" w:rsidRPr="00BA6ACF" w:rsidRDefault="00A77B3E" w:rsidP="007260F0">
      <w:pPr>
        <w:adjustRightInd w:val="0"/>
        <w:snapToGrid w:val="0"/>
        <w:spacing w:line="360" w:lineRule="auto"/>
        <w:jc w:val="both"/>
        <w:rPr>
          <w:rFonts w:ascii="Book Antiqua" w:hAnsi="Book Antiqua"/>
        </w:rPr>
        <w:sectPr w:rsidR="00A77B3E" w:rsidRPr="00BA6ACF">
          <w:footerReference w:type="default" r:id="rId8"/>
          <w:pgSz w:w="12240" w:h="15840"/>
          <w:pgMar w:top="1440" w:right="1440" w:bottom="1440" w:left="1440" w:header="720" w:footer="720" w:gutter="0"/>
          <w:cols w:space="720"/>
          <w:docGrid w:linePitch="360"/>
        </w:sectPr>
      </w:pPr>
    </w:p>
    <w:p w14:paraId="0569BA9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lastRenderedPageBreak/>
        <w:t>Abstract</w:t>
      </w:r>
    </w:p>
    <w:p w14:paraId="4426EAD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Mesenchymal stromal/stem cells (MSCs) are adult stem cells of stromal origin that possess self-renewal capacity and the ability to differentiate into multiple mesodermal cell lineages. They play a critical role in tissue homeostasis and wound healing, as well as in regulating the inﬂammatory microenvironment through interactions with immune cells. Hence, MSCs have garnered great attention as promising candidates for tissue regeneration and cell therapy. Because the inflammatory niche plays a key role in triggering the reparative and immunomodulatory functions of MSCs, p</w:t>
      </w:r>
      <w:r w:rsidRPr="00BA6ACF">
        <w:rPr>
          <w:rFonts w:ascii="Book Antiqua" w:eastAsia="Book Antiqua" w:hAnsi="Book Antiqua" w:cs="Book Antiqua"/>
          <w:color w:val="000000"/>
          <w:shd w:val="clear" w:color="auto" w:fill="FFFFFF"/>
        </w:rPr>
        <w:t xml:space="preserve">riming of MSCs with bioactive molecules has been proposed as a way to </w:t>
      </w:r>
      <w:r w:rsidRPr="00BA6ACF">
        <w:rPr>
          <w:rFonts w:ascii="Book Antiqua" w:eastAsia="Book Antiqua" w:hAnsi="Book Antiqua" w:cs="Book Antiqua"/>
          <w:color w:val="000000"/>
        </w:rPr>
        <w:t>foster the therapeutic potential of these cells. In this paper, we review how soluble mediators of the inflammatory niche (cytokines and alarmins) influence the regenerative and immunomodulatory capacity of MSCs, highlighting the major advantages and concerns regarding the therapeutic potential of these inflammatory primed MSCs. The data summarized in this review may provide a significant starting point for future research on priming MSCs and establishing standardized methods for the application of preconditioned MSCs in cell therapy.</w:t>
      </w:r>
    </w:p>
    <w:p w14:paraId="240D4E92" w14:textId="77777777" w:rsidR="00A77B3E" w:rsidRPr="00BA6ACF" w:rsidRDefault="00A77B3E" w:rsidP="007260F0">
      <w:pPr>
        <w:adjustRightInd w:val="0"/>
        <w:snapToGrid w:val="0"/>
        <w:spacing w:line="360" w:lineRule="auto"/>
        <w:jc w:val="both"/>
        <w:rPr>
          <w:rFonts w:ascii="Book Antiqua" w:hAnsi="Book Antiqua"/>
        </w:rPr>
      </w:pPr>
    </w:p>
    <w:p w14:paraId="2D8BFD8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Key words: </w:t>
      </w:r>
      <w:r w:rsidRPr="00BA6ACF">
        <w:rPr>
          <w:rFonts w:ascii="Book Antiqua" w:eastAsia="Book Antiqua" w:hAnsi="Book Antiqua" w:cs="Book Antiqua"/>
          <w:color w:val="000000"/>
        </w:rPr>
        <w:t>Mesenchymal stem cells; Pro-inflammatory cytokines; Alarmins; Priming; Boosting therapeutic potential</w:t>
      </w:r>
    </w:p>
    <w:p w14:paraId="6E8ABAC6" w14:textId="77777777" w:rsidR="00A77B3E" w:rsidRPr="00BA6ACF" w:rsidRDefault="00A77B3E" w:rsidP="007260F0">
      <w:pPr>
        <w:adjustRightInd w:val="0"/>
        <w:snapToGrid w:val="0"/>
        <w:spacing w:line="360" w:lineRule="auto"/>
        <w:jc w:val="both"/>
        <w:rPr>
          <w:rFonts w:ascii="Book Antiqua" w:hAnsi="Book Antiqua"/>
        </w:rPr>
      </w:pPr>
    </w:p>
    <w:p w14:paraId="5B2C32BE" w14:textId="2F370F3F" w:rsidR="00A77B3E" w:rsidRPr="00C12035" w:rsidRDefault="003C0C04" w:rsidP="007260F0">
      <w:pPr>
        <w:adjustRightInd w:val="0"/>
        <w:snapToGrid w:val="0"/>
        <w:spacing w:line="360" w:lineRule="auto"/>
        <w:jc w:val="both"/>
        <w:rPr>
          <w:rFonts w:ascii="Book Antiqua" w:hAnsi="Book Antiqua" w:hint="eastAsia"/>
          <w:lang w:eastAsia="zh-CN"/>
        </w:rPr>
      </w:pPr>
      <w:r w:rsidRPr="00BA6ACF">
        <w:rPr>
          <w:rFonts w:ascii="Book Antiqua" w:eastAsia="Book Antiqua" w:hAnsi="Book Antiqua" w:cs="Book Antiqua"/>
          <w:color w:val="000000"/>
        </w:rPr>
        <w:t xml:space="preserve">Jauković A, Kukolj T, Obradović H, Okić-Đorđević I, </w:t>
      </w:r>
      <w:r w:rsidR="007E0A29" w:rsidRPr="00BA6ACF">
        <w:rPr>
          <w:rFonts w:ascii="Book Antiqua" w:eastAsia="Book Antiqua" w:hAnsi="Book Antiqua" w:cs="Book Antiqua"/>
          <w:color w:val="000000"/>
        </w:rPr>
        <w:t xml:space="preserve">Mojsilović </w:t>
      </w:r>
      <w:r w:rsidRPr="00BA6ACF">
        <w:rPr>
          <w:rFonts w:ascii="Book Antiqua" w:eastAsia="Book Antiqua" w:hAnsi="Book Antiqua" w:cs="Book Antiqua"/>
          <w:color w:val="000000"/>
        </w:rPr>
        <w:t xml:space="preserve">S, Bugarski D. Inflammatory niche: Mesenchymal stromal cell priming by soluble mediators. </w:t>
      </w:r>
      <w:r w:rsidRPr="00BA6ACF">
        <w:rPr>
          <w:rFonts w:ascii="Book Antiqua" w:eastAsia="Book Antiqua" w:hAnsi="Book Antiqua" w:cs="Book Antiqua"/>
          <w:i/>
          <w:iCs/>
          <w:color w:val="000000"/>
        </w:rPr>
        <w:t>World J Stem Cells</w:t>
      </w:r>
      <w:r w:rsidRPr="00BA6ACF">
        <w:rPr>
          <w:rFonts w:ascii="Book Antiqua" w:eastAsia="Book Antiqua" w:hAnsi="Book Antiqua" w:cs="Book Antiqua"/>
          <w:color w:val="000000"/>
        </w:rPr>
        <w:t xml:space="preserve"> 2020; </w:t>
      </w:r>
      <w:r w:rsidR="00751EC4" w:rsidRPr="00751EC4">
        <w:rPr>
          <w:rFonts w:ascii="Book Antiqua" w:eastAsia="Book Antiqua" w:hAnsi="Book Antiqua" w:cs="Book Antiqua"/>
          <w:color w:val="000000"/>
        </w:rPr>
        <w:t xml:space="preserve">12(9): </w:t>
      </w:r>
      <w:r w:rsidR="00C12035">
        <w:rPr>
          <w:rFonts w:ascii="Book Antiqua" w:hAnsi="Book Antiqua" w:cs="Book Antiqua" w:hint="eastAsia"/>
          <w:color w:val="000000"/>
          <w:lang w:eastAsia="zh-CN"/>
        </w:rPr>
        <w:t>922-937</w:t>
      </w:r>
      <w:r w:rsidR="00751EC4" w:rsidRPr="00751EC4">
        <w:rPr>
          <w:rFonts w:ascii="Book Antiqua" w:eastAsia="Book Antiqua" w:hAnsi="Book Antiqua" w:cs="Book Antiqua"/>
          <w:color w:val="000000"/>
        </w:rPr>
        <w:t xml:space="preserve"> URL: https://www.wjgnet.com/1948-0210/full/v12/i9/</w:t>
      </w:r>
      <w:r w:rsidR="00C12035">
        <w:rPr>
          <w:rFonts w:ascii="Book Antiqua" w:hAnsi="Book Antiqua" w:cs="Book Antiqua" w:hint="eastAsia"/>
          <w:color w:val="000000"/>
          <w:lang w:eastAsia="zh-CN"/>
        </w:rPr>
        <w:t>922</w:t>
      </w:r>
      <w:r w:rsidR="00751EC4" w:rsidRPr="00751EC4">
        <w:rPr>
          <w:rFonts w:ascii="Book Antiqua" w:eastAsia="Book Antiqua" w:hAnsi="Book Antiqua" w:cs="Book Antiqua"/>
          <w:color w:val="000000"/>
        </w:rPr>
        <w:t xml:space="preserve">.htm DOI: </w:t>
      </w:r>
      <w:bookmarkStart w:id="1" w:name="_GoBack"/>
      <w:r w:rsidR="00751EC4" w:rsidRPr="00751EC4">
        <w:rPr>
          <w:rFonts w:ascii="Book Antiqua" w:eastAsia="Book Antiqua" w:hAnsi="Book Antiqua" w:cs="Book Antiqua"/>
          <w:color w:val="000000"/>
        </w:rPr>
        <w:t>https://dx.doi.org/10.4252/wjsc.v12.i9.</w:t>
      </w:r>
      <w:r w:rsidR="00C12035">
        <w:rPr>
          <w:rFonts w:ascii="Book Antiqua" w:hAnsi="Book Antiqua" w:cs="Book Antiqua" w:hint="eastAsia"/>
          <w:color w:val="000000"/>
          <w:lang w:eastAsia="zh-CN"/>
        </w:rPr>
        <w:t>922</w:t>
      </w:r>
      <w:bookmarkEnd w:id="1"/>
    </w:p>
    <w:p w14:paraId="49A383C1" w14:textId="77777777" w:rsidR="00A77B3E" w:rsidRPr="00BA6ACF" w:rsidRDefault="00A77B3E" w:rsidP="007260F0">
      <w:pPr>
        <w:adjustRightInd w:val="0"/>
        <w:snapToGrid w:val="0"/>
        <w:spacing w:line="360" w:lineRule="auto"/>
        <w:jc w:val="both"/>
        <w:rPr>
          <w:rFonts w:ascii="Book Antiqua" w:hAnsi="Book Antiqua"/>
        </w:rPr>
      </w:pPr>
    </w:p>
    <w:p w14:paraId="21027010" w14:textId="45A22481" w:rsidR="00072809" w:rsidRPr="00BA6ACF" w:rsidRDefault="003C0C04" w:rsidP="007260F0">
      <w:pPr>
        <w:adjustRightInd w:val="0"/>
        <w:snapToGrid w:val="0"/>
        <w:spacing w:line="360" w:lineRule="auto"/>
        <w:jc w:val="both"/>
        <w:rPr>
          <w:rFonts w:ascii="Book Antiqua" w:eastAsia="Book Antiqua" w:hAnsi="Book Antiqua" w:cs="Book Antiqua"/>
          <w:color w:val="000000"/>
        </w:rPr>
      </w:pPr>
      <w:r w:rsidRPr="00BA6ACF">
        <w:rPr>
          <w:rFonts w:ascii="Book Antiqua" w:eastAsia="Book Antiqua" w:hAnsi="Book Antiqua" w:cs="Book Antiqua"/>
          <w:b/>
          <w:bCs/>
          <w:color w:val="000000"/>
        </w:rPr>
        <w:t xml:space="preserve">Core </w:t>
      </w:r>
      <w:r w:rsidR="00751EC4">
        <w:rPr>
          <w:rFonts w:ascii="Book Antiqua" w:hAnsi="Book Antiqua" w:cs="Book Antiqua" w:hint="eastAsia"/>
          <w:b/>
          <w:bCs/>
          <w:color w:val="000000"/>
          <w:lang w:eastAsia="zh-CN"/>
        </w:rPr>
        <w:t>T</w:t>
      </w:r>
      <w:r w:rsidRPr="00BA6ACF">
        <w:rPr>
          <w:rFonts w:ascii="Book Antiqua" w:eastAsia="Book Antiqua" w:hAnsi="Book Antiqua" w:cs="Book Antiqua"/>
          <w:b/>
          <w:bCs/>
          <w:color w:val="000000"/>
        </w:rPr>
        <w:t xml:space="preserve">ip: </w:t>
      </w:r>
      <w:r w:rsidRPr="00BA6ACF">
        <w:rPr>
          <w:rFonts w:ascii="Book Antiqua" w:eastAsia="Book Antiqua" w:hAnsi="Book Antiqua" w:cs="Book Antiqua"/>
          <w:color w:val="000000"/>
        </w:rPr>
        <w:t xml:space="preserve">The inflammatory niche plays a key role in triggering the reparative and immunomodulatory functions of mesenchymal stromal/stem cells (MSCs). This paper summarizes the data on how soluble factors in the inflammatory microenvironment, including pro-inflammatory cytokines secreted by immune cells and alarmins released </w:t>
      </w:r>
      <w:r w:rsidRPr="00BA6ACF">
        <w:rPr>
          <w:rFonts w:ascii="Book Antiqua" w:eastAsia="Book Antiqua" w:hAnsi="Book Antiqua" w:cs="Book Antiqua"/>
          <w:color w:val="000000"/>
        </w:rPr>
        <w:lastRenderedPageBreak/>
        <w:t xml:space="preserve">by damaged cells, affect MSCs’ ability to regenerate tissue and modulate the inflammatory response. We also analyze data from </w:t>
      </w:r>
      <w:r w:rsidRPr="00BA6ACF">
        <w:rPr>
          <w:rFonts w:ascii="Book Antiqua" w:eastAsia="Book Antiqua" w:hAnsi="Book Antiqua" w:cs="Book Antiqua"/>
          <w:i/>
          <w:iCs/>
          <w:color w:val="000000"/>
        </w:rPr>
        <w:t>in vitro</w:t>
      </w:r>
      <w:r w:rsidRPr="00BA6ACF">
        <w:rPr>
          <w:rFonts w:ascii="Book Antiqua" w:eastAsia="Book Antiqua" w:hAnsi="Book Antiqua" w:cs="Book Antiqua"/>
          <w:color w:val="000000"/>
        </w:rPr>
        <w:t xml:space="preserve"> and </w:t>
      </w:r>
      <w:r w:rsidRPr="00BA6ACF">
        <w:rPr>
          <w:rFonts w:ascii="Book Antiqua" w:eastAsia="Book Antiqua" w:hAnsi="Book Antiqua" w:cs="Book Antiqua"/>
          <w:i/>
          <w:iCs/>
          <w:color w:val="000000"/>
        </w:rPr>
        <w:t>in vivo</w:t>
      </w:r>
      <w:r w:rsidRPr="00BA6ACF">
        <w:rPr>
          <w:rFonts w:ascii="Book Antiqua" w:eastAsia="Book Antiqua" w:hAnsi="Book Antiqua" w:cs="Book Antiqua"/>
          <w:color w:val="000000"/>
        </w:rPr>
        <w:t xml:space="preserve"> studies, which highlight the influence of these factors on the therapeutic potential of MSCs, thus providing an important background for the development of preconditioning strategies that might improve the outcomes of MSC-based cell therapies.</w:t>
      </w:r>
    </w:p>
    <w:p w14:paraId="757F2691" w14:textId="5F1D7788" w:rsidR="00A77B3E" w:rsidRPr="00BA6ACF" w:rsidRDefault="00072809"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br w:type="page"/>
      </w:r>
      <w:r w:rsidR="003C0C04" w:rsidRPr="00BA6ACF">
        <w:rPr>
          <w:rFonts w:ascii="Book Antiqua" w:eastAsia="Book Antiqua" w:hAnsi="Book Antiqua" w:cs="Book Antiqua"/>
          <w:b/>
          <w:caps/>
          <w:color w:val="000000"/>
          <w:u w:val="single"/>
        </w:rPr>
        <w:lastRenderedPageBreak/>
        <w:t>INTRODUCTION</w:t>
      </w:r>
    </w:p>
    <w:p w14:paraId="29F7901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Inflammation is a localized immunologic response of the tissue elicited by harmful stimuli, including pathogens, irritants, or physical injury. This complex and protective response plays a fundamental role in the regulation of tissue repair, serving to eliminate harmful stimuli and begin the healing process</w:t>
      </w:r>
      <w:r w:rsidRPr="00BA6ACF">
        <w:rPr>
          <w:rFonts w:ascii="Book Antiqua" w:eastAsia="Book Antiqua" w:hAnsi="Book Antiqua" w:cs="Book Antiqua"/>
          <w:color w:val="000000"/>
          <w:vertAlign w:val="superscript"/>
        </w:rPr>
        <w:t>[1]</w:t>
      </w:r>
      <w:r w:rsidRPr="00BA6ACF">
        <w:rPr>
          <w:rFonts w:ascii="Book Antiqua" w:eastAsia="Book Antiqua" w:hAnsi="Book Antiqua" w:cs="Book Antiqua"/>
          <w:color w:val="000000"/>
        </w:rPr>
        <w:t>. In fact, inflammation is considered the important initial phase, followed by cell proliferation and extracellular matrix remodeling. These phases overlap over time and each of them represents a sequence of dynamic cellular and biochemical events, contributing to tissue regeneration through the collaboration of many cell types and their soluble products</w:t>
      </w:r>
      <w:r w:rsidRPr="00BA6ACF">
        <w:rPr>
          <w:rFonts w:ascii="Book Antiqua" w:eastAsia="Book Antiqua" w:hAnsi="Book Antiqua" w:cs="Book Antiqua"/>
          <w:color w:val="000000"/>
          <w:vertAlign w:val="superscript"/>
        </w:rPr>
        <w:t>[2]</w:t>
      </w:r>
      <w:r w:rsidRPr="00BA6ACF">
        <w:rPr>
          <w:rFonts w:ascii="Book Antiqua" w:eastAsia="Book Antiqua" w:hAnsi="Book Antiqua" w:cs="Book Antiqua"/>
          <w:color w:val="000000"/>
        </w:rPr>
        <w:t>. Immune cells, together with blood vessels, various stromal cells, extracellular matrix components, and a plethora of secreted soluble mediators, comprise an inflammatory microenvironment capable of inducing different responses of cells within injured tissue</w:t>
      </w:r>
      <w:r w:rsidRPr="00BA6ACF">
        <w:rPr>
          <w:rFonts w:ascii="Book Antiqua" w:eastAsia="Book Antiqua" w:hAnsi="Book Antiqua" w:cs="Book Antiqua"/>
          <w:color w:val="000000"/>
          <w:vertAlign w:val="superscript"/>
        </w:rPr>
        <w:t>[3]</w:t>
      </w:r>
      <w:r w:rsidRPr="00BA6ACF">
        <w:rPr>
          <w:rFonts w:ascii="Book Antiqua" w:eastAsia="Book Antiqua" w:hAnsi="Book Antiqua" w:cs="Book Antiqua"/>
          <w:color w:val="000000"/>
        </w:rPr>
        <w:t xml:space="preserve">. </w:t>
      </w:r>
    </w:p>
    <w:p w14:paraId="195EE513"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Soluble mediators released from injured/necrotic cells or damaged microvasculature lead to enhanced endothelium permeability and infiltration of neutrophils and macrophages. Among these mediators are endogenous danger signals, known as alarmins, which are rapidly released by dying necrotic cells upon tissue damage and play an important role in promoting and enhancing the immune response</w:t>
      </w:r>
      <w:r w:rsidRPr="00BA6ACF">
        <w:rPr>
          <w:rFonts w:ascii="Book Antiqua" w:eastAsia="Book Antiqua" w:hAnsi="Book Antiqua" w:cs="Book Antiqua"/>
          <w:color w:val="000000"/>
          <w:vertAlign w:val="superscript"/>
        </w:rPr>
        <w:t>[4-6]</w:t>
      </w:r>
      <w:r w:rsidRPr="00BA6ACF">
        <w:rPr>
          <w:rFonts w:ascii="Book Antiqua" w:eastAsia="Book Antiqua" w:hAnsi="Book Antiqua" w:cs="Book Antiqua"/>
          <w:color w:val="000000"/>
        </w:rPr>
        <w:t>. To date, the best-characterized alarmins are the interleukin (IL)-1 family of cytokines (IL-1α and IL-33), high-mobility group protein B1 (HMGB1), S100 proteins, and heat shock proteins (Hsps)</w:t>
      </w:r>
      <w:r w:rsidRPr="00BA6ACF">
        <w:rPr>
          <w:rFonts w:ascii="Book Antiqua" w:eastAsia="Book Antiqua" w:hAnsi="Book Antiqua" w:cs="Book Antiqua"/>
          <w:color w:val="000000"/>
          <w:vertAlign w:val="superscript"/>
        </w:rPr>
        <w:t>[4,7]</w:t>
      </w:r>
      <w:r w:rsidRPr="00BA6ACF">
        <w:rPr>
          <w:rFonts w:ascii="Book Antiqua" w:eastAsia="Book Antiqua" w:hAnsi="Book Antiqua" w:cs="Book Antiqua"/>
          <w:color w:val="000000"/>
        </w:rPr>
        <w:t>. In addition, during the inflammatory process, the phagocytosis of necrotic cells by resident/recruited neutrophils and macrophages induces the release of various inflammatory factors, such as tumor necrosis factor (TNF)-α, interferon (IFN)-γ, IL-1β, IL-17, and chemokines</w:t>
      </w:r>
      <w:r w:rsidRPr="00BA6ACF">
        <w:rPr>
          <w:rFonts w:ascii="Book Antiqua" w:eastAsia="Book Antiqua" w:hAnsi="Book Antiqua" w:cs="Book Antiqua"/>
          <w:color w:val="000000"/>
          <w:vertAlign w:val="superscript"/>
        </w:rPr>
        <w:t>[8]</w:t>
      </w:r>
      <w:r w:rsidRPr="00BA6ACF">
        <w:rPr>
          <w:rFonts w:ascii="Book Antiqua" w:eastAsia="Book Antiqua" w:hAnsi="Book Antiqua" w:cs="Book Antiqua"/>
          <w:color w:val="000000"/>
        </w:rPr>
        <w:t xml:space="preserve">. </w:t>
      </w:r>
    </w:p>
    <w:p w14:paraId="6886B7E8"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 xml:space="preserve">Aside from numerous soluble mediators, tissue injury mediated by immunity or infection involves an even greater number of various immune cells, including B cells, CD4+ and CD8+ T cells, and natural killer cells. While all immune cells play key roles in wound healing through eradication of damaged tissue and invading pathogens, their excessive activation can actually aggravate the injury. Therefore, a comprehensive understanding of inflammatory niche elements might contribute to the development of </w:t>
      </w:r>
      <w:r w:rsidRPr="00BA6ACF">
        <w:rPr>
          <w:rFonts w:ascii="Book Antiqua" w:eastAsia="Book Antiqua" w:hAnsi="Book Antiqua" w:cs="Book Antiqua"/>
          <w:color w:val="000000"/>
        </w:rPr>
        <w:lastRenderedPageBreak/>
        <w:t>novel therapeutic strategies for the treatment of inflammatory-associated diseases, as well as conditions of failed tissue regeneration.</w:t>
      </w:r>
    </w:p>
    <w:p w14:paraId="134A2D5B"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One of the cellular compartments participating in the inflammatory niche represents mesenchymal stromal/stem cells (MSCs). MSCs are stem cells of stromal origin that possess self-renewal capacity and the ability to differentiate into three mesodermal cell lineages, including osteocytes, chondrocytes, and adipocytes</w:t>
      </w:r>
      <w:r w:rsidRPr="00BA6ACF">
        <w:rPr>
          <w:rFonts w:ascii="Book Antiqua" w:eastAsia="Book Antiqua" w:hAnsi="Book Antiqua" w:cs="Book Antiqua"/>
          <w:color w:val="000000"/>
          <w:vertAlign w:val="superscript"/>
        </w:rPr>
        <w:t>[9]</w:t>
      </w:r>
      <w:r w:rsidRPr="00BA6ACF">
        <w:rPr>
          <w:rFonts w:ascii="Book Antiqua" w:eastAsia="Book Antiqua" w:hAnsi="Book Antiqua" w:cs="Book Antiqua"/>
          <w:color w:val="000000"/>
        </w:rPr>
        <w:t>. Considering their critical role in tissue homeostasis and wound healing, MSCs have garnered great attention as promising candidates for tissue regeneration. Although first isolated from the bone marrow (BM)</w:t>
      </w:r>
      <w:r w:rsidRPr="00BA6ACF">
        <w:rPr>
          <w:rFonts w:ascii="Book Antiqua" w:eastAsia="Book Antiqua" w:hAnsi="Book Antiqua" w:cs="Book Antiqua"/>
          <w:color w:val="000000"/>
          <w:vertAlign w:val="superscript"/>
        </w:rPr>
        <w:t>[10]</w:t>
      </w:r>
      <w:r w:rsidRPr="00BA6ACF">
        <w:rPr>
          <w:rFonts w:ascii="Book Antiqua" w:eastAsia="Book Antiqua" w:hAnsi="Book Antiqua" w:cs="Book Antiqua"/>
          <w:color w:val="000000"/>
        </w:rPr>
        <w:t>, MSCs may be obtained from various fetal and adult tissues, such as the umbilical cord (UC), peripheral blood, adipose tissue (AT), and skin and dental tissues</w:t>
      </w:r>
      <w:r w:rsidRPr="00BA6ACF">
        <w:rPr>
          <w:rFonts w:ascii="Book Antiqua" w:eastAsia="Book Antiqua" w:hAnsi="Book Antiqua" w:cs="Book Antiqua"/>
          <w:color w:val="000000"/>
          <w:vertAlign w:val="superscript"/>
        </w:rPr>
        <w:t>[11,12]</w:t>
      </w:r>
      <w:r w:rsidRPr="00BA6ACF">
        <w:rPr>
          <w:rFonts w:ascii="Book Antiqua" w:eastAsia="Book Antiqua" w:hAnsi="Book Antiqua" w:cs="Book Antiqua"/>
          <w:color w:val="000000"/>
        </w:rPr>
        <w:t xml:space="preserve">. </w:t>
      </w:r>
      <w:r w:rsidRPr="00BA6ACF">
        <w:rPr>
          <w:rFonts w:ascii="Book Antiqua" w:eastAsia="Book Antiqua" w:hAnsi="Book Antiqua" w:cs="Book Antiqua"/>
          <w:color w:val="000000"/>
          <w:shd w:val="clear" w:color="auto" w:fill="FFFFFF"/>
        </w:rPr>
        <w:t xml:space="preserve">According to the minimum criteria proposed by the International Society for Cellular Therapy, MSCs originating from different tissues are evidenced by the property of plastic adherence </w:t>
      </w:r>
      <w:r w:rsidRPr="00BA6ACF">
        <w:rPr>
          <w:rFonts w:ascii="Book Antiqua" w:eastAsia="Book Antiqua" w:hAnsi="Book Antiqua" w:cs="Book Antiqua"/>
          <w:i/>
          <w:iCs/>
          <w:color w:val="000000"/>
          <w:shd w:val="clear" w:color="auto" w:fill="FFFFFF"/>
        </w:rPr>
        <w:t>in vitro</w:t>
      </w:r>
      <w:r w:rsidRPr="00BA6ACF">
        <w:rPr>
          <w:rFonts w:ascii="Book Antiqua" w:eastAsia="Book Antiqua" w:hAnsi="Book Antiqua" w:cs="Book Antiqua"/>
          <w:color w:val="000000"/>
          <w:shd w:val="clear" w:color="auto" w:fill="FFFFFF"/>
        </w:rPr>
        <w:t xml:space="preserve"> and expression of various non-specific surface molecules, such as cluster of differentiation (CD)105, CD90, CD73, and CD29, in parallel with trilineage differentiation potential</w:t>
      </w:r>
      <w:r w:rsidRPr="00BA6ACF">
        <w:rPr>
          <w:rFonts w:ascii="Book Antiqua" w:eastAsia="Book Antiqua" w:hAnsi="Book Antiqua" w:cs="Book Antiqua"/>
          <w:color w:val="000000"/>
          <w:shd w:val="clear" w:color="auto" w:fill="FFFFFF"/>
          <w:vertAlign w:val="superscript"/>
        </w:rPr>
        <w:t>[13]</w:t>
      </w:r>
      <w:r w:rsidRPr="00BA6ACF">
        <w:rPr>
          <w:rFonts w:ascii="Book Antiqua" w:eastAsia="Book Antiqua" w:hAnsi="Book Antiqua" w:cs="Book Antiqua"/>
          <w:color w:val="000000"/>
          <w:shd w:val="clear" w:color="auto" w:fill="FFFFFF"/>
        </w:rPr>
        <w:t>.</w:t>
      </w:r>
      <w:r w:rsidRPr="00BA6ACF">
        <w:rPr>
          <w:rFonts w:ascii="Book Antiqua" w:eastAsia="Book Antiqua" w:hAnsi="Book Antiqua" w:cs="Book Antiqua"/>
          <w:color w:val="000000"/>
        </w:rPr>
        <w:t xml:space="preserve"> However, the term MSC has recently been considered inappropriate, as it has become clear that MSCs from different tissues are not the same, especially with respect to their differentiation capacities</w:t>
      </w:r>
      <w:r w:rsidRPr="00BA6ACF">
        <w:rPr>
          <w:rFonts w:ascii="Book Antiqua" w:eastAsia="Book Antiqua" w:hAnsi="Book Antiqua" w:cs="Book Antiqua"/>
          <w:color w:val="000000"/>
          <w:vertAlign w:val="superscript"/>
        </w:rPr>
        <w:t>[14,15]</w:t>
      </w:r>
      <w:r w:rsidRPr="00BA6ACF">
        <w:rPr>
          <w:rFonts w:ascii="Book Antiqua" w:eastAsia="Book Antiqua" w:hAnsi="Book Antiqua" w:cs="Book Antiqua"/>
          <w:color w:val="000000"/>
        </w:rPr>
        <w:t xml:space="preserve">, whereas their multipotent differentiation potential has not been confirmed in </w:t>
      </w:r>
      <w:r w:rsidRPr="00BA6ACF">
        <w:rPr>
          <w:rFonts w:ascii="Book Antiqua" w:eastAsia="Book Antiqua" w:hAnsi="Book Antiqua" w:cs="Book Antiqua"/>
          <w:i/>
          <w:iCs/>
          <w:color w:val="000000"/>
        </w:rPr>
        <w:t xml:space="preserve">in vivo </w:t>
      </w:r>
      <w:r w:rsidRPr="00BA6ACF">
        <w:rPr>
          <w:rFonts w:ascii="Book Antiqua" w:eastAsia="Book Antiqua" w:hAnsi="Book Antiqua" w:cs="Book Antiqua"/>
          <w:color w:val="000000"/>
        </w:rPr>
        <w:t>conditions. Therefore, Caplan</w:t>
      </w:r>
      <w:r w:rsidRPr="00BA6ACF">
        <w:rPr>
          <w:rFonts w:ascii="Book Antiqua" w:eastAsia="Book Antiqua" w:hAnsi="Book Antiqua" w:cs="Book Antiqua"/>
          <w:color w:val="000000"/>
          <w:vertAlign w:val="superscript"/>
        </w:rPr>
        <w:t>[17]</w:t>
      </w:r>
      <w:r w:rsidRPr="00BA6ACF">
        <w:rPr>
          <w:rFonts w:ascii="Book Antiqua" w:eastAsia="Book Antiqua" w:hAnsi="Book Antiqua" w:cs="Book Antiqua"/>
          <w:color w:val="000000"/>
        </w:rPr>
        <w:t xml:space="preserve"> recently proposed this term to stand for medicinal signaling cells</w:t>
      </w:r>
      <w:r w:rsidRPr="00BA6ACF">
        <w:rPr>
          <w:rFonts w:ascii="Book Antiqua" w:eastAsia="Book Antiqua" w:hAnsi="Book Antiqua" w:cs="Book Antiqua"/>
          <w:color w:val="000000"/>
          <w:vertAlign w:val="superscript"/>
        </w:rPr>
        <w:t>[16]</w:t>
      </w:r>
      <w:r w:rsidRPr="00BA6ACF">
        <w:rPr>
          <w:rFonts w:ascii="Book Antiqua" w:eastAsia="Book Antiqua" w:hAnsi="Book Antiqua" w:cs="Book Antiqua"/>
          <w:color w:val="000000"/>
        </w:rPr>
        <w:t>, indicating the correlation of the therapeutic benefits of MSCs with the secretion of various bioactive molecules.</w:t>
      </w:r>
    </w:p>
    <w:p w14:paraId="1FBAA905" w14:textId="0D5225A3"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Many studies have demonstrated that MSCs contribute to tissue repair by accumulating at sites of tissue damage and inflammation, where together with resident MSCs, they exert reparative effects in two ways. One way is to replace damaged cells through differentiation, and another is related to the ability of MSCs to strongly influence the microenvironment by releasing bioactive factors and interacting with multiple cell types</w:t>
      </w:r>
      <w:r w:rsidRPr="00BA6ACF">
        <w:rPr>
          <w:rFonts w:ascii="Book Antiqua" w:eastAsia="Book Antiqua" w:hAnsi="Book Antiqua" w:cs="Book Antiqua"/>
          <w:color w:val="000000"/>
          <w:vertAlign w:val="superscript"/>
        </w:rPr>
        <w:t>[18,19]</w:t>
      </w:r>
      <w:r w:rsidRPr="00BA6ACF">
        <w:rPr>
          <w:rFonts w:ascii="Book Antiqua" w:eastAsia="Book Antiqua" w:hAnsi="Book Antiqua" w:cs="Book Antiqua"/>
          <w:color w:val="000000"/>
        </w:rPr>
        <w:t xml:space="preserve">. Indeed, poorly immunogenic MSCs that weakly express major histocompatibility complex (MHC) class I and lack MHC class II play a critical role in regulating the </w:t>
      </w:r>
      <w:r w:rsidR="0025760A" w:rsidRPr="00BA6ACF">
        <w:rPr>
          <w:rFonts w:ascii="Book Antiqua" w:eastAsia="Book Antiqua" w:hAnsi="Book Antiqua" w:cs="Book Antiqua"/>
          <w:color w:val="000000"/>
        </w:rPr>
        <w:t>infl</w:t>
      </w:r>
      <w:r w:rsidRPr="00BA6ACF">
        <w:rPr>
          <w:rFonts w:ascii="Book Antiqua" w:eastAsia="Book Antiqua" w:hAnsi="Book Antiqua" w:cs="Book Antiqua"/>
          <w:color w:val="000000"/>
        </w:rPr>
        <w:t xml:space="preserve">ammatory microenvironment through interactions with immune cells </w:t>
      </w:r>
      <w:r w:rsidRPr="00BA6ACF">
        <w:rPr>
          <w:rFonts w:ascii="Book Antiqua" w:eastAsia="Book Antiqua" w:hAnsi="Book Antiqua" w:cs="Book Antiqua"/>
          <w:color w:val="000000"/>
        </w:rPr>
        <w:lastRenderedPageBreak/>
        <w:t>such as T cells, B cells, natural killer cells, and dendritic cells</w:t>
      </w:r>
      <w:r w:rsidRPr="00BA6ACF">
        <w:rPr>
          <w:rFonts w:ascii="Book Antiqua" w:eastAsia="Book Antiqua" w:hAnsi="Book Antiqua" w:cs="Book Antiqua"/>
          <w:color w:val="000000"/>
          <w:vertAlign w:val="superscript"/>
        </w:rPr>
        <w:t>[20-22]</w:t>
      </w:r>
      <w:r w:rsidRPr="00BA6ACF">
        <w:rPr>
          <w:rFonts w:ascii="Book Antiqua" w:eastAsia="Book Antiqua" w:hAnsi="Book Antiqua" w:cs="Book Antiqua"/>
          <w:color w:val="000000"/>
        </w:rPr>
        <w:t>. As a result of these interactions, MSCs suppress lymphocyte proliferation and maturation of monocytes into dendritic cells, while stimulating the generation of regulatory T cells (Tregs) and M2 macrophages</w:t>
      </w:r>
      <w:r w:rsidRPr="00BA6ACF">
        <w:rPr>
          <w:rFonts w:ascii="Book Antiqua" w:eastAsia="Book Antiqua" w:hAnsi="Book Antiqua" w:cs="Book Antiqua"/>
          <w:color w:val="000000"/>
          <w:vertAlign w:val="superscript"/>
        </w:rPr>
        <w:t>[23,24]</w:t>
      </w:r>
      <w:r w:rsidRPr="00BA6ACF">
        <w:rPr>
          <w:rFonts w:ascii="Book Antiqua" w:eastAsia="Book Antiqua" w:hAnsi="Book Antiqua" w:cs="Book Antiqua"/>
          <w:color w:val="000000"/>
        </w:rPr>
        <w:t xml:space="preserve">. </w:t>
      </w:r>
    </w:p>
    <w:p w14:paraId="56F2D7B1"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 xml:space="preserve">The major role in the crosstalk between MSCs and immune cells has been ascribed to soluble factors, which upon release by activated immune cells, significantly affect MSCs paracrine activity, conversely influencing immune cells. In particular, the immunosuppressive activity of MSCs has been related to the production of indoleamine-2,3-dioxygenase (IDO), nitric oxide (NO), prostaglandin-E2 (PGE2), IL-10, transforming growth factor (TGF)-β, and </w:t>
      </w:r>
      <w:r w:rsidRPr="00BA6ACF">
        <w:rPr>
          <w:rStyle w:val="st"/>
          <w:rFonts w:ascii="Book Antiqua" w:eastAsia="Book Antiqua" w:hAnsi="Book Antiqua" w:cs="Book Antiqua"/>
          <w:color w:val="000000"/>
        </w:rPr>
        <w:t>TNFα-stimulated gene-6</w:t>
      </w:r>
      <w:r w:rsidRPr="00BA6ACF">
        <w:rPr>
          <w:rFonts w:ascii="Book Antiqua" w:eastAsia="Book Antiqua" w:hAnsi="Book Antiqua" w:cs="Book Antiqua"/>
          <w:color w:val="000000"/>
          <w:vertAlign w:val="superscript"/>
        </w:rPr>
        <w:t>[25]</w:t>
      </w:r>
      <w:r w:rsidRPr="00BA6ACF">
        <w:rPr>
          <w:rFonts w:ascii="Book Antiqua" w:eastAsia="Book Antiqua" w:hAnsi="Book Antiqua" w:cs="Book Antiqua"/>
          <w:color w:val="000000"/>
        </w:rPr>
        <w:t>.</w:t>
      </w:r>
    </w:p>
    <w:p w14:paraId="3D4987F4" w14:textId="77777777" w:rsidR="00A77B3E" w:rsidRPr="00BA6ACF" w:rsidRDefault="00A77B3E" w:rsidP="007260F0">
      <w:pPr>
        <w:adjustRightInd w:val="0"/>
        <w:snapToGrid w:val="0"/>
        <w:spacing w:line="360" w:lineRule="auto"/>
        <w:ind w:firstLine="240"/>
        <w:jc w:val="both"/>
        <w:rPr>
          <w:rFonts w:ascii="Book Antiqua" w:hAnsi="Book Antiqua"/>
        </w:rPr>
      </w:pPr>
    </w:p>
    <w:p w14:paraId="48F16FA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i/>
          <w:iCs/>
          <w:color w:val="000000"/>
        </w:rPr>
        <w:t>Inflammatory priming of MSCs</w:t>
      </w:r>
    </w:p>
    <w:p w14:paraId="71548B71"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It is believed that the inflammatory niche plays a key role in triggering the reparative function of MSCs. Namely, studies have demonstrated that the immunosuppressive potential of MSCs is not inherently expressed but requires priming by inflammatory factors, including IFN-γ, TNF-α, or IL-1β</w:t>
      </w:r>
      <w:r w:rsidRPr="00BA6ACF">
        <w:rPr>
          <w:rFonts w:ascii="Book Antiqua" w:eastAsia="Book Antiqua" w:hAnsi="Book Antiqua" w:cs="Book Antiqua"/>
          <w:color w:val="000000"/>
          <w:vertAlign w:val="superscript"/>
        </w:rPr>
        <w:t>[18,26]</w:t>
      </w:r>
      <w:r w:rsidRPr="00BA6ACF">
        <w:rPr>
          <w:rFonts w:ascii="Book Antiqua" w:eastAsia="Book Antiqua" w:hAnsi="Book Antiqua" w:cs="Book Antiqua"/>
          <w:color w:val="000000"/>
        </w:rPr>
        <w:t>. Moreover, it has been found that MSCs can polarize into MSC type 1 with a pro-inflammatory profile or MSC type 2 with an immunosuppressive phenotype, depending on the inflammatory condition</w:t>
      </w:r>
      <w:r w:rsidRPr="00BA6ACF">
        <w:rPr>
          <w:rFonts w:ascii="Book Antiqua" w:eastAsia="Book Antiqua" w:hAnsi="Book Antiqua" w:cs="Book Antiqua"/>
          <w:color w:val="000000"/>
          <w:vertAlign w:val="superscript"/>
        </w:rPr>
        <w:t>[23,27]</w:t>
      </w:r>
      <w:r w:rsidRPr="00BA6ACF">
        <w:rPr>
          <w:rFonts w:ascii="Book Antiqua" w:eastAsia="Book Antiqua" w:hAnsi="Book Antiqua" w:cs="Book Antiqua"/>
          <w:color w:val="000000"/>
        </w:rPr>
        <w:t>. On the other hand, the inflammatory microenvironment influences the differentiation potential of resident and recruited MSCs, significantly impairing their regenerative capacity. In addition, several studies have shown that MSCs of different tissue origin may exert differential sensitivity to inflammatory conditions</w:t>
      </w:r>
      <w:r w:rsidRPr="00BA6ACF">
        <w:rPr>
          <w:rFonts w:ascii="Book Antiqua" w:eastAsia="Book Antiqua" w:hAnsi="Book Antiqua" w:cs="Book Antiqua"/>
          <w:color w:val="000000"/>
          <w:vertAlign w:val="superscript"/>
        </w:rPr>
        <w:t>[28,29]</w:t>
      </w:r>
      <w:r w:rsidRPr="00BA6ACF">
        <w:rPr>
          <w:rFonts w:ascii="Book Antiqua" w:eastAsia="Book Antiqua" w:hAnsi="Book Antiqua" w:cs="Book Antiqua"/>
          <w:color w:val="000000"/>
        </w:rPr>
        <w:t xml:space="preserve">. These data point to the critical importance of interactions between MSCs and inflammatory factors for the outcome of wound healing. </w:t>
      </w:r>
    </w:p>
    <w:p w14:paraId="537655FA" w14:textId="237A9A02"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Indeed, the regenerative potential of transplanted MSCs is affected by inflammatory conditions</w:t>
      </w:r>
      <w:r w:rsidRPr="00BA6ACF">
        <w:rPr>
          <w:rFonts w:ascii="Book Antiqua" w:eastAsia="Book Antiqua" w:hAnsi="Book Antiqua" w:cs="Book Antiqua"/>
          <w:color w:val="000000"/>
          <w:vertAlign w:val="superscript"/>
        </w:rPr>
        <w:t>[30]</w:t>
      </w:r>
      <w:r w:rsidRPr="00BA6ACF">
        <w:rPr>
          <w:rFonts w:ascii="Book Antiqua" w:eastAsia="Book Antiqua" w:hAnsi="Book Antiqua" w:cs="Book Antiqua"/>
          <w:color w:val="000000"/>
        </w:rPr>
        <w:t xml:space="preserve">, indicating the strong influence of the recipient’s </w:t>
      </w:r>
      <w:r w:rsidR="007E0A29" w:rsidRPr="00BA6ACF">
        <w:rPr>
          <w:rFonts w:ascii="Book Antiqua" w:eastAsia="Book Antiqua" w:hAnsi="Book Antiqua" w:cs="Book Antiqua"/>
          <w:color w:val="000000"/>
        </w:rPr>
        <w:t>infl</w:t>
      </w:r>
      <w:r w:rsidRPr="00BA6ACF">
        <w:rPr>
          <w:rFonts w:ascii="Book Antiqua" w:eastAsia="Book Antiqua" w:hAnsi="Book Antiqua" w:cs="Book Antiqua"/>
          <w:color w:val="000000"/>
        </w:rPr>
        <w:t>ammatory status on the efficacy of MSC-based therapies. Interestingly, to reduce the heterogeneity of MSCs and generate more homogenous therapeutic products, MSC priming with cytokines has been proposed</w:t>
      </w:r>
      <w:r w:rsidRPr="00BA6ACF">
        <w:rPr>
          <w:rFonts w:ascii="Book Antiqua" w:eastAsia="Book Antiqua" w:hAnsi="Book Antiqua" w:cs="Book Antiqua"/>
          <w:color w:val="000000"/>
          <w:vertAlign w:val="superscript"/>
        </w:rPr>
        <w:t>[31]</w:t>
      </w:r>
      <w:r w:rsidRPr="00BA6ACF">
        <w:rPr>
          <w:rFonts w:ascii="Book Antiqua" w:eastAsia="Book Antiqua" w:hAnsi="Book Antiqua" w:cs="Book Antiqua"/>
          <w:color w:val="000000"/>
        </w:rPr>
        <w:t xml:space="preserve">. The application of bioactive molecules in this context has been </w:t>
      </w:r>
      <w:r w:rsidRPr="00BA6ACF">
        <w:rPr>
          <w:rFonts w:ascii="Book Antiqua" w:eastAsia="Book Antiqua" w:hAnsi="Book Antiqua" w:cs="Book Antiqua"/>
          <w:color w:val="000000"/>
        </w:rPr>
        <w:lastRenderedPageBreak/>
        <w:t>considered a supplemental molecular signal used to foster the therapeutic potential of MSCs and contribute to establishing a favorable microenvironment for tissue repair.</w:t>
      </w:r>
    </w:p>
    <w:p w14:paraId="7DCD2F42"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The complex cytokine network has been considered a critical part of the inflammatory microenvironment, where the pleiotropic properties of pro-inflammatory cytokines play a decisive role in the healing process and tissue degeneration. TNF-α, IFN-γ, IL-1, IL-17, and IL-6 are the most common inflammatory cytokines in this complex network</w:t>
      </w:r>
      <w:r w:rsidRPr="00BA6ACF">
        <w:rPr>
          <w:rFonts w:ascii="Book Antiqua" w:eastAsia="Book Antiqua" w:hAnsi="Book Antiqua" w:cs="Book Antiqua"/>
          <w:color w:val="000000"/>
          <w:vertAlign w:val="superscript"/>
        </w:rPr>
        <w:t>[32]</w:t>
      </w:r>
      <w:r w:rsidRPr="00BA6ACF">
        <w:rPr>
          <w:rFonts w:ascii="Book Antiqua" w:eastAsia="Book Antiqua" w:hAnsi="Book Antiqua" w:cs="Book Antiqua"/>
          <w:color w:val="000000"/>
        </w:rPr>
        <w:t>. Moreover, another significant constituent of the inflammatory niche consider alarmins, such as IL-1α and IL-33, HMGB1, S100 proteins, and Hsps, which can promote the immune response, thereby supporting host defense and tissue repair</w:t>
      </w:r>
      <w:r w:rsidRPr="00BA6ACF">
        <w:rPr>
          <w:rFonts w:ascii="Book Antiqua" w:eastAsia="Book Antiqua" w:hAnsi="Book Antiqua" w:cs="Book Antiqua"/>
          <w:color w:val="000000"/>
          <w:vertAlign w:val="superscript"/>
        </w:rPr>
        <w:t>[7]</w:t>
      </w:r>
      <w:r w:rsidRPr="00BA6ACF">
        <w:rPr>
          <w:rFonts w:ascii="Book Antiqua" w:eastAsia="Book Antiqua" w:hAnsi="Book Antiqua" w:cs="Book Antiqua"/>
          <w:color w:val="000000"/>
        </w:rPr>
        <w:t>. Here, we review how these soluble mediators of the inflammatory niche influence the regenerative and immunomodulatory potential of MSCs, highlighting the major advantages and concerns regarding the therapeutic potential of inflammatory primed MSCs.</w:t>
      </w:r>
    </w:p>
    <w:p w14:paraId="439AF634" w14:textId="77777777" w:rsidR="00A77B3E" w:rsidRPr="00BA6ACF" w:rsidRDefault="00A77B3E" w:rsidP="007260F0">
      <w:pPr>
        <w:adjustRightInd w:val="0"/>
        <w:snapToGrid w:val="0"/>
        <w:spacing w:line="360" w:lineRule="auto"/>
        <w:ind w:firstLine="240"/>
        <w:jc w:val="both"/>
        <w:rPr>
          <w:rFonts w:ascii="Book Antiqua" w:hAnsi="Book Antiqua"/>
        </w:rPr>
      </w:pPr>
    </w:p>
    <w:p w14:paraId="2AE4133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i/>
          <w:iCs/>
          <w:color w:val="000000"/>
        </w:rPr>
        <w:t>MSCs priming with pro-inflammatory cytokines</w:t>
      </w:r>
    </w:p>
    <w:p w14:paraId="0AC1F52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IFN-γ priming:</w:t>
      </w:r>
      <w:r w:rsidRPr="00BA6ACF">
        <w:rPr>
          <w:rFonts w:ascii="Book Antiqua" w:eastAsia="Book Antiqua" w:hAnsi="Book Antiqua" w:cs="Book Antiqua"/>
          <w:color w:val="000000"/>
        </w:rPr>
        <w:t xml:space="preserve"> One of the most studied inflammatory priming mediators is IFN-γ, which is a key player in cellular immunity regulation, heightening immune responses in infection and cancer. However, very little is known about the effects of IFN-γ on the regenerative potential of MSCs. Namely, Croitoru-Lamoury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[33]</w:t>
      </w:r>
      <w:r w:rsidRPr="00BA6ACF">
        <w:rPr>
          <w:rFonts w:ascii="Book Antiqua" w:eastAsia="Book Antiqua" w:hAnsi="Book Antiqua" w:cs="Book Antiqua"/>
          <w:color w:val="000000"/>
        </w:rPr>
        <w:t xml:space="preserve"> demonstrated that IFN-γ exerts significant antiproliferative effects on mouse and human BM-MSCs (Figure 1) through IDO induction and production of downstream tryptophan metabolites, such as kynurenine, which can potentiate the suppressive effects on cell proliferation in an autocrine manner. This was the first study that linked IFN-γ-induced IDO with the control of MSC differentiation potential, as evidenced by the inhibition of both osteogenic and adipogenic marker expression in IFN-γ-primed BM-MSCs upon induction of differentiation.</w:t>
      </w:r>
    </w:p>
    <w:p w14:paraId="4DE6C0A5"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Numerous studies have demonstrated that the priming of MSCs with IFN-γ can enhance the immunosuppressive property of these cells by IDO stimulation</w:t>
      </w:r>
      <w:r w:rsidRPr="00BA6ACF">
        <w:rPr>
          <w:rFonts w:ascii="Book Antiqua" w:eastAsia="Book Antiqua" w:hAnsi="Book Antiqua" w:cs="Book Antiqua"/>
          <w:color w:val="000000"/>
          <w:vertAlign w:val="superscript"/>
        </w:rPr>
        <w:t>[34]</w:t>
      </w:r>
      <w:r w:rsidRPr="00BA6ACF">
        <w:rPr>
          <w:rFonts w:ascii="Book Antiqua" w:eastAsia="Book Antiqua" w:hAnsi="Book Antiqua" w:cs="Book Antiqua"/>
          <w:color w:val="000000"/>
        </w:rPr>
        <w:t xml:space="preserve">. In addition, exposure to IFN-γ has been shown to induce UC Wharton’s jelly (WJ)-MSCs to </w:t>
      </w:r>
      <w:r w:rsidRPr="00BA6ACF">
        <w:rPr>
          <w:rFonts w:ascii="Book Antiqua" w:eastAsia="Book Antiqua" w:hAnsi="Book Antiqua" w:cs="Book Antiqua"/>
          <w:color w:val="000000"/>
        </w:rPr>
        <w:lastRenderedPageBreak/>
        <w:t>express other immunosuppressive factors, such as human leukocyte antigen G5, as well as C-X-C motif chemokine ligand (CXCL)9, CXCL10, and CXCL11</w:t>
      </w:r>
      <w:r w:rsidRPr="00BA6ACF">
        <w:rPr>
          <w:rFonts w:ascii="Book Antiqua" w:eastAsia="Book Antiqua" w:hAnsi="Book Antiqua" w:cs="Book Antiqua"/>
          <w:color w:val="000000"/>
          <w:vertAlign w:val="superscript"/>
        </w:rPr>
        <w:t>[35]</w:t>
      </w:r>
      <w:r w:rsidRPr="00BA6ACF">
        <w:rPr>
          <w:rFonts w:ascii="Book Antiqua" w:eastAsia="Book Antiqua" w:hAnsi="Book Antiqua" w:cs="Book Antiqua"/>
          <w:color w:val="000000"/>
        </w:rPr>
        <w:t xml:space="preserve">. Even more, IFN-γ-primed WJ-MSCs secrete more IL-6 and IL-10 upon co-culture with activated lymphocytes, increasing the percentage of Tregs, while decreasing the frequency of T helper (Th)17 cells (Table 1). </w:t>
      </w:r>
    </w:p>
    <w:p w14:paraId="28794DDD"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Another mechanism underlying the inhibitory effects of IFN-γ-primed BM-MSCs on T-cell effector functions is the upregulation of programmed death-ligand 1 (referred to as PD-L1)</w:t>
      </w:r>
      <w:r w:rsidRPr="00BA6ACF">
        <w:rPr>
          <w:rFonts w:ascii="Book Antiqua" w:eastAsia="Book Antiqua" w:hAnsi="Book Antiqua" w:cs="Book Antiqua"/>
          <w:color w:val="000000"/>
          <w:vertAlign w:val="superscript"/>
        </w:rPr>
        <w:t>[36]</w:t>
      </w:r>
      <w:r w:rsidRPr="00BA6ACF">
        <w:rPr>
          <w:rFonts w:ascii="Book Antiqua" w:eastAsia="Book Antiqua" w:hAnsi="Book Antiqua" w:cs="Book Antiqua"/>
          <w:color w:val="000000"/>
        </w:rPr>
        <w:t xml:space="preserve"> (Table 1). However, in the context of potential MSCs’ therapeutic use, the findings from several studies which have demonstrated that MSCs priming with IFN-γ led to upregulation of class I and class II human leukocyte antigen (referred to as HLA) molecules should be considered, as they indicated more immunogenic MSCs profile that is linked to a higher susceptibility to host immune cells recognition</w:t>
      </w:r>
      <w:r w:rsidRPr="00BA6ACF">
        <w:rPr>
          <w:rFonts w:ascii="Book Antiqua" w:eastAsia="Book Antiqua" w:hAnsi="Book Antiqua" w:cs="Book Antiqua"/>
          <w:color w:val="000000"/>
          <w:vertAlign w:val="superscript"/>
        </w:rPr>
        <w:t>[37,38]</w:t>
      </w:r>
      <w:r w:rsidRPr="00BA6ACF">
        <w:rPr>
          <w:rFonts w:ascii="Book Antiqua" w:eastAsia="Book Antiqua" w:hAnsi="Book Antiqua" w:cs="Book Antiqua"/>
          <w:color w:val="000000"/>
        </w:rPr>
        <w:t>. Noteworthy, a recent study found that priming with IFN-γ did not increase HLA class II expression on senescent BM-MSCs but upregulated this molecule on early passage BM-MSCs, suggesting that IFN-γ priming effects can also be influenced by cell aging</w:t>
      </w:r>
      <w:r w:rsidRPr="00BA6ACF">
        <w:rPr>
          <w:rFonts w:ascii="Book Antiqua" w:eastAsia="Book Antiqua" w:hAnsi="Book Antiqua" w:cs="Book Antiqua"/>
          <w:color w:val="000000"/>
          <w:vertAlign w:val="superscript"/>
        </w:rPr>
        <w:t>[39]</w:t>
      </w:r>
      <w:r w:rsidRPr="00BA6ACF">
        <w:rPr>
          <w:rFonts w:ascii="Book Antiqua" w:eastAsia="Book Antiqua" w:hAnsi="Book Antiqua" w:cs="Book Antiqua"/>
          <w:color w:val="000000"/>
        </w:rPr>
        <w:t xml:space="preserve">. </w:t>
      </w:r>
    </w:p>
    <w:p w14:paraId="50ACDB8B"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 xml:space="preserve">Interestingly, </w:t>
      </w:r>
      <w:r w:rsidRPr="00BA6ACF">
        <w:rPr>
          <w:rFonts w:ascii="Book Antiqua" w:eastAsia="Book Antiqua" w:hAnsi="Book Antiqua" w:cs="Book Antiqua"/>
          <w:i/>
          <w:iCs/>
          <w:color w:val="000000"/>
        </w:rPr>
        <w:t>in vivo</w:t>
      </w:r>
      <w:r w:rsidRPr="00BA6ACF">
        <w:rPr>
          <w:rFonts w:ascii="Book Antiqua" w:eastAsia="Book Antiqua" w:hAnsi="Book Antiqua" w:cs="Book Antiqua"/>
          <w:color w:val="000000"/>
        </w:rPr>
        <w:t xml:space="preserve"> experiments have demonstrated that IFN-γ affects the therapeutic efficacy of MSCs in a dose-dependent manner. Namely, when low concentrations of IFN-γ were used for murine BM-MSCs priming, the therapeutic effects of MSCs on experimental autoimmune encephalomyelitis in mice were completely inhibited, as demonstrated by the increased secretion of pro-inflammatory chemokine CCL2 and higher expression of MHC molecules class I and II</w:t>
      </w:r>
      <w:r w:rsidRPr="00BA6ACF">
        <w:rPr>
          <w:rFonts w:ascii="Book Antiqua" w:eastAsia="Book Antiqua" w:hAnsi="Book Antiqua" w:cs="Book Antiqua"/>
          <w:color w:val="000000"/>
          <w:vertAlign w:val="superscript"/>
        </w:rPr>
        <w:t>[38]</w:t>
      </w:r>
      <w:r w:rsidRPr="00BA6ACF">
        <w:rPr>
          <w:rFonts w:ascii="Book Antiqua" w:eastAsia="Book Antiqua" w:hAnsi="Book Antiqua" w:cs="Book Antiqua"/>
          <w:color w:val="000000"/>
        </w:rPr>
        <w:t>. BM-MSCs primed with higher concentrations of IFN-γ prior to use in murine models of colitis reportedly increase MSC therapeutic efficacy, as demonstrated by the significantly attenuated development and/or reduced symptoms of colitis</w:t>
      </w:r>
      <w:r w:rsidRPr="00BA6ACF">
        <w:rPr>
          <w:rFonts w:ascii="Book Antiqua" w:eastAsia="Book Antiqua" w:hAnsi="Book Antiqua" w:cs="Book Antiqua"/>
          <w:color w:val="000000"/>
          <w:vertAlign w:val="superscript"/>
        </w:rPr>
        <w:t>[40]</w:t>
      </w:r>
      <w:r w:rsidRPr="00BA6ACF">
        <w:rPr>
          <w:rFonts w:ascii="Book Antiqua" w:eastAsia="Book Antiqua" w:hAnsi="Book Antiqua" w:cs="Book Antiqua"/>
          <w:color w:val="000000"/>
        </w:rPr>
        <w:t xml:space="preserve">. These effects were found to be related to the increased migration of IFN-γ-primed MSCs along with their enhanced capacity to inhibit Th1 inflammatory responses, all of which contributed to decreased mucosal damage. In addition, Polchert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[41]</w:t>
      </w:r>
      <w:r w:rsidRPr="00BA6ACF">
        <w:rPr>
          <w:rFonts w:ascii="Book Antiqua" w:eastAsia="Book Antiqua" w:hAnsi="Book Antiqua" w:cs="Book Antiqua"/>
          <w:color w:val="000000"/>
        </w:rPr>
        <w:t xml:space="preserve"> showed that IFN-γ-primed mouse BM-MSCs suppress graft </w:t>
      </w:r>
      <w:r w:rsidRPr="00BA6ACF">
        <w:rPr>
          <w:rFonts w:ascii="Book Antiqua" w:eastAsia="Book Antiqua" w:hAnsi="Book Antiqua" w:cs="Book Antiqua"/>
          <w:i/>
          <w:iCs/>
          <w:color w:val="000000"/>
        </w:rPr>
        <w:t>versus</w:t>
      </w:r>
      <w:r w:rsidRPr="00BA6ACF">
        <w:rPr>
          <w:rFonts w:ascii="Book Antiqua" w:eastAsia="Book Antiqua" w:hAnsi="Book Antiqua" w:cs="Book Antiqua"/>
          <w:color w:val="000000"/>
        </w:rPr>
        <w:t xml:space="preserve"> host disease more efficiently than non-primed MSCs depending on the magnitude of IFN-γ exposure (Figure 2). By contrast, a recent </w:t>
      </w:r>
      <w:r w:rsidRPr="00BA6ACF">
        <w:rPr>
          <w:rFonts w:ascii="Book Antiqua" w:eastAsia="Book Antiqua" w:hAnsi="Book Antiqua" w:cs="Book Antiqua"/>
          <w:color w:val="000000"/>
        </w:rPr>
        <w:lastRenderedPageBreak/>
        <w:t>study showed that infusion of thawed IFN-γ-primed human MSCs failed to improve retinal damage in a murine model of retinal disease</w:t>
      </w:r>
      <w:r w:rsidRPr="00BA6ACF">
        <w:rPr>
          <w:rFonts w:ascii="Book Antiqua" w:eastAsia="Book Antiqua" w:hAnsi="Book Antiqua" w:cs="Book Antiqua"/>
          <w:color w:val="000000"/>
          <w:vertAlign w:val="superscript"/>
        </w:rPr>
        <w:t>[42]</w:t>
      </w:r>
      <w:r w:rsidRPr="00BA6ACF">
        <w:rPr>
          <w:rFonts w:ascii="Book Antiqua" w:eastAsia="Book Antiqua" w:hAnsi="Book Antiqua" w:cs="Book Antiqua"/>
          <w:color w:val="000000"/>
        </w:rPr>
        <w:t>.</w:t>
      </w:r>
    </w:p>
    <w:p w14:paraId="126F4F8C" w14:textId="77777777" w:rsidR="00A77B3E" w:rsidRPr="00BA6ACF" w:rsidRDefault="00A77B3E" w:rsidP="007260F0">
      <w:pPr>
        <w:adjustRightInd w:val="0"/>
        <w:snapToGrid w:val="0"/>
        <w:spacing w:line="360" w:lineRule="auto"/>
        <w:ind w:firstLine="240"/>
        <w:jc w:val="both"/>
        <w:rPr>
          <w:rFonts w:ascii="Book Antiqua" w:hAnsi="Book Antiqua"/>
        </w:rPr>
      </w:pPr>
    </w:p>
    <w:p w14:paraId="534B5E7D"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TNF-α priming:</w:t>
      </w:r>
      <w:r w:rsidRPr="00BA6ACF">
        <w:rPr>
          <w:rFonts w:ascii="Book Antiqua" w:eastAsia="Book Antiqua" w:hAnsi="Book Antiqua" w:cs="Book Antiqua"/>
          <w:color w:val="000000"/>
        </w:rPr>
        <w:t xml:space="preserve"> TNF-α is a pleiotropic cytokine involved in systemic inflammation, which also affects the metabolism, growth, and differentiation potential of various cell types. Regarding the regenerative potential of TNF-α-treated MSCs, it has been determined that this cytokine promotes the proliferation of human synovial MSCs and BM-MSCs</w:t>
      </w:r>
      <w:r w:rsidRPr="00BA6ACF">
        <w:rPr>
          <w:rFonts w:ascii="Book Antiqua" w:eastAsia="Book Antiqua" w:hAnsi="Book Antiqua" w:cs="Book Antiqua"/>
          <w:color w:val="000000"/>
          <w:vertAlign w:val="superscript"/>
        </w:rPr>
        <w:t>[43,44]</w:t>
      </w:r>
      <w:r w:rsidRPr="00BA6ACF">
        <w:rPr>
          <w:rFonts w:ascii="Book Antiqua" w:eastAsia="Book Antiqua" w:hAnsi="Book Antiqua" w:cs="Book Antiqua"/>
          <w:color w:val="000000"/>
        </w:rPr>
        <w:t>, while not affecting their clonogenic potential. Moreover, involvement of the nuclear factor-kappa B (NF-κB) signaling pathway is implicated in TNF-α-stimulated invasion and proliferation of BM-MSCs</w:t>
      </w:r>
      <w:r w:rsidRPr="00BA6ACF">
        <w:rPr>
          <w:rFonts w:ascii="Book Antiqua" w:eastAsia="Book Antiqua" w:hAnsi="Book Antiqua" w:cs="Book Antiqua"/>
          <w:color w:val="000000"/>
          <w:vertAlign w:val="superscript"/>
        </w:rPr>
        <w:t>[44]</w:t>
      </w:r>
      <w:r w:rsidRPr="00BA6ACF">
        <w:rPr>
          <w:rFonts w:ascii="Book Antiqua" w:eastAsia="Book Antiqua" w:hAnsi="Book Antiqua" w:cs="Book Antiqua"/>
          <w:color w:val="000000"/>
        </w:rPr>
        <w:t xml:space="preserve"> (Figure 1). Furthermore, the preconditioning of MSCs with TNF-α differentially regulates their chondrogenic differentiation depending on the tissue source and donor age (Figure 1). Namely, while TNF-α does not affect the chondrogenic capacity of human synovial MSCs and BM-MSCs</w:t>
      </w:r>
      <w:r w:rsidRPr="00BA6ACF">
        <w:rPr>
          <w:rFonts w:ascii="Book Antiqua" w:eastAsia="Book Antiqua" w:hAnsi="Book Antiqua" w:cs="Book Antiqua"/>
          <w:color w:val="000000"/>
          <w:vertAlign w:val="superscript"/>
        </w:rPr>
        <w:t>[43,45]</w:t>
      </w:r>
      <w:r w:rsidRPr="00BA6ACF">
        <w:rPr>
          <w:rFonts w:ascii="Book Antiqua" w:eastAsia="Book Antiqua" w:hAnsi="Book Antiqua" w:cs="Book Antiqua"/>
          <w:color w:val="000000"/>
        </w:rPr>
        <w:t xml:space="preserve">, Wheiling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[46]</w:t>
      </w:r>
      <w:r w:rsidRPr="00BA6ACF">
        <w:rPr>
          <w:rFonts w:ascii="Book Antiqua" w:eastAsia="Book Antiqua" w:hAnsi="Book Antiqua" w:cs="Book Antiqua"/>
          <w:color w:val="000000"/>
        </w:rPr>
        <w:t xml:space="preserve"> revealed that it inhibited the chondrogenesis of human BM-MSCs isolated from elderly donors. In addition, several studies have indicated that TNF-α alters the osteogenic differentiation of MSCs in dose-, tissue source-, and species-specific manners (Figure 1). Regarding rodent MSCs, several studies have found that TNF-α inhibits the osteogenic differentiation of MSCs</w:t>
      </w:r>
      <w:r w:rsidRPr="00BA6ACF">
        <w:rPr>
          <w:rFonts w:ascii="Book Antiqua" w:eastAsia="Book Antiqua" w:hAnsi="Book Antiqua" w:cs="Book Antiqua"/>
          <w:color w:val="000000"/>
          <w:vertAlign w:val="superscript"/>
        </w:rPr>
        <w:t>[47,48]</w:t>
      </w:r>
      <w:r w:rsidRPr="00BA6ACF">
        <w:rPr>
          <w:rFonts w:ascii="Book Antiqua" w:eastAsia="Book Antiqua" w:hAnsi="Book Antiqua" w:cs="Book Antiqua"/>
          <w:color w:val="000000"/>
        </w:rPr>
        <w:t>, while continuous delivery of TNF-α stimulates the osteogenic differentiation of rat BM-MSCs seeded onto three-dimensional biodegradable scaffolds</w:t>
      </w:r>
      <w:r w:rsidRPr="00BA6ACF">
        <w:rPr>
          <w:rFonts w:ascii="Book Antiqua" w:eastAsia="Book Antiqua" w:hAnsi="Book Antiqua" w:cs="Book Antiqua"/>
          <w:color w:val="000000"/>
          <w:vertAlign w:val="superscript"/>
        </w:rPr>
        <w:t>[49]</w:t>
      </w:r>
      <w:r w:rsidRPr="00BA6ACF">
        <w:rPr>
          <w:rFonts w:ascii="Book Antiqua" w:eastAsia="Book Antiqua" w:hAnsi="Book Antiqua" w:cs="Book Antiqua"/>
          <w:color w:val="000000"/>
        </w:rPr>
        <w:t>. Enhanced osteogenic potential has also been evidenced for human BM-MSCs treated with TNF-α</w:t>
      </w:r>
      <w:r w:rsidRPr="00BA6ACF">
        <w:rPr>
          <w:rFonts w:ascii="Book Antiqua" w:eastAsia="Book Antiqua" w:hAnsi="Book Antiqua" w:cs="Book Antiqua"/>
          <w:color w:val="000000"/>
          <w:vertAlign w:val="superscript"/>
        </w:rPr>
        <w:t>[50,51]</w:t>
      </w:r>
      <w:r w:rsidRPr="00BA6ACF">
        <w:rPr>
          <w:rFonts w:ascii="Book Antiqua" w:eastAsia="Book Antiqua" w:hAnsi="Book Antiqua" w:cs="Book Antiqua"/>
          <w:color w:val="000000"/>
        </w:rPr>
        <w:t>. However, it dually affects dental pulp stem cells, promoting their osteogenic differentiation through the Wnt/β-catenin signaling pathway, while suppressing the osteogenesis of these cells at high concentrations</w:t>
      </w:r>
      <w:r w:rsidRPr="00BA6ACF">
        <w:rPr>
          <w:rFonts w:ascii="Book Antiqua" w:eastAsia="Book Antiqua" w:hAnsi="Book Antiqua" w:cs="Book Antiqua"/>
          <w:color w:val="000000"/>
          <w:vertAlign w:val="superscript"/>
        </w:rPr>
        <w:t>[52,53]</w:t>
      </w:r>
      <w:r w:rsidRPr="00BA6ACF">
        <w:rPr>
          <w:rFonts w:ascii="Book Antiqua" w:eastAsia="Book Antiqua" w:hAnsi="Book Antiqua" w:cs="Book Antiqua"/>
          <w:color w:val="000000"/>
        </w:rPr>
        <w:t>.</w:t>
      </w:r>
    </w:p>
    <w:p w14:paraId="0D74B6D5" w14:textId="3EA34E72"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In the context of the stronger immunomodulatory capacity of TNF-α-primed MSCs, studies have demonstrated increased secretion of the immunosuppressive molecules PGE2 and IDO, chemokine IL-8, CXCL5, CXCL6, and certain growth factors such as hepatocyte growth factor, insulin-like growth factor 1, and vascular endothelial growth factor (VEGF)</w:t>
      </w:r>
      <w:r w:rsidRPr="00BA6ACF">
        <w:rPr>
          <w:rFonts w:ascii="Book Antiqua" w:eastAsia="Book Antiqua" w:hAnsi="Book Antiqua" w:cs="Book Antiqua"/>
          <w:color w:val="000000"/>
          <w:vertAlign w:val="superscript"/>
        </w:rPr>
        <w:t>[54</w:t>
      </w:r>
      <w:r w:rsidR="00514625">
        <w:rPr>
          <w:rFonts w:ascii="Book Antiqua" w:eastAsia="Book Antiqua" w:hAnsi="Book Antiqua" w:cs="Book Antiqua"/>
          <w:color w:val="000000"/>
          <w:vertAlign w:val="superscript"/>
        </w:rPr>
        <w:t>-</w:t>
      </w:r>
      <w:r w:rsidRPr="00BA6ACF">
        <w:rPr>
          <w:rFonts w:ascii="Book Antiqua" w:eastAsia="Book Antiqua" w:hAnsi="Book Antiqua" w:cs="Book Antiqua"/>
          <w:color w:val="000000"/>
          <w:vertAlign w:val="superscript"/>
        </w:rPr>
        <w:t>57]</w:t>
      </w:r>
      <w:r w:rsidRPr="00BA6ACF">
        <w:rPr>
          <w:rFonts w:ascii="Book Antiqua" w:eastAsia="Book Antiqua" w:hAnsi="Book Antiqua" w:cs="Book Antiqua"/>
          <w:color w:val="000000"/>
        </w:rPr>
        <w:t xml:space="preserve"> (Table 1). Moreover, it has been revealed that TNF-α priming of rat </w:t>
      </w:r>
      <w:r w:rsidRPr="00BA6ACF">
        <w:rPr>
          <w:rFonts w:ascii="Book Antiqua" w:eastAsia="Book Antiqua" w:hAnsi="Book Antiqua" w:cs="Book Antiqua"/>
          <w:color w:val="000000"/>
        </w:rPr>
        <w:lastRenderedPageBreak/>
        <w:t>UC-MSCs suppresses the inflammatory milieu by increasing TGF-β and IL-10 expression</w:t>
      </w:r>
      <w:r w:rsidRPr="00BA6ACF">
        <w:rPr>
          <w:rFonts w:ascii="Book Antiqua" w:eastAsia="Book Antiqua" w:hAnsi="Book Antiqua" w:cs="Book Antiqua"/>
          <w:color w:val="000000"/>
          <w:vertAlign w:val="superscript"/>
        </w:rPr>
        <w:t>[58]</w:t>
      </w:r>
      <w:r w:rsidRPr="00BA6ACF">
        <w:rPr>
          <w:rFonts w:ascii="Book Antiqua" w:eastAsia="Book Antiqua" w:hAnsi="Book Antiqua" w:cs="Book Antiqua"/>
          <w:color w:val="000000"/>
        </w:rPr>
        <w:t>. Because the immunosuppressive effects of TNF-α are less pronounced compared to IFN-γ priming in WJ-MSCs</w:t>
      </w:r>
      <w:r w:rsidRPr="00BA6ACF">
        <w:rPr>
          <w:rFonts w:ascii="Book Antiqua" w:eastAsia="Book Antiqua" w:hAnsi="Book Antiqua" w:cs="Book Antiqua"/>
          <w:color w:val="000000"/>
          <w:vertAlign w:val="superscript"/>
        </w:rPr>
        <w:t>[28]</w:t>
      </w:r>
      <w:r w:rsidRPr="00BA6ACF">
        <w:rPr>
          <w:rFonts w:ascii="Book Antiqua" w:eastAsia="Book Antiqua" w:hAnsi="Book Antiqua" w:cs="Book Antiqua"/>
          <w:color w:val="000000"/>
        </w:rPr>
        <w:t>, several studies have investigated the combined effects of TNF-α and IFN-γ on the immunomodulatory potential of MSCs. Indeed, when human BM-MSCs were subjected to combined pretreatment with TNF-α plus IFN-γ, more effective inhibition of CD3/CD28-induced T-cell proliferation was observed compared to non-primed MSCs</w:t>
      </w:r>
      <w:r w:rsidRPr="00BA6ACF">
        <w:rPr>
          <w:rFonts w:ascii="Book Antiqua" w:eastAsia="Book Antiqua" w:hAnsi="Book Antiqua" w:cs="Book Antiqua"/>
          <w:color w:val="000000"/>
          <w:vertAlign w:val="superscript"/>
        </w:rPr>
        <w:t>[59]</w:t>
      </w:r>
      <w:r w:rsidRPr="00BA6ACF">
        <w:rPr>
          <w:rFonts w:ascii="Book Antiqua" w:eastAsia="Book Antiqua" w:hAnsi="Book Antiqua" w:cs="Book Antiqua"/>
          <w:color w:val="000000"/>
        </w:rPr>
        <w:t xml:space="preserve"> (Table 1). Also, combined TNF-α and IFN-γ preconditioning was shown to increase IDO activity in BM-MSCs, resulting in monocyte differentiation into M2 immunosuppressive macrophages, which further inhibited T-cell proliferation </w:t>
      </w:r>
      <w:r w:rsidRPr="00BA6ACF">
        <w:rPr>
          <w:rFonts w:ascii="Book Antiqua" w:eastAsia="Book Antiqua" w:hAnsi="Book Antiqua" w:cs="Book Antiqua"/>
          <w:i/>
          <w:iCs/>
          <w:color w:val="000000"/>
        </w:rPr>
        <w:t>via</w:t>
      </w:r>
      <w:r w:rsidRPr="00BA6ACF">
        <w:rPr>
          <w:rFonts w:ascii="Book Antiqua" w:eastAsia="Book Antiqua" w:hAnsi="Book Antiqua" w:cs="Book Antiqua"/>
          <w:color w:val="000000"/>
        </w:rPr>
        <w:t xml:space="preserve"> IL-10 secretion</w:t>
      </w:r>
      <w:r w:rsidRPr="00BA6ACF">
        <w:rPr>
          <w:rFonts w:ascii="Book Antiqua" w:eastAsia="Book Antiqua" w:hAnsi="Book Antiqua" w:cs="Book Antiqua"/>
          <w:color w:val="000000"/>
          <w:vertAlign w:val="superscript"/>
        </w:rPr>
        <w:t>[55]</w:t>
      </w:r>
      <w:r w:rsidRPr="00BA6ACF">
        <w:rPr>
          <w:rFonts w:ascii="Book Antiqua" w:eastAsia="Book Antiqua" w:hAnsi="Book Antiqua" w:cs="Book Antiqua"/>
          <w:color w:val="000000"/>
        </w:rPr>
        <w:t xml:space="preserve">. </w:t>
      </w:r>
    </w:p>
    <w:p w14:paraId="5196BF8D"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 xml:space="preserve">Regarding the beneficial effects of MSC preconditioning with TNF-α, an </w:t>
      </w:r>
      <w:r w:rsidRPr="00BA6ACF">
        <w:rPr>
          <w:rFonts w:ascii="Book Antiqua" w:eastAsia="Book Antiqua" w:hAnsi="Book Antiqua" w:cs="Book Antiqua"/>
          <w:i/>
          <w:iCs/>
          <w:color w:val="000000"/>
        </w:rPr>
        <w:t>in vivo</w:t>
      </w:r>
      <w:r w:rsidRPr="00BA6ACF">
        <w:rPr>
          <w:rFonts w:ascii="Book Antiqua" w:eastAsia="Book Antiqua" w:hAnsi="Book Antiqua" w:cs="Book Antiqua"/>
          <w:color w:val="000000"/>
        </w:rPr>
        <w:t xml:space="preserve"> study performed by Su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[60]</w:t>
      </w:r>
      <w:r w:rsidRPr="00BA6ACF">
        <w:rPr>
          <w:rFonts w:ascii="Book Antiqua" w:eastAsia="Book Antiqua" w:hAnsi="Book Antiqua" w:cs="Book Antiqua"/>
          <w:color w:val="000000"/>
        </w:rPr>
        <w:t xml:space="preserve"> showed that the culture medium of TNFα-primed mouse BM-MSCs reduced experimental allergic conjunctivitis through multiple cyclooxygenase-2-dependent antiallergic mechanisms. In addition, the culture medium of TNF-primed human AT-MSCs has been shown to accelerate cutaneous wound closure, angiogenesis, and infiltration of immune cells in a rat excisional wound model </w:t>
      </w:r>
      <w:r w:rsidRPr="00BA6ACF">
        <w:rPr>
          <w:rFonts w:ascii="Book Antiqua" w:eastAsia="Book Antiqua" w:hAnsi="Book Antiqua" w:cs="Book Antiqua"/>
          <w:i/>
          <w:iCs/>
          <w:color w:val="000000"/>
        </w:rPr>
        <w:t>via</w:t>
      </w:r>
      <w:r w:rsidRPr="00BA6ACF">
        <w:rPr>
          <w:rFonts w:ascii="Book Antiqua" w:eastAsia="Book Antiqua" w:hAnsi="Book Antiqua" w:cs="Book Antiqua"/>
          <w:color w:val="000000"/>
        </w:rPr>
        <w:t xml:space="preserve"> IL-6 and IL-8 secretion</w:t>
      </w:r>
      <w:r w:rsidRPr="00BA6ACF">
        <w:rPr>
          <w:rFonts w:ascii="Book Antiqua" w:eastAsia="Book Antiqua" w:hAnsi="Book Antiqua" w:cs="Book Antiqua"/>
          <w:color w:val="000000"/>
          <w:vertAlign w:val="superscript"/>
        </w:rPr>
        <w:t>[61]</w:t>
      </w:r>
      <w:r w:rsidRPr="00BA6ACF">
        <w:rPr>
          <w:rFonts w:ascii="Book Antiqua" w:eastAsia="Book Antiqua" w:hAnsi="Book Antiqua" w:cs="Book Antiqua"/>
          <w:color w:val="000000"/>
        </w:rPr>
        <w:t>.</w:t>
      </w:r>
      <w:r w:rsidRPr="00BA6ACF">
        <w:rPr>
          <w:rFonts w:ascii="Book Antiqua" w:eastAsia="Book Antiqua" w:hAnsi="Book Antiqua" w:cs="Book Antiqua"/>
          <w:color w:val="000000"/>
          <w:shd w:val="clear" w:color="auto" w:fill="FFFFFF"/>
        </w:rPr>
        <w:t xml:space="preserve"> </w:t>
      </w:r>
      <w:r w:rsidRPr="00BA6ACF">
        <w:rPr>
          <w:rFonts w:ascii="Book Antiqua" w:eastAsia="Book Antiqua" w:hAnsi="Book Antiqua" w:cs="Book Antiqua"/>
          <w:color w:val="000000"/>
        </w:rPr>
        <w:t>Also, in a model of mouse myocardial infarction, improved cardiac function related to decreased inflammatory responses and reduced infarct size has been documented in animals receiving TNF-α-primed human BM-MSCs</w:t>
      </w:r>
      <w:r w:rsidRPr="00BA6ACF">
        <w:rPr>
          <w:rFonts w:ascii="Book Antiqua" w:eastAsia="Book Antiqua" w:hAnsi="Book Antiqua" w:cs="Book Antiqua"/>
          <w:color w:val="000000"/>
          <w:vertAlign w:val="superscript"/>
        </w:rPr>
        <w:t>[62]</w:t>
      </w:r>
      <w:r w:rsidRPr="00BA6ACF">
        <w:rPr>
          <w:rFonts w:ascii="Book Antiqua" w:eastAsia="Book Antiqua" w:hAnsi="Book Antiqua" w:cs="Book Antiqua"/>
          <w:color w:val="000000"/>
        </w:rPr>
        <w:t>. By contrast, TNF priming reverses the immunosuppressive effects of mouse MSCs on T-cell proliferation, resulting in the failure of MSC treatment of murine collagen-induced arthritis</w:t>
      </w:r>
      <w:r w:rsidRPr="00BA6ACF">
        <w:rPr>
          <w:rFonts w:ascii="Book Antiqua" w:eastAsia="Book Antiqua" w:hAnsi="Book Antiqua" w:cs="Book Antiqua"/>
          <w:color w:val="000000"/>
          <w:vertAlign w:val="superscript"/>
        </w:rPr>
        <w:t>[63]</w:t>
      </w:r>
      <w:r w:rsidRPr="00BA6ACF">
        <w:rPr>
          <w:rFonts w:ascii="Book Antiqua" w:eastAsia="Book Antiqua" w:hAnsi="Book Antiqua" w:cs="Book Antiqua"/>
          <w:color w:val="000000"/>
        </w:rPr>
        <w:t>.</w:t>
      </w:r>
    </w:p>
    <w:p w14:paraId="1F3F6A94" w14:textId="77777777" w:rsidR="00A77B3E" w:rsidRPr="00BA6ACF" w:rsidRDefault="00A77B3E" w:rsidP="007260F0">
      <w:pPr>
        <w:adjustRightInd w:val="0"/>
        <w:snapToGrid w:val="0"/>
        <w:spacing w:line="360" w:lineRule="auto"/>
        <w:ind w:firstLine="240"/>
        <w:jc w:val="both"/>
        <w:rPr>
          <w:rFonts w:ascii="Book Antiqua" w:hAnsi="Book Antiqua"/>
        </w:rPr>
      </w:pPr>
    </w:p>
    <w:p w14:paraId="5EE867E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IL-1β priming:</w:t>
      </w:r>
      <w:r w:rsidRPr="00BA6ACF">
        <w:rPr>
          <w:rFonts w:ascii="Book Antiqua" w:eastAsia="Book Antiqua" w:hAnsi="Book Antiqua" w:cs="Book Antiqua"/>
          <w:color w:val="000000"/>
        </w:rPr>
        <w:t xml:space="preserve"> IL-1β is the key mediator of inflammatory responses, which contributes to the host-defense response facilitating activation of innate immune cells</w:t>
      </w:r>
      <w:r w:rsidRPr="00BA6ACF">
        <w:rPr>
          <w:rFonts w:ascii="Book Antiqua" w:eastAsia="Book Antiqua" w:hAnsi="Book Antiqua" w:cs="Book Antiqua"/>
          <w:color w:val="000000"/>
          <w:vertAlign w:val="superscript"/>
        </w:rPr>
        <w:t>[64]</w:t>
      </w:r>
      <w:r w:rsidRPr="00BA6ACF">
        <w:rPr>
          <w:rFonts w:ascii="Book Antiqua" w:eastAsia="Book Antiqua" w:hAnsi="Book Antiqua" w:cs="Book Antiqua"/>
          <w:color w:val="000000"/>
        </w:rPr>
        <w:t>. Regarding the effects of IL-1β priming on MSCs proliferation and differentiation, heterogeneous results have been reported (Figure 1). Namely, while IL-1β preconditioning increases equine AT-MSCs and human synovium-derived MSCs proliferation</w:t>
      </w:r>
      <w:r w:rsidRPr="00BA6ACF">
        <w:rPr>
          <w:rFonts w:ascii="Book Antiqua" w:eastAsia="Book Antiqua" w:hAnsi="Book Antiqua" w:cs="Book Antiqua"/>
          <w:color w:val="000000"/>
          <w:vertAlign w:val="superscript"/>
        </w:rPr>
        <w:t>[65,66]</w:t>
      </w:r>
      <w:r w:rsidRPr="00BA6ACF">
        <w:rPr>
          <w:rFonts w:ascii="Book Antiqua" w:eastAsia="Book Antiqua" w:hAnsi="Book Antiqua" w:cs="Book Antiqua"/>
          <w:color w:val="000000"/>
        </w:rPr>
        <w:t>, exposure of UC-MSCs to IL-1β results in suppressed proliferation</w:t>
      </w:r>
      <w:r w:rsidRPr="00BA6ACF">
        <w:rPr>
          <w:rFonts w:ascii="Book Antiqua" w:eastAsia="Book Antiqua" w:hAnsi="Book Antiqua" w:cs="Book Antiqua"/>
          <w:color w:val="000000"/>
          <w:vertAlign w:val="superscript"/>
        </w:rPr>
        <w:t>[67]</w:t>
      </w:r>
      <w:r w:rsidRPr="00BA6ACF">
        <w:rPr>
          <w:rFonts w:ascii="Book Antiqua" w:eastAsia="Book Antiqua" w:hAnsi="Book Antiqua" w:cs="Book Antiqua"/>
          <w:color w:val="000000"/>
        </w:rPr>
        <w:t xml:space="preserve">. Moreover, functional analyses of human BM-MSCs have revealed that treatment with IL-1β does not affect the </w:t>
      </w:r>
      <w:r w:rsidRPr="00BA6ACF">
        <w:rPr>
          <w:rFonts w:ascii="Book Antiqua" w:eastAsia="Book Antiqua" w:hAnsi="Book Antiqua" w:cs="Book Antiqua"/>
          <w:color w:val="000000"/>
        </w:rPr>
        <w:lastRenderedPageBreak/>
        <w:t>proliferation of these cells, and promotes their migration and adhesion to extracellular matrix components</w:t>
      </w:r>
      <w:r w:rsidRPr="00BA6ACF">
        <w:rPr>
          <w:rFonts w:ascii="Book Antiqua" w:eastAsia="Book Antiqua" w:hAnsi="Book Antiqua" w:cs="Book Antiqua"/>
          <w:color w:val="000000"/>
          <w:vertAlign w:val="superscript"/>
        </w:rPr>
        <w:t>[68]</w:t>
      </w:r>
      <w:r w:rsidRPr="00BA6ACF">
        <w:rPr>
          <w:rFonts w:ascii="Book Antiqua" w:eastAsia="Book Antiqua" w:hAnsi="Book Antiqua" w:cs="Book Antiqua"/>
          <w:color w:val="000000"/>
        </w:rPr>
        <w:t xml:space="preserve">. Also, a study by Guo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[69]</w:t>
      </w:r>
      <w:r w:rsidRPr="00BA6ACF">
        <w:rPr>
          <w:rFonts w:ascii="Book Antiqua" w:eastAsia="Book Antiqua" w:hAnsi="Book Antiqua" w:cs="Book Antiqua"/>
          <w:color w:val="000000"/>
        </w:rPr>
        <w:t xml:space="preserve"> demonstrated that IL-1β promoted UC-MSCs transendothelial migration through the CXCR3-CXCL9 axis, indicating the beneficial effects on MSC homing to target sites. </w:t>
      </w:r>
    </w:p>
    <w:p w14:paraId="14E64B2E" w14:textId="3173169E"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Many studies have described the modulatory effects of IL-1β stimulation on the osteogenic differentiation of MSCs, with conflicting results depending on the MSC tissue origin as well as IL-1β concentration (Figure 1). Sonomoto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[70]</w:t>
      </w:r>
      <w:r w:rsidRPr="00BA6ACF">
        <w:rPr>
          <w:rFonts w:ascii="Book Antiqua" w:eastAsia="Book Antiqua" w:hAnsi="Book Antiqua" w:cs="Book Antiqua"/>
          <w:color w:val="000000"/>
        </w:rPr>
        <w:t xml:space="preserve"> demonstrated the ability of IL-1β to induce the osteogenic differentiation of human BM-MSCs </w:t>
      </w:r>
      <w:r w:rsidRPr="00BA6ACF">
        <w:rPr>
          <w:rFonts w:ascii="Book Antiqua" w:eastAsia="Book Antiqua" w:hAnsi="Book Antiqua" w:cs="Book Antiqua"/>
          <w:i/>
          <w:iCs/>
          <w:color w:val="000000"/>
        </w:rPr>
        <w:t>via</w:t>
      </w:r>
      <w:r w:rsidRPr="00BA6ACF">
        <w:rPr>
          <w:rFonts w:ascii="Book Antiqua" w:eastAsia="Book Antiqua" w:hAnsi="Book Antiqua" w:cs="Book Antiqua"/>
          <w:color w:val="000000"/>
        </w:rPr>
        <w:t xml:space="preserve"> the Wnt pathway. Increased osteogenesis has also been found for equine AT-MSCs and human UC-MSCs treated with IL-1β</w:t>
      </w:r>
      <w:r w:rsidRPr="00BA6ACF">
        <w:rPr>
          <w:rFonts w:ascii="Book Antiqua" w:eastAsia="Book Antiqua" w:hAnsi="Book Antiqua" w:cs="Book Antiqua"/>
          <w:color w:val="000000"/>
          <w:vertAlign w:val="superscript"/>
        </w:rPr>
        <w:t>[65,67]</w:t>
      </w:r>
      <w:r w:rsidRPr="00BA6ACF">
        <w:rPr>
          <w:rFonts w:ascii="Book Antiqua" w:eastAsia="Book Antiqua" w:hAnsi="Book Antiqua" w:cs="Book Antiqua"/>
          <w:color w:val="000000"/>
        </w:rPr>
        <w:t>. On the other hand, depending on the concentration, IL-1β exerts dual effects on the osteogenesis of periodontal ligament-MSCs, since low doses of IL-1β promote osteogenesis by activating the bone morphogenetic protein (referred to as BMP)/Smad signaling pathway, while higher doses of the cytokine impede osteogenesis</w:t>
      </w:r>
      <w:r w:rsidRPr="00BA6ACF">
        <w:rPr>
          <w:rFonts w:ascii="Book Antiqua" w:eastAsia="Book Antiqua" w:hAnsi="Book Antiqua" w:cs="Book Antiqua"/>
          <w:color w:val="000000"/>
          <w:vertAlign w:val="superscript"/>
        </w:rPr>
        <w:t>[71]</w:t>
      </w:r>
      <w:r w:rsidRPr="00BA6ACF">
        <w:rPr>
          <w:rFonts w:ascii="Book Antiqua" w:eastAsia="Book Antiqua" w:hAnsi="Book Antiqua" w:cs="Book Antiqua"/>
          <w:color w:val="000000"/>
        </w:rPr>
        <w:t xml:space="preserve">. IL-1β treatment also inhibits the chondrogenesis of MSCs from the femoral intermedullary canal in a dose-dependent manner </w:t>
      </w:r>
      <w:r w:rsidRPr="00BA6ACF">
        <w:rPr>
          <w:rFonts w:ascii="Book Antiqua" w:eastAsia="Book Antiqua" w:hAnsi="Book Antiqua" w:cs="Book Antiqua"/>
          <w:i/>
          <w:iCs/>
          <w:color w:val="000000"/>
        </w:rPr>
        <w:t>via</w:t>
      </w:r>
      <w:r w:rsidRPr="00BA6ACF">
        <w:rPr>
          <w:rFonts w:ascii="Book Antiqua" w:eastAsia="Book Antiqua" w:hAnsi="Book Antiqua" w:cs="Book Antiqua"/>
          <w:color w:val="000000"/>
        </w:rPr>
        <w:t xml:space="preserve"> NF-</w:t>
      </w:r>
      <w:bookmarkStart w:id="2" w:name="_Hlk49895787"/>
      <w:r w:rsidR="003767F3" w:rsidRPr="00BA6ACF">
        <w:rPr>
          <w:rFonts w:ascii="Book Antiqua" w:eastAsia="Book Antiqua" w:hAnsi="Book Antiqua" w:cs="Book Antiqua"/>
          <w:color w:val="000000"/>
        </w:rPr>
        <w:t>κ</w:t>
      </w:r>
      <w:bookmarkEnd w:id="2"/>
      <w:r w:rsidRPr="00BA6ACF">
        <w:rPr>
          <w:rFonts w:ascii="Book Antiqua" w:eastAsia="Book Antiqua" w:hAnsi="Book Antiqua" w:cs="Book Antiqua"/>
          <w:color w:val="000000"/>
        </w:rPr>
        <w:t>B activation</w:t>
      </w:r>
      <w:r w:rsidRPr="00BA6ACF">
        <w:rPr>
          <w:rFonts w:ascii="Book Antiqua" w:eastAsia="Book Antiqua" w:hAnsi="Book Antiqua" w:cs="Book Antiqua"/>
          <w:color w:val="000000"/>
          <w:vertAlign w:val="superscript"/>
        </w:rPr>
        <w:t>[46]</w:t>
      </w:r>
      <w:r w:rsidRPr="00BA6ACF">
        <w:rPr>
          <w:rFonts w:ascii="Book Antiqua" w:eastAsia="Book Antiqua" w:hAnsi="Book Antiqua" w:cs="Book Antiqua"/>
          <w:color w:val="000000"/>
        </w:rPr>
        <w:t>. In accordance with these findings, decreased chondrogenic differentiation has been reported for BM-MSCs and synovial fluid-MSCs treated with IL-1β</w:t>
      </w:r>
      <w:r w:rsidRPr="00BA6ACF">
        <w:rPr>
          <w:rFonts w:ascii="Book Antiqua" w:eastAsia="Book Antiqua" w:hAnsi="Book Antiqua" w:cs="Book Antiqua"/>
          <w:color w:val="000000"/>
          <w:vertAlign w:val="superscript"/>
        </w:rPr>
        <w:t>[72-75]</w:t>
      </w:r>
      <w:r w:rsidRPr="00BA6ACF">
        <w:rPr>
          <w:rFonts w:ascii="Book Antiqua" w:eastAsia="Book Antiqua" w:hAnsi="Book Antiqua" w:cs="Book Antiqua"/>
          <w:color w:val="000000"/>
        </w:rPr>
        <w:t xml:space="preserve">. However, Hingert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[76]</w:t>
      </w:r>
      <w:r w:rsidRPr="00BA6ACF">
        <w:rPr>
          <w:rFonts w:ascii="Book Antiqua" w:eastAsia="Book Antiqua" w:hAnsi="Book Antiqua" w:cs="Book Antiqua"/>
          <w:color w:val="000000"/>
        </w:rPr>
        <w:t xml:space="preserve"> showed that pretreatment of BM-MSCs with IL-1β followed by BMP-3 stimulation in a three-dimensional </w:t>
      </w:r>
      <w:r w:rsidRPr="00BA6ACF">
        <w:rPr>
          <w:rFonts w:ascii="Book Antiqua" w:eastAsia="Book Antiqua" w:hAnsi="Book Antiqua" w:cs="Book Antiqua"/>
          <w:i/>
          <w:iCs/>
          <w:color w:val="000000"/>
        </w:rPr>
        <w:t xml:space="preserve">in vitro </w:t>
      </w:r>
      <w:r w:rsidRPr="00BA6ACF">
        <w:rPr>
          <w:rFonts w:ascii="Book Antiqua" w:eastAsia="Book Antiqua" w:hAnsi="Book Antiqua" w:cs="Book Antiqua"/>
          <w:color w:val="000000"/>
        </w:rPr>
        <w:t xml:space="preserve">hydrogel model resulted in high proteoglycan accumulation and </w:t>
      </w:r>
      <w:r w:rsidRPr="00BA6ACF">
        <w:rPr>
          <w:rStyle w:val="st"/>
          <w:rFonts w:ascii="Book Antiqua" w:eastAsia="Book Antiqua" w:hAnsi="Book Antiqua" w:cs="Book Antiqua"/>
          <w:color w:val="000000"/>
        </w:rPr>
        <w:t>SRY-box transcription factor 9</w:t>
      </w:r>
      <w:r w:rsidRPr="00BA6ACF">
        <w:rPr>
          <w:rFonts w:ascii="Book Antiqua" w:eastAsia="Book Antiqua" w:hAnsi="Book Antiqua" w:cs="Book Antiqua"/>
          <w:color w:val="000000"/>
        </w:rPr>
        <w:t xml:space="preserve"> expression, suggesting that IL-1β may be the causative factor.</w:t>
      </w:r>
    </w:p>
    <w:p w14:paraId="61DEE3C6"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Several studies have indicated changes in the secretory profile of MSCs primed with IL-1β, as well as the significance of IL-1β priming in combination with other factors. Regarding gingival-MSCs, IL-1β preconditioning induces the expression of TGF-β and matrix metalloproteinase agonists</w:t>
      </w:r>
      <w:r w:rsidRPr="00BA6ACF">
        <w:rPr>
          <w:rFonts w:ascii="Book Antiqua" w:eastAsia="Book Antiqua" w:hAnsi="Book Antiqua" w:cs="Book Antiqua"/>
          <w:color w:val="000000"/>
          <w:vertAlign w:val="superscript"/>
        </w:rPr>
        <w:t>[77]</w:t>
      </w:r>
      <w:r w:rsidRPr="00BA6ACF">
        <w:rPr>
          <w:rFonts w:ascii="Book Antiqua" w:eastAsia="Book Antiqua" w:hAnsi="Book Antiqua" w:cs="Book Antiqua"/>
          <w:color w:val="000000"/>
        </w:rPr>
        <w:t>, while in human BM-MSCs, IL-1β increases granulocyte colony-stimulating factor (referred to as G-CSF)</w:t>
      </w:r>
      <w:r w:rsidRPr="00BA6ACF">
        <w:rPr>
          <w:rFonts w:ascii="Book Antiqua" w:eastAsia="Book Antiqua" w:hAnsi="Book Antiqua" w:cs="Book Antiqua"/>
          <w:color w:val="000000"/>
          <w:vertAlign w:val="superscript"/>
        </w:rPr>
        <w:t>[78]</w:t>
      </w:r>
      <w:r w:rsidRPr="00BA6ACF">
        <w:rPr>
          <w:rFonts w:ascii="Book Antiqua" w:eastAsia="Book Antiqua" w:hAnsi="Book Antiqua" w:cs="Book Antiqua"/>
          <w:color w:val="000000"/>
        </w:rPr>
        <w:t>, IL-6, VEGF, CXCL1, and CCL2 chemokines</w:t>
      </w:r>
      <w:r w:rsidRPr="00BA6ACF">
        <w:rPr>
          <w:rFonts w:ascii="Book Antiqua" w:eastAsia="Book Antiqua" w:hAnsi="Book Antiqua" w:cs="Book Antiqua"/>
          <w:color w:val="000000"/>
          <w:vertAlign w:val="superscript"/>
        </w:rPr>
        <w:t>[79]</w:t>
      </w:r>
      <w:r w:rsidRPr="00BA6ACF">
        <w:rPr>
          <w:rFonts w:ascii="Book Antiqua" w:eastAsia="Book Antiqua" w:hAnsi="Book Antiqua" w:cs="Book Antiqua"/>
          <w:color w:val="000000"/>
        </w:rPr>
        <w:t xml:space="preserve">. The immunosuppressive activities of rat BM-MSCs were shown to be significantly promoted after preconditioning with TNF-α or IFN-γ in combination with IL-β, as the decreased proliferation of syngeneic lymphocytes </w:t>
      </w:r>
      <w:r w:rsidRPr="00BA6ACF">
        <w:rPr>
          <w:rFonts w:ascii="Book Antiqua" w:eastAsia="Book Antiqua" w:hAnsi="Book Antiqua" w:cs="Book Antiqua"/>
          <w:i/>
          <w:iCs/>
          <w:color w:val="000000"/>
        </w:rPr>
        <w:t>in vitro</w:t>
      </w:r>
      <w:r w:rsidRPr="00BA6ACF">
        <w:rPr>
          <w:rFonts w:ascii="Book Antiqua" w:eastAsia="Book Antiqua" w:hAnsi="Book Antiqua" w:cs="Book Antiqua"/>
          <w:color w:val="000000"/>
        </w:rPr>
        <w:t xml:space="preserve"> </w:t>
      </w:r>
      <w:r w:rsidRPr="00BA6ACF">
        <w:rPr>
          <w:rFonts w:ascii="Book Antiqua" w:eastAsia="Book Antiqua" w:hAnsi="Book Antiqua" w:cs="Book Antiqua"/>
          <w:color w:val="000000"/>
        </w:rPr>
        <w:lastRenderedPageBreak/>
        <w:t>was demonstrated</w:t>
      </w:r>
      <w:r w:rsidRPr="00BA6ACF">
        <w:rPr>
          <w:rFonts w:ascii="Book Antiqua" w:eastAsia="Book Antiqua" w:hAnsi="Book Antiqua" w:cs="Book Antiqua"/>
          <w:color w:val="000000"/>
          <w:vertAlign w:val="superscript"/>
        </w:rPr>
        <w:t>[80]</w:t>
      </w:r>
      <w:r w:rsidRPr="00BA6ACF">
        <w:rPr>
          <w:rFonts w:ascii="Book Antiqua" w:eastAsia="Book Antiqua" w:hAnsi="Book Antiqua" w:cs="Book Antiqua"/>
          <w:color w:val="000000"/>
        </w:rPr>
        <w:t xml:space="preserve"> (Table 1). These effects were confirmed by </w:t>
      </w:r>
      <w:r w:rsidRPr="00BA6ACF">
        <w:rPr>
          <w:rFonts w:ascii="Book Antiqua" w:eastAsia="Book Antiqua" w:hAnsi="Book Antiqua" w:cs="Book Antiqua"/>
          <w:i/>
          <w:iCs/>
          <w:color w:val="000000"/>
        </w:rPr>
        <w:t>in vivo</w:t>
      </w:r>
      <w:r w:rsidRPr="00BA6ACF">
        <w:rPr>
          <w:rFonts w:ascii="Book Antiqua" w:eastAsia="Book Antiqua" w:hAnsi="Book Antiqua" w:cs="Book Antiqua"/>
          <w:color w:val="000000"/>
        </w:rPr>
        <w:t xml:space="preserve"> experiments in a rat cornea transplant model, where after transplantation of syngeneic MSCs</w:t>
      </w:r>
      <w:r w:rsidRPr="00BA6ACF">
        <w:rPr>
          <w:rFonts w:ascii="Book Antiqua" w:eastAsia="Book Antiqua" w:hAnsi="Book Antiqua" w:cs="Book Antiqua"/>
          <w:color w:val="000000"/>
          <w:vertAlign w:val="superscript"/>
        </w:rPr>
        <w:t xml:space="preserve"> </w:t>
      </w:r>
      <w:r w:rsidRPr="00BA6ACF">
        <w:rPr>
          <w:rFonts w:ascii="Book Antiqua" w:eastAsia="Book Antiqua" w:hAnsi="Book Antiqua" w:cs="Book Antiqua"/>
          <w:color w:val="000000"/>
        </w:rPr>
        <w:t>primed with TNF-α/IL-β enhanced graft survival (up to 70%) was observed compared to unprimed MSCs (up to 50%). In addition, the increased number of Tregs and reduced expression of pro-inflammatory cytokines in the draining lymph node of these animals were found, whereas there was an increased number of regulatory monocyte/macrophage cells and Tregs in the lungs and spleen</w:t>
      </w:r>
      <w:r w:rsidRPr="00BA6ACF">
        <w:rPr>
          <w:rFonts w:ascii="Book Antiqua" w:eastAsia="Book Antiqua" w:hAnsi="Book Antiqua" w:cs="Book Antiqua"/>
          <w:color w:val="000000"/>
          <w:vertAlign w:val="superscript"/>
        </w:rPr>
        <w:t>[80]</w:t>
      </w:r>
      <w:r w:rsidRPr="00BA6ACF">
        <w:rPr>
          <w:rFonts w:ascii="Book Antiqua" w:eastAsia="Book Antiqua" w:hAnsi="Book Antiqua" w:cs="Book Antiqua"/>
          <w:color w:val="000000"/>
        </w:rPr>
        <w:t xml:space="preserve">. </w:t>
      </w:r>
    </w:p>
    <w:p w14:paraId="3ED50862"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Administration of IL-β-primed human UC-MSCs in mice with dextran sulfate sodium-induced colitis also increases the number of Tregs and Th2 cells, while reducing Th1 and Th17 cells in the spleen and mesenteric lymph nodes</w:t>
      </w:r>
      <w:r w:rsidRPr="00BA6ACF">
        <w:rPr>
          <w:rFonts w:ascii="Book Antiqua" w:eastAsia="Book Antiqua" w:hAnsi="Book Antiqua" w:cs="Book Antiqua"/>
          <w:color w:val="000000"/>
          <w:vertAlign w:val="superscript"/>
        </w:rPr>
        <w:t>[81]</w:t>
      </w:r>
      <w:r w:rsidRPr="00BA6ACF">
        <w:rPr>
          <w:rFonts w:ascii="Book Antiqua" w:eastAsia="Book Antiqua" w:hAnsi="Book Antiqua" w:cs="Book Antiqua"/>
          <w:color w:val="000000"/>
        </w:rPr>
        <w:t xml:space="preserve">. A recent study by Yu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[82]</w:t>
      </w:r>
      <w:r w:rsidRPr="00BA6ACF">
        <w:rPr>
          <w:rFonts w:ascii="Book Antiqua" w:eastAsia="Book Antiqua" w:hAnsi="Book Antiqua" w:cs="Book Antiqua"/>
          <w:color w:val="000000"/>
        </w:rPr>
        <w:t xml:space="preserve"> emphasized the role of PGE2 and IDO induction in the observed immunosuppressive effects of umbilical cord blood-MSCs primed with IL-1β and IFN-γ in the same disease model. Moreover, another recent study showed that the culture medium of IL-1β-primed AT-MSCs increased the phagocytic capacity of neutrophils, which may contribute to inflammation resolution, removal of tissue debris, and support of tissue repair in joint pathology</w:t>
      </w:r>
      <w:r w:rsidRPr="00BA6ACF">
        <w:rPr>
          <w:rFonts w:ascii="Book Antiqua" w:eastAsia="Book Antiqua" w:hAnsi="Book Antiqua" w:cs="Book Antiqua"/>
          <w:color w:val="000000"/>
          <w:vertAlign w:val="superscript"/>
        </w:rPr>
        <w:t>[83]</w:t>
      </w:r>
      <w:r w:rsidRPr="00BA6ACF">
        <w:rPr>
          <w:rFonts w:ascii="Book Antiqua" w:eastAsia="Book Antiqua" w:hAnsi="Book Antiqua" w:cs="Book Antiqua"/>
          <w:color w:val="000000"/>
        </w:rPr>
        <w:t>. Overall, the results indicating the immunosuppressive phenotype of IL-1β-primed MSCs strongly suggest that this cytokine might promote the therapeutic efficacy of MSCs in disorders related to an exaggerated immune response (Figure 2).</w:t>
      </w:r>
    </w:p>
    <w:p w14:paraId="0DAF6F32" w14:textId="77777777" w:rsidR="00A77B3E" w:rsidRPr="00BA6ACF" w:rsidRDefault="00A77B3E" w:rsidP="007260F0">
      <w:pPr>
        <w:adjustRightInd w:val="0"/>
        <w:snapToGrid w:val="0"/>
        <w:spacing w:line="360" w:lineRule="auto"/>
        <w:ind w:firstLine="240"/>
        <w:jc w:val="both"/>
        <w:rPr>
          <w:rFonts w:ascii="Book Antiqua" w:hAnsi="Book Antiqua"/>
        </w:rPr>
      </w:pPr>
    </w:p>
    <w:p w14:paraId="1E49919B" w14:textId="185E2291"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IL-17 priming: </w:t>
      </w:r>
      <w:r w:rsidRPr="00BA6ACF">
        <w:rPr>
          <w:rFonts w:ascii="Book Antiqua" w:eastAsia="Book Antiqua" w:hAnsi="Book Antiqua" w:cs="Book Antiqua"/>
          <w:color w:val="000000"/>
        </w:rPr>
        <w:t>IL-17 is another pro-inflammatory cytokine that plays a pivotal role in linking the immune and hematopoietic systems, while also contributing to the pathogenesis of numerous autoimmune and inflammatory diseases. However, the effects that this cytokine exerts on MSCs are still not fully understood. To date, it has been shown that IL-17 stimulates the proliferation of mouse and human BM-MSCs, as well as the migration of human BM-MSCs and trans-endothelial migration of peripheral blood MSCs</w:t>
      </w:r>
      <w:r w:rsidRPr="00BA6ACF">
        <w:rPr>
          <w:rFonts w:ascii="Book Antiqua" w:eastAsia="Book Antiqua" w:hAnsi="Book Antiqua" w:cs="Book Antiqua"/>
          <w:color w:val="000000"/>
          <w:vertAlign w:val="superscript"/>
        </w:rPr>
        <w:t>[84-86]</w:t>
      </w:r>
      <w:r w:rsidRPr="00BA6ACF">
        <w:rPr>
          <w:rFonts w:ascii="Book Antiqua" w:eastAsia="Book Antiqua" w:hAnsi="Book Antiqua" w:cs="Book Antiqua"/>
          <w:color w:val="000000"/>
        </w:rPr>
        <w:t xml:space="preserve"> (Figure 1). Regarding the differentiation potential, published results have shown that IL-17 priming enhances osteogenic</w:t>
      </w:r>
      <w:r w:rsidRPr="00BA6ACF">
        <w:rPr>
          <w:rFonts w:ascii="Book Antiqua" w:eastAsia="Book Antiqua" w:hAnsi="Book Antiqua" w:cs="Book Antiqua"/>
          <w:color w:val="000000"/>
          <w:vertAlign w:val="superscript"/>
        </w:rPr>
        <w:t>[84,87-89]</w:t>
      </w:r>
      <w:r w:rsidRPr="00BA6ACF">
        <w:rPr>
          <w:rFonts w:ascii="Book Antiqua" w:eastAsia="Book Antiqua" w:hAnsi="Book Antiqua" w:cs="Book Antiqua"/>
          <w:color w:val="000000"/>
        </w:rPr>
        <w:t>, but inhibits chondrogenic</w:t>
      </w:r>
      <w:r w:rsidRPr="00BA6ACF">
        <w:rPr>
          <w:rFonts w:ascii="Book Antiqua" w:eastAsia="Book Antiqua" w:hAnsi="Book Antiqua" w:cs="Book Antiqua"/>
          <w:color w:val="000000"/>
          <w:vertAlign w:val="superscript"/>
        </w:rPr>
        <w:t>[90]</w:t>
      </w:r>
      <w:r w:rsidRPr="00BA6ACF">
        <w:rPr>
          <w:rFonts w:ascii="Book Antiqua" w:eastAsia="Book Antiqua" w:hAnsi="Book Antiqua" w:cs="Book Antiqua"/>
          <w:color w:val="000000"/>
        </w:rPr>
        <w:t xml:space="preserve"> and adipogenic</w:t>
      </w:r>
      <w:r w:rsidRPr="00BA6ACF">
        <w:rPr>
          <w:rFonts w:ascii="Book Antiqua" w:eastAsia="Book Antiqua" w:hAnsi="Book Antiqua" w:cs="Book Antiqua"/>
          <w:color w:val="000000"/>
          <w:vertAlign w:val="superscript"/>
        </w:rPr>
        <w:t>[88,91]</w:t>
      </w:r>
      <w:r w:rsidRPr="00BA6ACF">
        <w:rPr>
          <w:rFonts w:ascii="Book Antiqua" w:eastAsia="Book Antiqua" w:hAnsi="Book Antiqua" w:cs="Book Antiqua"/>
          <w:color w:val="000000"/>
        </w:rPr>
        <w:t xml:space="preserve"> differentiation in human BM-MSCs. Moreover, IL-17 can decrease </w:t>
      </w:r>
      <w:r w:rsidRPr="00BA6ACF">
        <w:rPr>
          <w:rFonts w:ascii="Book Antiqua" w:eastAsia="Book Antiqua" w:hAnsi="Book Antiqua" w:cs="Book Antiqua"/>
          <w:color w:val="000000"/>
        </w:rPr>
        <w:lastRenderedPageBreak/>
        <w:t xml:space="preserve">the osteogenic differentiation of periodontal ligament-MSCs through </w:t>
      </w:r>
      <w:r w:rsidRPr="00BA6ACF">
        <w:rPr>
          <w:rStyle w:val="st"/>
          <w:rFonts w:ascii="Book Antiqua" w:eastAsia="Book Antiqua" w:hAnsi="Book Antiqua" w:cs="Book Antiqua"/>
          <w:color w:val="000000"/>
        </w:rPr>
        <w:t xml:space="preserve">extracellular signal-regulated protein kinases 1 and 2 (referred to as </w:t>
      </w:r>
      <w:r w:rsidRPr="00BA6ACF">
        <w:rPr>
          <w:rFonts w:ascii="Book Antiqua" w:eastAsia="Book Antiqua" w:hAnsi="Book Antiqua" w:cs="Book Antiqua"/>
          <w:color w:val="000000"/>
        </w:rPr>
        <w:t xml:space="preserve">ERK1/2), and </w:t>
      </w:r>
      <w:r w:rsidRPr="00BA6ACF">
        <w:rPr>
          <w:rStyle w:val="st"/>
          <w:rFonts w:ascii="Book Antiqua" w:eastAsia="Book Antiqua" w:hAnsi="Book Antiqua" w:cs="Book Antiqua"/>
          <w:color w:val="000000"/>
        </w:rPr>
        <w:t>c-</w:t>
      </w:r>
      <w:r w:rsidRPr="00BA6ACF">
        <w:rPr>
          <w:rFonts w:ascii="Book Antiqua" w:eastAsia="Book Antiqua" w:hAnsi="Book Antiqua" w:cs="Book Antiqua"/>
          <w:color w:val="000000"/>
        </w:rPr>
        <w:t>Jun</w:t>
      </w:r>
      <w:r w:rsidRPr="00BA6ACF">
        <w:rPr>
          <w:rStyle w:val="st"/>
          <w:rFonts w:ascii="Book Antiqua" w:eastAsia="Book Antiqua" w:hAnsi="Book Antiqua" w:cs="Book Antiqua"/>
          <w:color w:val="000000"/>
        </w:rPr>
        <w:t xml:space="preserve"> N-terminal </w:t>
      </w:r>
      <w:r w:rsidRPr="00BA6ACF">
        <w:rPr>
          <w:rFonts w:ascii="Book Antiqua" w:eastAsia="Book Antiqua" w:hAnsi="Book Antiqua" w:cs="Book Antiqua"/>
          <w:color w:val="000000"/>
        </w:rPr>
        <w:t>kinase mitogen-activated protein kinases</w:t>
      </w:r>
      <w:r w:rsidRPr="00BA6ACF">
        <w:rPr>
          <w:rFonts w:ascii="Book Antiqua" w:eastAsia="Book Antiqua" w:hAnsi="Book Antiqua" w:cs="Book Antiqua"/>
          <w:color w:val="000000"/>
          <w:vertAlign w:val="superscript"/>
        </w:rPr>
        <w:t>[92]</w:t>
      </w:r>
      <w:r w:rsidRPr="00BA6ACF">
        <w:rPr>
          <w:rFonts w:ascii="Book Antiqua" w:eastAsia="Book Antiqua" w:hAnsi="Book Antiqua" w:cs="Book Antiqua"/>
          <w:color w:val="000000"/>
        </w:rPr>
        <w:t>. Research related to the effects of IL-17 on the differentiation potential of mouse BM-MSCs has led to conflicting results, as one study found that IL-17 did not affect the differentiation potential of MSCs towards osteoblasts</w:t>
      </w:r>
      <w:r w:rsidRPr="00BA6ACF">
        <w:rPr>
          <w:rFonts w:ascii="Book Antiqua" w:eastAsia="Book Antiqua" w:hAnsi="Book Antiqua" w:cs="Book Antiqua"/>
          <w:color w:val="000000"/>
          <w:vertAlign w:val="superscript"/>
        </w:rPr>
        <w:t>[85]</w:t>
      </w:r>
      <w:r w:rsidRPr="00BA6ACF">
        <w:rPr>
          <w:rFonts w:ascii="Book Antiqua" w:eastAsia="Book Antiqua" w:hAnsi="Book Antiqua" w:cs="Book Antiqua"/>
          <w:color w:val="000000"/>
        </w:rPr>
        <w:t>, whereas another showed suppressed osteogenic differentiation of these cells mediated by I</w:t>
      </w:r>
      <w:r w:rsidR="000D7B13" w:rsidRPr="00BA6ACF">
        <w:rPr>
          <w:rFonts w:ascii="Book Antiqua" w:eastAsia="Book Antiqua" w:hAnsi="Book Antiqua" w:cs="Book Antiqua"/>
          <w:color w:val="000000"/>
        </w:rPr>
        <w:t>κ</w:t>
      </w:r>
      <w:r w:rsidRPr="00BA6ACF">
        <w:rPr>
          <w:rFonts w:ascii="Book Antiqua" w:eastAsia="Book Antiqua" w:hAnsi="Book Antiqua" w:cs="Book Antiqua"/>
          <w:color w:val="000000"/>
        </w:rPr>
        <w:t>B kinase and NF-</w:t>
      </w:r>
      <w:r w:rsidR="007E0A29" w:rsidRPr="00BA6ACF">
        <w:rPr>
          <w:rFonts w:ascii="Book Antiqua" w:eastAsia="Book Antiqua" w:hAnsi="Book Antiqua" w:cs="Book Antiqua"/>
          <w:color w:val="000000"/>
        </w:rPr>
        <w:t>κ</w:t>
      </w:r>
      <w:r w:rsidR="007E0A29" w:rsidRPr="00BA6ACF" w:rsidDel="007E0A29">
        <w:rPr>
          <w:rFonts w:ascii="Book Antiqua" w:eastAsia="Book Antiqua" w:hAnsi="Book Antiqua" w:cs="Book Antiqua"/>
          <w:color w:val="000000"/>
        </w:rPr>
        <w:t xml:space="preserve"> </w:t>
      </w:r>
      <w:r w:rsidRPr="00BA6ACF">
        <w:rPr>
          <w:rFonts w:ascii="Book Antiqua" w:eastAsia="Book Antiqua" w:hAnsi="Book Antiqua" w:cs="Book Antiqua"/>
          <w:color w:val="000000"/>
        </w:rPr>
        <w:t>B</w:t>
      </w:r>
      <w:r w:rsidRPr="00BA6ACF">
        <w:rPr>
          <w:rFonts w:ascii="Book Antiqua" w:eastAsia="Book Antiqua" w:hAnsi="Book Antiqua" w:cs="Book Antiqua"/>
          <w:color w:val="000000"/>
          <w:vertAlign w:val="superscript"/>
        </w:rPr>
        <w:t>[93]</w:t>
      </w:r>
      <w:r w:rsidRPr="00BA6ACF">
        <w:rPr>
          <w:rFonts w:ascii="Book Antiqua" w:eastAsia="Book Antiqua" w:hAnsi="Book Antiqua" w:cs="Book Antiqua"/>
          <w:color w:val="000000"/>
        </w:rPr>
        <w:t>.</w:t>
      </w:r>
    </w:p>
    <w:p w14:paraId="0763A2E1"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Regarding the immunomodulatory activity of MSCs, IL-17 priming enhances the immunosuppressive features of MSCs. While IL-17 has no impact on MSC markers and the low immunogenic phenotype of human BM-MSCs, IL-17-primed MSCs suppress T-cell proliferation and inhibit CD25 expression and expression of Th1 cytokines, including IFN-γ, TNF-α, and IL-2</w:t>
      </w:r>
      <w:r w:rsidRPr="00BA6ACF">
        <w:rPr>
          <w:rFonts w:ascii="Book Antiqua" w:eastAsia="Book Antiqua" w:hAnsi="Book Antiqua" w:cs="Book Antiqua"/>
          <w:color w:val="000000"/>
          <w:vertAlign w:val="superscript"/>
        </w:rPr>
        <w:t>[94]</w:t>
      </w:r>
      <w:r w:rsidRPr="00BA6ACF">
        <w:rPr>
          <w:rFonts w:ascii="Book Antiqua" w:eastAsia="Book Antiqua" w:hAnsi="Book Antiqua" w:cs="Book Antiqua"/>
          <w:color w:val="000000"/>
        </w:rPr>
        <w:t xml:space="preserve">. Moreover, a study showed that mouse MSCs pretreated with IFN-γ and TNF-α in combination with IL-17 significantly reduced T-cell proliferation </w:t>
      </w:r>
      <w:r w:rsidRPr="00BA6ACF">
        <w:rPr>
          <w:rFonts w:ascii="Book Antiqua" w:eastAsia="Book Antiqua" w:hAnsi="Book Antiqua" w:cs="Book Antiqua"/>
          <w:i/>
          <w:iCs/>
          <w:color w:val="000000"/>
        </w:rPr>
        <w:t>via</w:t>
      </w:r>
      <w:r w:rsidRPr="00BA6ACF">
        <w:rPr>
          <w:rFonts w:ascii="Book Antiqua" w:eastAsia="Book Antiqua" w:hAnsi="Book Antiqua" w:cs="Book Antiqua"/>
          <w:color w:val="000000"/>
        </w:rPr>
        <w:t xml:space="preserve"> the inducible nitric oxide synthase (referred to as iNOS) pathway</w:t>
      </w:r>
      <w:r w:rsidRPr="00BA6ACF">
        <w:rPr>
          <w:rFonts w:ascii="Book Antiqua" w:eastAsia="Book Antiqua" w:hAnsi="Book Antiqua" w:cs="Book Antiqua"/>
          <w:color w:val="000000"/>
          <w:vertAlign w:val="superscript"/>
        </w:rPr>
        <w:t>[95]</w:t>
      </w:r>
      <w:r w:rsidRPr="00BA6ACF">
        <w:rPr>
          <w:rFonts w:ascii="Book Antiqua" w:eastAsia="Book Antiqua" w:hAnsi="Book Antiqua" w:cs="Book Antiqua"/>
          <w:color w:val="000000"/>
        </w:rPr>
        <w:t xml:space="preserve"> (Table 1). The same study confirmed the immunosuppressive activity of BM-MSCs primed with IL-17 </w:t>
      </w:r>
      <w:r w:rsidRPr="00BA6ACF">
        <w:rPr>
          <w:rFonts w:ascii="Book Antiqua" w:eastAsia="Book Antiqua" w:hAnsi="Book Antiqua" w:cs="Book Antiqua"/>
          <w:i/>
          <w:iCs/>
          <w:color w:val="000000"/>
        </w:rPr>
        <w:t>in vivo</w:t>
      </w:r>
      <w:r w:rsidRPr="00BA6ACF">
        <w:rPr>
          <w:rFonts w:ascii="Book Antiqua" w:eastAsia="Book Antiqua" w:hAnsi="Book Antiqua" w:cs="Book Antiqua"/>
          <w:color w:val="000000"/>
        </w:rPr>
        <w:t xml:space="preserve"> in a mouse model of concanavalin A-induced liver injury. However, another study showed that IL-17 significantly reduced the suppressive capacity of olfactory ecto-MSCs on CD4+ T cells, mainly through downregulation of suppressive factors (PD-L1, iNOS, IL-10, and TGF-β)</w:t>
      </w:r>
      <w:r w:rsidRPr="00BA6ACF">
        <w:rPr>
          <w:rFonts w:ascii="Book Antiqua" w:eastAsia="Book Antiqua" w:hAnsi="Book Antiqua" w:cs="Book Antiqua"/>
          <w:color w:val="000000"/>
          <w:vertAlign w:val="superscript"/>
        </w:rPr>
        <w:t>[96]</w:t>
      </w:r>
      <w:r w:rsidRPr="00BA6ACF">
        <w:rPr>
          <w:rFonts w:ascii="Book Antiqua" w:eastAsia="Book Antiqua" w:hAnsi="Book Antiqua" w:cs="Book Antiqua"/>
          <w:color w:val="000000"/>
        </w:rPr>
        <w:t xml:space="preserve">. The positive effect of IL-17 on the immunomodulatory features of MSCs has been confirmed in </w:t>
      </w:r>
      <w:r w:rsidRPr="00BA6ACF">
        <w:rPr>
          <w:rFonts w:ascii="Book Antiqua" w:eastAsia="Book Antiqua" w:hAnsi="Book Antiqua" w:cs="Book Antiqua"/>
          <w:i/>
          <w:iCs/>
          <w:color w:val="000000"/>
        </w:rPr>
        <w:t>in vivo</w:t>
      </w:r>
      <w:r w:rsidRPr="00BA6ACF">
        <w:rPr>
          <w:rFonts w:ascii="Book Antiqua" w:eastAsia="Book Antiqua" w:hAnsi="Book Antiqua" w:cs="Book Antiqua"/>
          <w:color w:val="000000"/>
        </w:rPr>
        <w:t xml:space="preserve"> studies with different animal models. Namely, in a study in which mouse BM-MSCs were treated with IL-17 prior to their use in ischemia-reperfusion acute kidney injury, a significant decrease in IL-6, TNF-α, and IFN-γ levels and higher spleen and kidney Treg levels were shown compared to mice that received non-primed MSCs</w:t>
      </w:r>
      <w:r w:rsidRPr="00BA6ACF">
        <w:rPr>
          <w:rFonts w:ascii="Book Antiqua" w:eastAsia="Book Antiqua" w:hAnsi="Book Antiqua" w:cs="Book Antiqua"/>
          <w:color w:val="000000"/>
          <w:vertAlign w:val="superscript"/>
        </w:rPr>
        <w:t>[97]</w:t>
      </w:r>
      <w:r w:rsidRPr="00BA6ACF">
        <w:rPr>
          <w:rFonts w:ascii="Book Antiqua" w:eastAsia="Book Antiqua" w:hAnsi="Book Antiqua" w:cs="Book Antiqua"/>
          <w:color w:val="000000"/>
        </w:rPr>
        <w:t>. In another work, IL-17-primed mouse BM-MSCs used in a skin transplantation model were found to increase the Treg subpopulation as well as IL-10 and TGF-β levels, significantly prolonging graft survival</w:t>
      </w:r>
      <w:r w:rsidRPr="00BA6ACF">
        <w:rPr>
          <w:rFonts w:ascii="Book Antiqua" w:eastAsia="Book Antiqua" w:hAnsi="Book Antiqua" w:cs="Book Antiqua"/>
          <w:color w:val="000000"/>
          <w:vertAlign w:val="superscript"/>
        </w:rPr>
        <w:t>[98]</w:t>
      </w:r>
      <w:r w:rsidRPr="00BA6ACF">
        <w:rPr>
          <w:rFonts w:ascii="Book Antiqua" w:eastAsia="Book Antiqua" w:hAnsi="Book Antiqua" w:cs="Book Antiqua"/>
          <w:color w:val="000000"/>
        </w:rPr>
        <w:t>.</w:t>
      </w:r>
    </w:p>
    <w:p w14:paraId="146C54BA" w14:textId="77777777" w:rsidR="00A77B3E" w:rsidRPr="00BA6ACF" w:rsidRDefault="00A77B3E" w:rsidP="007260F0">
      <w:pPr>
        <w:adjustRightInd w:val="0"/>
        <w:snapToGrid w:val="0"/>
        <w:spacing w:line="360" w:lineRule="auto"/>
        <w:ind w:firstLine="240"/>
        <w:jc w:val="both"/>
        <w:rPr>
          <w:rFonts w:ascii="Book Antiqua" w:hAnsi="Book Antiqua"/>
        </w:rPr>
      </w:pPr>
    </w:p>
    <w:p w14:paraId="1AFB25E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lastRenderedPageBreak/>
        <w:t xml:space="preserve">IL-6 priming: </w:t>
      </w:r>
      <w:r w:rsidRPr="00BA6ACF">
        <w:rPr>
          <w:rFonts w:ascii="Book Antiqua" w:eastAsia="Book Antiqua" w:hAnsi="Book Antiqua" w:cs="Book Antiqua"/>
          <w:color w:val="000000"/>
        </w:rPr>
        <w:t>Pleiotropic effects on immune regulation, hematopoiesis, and tissue regeneration are exerted by another inflammatory cytokine, IL-6</w:t>
      </w:r>
      <w:r w:rsidRPr="00BA6ACF">
        <w:rPr>
          <w:rFonts w:ascii="Book Antiqua" w:eastAsia="Book Antiqua" w:hAnsi="Book Antiqua" w:cs="Book Antiqua"/>
          <w:color w:val="000000"/>
          <w:vertAlign w:val="superscript"/>
        </w:rPr>
        <w:t>[99]</w:t>
      </w:r>
      <w:r w:rsidRPr="00BA6ACF">
        <w:rPr>
          <w:rFonts w:ascii="Book Antiqua" w:eastAsia="Book Antiqua" w:hAnsi="Book Antiqua" w:cs="Book Antiqua"/>
          <w:color w:val="000000"/>
        </w:rPr>
        <w:t>. Preconditioning MSCs with IL-6 has been shown to influence their behaviors in different manners depending on the tissue origin of the MSCs (Figure 1). Namely, a few studies have reported conflicting data showing that IL-6 has no effect on the proliferation of human AT-MSCs and mouse BM-MSCs</w:t>
      </w:r>
      <w:r w:rsidRPr="00BA6ACF">
        <w:rPr>
          <w:rFonts w:ascii="Book Antiqua" w:eastAsia="Book Antiqua" w:hAnsi="Book Antiqua" w:cs="Book Antiqua"/>
          <w:color w:val="000000"/>
          <w:vertAlign w:val="superscript"/>
        </w:rPr>
        <w:t>[100,101]</w:t>
      </w:r>
      <w:r w:rsidRPr="00BA6ACF">
        <w:rPr>
          <w:rFonts w:ascii="Book Antiqua" w:eastAsia="Book Antiqua" w:hAnsi="Book Antiqua" w:cs="Book Antiqua"/>
          <w:color w:val="000000"/>
        </w:rPr>
        <w:t>, whereas in other studies, IL-6 increased the proliferation of human placenta-derived MSCs and BM-MSCs</w:t>
      </w:r>
      <w:r w:rsidRPr="00BA6ACF">
        <w:rPr>
          <w:rFonts w:ascii="Book Antiqua" w:eastAsia="Book Antiqua" w:hAnsi="Book Antiqua" w:cs="Book Antiqua"/>
          <w:color w:val="000000"/>
          <w:vertAlign w:val="superscript"/>
        </w:rPr>
        <w:t>[102,103]</w:t>
      </w:r>
      <w:r w:rsidRPr="00BA6ACF">
        <w:rPr>
          <w:rFonts w:ascii="Book Antiqua" w:eastAsia="Book Antiqua" w:hAnsi="Book Antiqua" w:cs="Book Antiqua"/>
          <w:color w:val="000000"/>
        </w:rPr>
        <w:t xml:space="preserve">. Moreover, the stimulating effect of IL-6 on BM-MSCs growth and </w:t>
      </w:r>
      <w:r w:rsidRPr="00BA6ACF">
        <w:rPr>
          <w:rFonts w:ascii="Book Antiqua" w:eastAsia="Book Antiqua" w:hAnsi="Book Antiqua" w:cs="Book Antiqua"/>
          <w:i/>
          <w:iCs/>
          <w:color w:val="000000"/>
        </w:rPr>
        <w:t>in vitro</w:t>
      </w:r>
      <w:r w:rsidRPr="00BA6ACF">
        <w:rPr>
          <w:rFonts w:ascii="Book Antiqua" w:eastAsia="Book Antiqua" w:hAnsi="Book Antiqua" w:cs="Book Antiqua"/>
          <w:color w:val="000000"/>
        </w:rPr>
        <w:t xml:space="preserve"> wound healing is mediated by ERK1/2 activation</w:t>
      </w:r>
      <w:r w:rsidRPr="00BA6ACF">
        <w:rPr>
          <w:rFonts w:ascii="Book Antiqua" w:eastAsia="Book Antiqua" w:hAnsi="Book Antiqua" w:cs="Book Antiqua"/>
          <w:color w:val="000000"/>
          <w:vertAlign w:val="superscript"/>
        </w:rPr>
        <w:t>[103]</w:t>
      </w:r>
      <w:r w:rsidRPr="00BA6ACF">
        <w:rPr>
          <w:rFonts w:ascii="Book Antiqua" w:eastAsia="Book Antiqua" w:hAnsi="Book Antiqua" w:cs="Book Antiqua"/>
          <w:color w:val="000000"/>
        </w:rPr>
        <w:t>. It has also been reported that IL-6 differentially influences stem cell differentiation (Figure 1). Priming with IL-6 under osteogenic induction conditions has been shown to enhance mineralization and alkaline phosphatase expression in human BM-MSCs, AT-MSCs, and stem cells from human exfoliated deciduous teeth (called SHEDs)</w:t>
      </w:r>
      <w:r w:rsidRPr="00BA6ACF">
        <w:rPr>
          <w:rFonts w:ascii="Book Antiqua" w:eastAsia="Book Antiqua" w:hAnsi="Book Antiqua" w:cs="Book Antiqua"/>
          <w:color w:val="000000"/>
          <w:vertAlign w:val="superscript"/>
        </w:rPr>
        <w:t>[104-107]</w:t>
      </w:r>
      <w:r w:rsidRPr="00BA6ACF">
        <w:rPr>
          <w:rFonts w:ascii="Book Antiqua" w:eastAsia="Book Antiqua" w:hAnsi="Book Antiqua" w:cs="Book Antiqua"/>
          <w:color w:val="000000"/>
        </w:rPr>
        <w:t xml:space="preserve">. However, studies using lower concentrations of IL-6 have shown no effect on osteogenic differentiation potency of human BM-MSCs </w:t>
      </w:r>
      <w:r w:rsidRPr="00BA6ACF">
        <w:rPr>
          <w:rFonts w:ascii="Book Antiqua" w:eastAsia="Book Antiqua" w:hAnsi="Book Antiqua" w:cs="Book Antiqua"/>
          <w:color w:val="000000"/>
          <w:vertAlign w:val="superscript"/>
        </w:rPr>
        <w:t>[103]</w:t>
      </w:r>
      <w:r w:rsidRPr="00BA6ACF">
        <w:rPr>
          <w:rFonts w:ascii="Book Antiqua" w:eastAsia="Book Antiqua" w:hAnsi="Book Antiqua" w:cs="Book Antiqua"/>
          <w:color w:val="000000"/>
        </w:rPr>
        <w:t>. Although IL-6 inhibits the chondrogenic differentiation of human BM-MSCs when added during differentiation induction</w:t>
      </w:r>
      <w:r w:rsidRPr="00BA6ACF">
        <w:rPr>
          <w:rFonts w:ascii="Book Antiqua" w:eastAsia="Book Antiqua" w:hAnsi="Book Antiqua" w:cs="Book Antiqua"/>
          <w:color w:val="000000"/>
          <w:vertAlign w:val="superscript"/>
        </w:rPr>
        <w:t>[103]</w:t>
      </w:r>
      <w:r w:rsidRPr="00BA6ACF">
        <w:rPr>
          <w:rFonts w:ascii="Book Antiqua" w:eastAsia="Book Antiqua" w:hAnsi="Book Antiqua" w:cs="Book Antiqua"/>
          <w:color w:val="000000"/>
        </w:rPr>
        <w:t>, concomitant supplementation with IL-6 and soluble IL-6 receptor contributes to the enhanced chondrogenesis of this type of MSC</w:t>
      </w:r>
      <w:r w:rsidRPr="00BA6ACF">
        <w:rPr>
          <w:rFonts w:ascii="Book Antiqua" w:eastAsia="Book Antiqua" w:hAnsi="Book Antiqua" w:cs="Book Antiqua"/>
          <w:color w:val="000000"/>
          <w:vertAlign w:val="superscript"/>
        </w:rPr>
        <w:t>[108]</w:t>
      </w:r>
      <w:r w:rsidRPr="00BA6ACF">
        <w:rPr>
          <w:rFonts w:ascii="Book Antiqua" w:eastAsia="Book Antiqua" w:hAnsi="Book Antiqua" w:cs="Book Antiqua"/>
          <w:color w:val="000000"/>
        </w:rPr>
        <w:t>. Treatment with IL-6 during or prior to adipogenic differentiation induction reduces the adipogenesis capacity of human BM-MSCs</w:t>
      </w:r>
      <w:r w:rsidRPr="00BA6ACF">
        <w:rPr>
          <w:rFonts w:ascii="Book Antiqua" w:eastAsia="Book Antiqua" w:hAnsi="Book Antiqua" w:cs="Book Antiqua"/>
          <w:color w:val="000000"/>
          <w:vertAlign w:val="superscript"/>
        </w:rPr>
        <w:t>[103]</w:t>
      </w:r>
      <w:r w:rsidRPr="00BA6ACF">
        <w:rPr>
          <w:rFonts w:ascii="Book Antiqua" w:eastAsia="Book Antiqua" w:hAnsi="Book Antiqua" w:cs="Book Antiqua"/>
          <w:color w:val="000000"/>
        </w:rPr>
        <w:t>, while other studies have reported no or positive effects of IL-6 on adipogenic ability of human BM-MSCs, AT-MSCs, and SHEDs</w:t>
      </w:r>
      <w:r w:rsidRPr="00BA6ACF">
        <w:rPr>
          <w:rFonts w:ascii="Book Antiqua" w:eastAsia="Book Antiqua" w:hAnsi="Book Antiqua" w:cs="Book Antiqua"/>
          <w:color w:val="000000"/>
          <w:vertAlign w:val="superscript"/>
        </w:rPr>
        <w:t>[104,109,110]</w:t>
      </w:r>
      <w:r w:rsidRPr="00BA6ACF">
        <w:rPr>
          <w:rFonts w:ascii="Book Antiqua" w:eastAsia="Book Antiqua" w:hAnsi="Book Antiqua" w:cs="Book Antiqua"/>
          <w:color w:val="000000"/>
        </w:rPr>
        <w:t>.</w:t>
      </w:r>
    </w:p>
    <w:p w14:paraId="2FE91F6D"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Even less is known about the immunomodulatory potential of IL-6-preconditioned MSCs. In this context, few studies have analyzed IL-6 effects in combination with other pro-inflammatory cytokines. Namely, altered immunological status has been reported for AT-MSCs primed with a combination of IFN-γ, TNF-α, and IL-6 (Table 1), as shown by the upregulated expression of HLA class I and class II, as well as CD40</w:t>
      </w:r>
      <w:r w:rsidRPr="00BA6ACF">
        <w:rPr>
          <w:rFonts w:ascii="Book Antiqua" w:eastAsia="Book Antiqua" w:hAnsi="Book Antiqua" w:cs="Book Antiqua"/>
          <w:color w:val="000000"/>
          <w:vertAlign w:val="superscript"/>
        </w:rPr>
        <w:t>[111]</w:t>
      </w:r>
      <w:r w:rsidRPr="00BA6ACF">
        <w:rPr>
          <w:rFonts w:ascii="Book Antiqua" w:eastAsia="Book Antiqua" w:hAnsi="Book Antiqua" w:cs="Book Antiqua"/>
          <w:color w:val="000000"/>
        </w:rPr>
        <w:t xml:space="preserve">, indicating a potentially more immunogenic phenotype. In addition, although the same priming conditions have no effect on AT-MSCs differentiation capacity, they enhance their immunosuppressive activity mainly through increased IDO expression. Another </w:t>
      </w:r>
      <w:r w:rsidRPr="00BA6ACF">
        <w:rPr>
          <w:rFonts w:ascii="Book Antiqua" w:eastAsia="Book Antiqua" w:hAnsi="Book Antiqua" w:cs="Book Antiqua"/>
          <w:color w:val="000000"/>
        </w:rPr>
        <w:lastRenderedPageBreak/>
        <w:t>study demonstrated that human AT-MSCs and BM-MSCs primed with another combination of pro-inflammatory cytokines, IL-1, IL-6, and IL-23, exerted increased differentiation potential towards osteogenic and adipogenic lineages, while their morphology, immunophenotype (except upregulated CD45), and costimulatory molecule expression were similar to non-primed cells. Also, primed MSCs showed increased TGF-β and decreased IL-4 production, while their suppressive effect on T-cell proliferation was comparable to controls</w:t>
      </w:r>
      <w:r w:rsidRPr="00BA6ACF">
        <w:rPr>
          <w:rFonts w:ascii="Book Antiqua" w:eastAsia="Book Antiqua" w:hAnsi="Book Antiqua" w:cs="Book Antiqua"/>
          <w:color w:val="000000"/>
          <w:vertAlign w:val="superscript"/>
        </w:rPr>
        <w:t>[112]</w:t>
      </w:r>
      <w:r w:rsidRPr="00BA6ACF">
        <w:rPr>
          <w:rFonts w:ascii="Book Antiqua" w:eastAsia="Book Antiqua" w:hAnsi="Book Antiqua" w:cs="Book Antiqua"/>
          <w:color w:val="000000"/>
        </w:rPr>
        <w:t xml:space="preserve"> Although these findings suggest that priming with IL-6 might promote the therapeutic efficacy of MSCs in the treatment of various inflammatory and autoimmune disorders, no study investigating the </w:t>
      </w:r>
      <w:r w:rsidRPr="00BA6ACF">
        <w:rPr>
          <w:rFonts w:ascii="Book Antiqua" w:eastAsia="Book Antiqua" w:hAnsi="Book Antiqua" w:cs="Book Antiqua"/>
          <w:i/>
          <w:iCs/>
          <w:color w:val="000000"/>
        </w:rPr>
        <w:t>in vivo</w:t>
      </w:r>
      <w:r w:rsidRPr="00BA6ACF">
        <w:rPr>
          <w:rFonts w:ascii="Book Antiqua" w:eastAsia="Book Antiqua" w:hAnsi="Book Antiqua" w:cs="Book Antiqua"/>
          <w:color w:val="000000"/>
        </w:rPr>
        <w:t xml:space="preserve"> therapeutic potential of MSCs preconditioned with IL-6 (alone or combined with other cytokines) has been performed to date.  </w:t>
      </w:r>
    </w:p>
    <w:p w14:paraId="1D6767A6" w14:textId="77777777" w:rsidR="00A77B3E" w:rsidRPr="00BA6ACF" w:rsidRDefault="00A77B3E" w:rsidP="007260F0">
      <w:pPr>
        <w:adjustRightInd w:val="0"/>
        <w:snapToGrid w:val="0"/>
        <w:spacing w:line="360" w:lineRule="auto"/>
        <w:ind w:firstLine="240"/>
        <w:jc w:val="both"/>
        <w:rPr>
          <w:rFonts w:ascii="Book Antiqua" w:hAnsi="Book Antiqua"/>
        </w:rPr>
      </w:pPr>
    </w:p>
    <w:p w14:paraId="230016F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i/>
          <w:iCs/>
          <w:color w:val="000000"/>
        </w:rPr>
        <w:t>MSCs priming with alarmins</w:t>
      </w:r>
    </w:p>
    <w:p w14:paraId="557E868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Alarmins are constitutively expressed inside cells and exert various functions under physiological conditions. Upon tissue damage induced by pathogens or physical/chemical injuries, dying necrotic cells passively and rapidly release alarmins outside of cells to promote the immune response and support tissue repair</w:t>
      </w:r>
      <w:r w:rsidRPr="00BA6ACF">
        <w:rPr>
          <w:rFonts w:ascii="Book Antiqua" w:eastAsia="Book Antiqua" w:hAnsi="Book Antiqua" w:cs="Book Antiqua"/>
          <w:color w:val="000000"/>
          <w:vertAlign w:val="superscript"/>
        </w:rPr>
        <w:t>[4,5,6]</w:t>
      </w:r>
      <w:r w:rsidRPr="00BA6ACF">
        <w:rPr>
          <w:rFonts w:ascii="Book Antiqua" w:eastAsia="Book Antiqua" w:hAnsi="Book Antiqua" w:cs="Book Antiqua"/>
          <w:color w:val="000000"/>
        </w:rPr>
        <w:t>. In addition to these activities, alarmins are involved in many other processes, such as cellular homeostasis, wound healing, and tumor development</w:t>
      </w:r>
      <w:r w:rsidRPr="00BA6ACF">
        <w:rPr>
          <w:rFonts w:ascii="Book Antiqua" w:eastAsia="Book Antiqua" w:hAnsi="Book Antiqua" w:cs="Book Antiqua"/>
          <w:color w:val="000000"/>
          <w:vertAlign w:val="superscript"/>
        </w:rPr>
        <w:t>[6,7]</w:t>
      </w:r>
      <w:r w:rsidRPr="00BA6ACF">
        <w:rPr>
          <w:rFonts w:ascii="Book Antiqua" w:eastAsia="Book Antiqua" w:hAnsi="Book Antiqua" w:cs="Book Antiqua"/>
          <w:color w:val="000000"/>
        </w:rPr>
        <w:t>. The best-characterized alarmins, such as IL-1α, IL-33, HMGB1, S100 proteins, and Hsps, will be discussed here in the context of their effects on MSC biology and potential role in tissue repair.</w:t>
      </w:r>
    </w:p>
    <w:p w14:paraId="71FCDA96"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 xml:space="preserve">IL-1α and IL-33 are both dual-function cytokines that are localized in the nucleus under homeostatic conditions, where they function as transcription factors. Data on their extracellular effects on MSCs are very elusive. It has been demonstrated that IL-1α stimulates the expression of trophic factor G-CSF </w:t>
      </w:r>
      <w:r w:rsidRPr="00BA6ACF">
        <w:rPr>
          <w:rFonts w:ascii="Book Antiqua" w:eastAsia="Book Antiqua" w:hAnsi="Book Antiqua" w:cs="Book Antiqua"/>
          <w:i/>
          <w:iCs/>
          <w:color w:val="000000"/>
        </w:rPr>
        <w:t>via</w:t>
      </w:r>
      <w:r w:rsidRPr="00BA6ACF">
        <w:rPr>
          <w:rFonts w:ascii="Book Antiqua" w:eastAsia="Book Antiqua" w:hAnsi="Book Antiqua" w:cs="Book Antiqua"/>
          <w:color w:val="000000"/>
        </w:rPr>
        <w:t xml:space="preserve"> IL-1 receptor type 1 signaling in human BM-MSCs. In addition, the conditioned medium of IL-1α-primed BM-MSCs was shown to inhibit secretion of inflammatory and apoptotic markers in lipopolysaccharide-activated mouse microglial BV2 cells and increase secretion of the </w:t>
      </w:r>
      <w:r w:rsidRPr="00BA6ACF">
        <w:rPr>
          <w:rFonts w:ascii="Book Antiqua" w:eastAsia="Book Antiqua" w:hAnsi="Book Antiqua" w:cs="Book Antiqua"/>
          <w:color w:val="000000"/>
        </w:rPr>
        <w:lastRenderedPageBreak/>
        <w:t>anti-inflammatory IL-10 cytokine</w:t>
      </w:r>
      <w:r w:rsidRPr="00BA6ACF">
        <w:rPr>
          <w:rFonts w:ascii="Book Antiqua" w:eastAsia="Book Antiqua" w:hAnsi="Book Antiqua" w:cs="Book Antiqua"/>
          <w:color w:val="000000"/>
          <w:vertAlign w:val="superscript"/>
        </w:rPr>
        <w:t>[78]</w:t>
      </w:r>
      <w:r w:rsidRPr="00BA6ACF">
        <w:rPr>
          <w:rFonts w:ascii="Book Antiqua" w:eastAsia="Book Antiqua" w:hAnsi="Book Antiqua" w:cs="Book Antiqua"/>
          <w:color w:val="000000"/>
        </w:rPr>
        <w:t xml:space="preserve">, suggesting that MSCs priming with IL-1α favors their immunosuppressive activities (Table 1). Another recent study showed that IL-1α decreased the proliferative and adipogenic differentiation capacity of AT-MSCs, whereby adipogenesis was inhibited predominantly during the early phase of differentiation </w:t>
      </w:r>
      <w:r w:rsidRPr="00BA6ACF">
        <w:rPr>
          <w:rFonts w:ascii="Book Antiqua" w:eastAsia="Book Antiqua" w:hAnsi="Book Antiqua" w:cs="Book Antiqua"/>
          <w:i/>
          <w:iCs/>
          <w:color w:val="000000"/>
        </w:rPr>
        <w:t>via</w:t>
      </w:r>
      <w:r w:rsidRPr="00BA6ACF">
        <w:rPr>
          <w:rFonts w:ascii="Book Antiqua" w:eastAsia="Book Antiqua" w:hAnsi="Book Antiqua" w:cs="Book Antiqua"/>
          <w:color w:val="000000"/>
        </w:rPr>
        <w:t xml:space="preserve"> NF-κB and ERK1/2 pathways with subsequent stimulation of pro-inflammatory cytokines, such as IL-8, IL-6, CCL2, and IL-1β, during adipogenic differentiation of AT-MSCs</w:t>
      </w:r>
      <w:r w:rsidRPr="00BA6ACF">
        <w:rPr>
          <w:rFonts w:ascii="Book Antiqua" w:eastAsia="Book Antiqua" w:hAnsi="Book Antiqua" w:cs="Book Antiqua"/>
          <w:color w:val="000000"/>
          <w:vertAlign w:val="superscript"/>
        </w:rPr>
        <w:t>[113]</w:t>
      </w:r>
      <w:r w:rsidRPr="00BA6ACF">
        <w:rPr>
          <w:rFonts w:ascii="Book Antiqua" w:eastAsia="Book Antiqua" w:hAnsi="Book Antiqua" w:cs="Book Antiqua"/>
          <w:color w:val="000000"/>
        </w:rPr>
        <w:t xml:space="preserve"> (Figure 1). Since the effects of IL-1α are conspicuous in the beginning of the differentiation process, it is important to further examine IL-1α priming in the context of MSC differentiation. It was recently demonstrated that without changing MSC marker expression</w:t>
      </w:r>
      <w:r w:rsidRPr="00BA6ACF">
        <w:rPr>
          <w:rFonts w:ascii="Book Antiqua" w:eastAsia="Book Antiqua" w:hAnsi="Book Antiqua" w:cs="Book Antiqua"/>
          <w:color w:val="000000"/>
          <w:vertAlign w:val="superscript"/>
        </w:rPr>
        <w:t>[114,115]</w:t>
      </w:r>
      <w:r w:rsidRPr="00BA6ACF">
        <w:rPr>
          <w:rFonts w:ascii="Book Antiqua" w:eastAsia="Book Antiqua" w:hAnsi="Book Antiqua" w:cs="Book Antiqua"/>
          <w:color w:val="000000"/>
        </w:rPr>
        <w:t>, IL-33 treatment has the potential to modify the regenerative</w:t>
      </w:r>
      <w:r w:rsidRPr="00BA6ACF">
        <w:rPr>
          <w:rFonts w:ascii="Book Antiqua" w:eastAsia="Book Antiqua" w:hAnsi="Book Antiqua" w:cs="Book Antiqua"/>
          <w:color w:val="000000"/>
          <w:vertAlign w:val="superscript"/>
        </w:rPr>
        <w:t>[114]</w:t>
      </w:r>
      <w:r w:rsidRPr="00BA6ACF">
        <w:rPr>
          <w:rFonts w:ascii="Book Antiqua" w:eastAsia="Book Antiqua" w:hAnsi="Book Antiqua" w:cs="Book Antiqua"/>
          <w:color w:val="000000"/>
        </w:rPr>
        <w:t xml:space="preserve"> and immunomodulatory characteristics of MSCs</w:t>
      </w:r>
      <w:r w:rsidRPr="00BA6ACF">
        <w:rPr>
          <w:rFonts w:ascii="Book Antiqua" w:eastAsia="Book Antiqua" w:hAnsi="Book Antiqua" w:cs="Book Antiqua"/>
          <w:color w:val="000000"/>
          <w:vertAlign w:val="superscript"/>
        </w:rPr>
        <w:t>[115]</w:t>
      </w:r>
      <w:r w:rsidRPr="00BA6ACF">
        <w:rPr>
          <w:rFonts w:ascii="Book Antiqua" w:eastAsia="Book Antiqua" w:hAnsi="Book Antiqua" w:cs="Book Antiqua"/>
          <w:color w:val="000000"/>
        </w:rPr>
        <w:t>. Our recent study demonstrated that IL-33 treatment reduced periodontal ligament-MSCs and dental pulp MSCs osteogenesis but supported their proliferation, clonogenicity, and stemness (Figure 1). Both MSC types primed with IL-33 maintained their differentiation capacity</w:t>
      </w:r>
      <w:r w:rsidRPr="00BA6ACF">
        <w:rPr>
          <w:rFonts w:ascii="Book Antiqua" w:eastAsia="Book Antiqua" w:hAnsi="Book Antiqua" w:cs="Book Antiqua"/>
          <w:i/>
          <w:iCs/>
          <w:color w:val="000000"/>
        </w:rPr>
        <w:t xml:space="preserve">, </w:t>
      </w:r>
      <w:r w:rsidRPr="00BA6ACF">
        <w:rPr>
          <w:rFonts w:ascii="Book Antiqua" w:eastAsia="Book Antiqua" w:hAnsi="Book Antiqua" w:cs="Book Antiqua"/>
          <w:color w:val="000000"/>
        </w:rPr>
        <w:t>while increased alkaline phosphatase activity was also observed, indicating that IL-33 may contribute to preservation of the dental stem cell pool</w:t>
      </w:r>
      <w:r w:rsidRPr="00BA6ACF">
        <w:rPr>
          <w:rFonts w:ascii="Book Antiqua" w:eastAsia="Book Antiqua" w:hAnsi="Book Antiqua" w:cs="Book Antiqua"/>
          <w:color w:val="000000"/>
          <w:vertAlign w:val="superscript"/>
        </w:rPr>
        <w:t>[114]</w:t>
      </w:r>
      <w:r w:rsidRPr="00BA6ACF">
        <w:rPr>
          <w:rFonts w:ascii="Book Antiqua" w:eastAsia="Book Antiqua" w:hAnsi="Book Antiqua" w:cs="Book Antiqua"/>
          <w:color w:val="000000"/>
        </w:rPr>
        <w:t xml:space="preserve">. Research conducted by Terraza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[115]</w:t>
      </w:r>
      <w:r w:rsidRPr="00BA6ACF">
        <w:rPr>
          <w:rFonts w:ascii="Book Antiqua" w:eastAsia="Book Antiqua" w:hAnsi="Book Antiqua" w:cs="Book Antiqua"/>
          <w:color w:val="000000"/>
        </w:rPr>
        <w:t xml:space="preserve"> demonstrated that IL-33 with IFN-γ stimulated the high expression of IL-6, TGF-β, and iNOS in mouse BM-MSCs. Despite the scarce data on IL-1α and IL-33 priming of MSCs, overall data indicate that preconditioning with these molecules should be additionally explored as an MSC priming strategy.</w:t>
      </w:r>
    </w:p>
    <w:p w14:paraId="0C5AA701"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Another nuclear alarmin is HMGB1, a non-histone DNA-binding protein involved in maintenance of the chromatin structure and gene expression regulation</w:t>
      </w:r>
      <w:r w:rsidRPr="00BA6ACF">
        <w:rPr>
          <w:rFonts w:ascii="Book Antiqua" w:eastAsia="Book Antiqua" w:hAnsi="Book Antiqua" w:cs="Book Antiqua"/>
          <w:color w:val="000000"/>
          <w:vertAlign w:val="superscript"/>
        </w:rPr>
        <w:t>[116]</w:t>
      </w:r>
      <w:r w:rsidRPr="00BA6ACF">
        <w:rPr>
          <w:rFonts w:ascii="Book Antiqua" w:eastAsia="Book Antiqua" w:hAnsi="Book Antiqua" w:cs="Book Antiqua"/>
          <w:color w:val="000000"/>
        </w:rPr>
        <w:t>. The knowledge on effects of released HMGB1 on MSCs functions is still contradictory, as its stimulatory</w:t>
      </w:r>
      <w:r w:rsidRPr="00BA6ACF">
        <w:rPr>
          <w:rFonts w:ascii="Book Antiqua" w:eastAsia="Book Antiqua" w:hAnsi="Book Antiqua" w:cs="Book Antiqua"/>
          <w:color w:val="000000"/>
          <w:vertAlign w:val="superscript"/>
        </w:rPr>
        <w:t>[117]</w:t>
      </w:r>
      <w:r w:rsidRPr="00BA6ACF">
        <w:rPr>
          <w:rFonts w:ascii="Book Antiqua" w:eastAsia="Book Antiqua" w:hAnsi="Book Antiqua" w:cs="Book Antiqua"/>
          <w:color w:val="000000"/>
        </w:rPr>
        <w:t xml:space="preserve"> as well as inhibitory</w:t>
      </w:r>
      <w:r w:rsidRPr="00BA6ACF">
        <w:rPr>
          <w:rFonts w:ascii="Book Antiqua" w:eastAsia="Book Antiqua" w:hAnsi="Book Antiqua" w:cs="Book Antiqua"/>
          <w:color w:val="000000"/>
          <w:vertAlign w:val="superscript"/>
        </w:rPr>
        <w:t xml:space="preserve">[118,119] </w:t>
      </w:r>
      <w:r w:rsidRPr="00BA6ACF">
        <w:rPr>
          <w:rFonts w:ascii="Book Antiqua" w:eastAsia="Book Antiqua" w:hAnsi="Book Antiqua" w:cs="Book Antiqua"/>
          <w:color w:val="000000"/>
        </w:rPr>
        <w:t>actions on MSCs proliferation have been reported. The promoted migratory capacity of MSCs primed with HMGB1 has also been demonstrated</w:t>
      </w:r>
      <w:r w:rsidRPr="00BA6ACF">
        <w:rPr>
          <w:rFonts w:ascii="Book Antiqua" w:eastAsia="Book Antiqua" w:hAnsi="Book Antiqua" w:cs="Book Antiqua"/>
          <w:color w:val="000000"/>
          <w:vertAlign w:val="superscript"/>
        </w:rPr>
        <w:t>[117-119]</w:t>
      </w:r>
      <w:r w:rsidRPr="00BA6ACF">
        <w:rPr>
          <w:rFonts w:ascii="Book Antiqua" w:eastAsia="Book Antiqua" w:hAnsi="Book Antiqua" w:cs="Book Antiqua"/>
          <w:color w:val="000000"/>
        </w:rPr>
        <w:t>, indicating its beneficial effects for MSC functional adjustment in therapeutic use. In the presence of HMGB1, the osteogenic differentiation of MSCs is also induced</w:t>
      </w:r>
      <w:r w:rsidRPr="00BA6ACF">
        <w:rPr>
          <w:rFonts w:ascii="Book Antiqua" w:eastAsia="Book Antiqua" w:hAnsi="Book Antiqua" w:cs="Book Antiqua"/>
          <w:color w:val="000000"/>
          <w:vertAlign w:val="superscript"/>
        </w:rPr>
        <w:t xml:space="preserve">[118,120,121] </w:t>
      </w:r>
      <w:r w:rsidRPr="00BA6ACF">
        <w:rPr>
          <w:rFonts w:ascii="Book Antiqua" w:eastAsia="Book Antiqua" w:hAnsi="Book Antiqua" w:cs="Book Antiqua"/>
          <w:color w:val="000000"/>
        </w:rPr>
        <w:t xml:space="preserve">(Figure 1). Moreover, HMGB1 stimulates the secretion of various </w:t>
      </w:r>
      <w:r w:rsidRPr="00BA6ACF">
        <w:rPr>
          <w:rFonts w:ascii="Book Antiqua" w:eastAsia="Book Antiqua" w:hAnsi="Book Antiqua" w:cs="Book Antiqua"/>
          <w:color w:val="000000"/>
        </w:rPr>
        <w:lastRenderedPageBreak/>
        <w:t>cytokines by MSCs including macrophage CSF, eotaxin-3, epidermal growth factor receptor, VEGF, angiopoetin-2, CCL-5, urokinase plasminogen activator receptor, and macrophage migration inhibitory factor, which may be associated with the induced osteogenic differentiation under HMGB1 influence</w:t>
      </w:r>
      <w:r w:rsidRPr="00BA6ACF">
        <w:rPr>
          <w:rFonts w:ascii="Book Antiqua" w:eastAsia="Book Antiqua" w:hAnsi="Book Antiqua" w:cs="Book Antiqua"/>
          <w:color w:val="000000"/>
          <w:vertAlign w:val="superscript"/>
        </w:rPr>
        <w:t>[121]</w:t>
      </w:r>
      <w:r w:rsidRPr="00BA6ACF">
        <w:rPr>
          <w:rFonts w:ascii="Book Antiqua" w:eastAsia="Book Antiqua" w:hAnsi="Book Antiqua" w:cs="Book Antiqua"/>
          <w:color w:val="000000"/>
        </w:rPr>
        <w:t>. Furthermore, in rat BM-MSCs, along with promoted MSC migration, HMGB1 stimulates VEGF-induced differentiation to endothelial cells but decreases their proliferation and platelet-derived growth factor-induced differentiation to smooth muscle cells</w:t>
      </w:r>
      <w:r w:rsidRPr="00BA6ACF">
        <w:rPr>
          <w:rFonts w:ascii="Book Antiqua" w:eastAsia="Book Antiqua" w:hAnsi="Book Antiqua" w:cs="Book Antiqua"/>
          <w:color w:val="000000"/>
          <w:vertAlign w:val="superscript"/>
        </w:rPr>
        <w:t>[119]</w:t>
      </w:r>
      <w:r w:rsidRPr="00BA6ACF">
        <w:rPr>
          <w:rFonts w:ascii="Book Antiqua" w:eastAsia="Book Antiqua" w:hAnsi="Book Antiqua" w:cs="Book Antiqua"/>
          <w:color w:val="000000"/>
        </w:rPr>
        <w:t xml:space="preserve">. These findings indicate that HMGB1 priming could be a significant factor in tissue engineering for MSC-guided differentiation. Regarding immunomodulatory functions, it has been reported that HMGB1 priming has no effect on BM-MSCs ability to inhibit the proliferation of concanavalin A-stimulated lymphocytes </w:t>
      </w:r>
      <w:r w:rsidRPr="00BA6ACF">
        <w:rPr>
          <w:rFonts w:ascii="Book Antiqua" w:eastAsia="Book Antiqua" w:hAnsi="Book Antiqua" w:cs="Book Antiqua"/>
          <w:i/>
          <w:iCs/>
          <w:color w:val="000000"/>
        </w:rPr>
        <w:t>in vitro</w:t>
      </w:r>
      <w:r w:rsidRPr="00BA6ACF">
        <w:rPr>
          <w:rFonts w:ascii="Book Antiqua" w:eastAsia="Book Antiqua" w:hAnsi="Book Antiqua" w:cs="Book Antiqua"/>
          <w:color w:val="000000"/>
          <w:vertAlign w:val="superscript"/>
        </w:rPr>
        <w:t>[118]</w:t>
      </w:r>
      <w:r w:rsidRPr="00BA6ACF">
        <w:rPr>
          <w:rFonts w:ascii="Book Antiqua" w:eastAsia="Book Antiqua" w:hAnsi="Book Antiqua" w:cs="Book Antiqua"/>
          <w:color w:val="000000"/>
        </w:rPr>
        <w:t xml:space="preserve"> (Table 1), but additional research is needed to confirm these functions.</w:t>
      </w:r>
    </w:p>
    <w:p w14:paraId="0CC5843E" w14:textId="77777777" w:rsidR="00A77B3E" w:rsidRPr="00BA6ACF" w:rsidRDefault="003C0C04" w:rsidP="007260F0">
      <w:pPr>
        <w:adjustRightInd w:val="0"/>
        <w:snapToGrid w:val="0"/>
        <w:spacing w:line="360" w:lineRule="auto"/>
        <w:ind w:firstLineChars="100" w:firstLine="240"/>
        <w:jc w:val="both"/>
        <w:rPr>
          <w:rFonts w:ascii="Book Antiqua" w:hAnsi="Book Antiqua"/>
        </w:rPr>
      </w:pPr>
      <w:r w:rsidRPr="00BA6ACF">
        <w:rPr>
          <w:rFonts w:ascii="Book Antiqua" w:eastAsia="Book Antiqua" w:hAnsi="Book Antiqua" w:cs="Book Antiqua"/>
          <w:color w:val="000000"/>
        </w:rPr>
        <w:t>Unlike IL-1α, IL-33 and HMGB1 alarmins, S100 proteins, and Hsps are located in the cytoplasm during homeostasis</w:t>
      </w:r>
      <w:r w:rsidRPr="00BA6ACF">
        <w:rPr>
          <w:rFonts w:ascii="Book Antiqua" w:eastAsia="Book Antiqua" w:hAnsi="Book Antiqua" w:cs="Book Antiqua"/>
          <w:color w:val="000000"/>
          <w:vertAlign w:val="superscript"/>
        </w:rPr>
        <w:t>[4]</w:t>
      </w:r>
      <w:r w:rsidRPr="00BA6ACF">
        <w:rPr>
          <w:rFonts w:ascii="Book Antiqua" w:eastAsia="Book Antiqua" w:hAnsi="Book Antiqua" w:cs="Book Antiqua"/>
          <w:color w:val="000000"/>
        </w:rPr>
        <w:t>. The effect of extracellular S100A6 has been investigated on MSCs derived from WJ of the UC, and the results have shown the ability of this molecule to increase cellular adhesion and reduce their proliferation capacity by interacting with integrin β1</w:t>
      </w:r>
      <w:r w:rsidRPr="00BA6ACF">
        <w:rPr>
          <w:rFonts w:ascii="Book Antiqua" w:eastAsia="Book Antiqua" w:hAnsi="Book Antiqua" w:cs="Book Antiqua"/>
          <w:color w:val="000000"/>
          <w:vertAlign w:val="superscript"/>
        </w:rPr>
        <w:t>[122]</w:t>
      </w:r>
      <w:r w:rsidRPr="00BA6ACF">
        <w:rPr>
          <w:rFonts w:ascii="Book Antiqua" w:eastAsia="Book Antiqua" w:hAnsi="Book Antiqua" w:cs="Book Antiqua"/>
          <w:color w:val="000000"/>
        </w:rPr>
        <w:t xml:space="preserve"> (Figure 1). Regardless, pretreatment of human AT-MSCs with S100A8/A9 and their subsequent application to wounds induced in C57BL/6 mice significantly improve wound healing due to transcriptome expression profile changes related to the enhanced protective MSCs phenotype</w:t>
      </w:r>
      <w:r w:rsidRPr="00BA6ACF">
        <w:rPr>
          <w:rFonts w:ascii="Book Antiqua" w:eastAsia="Book Antiqua" w:hAnsi="Book Antiqua" w:cs="Book Antiqua"/>
          <w:color w:val="000000"/>
          <w:vertAlign w:val="superscript"/>
        </w:rPr>
        <w:t>[123]</w:t>
      </w:r>
      <w:r w:rsidRPr="00BA6ACF">
        <w:rPr>
          <w:rFonts w:ascii="Book Antiqua" w:eastAsia="Book Antiqua" w:hAnsi="Book Antiqua" w:cs="Book Antiqua"/>
          <w:color w:val="000000"/>
        </w:rPr>
        <w:t>. Regarding the Hsp protein family, it has been demonstrated that Hsp90 increases viability and protects rat BM-MSCs against apoptosis, simultaneously increasing the paracrine effect of MSCs</w:t>
      </w:r>
      <w:r w:rsidRPr="00BA6ACF">
        <w:rPr>
          <w:rFonts w:ascii="Book Antiqua" w:eastAsia="Book Antiqua" w:hAnsi="Book Antiqua" w:cs="Book Antiqua"/>
          <w:color w:val="000000"/>
          <w:vertAlign w:val="superscript"/>
        </w:rPr>
        <w:t>[124]</w:t>
      </w:r>
      <w:r w:rsidRPr="00BA6ACF">
        <w:rPr>
          <w:rFonts w:ascii="Book Antiqua" w:eastAsia="Book Antiqua" w:hAnsi="Book Antiqua" w:cs="Book Antiqua"/>
          <w:color w:val="000000"/>
        </w:rPr>
        <w:t>. Another study showed that Hsp90α promotes rat MSCs migration, possibly mediated by the increased secretion of MMPs, SDF-1/CXCR4, and vascular cell adhesion protein 1</w:t>
      </w:r>
      <w:r w:rsidRPr="00BA6ACF">
        <w:rPr>
          <w:rFonts w:ascii="Book Antiqua" w:eastAsia="Book Antiqua" w:hAnsi="Book Antiqua" w:cs="Book Antiqua"/>
          <w:color w:val="000000"/>
          <w:vertAlign w:val="superscript"/>
        </w:rPr>
        <w:t>[125]</w:t>
      </w:r>
      <w:r w:rsidRPr="00BA6ACF">
        <w:rPr>
          <w:rFonts w:ascii="Book Antiqua" w:eastAsia="Book Antiqua" w:hAnsi="Book Antiqua" w:cs="Book Antiqua"/>
          <w:color w:val="000000"/>
        </w:rPr>
        <w:t xml:space="preserve"> (Figure 1). Interestingly, the dual effects of Hsp70 have been demonstrated depending on the age of the MSCs. Namely, in a study by Andreeva </w:t>
      </w:r>
      <w:r w:rsidRPr="00BA6ACF">
        <w:rPr>
          <w:rFonts w:ascii="Book Antiqua" w:eastAsia="Book Antiqua" w:hAnsi="Book Antiqua" w:cs="Book Antiqua"/>
          <w:i/>
          <w:iCs/>
          <w:color w:val="000000"/>
        </w:rPr>
        <w:t>et al</w:t>
      </w:r>
      <w:r w:rsidRPr="00BA6ACF">
        <w:rPr>
          <w:rFonts w:ascii="Book Antiqua" w:eastAsia="Book Antiqua" w:hAnsi="Book Antiqua" w:cs="Book Antiqua"/>
          <w:color w:val="000000"/>
          <w:vertAlign w:val="superscript"/>
        </w:rPr>
        <w:t>[126]</w:t>
      </w:r>
      <w:r w:rsidRPr="00BA6ACF">
        <w:rPr>
          <w:rFonts w:ascii="Book Antiqua" w:eastAsia="Book Antiqua" w:hAnsi="Book Antiqua" w:cs="Book Antiqua"/>
          <w:color w:val="000000"/>
        </w:rPr>
        <w:t xml:space="preserve">, Hsp70 increased the growth of aged but not young mouse AT-MSCs (Figure 1), suggesting the potential beneficial effects of Hsp70 priming. Moreover, the </w:t>
      </w:r>
      <w:r w:rsidRPr="00BA6ACF">
        <w:rPr>
          <w:rFonts w:ascii="Book Antiqua" w:eastAsia="Book Antiqua" w:hAnsi="Book Antiqua" w:cs="Book Antiqua"/>
          <w:color w:val="000000"/>
        </w:rPr>
        <w:lastRenderedPageBreak/>
        <w:t>important role of Hsp70 in the osteogenesis of human MSCs is demonstrated by increased alkaline phosphatase activity and MSC mineralization</w:t>
      </w:r>
      <w:r w:rsidRPr="00BA6ACF">
        <w:rPr>
          <w:rFonts w:ascii="Book Antiqua" w:eastAsia="Book Antiqua" w:hAnsi="Book Antiqua" w:cs="Book Antiqua"/>
          <w:color w:val="000000"/>
          <w:vertAlign w:val="superscript"/>
        </w:rPr>
        <w:t>[127,128]</w:t>
      </w:r>
      <w:r w:rsidRPr="00BA6ACF">
        <w:rPr>
          <w:rFonts w:ascii="Book Antiqua" w:eastAsia="Book Antiqua" w:hAnsi="Book Antiqua" w:cs="Book Antiqua"/>
          <w:color w:val="000000"/>
        </w:rPr>
        <w:t>.</w:t>
      </w:r>
    </w:p>
    <w:p w14:paraId="106EFED1" w14:textId="77777777" w:rsidR="00A77B3E" w:rsidRPr="00BA6ACF" w:rsidRDefault="00A77B3E" w:rsidP="007260F0">
      <w:pPr>
        <w:adjustRightInd w:val="0"/>
        <w:snapToGrid w:val="0"/>
        <w:spacing w:line="360" w:lineRule="auto"/>
        <w:jc w:val="both"/>
        <w:rPr>
          <w:rFonts w:ascii="Book Antiqua" w:hAnsi="Book Antiqua"/>
        </w:rPr>
      </w:pPr>
    </w:p>
    <w:p w14:paraId="0D32458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aps/>
          <w:color w:val="000000"/>
          <w:u w:val="single"/>
        </w:rPr>
        <w:t>CONCLUSION</w:t>
      </w:r>
    </w:p>
    <w:p w14:paraId="5CA34A2D"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As MSCs are crucial cellular components for tissue repair, it is essential to understand how the inflammatory microenvironment modulates the functionality of these cells. The beneficial effects of MSCs have been demonstrated, but due to the large heterogeneity detected within MSC populations, the success of their application in clinical trials has been limited. Moreover, it is believed that the inflammatory niche is indispensable for triggering MSC activity in an appropriate manner. Therefore, preconditioning methods have been applied to enhance and/or adjust MSCs functionality, including their regenerative and immunomodulatory status. To date, studies of the MSCs response to soluble factors featuring the inflammatory niche have been mostly focused on the effects provoked during their presence, pointing to the necessity of further exploring the durability of these changes. In this work, we collected data on the therapeutic potential of MSCs treated with pro-inflammatory cytokines (TNF-α, IFN-γ, IL-1β, IL-17 and IL-6) and alarmins (IL-1α, IL-33, HMGB1, S100 proteins, and Hsps) that are predominantly released at the site of the damaged tissue. </w:t>
      </w:r>
    </w:p>
    <w:p w14:paraId="7F618845" w14:textId="77777777" w:rsidR="00A77B3E" w:rsidRPr="00BA6ACF" w:rsidRDefault="003C0C04" w:rsidP="007260F0">
      <w:pPr>
        <w:adjustRightInd w:val="0"/>
        <w:snapToGrid w:val="0"/>
        <w:spacing w:line="360" w:lineRule="auto"/>
        <w:ind w:firstLine="240"/>
        <w:jc w:val="both"/>
        <w:rPr>
          <w:rFonts w:ascii="Book Antiqua" w:hAnsi="Book Antiqua"/>
        </w:rPr>
      </w:pPr>
      <w:r w:rsidRPr="00BA6ACF">
        <w:rPr>
          <w:rFonts w:ascii="Book Antiqua" w:eastAsia="Book Antiqua" w:hAnsi="Book Antiqua" w:cs="Book Antiqua"/>
          <w:color w:val="000000"/>
        </w:rPr>
        <w:t xml:space="preserve">The reviewed data strongly indicate that all aforementioned factors possess the ability to modify the regenerative and immunomodulatory activities of MSCs, and the effects of these factors depend on the MSC tissue and species origin, as well as on donor age and cellular aging (senescence) status. In addition, different effects have been reported depending on the priming factor concentration and their selected combinations, as well as on the disease model, indicating that all of these aspects together should be carefully considered in relation to specific application requirements. Importantly, the effects of primed MSCs have been demonstrated in various animal wound and disease models, suggesting the validity of priming approaches for MSC therapy. Indeed, priming MSCs with certain inflammatory factors, such as TNF-α, IL-β, IFN-γ or S100A8/A9, contribute to the suppression of graft </w:t>
      </w:r>
      <w:r w:rsidRPr="00BA6ACF">
        <w:rPr>
          <w:rFonts w:ascii="Book Antiqua" w:eastAsia="Book Antiqua" w:hAnsi="Book Antiqua" w:cs="Book Antiqua"/>
          <w:i/>
          <w:iCs/>
          <w:color w:val="000000"/>
        </w:rPr>
        <w:t>versus</w:t>
      </w:r>
      <w:r w:rsidRPr="00BA6ACF">
        <w:rPr>
          <w:rFonts w:ascii="Book Antiqua" w:eastAsia="Book Antiqua" w:hAnsi="Book Antiqua" w:cs="Book Antiqua"/>
          <w:color w:val="000000"/>
        </w:rPr>
        <w:t xml:space="preserve"> host disease and </w:t>
      </w:r>
      <w:r w:rsidRPr="00BA6ACF">
        <w:rPr>
          <w:rFonts w:ascii="Book Antiqua" w:eastAsia="Book Antiqua" w:hAnsi="Book Antiqua" w:cs="Book Antiqua"/>
          <w:color w:val="000000"/>
        </w:rPr>
        <w:lastRenderedPageBreak/>
        <w:t>colitis, as well as to improved corneal and skin graft survival, mediated by their dominant immunosuppressive activity (Figure 2). Together, the data summarized in this paper provide a significant starting point for future research on priming MSCs and set future directions for establishing standardized methods for the application of preconditioned MSCs in cell therapy.</w:t>
      </w:r>
    </w:p>
    <w:p w14:paraId="5BB5BCCB" w14:textId="77777777" w:rsidR="00A77B3E" w:rsidRPr="00BA6ACF" w:rsidRDefault="00A77B3E" w:rsidP="007260F0">
      <w:pPr>
        <w:adjustRightInd w:val="0"/>
        <w:snapToGrid w:val="0"/>
        <w:spacing w:line="360" w:lineRule="auto"/>
        <w:ind w:firstLine="240"/>
        <w:jc w:val="both"/>
        <w:rPr>
          <w:rFonts w:ascii="Book Antiqua" w:hAnsi="Book Antiqua"/>
        </w:rPr>
      </w:pPr>
    </w:p>
    <w:p w14:paraId="6618B02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REFERENCES</w:t>
      </w:r>
    </w:p>
    <w:p w14:paraId="5C2AC46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 </w:t>
      </w:r>
      <w:r w:rsidRPr="00BA6ACF">
        <w:rPr>
          <w:rFonts w:ascii="Book Antiqua" w:eastAsia="Book Antiqua" w:hAnsi="Book Antiqua" w:cs="Book Antiqua"/>
          <w:b/>
          <w:bCs/>
          <w:color w:val="000000"/>
        </w:rPr>
        <w:t>Hall SW</w:t>
      </w:r>
      <w:r w:rsidRPr="00BA6ACF">
        <w:rPr>
          <w:rFonts w:ascii="Book Antiqua" w:eastAsia="Book Antiqua" w:hAnsi="Book Antiqua" w:cs="Book Antiqua"/>
          <w:color w:val="000000"/>
        </w:rPr>
        <w:t xml:space="preserve">, Cooke A. Autoimmunity and inflammation: murine models and translational studies. </w:t>
      </w:r>
      <w:r w:rsidRPr="00BA6ACF">
        <w:rPr>
          <w:rFonts w:ascii="Book Antiqua" w:eastAsia="Book Antiqua" w:hAnsi="Book Antiqua" w:cs="Book Antiqua"/>
          <w:i/>
          <w:iCs/>
          <w:color w:val="000000"/>
        </w:rPr>
        <w:t>Mamm Genome</w:t>
      </w:r>
      <w:r w:rsidRPr="00BA6ACF">
        <w:rPr>
          <w:rFonts w:ascii="Book Antiqua" w:eastAsia="Book Antiqua" w:hAnsi="Book Antiqua" w:cs="Book Antiqua"/>
          <w:color w:val="000000"/>
        </w:rPr>
        <w:t xml:space="preserve"> 2011; </w:t>
      </w:r>
      <w:r w:rsidRPr="00BA6ACF">
        <w:rPr>
          <w:rFonts w:ascii="Book Antiqua" w:eastAsia="Book Antiqua" w:hAnsi="Book Antiqua" w:cs="Book Antiqua"/>
          <w:b/>
          <w:bCs/>
          <w:color w:val="000000"/>
        </w:rPr>
        <w:t>22</w:t>
      </w:r>
      <w:r w:rsidRPr="00BA6ACF">
        <w:rPr>
          <w:rFonts w:ascii="Book Antiqua" w:eastAsia="Book Antiqua" w:hAnsi="Book Antiqua" w:cs="Book Antiqua"/>
          <w:color w:val="000000"/>
        </w:rPr>
        <w:t>: 377-389 [PMID: 21688192 DOI: 10.1007/s00335-011-9338-2]</w:t>
      </w:r>
    </w:p>
    <w:p w14:paraId="6FBD5D0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 </w:t>
      </w:r>
      <w:r w:rsidRPr="00BA6ACF">
        <w:rPr>
          <w:rFonts w:ascii="Book Antiqua" w:eastAsia="Book Antiqua" w:hAnsi="Book Antiqua" w:cs="Book Antiqua"/>
          <w:b/>
          <w:bCs/>
          <w:color w:val="000000"/>
        </w:rPr>
        <w:t>Reinke JM</w:t>
      </w:r>
      <w:r w:rsidRPr="00BA6ACF">
        <w:rPr>
          <w:rFonts w:ascii="Book Antiqua" w:eastAsia="Book Antiqua" w:hAnsi="Book Antiqua" w:cs="Book Antiqua"/>
          <w:color w:val="000000"/>
        </w:rPr>
        <w:t xml:space="preserve">, Sorg H. Wound repair and regeneration. </w:t>
      </w:r>
      <w:r w:rsidRPr="00BA6ACF">
        <w:rPr>
          <w:rFonts w:ascii="Book Antiqua" w:eastAsia="Book Antiqua" w:hAnsi="Book Antiqua" w:cs="Book Antiqua"/>
          <w:i/>
          <w:iCs/>
          <w:color w:val="000000"/>
        </w:rPr>
        <w:t>Eur Surg Res</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49</w:t>
      </w:r>
      <w:r w:rsidRPr="00BA6ACF">
        <w:rPr>
          <w:rFonts w:ascii="Book Antiqua" w:eastAsia="Book Antiqua" w:hAnsi="Book Antiqua" w:cs="Book Antiqua"/>
          <w:color w:val="000000"/>
        </w:rPr>
        <w:t>: 35-43 [PMID: 22797712 DOI: 10.1159/000339613]</w:t>
      </w:r>
    </w:p>
    <w:p w14:paraId="4EA7164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 </w:t>
      </w:r>
      <w:r w:rsidRPr="00BA6ACF">
        <w:rPr>
          <w:rFonts w:ascii="Book Antiqua" w:eastAsia="Book Antiqua" w:hAnsi="Book Antiqua" w:cs="Book Antiqua"/>
          <w:b/>
          <w:bCs/>
          <w:color w:val="000000"/>
        </w:rPr>
        <w:t>Julier Z</w:t>
      </w:r>
      <w:r w:rsidRPr="00BA6ACF">
        <w:rPr>
          <w:rFonts w:ascii="Book Antiqua" w:eastAsia="Book Antiqua" w:hAnsi="Book Antiqua" w:cs="Book Antiqua"/>
          <w:color w:val="000000"/>
        </w:rPr>
        <w:t xml:space="preserve">, Park AJ, Briquez PS, Martino MM. Promoting tissue regeneration by modulating the immune system. </w:t>
      </w:r>
      <w:r w:rsidRPr="00BA6ACF">
        <w:rPr>
          <w:rFonts w:ascii="Book Antiqua" w:eastAsia="Book Antiqua" w:hAnsi="Book Antiqua" w:cs="Book Antiqua"/>
          <w:i/>
          <w:iCs/>
          <w:color w:val="000000"/>
        </w:rPr>
        <w:t>Acta Biomater</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53</w:t>
      </w:r>
      <w:r w:rsidRPr="00BA6ACF">
        <w:rPr>
          <w:rFonts w:ascii="Book Antiqua" w:eastAsia="Book Antiqua" w:hAnsi="Book Antiqua" w:cs="Book Antiqua"/>
          <w:color w:val="000000"/>
        </w:rPr>
        <w:t>: 13-28 [PMID: 28119112 DOI: 10.1016/j.actbio.2017.01.056]</w:t>
      </w:r>
    </w:p>
    <w:p w14:paraId="7B0DC2B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 </w:t>
      </w:r>
      <w:r w:rsidRPr="00BA6ACF">
        <w:rPr>
          <w:rFonts w:ascii="Book Antiqua" w:eastAsia="Book Antiqua" w:hAnsi="Book Antiqua" w:cs="Book Antiqua"/>
          <w:b/>
          <w:bCs/>
          <w:color w:val="000000"/>
        </w:rPr>
        <w:t>Chan JK</w:t>
      </w:r>
      <w:r w:rsidRPr="00BA6ACF">
        <w:rPr>
          <w:rFonts w:ascii="Book Antiqua" w:eastAsia="Book Antiqua" w:hAnsi="Book Antiqua" w:cs="Book Antiqua"/>
          <w:color w:val="000000"/>
        </w:rPr>
        <w:t xml:space="preserve">, Roth J, Oppenheim JJ, Tracey KJ, Vogl T, Feldmann M, Horwood N, Nanchahal J. Alarmins: awaiting a clinical response. </w:t>
      </w:r>
      <w:r w:rsidRPr="00BA6ACF">
        <w:rPr>
          <w:rFonts w:ascii="Book Antiqua" w:eastAsia="Book Antiqua" w:hAnsi="Book Antiqua" w:cs="Book Antiqua"/>
          <w:i/>
          <w:iCs/>
          <w:color w:val="000000"/>
        </w:rPr>
        <w:t>J Clin Invest</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122</w:t>
      </w:r>
      <w:r w:rsidRPr="00BA6ACF">
        <w:rPr>
          <w:rFonts w:ascii="Book Antiqua" w:eastAsia="Book Antiqua" w:hAnsi="Book Antiqua" w:cs="Book Antiqua"/>
          <w:color w:val="000000"/>
        </w:rPr>
        <w:t>: 2711-2719 [PMID: 22850880 DOI: 10.1172/JCI62423]</w:t>
      </w:r>
    </w:p>
    <w:p w14:paraId="59F386B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 </w:t>
      </w:r>
      <w:r w:rsidRPr="00BA6ACF">
        <w:rPr>
          <w:rFonts w:ascii="Book Antiqua" w:eastAsia="Book Antiqua" w:hAnsi="Book Antiqua" w:cs="Book Antiqua"/>
          <w:b/>
          <w:bCs/>
          <w:color w:val="000000"/>
        </w:rPr>
        <w:t>Rider P</w:t>
      </w:r>
      <w:r w:rsidRPr="00BA6ACF">
        <w:rPr>
          <w:rFonts w:ascii="Book Antiqua" w:eastAsia="Book Antiqua" w:hAnsi="Book Antiqua" w:cs="Book Antiqua"/>
          <w:color w:val="000000"/>
        </w:rPr>
        <w:t xml:space="preserve">, Voronov E, Dinarello CA, Apte RN, Cohen I. Alarmins: Feel the Stress. </w:t>
      </w:r>
      <w:r w:rsidRPr="00BA6ACF">
        <w:rPr>
          <w:rFonts w:ascii="Book Antiqua" w:eastAsia="Book Antiqua" w:hAnsi="Book Antiqua" w:cs="Book Antiqua"/>
          <w:i/>
          <w:iCs/>
          <w:color w:val="000000"/>
        </w:rPr>
        <w:t>J Immunol</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198</w:t>
      </w:r>
      <w:r w:rsidRPr="00BA6ACF">
        <w:rPr>
          <w:rFonts w:ascii="Book Antiqua" w:eastAsia="Book Antiqua" w:hAnsi="Book Antiqua" w:cs="Book Antiqua"/>
          <w:color w:val="000000"/>
        </w:rPr>
        <w:t>: 1395-1402 [PMID: 28167650 DOI: 10.4049/jimmunol.1601342]</w:t>
      </w:r>
    </w:p>
    <w:p w14:paraId="6E835F0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 </w:t>
      </w:r>
      <w:r w:rsidRPr="00BA6ACF">
        <w:rPr>
          <w:rFonts w:ascii="Book Antiqua" w:eastAsia="Book Antiqua" w:hAnsi="Book Antiqua" w:cs="Book Antiqua"/>
          <w:b/>
          <w:bCs/>
          <w:color w:val="000000"/>
        </w:rPr>
        <w:t>Kapurniotu A</w:t>
      </w:r>
      <w:r w:rsidRPr="00BA6ACF">
        <w:rPr>
          <w:rFonts w:ascii="Book Antiqua" w:eastAsia="Book Antiqua" w:hAnsi="Book Antiqua" w:cs="Book Antiqua"/>
          <w:color w:val="000000"/>
        </w:rPr>
        <w:t xml:space="preserve">, Gokce O, Bernhagen J. The Multitasking Potential of Alarmins and Atypical Chemokines. </w:t>
      </w:r>
      <w:r w:rsidRPr="00BA6ACF">
        <w:rPr>
          <w:rFonts w:ascii="Book Antiqua" w:eastAsia="Book Antiqua" w:hAnsi="Book Antiqua" w:cs="Book Antiqua"/>
          <w:i/>
          <w:iCs/>
          <w:color w:val="000000"/>
        </w:rPr>
        <w:t>Front Med (Lausanne)</w:t>
      </w:r>
      <w:r w:rsidRPr="00BA6ACF">
        <w:rPr>
          <w:rFonts w:ascii="Book Antiqua" w:eastAsia="Book Antiqua" w:hAnsi="Book Antiqua" w:cs="Book Antiqua"/>
          <w:color w:val="000000"/>
        </w:rPr>
        <w:t xml:space="preserve"> 2019; </w:t>
      </w:r>
      <w:r w:rsidRPr="00BA6ACF">
        <w:rPr>
          <w:rFonts w:ascii="Book Antiqua" w:eastAsia="Book Antiqua" w:hAnsi="Book Antiqua" w:cs="Book Antiqua"/>
          <w:b/>
          <w:bCs/>
          <w:color w:val="000000"/>
        </w:rPr>
        <w:t>6</w:t>
      </w:r>
      <w:r w:rsidRPr="00BA6ACF">
        <w:rPr>
          <w:rFonts w:ascii="Book Antiqua" w:eastAsia="Book Antiqua" w:hAnsi="Book Antiqua" w:cs="Book Antiqua"/>
          <w:color w:val="000000"/>
        </w:rPr>
        <w:t>: 3 [PMID: 30729111 DOI: 10.3389/fmed.2019.00003]</w:t>
      </w:r>
    </w:p>
    <w:p w14:paraId="40E2C11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 </w:t>
      </w:r>
      <w:r w:rsidRPr="00BA6ACF">
        <w:rPr>
          <w:rFonts w:ascii="Book Antiqua" w:eastAsia="Book Antiqua" w:hAnsi="Book Antiqua" w:cs="Book Antiqua"/>
          <w:b/>
          <w:bCs/>
          <w:color w:val="000000"/>
        </w:rPr>
        <w:t>Yang</w:t>
      </w:r>
      <w:r w:rsidRPr="00BA6ACF">
        <w:rPr>
          <w:rFonts w:ascii="Book Antiqua" w:eastAsia="Book Antiqua" w:hAnsi="Book Antiqua" w:cs="Book Antiqua"/>
          <w:color w:val="000000"/>
        </w:rPr>
        <w:t xml:space="preserve">, Han Z, Oppenheim JJ. Alarmins and immunity. </w:t>
      </w:r>
      <w:r w:rsidRPr="00BA6ACF">
        <w:rPr>
          <w:rFonts w:ascii="Book Antiqua" w:eastAsia="Book Antiqua" w:hAnsi="Book Antiqua" w:cs="Book Antiqua"/>
          <w:i/>
          <w:iCs/>
          <w:color w:val="000000"/>
        </w:rPr>
        <w:t>Immunol Rev</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280</w:t>
      </w:r>
      <w:r w:rsidRPr="00BA6ACF">
        <w:rPr>
          <w:rFonts w:ascii="Book Antiqua" w:eastAsia="Book Antiqua" w:hAnsi="Book Antiqua" w:cs="Book Antiqua"/>
          <w:color w:val="000000"/>
        </w:rPr>
        <w:t>: 41-56 [PMID: 29027222 DOI: 10.1111/imr.12577]</w:t>
      </w:r>
    </w:p>
    <w:p w14:paraId="5615F53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 </w:t>
      </w:r>
      <w:r w:rsidRPr="00BA6ACF">
        <w:rPr>
          <w:rFonts w:ascii="Book Antiqua" w:eastAsia="Book Antiqua" w:hAnsi="Book Antiqua" w:cs="Book Antiqua"/>
          <w:b/>
          <w:bCs/>
          <w:color w:val="000000"/>
        </w:rPr>
        <w:t>Eming SA</w:t>
      </w:r>
      <w:r w:rsidRPr="00BA6ACF">
        <w:rPr>
          <w:rFonts w:ascii="Book Antiqua" w:eastAsia="Book Antiqua" w:hAnsi="Book Antiqua" w:cs="Book Antiqua"/>
          <w:color w:val="000000"/>
        </w:rPr>
        <w:t xml:space="preserve">, Krieg T, Davidson JM. Inflammation in wound repair: molecular and cellular mechanisms. </w:t>
      </w:r>
      <w:r w:rsidRPr="00BA6ACF">
        <w:rPr>
          <w:rFonts w:ascii="Book Antiqua" w:eastAsia="Book Antiqua" w:hAnsi="Book Antiqua" w:cs="Book Antiqua"/>
          <w:i/>
          <w:iCs/>
          <w:color w:val="000000"/>
        </w:rPr>
        <w:t>J Invest Dermatol</w:t>
      </w:r>
      <w:r w:rsidRPr="00BA6ACF">
        <w:rPr>
          <w:rFonts w:ascii="Book Antiqua" w:eastAsia="Book Antiqua" w:hAnsi="Book Antiqua" w:cs="Book Antiqua"/>
          <w:color w:val="000000"/>
        </w:rPr>
        <w:t xml:space="preserve"> 2007; </w:t>
      </w:r>
      <w:r w:rsidRPr="00BA6ACF">
        <w:rPr>
          <w:rFonts w:ascii="Book Antiqua" w:eastAsia="Book Antiqua" w:hAnsi="Book Antiqua" w:cs="Book Antiqua"/>
          <w:b/>
          <w:bCs/>
          <w:color w:val="000000"/>
        </w:rPr>
        <w:t>127</w:t>
      </w:r>
      <w:r w:rsidRPr="00BA6ACF">
        <w:rPr>
          <w:rFonts w:ascii="Book Antiqua" w:eastAsia="Book Antiqua" w:hAnsi="Book Antiqua" w:cs="Book Antiqua"/>
          <w:color w:val="000000"/>
        </w:rPr>
        <w:t>: 514-525 [PMID: 17299434 DOI: 10.1038/sj.jid.5700701]</w:t>
      </w:r>
    </w:p>
    <w:p w14:paraId="236CBD0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9 </w:t>
      </w:r>
      <w:r w:rsidRPr="00BA6ACF">
        <w:rPr>
          <w:rFonts w:ascii="Book Antiqua" w:eastAsia="Book Antiqua" w:hAnsi="Book Antiqua" w:cs="Book Antiqua"/>
          <w:b/>
          <w:bCs/>
          <w:color w:val="000000"/>
        </w:rPr>
        <w:t>Klimczak A</w:t>
      </w:r>
      <w:r w:rsidRPr="00BA6ACF">
        <w:rPr>
          <w:rFonts w:ascii="Book Antiqua" w:eastAsia="Book Antiqua" w:hAnsi="Book Antiqua" w:cs="Book Antiqua"/>
          <w:color w:val="000000"/>
        </w:rPr>
        <w:t xml:space="preserve">, Kozlowska U. Mesenchymal Stromal Cells and Tissue-Specific Progenitor Cells: Their Role in Tissue Homeostasis. </w:t>
      </w:r>
      <w:r w:rsidRPr="00BA6ACF">
        <w:rPr>
          <w:rFonts w:ascii="Book Antiqua" w:eastAsia="Book Antiqua" w:hAnsi="Book Antiqua" w:cs="Book Antiqua"/>
          <w:i/>
          <w:iCs/>
          <w:color w:val="000000"/>
        </w:rPr>
        <w:t>Stem Cells Int</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2016</w:t>
      </w:r>
      <w:r w:rsidRPr="00BA6ACF">
        <w:rPr>
          <w:rFonts w:ascii="Book Antiqua" w:eastAsia="Book Antiqua" w:hAnsi="Book Antiqua" w:cs="Book Antiqua"/>
          <w:color w:val="000000"/>
        </w:rPr>
        <w:t>: 4285215 [PMID: 26823669 DOI: 10.1155/2016/4285215]</w:t>
      </w:r>
    </w:p>
    <w:p w14:paraId="1D9CC06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 </w:t>
      </w:r>
      <w:r w:rsidRPr="00BA6ACF">
        <w:rPr>
          <w:rFonts w:ascii="Book Antiqua" w:eastAsia="Book Antiqua" w:hAnsi="Book Antiqua" w:cs="Book Antiqua"/>
          <w:b/>
          <w:bCs/>
          <w:color w:val="000000"/>
        </w:rPr>
        <w:t>Pittenger MF</w:t>
      </w:r>
      <w:r w:rsidRPr="00BA6ACF">
        <w:rPr>
          <w:rFonts w:ascii="Book Antiqua" w:eastAsia="Book Antiqua" w:hAnsi="Book Antiqua" w:cs="Book Antiqua"/>
          <w:color w:val="000000"/>
        </w:rPr>
        <w:t xml:space="preserve">, Mackay AM, Beck SC, Jaiswal RK, Douglas R, Mosca JD, Moorman MA, Simonetti DW, Craig S, Marshak DR. Multilineage potential of adult human mesenchymal stem cells. </w:t>
      </w:r>
      <w:r w:rsidRPr="00BA6ACF">
        <w:rPr>
          <w:rFonts w:ascii="Book Antiqua" w:eastAsia="Book Antiqua" w:hAnsi="Book Antiqua" w:cs="Book Antiqua"/>
          <w:i/>
          <w:iCs/>
          <w:color w:val="000000"/>
        </w:rPr>
        <w:t>Science</w:t>
      </w:r>
      <w:r w:rsidRPr="00BA6ACF">
        <w:rPr>
          <w:rFonts w:ascii="Book Antiqua" w:eastAsia="Book Antiqua" w:hAnsi="Book Antiqua" w:cs="Book Antiqua"/>
          <w:color w:val="000000"/>
        </w:rPr>
        <w:t xml:space="preserve"> 1999; </w:t>
      </w:r>
      <w:r w:rsidRPr="00BA6ACF">
        <w:rPr>
          <w:rFonts w:ascii="Book Antiqua" w:eastAsia="Book Antiqua" w:hAnsi="Book Antiqua" w:cs="Book Antiqua"/>
          <w:b/>
          <w:bCs/>
          <w:color w:val="000000"/>
        </w:rPr>
        <w:t>284</w:t>
      </w:r>
      <w:r w:rsidRPr="00BA6ACF">
        <w:rPr>
          <w:rFonts w:ascii="Book Antiqua" w:eastAsia="Book Antiqua" w:hAnsi="Book Antiqua" w:cs="Book Antiqua"/>
          <w:color w:val="000000"/>
        </w:rPr>
        <w:t>: 143-147 [PMID: 10102814 DOI: 10.1126/science.284.5411.143]</w:t>
      </w:r>
    </w:p>
    <w:p w14:paraId="218D5FB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 </w:t>
      </w:r>
      <w:r w:rsidRPr="00BA6ACF">
        <w:rPr>
          <w:rFonts w:ascii="Book Antiqua" w:eastAsia="Book Antiqua" w:hAnsi="Book Antiqua" w:cs="Book Antiqua"/>
          <w:b/>
          <w:bCs/>
          <w:color w:val="000000"/>
        </w:rPr>
        <w:t>Hass R</w:t>
      </w:r>
      <w:r w:rsidRPr="00BA6ACF">
        <w:rPr>
          <w:rFonts w:ascii="Book Antiqua" w:eastAsia="Book Antiqua" w:hAnsi="Book Antiqua" w:cs="Book Antiqua"/>
          <w:color w:val="000000"/>
        </w:rPr>
        <w:t xml:space="preserve">, Kasper C, Böhm S, Jacobs R. Different populations and sources of human mesenchymal stem cells (MSC): A comparison of adult and neonatal tissue-derived MSC. </w:t>
      </w:r>
      <w:r w:rsidRPr="00BA6ACF">
        <w:rPr>
          <w:rFonts w:ascii="Book Antiqua" w:eastAsia="Book Antiqua" w:hAnsi="Book Antiqua" w:cs="Book Antiqua"/>
          <w:i/>
          <w:iCs/>
          <w:color w:val="000000"/>
        </w:rPr>
        <w:t>Cell Commun Signal</w:t>
      </w:r>
      <w:r w:rsidRPr="00BA6ACF">
        <w:rPr>
          <w:rFonts w:ascii="Book Antiqua" w:eastAsia="Book Antiqua" w:hAnsi="Book Antiqua" w:cs="Book Antiqua"/>
          <w:color w:val="000000"/>
        </w:rPr>
        <w:t xml:space="preserve"> 2011; </w:t>
      </w:r>
      <w:r w:rsidRPr="00BA6ACF">
        <w:rPr>
          <w:rFonts w:ascii="Book Antiqua" w:eastAsia="Book Antiqua" w:hAnsi="Book Antiqua" w:cs="Book Antiqua"/>
          <w:b/>
          <w:bCs/>
          <w:color w:val="000000"/>
        </w:rPr>
        <w:t>9</w:t>
      </w:r>
      <w:r w:rsidRPr="00BA6ACF">
        <w:rPr>
          <w:rFonts w:ascii="Book Antiqua" w:eastAsia="Book Antiqua" w:hAnsi="Book Antiqua" w:cs="Book Antiqua"/>
          <w:color w:val="000000"/>
        </w:rPr>
        <w:t>: 12 [PMID: 21569606 DOI: 10.1186/1478-811X-9-12]</w:t>
      </w:r>
    </w:p>
    <w:p w14:paraId="479CFF5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 </w:t>
      </w:r>
      <w:r w:rsidRPr="00BA6ACF">
        <w:rPr>
          <w:rFonts w:ascii="Book Antiqua" w:eastAsia="Book Antiqua" w:hAnsi="Book Antiqua" w:cs="Book Antiqua"/>
          <w:b/>
          <w:bCs/>
          <w:color w:val="000000"/>
        </w:rPr>
        <w:t>Marquez-Curtis LA</w:t>
      </w:r>
      <w:r w:rsidRPr="00BA6ACF">
        <w:rPr>
          <w:rFonts w:ascii="Book Antiqua" w:eastAsia="Book Antiqua" w:hAnsi="Book Antiqua" w:cs="Book Antiqua"/>
          <w:color w:val="000000"/>
        </w:rPr>
        <w:t xml:space="preserve">, Janowska-Wieczorek A, McGann LE, Elliott JA. Mesenchymal stromal cells derived from various tissues: Biological, clinical and cryopreservation aspects. </w:t>
      </w:r>
      <w:r w:rsidRPr="00BA6ACF">
        <w:rPr>
          <w:rFonts w:ascii="Book Antiqua" w:eastAsia="Book Antiqua" w:hAnsi="Book Antiqua" w:cs="Book Antiqua"/>
          <w:i/>
          <w:iCs/>
          <w:color w:val="000000"/>
        </w:rPr>
        <w:t>Cryobiology</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71</w:t>
      </w:r>
      <w:r w:rsidRPr="00BA6ACF">
        <w:rPr>
          <w:rFonts w:ascii="Book Antiqua" w:eastAsia="Book Antiqua" w:hAnsi="Book Antiqua" w:cs="Book Antiqua"/>
          <w:color w:val="000000"/>
        </w:rPr>
        <w:t>: 181-197 [PMID: 26186998 DOI: 10.1016/j.cryobiol.2015.07.003]</w:t>
      </w:r>
    </w:p>
    <w:p w14:paraId="6CFB7D1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13 </w:t>
      </w:r>
      <w:r w:rsidRPr="00BA6ACF">
        <w:rPr>
          <w:rFonts w:ascii="Book Antiqua" w:eastAsia="Book Antiqua" w:hAnsi="Book Antiqua" w:cs="Book Antiqua"/>
          <w:b/>
          <w:bCs/>
          <w:color w:val="000000"/>
        </w:rPr>
        <w:t>Dominici M</w:t>
      </w:r>
      <w:r w:rsidRPr="00BA6ACF">
        <w:rPr>
          <w:rFonts w:ascii="Book Antiqua" w:eastAsia="Book Antiqua" w:hAnsi="Book Antiqua" w:cs="Book Antiqua"/>
          <w:color w:val="000000"/>
        </w:rPr>
        <w:t xml:space="preserve">, Le Blanc K, Mueller I, Slaper-Cortenbach I, Marini F, Krause D, Deans R, Keating A, Prockop Dj, Horwitz E. Minimal criteria for defining multipotent mesenchymal stromal cells. The International Society for Cellular Therapy position statement. </w:t>
      </w:r>
      <w:r w:rsidRPr="00BA6ACF">
        <w:rPr>
          <w:rFonts w:ascii="Book Antiqua" w:eastAsia="Book Antiqua" w:hAnsi="Book Antiqua" w:cs="Book Antiqua"/>
          <w:i/>
          <w:iCs/>
          <w:color w:val="000000"/>
        </w:rPr>
        <w:t>Cytotherapy</w:t>
      </w:r>
      <w:r w:rsidRPr="00BA6ACF">
        <w:rPr>
          <w:rFonts w:ascii="Book Antiqua" w:eastAsia="Book Antiqua" w:hAnsi="Book Antiqua" w:cs="Book Antiqua"/>
          <w:color w:val="000000"/>
        </w:rPr>
        <w:t xml:space="preserve"> 2006;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315-317 [PMID: 16923606 DOI: 10.1080/14653240600855905]</w:t>
      </w:r>
    </w:p>
    <w:p w14:paraId="06FBFF0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14 </w:t>
      </w:r>
      <w:r w:rsidRPr="00BA6ACF">
        <w:rPr>
          <w:rFonts w:ascii="Book Antiqua" w:eastAsia="Book Antiqua" w:hAnsi="Book Antiqua" w:cs="Book Antiqua"/>
          <w:b/>
          <w:bCs/>
          <w:color w:val="000000"/>
        </w:rPr>
        <w:t>Bianco P</w:t>
      </w:r>
      <w:r w:rsidRPr="00BA6ACF">
        <w:rPr>
          <w:rFonts w:ascii="Book Antiqua" w:eastAsia="Book Antiqua" w:hAnsi="Book Antiqua" w:cs="Book Antiqua"/>
          <w:color w:val="000000"/>
        </w:rPr>
        <w:t xml:space="preserve">, Robey PG, Simmons PJ. Mesenchymal stem cells: revisiting history, concepts, and assays. </w:t>
      </w:r>
      <w:r w:rsidRPr="00BA6ACF">
        <w:rPr>
          <w:rFonts w:ascii="Book Antiqua" w:eastAsia="Book Antiqua" w:hAnsi="Book Antiqua" w:cs="Book Antiqua"/>
          <w:i/>
          <w:iCs/>
          <w:color w:val="000000"/>
        </w:rPr>
        <w:t>Cell Stem Cell</w:t>
      </w:r>
      <w:r w:rsidRPr="00BA6ACF">
        <w:rPr>
          <w:rFonts w:ascii="Book Antiqua" w:eastAsia="Book Antiqua" w:hAnsi="Book Antiqua" w:cs="Book Antiqua"/>
          <w:color w:val="000000"/>
        </w:rPr>
        <w:t xml:space="preserve"> 2008; </w:t>
      </w:r>
      <w:r w:rsidRPr="00BA6ACF">
        <w:rPr>
          <w:rFonts w:ascii="Book Antiqua" w:eastAsia="Book Antiqua" w:hAnsi="Book Antiqua" w:cs="Book Antiqua"/>
          <w:b/>
          <w:bCs/>
          <w:color w:val="000000"/>
        </w:rPr>
        <w:t>2</w:t>
      </w:r>
      <w:r w:rsidRPr="00BA6ACF">
        <w:rPr>
          <w:rFonts w:ascii="Book Antiqua" w:eastAsia="Book Antiqua" w:hAnsi="Book Antiqua" w:cs="Book Antiqua"/>
          <w:color w:val="000000"/>
        </w:rPr>
        <w:t>: 313-319 [PMID: 18397751 DOI: 10.1016/j.stem.2008.03.002]</w:t>
      </w:r>
    </w:p>
    <w:p w14:paraId="0C73979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15 </w:t>
      </w:r>
      <w:r w:rsidRPr="00BA6ACF">
        <w:rPr>
          <w:rFonts w:ascii="Book Antiqua" w:eastAsia="Book Antiqua" w:hAnsi="Book Antiqua" w:cs="Book Antiqua"/>
          <w:b/>
          <w:bCs/>
          <w:color w:val="000000"/>
        </w:rPr>
        <w:t>Sacchetti B</w:t>
      </w:r>
      <w:r w:rsidRPr="00BA6ACF">
        <w:rPr>
          <w:rFonts w:ascii="Book Antiqua" w:eastAsia="Book Antiqua" w:hAnsi="Book Antiqua" w:cs="Book Antiqua"/>
          <w:color w:val="000000"/>
        </w:rPr>
        <w:t xml:space="preserve">, Funari A, Remoli C, Giannicola G, Kogler G, Liedtke S, Cossu G, Serafini M, Sampaolesi M, Tagliafico E, Tenedini E, Saggio I, Robey PG, Riminucci M, Bianco P. No Identical "Mesenchymal Stem Cells" at Different Times and Sites: Human Committed Progenitors of Distinct Origin and Differentiation Potential Are Incorporated as Adventitial Cells in Microvessels. </w:t>
      </w:r>
      <w:r w:rsidRPr="00BA6ACF">
        <w:rPr>
          <w:rFonts w:ascii="Book Antiqua" w:eastAsia="Book Antiqua" w:hAnsi="Book Antiqua" w:cs="Book Antiqua"/>
          <w:i/>
          <w:iCs/>
          <w:color w:val="000000"/>
        </w:rPr>
        <w:t>Stem Cell Reports</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6</w:t>
      </w:r>
      <w:r w:rsidRPr="00BA6ACF">
        <w:rPr>
          <w:rFonts w:ascii="Book Antiqua" w:eastAsia="Book Antiqua" w:hAnsi="Book Antiqua" w:cs="Book Antiqua"/>
          <w:color w:val="000000"/>
        </w:rPr>
        <w:t>: 897-913 [PMID: 27304917 DOI: 10.1016/j.stemcr.2016.05.011]</w:t>
      </w:r>
    </w:p>
    <w:p w14:paraId="498C6DB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16 </w:t>
      </w:r>
      <w:r w:rsidRPr="00BA6ACF">
        <w:rPr>
          <w:rFonts w:ascii="Book Antiqua" w:eastAsia="Book Antiqua" w:hAnsi="Book Antiqua" w:cs="Book Antiqua"/>
          <w:b/>
          <w:bCs/>
          <w:color w:val="000000"/>
        </w:rPr>
        <w:t>Caplan AI</w:t>
      </w:r>
      <w:r w:rsidRPr="00BA6ACF">
        <w:rPr>
          <w:rFonts w:ascii="Book Antiqua" w:eastAsia="Book Antiqua" w:hAnsi="Book Antiqua" w:cs="Book Antiqua"/>
          <w:color w:val="000000"/>
        </w:rPr>
        <w:t xml:space="preserve">. Mesenchymal Stem Cells: Time to Change the Name! </w:t>
      </w:r>
      <w:r w:rsidRPr="00BA6ACF">
        <w:rPr>
          <w:rFonts w:ascii="Book Antiqua" w:eastAsia="Book Antiqua" w:hAnsi="Book Antiqua" w:cs="Book Antiqua"/>
          <w:i/>
          <w:iCs/>
          <w:color w:val="000000"/>
        </w:rPr>
        <w:t>Stem Cells Transl Med</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6</w:t>
      </w:r>
      <w:r w:rsidRPr="00BA6ACF">
        <w:rPr>
          <w:rFonts w:ascii="Book Antiqua" w:eastAsia="Book Antiqua" w:hAnsi="Book Antiqua" w:cs="Book Antiqua"/>
          <w:color w:val="000000"/>
        </w:rPr>
        <w:t>: 1445-1451 [PMID: 28452204 DOI: 10.1002/sctm.17-0051]</w:t>
      </w:r>
    </w:p>
    <w:p w14:paraId="2B595C0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17 </w:t>
      </w:r>
      <w:r w:rsidRPr="00BA6ACF">
        <w:rPr>
          <w:rFonts w:ascii="Book Antiqua" w:eastAsia="Book Antiqua" w:hAnsi="Book Antiqua" w:cs="Book Antiqua"/>
          <w:b/>
          <w:bCs/>
          <w:color w:val="000000"/>
        </w:rPr>
        <w:t>Liang X</w:t>
      </w:r>
      <w:r w:rsidRPr="00BA6ACF">
        <w:rPr>
          <w:rFonts w:ascii="Book Antiqua" w:eastAsia="Book Antiqua" w:hAnsi="Book Antiqua" w:cs="Book Antiqua"/>
          <w:color w:val="000000"/>
        </w:rPr>
        <w:t xml:space="preserve">, Ding Y, Zhang Y, Tse HF, Lian Q. Paracrine mechanisms of mesenchymal stem cell-based therapy: current status and perspectives. </w:t>
      </w:r>
      <w:r w:rsidRPr="00BA6ACF">
        <w:rPr>
          <w:rFonts w:ascii="Book Antiqua" w:eastAsia="Book Antiqua" w:hAnsi="Book Antiqua" w:cs="Book Antiqua"/>
          <w:i/>
          <w:iCs/>
          <w:color w:val="000000"/>
        </w:rPr>
        <w:t>Cell Transplant</w:t>
      </w:r>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23</w:t>
      </w:r>
      <w:r w:rsidRPr="00BA6ACF">
        <w:rPr>
          <w:rFonts w:ascii="Book Antiqua" w:eastAsia="Book Antiqua" w:hAnsi="Book Antiqua" w:cs="Book Antiqua"/>
          <w:color w:val="000000"/>
        </w:rPr>
        <w:t>: 1045-1059 [PMID: 23676629 DOI: 10.3727/096368913X667709]</w:t>
      </w:r>
    </w:p>
    <w:p w14:paraId="1E2D010B"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18 </w:t>
      </w:r>
      <w:r w:rsidRPr="00BA6ACF">
        <w:rPr>
          <w:rFonts w:ascii="Book Antiqua" w:eastAsia="Book Antiqua" w:hAnsi="Book Antiqua" w:cs="Book Antiqua"/>
          <w:b/>
          <w:bCs/>
          <w:color w:val="000000"/>
        </w:rPr>
        <w:t>Shi Y</w:t>
      </w:r>
      <w:r w:rsidRPr="00BA6ACF">
        <w:rPr>
          <w:rFonts w:ascii="Book Antiqua" w:eastAsia="Book Antiqua" w:hAnsi="Book Antiqua" w:cs="Book Antiqua"/>
          <w:color w:val="000000"/>
        </w:rPr>
        <w:t xml:space="preserve">, Hu G, Su J, Li W, Chen Q, Shou P, Xu C, Chen X, Huang Y, Zhu Z, Huang X, Han X, Xie N, Ren G. Mesenchymal stem cells: a new strategy for immunosuppression and tissue repair. </w:t>
      </w:r>
      <w:r w:rsidRPr="00BA6ACF">
        <w:rPr>
          <w:rFonts w:ascii="Book Antiqua" w:eastAsia="Book Antiqua" w:hAnsi="Book Antiqua" w:cs="Book Antiqua"/>
          <w:i/>
          <w:iCs/>
          <w:color w:val="000000"/>
        </w:rPr>
        <w:t>Cell Res</w:t>
      </w:r>
      <w:r w:rsidRPr="00BA6ACF">
        <w:rPr>
          <w:rFonts w:ascii="Book Antiqua" w:eastAsia="Book Antiqua" w:hAnsi="Book Antiqua" w:cs="Book Antiqua"/>
          <w:color w:val="000000"/>
        </w:rPr>
        <w:t xml:space="preserve"> 2010; </w:t>
      </w:r>
      <w:r w:rsidRPr="00BA6ACF">
        <w:rPr>
          <w:rFonts w:ascii="Book Antiqua" w:eastAsia="Book Antiqua" w:hAnsi="Book Antiqua" w:cs="Book Antiqua"/>
          <w:b/>
          <w:bCs/>
          <w:color w:val="000000"/>
        </w:rPr>
        <w:t>20</w:t>
      </w:r>
      <w:r w:rsidRPr="00BA6ACF">
        <w:rPr>
          <w:rFonts w:ascii="Book Antiqua" w:eastAsia="Book Antiqua" w:hAnsi="Book Antiqua" w:cs="Book Antiqua"/>
          <w:color w:val="000000"/>
        </w:rPr>
        <w:t>: 510-518 [PMID: 20368733 DOI: 10.1038/cr.2010.44]</w:t>
      </w:r>
    </w:p>
    <w:p w14:paraId="3F8DBDD1"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19 </w:t>
      </w:r>
      <w:r w:rsidRPr="00BA6ACF">
        <w:rPr>
          <w:rFonts w:ascii="Book Antiqua" w:eastAsia="Book Antiqua" w:hAnsi="Book Antiqua" w:cs="Book Antiqua"/>
          <w:b/>
          <w:bCs/>
          <w:color w:val="000000"/>
        </w:rPr>
        <w:t>Fayyad-Kazan M</w:t>
      </w:r>
      <w:r w:rsidRPr="00BA6ACF">
        <w:rPr>
          <w:rFonts w:ascii="Book Antiqua" w:eastAsia="Book Antiqua" w:hAnsi="Book Antiqua" w:cs="Book Antiqua"/>
          <w:color w:val="000000"/>
        </w:rPr>
        <w:t xml:space="preserve">, Fayyad-Kazan H, Lagneaux L, Najar M. The potential of mesenchymal stromal cells in immunotherapy. </w:t>
      </w:r>
      <w:r w:rsidRPr="00BA6ACF">
        <w:rPr>
          <w:rFonts w:ascii="Book Antiqua" w:eastAsia="Book Antiqua" w:hAnsi="Book Antiqua" w:cs="Book Antiqua"/>
          <w:i/>
          <w:iCs/>
          <w:color w:val="000000"/>
        </w:rPr>
        <w:t>Immunotherapy</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839-842 [PMID: 27381681 DOI: 10.2217/imt-2016-0037]</w:t>
      </w:r>
    </w:p>
    <w:p w14:paraId="3BB7C4F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20 </w:t>
      </w:r>
      <w:r w:rsidRPr="00BA6ACF">
        <w:rPr>
          <w:rFonts w:ascii="Book Antiqua" w:eastAsia="Book Antiqua" w:hAnsi="Book Antiqua" w:cs="Book Antiqua"/>
          <w:b/>
          <w:bCs/>
          <w:color w:val="000000"/>
        </w:rPr>
        <w:t>Corcione A</w:t>
      </w:r>
      <w:r w:rsidRPr="00BA6ACF">
        <w:rPr>
          <w:rFonts w:ascii="Book Antiqua" w:eastAsia="Book Antiqua" w:hAnsi="Book Antiqua" w:cs="Book Antiqua"/>
          <w:color w:val="000000"/>
        </w:rPr>
        <w:t xml:space="preserve">, Benvenuto F, Ferretti E, Giunti D, Cappiello V, Cazzanti F, Risso M, Gualandi F, Mancardi GL, Pistoia V, Uccelli A. Human mesenchymal stem cells modulate B-cell functions. </w:t>
      </w:r>
      <w:r w:rsidRPr="00BA6ACF">
        <w:rPr>
          <w:rFonts w:ascii="Book Antiqua" w:eastAsia="Book Antiqua" w:hAnsi="Book Antiqua" w:cs="Book Antiqua"/>
          <w:i/>
          <w:iCs/>
          <w:color w:val="000000"/>
        </w:rPr>
        <w:t>Blood</w:t>
      </w:r>
      <w:r w:rsidRPr="00BA6ACF">
        <w:rPr>
          <w:rFonts w:ascii="Book Antiqua" w:eastAsia="Book Antiqua" w:hAnsi="Book Antiqua" w:cs="Book Antiqua"/>
          <w:color w:val="000000"/>
        </w:rPr>
        <w:t xml:space="preserve"> 2006; </w:t>
      </w:r>
      <w:r w:rsidRPr="00BA6ACF">
        <w:rPr>
          <w:rFonts w:ascii="Book Antiqua" w:eastAsia="Book Antiqua" w:hAnsi="Book Antiqua" w:cs="Book Antiqua"/>
          <w:b/>
          <w:bCs/>
          <w:color w:val="000000"/>
        </w:rPr>
        <w:t>107</w:t>
      </w:r>
      <w:r w:rsidRPr="00BA6ACF">
        <w:rPr>
          <w:rFonts w:ascii="Book Antiqua" w:eastAsia="Book Antiqua" w:hAnsi="Book Antiqua" w:cs="Book Antiqua"/>
          <w:color w:val="000000"/>
        </w:rPr>
        <w:t>: 367-372 [PMID: 16141348 DOI: 10.1182/blood-2005-07-2657]</w:t>
      </w:r>
    </w:p>
    <w:p w14:paraId="140BB02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21 </w:t>
      </w:r>
      <w:r w:rsidRPr="00BA6ACF">
        <w:rPr>
          <w:rFonts w:ascii="Book Antiqua" w:eastAsia="Book Antiqua" w:hAnsi="Book Antiqua" w:cs="Book Antiqua"/>
          <w:b/>
          <w:bCs/>
          <w:color w:val="000000"/>
        </w:rPr>
        <w:t>Castro-Manrreza ME</w:t>
      </w:r>
      <w:r w:rsidRPr="00BA6ACF">
        <w:rPr>
          <w:rFonts w:ascii="Book Antiqua" w:eastAsia="Book Antiqua" w:hAnsi="Book Antiqua" w:cs="Book Antiqua"/>
          <w:color w:val="000000"/>
        </w:rPr>
        <w:t xml:space="preserve">, Montesinos JJ. Immunoregulation by mesenchymal stem cells: biological aspects and clinical applications. </w:t>
      </w:r>
      <w:r w:rsidRPr="00BA6ACF">
        <w:rPr>
          <w:rFonts w:ascii="Book Antiqua" w:eastAsia="Book Antiqua" w:hAnsi="Book Antiqua" w:cs="Book Antiqua"/>
          <w:i/>
          <w:iCs/>
          <w:color w:val="000000"/>
        </w:rPr>
        <w:t>J Immunol Res</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2015</w:t>
      </w:r>
      <w:r w:rsidRPr="00BA6ACF">
        <w:rPr>
          <w:rFonts w:ascii="Book Antiqua" w:eastAsia="Book Antiqua" w:hAnsi="Book Antiqua" w:cs="Book Antiqua"/>
          <w:color w:val="000000"/>
        </w:rPr>
        <w:t>: 394917 [PMID: 25961059 DOI: 10.1155/2015/394917]</w:t>
      </w:r>
    </w:p>
    <w:p w14:paraId="1F7207D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22 </w:t>
      </w:r>
      <w:r w:rsidRPr="00BA6ACF">
        <w:rPr>
          <w:rFonts w:ascii="Book Antiqua" w:eastAsia="Book Antiqua" w:hAnsi="Book Antiqua" w:cs="Book Antiqua"/>
          <w:b/>
          <w:bCs/>
          <w:color w:val="000000"/>
        </w:rPr>
        <w:t>Espagnolle N</w:t>
      </w:r>
      <w:r w:rsidRPr="00BA6ACF">
        <w:rPr>
          <w:rFonts w:ascii="Book Antiqua" w:eastAsia="Book Antiqua" w:hAnsi="Book Antiqua" w:cs="Book Antiqua"/>
          <w:color w:val="000000"/>
        </w:rPr>
        <w:t xml:space="preserve">, Balguerie A, Arnaud E, Sensebé L, Varin A. CD54-Mediated Interaction with Pro-inflammatory Macrophages Increases the Immunosuppressive Function of Human Mesenchymal Stromal Cells. </w:t>
      </w:r>
      <w:r w:rsidRPr="00BA6ACF">
        <w:rPr>
          <w:rFonts w:ascii="Book Antiqua" w:eastAsia="Book Antiqua" w:hAnsi="Book Antiqua" w:cs="Book Antiqua"/>
          <w:i/>
          <w:iCs/>
          <w:color w:val="000000"/>
        </w:rPr>
        <w:t>Stem Cell Reports</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961-976 [PMID: 28330617 DOI: 10.1016/j.stemcr.2017.02.008]</w:t>
      </w:r>
    </w:p>
    <w:p w14:paraId="74A368A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23 </w:t>
      </w:r>
      <w:r w:rsidRPr="00BA6ACF">
        <w:rPr>
          <w:rFonts w:ascii="Book Antiqua" w:eastAsia="Book Antiqua" w:hAnsi="Book Antiqua" w:cs="Book Antiqua"/>
          <w:b/>
          <w:bCs/>
          <w:color w:val="000000"/>
        </w:rPr>
        <w:t>Keating A</w:t>
      </w:r>
      <w:r w:rsidRPr="00BA6ACF">
        <w:rPr>
          <w:rFonts w:ascii="Book Antiqua" w:eastAsia="Book Antiqua" w:hAnsi="Book Antiqua" w:cs="Book Antiqua"/>
          <w:color w:val="000000"/>
        </w:rPr>
        <w:t xml:space="preserve">. Mesenchymal stromal cells: new directions. </w:t>
      </w:r>
      <w:r w:rsidRPr="00BA6ACF">
        <w:rPr>
          <w:rFonts w:ascii="Book Antiqua" w:eastAsia="Book Antiqua" w:hAnsi="Book Antiqua" w:cs="Book Antiqua"/>
          <w:i/>
          <w:iCs/>
          <w:color w:val="000000"/>
        </w:rPr>
        <w:t>Cell Stem Cell</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10</w:t>
      </w:r>
      <w:r w:rsidRPr="00BA6ACF">
        <w:rPr>
          <w:rFonts w:ascii="Book Antiqua" w:eastAsia="Book Antiqua" w:hAnsi="Book Antiqua" w:cs="Book Antiqua"/>
          <w:color w:val="000000"/>
        </w:rPr>
        <w:t>: 709-716 [PMID: 22704511 DOI: 10.1016/j.stem.2012.05.015]</w:t>
      </w:r>
    </w:p>
    <w:p w14:paraId="3BF25BDB"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24 </w:t>
      </w:r>
      <w:r w:rsidRPr="00BA6ACF">
        <w:rPr>
          <w:rFonts w:ascii="Book Antiqua" w:eastAsia="Book Antiqua" w:hAnsi="Book Antiqua" w:cs="Book Antiqua"/>
          <w:b/>
          <w:bCs/>
          <w:color w:val="000000"/>
        </w:rPr>
        <w:t>Wang M</w:t>
      </w:r>
      <w:r w:rsidRPr="00BA6ACF">
        <w:rPr>
          <w:rFonts w:ascii="Book Antiqua" w:eastAsia="Book Antiqua" w:hAnsi="Book Antiqua" w:cs="Book Antiqua"/>
          <w:color w:val="000000"/>
        </w:rPr>
        <w:t xml:space="preserve">, Yuan Q, Xie L. Mesenchymal Stem Cell-Based Immunomodulation: Properties and Clinical Application. </w:t>
      </w:r>
      <w:r w:rsidRPr="00BA6ACF">
        <w:rPr>
          <w:rFonts w:ascii="Book Antiqua" w:eastAsia="Book Antiqua" w:hAnsi="Book Antiqua" w:cs="Book Antiqua"/>
          <w:i/>
          <w:iCs/>
          <w:color w:val="000000"/>
        </w:rPr>
        <w:t>Stem Cells Int</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2018</w:t>
      </w:r>
      <w:r w:rsidRPr="00BA6ACF">
        <w:rPr>
          <w:rFonts w:ascii="Book Antiqua" w:eastAsia="Book Antiqua" w:hAnsi="Book Antiqua" w:cs="Book Antiqua"/>
          <w:color w:val="000000"/>
        </w:rPr>
        <w:t>: 3057624 [PMID: 30013600 DOI: 10.1155/2018/3057624]</w:t>
      </w:r>
    </w:p>
    <w:p w14:paraId="5BBAB93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25 </w:t>
      </w:r>
      <w:r w:rsidRPr="00BA6ACF">
        <w:rPr>
          <w:rFonts w:ascii="Book Antiqua" w:eastAsia="Book Antiqua" w:hAnsi="Book Antiqua" w:cs="Book Antiqua"/>
          <w:b/>
          <w:bCs/>
          <w:color w:val="000000"/>
        </w:rPr>
        <w:t>Noronha NC</w:t>
      </w:r>
      <w:r w:rsidRPr="00BA6ACF">
        <w:rPr>
          <w:rFonts w:ascii="Book Antiqua" w:eastAsia="Book Antiqua" w:hAnsi="Book Antiqua" w:cs="Book Antiqua"/>
          <w:color w:val="000000"/>
        </w:rPr>
        <w:t xml:space="preserve">, Mizukami A, Caliári-Oliveira C, Cominal JG, Rocha JLM, Covas DT, Swiech K, Malmegrim KCR. Priming approaches to improve the efficacy of </w:t>
      </w:r>
      <w:r w:rsidRPr="00BA6ACF">
        <w:rPr>
          <w:rFonts w:ascii="Book Antiqua" w:eastAsia="Book Antiqua" w:hAnsi="Book Antiqua" w:cs="Book Antiqua"/>
          <w:color w:val="000000"/>
        </w:rPr>
        <w:lastRenderedPageBreak/>
        <w:t xml:space="preserve">mesenchymal stromal cell-based therapies. </w:t>
      </w:r>
      <w:r w:rsidRPr="00BA6ACF">
        <w:rPr>
          <w:rFonts w:ascii="Book Antiqua" w:eastAsia="Book Antiqua" w:hAnsi="Book Antiqua" w:cs="Book Antiqua"/>
          <w:i/>
          <w:iCs/>
          <w:color w:val="000000"/>
        </w:rPr>
        <w:t>Stem Cell Res Ther</w:t>
      </w:r>
      <w:r w:rsidRPr="00BA6ACF">
        <w:rPr>
          <w:rFonts w:ascii="Book Antiqua" w:eastAsia="Book Antiqua" w:hAnsi="Book Antiqua" w:cs="Book Antiqua"/>
          <w:color w:val="000000"/>
        </w:rPr>
        <w:t xml:space="preserve"> 2019; </w:t>
      </w:r>
      <w:r w:rsidRPr="00BA6ACF">
        <w:rPr>
          <w:rFonts w:ascii="Book Antiqua" w:eastAsia="Book Antiqua" w:hAnsi="Book Antiqua" w:cs="Book Antiqua"/>
          <w:b/>
          <w:bCs/>
          <w:color w:val="000000"/>
        </w:rPr>
        <w:t>10</w:t>
      </w:r>
      <w:r w:rsidRPr="00BA6ACF">
        <w:rPr>
          <w:rFonts w:ascii="Book Antiqua" w:eastAsia="Book Antiqua" w:hAnsi="Book Antiqua" w:cs="Book Antiqua"/>
          <w:color w:val="000000"/>
        </w:rPr>
        <w:t>: 131 [PMID: 31046833 DOI: 10.1186/s13287-019-1224-y]</w:t>
      </w:r>
    </w:p>
    <w:p w14:paraId="255FAEC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26 </w:t>
      </w:r>
      <w:r w:rsidRPr="00BA6ACF">
        <w:rPr>
          <w:rFonts w:ascii="Book Antiqua" w:eastAsia="Book Antiqua" w:hAnsi="Book Antiqua" w:cs="Book Antiqua"/>
          <w:b/>
          <w:bCs/>
          <w:color w:val="000000"/>
        </w:rPr>
        <w:t>Ren G</w:t>
      </w:r>
      <w:r w:rsidRPr="00BA6ACF">
        <w:rPr>
          <w:rFonts w:ascii="Book Antiqua" w:eastAsia="Book Antiqua" w:hAnsi="Book Antiqua" w:cs="Book Antiqua"/>
          <w:color w:val="000000"/>
        </w:rPr>
        <w:t xml:space="preserve">, Zhang L, Zhao X, Xu G, Zhang Y, Roberts AI, Zhao RC, Shi Y. Mesenchymal stem cell-mediated immunosuppression occurs via concerted action of chemokines and nitric oxide. </w:t>
      </w:r>
      <w:r w:rsidRPr="00BA6ACF">
        <w:rPr>
          <w:rFonts w:ascii="Book Antiqua" w:eastAsia="Book Antiqua" w:hAnsi="Book Antiqua" w:cs="Book Antiqua"/>
          <w:i/>
          <w:iCs/>
          <w:color w:val="000000"/>
        </w:rPr>
        <w:t>Cell Stem Cell</w:t>
      </w:r>
      <w:r w:rsidRPr="00BA6ACF">
        <w:rPr>
          <w:rFonts w:ascii="Book Antiqua" w:eastAsia="Book Antiqua" w:hAnsi="Book Antiqua" w:cs="Book Antiqua"/>
          <w:color w:val="000000"/>
        </w:rPr>
        <w:t xml:space="preserve"> 2008; </w:t>
      </w:r>
      <w:r w:rsidRPr="00BA6ACF">
        <w:rPr>
          <w:rFonts w:ascii="Book Antiqua" w:eastAsia="Book Antiqua" w:hAnsi="Book Antiqua" w:cs="Book Antiqua"/>
          <w:b/>
          <w:bCs/>
          <w:color w:val="000000"/>
        </w:rPr>
        <w:t>2</w:t>
      </w:r>
      <w:r w:rsidRPr="00BA6ACF">
        <w:rPr>
          <w:rFonts w:ascii="Book Antiqua" w:eastAsia="Book Antiqua" w:hAnsi="Book Antiqua" w:cs="Book Antiqua"/>
          <w:color w:val="000000"/>
        </w:rPr>
        <w:t>: 141-150 [PMID: 18371435 DOI: 10.1016/j.stem.2007.11.014]</w:t>
      </w:r>
    </w:p>
    <w:p w14:paraId="62C196B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27 </w:t>
      </w:r>
      <w:r w:rsidRPr="00BA6ACF">
        <w:rPr>
          <w:rFonts w:ascii="Book Antiqua" w:eastAsia="Book Antiqua" w:hAnsi="Book Antiqua" w:cs="Book Antiqua"/>
          <w:b/>
          <w:bCs/>
          <w:color w:val="000000"/>
        </w:rPr>
        <w:t>Prockop DJ</w:t>
      </w:r>
      <w:r w:rsidRPr="00BA6ACF">
        <w:rPr>
          <w:rFonts w:ascii="Book Antiqua" w:eastAsia="Book Antiqua" w:hAnsi="Book Antiqua" w:cs="Book Antiqua"/>
          <w:color w:val="000000"/>
        </w:rPr>
        <w:t xml:space="preserve">, Oh JY. Mesenchymal stem/stromal cells (MSCs): role as guardians of inflammation. </w:t>
      </w:r>
      <w:r w:rsidRPr="00BA6ACF">
        <w:rPr>
          <w:rFonts w:ascii="Book Antiqua" w:eastAsia="Book Antiqua" w:hAnsi="Book Antiqua" w:cs="Book Antiqua"/>
          <w:i/>
          <w:iCs/>
          <w:color w:val="000000"/>
        </w:rPr>
        <w:t>Mol Ther</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20</w:t>
      </w:r>
      <w:r w:rsidRPr="00BA6ACF">
        <w:rPr>
          <w:rFonts w:ascii="Book Antiqua" w:eastAsia="Book Antiqua" w:hAnsi="Book Antiqua" w:cs="Book Antiqua"/>
          <w:color w:val="000000"/>
        </w:rPr>
        <w:t>: 14-20 [PMID: 22008910 DOI: 10.1038/mt.2011.211]</w:t>
      </w:r>
    </w:p>
    <w:p w14:paraId="37BF8C5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28 </w:t>
      </w:r>
      <w:r w:rsidRPr="00BA6ACF">
        <w:rPr>
          <w:rFonts w:ascii="Book Antiqua" w:eastAsia="Book Antiqua" w:hAnsi="Book Antiqua" w:cs="Book Antiqua"/>
          <w:b/>
          <w:bCs/>
          <w:color w:val="000000"/>
        </w:rPr>
        <w:t>Prasanna SJ</w:t>
      </w:r>
      <w:r w:rsidRPr="00BA6ACF">
        <w:rPr>
          <w:rFonts w:ascii="Book Antiqua" w:eastAsia="Book Antiqua" w:hAnsi="Book Antiqua" w:cs="Book Antiqua"/>
          <w:color w:val="000000"/>
        </w:rPr>
        <w:t xml:space="preserve">, Gopalakrishnan D, Shankar SR, Vasandan AB. Pro-inflammatory cytokines, IFNgamma and TNFalpha, influence immune properties of human bone marrow and Wharton jelly mesenchymal stem cells differentially. </w:t>
      </w:r>
      <w:r w:rsidRPr="00BA6ACF">
        <w:rPr>
          <w:rFonts w:ascii="Book Antiqua" w:eastAsia="Book Antiqua" w:hAnsi="Book Antiqua" w:cs="Book Antiqua"/>
          <w:i/>
          <w:iCs/>
          <w:color w:val="000000"/>
        </w:rPr>
        <w:t>PLoS One</w:t>
      </w:r>
      <w:r w:rsidRPr="00BA6ACF">
        <w:rPr>
          <w:rFonts w:ascii="Book Antiqua" w:eastAsia="Book Antiqua" w:hAnsi="Book Antiqua" w:cs="Book Antiqua"/>
          <w:color w:val="000000"/>
        </w:rPr>
        <w:t xml:space="preserve"> 2010; </w:t>
      </w:r>
      <w:r w:rsidRPr="00BA6ACF">
        <w:rPr>
          <w:rFonts w:ascii="Book Antiqua" w:eastAsia="Book Antiqua" w:hAnsi="Book Antiqua" w:cs="Book Antiqua"/>
          <w:b/>
          <w:bCs/>
          <w:color w:val="000000"/>
        </w:rPr>
        <w:t>5</w:t>
      </w:r>
      <w:r w:rsidRPr="00BA6ACF">
        <w:rPr>
          <w:rFonts w:ascii="Book Antiqua" w:eastAsia="Book Antiqua" w:hAnsi="Book Antiqua" w:cs="Book Antiqua"/>
          <w:color w:val="000000"/>
        </w:rPr>
        <w:t>: e9016 [PMID: 20126406 DOI: 10.1371/journal.pone.0009016]</w:t>
      </w:r>
    </w:p>
    <w:p w14:paraId="4A781011"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29 </w:t>
      </w:r>
      <w:r w:rsidRPr="00BA6ACF">
        <w:rPr>
          <w:rFonts w:ascii="Book Antiqua" w:eastAsia="Book Antiqua" w:hAnsi="Book Antiqua" w:cs="Book Antiqua"/>
          <w:b/>
          <w:bCs/>
          <w:color w:val="000000"/>
        </w:rPr>
        <w:t>Najar M</w:t>
      </w:r>
      <w:r w:rsidRPr="00BA6ACF">
        <w:rPr>
          <w:rFonts w:ascii="Book Antiqua" w:eastAsia="Book Antiqua" w:hAnsi="Book Antiqua" w:cs="Book Antiqua"/>
          <w:color w:val="000000"/>
        </w:rPr>
        <w:t xml:space="preserve">, Raicevic G, Fayyad-Kazan H, De Bruyn C, Bron D, Toungouz M, Lagneaux L. Immune-related antigens, surface molecules and regulatory factors in human-derived mesenchymal stromal cells: the expression and impact of inflammatory priming. </w:t>
      </w:r>
      <w:r w:rsidRPr="00BA6ACF">
        <w:rPr>
          <w:rFonts w:ascii="Book Antiqua" w:eastAsia="Book Antiqua" w:hAnsi="Book Antiqua" w:cs="Book Antiqua"/>
          <w:i/>
          <w:iCs/>
          <w:color w:val="000000"/>
        </w:rPr>
        <w:t>Stem Cell Rev Rep</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1188-1198 [PMID: 22983809 DOI: 10.1007/s12015-012-9408-1]</w:t>
      </w:r>
    </w:p>
    <w:p w14:paraId="7B0D3EE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30 </w:t>
      </w:r>
      <w:r w:rsidRPr="00BA6ACF">
        <w:rPr>
          <w:rFonts w:ascii="Book Antiqua" w:eastAsia="Book Antiqua" w:hAnsi="Book Antiqua" w:cs="Book Antiqua"/>
          <w:b/>
          <w:bCs/>
          <w:color w:val="000000"/>
        </w:rPr>
        <w:t>Sui BD</w:t>
      </w:r>
      <w:r w:rsidRPr="00BA6ACF">
        <w:rPr>
          <w:rFonts w:ascii="Book Antiqua" w:eastAsia="Book Antiqua" w:hAnsi="Book Antiqua" w:cs="Book Antiqua"/>
          <w:color w:val="000000"/>
        </w:rPr>
        <w:t xml:space="preserve">, Hu CH, Liu AQ, Zheng CX, Xuan K, Jin Y. Stem cell-based bone regeneration in diseased microenvironments: Challenges and solutions. </w:t>
      </w:r>
      <w:r w:rsidRPr="00BA6ACF">
        <w:rPr>
          <w:rFonts w:ascii="Book Antiqua" w:eastAsia="Book Antiqua" w:hAnsi="Book Antiqua" w:cs="Book Antiqua"/>
          <w:i/>
          <w:iCs/>
          <w:color w:val="000000"/>
        </w:rPr>
        <w:t>Biomaterials</w:t>
      </w:r>
      <w:r w:rsidRPr="00BA6ACF">
        <w:rPr>
          <w:rFonts w:ascii="Book Antiqua" w:eastAsia="Book Antiqua" w:hAnsi="Book Antiqua" w:cs="Book Antiqua"/>
          <w:color w:val="000000"/>
        </w:rPr>
        <w:t xml:space="preserve"> 2019; </w:t>
      </w:r>
      <w:r w:rsidRPr="00BA6ACF">
        <w:rPr>
          <w:rFonts w:ascii="Book Antiqua" w:eastAsia="Book Antiqua" w:hAnsi="Book Antiqua" w:cs="Book Antiqua"/>
          <w:b/>
          <w:bCs/>
          <w:color w:val="000000"/>
        </w:rPr>
        <w:t>196</w:t>
      </w:r>
      <w:r w:rsidRPr="00BA6ACF">
        <w:rPr>
          <w:rFonts w:ascii="Book Antiqua" w:eastAsia="Book Antiqua" w:hAnsi="Book Antiqua" w:cs="Book Antiqua"/>
          <w:color w:val="000000"/>
        </w:rPr>
        <w:t>: 18-30 [PMID: 29122279 DOI: 10.1016/j.biomaterials.2017.10.046]</w:t>
      </w:r>
    </w:p>
    <w:p w14:paraId="463419B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31 </w:t>
      </w:r>
      <w:r w:rsidRPr="00BA6ACF">
        <w:rPr>
          <w:rFonts w:ascii="Book Antiqua" w:eastAsia="Book Antiqua" w:hAnsi="Book Antiqua" w:cs="Book Antiqua"/>
          <w:b/>
          <w:bCs/>
          <w:color w:val="000000"/>
        </w:rPr>
        <w:t>Galipeau J</w:t>
      </w:r>
      <w:r w:rsidRPr="00BA6ACF">
        <w:rPr>
          <w:rFonts w:ascii="Book Antiqua" w:eastAsia="Book Antiqua" w:hAnsi="Book Antiqua" w:cs="Book Antiqua"/>
          <w:color w:val="000000"/>
        </w:rPr>
        <w:t xml:space="preserve">, Krampera M, Barrett J, Dazzi F, Deans RJ, DeBruijn J, Dominici M, Fibbe WE, Gee AP, Gimble JM, Hematti P, Koh MB, LeBlanc K, Martin I, McNiece IK, Mendicino M, Oh S, Ortiz L, Phinney DG, Planat V, Shi Y, Stroncek DF, Viswanathan S, Weiss DJ, Sensebe L. International Society for Cellular Therapy perspective on immune functional assays for mesenchymal stromal cells as potency release criterion for advanced phase clinical trials. </w:t>
      </w:r>
      <w:r w:rsidRPr="00BA6ACF">
        <w:rPr>
          <w:rFonts w:ascii="Book Antiqua" w:eastAsia="Book Antiqua" w:hAnsi="Book Antiqua" w:cs="Book Antiqua"/>
          <w:i/>
          <w:iCs/>
          <w:color w:val="000000"/>
        </w:rPr>
        <w:t>Cytotherapy</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18</w:t>
      </w:r>
      <w:r w:rsidRPr="00BA6ACF">
        <w:rPr>
          <w:rFonts w:ascii="Book Antiqua" w:eastAsia="Book Antiqua" w:hAnsi="Book Antiqua" w:cs="Book Antiqua"/>
          <w:color w:val="000000"/>
        </w:rPr>
        <w:t>: 151-159 [PMID: 26724220 DOI: 10.1016/j.jcyt.2015.11.008]</w:t>
      </w:r>
    </w:p>
    <w:p w14:paraId="57CC231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32 </w:t>
      </w:r>
      <w:r w:rsidRPr="00BA6ACF">
        <w:rPr>
          <w:rFonts w:ascii="Book Antiqua" w:eastAsia="Book Antiqua" w:hAnsi="Book Antiqua" w:cs="Book Antiqua"/>
          <w:b/>
          <w:bCs/>
          <w:color w:val="000000"/>
        </w:rPr>
        <w:t>Turner MD</w:t>
      </w:r>
      <w:r w:rsidRPr="00BA6ACF">
        <w:rPr>
          <w:rFonts w:ascii="Book Antiqua" w:eastAsia="Book Antiqua" w:hAnsi="Book Antiqua" w:cs="Book Antiqua"/>
          <w:color w:val="000000"/>
        </w:rPr>
        <w:t xml:space="preserve">, Nedjai B, Hurst T, Pennington DJ. Cytokines and chemokines: At the crossroads of cell signalling and inflammatory disease. </w:t>
      </w:r>
      <w:r w:rsidRPr="00BA6ACF">
        <w:rPr>
          <w:rFonts w:ascii="Book Antiqua" w:eastAsia="Book Antiqua" w:hAnsi="Book Antiqua" w:cs="Book Antiqua"/>
          <w:i/>
          <w:iCs/>
          <w:color w:val="000000"/>
        </w:rPr>
        <w:t>Biochim Biophys Acta</w:t>
      </w:r>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1843</w:t>
      </w:r>
      <w:r w:rsidRPr="00BA6ACF">
        <w:rPr>
          <w:rFonts w:ascii="Book Antiqua" w:eastAsia="Book Antiqua" w:hAnsi="Book Antiqua" w:cs="Book Antiqua"/>
          <w:color w:val="000000"/>
        </w:rPr>
        <w:t>: 2563-2582 [PMID: 24892271 DOI: 10.1016/j.bbamcr.2014.05.014]</w:t>
      </w:r>
    </w:p>
    <w:p w14:paraId="4D6A91AD"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33 </w:t>
      </w:r>
      <w:r w:rsidRPr="00BA6ACF">
        <w:rPr>
          <w:rFonts w:ascii="Book Antiqua" w:eastAsia="Book Antiqua" w:hAnsi="Book Antiqua" w:cs="Book Antiqua"/>
          <w:b/>
          <w:bCs/>
          <w:color w:val="000000"/>
        </w:rPr>
        <w:t>Croitoru-Lamoury J</w:t>
      </w:r>
      <w:r w:rsidRPr="00BA6ACF">
        <w:rPr>
          <w:rFonts w:ascii="Book Antiqua" w:eastAsia="Book Antiqua" w:hAnsi="Book Antiqua" w:cs="Book Antiqua"/>
          <w:color w:val="000000"/>
        </w:rPr>
        <w:t xml:space="preserve">, Lamoury FM, Caristo M, Suzuki K, Walker D, Takikawa O, Taylor R, Brew BJ. Interferon-γ regulates the proliferation and differentiation of mesenchymal stem cells via activation of indoleamine 2,3 dioxygenase (IDO). </w:t>
      </w:r>
      <w:r w:rsidRPr="00BA6ACF">
        <w:rPr>
          <w:rFonts w:ascii="Book Antiqua" w:eastAsia="Book Antiqua" w:hAnsi="Book Antiqua" w:cs="Book Antiqua"/>
          <w:i/>
          <w:iCs/>
          <w:color w:val="000000"/>
        </w:rPr>
        <w:t>PLoS One</w:t>
      </w:r>
      <w:r w:rsidRPr="00BA6ACF">
        <w:rPr>
          <w:rFonts w:ascii="Book Antiqua" w:eastAsia="Book Antiqua" w:hAnsi="Book Antiqua" w:cs="Book Antiqua"/>
          <w:color w:val="000000"/>
        </w:rPr>
        <w:t xml:space="preserve"> 2011; </w:t>
      </w:r>
      <w:r w:rsidRPr="00BA6ACF">
        <w:rPr>
          <w:rFonts w:ascii="Book Antiqua" w:eastAsia="Book Antiqua" w:hAnsi="Book Antiqua" w:cs="Book Antiqua"/>
          <w:b/>
          <w:bCs/>
          <w:color w:val="000000"/>
        </w:rPr>
        <w:t>6</w:t>
      </w:r>
      <w:r w:rsidRPr="00BA6ACF">
        <w:rPr>
          <w:rFonts w:ascii="Book Antiqua" w:eastAsia="Book Antiqua" w:hAnsi="Book Antiqua" w:cs="Book Antiqua"/>
          <w:color w:val="000000"/>
        </w:rPr>
        <w:t>: e14698 [PMID: 21359206 DOI: 10.1371/journal.pone.0014698]</w:t>
      </w:r>
    </w:p>
    <w:p w14:paraId="0C638AC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34 </w:t>
      </w:r>
      <w:r w:rsidRPr="00BA6ACF">
        <w:rPr>
          <w:rFonts w:ascii="Book Antiqua" w:eastAsia="Book Antiqua" w:hAnsi="Book Antiqua" w:cs="Book Antiqua"/>
          <w:b/>
          <w:bCs/>
          <w:color w:val="000000"/>
        </w:rPr>
        <w:t>Shi Y</w:t>
      </w:r>
      <w:r w:rsidRPr="00BA6ACF">
        <w:rPr>
          <w:rFonts w:ascii="Book Antiqua" w:eastAsia="Book Antiqua" w:hAnsi="Book Antiqua" w:cs="Book Antiqua"/>
          <w:color w:val="000000"/>
        </w:rPr>
        <w:t xml:space="preserve">, Su J, Roberts AI, Shou P, Rabson AB, Ren G. How mesenchymal stem cells interact with tissue immune responses. </w:t>
      </w:r>
      <w:r w:rsidRPr="00BA6ACF">
        <w:rPr>
          <w:rFonts w:ascii="Book Antiqua" w:eastAsia="Book Antiqua" w:hAnsi="Book Antiqua" w:cs="Book Antiqua"/>
          <w:i/>
          <w:iCs/>
          <w:color w:val="000000"/>
        </w:rPr>
        <w:t>Trends Immunol</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33</w:t>
      </w:r>
      <w:r w:rsidRPr="00BA6ACF">
        <w:rPr>
          <w:rFonts w:ascii="Book Antiqua" w:eastAsia="Book Antiqua" w:hAnsi="Book Antiqua" w:cs="Book Antiqua"/>
          <w:color w:val="000000"/>
        </w:rPr>
        <w:t>: 136-143 [PMID: 22227317 DOI: 10.1016/j.it.2011.11.004]</w:t>
      </w:r>
    </w:p>
    <w:p w14:paraId="61CF50C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35 </w:t>
      </w:r>
      <w:r w:rsidRPr="00BA6ACF">
        <w:rPr>
          <w:rFonts w:ascii="Book Antiqua" w:eastAsia="Book Antiqua" w:hAnsi="Book Antiqua" w:cs="Book Antiqua"/>
          <w:b/>
          <w:bCs/>
          <w:color w:val="000000"/>
        </w:rPr>
        <w:t>Wang Q</w:t>
      </w:r>
      <w:r w:rsidRPr="00BA6ACF">
        <w:rPr>
          <w:rFonts w:ascii="Book Antiqua" w:eastAsia="Book Antiqua" w:hAnsi="Book Antiqua" w:cs="Book Antiqua"/>
          <w:color w:val="000000"/>
        </w:rPr>
        <w:t xml:space="preserve">, Yang Q, Wang Z, Tong H, Ma L, Zhang Y, Shan F, Meng Y, Yuan Z. Comparative analysis of human mesenchymal stem cells from fetal-bone marrow, adipose tissue, and Warton's jelly as sources of cell immunomodulatory therapy. </w:t>
      </w:r>
      <w:r w:rsidRPr="00BA6ACF">
        <w:rPr>
          <w:rFonts w:ascii="Book Antiqua" w:eastAsia="Book Antiqua" w:hAnsi="Book Antiqua" w:cs="Book Antiqua"/>
          <w:i/>
          <w:iCs/>
          <w:color w:val="000000"/>
        </w:rPr>
        <w:t>Hum Vaccin Immunother</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12</w:t>
      </w:r>
      <w:r w:rsidRPr="00BA6ACF">
        <w:rPr>
          <w:rFonts w:ascii="Book Antiqua" w:eastAsia="Book Antiqua" w:hAnsi="Book Antiqua" w:cs="Book Antiqua"/>
          <w:color w:val="000000"/>
        </w:rPr>
        <w:t>: 85-96 [PMID: 26186552 DOI: 10.1080/21645515.2015.1030549]</w:t>
      </w:r>
    </w:p>
    <w:p w14:paraId="695AB86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36 </w:t>
      </w:r>
      <w:r w:rsidRPr="00BA6ACF">
        <w:rPr>
          <w:rFonts w:ascii="Book Antiqua" w:eastAsia="Book Antiqua" w:hAnsi="Book Antiqua" w:cs="Book Antiqua"/>
          <w:b/>
          <w:bCs/>
          <w:color w:val="000000"/>
        </w:rPr>
        <w:t>Chinnadurai R</w:t>
      </w:r>
      <w:r w:rsidRPr="00BA6ACF">
        <w:rPr>
          <w:rFonts w:ascii="Book Antiqua" w:eastAsia="Book Antiqua" w:hAnsi="Book Antiqua" w:cs="Book Antiqua"/>
          <w:color w:val="000000"/>
        </w:rPr>
        <w:t xml:space="preserve">, Copland IB, Patel SR, Galipeau J. IDO-independent suppression of T cell effector function by IFN-γ-licensed human mesenchymal stromal cells. </w:t>
      </w:r>
      <w:r w:rsidRPr="00BA6ACF">
        <w:rPr>
          <w:rFonts w:ascii="Book Antiqua" w:eastAsia="Book Antiqua" w:hAnsi="Book Antiqua" w:cs="Book Antiqua"/>
          <w:i/>
          <w:iCs/>
          <w:color w:val="000000"/>
        </w:rPr>
        <w:t>J Immunol</w:t>
      </w:r>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192</w:t>
      </w:r>
      <w:r w:rsidRPr="00BA6ACF">
        <w:rPr>
          <w:rFonts w:ascii="Book Antiqua" w:eastAsia="Book Antiqua" w:hAnsi="Book Antiqua" w:cs="Book Antiqua"/>
          <w:color w:val="000000"/>
        </w:rPr>
        <w:t>: 1491-1501 [PMID: 24403533 DOI: 10.4049/jimmunol.1301828]</w:t>
      </w:r>
    </w:p>
    <w:p w14:paraId="58607C7D"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37 </w:t>
      </w:r>
      <w:r w:rsidRPr="00BA6ACF">
        <w:rPr>
          <w:rFonts w:ascii="Book Antiqua" w:eastAsia="Book Antiqua" w:hAnsi="Book Antiqua" w:cs="Book Antiqua"/>
          <w:b/>
          <w:bCs/>
          <w:color w:val="000000"/>
        </w:rPr>
        <w:t>Noone C</w:t>
      </w:r>
      <w:r w:rsidRPr="00BA6ACF">
        <w:rPr>
          <w:rFonts w:ascii="Book Antiqua" w:eastAsia="Book Antiqua" w:hAnsi="Book Antiqua" w:cs="Book Antiqua"/>
          <w:color w:val="000000"/>
        </w:rPr>
        <w:t xml:space="preserve">, Kihm A, English K, O'Dea S, Mahon BP. IFN-γ stimulated human umbilical-tissue-derived cells potently suppress NK activation and resist NK-mediated cytotoxicity in vitro. </w:t>
      </w:r>
      <w:r w:rsidRPr="00BA6ACF">
        <w:rPr>
          <w:rFonts w:ascii="Book Antiqua" w:eastAsia="Book Antiqua" w:hAnsi="Book Antiqua" w:cs="Book Antiqua"/>
          <w:i/>
          <w:iCs/>
          <w:color w:val="000000"/>
        </w:rPr>
        <w:t>Stem Cells Dev</w:t>
      </w:r>
      <w:r w:rsidRPr="00BA6ACF">
        <w:rPr>
          <w:rFonts w:ascii="Book Antiqua" w:eastAsia="Book Antiqua" w:hAnsi="Book Antiqua" w:cs="Book Antiqua"/>
          <w:color w:val="000000"/>
        </w:rPr>
        <w:t xml:space="preserve"> 2013; </w:t>
      </w:r>
      <w:r w:rsidRPr="00BA6ACF">
        <w:rPr>
          <w:rFonts w:ascii="Book Antiqua" w:eastAsia="Book Antiqua" w:hAnsi="Book Antiqua" w:cs="Book Antiqua"/>
          <w:b/>
          <w:bCs/>
          <w:color w:val="000000"/>
        </w:rPr>
        <w:t>22</w:t>
      </w:r>
      <w:r w:rsidRPr="00BA6ACF">
        <w:rPr>
          <w:rFonts w:ascii="Book Antiqua" w:eastAsia="Book Antiqua" w:hAnsi="Book Antiqua" w:cs="Book Antiqua"/>
          <w:color w:val="000000"/>
        </w:rPr>
        <w:t>: 3003-3014 [PMID: 23795941 DOI: 10.1089/scd.2013.0028]</w:t>
      </w:r>
    </w:p>
    <w:p w14:paraId="0894AF0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38 </w:t>
      </w:r>
      <w:r w:rsidRPr="00BA6ACF">
        <w:rPr>
          <w:rFonts w:ascii="Book Antiqua" w:eastAsia="Book Antiqua" w:hAnsi="Book Antiqua" w:cs="Book Antiqua"/>
          <w:b/>
          <w:bCs/>
          <w:color w:val="000000"/>
        </w:rPr>
        <w:t>Rafei M</w:t>
      </w:r>
      <w:r w:rsidRPr="00BA6ACF">
        <w:rPr>
          <w:rFonts w:ascii="Book Antiqua" w:eastAsia="Book Antiqua" w:hAnsi="Book Antiqua" w:cs="Book Antiqua"/>
          <w:color w:val="000000"/>
        </w:rPr>
        <w:t xml:space="preserve">, Birman E, Forner K, Galipeau J. Allogeneic mesenchymal stem cells for treatment of experimental autoimmune encephalomyelitis. </w:t>
      </w:r>
      <w:r w:rsidRPr="00BA6ACF">
        <w:rPr>
          <w:rFonts w:ascii="Book Antiqua" w:eastAsia="Book Antiqua" w:hAnsi="Book Antiqua" w:cs="Book Antiqua"/>
          <w:i/>
          <w:iCs/>
          <w:color w:val="000000"/>
        </w:rPr>
        <w:t>Mol Ther</w:t>
      </w:r>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17</w:t>
      </w:r>
      <w:r w:rsidRPr="00BA6ACF">
        <w:rPr>
          <w:rFonts w:ascii="Book Antiqua" w:eastAsia="Book Antiqua" w:hAnsi="Book Antiqua" w:cs="Book Antiqua"/>
          <w:color w:val="000000"/>
        </w:rPr>
        <w:t>: 1799-1803 [PMID: 19602999 DOI: 10.1038/mt.2009.157]</w:t>
      </w:r>
    </w:p>
    <w:p w14:paraId="4B0BCE2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39 </w:t>
      </w:r>
      <w:r w:rsidRPr="00BA6ACF">
        <w:rPr>
          <w:rFonts w:ascii="Book Antiqua" w:eastAsia="Book Antiqua" w:hAnsi="Book Antiqua" w:cs="Book Antiqua"/>
          <w:b/>
          <w:bCs/>
          <w:color w:val="000000"/>
        </w:rPr>
        <w:t>Chinnadurai R</w:t>
      </w:r>
      <w:r w:rsidRPr="00BA6ACF">
        <w:rPr>
          <w:rFonts w:ascii="Book Antiqua" w:eastAsia="Book Antiqua" w:hAnsi="Book Antiqua" w:cs="Book Antiqua"/>
          <w:color w:val="000000"/>
        </w:rPr>
        <w:t xml:space="preserve">, Rajan D, Ng S, McCullough K, Arafat D, Waller EK, Anderson LJ, Gibson G, Galipeau J. Immune dysfunctionality of replicative senescent mesenchymal stromal cells is corrected by IFNγ priming. </w:t>
      </w:r>
      <w:r w:rsidRPr="00BA6ACF">
        <w:rPr>
          <w:rFonts w:ascii="Book Antiqua" w:eastAsia="Book Antiqua" w:hAnsi="Book Antiqua" w:cs="Book Antiqua"/>
          <w:i/>
          <w:iCs/>
          <w:color w:val="000000"/>
        </w:rPr>
        <w:t>Blood Adv</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1</w:t>
      </w:r>
      <w:r w:rsidRPr="00BA6ACF">
        <w:rPr>
          <w:rFonts w:ascii="Book Antiqua" w:eastAsia="Book Antiqua" w:hAnsi="Book Antiqua" w:cs="Book Antiqua"/>
          <w:color w:val="000000"/>
        </w:rPr>
        <w:t>: 628-643 [PMID: 28713871 DOI: 10.1182/bloodadvances.2017006205]</w:t>
      </w:r>
    </w:p>
    <w:p w14:paraId="1EEF840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40 </w:t>
      </w:r>
      <w:r w:rsidRPr="00BA6ACF">
        <w:rPr>
          <w:rFonts w:ascii="Book Antiqua" w:eastAsia="Book Antiqua" w:hAnsi="Book Antiqua" w:cs="Book Antiqua"/>
          <w:b/>
          <w:bCs/>
          <w:color w:val="000000"/>
        </w:rPr>
        <w:t>Duijvestein M</w:t>
      </w:r>
      <w:r w:rsidRPr="00BA6ACF">
        <w:rPr>
          <w:rFonts w:ascii="Book Antiqua" w:eastAsia="Book Antiqua" w:hAnsi="Book Antiqua" w:cs="Book Antiqua"/>
          <w:color w:val="000000"/>
        </w:rPr>
        <w:t>, Wildenberg ME, Welling MM, Hennink S, Molendijk I, van Zuylen VL, Bosse T, Vos AC, de Jonge-Muller ES, Roelofs H, van der Weerd L, Verspaget HW, Fibbe WE, te Velde AA, van den Brink GR, Hommes DW. Pretreatment with interferon-</w:t>
      </w:r>
      <w:r w:rsidRPr="00BA6ACF">
        <w:rPr>
          <w:rFonts w:ascii="Book Antiqua" w:eastAsia="Book Antiqua" w:hAnsi="Book Antiqua" w:cs="Book Antiqua"/>
          <w:color w:val="000000"/>
        </w:rPr>
        <w:lastRenderedPageBreak/>
        <w:t xml:space="preserve">γ enhances the therapeutic activity of mesenchymal stromal cells in animal models of colitis. </w:t>
      </w:r>
      <w:r w:rsidRPr="00BA6ACF">
        <w:rPr>
          <w:rFonts w:ascii="Book Antiqua" w:eastAsia="Book Antiqua" w:hAnsi="Book Antiqua" w:cs="Book Antiqua"/>
          <w:i/>
          <w:iCs/>
          <w:color w:val="000000"/>
        </w:rPr>
        <w:t>Stem Cells</w:t>
      </w:r>
      <w:r w:rsidRPr="00BA6ACF">
        <w:rPr>
          <w:rFonts w:ascii="Book Antiqua" w:eastAsia="Book Antiqua" w:hAnsi="Book Antiqua" w:cs="Book Antiqua"/>
          <w:color w:val="000000"/>
        </w:rPr>
        <w:t xml:space="preserve"> 2011; </w:t>
      </w:r>
      <w:r w:rsidRPr="00BA6ACF">
        <w:rPr>
          <w:rFonts w:ascii="Book Antiqua" w:eastAsia="Book Antiqua" w:hAnsi="Book Antiqua" w:cs="Book Antiqua"/>
          <w:b/>
          <w:bCs/>
          <w:color w:val="000000"/>
        </w:rPr>
        <w:t>29</w:t>
      </w:r>
      <w:r w:rsidRPr="00BA6ACF">
        <w:rPr>
          <w:rFonts w:ascii="Book Antiqua" w:eastAsia="Book Antiqua" w:hAnsi="Book Antiqua" w:cs="Book Antiqua"/>
          <w:color w:val="000000"/>
        </w:rPr>
        <w:t>: 1549-1558 [PMID: 21898680 DOI: 10.1002/stem.698]</w:t>
      </w:r>
    </w:p>
    <w:p w14:paraId="65A8072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41 </w:t>
      </w:r>
      <w:r w:rsidRPr="00BA6ACF">
        <w:rPr>
          <w:rFonts w:ascii="Book Antiqua" w:eastAsia="Book Antiqua" w:hAnsi="Book Antiqua" w:cs="Book Antiqua"/>
          <w:b/>
          <w:bCs/>
          <w:color w:val="000000"/>
        </w:rPr>
        <w:t>Polchert D</w:t>
      </w:r>
      <w:r w:rsidRPr="00BA6ACF">
        <w:rPr>
          <w:rFonts w:ascii="Book Antiqua" w:eastAsia="Book Antiqua" w:hAnsi="Book Antiqua" w:cs="Book Antiqua"/>
          <w:color w:val="000000"/>
        </w:rPr>
        <w:t xml:space="preserve">, Sobinsky J, Douglas G, Kidd M, Moadsiri A, Reina E, Genrich K, Mehrotra S, Setty S, Smith B, Bartholomew A. IFN-gamma activation of mesenchymal stem cells for treatment and prevention of graft </w:t>
      </w:r>
      <w:r w:rsidRPr="00BA6ACF">
        <w:rPr>
          <w:rFonts w:ascii="Book Antiqua" w:eastAsia="Book Antiqua" w:hAnsi="Book Antiqua" w:cs="Book Antiqua"/>
          <w:i/>
          <w:iCs/>
          <w:color w:val="000000"/>
        </w:rPr>
        <w:t>vs</w:t>
      </w:r>
      <w:r w:rsidRPr="00BA6ACF">
        <w:rPr>
          <w:rFonts w:ascii="Book Antiqua" w:eastAsia="Book Antiqua" w:hAnsi="Book Antiqua" w:cs="Book Antiqua"/>
          <w:color w:val="000000"/>
        </w:rPr>
        <w:t xml:space="preserve"> host disease. </w:t>
      </w:r>
      <w:r w:rsidRPr="00BA6ACF">
        <w:rPr>
          <w:rFonts w:ascii="Book Antiqua" w:eastAsia="Book Antiqua" w:hAnsi="Book Antiqua" w:cs="Book Antiqua"/>
          <w:i/>
          <w:iCs/>
          <w:color w:val="000000"/>
        </w:rPr>
        <w:t>Eur J Immunol</w:t>
      </w:r>
      <w:r w:rsidRPr="00BA6ACF">
        <w:rPr>
          <w:rFonts w:ascii="Book Antiqua" w:eastAsia="Book Antiqua" w:hAnsi="Book Antiqua" w:cs="Book Antiqua"/>
          <w:color w:val="000000"/>
        </w:rPr>
        <w:t xml:space="preserve"> 2008; </w:t>
      </w:r>
      <w:r w:rsidRPr="00BA6ACF">
        <w:rPr>
          <w:rFonts w:ascii="Book Antiqua" w:eastAsia="Book Antiqua" w:hAnsi="Book Antiqua" w:cs="Book Antiqua"/>
          <w:b/>
          <w:bCs/>
          <w:color w:val="000000"/>
        </w:rPr>
        <w:t>38</w:t>
      </w:r>
      <w:r w:rsidRPr="00BA6ACF">
        <w:rPr>
          <w:rFonts w:ascii="Book Antiqua" w:eastAsia="Book Antiqua" w:hAnsi="Book Antiqua" w:cs="Book Antiqua"/>
          <w:color w:val="000000"/>
        </w:rPr>
        <w:t>: 1745-1755 [PMID: 18493986 DOI: 10.1002/eji.200738129]</w:t>
      </w:r>
    </w:p>
    <w:p w14:paraId="7A277FD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42 </w:t>
      </w:r>
      <w:r w:rsidRPr="00BA6ACF">
        <w:rPr>
          <w:rFonts w:ascii="Book Antiqua" w:eastAsia="Book Antiqua" w:hAnsi="Book Antiqua" w:cs="Book Antiqua"/>
          <w:b/>
          <w:bCs/>
          <w:color w:val="000000"/>
        </w:rPr>
        <w:t>Burand AJ</w:t>
      </w:r>
      <w:r w:rsidRPr="00BA6ACF">
        <w:rPr>
          <w:rFonts w:ascii="Book Antiqua" w:eastAsia="Book Antiqua" w:hAnsi="Book Antiqua" w:cs="Book Antiqua"/>
          <w:color w:val="000000"/>
        </w:rPr>
        <w:t xml:space="preserve">, Gramlich OW, Brown AJ, Ankrum JA. Function of Cryopreserved Mesenchymal Stromal Cells With and Without Interferon-γ Prelicensing is Context Dependent. </w:t>
      </w:r>
      <w:r w:rsidRPr="00BA6ACF">
        <w:rPr>
          <w:rFonts w:ascii="Book Antiqua" w:eastAsia="Book Antiqua" w:hAnsi="Book Antiqua" w:cs="Book Antiqua"/>
          <w:i/>
          <w:iCs/>
          <w:color w:val="000000"/>
        </w:rPr>
        <w:t>Stem Cells</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35</w:t>
      </w:r>
      <w:r w:rsidRPr="00BA6ACF">
        <w:rPr>
          <w:rFonts w:ascii="Book Antiqua" w:eastAsia="Book Antiqua" w:hAnsi="Book Antiqua" w:cs="Book Antiqua"/>
          <w:color w:val="000000"/>
        </w:rPr>
        <w:t>: 1437-1439 [PMID: 27758056 DOI: 10.1002/stem.2528]</w:t>
      </w:r>
    </w:p>
    <w:p w14:paraId="5860540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43 </w:t>
      </w:r>
      <w:r w:rsidRPr="00BA6ACF">
        <w:rPr>
          <w:rFonts w:ascii="Book Antiqua" w:eastAsia="Book Antiqua" w:hAnsi="Book Antiqua" w:cs="Book Antiqua"/>
          <w:b/>
          <w:bCs/>
          <w:color w:val="000000"/>
        </w:rPr>
        <w:t>Shioda M</w:t>
      </w:r>
      <w:r w:rsidRPr="00BA6ACF">
        <w:rPr>
          <w:rFonts w:ascii="Book Antiqua" w:eastAsia="Book Antiqua" w:hAnsi="Book Antiqua" w:cs="Book Antiqua"/>
          <w:color w:val="000000"/>
        </w:rPr>
        <w:t xml:space="preserve">, Muneta T, Tsuji K, Mizuno M, Komori K, Koga H, Sekiya I. TNFα promotes proliferation of human synovial MSCs while maintaining chondrogenic potential. </w:t>
      </w:r>
      <w:r w:rsidRPr="00BA6ACF">
        <w:rPr>
          <w:rFonts w:ascii="Book Antiqua" w:eastAsia="Book Antiqua" w:hAnsi="Book Antiqua" w:cs="Book Antiqua"/>
          <w:i/>
          <w:iCs/>
          <w:color w:val="000000"/>
        </w:rPr>
        <w:t>PLoS One</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12</w:t>
      </w:r>
      <w:r w:rsidRPr="00BA6ACF">
        <w:rPr>
          <w:rFonts w:ascii="Book Antiqua" w:eastAsia="Book Antiqua" w:hAnsi="Book Antiqua" w:cs="Book Antiqua"/>
          <w:color w:val="000000"/>
        </w:rPr>
        <w:t>: e0177771 [PMID: 28542363 DOI: 10.1371/journal.pone.0177771]</w:t>
      </w:r>
    </w:p>
    <w:p w14:paraId="0284E41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44 </w:t>
      </w:r>
      <w:r w:rsidRPr="00BA6ACF">
        <w:rPr>
          <w:rFonts w:ascii="Book Antiqua" w:eastAsia="Book Antiqua" w:hAnsi="Book Antiqua" w:cs="Book Antiqua"/>
          <w:b/>
          <w:bCs/>
          <w:color w:val="000000"/>
        </w:rPr>
        <w:t>Böcker W</w:t>
      </w:r>
      <w:r w:rsidRPr="00BA6ACF">
        <w:rPr>
          <w:rFonts w:ascii="Book Antiqua" w:eastAsia="Book Antiqua" w:hAnsi="Book Antiqua" w:cs="Book Antiqua"/>
          <w:color w:val="000000"/>
        </w:rPr>
        <w:t xml:space="preserve">, Docheva D, Prall WC, Egea V, Pappou E, Rossmann O, Popov C, Mutschler W, Ries C, Schieker M. IKK-2 is required for TNF-alpha-induced invasion and proliferation of human mesenchymal stem cells. </w:t>
      </w:r>
      <w:r w:rsidRPr="00BA6ACF">
        <w:rPr>
          <w:rFonts w:ascii="Book Antiqua" w:eastAsia="Book Antiqua" w:hAnsi="Book Antiqua" w:cs="Book Antiqua"/>
          <w:i/>
          <w:iCs/>
          <w:color w:val="000000"/>
        </w:rPr>
        <w:t>J Mol Med (Berl)</w:t>
      </w:r>
      <w:r w:rsidRPr="00BA6ACF">
        <w:rPr>
          <w:rFonts w:ascii="Book Antiqua" w:eastAsia="Book Antiqua" w:hAnsi="Book Antiqua" w:cs="Book Antiqua"/>
          <w:color w:val="000000"/>
        </w:rPr>
        <w:t xml:space="preserve"> 2008; </w:t>
      </w:r>
      <w:r w:rsidRPr="00BA6ACF">
        <w:rPr>
          <w:rFonts w:ascii="Book Antiqua" w:eastAsia="Book Antiqua" w:hAnsi="Book Antiqua" w:cs="Book Antiqua"/>
          <w:b/>
          <w:bCs/>
          <w:color w:val="000000"/>
        </w:rPr>
        <w:t>86</w:t>
      </w:r>
      <w:r w:rsidRPr="00BA6ACF">
        <w:rPr>
          <w:rFonts w:ascii="Book Antiqua" w:eastAsia="Book Antiqua" w:hAnsi="Book Antiqua" w:cs="Book Antiqua"/>
          <w:color w:val="000000"/>
        </w:rPr>
        <w:t>: 1183-1192 [PMID: 18600306 DOI: 10.1007/s00109-008-0378-3]</w:t>
      </w:r>
    </w:p>
    <w:p w14:paraId="3F2E314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45 </w:t>
      </w:r>
      <w:r w:rsidRPr="00BA6ACF">
        <w:rPr>
          <w:rFonts w:ascii="Book Antiqua" w:eastAsia="Book Antiqua" w:hAnsi="Book Antiqua" w:cs="Book Antiqua"/>
          <w:b/>
          <w:bCs/>
          <w:color w:val="000000"/>
        </w:rPr>
        <w:t>Jagielski M</w:t>
      </w:r>
      <w:r w:rsidRPr="00BA6ACF">
        <w:rPr>
          <w:rFonts w:ascii="Book Antiqua" w:eastAsia="Book Antiqua" w:hAnsi="Book Antiqua" w:cs="Book Antiqua"/>
          <w:color w:val="000000"/>
        </w:rPr>
        <w:t xml:space="preserve">, Wolf J, Marzahn U, Völker A, Lemke M, Meier C, Ertel W, Godkin O, Arens S, Schulze-Tanzil G. The influence of IL-10 and TNFα on chondrogenesis of human mesenchymal stromal cells in three-dimensional cultures. </w:t>
      </w:r>
      <w:r w:rsidRPr="00BA6ACF">
        <w:rPr>
          <w:rFonts w:ascii="Book Antiqua" w:eastAsia="Book Antiqua" w:hAnsi="Book Antiqua" w:cs="Book Antiqua"/>
          <w:i/>
          <w:iCs/>
          <w:color w:val="000000"/>
        </w:rPr>
        <w:t>Int J Mol Sci</w:t>
      </w:r>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15</w:t>
      </w:r>
      <w:r w:rsidRPr="00BA6ACF">
        <w:rPr>
          <w:rFonts w:ascii="Book Antiqua" w:eastAsia="Book Antiqua" w:hAnsi="Book Antiqua" w:cs="Book Antiqua"/>
          <w:color w:val="000000"/>
        </w:rPr>
        <w:t>: 15821-15844 [PMID: 25207597 DOI: 10.3390/ijms150915821]</w:t>
      </w:r>
    </w:p>
    <w:p w14:paraId="6A242C4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46 </w:t>
      </w:r>
      <w:r w:rsidRPr="00BA6ACF">
        <w:rPr>
          <w:rFonts w:ascii="Book Antiqua" w:eastAsia="Book Antiqua" w:hAnsi="Book Antiqua" w:cs="Book Antiqua"/>
          <w:b/>
          <w:bCs/>
          <w:color w:val="000000"/>
        </w:rPr>
        <w:t>Wehling N</w:t>
      </w:r>
      <w:r w:rsidRPr="00BA6ACF">
        <w:rPr>
          <w:rFonts w:ascii="Book Antiqua" w:eastAsia="Book Antiqua" w:hAnsi="Book Antiqua" w:cs="Book Antiqua"/>
          <w:color w:val="000000"/>
        </w:rPr>
        <w:t xml:space="preserve">, Palmer GD, Pilapil C, Liu F, Wells JW, Müller PE, Evans CH, Porter RM. Interleukin-1beta and tumor necrosis factor alpha inhibit chondrogenesis by human mesenchymal stem cells through NF-kappaB-dependent pathways. </w:t>
      </w:r>
      <w:r w:rsidRPr="00BA6ACF">
        <w:rPr>
          <w:rFonts w:ascii="Book Antiqua" w:eastAsia="Book Antiqua" w:hAnsi="Book Antiqua" w:cs="Book Antiqua"/>
          <w:i/>
          <w:iCs/>
          <w:color w:val="000000"/>
        </w:rPr>
        <w:t>Arthritis Rheum</w:t>
      </w:r>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60</w:t>
      </w:r>
      <w:r w:rsidRPr="00BA6ACF">
        <w:rPr>
          <w:rFonts w:ascii="Book Antiqua" w:eastAsia="Book Antiqua" w:hAnsi="Book Antiqua" w:cs="Book Antiqua"/>
          <w:color w:val="000000"/>
        </w:rPr>
        <w:t>: 801-812 [PMID: 19248089 DOI: 10.1002/art.24352]</w:t>
      </w:r>
    </w:p>
    <w:p w14:paraId="08C2BFD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47 </w:t>
      </w:r>
      <w:r w:rsidRPr="00BA6ACF">
        <w:rPr>
          <w:rFonts w:ascii="Book Antiqua" w:eastAsia="Book Antiqua" w:hAnsi="Book Antiqua" w:cs="Book Antiqua"/>
          <w:b/>
          <w:bCs/>
          <w:color w:val="000000"/>
        </w:rPr>
        <w:t>Lacey DC</w:t>
      </w:r>
      <w:r w:rsidRPr="00BA6ACF">
        <w:rPr>
          <w:rFonts w:ascii="Book Antiqua" w:eastAsia="Book Antiqua" w:hAnsi="Book Antiqua" w:cs="Book Antiqua"/>
          <w:color w:val="000000"/>
        </w:rPr>
        <w:t xml:space="preserve">, Simmons PJ, Graves SE, Hamilton JA. Proinflammatory cytokines inhibit osteogenic differentiation from stem cells: implications for bone repair during inflammation. </w:t>
      </w:r>
      <w:r w:rsidRPr="00BA6ACF">
        <w:rPr>
          <w:rFonts w:ascii="Book Antiqua" w:eastAsia="Book Antiqua" w:hAnsi="Book Antiqua" w:cs="Book Antiqua"/>
          <w:i/>
          <w:iCs/>
          <w:color w:val="000000"/>
        </w:rPr>
        <w:t>Osteoarthritis Cartilage</w:t>
      </w:r>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17</w:t>
      </w:r>
      <w:r w:rsidRPr="00BA6ACF">
        <w:rPr>
          <w:rFonts w:ascii="Book Antiqua" w:eastAsia="Book Antiqua" w:hAnsi="Book Antiqua" w:cs="Book Antiqua"/>
          <w:color w:val="000000"/>
        </w:rPr>
        <w:t>: 735-742 [PMID: 19136283 DOI: 10.1016/j.joca.2008.11.011]</w:t>
      </w:r>
    </w:p>
    <w:p w14:paraId="32454E41"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48 </w:t>
      </w:r>
      <w:r w:rsidRPr="00BA6ACF">
        <w:rPr>
          <w:rFonts w:ascii="Book Antiqua" w:eastAsia="Book Antiqua" w:hAnsi="Book Antiqua" w:cs="Book Antiqua"/>
          <w:b/>
          <w:bCs/>
          <w:color w:val="000000"/>
        </w:rPr>
        <w:t>Gilbert L</w:t>
      </w:r>
      <w:r w:rsidRPr="00BA6ACF">
        <w:rPr>
          <w:rFonts w:ascii="Book Antiqua" w:eastAsia="Book Antiqua" w:hAnsi="Book Antiqua" w:cs="Book Antiqua"/>
          <w:color w:val="000000"/>
        </w:rPr>
        <w:t xml:space="preserve">, He X, Farmer P, Rubin J, Drissi H, van Wijnen AJ, Lian JB, Stein GS, Nanes MS. Expression of the osteoblast differentiation factor RUNX2 (Cbfa1/AML3/Pebp2alpha A) is inhibited by tumor necrosis factor-alpha. </w:t>
      </w:r>
      <w:r w:rsidRPr="00BA6ACF">
        <w:rPr>
          <w:rFonts w:ascii="Book Antiqua" w:eastAsia="Book Antiqua" w:hAnsi="Book Antiqua" w:cs="Book Antiqua"/>
          <w:i/>
          <w:iCs/>
          <w:color w:val="000000"/>
        </w:rPr>
        <w:t>J Biol Chem</w:t>
      </w:r>
      <w:r w:rsidRPr="00BA6ACF">
        <w:rPr>
          <w:rFonts w:ascii="Book Antiqua" w:eastAsia="Book Antiqua" w:hAnsi="Book Antiqua" w:cs="Book Antiqua"/>
          <w:color w:val="000000"/>
        </w:rPr>
        <w:t xml:space="preserve"> 2002; </w:t>
      </w:r>
      <w:r w:rsidRPr="00BA6ACF">
        <w:rPr>
          <w:rFonts w:ascii="Book Antiqua" w:eastAsia="Book Antiqua" w:hAnsi="Book Antiqua" w:cs="Book Antiqua"/>
          <w:b/>
          <w:bCs/>
          <w:color w:val="000000"/>
        </w:rPr>
        <w:t>277</w:t>
      </w:r>
      <w:r w:rsidRPr="00BA6ACF">
        <w:rPr>
          <w:rFonts w:ascii="Book Antiqua" w:eastAsia="Book Antiqua" w:hAnsi="Book Antiqua" w:cs="Book Antiqua"/>
          <w:color w:val="000000"/>
        </w:rPr>
        <w:t>: 2695-2701 [PMID: 11723115 DOI: 10.1074/jbc.M106339200]</w:t>
      </w:r>
    </w:p>
    <w:p w14:paraId="27D7D63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49 </w:t>
      </w:r>
      <w:r w:rsidRPr="00BA6ACF">
        <w:rPr>
          <w:rFonts w:ascii="Book Antiqua" w:eastAsia="Book Antiqua" w:hAnsi="Book Antiqua" w:cs="Book Antiqua"/>
          <w:b/>
          <w:bCs/>
          <w:color w:val="000000"/>
        </w:rPr>
        <w:t>Mountziaris PM</w:t>
      </w:r>
      <w:r w:rsidRPr="00BA6ACF">
        <w:rPr>
          <w:rFonts w:ascii="Book Antiqua" w:eastAsia="Book Antiqua" w:hAnsi="Book Antiqua" w:cs="Book Antiqua"/>
          <w:color w:val="000000"/>
        </w:rPr>
        <w:t xml:space="preserve">, Tzouanas SN, Mikos AG. Dose effect of tumor necrosis factor-alpha on </w:t>
      </w:r>
      <w:r w:rsidRPr="00BA6ACF">
        <w:rPr>
          <w:rFonts w:ascii="Book Antiqua" w:eastAsia="Book Antiqua" w:hAnsi="Book Antiqua" w:cs="Book Antiqua"/>
          <w:i/>
          <w:iCs/>
          <w:color w:val="000000"/>
        </w:rPr>
        <w:t>in vitro</w:t>
      </w:r>
      <w:r w:rsidRPr="00BA6ACF">
        <w:rPr>
          <w:rFonts w:ascii="Book Antiqua" w:eastAsia="Book Antiqua" w:hAnsi="Book Antiqua" w:cs="Book Antiqua"/>
          <w:color w:val="000000"/>
        </w:rPr>
        <w:t xml:space="preserve"> osteogenic differentiation of mesenchymal stem cells on biodegradable polymeric microfiber scaffolds. </w:t>
      </w:r>
      <w:r w:rsidRPr="00BA6ACF">
        <w:rPr>
          <w:rFonts w:ascii="Book Antiqua" w:eastAsia="Book Antiqua" w:hAnsi="Book Antiqua" w:cs="Book Antiqua"/>
          <w:i/>
          <w:iCs/>
          <w:color w:val="000000"/>
        </w:rPr>
        <w:t>Biomaterials</w:t>
      </w:r>
      <w:r w:rsidRPr="00BA6ACF">
        <w:rPr>
          <w:rFonts w:ascii="Book Antiqua" w:eastAsia="Book Antiqua" w:hAnsi="Book Antiqua" w:cs="Book Antiqua"/>
          <w:color w:val="000000"/>
        </w:rPr>
        <w:t xml:space="preserve"> 2010; </w:t>
      </w:r>
      <w:r w:rsidRPr="00BA6ACF">
        <w:rPr>
          <w:rFonts w:ascii="Book Antiqua" w:eastAsia="Book Antiqua" w:hAnsi="Book Antiqua" w:cs="Book Antiqua"/>
          <w:b/>
          <w:bCs/>
          <w:color w:val="000000"/>
        </w:rPr>
        <w:t>31</w:t>
      </w:r>
      <w:r w:rsidRPr="00BA6ACF">
        <w:rPr>
          <w:rFonts w:ascii="Book Antiqua" w:eastAsia="Book Antiqua" w:hAnsi="Book Antiqua" w:cs="Book Antiqua"/>
          <w:color w:val="000000"/>
        </w:rPr>
        <w:t>: 1666-1675 [PMID: 19963268 DOI: 10.1016/j.biomaterials.2009.11.058]</w:t>
      </w:r>
    </w:p>
    <w:p w14:paraId="1E4234E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50 </w:t>
      </w:r>
      <w:r w:rsidRPr="00BA6ACF">
        <w:rPr>
          <w:rFonts w:ascii="Book Antiqua" w:eastAsia="Book Antiqua" w:hAnsi="Book Antiqua" w:cs="Book Antiqua"/>
          <w:b/>
          <w:bCs/>
          <w:color w:val="000000"/>
        </w:rPr>
        <w:t>Croes M</w:t>
      </w:r>
      <w:r w:rsidRPr="00BA6ACF">
        <w:rPr>
          <w:rFonts w:ascii="Book Antiqua" w:eastAsia="Book Antiqua" w:hAnsi="Book Antiqua" w:cs="Book Antiqua"/>
          <w:color w:val="000000"/>
        </w:rPr>
        <w:t xml:space="preserve">, Oner FC, Kruyt MC, Blokhuis TJ, Bastian O, Dhert WJ, Alblas J. Proinflammatory Mediators Enhance the Osteogenesis of Human Mesenchymal Stem Cells after Lineage Commitment. </w:t>
      </w:r>
      <w:r w:rsidRPr="00BA6ACF">
        <w:rPr>
          <w:rFonts w:ascii="Book Antiqua" w:eastAsia="Book Antiqua" w:hAnsi="Book Antiqua" w:cs="Book Antiqua"/>
          <w:i/>
          <w:iCs/>
          <w:color w:val="000000"/>
        </w:rPr>
        <w:t>PLoS One</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10</w:t>
      </w:r>
      <w:r w:rsidRPr="00BA6ACF">
        <w:rPr>
          <w:rFonts w:ascii="Book Antiqua" w:eastAsia="Book Antiqua" w:hAnsi="Book Antiqua" w:cs="Book Antiqua"/>
          <w:color w:val="000000"/>
        </w:rPr>
        <w:t>: e0132781 [PMID: 26176237 DOI: 10.1371/journal.pone.0132781]</w:t>
      </w:r>
    </w:p>
    <w:p w14:paraId="6CF466D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51 </w:t>
      </w:r>
      <w:r w:rsidRPr="00BA6ACF">
        <w:rPr>
          <w:rFonts w:ascii="Book Antiqua" w:eastAsia="Book Antiqua" w:hAnsi="Book Antiqua" w:cs="Book Antiqua"/>
          <w:b/>
          <w:bCs/>
          <w:color w:val="000000"/>
        </w:rPr>
        <w:t>Hess K</w:t>
      </w:r>
      <w:r w:rsidRPr="00BA6ACF">
        <w:rPr>
          <w:rFonts w:ascii="Book Antiqua" w:eastAsia="Book Antiqua" w:hAnsi="Book Antiqua" w:cs="Book Antiqua"/>
          <w:color w:val="000000"/>
        </w:rPr>
        <w:t xml:space="preserve">, Ushmorov A, Fiedler J, Brenner RE, Wirth T. TNFalpha promotes osteogenic differentiation of human mesenchymal stem cells by triggering the NF-kappaB signaling pathway. </w:t>
      </w:r>
      <w:r w:rsidRPr="00BA6ACF">
        <w:rPr>
          <w:rFonts w:ascii="Book Antiqua" w:eastAsia="Book Antiqua" w:hAnsi="Book Antiqua" w:cs="Book Antiqua"/>
          <w:i/>
          <w:iCs/>
          <w:color w:val="000000"/>
        </w:rPr>
        <w:t>Bone</w:t>
      </w:r>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45</w:t>
      </w:r>
      <w:r w:rsidRPr="00BA6ACF">
        <w:rPr>
          <w:rFonts w:ascii="Book Antiqua" w:eastAsia="Book Antiqua" w:hAnsi="Book Antiqua" w:cs="Book Antiqua"/>
          <w:color w:val="000000"/>
        </w:rPr>
        <w:t>: 367-376 [PMID: 19414075 DOI: 10.1016/j.bone.2009.04.252]</w:t>
      </w:r>
    </w:p>
    <w:p w14:paraId="771A6001"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52 </w:t>
      </w:r>
      <w:r w:rsidRPr="00BA6ACF">
        <w:rPr>
          <w:rFonts w:ascii="Book Antiqua" w:eastAsia="Book Antiqua" w:hAnsi="Book Antiqua" w:cs="Book Antiqua"/>
          <w:b/>
          <w:bCs/>
          <w:color w:val="000000"/>
        </w:rPr>
        <w:t>Qin Z</w:t>
      </w:r>
      <w:r w:rsidRPr="00BA6ACF">
        <w:rPr>
          <w:rFonts w:ascii="Book Antiqua" w:eastAsia="Book Antiqua" w:hAnsi="Book Antiqua" w:cs="Book Antiqua"/>
          <w:color w:val="000000"/>
        </w:rPr>
        <w:t xml:space="preserve">, Fang Z, Zhao L, Chen J, Li Y, Liu G. High dose of TNF-α suppressed osteogenic differentiation of human dental pulp stem cells by activating the Wnt/β-catenin signaling. </w:t>
      </w:r>
      <w:r w:rsidRPr="00BA6ACF">
        <w:rPr>
          <w:rFonts w:ascii="Book Antiqua" w:eastAsia="Book Antiqua" w:hAnsi="Book Antiqua" w:cs="Book Antiqua"/>
          <w:i/>
          <w:iCs/>
          <w:color w:val="000000"/>
        </w:rPr>
        <w:t>J Mol Histol</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46</w:t>
      </w:r>
      <w:r w:rsidRPr="00BA6ACF">
        <w:rPr>
          <w:rFonts w:ascii="Book Antiqua" w:eastAsia="Book Antiqua" w:hAnsi="Book Antiqua" w:cs="Book Antiqua"/>
          <w:color w:val="000000"/>
        </w:rPr>
        <w:t>: 409-420 [PMID: 26115593 DOI: 10.1007/s10735-015-9630-7]</w:t>
      </w:r>
    </w:p>
    <w:p w14:paraId="49E20A2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53 </w:t>
      </w:r>
      <w:r w:rsidRPr="00BA6ACF">
        <w:rPr>
          <w:rFonts w:ascii="Book Antiqua" w:eastAsia="Book Antiqua" w:hAnsi="Book Antiqua" w:cs="Book Antiqua"/>
          <w:b/>
          <w:bCs/>
          <w:color w:val="000000"/>
        </w:rPr>
        <w:t>Feng G</w:t>
      </w:r>
      <w:r w:rsidRPr="00BA6ACF">
        <w:rPr>
          <w:rFonts w:ascii="Book Antiqua" w:eastAsia="Book Antiqua" w:hAnsi="Book Antiqua" w:cs="Book Antiqua"/>
          <w:color w:val="000000"/>
        </w:rPr>
        <w:t xml:space="preserve">, Zheng K, Song D, Xu K, Huang D, Zhang Y, Cao P, Shen S, Zhang J, Feng X, Zhang D. SIRT1 was involved in TNF-α-promoted osteogenic differentiation of human DPSCs through Wnt/β-catenin signal. </w:t>
      </w:r>
      <w:r w:rsidRPr="00BA6ACF">
        <w:rPr>
          <w:rFonts w:ascii="Book Antiqua" w:eastAsia="Book Antiqua" w:hAnsi="Book Antiqua" w:cs="Book Antiqua"/>
          <w:i/>
          <w:iCs/>
          <w:color w:val="000000"/>
        </w:rPr>
        <w:t>In Vitro Cell Dev Biol Anim</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52</w:t>
      </w:r>
      <w:r w:rsidRPr="00BA6ACF">
        <w:rPr>
          <w:rFonts w:ascii="Book Antiqua" w:eastAsia="Book Antiqua" w:hAnsi="Book Antiqua" w:cs="Book Antiqua"/>
          <w:color w:val="000000"/>
        </w:rPr>
        <w:t>: 1001-1011 [PMID: 27530621 DOI: 10.1007/s11626-016-0070-9]</w:t>
      </w:r>
    </w:p>
    <w:p w14:paraId="7FACB43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54 </w:t>
      </w:r>
      <w:r w:rsidRPr="00BA6ACF">
        <w:rPr>
          <w:rFonts w:ascii="Book Antiqua" w:eastAsia="Book Antiqua" w:hAnsi="Book Antiqua" w:cs="Book Antiqua"/>
          <w:b/>
          <w:bCs/>
          <w:color w:val="000000"/>
        </w:rPr>
        <w:t>Lee MJ</w:t>
      </w:r>
      <w:r w:rsidRPr="00BA6ACF">
        <w:rPr>
          <w:rFonts w:ascii="Book Antiqua" w:eastAsia="Book Antiqua" w:hAnsi="Book Antiqua" w:cs="Book Antiqua"/>
          <w:color w:val="000000"/>
        </w:rPr>
        <w:t xml:space="preserve">, Kim J, Kim MY, Bae YS, Ryu SH, Lee TG, Kim JH. Proteomic analysis of tumor necrosis factor-alpha-induced secretome of human adipose tissue-derived mesenchymal stem cells. </w:t>
      </w:r>
      <w:r w:rsidRPr="00BA6ACF">
        <w:rPr>
          <w:rFonts w:ascii="Book Antiqua" w:eastAsia="Book Antiqua" w:hAnsi="Book Antiqua" w:cs="Book Antiqua"/>
          <w:i/>
          <w:iCs/>
          <w:color w:val="000000"/>
        </w:rPr>
        <w:t>J Proteome Res</w:t>
      </w:r>
      <w:r w:rsidRPr="00BA6ACF">
        <w:rPr>
          <w:rFonts w:ascii="Book Antiqua" w:eastAsia="Book Antiqua" w:hAnsi="Book Antiqua" w:cs="Book Antiqua"/>
          <w:color w:val="000000"/>
        </w:rPr>
        <w:t xml:space="preserve"> 2010; </w:t>
      </w:r>
      <w:r w:rsidRPr="00BA6ACF">
        <w:rPr>
          <w:rFonts w:ascii="Book Antiqua" w:eastAsia="Book Antiqua" w:hAnsi="Book Antiqua" w:cs="Book Antiqua"/>
          <w:b/>
          <w:bCs/>
          <w:color w:val="000000"/>
        </w:rPr>
        <w:t>9</w:t>
      </w:r>
      <w:r w:rsidRPr="00BA6ACF">
        <w:rPr>
          <w:rFonts w:ascii="Book Antiqua" w:eastAsia="Book Antiqua" w:hAnsi="Book Antiqua" w:cs="Book Antiqua"/>
          <w:color w:val="000000"/>
        </w:rPr>
        <w:t>: 1754-1762 [PMID: 20184379 DOI: 10.1021/pr900898n]</w:t>
      </w:r>
    </w:p>
    <w:p w14:paraId="1F8A7C5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55 </w:t>
      </w:r>
      <w:r w:rsidRPr="00BA6ACF">
        <w:rPr>
          <w:rFonts w:ascii="Book Antiqua" w:eastAsia="Book Antiqua" w:hAnsi="Book Antiqua" w:cs="Book Antiqua"/>
          <w:b/>
          <w:bCs/>
          <w:color w:val="000000"/>
        </w:rPr>
        <w:t>François M</w:t>
      </w:r>
      <w:r w:rsidRPr="00BA6ACF">
        <w:rPr>
          <w:rFonts w:ascii="Book Antiqua" w:eastAsia="Book Antiqua" w:hAnsi="Book Antiqua" w:cs="Book Antiqua"/>
          <w:color w:val="000000"/>
        </w:rPr>
        <w:t xml:space="preserve">, Romieu-Mourez R, Li M, Galipeau J. Human MSC suppression correlates with cytokine induction of indoleamine 2,3-dioxygenase and bystander M2 macrophage differentiation. </w:t>
      </w:r>
      <w:r w:rsidRPr="00BA6ACF">
        <w:rPr>
          <w:rFonts w:ascii="Book Antiqua" w:eastAsia="Book Antiqua" w:hAnsi="Book Antiqua" w:cs="Book Antiqua"/>
          <w:i/>
          <w:iCs/>
          <w:color w:val="000000"/>
        </w:rPr>
        <w:t>Mol Ther</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20</w:t>
      </w:r>
      <w:r w:rsidRPr="00BA6ACF">
        <w:rPr>
          <w:rFonts w:ascii="Book Antiqua" w:eastAsia="Book Antiqua" w:hAnsi="Book Antiqua" w:cs="Book Antiqua"/>
          <w:color w:val="000000"/>
        </w:rPr>
        <w:t>: 187-195 [PMID: 21934657 DOI: 10.1038/mt.2011.189]</w:t>
      </w:r>
    </w:p>
    <w:p w14:paraId="1ED1183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56 </w:t>
      </w:r>
      <w:r w:rsidRPr="00BA6ACF">
        <w:rPr>
          <w:rFonts w:ascii="Book Antiqua" w:eastAsia="Book Antiqua" w:hAnsi="Book Antiqua" w:cs="Book Antiqua"/>
          <w:b/>
          <w:bCs/>
          <w:color w:val="000000"/>
        </w:rPr>
        <w:t>Zhang A</w:t>
      </w:r>
      <w:r w:rsidRPr="00BA6ACF">
        <w:rPr>
          <w:rFonts w:ascii="Book Antiqua" w:eastAsia="Book Antiqua" w:hAnsi="Book Antiqua" w:cs="Book Antiqua"/>
          <w:color w:val="000000"/>
        </w:rPr>
        <w:t xml:space="preserve">, Wang Y, Ye Z, Xie H, Zhou L, Zheng S. Mechanism of TNF-α-induced migration and hepatocyte growth factor production in human mesenchymal stem cells. </w:t>
      </w:r>
      <w:r w:rsidRPr="00BA6ACF">
        <w:rPr>
          <w:rFonts w:ascii="Book Antiqua" w:eastAsia="Book Antiqua" w:hAnsi="Book Antiqua" w:cs="Book Antiqua"/>
          <w:i/>
          <w:iCs/>
          <w:color w:val="000000"/>
        </w:rPr>
        <w:t>J Cell Biochem</w:t>
      </w:r>
      <w:r w:rsidRPr="00BA6ACF">
        <w:rPr>
          <w:rFonts w:ascii="Book Antiqua" w:eastAsia="Book Antiqua" w:hAnsi="Book Antiqua" w:cs="Book Antiqua"/>
          <w:color w:val="000000"/>
        </w:rPr>
        <w:t xml:space="preserve"> 2010; </w:t>
      </w:r>
      <w:r w:rsidRPr="00BA6ACF">
        <w:rPr>
          <w:rFonts w:ascii="Book Antiqua" w:eastAsia="Book Antiqua" w:hAnsi="Book Antiqua" w:cs="Book Antiqua"/>
          <w:b/>
          <w:bCs/>
          <w:color w:val="000000"/>
        </w:rPr>
        <w:t>111</w:t>
      </w:r>
      <w:r w:rsidRPr="00BA6ACF">
        <w:rPr>
          <w:rFonts w:ascii="Book Antiqua" w:eastAsia="Book Antiqua" w:hAnsi="Book Antiqua" w:cs="Book Antiqua"/>
          <w:color w:val="000000"/>
        </w:rPr>
        <w:t>: 469-475 [PMID: 20533298 DOI: 10.1002/jcb.22729]</w:t>
      </w:r>
    </w:p>
    <w:p w14:paraId="569A73BB"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57 </w:t>
      </w:r>
      <w:r w:rsidRPr="00BA6ACF">
        <w:rPr>
          <w:rFonts w:ascii="Book Antiqua" w:eastAsia="Book Antiqua" w:hAnsi="Book Antiqua" w:cs="Book Antiqua"/>
          <w:b/>
          <w:bCs/>
          <w:color w:val="000000"/>
        </w:rPr>
        <w:t>Wang M</w:t>
      </w:r>
      <w:r w:rsidRPr="00BA6ACF">
        <w:rPr>
          <w:rFonts w:ascii="Book Antiqua" w:eastAsia="Book Antiqua" w:hAnsi="Book Antiqua" w:cs="Book Antiqua"/>
          <w:color w:val="000000"/>
        </w:rPr>
        <w:t xml:space="preserve">, Crisostomo PR, Herring C, Meldrum KK, Meldrum DR. Human progenitor cells from bone marrow or adipose tissue produce VEGF, HGF, and IGF-I in response to TNF by a p38 MAPK-dependent mechanism. </w:t>
      </w:r>
      <w:r w:rsidRPr="00BA6ACF">
        <w:rPr>
          <w:rFonts w:ascii="Book Antiqua" w:eastAsia="Book Antiqua" w:hAnsi="Book Antiqua" w:cs="Book Antiqua"/>
          <w:i/>
          <w:iCs/>
          <w:color w:val="000000"/>
        </w:rPr>
        <w:t>Am J Physiol Regul Integr Comp Physiol</w:t>
      </w:r>
      <w:r w:rsidRPr="00BA6ACF">
        <w:rPr>
          <w:rFonts w:ascii="Book Antiqua" w:eastAsia="Book Antiqua" w:hAnsi="Book Antiqua" w:cs="Book Antiqua"/>
          <w:color w:val="000000"/>
        </w:rPr>
        <w:t xml:space="preserve"> 2006; </w:t>
      </w:r>
      <w:r w:rsidRPr="00BA6ACF">
        <w:rPr>
          <w:rFonts w:ascii="Book Antiqua" w:eastAsia="Book Antiqua" w:hAnsi="Book Antiqua" w:cs="Book Antiqua"/>
          <w:b/>
          <w:bCs/>
          <w:color w:val="000000"/>
        </w:rPr>
        <w:t>291</w:t>
      </w:r>
      <w:r w:rsidRPr="00BA6ACF">
        <w:rPr>
          <w:rFonts w:ascii="Book Antiqua" w:eastAsia="Book Antiqua" w:hAnsi="Book Antiqua" w:cs="Book Antiqua"/>
          <w:color w:val="000000"/>
        </w:rPr>
        <w:t>: R880-R884 [PMID: 16728464 DOI: 10.1152/ajpregu.00280.2006]</w:t>
      </w:r>
    </w:p>
    <w:p w14:paraId="7E56BBE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58 </w:t>
      </w:r>
      <w:r w:rsidRPr="00BA6ACF">
        <w:rPr>
          <w:rFonts w:ascii="Book Antiqua" w:eastAsia="Book Antiqua" w:hAnsi="Book Antiqua" w:cs="Book Antiqua"/>
          <w:b/>
          <w:bCs/>
          <w:color w:val="000000"/>
        </w:rPr>
        <w:t>Putra A</w:t>
      </w:r>
      <w:r w:rsidRPr="00BA6ACF">
        <w:rPr>
          <w:rFonts w:ascii="Book Antiqua" w:eastAsia="Book Antiqua" w:hAnsi="Book Antiqua" w:cs="Book Antiqua"/>
          <w:color w:val="000000"/>
        </w:rPr>
        <w:t xml:space="preserve">, Ridwan FB, Putridewi AI, Kustiyah AR, Wirastuti K, Sadyah NAC, Rosdiana I, Munir D. The Role of TNF-α induced MSCs on Suppressive Inflammation by Increasing TGF-β and IL-10. </w:t>
      </w:r>
      <w:r w:rsidRPr="00BA6ACF">
        <w:rPr>
          <w:rFonts w:ascii="Book Antiqua" w:eastAsia="Book Antiqua" w:hAnsi="Book Antiqua" w:cs="Book Antiqua"/>
          <w:i/>
          <w:iCs/>
          <w:color w:val="000000"/>
        </w:rPr>
        <w:t>Open Access Maced J Med Sci</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6</w:t>
      </w:r>
      <w:r w:rsidRPr="00BA6ACF">
        <w:rPr>
          <w:rFonts w:ascii="Book Antiqua" w:eastAsia="Book Antiqua" w:hAnsi="Book Antiqua" w:cs="Book Antiqua"/>
          <w:color w:val="000000"/>
        </w:rPr>
        <w:t>: 1779-1783 [PMID: 30455748 DOI: 10.3889/oamjms.2018.404]</w:t>
      </w:r>
    </w:p>
    <w:p w14:paraId="60736721"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59 </w:t>
      </w:r>
      <w:r w:rsidRPr="00BA6ACF">
        <w:rPr>
          <w:rFonts w:ascii="Book Antiqua" w:eastAsia="Book Antiqua" w:hAnsi="Book Antiqua" w:cs="Book Antiqua"/>
          <w:b/>
          <w:bCs/>
          <w:color w:val="000000"/>
        </w:rPr>
        <w:t>Cuerquis J</w:t>
      </w:r>
      <w:r w:rsidRPr="00BA6ACF">
        <w:rPr>
          <w:rFonts w:ascii="Book Antiqua" w:eastAsia="Book Antiqua" w:hAnsi="Book Antiqua" w:cs="Book Antiqua"/>
          <w:color w:val="000000"/>
        </w:rPr>
        <w:t xml:space="preserve">, Romieu-Mourez R, François M, Routy JP, Young YK, Zhao J, Eliopoulos N. Human mesenchymal stromal cells transiently increase cytokine production by activated T cells before suppressing T-cell proliferation: effect of interferon-γ and tumor necrosis factor-α stimulation. </w:t>
      </w:r>
      <w:r w:rsidRPr="00BA6ACF">
        <w:rPr>
          <w:rFonts w:ascii="Book Antiqua" w:eastAsia="Book Antiqua" w:hAnsi="Book Antiqua" w:cs="Book Antiqua"/>
          <w:i/>
          <w:iCs/>
          <w:color w:val="000000"/>
        </w:rPr>
        <w:t>Cytotherapy</w:t>
      </w:r>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16</w:t>
      </w:r>
      <w:r w:rsidRPr="00BA6ACF">
        <w:rPr>
          <w:rFonts w:ascii="Book Antiqua" w:eastAsia="Book Antiqua" w:hAnsi="Book Antiqua" w:cs="Book Antiqua"/>
          <w:color w:val="000000"/>
        </w:rPr>
        <w:t>: 191-202 [PMID: 24438900 DOI: 10.1016/j.jcyt.2013.11.008]</w:t>
      </w:r>
    </w:p>
    <w:p w14:paraId="4648518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60 </w:t>
      </w:r>
      <w:r w:rsidRPr="00BA6ACF">
        <w:rPr>
          <w:rFonts w:ascii="Book Antiqua" w:eastAsia="Book Antiqua" w:hAnsi="Book Antiqua" w:cs="Book Antiqua"/>
          <w:b/>
          <w:bCs/>
          <w:color w:val="000000"/>
        </w:rPr>
        <w:t>Su W</w:t>
      </w:r>
      <w:r w:rsidRPr="00BA6ACF">
        <w:rPr>
          <w:rFonts w:ascii="Book Antiqua" w:eastAsia="Book Antiqua" w:hAnsi="Book Antiqua" w:cs="Book Antiqua"/>
          <w:color w:val="000000"/>
        </w:rPr>
        <w:t xml:space="preserve">, Wan Q, Huang J, Han L, Chen X, Chen G, Olsen N, Zheng SG, Liang D. Culture medium from TNF-α-stimulated mesenchymal stem cells attenuates allergic conjunctivitis through multiple antiallergic mechanisms. </w:t>
      </w:r>
      <w:r w:rsidRPr="00BA6ACF">
        <w:rPr>
          <w:rFonts w:ascii="Book Antiqua" w:eastAsia="Book Antiqua" w:hAnsi="Book Antiqua" w:cs="Book Antiqua"/>
          <w:i/>
          <w:iCs/>
          <w:color w:val="000000"/>
        </w:rPr>
        <w:t>J Allergy Clin Immunol</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136</w:t>
      </w:r>
      <w:r w:rsidRPr="00BA6ACF">
        <w:rPr>
          <w:rFonts w:ascii="Book Antiqua" w:eastAsia="Book Antiqua" w:hAnsi="Book Antiqua" w:cs="Book Antiqua"/>
          <w:color w:val="000000"/>
        </w:rPr>
        <w:t>: 423-32.e8 [PMID: 25652765 DOI: 10.1016/j.jaci.2014.12.1926]</w:t>
      </w:r>
    </w:p>
    <w:p w14:paraId="5F6B86A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61 </w:t>
      </w:r>
      <w:r w:rsidRPr="00BA6ACF">
        <w:rPr>
          <w:rFonts w:ascii="Book Antiqua" w:eastAsia="Book Antiqua" w:hAnsi="Book Antiqua" w:cs="Book Antiqua"/>
          <w:b/>
          <w:bCs/>
          <w:color w:val="000000"/>
        </w:rPr>
        <w:t>Heo SC</w:t>
      </w:r>
      <w:r w:rsidRPr="00BA6ACF">
        <w:rPr>
          <w:rFonts w:ascii="Book Antiqua" w:eastAsia="Book Antiqua" w:hAnsi="Book Antiqua" w:cs="Book Antiqua"/>
          <w:color w:val="000000"/>
        </w:rPr>
        <w:t xml:space="preserve">, Jeon ES, Lee IH, Kim HS, Kim MB, Kim JH. Tumor necrosis factor-α-activated human adipose tissue-derived mesenchymal stem cells accelerate cutaneous wound healing through paracrine mechanisms. </w:t>
      </w:r>
      <w:r w:rsidRPr="00BA6ACF">
        <w:rPr>
          <w:rFonts w:ascii="Book Antiqua" w:eastAsia="Book Antiqua" w:hAnsi="Book Antiqua" w:cs="Book Antiqua"/>
          <w:i/>
          <w:iCs/>
          <w:color w:val="000000"/>
        </w:rPr>
        <w:t>J Invest Dermatol</w:t>
      </w:r>
      <w:r w:rsidRPr="00BA6ACF">
        <w:rPr>
          <w:rFonts w:ascii="Book Antiqua" w:eastAsia="Book Antiqua" w:hAnsi="Book Antiqua" w:cs="Book Antiqua"/>
          <w:color w:val="000000"/>
        </w:rPr>
        <w:t xml:space="preserve"> 2011; </w:t>
      </w:r>
      <w:r w:rsidRPr="00BA6ACF">
        <w:rPr>
          <w:rFonts w:ascii="Book Antiqua" w:eastAsia="Book Antiqua" w:hAnsi="Book Antiqua" w:cs="Book Antiqua"/>
          <w:b/>
          <w:bCs/>
          <w:color w:val="000000"/>
        </w:rPr>
        <w:t>131</w:t>
      </w:r>
      <w:r w:rsidRPr="00BA6ACF">
        <w:rPr>
          <w:rFonts w:ascii="Book Antiqua" w:eastAsia="Book Antiqua" w:hAnsi="Book Antiqua" w:cs="Book Antiqua"/>
          <w:color w:val="000000"/>
        </w:rPr>
        <w:t>: 1559-1567 [PMID: 21451545 DOI: 10.1038/jid.2011.64]</w:t>
      </w:r>
    </w:p>
    <w:p w14:paraId="3B195E6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62 </w:t>
      </w:r>
      <w:r w:rsidRPr="00BA6ACF">
        <w:rPr>
          <w:rFonts w:ascii="Book Antiqua" w:eastAsia="Book Antiqua" w:hAnsi="Book Antiqua" w:cs="Book Antiqua"/>
          <w:b/>
          <w:bCs/>
          <w:color w:val="000000"/>
        </w:rPr>
        <w:t>Lee RH</w:t>
      </w:r>
      <w:r w:rsidRPr="00BA6ACF">
        <w:rPr>
          <w:rFonts w:ascii="Book Antiqua" w:eastAsia="Book Antiqua" w:hAnsi="Book Antiqua" w:cs="Book Antiqua"/>
          <w:color w:val="000000"/>
        </w:rPr>
        <w:t xml:space="preserve">, Pulin AA, Seo MJ, Kota DJ, Ylostalo J, Larson BL, Semprun-Prieto L, Delafontaine P, Prockop DJ. Intravenous hMSCs improve myocardial infarction in mice because cells embolized in lung are activated to secrete the anti-inflammatory protein TSG-6. </w:t>
      </w:r>
      <w:r w:rsidRPr="00BA6ACF">
        <w:rPr>
          <w:rFonts w:ascii="Book Antiqua" w:eastAsia="Book Antiqua" w:hAnsi="Book Antiqua" w:cs="Book Antiqua"/>
          <w:i/>
          <w:iCs/>
          <w:color w:val="000000"/>
        </w:rPr>
        <w:t>Cell Stem Cell</w:t>
      </w:r>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5</w:t>
      </w:r>
      <w:r w:rsidRPr="00BA6ACF">
        <w:rPr>
          <w:rFonts w:ascii="Book Antiqua" w:eastAsia="Book Antiqua" w:hAnsi="Book Antiqua" w:cs="Book Antiqua"/>
          <w:color w:val="000000"/>
        </w:rPr>
        <w:t>: 54-63 [PMID: 19570514 DOI: 10.1016/j.stem.2009.05.003]</w:t>
      </w:r>
    </w:p>
    <w:p w14:paraId="574775ED"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63 </w:t>
      </w:r>
      <w:r w:rsidRPr="00BA6ACF">
        <w:rPr>
          <w:rFonts w:ascii="Book Antiqua" w:eastAsia="Book Antiqua" w:hAnsi="Book Antiqua" w:cs="Book Antiqua"/>
          <w:b/>
          <w:bCs/>
          <w:color w:val="000000"/>
        </w:rPr>
        <w:t>Djouad F</w:t>
      </w:r>
      <w:r w:rsidRPr="00BA6ACF">
        <w:rPr>
          <w:rFonts w:ascii="Book Antiqua" w:eastAsia="Book Antiqua" w:hAnsi="Book Antiqua" w:cs="Book Antiqua"/>
          <w:color w:val="000000"/>
        </w:rPr>
        <w:t xml:space="preserve">, Fritz V, Apparailly F, Louis-Plence P, Bony C, Sany J, Jorgensen C, Noël D. Reversal of the immunosuppressive properties of mesenchymal stem cells by tumor necrosis factor alpha in collagen-induced arthritis. </w:t>
      </w:r>
      <w:r w:rsidRPr="00BA6ACF">
        <w:rPr>
          <w:rFonts w:ascii="Book Antiqua" w:eastAsia="Book Antiqua" w:hAnsi="Book Antiqua" w:cs="Book Antiqua"/>
          <w:i/>
          <w:iCs/>
          <w:color w:val="000000"/>
        </w:rPr>
        <w:t>Arthritis Rheum</w:t>
      </w:r>
      <w:r w:rsidRPr="00BA6ACF">
        <w:rPr>
          <w:rFonts w:ascii="Book Antiqua" w:eastAsia="Book Antiqua" w:hAnsi="Book Antiqua" w:cs="Book Antiqua"/>
          <w:color w:val="000000"/>
        </w:rPr>
        <w:t xml:space="preserve"> 2005; </w:t>
      </w:r>
      <w:r w:rsidRPr="00BA6ACF">
        <w:rPr>
          <w:rFonts w:ascii="Book Antiqua" w:eastAsia="Book Antiqua" w:hAnsi="Book Antiqua" w:cs="Book Antiqua"/>
          <w:b/>
          <w:bCs/>
          <w:color w:val="000000"/>
        </w:rPr>
        <w:t>52</w:t>
      </w:r>
      <w:r w:rsidRPr="00BA6ACF">
        <w:rPr>
          <w:rFonts w:ascii="Book Antiqua" w:eastAsia="Book Antiqua" w:hAnsi="Book Antiqua" w:cs="Book Antiqua"/>
          <w:color w:val="000000"/>
        </w:rPr>
        <w:t>: 1595-1603 [PMID: 15880818 DOI: 10.1002/art.21012]</w:t>
      </w:r>
    </w:p>
    <w:p w14:paraId="6B83DD2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64 </w:t>
      </w:r>
      <w:r w:rsidRPr="00BA6ACF">
        <w:rPr>
          <w:rFonts w:ascii="Book Antiqua" w:eastAsia="Book Antiqua" w:hAnsi="Book Antiqua" w:cs="Book Antiqua"/>
          <w:b/>
          <w:bCs/>
          <w:color w:val="000000"/>
        </w:rPr>
        <w:t>Lopez-Castejon G</w:t>
      </w:r>
      <w:r w:rsidRPr="00BA6ACF">
        <w:rPr>
          <w:rFonts w:ascii="Book Antiqua" w:eastAsia="Book Antiqua" w:hAnsi="Book Antiqua" w:cs="Book Antiqua"/>
          <w:color w:val="000000"/>
        </w:rPr>
        <w:t xml:space="preserve">, Brough D. Understanding the mechanism of IL-1β secretion. </w:t>
      </w:r>
      <w:r w:rsidRPr="00BA6ACF">
        <w:rPr>
          <w:rFonts w:ascii="Book Antiqua" w:eastAsia="Book Antiqua" w:hAnsi="Book Antiqua" w:cs="Book Antiqua"/>
          <w:i/>
          <w:iCs/>
          <w:color w:val="000000"/>
        </w:rPr>
        <w:t>Cytokine Growth Factor Rev</w:t>
      </w:r>
      <w:r w:rsidRPr="00BA6ACF">
        <w:rPr>
          <w:rFonts w:ascii="Book Antiqua" w:eastAsia="Book Antiqua" w:hAnsi="Book Antiqua" w:cs="Book Antiqua"/>
          <w:color w:val="000000"/>
        </w:rPr>
        <w:t xml:space="preserve"> 2011; </w:t>
      </w:r>
      <w:r w:rsidRPr="00BA6ACF">
        <w:rPr>
          <w:rFonts w:ascii="Book Antiqua" w:eastAsia="Book Antiqua" w:hAnsi="Book Antiqua" w:cs="Book Antiqua"/>
          <w:b/>
          <w:bCs/>
          <w:color w:val="000000"/>
        </w:rPr>
        <w:t>22</w:t>
      </w:r>
      <w:r w:rsidRPr="00BA6ACF">
        <w:rPr>
          <w:rFonts w:ascii="Book Antiqua" w:eastAsia="Book Antiqua" w:hAnsi="Book Antiqua" w:cs="Book Antiqua"/>
          <w:color w:val="000000"/>
        </w:rPr>
        <w:t>: 189-195 [PMID: 22019906 DOI: 10.1016/j.cytogfr.2011.10.001]</w:t>
      </w:r>
    </w:p>
    <w:p w14:paraId="3CC771F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65 </w:t>
      </w:r>
      <w:r w:rsidRPr="00BA6ACF">
        <w:rPr>
          <w:rFonts w:ascii="Book Antiqua" w:eastAsia="Book Antiqua" w:hAnsi="Book Antiqua" w:cs="Book Antiqua"/>
          <w:b/>
          <w:bCs/>
          <w:color w:val="000000"/>
        </w:rPr>
        <w:t>Brandt L</w:t>
      </w:r>
      <w:r w:rsidRPr="00BA6ACF">
        <w:rPr>
          <w:rFonts w:ascii="Book Antiqua" w:eastAsia="Book Antiqua" w:hAnsi="Book Antiqua" w:cs="Book Antiqua"/>
          <w:color w:val="000000"/>
        </w:rPr>
        <w:t xml:space="preserve">, Schubert S, Scheibe P, Brehm W, Franzen J, Gross C, Burk J. Tenogenic Properties of Mesenchymal Progenitor Cells Are Compromised in an Inflammatory Environment. </w:t>
      </w:r>
      <w:r w:rsidRPr="00BA6ACF">
        <w:rPr>
          <w:rFonts w:ascii="Book Antiqua" w:eastAsia="Book Antiqua" w:hAnsi="Book Antiqua" w:cs="Book Antiqua"/>
          <w:i/>
          <w:iCs/>
          <w:color w:val="000000"/>
        </w:rPr>
        <w:t>Int J Mol Sci</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19</w:t>
      </w:r>
      <w:r w:rsidRPr="00BA6ACF">
        <w:rPr>
          <w:rFonts w:ascii="Book Antiqua" w:eastAsia="Book Antiqua" w:hAnsi="Book Antiqua" w:cs="Book Antiqua"/>
          <w:color w:val="000000"/>
        </w:rPr>
        <w:t>: [PMID: 30154348 DOI: 10.3390/ijms19092549]</w:t>
      </w:r>
    </w:p>
    <w:p w14:paraId="4A6BDA1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66 </w:t>
      </w:r>
      <w:r w:rsidRPr="00BA6ACF">
        <w:rPr>
          <w:rFonts w:ascii="Book Antiqua" w:eastAsia="Book Antiqua" w:hAnsi="Book Antiqua" w:cs="Book Antiqua"/>
          <w:b/>
          <w:bCs/>
          <w:color w:val="000000"/>
        </w:rPr>
        <w:t>Matsumura E</w:t>
      </w:r>
      <w:r w:rsidRPr="00BA6ACF">
        <w:rPr>
          <w:rFonts w:ascii="Book Antiqua" w:eastAsia="Book Antiqua" w:hAnsi="Book Antiqua" w:cs="Book Antiqua"/>
          <w:color w:val="000000"/>
        </w:rPr>
        <w:t xml:space="preserve">, Tsuji K, Komori K, Koga H, Sekiya I, Muneta T. Pretreatment with IL-1β enhances proliferation and chondrogenic potential of synovium-derived mesenchymal stem cells. </w:t>
      </w:r>
      <w:r w:rsidRPr="00BA6ACF">
        <w:rPr>
          <w:rFonts w:ascii="Book Antiqua" w:eastAsia="Book Antiqua" w:hAnsi="Book Antiqua" w:cs="Book Antiqua"/>
          <w:i/>
          <w:iCs/>
          <w:color w:val="000000"/>
        </w:rPr>
        <w:t>Cytotherapy</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19</w:t>
      </w:r>
      <w:r w:rsidRPr="00BA6ACF">
        <w:rPr>
          <w:rFonts w:ascii="Book Antiqua" w:eastAsia="Book Antiqua" w:hAnsi="Book Antiqua" w:cs="Book Antiqua"/>
          <w:color w:val="000000"/>
        </w:rPr>
        <w:t>: 181-193 [PMID: 27979606 DOI: 10.1016/j.jcyt.2016.11.004]</w:t>
      </w:r>
    </w:p>
    <w:p w14:paraId="269A512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67 </w:t>
      </w:r>
      <w:r w:rsidRPr="00BA6ACF">
        <w:rPr>
          <w:rFonts w:ascii="Book Antiqua" w:eastAsia="Book Antiqua" w:hAnsi="Book Antiqua" w:cs="Book Antiqua"/>
          <w:b/>
          <w:bCs/>
          <w:color w:val="000000"/>
        </w:rPr>
        <w:t>Yang C</w:t>
      </w:r>
      <w:r w:rsidRPr="00BA6ACF">
        <w:rPr>
          <w:rFonts w:ascii="Book Antiqua" w:eastAsia="Book Antiqua" w:hAnsi="Book Antiqua" w:cs="Book Antiqua"/>
          <w:color w:val="000000"/>
        </w:rPr>
        <w:t xml:space="preserve">, Chen Y, Li F, You M, Zhong L, Li W, Zhang B, Chen Q. The biological changes of umbilical cord mesenchymal stem cells in inflammatory environment induced by different cytokines. </w:t>
      </w:r>
      <w:r w:rsidRPr="00BA6ACF">
        <w:rPr>
          <w:rFonts w:ascii="Book Antiqua" w:eastAsia="Book Antiqua" w:hAnsi="Book Antiqua" w:cs="Book Antiqua"/>
          <w:i/>
          <w:iCs/>
          <w:color w:val="000000"/>
        </w:rPr>
        <w:t>Mol Cell Biochem</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446</w:t>
      </w:r>
      <w:r w:rsidRPr="00BA6ACF">
        <w:rPr>
          <w:rFonts w:ascii="Book Antiqua" w:eastAsia="Book Antiqua" w:hAnsi="Book Antiqua" w:cs="Book Antiqua"/>
          <w:color w:val="000000"/>
        </w:rPr>
        <w:t>: 171-184 [PMID: 29356988 DOI: 10.1007/s11010-018-3284-1]</w:t>
      </w:r>
    </w:p>
    <w:p w14:paraId="0928839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68 </w:t>
      </w:r>
      <w:r w:rsidRPr="00BA6ACF">
        <w:rPr>
          <w:rFonts w:ascii="Book Antiqua" w:eastAsia="Book Antiqua" w:hAnsi="Book Antiqua" w:cs="Book Antiqua"/>
          <w:b/>
          <w:bCs/>
          <w:color w:val="000000"/>
        </w:rPr>
        <w:t>Carrero R</w:t>
      </w:r>
      <w:r w:rsidRPr="00BA6ACF">
        <w:rPr>
          <w:rFonts w:ascii="Book Antiqua" w:eastAsia="Book Antiqua" w:hAnsi="Book Antiqua" w:cs="Book Antiqua"/>
          <w:color w:val="000000"/>
        </w:rPr>
        <w:t xml:space="preserve">, Cerrada I, Lledó E, Dopazo J, García-García F, Rubio MP, Trigueros C, Dorronsoro A, Ruiz-Sauri A, Montero JA, Sepúlveda P. IL1β induces mesenchymal stem cells migration and leucocyte chemotaxis through NF-κB. </w:t>
      </w:r>
      <w:r w:rsidRPr="00BA6ACF">
        <w:rPr>
          <w:rFonts w:ascii="Book Antiqua" w:eastAsia="Book Antiqua" w:hAnsi="Book Antiqua" w:cs="Book Antiqua"/>
          <w:i/>
          <w:iCs/>
          <w:color w:val="000000"/>
        </w:rPr>
        <w:t>Stem Cell Rev Rep</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905-916 [PMID: 22467443 DOI: 10.1007/s12015-012-9364-9]</w:t>
      </w:r>
    </w:p>
    <w:p w14:paraId="724BF3D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69 </w:t>
      </w:r>
      <w:r w:rsidRPr="00BA6ACF">
        <w:rPr>
          <w:rFonts w:ascii="Book Antiqua" w:eastAsia="Book Antiqua" w:hAnsi="Book Antiqua" w:cs="Book Antiqua"/>
          <w:b/>
          <w:bCs/>
          <w:color w:val="000000"/>
        </w:rPr>
        <w:t>Guo YC</w:t>
      </w:r>
      <w:r w:rsidRPr="00BA6ACF">
        <w:rPr>
          <w:rFonts w:ascii="Book Antiqua" w:eastAsia="Book Antiqua" w:hAnsi="Book Antiqua" w:cs="Book Antiqua"/>
          <w:color w:val="000000"/>
        </w:rPr>
        <w:t xml:space="preserve">, Chiu YH, Chen CP, Wang HS. Interleukin-1β induces CXCR3-mediated chemotaxis to promote umbilical cord mesenchymal stem cell transendothelial </w:t>
      </w:r>
      <w:r w:rsidRPr="00BA6ACF">
        <w:rPr>
          <w:rFonts w:ascii="Book Antiqua" w:eastAsia="Book Antiqua" w:hAnsi="Book Antiqua" w:cs="Book Antiqua"/>
          <w:color w:val="000000"/>
        </w:rPr>
        <w:lastRenderedPageBreak/>
        <w:t xml:space="preserve">migration. </w:t>
      </w:r>
      <w:r w:rsidRPr="00BA6ACF">
        <w:rPr>
          <w:rFonts w:ascii="Book Antiqua" w:eastAsia="Book Antiqua" w:hAnsi="Book Antiqua" w:cs="Book Antiqua"/>
          <w:i/>
          <w:iCs/>
          <w:color w:val="000000"/>
        </w:rPr>
        <w:t>Stem Cell Res Ther</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9</w:t>
      </w:r>
      <w:r w:rsidRPr="00BA6ACF">
        <w:rPr>
          <w:rFonts w:ascii="Book Antiqua" w:eastAsia="Book Antiqua" w:hAnsi="Book Antiqua" w:cs="Book Antiqua"/>
          <w:color w:val="000000"/>
        </w:rPr>
        <w:t>: 281 [PMID: 30359318 DOI: 10.1186/s13287-018-1032-9]</w:t>
      </w:r>
    </w:p>
    <w:p w14:paraId="66D678B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70 </w:t>
      </w:r>
      <w:r w:rsidRPr="00BA6ACF">
        <w:rPr>
          <w:rFonts w:ascii="Book Antiqua" w:eastAsia="Book Antiqua" w:hAnsi="Book Antiqua" w:cs="Book Antiqua"/>
          <w:b/>
          <w:bCs/>
          <w:color w:val="000000"/>
        </w:rPr>
        <w:t>Sonomoto K</w:t>
      </w:r>
      <w:r w:rsidRPr="00BA6ACF">
        <w:rPr>
          <w:rFonts w:ascii="Book Antiqua" w:eastAsia="Book Antiqua" w:hAnsi="Book Antiqua" w:cs="Book Antiqua"/>
          <w:color w:val="000000"/>
        </w:rPr>
        <w:t xml:space="preserve">, Yamaoka K, Oshita K, Fukuyo S, Zhang X, Nakano K, Okada Y, Tanaka Y. Interleukin-1β induces differentiation of human mesenchymal stem cells into osteoblasts via the Wnt-5a/receptor tyrosine kinase-like orphan receptor 2 pathway. </w:t>
      </w:r>
      <w:r w:rsidRPr="00BA6ACF">
        <w:rPr>
          <w:rFonts w:ascii="Book Antiqua" w:eastAsia="Book Antiqua" w:hAnsi="Book Antiqua" w:cs="Book Antiqua"/>
          <w:i/>
          <w:iCs/>
          <w:color w:val="000000"/>
        </w:rPr>
        <w:t>Arthritis Rheum</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64</w:t>
      </w:r>
      <w:r w:rsidRPr="00BA6ACF">
        <w:rPr>
          <w:rFonts w:ascii="Book Antiqua" w:eastAsia="Book Antiqua" w:hAnsi="Book Antiqua" w:cs="Book Antiqua"/>
          <w:color w:val="000000"/>
        </w:rPr>
        <w:t>: 3355-3363 [PMID: 22674197 DOI: 10.1002/art.34555]</w:t>
      </w:r>
    </w:p>
    <w:p w14:paraId="4CE1D6D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71 </w:t>
      </w:r>
      <w:r w:rsidRPr="00BA6ACF">
        <w:rPr>
          <w:rFonts w:ascii="Book Antiqua" w:eastAsia="Book Antiqua" w:hAnsi="Book Antiqua" w:cs="Book Antiqua"/>
          <w:b/>
          <w:bCs/>
          <w:color w:val="000000"/>
        </w:rPr>
        <w:t>Mao CY</w:t>
      </w:r>
      <w:r w:rsidRPr="00BA6ACF">
        <w:rPr>
          <w:rFonts w:ascii="Book Antiqua" w:eastAsia="Book Antiqua" w:hAnsi="Book Antiqua" w:cs="Book Antiqua"/>
          <w:color w:val="000000"/>
        </w:rPr>
        <w:t xml:space="preserve">, Wang YG, Zhang X, Zheng XY, Tang TT, Lu EY. Double-edged-sword effect of IL-1β on the osteogenesis of periodontal ligament stem cells via crosstalk between the NF-κB, MAPK and BMP/Smad signaling pathways. </w:t>
      </w:r>
      <w:r w:rsidRPr="00BA6ACF">
        <w:rPr>
          <w:rFonts w:ascii="Book Antiqua" w:eastAsia="Book Antiqua" w:hAnsi="Book Antiqua" w:cs="Book Antiqua"/>
          <w:i/>
          <w:iCs/>
          <w:color w:val="000000"/>
        </w:rPr>
        <w:t>Cell Death Dis</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7</w:t>
      </w:r>
      <w:r w:rsidRPr="00BA6ACF">
        <w:rPr>
          <w:rFonts w:ascii="Book Antiqua" w:eastAsia="Book Antiqua" w:hAnsi="Book Antiqua" w:cs="Book Antiqua"/>
          <w:color w:val="000000"/>
        </w:rPr>
        <w:t>: e2296 [PMID: 27415426 DOI: 10.1038/cddis.2016.204]</w:t>
      </w:r>
    </w:p>
    <w:p w14:paraId="0EFB4E6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72 </w:t>
      </w:r>
      <w:r w:rsidRPr="00BA6ACF">
        <w:rPr>
          <w:rFonts w:ascii="Book Antiqua" w:eastAsia="Book Antiqua" w:hAnsi="Book Antiqua" w:cs="Book Antiqua"/>
          <w:b/>
          <w:bCs/>
          <w:color w:val="000000"/>
        </w:rPr>
        <w:t>Felka T</w:t>
      </w:r>
      <w:r w:rsidRPr="00BA6ACF">
        <w:rPr>
          <w:rFonts w:ascii="Book Antiqua" w:eastAsia="Book Antiqua" w:hAnsi="Book Antiqua" w:cs="Book Antiqua"/>
          <w:color w:val="000000"/>
        </w:rPr>
        <w:t xml:space="preserve">, Schäfer R, Schewe B, Benz K, Aicher WK. Hypoxia reduces the inhibitory effect of IL-1beta on chondrogenic differentiation of FCS-free expanded MSC. </w:t>
      </w:r>
      <w:r w:rsidRPr="00BA6ACF">
        <w:rPr>
          <w:rFonts w:ascii="Book Antiqua" w:eastAsia="Book Antiqua" w:hAnsi="Book Antiqua" w:cs="Book Antiqua"/>
          <w:i/>
          <w:iCs/>
          <w:color w:val="000000"/>
        </w:rPr>
        <w:t>Osteoarthritis Cartilage</w:t>
      </w:r>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17</w:t>
      </w:r>
      <w:r w:rsidRPr="00BA6ACF">
        <w:rPr>
          <w:rFonts w:ascii="Book Antiqua" w:eastAsia="Book Antiqua" w:hAnsi="Book Antiqua" w:cs="Book Antiqua"/>
          <w:color w:val="000000"/>
        </w:rPr>
        <w:t>: 1368-1376 [PMID: 19463979 DOI: 10.1016/j.joca.2009.04.023]</w:t>
      </w:r>
    </w:p>
    <w:p w14:paraId="59FB483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73 </w:t>
      </w:r>
      <w:r w:rsidRPr="00BA6ACF">
        <w:rPr>
          <w:rFonts w:ascii="Book Antiqua" w:eastAsia="Book Antiqua" w:hAnsi="Book Antiqua" w:cs="Book Antiqua"/>
          <w:b/>
          <w:bCs/>
          <w:color w:val="000000"/>
        </w:rPr>
        <w:t>Gao B</w:t>
      </w:r>
      <w:r w:rsidRPr="00BA6ACF">
        <w:rPr>
          <w:rFonts w:ascii="Book Antiqua" w:eastAsia="Book Antiqua" w:hAnsi="Book Antiqua" w:cs="Book Antiqua"/>
          <w:color w:val="000000"/>
        </w:rPr>
        <w:t xml:space="preserve">, Gao W, Wu Z, Zhou T, Qiu X, Wang X, Lian C, Peng Y, Liang A, Qiu J, Zhu Y, Xu C, Li Y, Su P, Huang D. Melatonin rescued interleukin 1β-impaired chondrogenesis of human mesenchymal stem cells. </w:t>
      </w:r>
      <w:r w:rsidRPr="00BA6ACF">
        <w:rPr>
          <w:rFonts w:ascii="Book Antiqua" w:eastAsia="Book Antiqua" w:hAnsi="Book Antiqua" w:cs="Book Antiqua"/>
          <w:i/>
          <w:iCs/>
          <w:color w:val="000000"/>
        </w:rPr>
        <w:t>Stem Cell Res Ther</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9</w:t>
      </w:r>
      <w:r w:rsidRPr="00BA6ACF">
        <w:rPr>
          <w:rFonts w:ascii="Book Antiqua" w:eastAsia="Book Antiqua" w:hAnsi="Book Antiqua" w:cs="Book Antiqua"/>
          <w:color w:val="000000"/>
        </w:rPr>
        <w:t>: 162 [PMID: 29898779 DOI: 10.1186/s13287-018-0892-3]</w:t>
      </w:r>
    </w:p>
    <w:p w14:paraId="180D4EE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74 </w:t>
      </w:r>
      <w:r w:rsidRPr="00BA6ACF">
        <w:rPr>
          <w:rFonts w:ascii="Book Antiqua" w:eastAsia="Book Antiqua" w:hAnsi="Book Antiqua" w:cs="Book Antiqua"/>
          <w:b/>
          <w:bCs/>
          <w:color w:val="000000"/>
        </w:rPr>
        <w:t>Majumdar MK</w:t>
      </w:r>
      <w:r w:rsidRPr="00BA6ACF">
        <w:rPr>
          <w:rFonts w:ascii="Book Antiqua" w:eastAsia="Book Antiqua" w:hAnsi="Book Antiqua" w:cs="Book Antiqua"/>
          <w:color w:val="000000"/>
        </w:rPr>
        <w:t xml:space="preserve">, Wang E, Morris EA. BMP-2 and BMP-9 promotes chondrogenic differentiation of human multipotential mesenchymal cells and overcomes the inhibitory effect of IL-1. </w:t>
      </w:r>
      <w:r w:rsidRPr="00BA6ACF">
        <w:rPr>
          <w:rFonts w:ascii="Book Antiqua" w:eastAsia="Book Antiqua" w:hAnsi="Book Antiqua" w:cs="Book Antiqua"/>
          <w:i/>
          <w:iCs/>
          <w:color w:val="000000"/>
        </w:rPr>
        <w:t>J Cell Physiol</w:t>
      </w:r>
      <w:r w:rsidRPr="00BA6ACF">
        <w:rPr>
          <w:rFonts w:ascii="Book Antiqua" w:eastAsia="Book Antiqua" w:hAnsi="Book Antiqua" w:cs="Book Antiqua"/>
          <w:color w:val="000000"/>
        </w:rPr>
        <w:t xml:space="preserve"> 2001; </w:t>
      </w:r>
      <w:r w:rsidRPr="00BA6ACF">
        <w:rPr>
          <w:rFonts w:ascii="Book Antiqua" w:eastAsia="Book Antiqua" w:hAnsi="Book Antiqua" w:cs="Book Antiqua"/>
          <w:b/>
          <w:bCs/>
          <w:color w:val="000000"/>
        </w:rPr>
        <w:t>189</w:t>
      </w:r>
      <w:r w:rsidRPr="00BA6ACF">
        <w:rPr>
          <w:rFonts w:ascii="Book Antiqua" w:eastAsia="Book Antiqua" w:hAnsi="Book Antiqua" w:cs="Book Antiqua"/>
          <w:color w:val="000000"/>
        </w:rPr>
        <w:t>: 275-284 [PMID: 11748585 DOI: 10.1002/jcp.10025]</w:t>
      </w:r>
    </w:p>
    <w:p w14:paraId="5199ACB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75 </w:t>
      </w:r>
      <w:r w:rsidRPr="00BA6ACF">
        <w:rPr>
          <w:rFonts w:ascii="Book Antiqua" w:eastAsia="Book Antiqua" w:hAnsi="Book Antiqua" w:cs="Book Antiqua"/>
          <w:b/>
          <w:bCs/>
          <w:color w:val="000000"/>
        </w:rPr>
        <w:t>Liu W</w:t>
      </w:r>
      <w:r w:rsidRPr="00BA6ACF">
        <w:rPr>
          <w:rFonts w:ascii="Book Antiqua" w:eastAsia="Book Antiqua" w:hAnsi="Book Antiqua" w:cs="Book Antiqua"/>
          <w:color w:val="000000"/>
        </w:rPr>
        <w:t xml:space="preserve">, Sun Y, He Y, Zhang H, Zheng Y, Yao Y, Zhang Z. IL-1β impedes the chondrogenic differentiation of synovial fluid mesenchymal stem cells in the human temporomandibular joint. </w:t>
      </w:r>
      <w:r w:rsidRPr="00BA6ACF">
        <w:rPr>
          <w:rFonts w:ascii="Book Antiqua" w:eastAsia="Book Antiqua" w:hAnsi="Book Antiqua" w:cs="Book Antiqua"/>
          <w:i/>
          <w:iCs/>
          <w:color w:val="000000"/>
        </w:rPr>
        <w:t>Int J Mol Med</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39</w:t>
      </w:r>
      <w:r w:rsidRPr="00BA6ACF">
        <w:rPr>
          <w:rFonts w:ascii="Book Antiqua" w:eastAsia="Book Antiqua" w:hAnsi="Book Antiqua" w:cs="Book Antiqua"/>
          <w:color w:val="000000"/>
        </w:rPr>
        <w:t>: 317-326 [PMID: 28000839 DOI: 10.3892/ijmm.2016.2832]</w:t>
      </w:r>
    </w:p>
    <w:p w14:paraId="0F84DC4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76 </w:t>
      </w:r>
      <w:r w:rsidRPr="00BA6ACF">
        <w:rPr>
          <w:rFonts w:ascii="Book Antiqua" w:eastAsia="Book Antiqua" w:hAnsi="Book Antiqua" w:cs="Book Antiqua"/>
          <w:b/>
          <w:bCs/>
          <w:color w:val="000000"/>
        </w:rPr>
        <w:t>Hingert D</w:t>
      </w:r>
      <w:r w:rsidRPr="00BA6ACF">
        <w:rPr>
          <w:rFonts w:ascii="Book Antiqua" w:eastAsia="Book Antiqua" w:hAnsi="Book Antiqua" w:cs="Book Antiqua"/>
          <w:color w:val="000000"/>
        </w:rPr>
        <w:t xml:space="preserve">, Barreto Henriksson H, Brisby H. Human Mesenchymal Stem Cells Pretreated with Interleukin-1β and Stimulated with Bone Morphogenetic Growth </w:t>
      </w:r>
      <w:r w:rsidRPr="00BA6ACF">
        <w:rPr>
          <w:rFonts w:ascii="Book Antiqua" w:eastAsia="Book Antiqua" w:hAnsi="Book Antiqua" w:cs="Book Antiqua"/>
          <w:color w:val="000000"/>
        </w:rPr>
        <w:lastRenderedPageBreak/>
        <w:t xml:space="preserve">Factor-3 Enhance Chondrogenesis. </w:t>
      </w:r>
      <w:r w:rsidRPr="00BA6ACF">
        <w:rPr>
          <w:rFonts w:ascii="Book Antiqua" w:eastAsia="Book Antiqua" w:hAnsi="Book Antiqua" w:cs="Book Antiqua"/>
          <w:i/>
          <w:iCs/>
          <w:color w:val="000000"/>
        </w:rPr>
        <w:t>Tissue Eng Part A</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24</w:t>
      </w:r>
      <w:r w:rsidRPr="00BA6ACF">
        <w:rPr>
          <w:rFonts w:ascii="Book Antiqua" w:eastAsia="Book Antiqua" w:hAnsi="Book Antiqua" w:cs="Book Antiqua"/>
          <w:color w:val="000000"/>
        </w:rPr>
        <w:t>: 775-785 [PMID: 28978269 DOI: 10.1089/ten.TEA.2017.0087]</w:t>
      </w:r>
    </w:p>
    <w:p w14:paraId="77034EC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77 </w:t>
      </w:r>
      <w:r w:rsidRPr="00BA6ACF">
        <w:rPr>
          <w:rFonts w:ascii="Book Antiqua" w:eastAsia="Book Antiqua" w:hAnsi="Book Antiqua" w:cs="Book Antiqua"/>
          <w:b/>
          <w:bCs/>
          <w:color w:val="000000"/>
        </w:rPr>
        <w:t>Magne B</w:t>
      </w:r>
      <w:r w:rsidRPr="00BA6ACF">
        <w:rPr>
          <w:rFonts w:ascii="Book Antiqua" w:eastAsia="Book Antiqua" w:hAnsi="Book Antiqua" w:cs="Book Antiqua"/>
          <w:color w:val="000000"/>
        </w:rPr>
        <w:t xml:space="preserve">, Dedier M, Nivet M, Coulomb B, Banzet S, Lataillade JJ, Trouillas M. IL-1β-Primed Mesenchymal Stromal Cells Improve Epidermal Substitute Engraftment and Wound Healing via Matrix Metalloproteinases and Transforming Growth Factor-β1. </w:t>
      </w:r>
      <w:r w:rsidRPr="00BA6ACF">
        <w:rPr>
          <w:rFonts w:ascii="Book Antiqua" w:eastAsia="Book Antiqua" w:hAnsi="Book Antiqua" w:cs="Book Antiqua"/>
          <w:i/>
          <w:iCs/>
          <w:color w:val="000000"/>
        </w:rPr>
        <w:t>J Invest Dermatol</w:t>
      </w:r>
      <w:r w:rsidRPr="00BA6ACF">
        <w:rPr>
          <w:rFonts w:ascii="Book Antiqua" w:eastAsia="Book Antiqua" w:hAnsi="Book Antiqua" w:cs="Book Antiqua"/>
          <w:color w:val="000000"/>
        </w:rPr>
        <w:t xml:space="preserve"> 2020; </w:t>
      </w:r>
      <w:r w:rsidRPr="00BA6ACF">
        <w:rPr>
          <w:rFonts w:ascii="Book Antiqua" w:eastAsia="Book Antiqua" w:hAnsi="Book Antiqua" w:cs="Book Antiqua"/>
          <w:b/>
          <w:bCs/>
          <w:color w:val="000000"/>
        </w:rPr>
        <w:t>140</w:t>
      </w:r>
      <w:r w:rsidRPr="00BA6ACF">
        <w:rPr>
          <w:rFonts w:ascii="Book Antiqua" w:eastAsia="Book Antiqua" w:hAnsi="Book Antiqua" w:cs="Book Antiqua"/>
          <w:color w:val="000000"/>
        </w:rPr>
        <w:t>: 688-698.e21 [PMID: 31513805 DOI: 10.1016/j.jid.2019.07.721]</w:t>
      </w:r>
    </w:p>
    <w:p w14:paraId="54F32BD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78 </w:t>
      </w:r>
      <w:r w:rsidRPr="00BA6ACF">
        <w:rPr>
          <w:rFonts w:ascii="Book Antiqua" w:eastAsia="Book Antiqua" w:hAnsi="Book Antiqua" w:cs="Book Antiqua"/>
          <w:b/>
          <w:bCs/>
          <w:color w:val="000000"/>
        </w:rPr>
        <w:t>Redondo-Castro E</w:t>
      </w:r>
      <w:r w:rsidRPr="00BA6ACF">
        <w:rPr>
          <w:rFonts w:ascii="Book Antiqua" w:eastAsia="Book Antiqua" w:hAnsi="Book Antiqua" w:cs="Book Antiqua"/>
          <w:color w:val="000000"/>
        </w:rPr>
        <w:t xml:space="preserve">, Cunningham C, Miller J, Martuscelli L, Aoulad-Ali S, Rothwell NJ, Kielty CM, Allan SM, Pinteaux E. Interleukin-1 primes human mesenchymal stem cells towards an anti-inflammatory and pro-trophic phenotype in vitro. </w:t>
      </w:r>
      <w:r w:rsidRPr="00BA6ACF">
        <w:rPr>
          <w:rFonts w:ascii="Book Antiqua" w:eastAsia="Book Antiqua" w:hAnsi="Book Antiqua" w:cs="Book Antiqua"/>
          <w:i/>
          <w:iCs/>
          <w:color w:val="000000"/>
        </w:rPr>
        <w:t>Stem Cell Res Ther</w:t>
      </w:r>
      <w:r w:rsidRPr="00BA6ACF">
        <w:rPr>
          <w:rFonts w:ascii="Book Antiqua" w:eastAsia="Book Antiqua" w:hAnsi="Book Antiqua" w:cs="Book Antiqua"/>
          <w:color w:val="000000"/>
        </w:rPr>
        <w:t xml:space="preserve"> 2017;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79 [PMID: 28412968 DOI: 10.1186/s13287-017-0531-4]</w:t>
      </w:r>
    </w:p>
    <w:p w14:paraId="0FE50237"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79 </w:t>
      </w:r>
      <w:r w:rsidRPr="00BA6ACF">
        <w:rPr>
          <w:rFonts w:ascii="Book Antiqua" w:eastAsia="Book Antiqua" w:hAnsi="Book Antiqua" w:cs="Book Antiqua"/>
          <w:b/>
          <w:bCs/>
          <w:color w:val="000000"/>
        </w:rPr>
        <w:t>Amann EM</w:t>
      </w:r>
      <w:r w:rsidRPr="00BA6ACF">
        <w:rPr>
          <w:rFonts w:ascii="Book Antiqua" w:eastAsia="Book Antiqua" w:hAnsi="Book Antiqua" w:cs="Book Antiqua"/>
          <w:color w:val="000000"/>
        </w:rPr>
        <w:t xml:space="preserve">, Groß A, Rojewski MT, Kestler HA, Kalbitz M, Brenner RE, Huber-Lang M, Schrezenmeier H. Inflammatory response of mesenchymal stromal cells after </w:t>
      </w:r>
      <w:r w:rsidRPr="00BA6ACF">
        <w:rPr>
          <w:rFonts w:ascii="Book Antiqua" w:eastAsia="Book Antiqua" w:hAnsi="Book Antiqua" w:cs="Book Antiqua"/>
          <w:i/>
          <w:iCs/>
          <w:color w:val="000000"/>
        </w:rPr>
        <w:t>in vivo</w:t>
      </w:r>
      <w:r w:rsidRPr="00BA6ACF">
        <w:rPr>
          <w:rFonts w:ascii="Book Antiqua" w:eastAsia="Book Antiqua" w:hAnsi="Book Antiqua" w:cs="Book Antiqua"/>
          <w:color w:val="000000"/>
        </w:rPr>
        <w:t xml:space="preserve"> exposure with selected trauma-related factors and polytrauma serum. </w:t>
      </w:r>
      <w:r w:rsidRPr="00BA6ACF">
        <w:rPr>
          <w:rFonts w:ascii="Book Antiqua" w:eastAsia="Book Antiqua" w:hAnsi="Book Antiqua" w:cs="Book Antiqua"/>
          <w:i/>
          <w:iCs/>
          <w:color w:val="000000"/>
        </w:rPr>
        <w:t>PLoS One</w:t>
      </w:r>
      <w:r w:rsidRPr="00BA6ACF">
        <w:rPr>
          <w:rFonts w:ascii="Book Antiqua" w:eastAsia="Book Antiqua" w:hAnsi="Book Antiqua" w:cs="Book Antiqua"/>
          <w:color w:val="000000"/>
        </w:rPr>
        <w:t xml:space="preserve"> 2019; </w:t>
      </w:r>
      <w:r w:rsidRPr="00BA6ACF">
        <w:rPr>
          <w:rFonts w:ascii="Book Antiqua" w:eastAsia="Book Antiqua" w:hAnsi="Book Antiqua" w:cs="Book Antiqua"/>
          <w:b/>
          <w:bCs/>
          <w:color w:val="000000"/>
        </w:rPr>
        <w:t>14</w:t>
      </w:r>
      <w:r w:rsidRPr="00BA6ACF">
        <w:rPr>
          <w:rFonts w:ascii="Book Antiqua" w:eastAsia="Book Antiqua" w:hAnsi="Book Antiqua" w:cs="Book Antiqua"/>
          <w:color w:val="000000"/>
        </w:rPr>
        <w:t>: e0216862 [PMID: 31086407 DOI: 10.1371/journal.pone.0216862]</w:t>
      </w:r>
    </w:p>
    <w:p w14:paraId="5F92B32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80 </w:t>
      </w:r>
      <w:r w:rsidRPr="00BA6ACF">
        <w:rPr>
          <w:rFonts w:ascii="Book Antiqua" w:eastAsia="Book Antiqua" w:hAnsi="Book Antiqua" w:cs="Book Antiqua"/>
          <w:b/>
          <w:bCs/>
          <w:color w:val="000000"/>
        </w:rPr>
        <w:t>Murphy N</w:t>
      </w:r>
      <w:r w:rsidRPr="00BA6ACF">
        <w:rPr>
          <w:rFonts w:ascii="Book Antiqua" w:eastAsia="Book Antiqua" w:hAnsi="Book Antiqua" w:cs="Book Antiqua"/>
          <w:color w:val="000000"/>
        </w:rPr>
        <w:t xml:space="preserve">, Treacy O, Lynch K, Morcos M, Lohan P, Howard L, Fahy G, Griffin MD, Ryan AE, Ritter T. TNF-α/IL-1β-licensed mesenchymal stromal cells promote corneal allograft survival </w:t>
      </w:r>
      <w:r w:rsidRPr="00BA6ACF">
        <w:rPr>
          <w:rFonts w:ascii="Book Antiqua" w:eastAsia="Book Antiqua" w:hAnsi="Book Antiqua" w:cs="Book Antiqua"/>
          <w:i/>
          <w:iCs/>
          <w:color w:val="000000"/>
        </w:rPr>
        <w:t>via</w:t>
      </w:r>
      <w:r w:rsidRPr="00BA6ACF">
        <w:rPr>
          <w:rFonts w:ascii="Book Antiqua" w:eastAsia="Book Antiqua" w:hAnsi="Book Antiqua" w:cs="Book Antiqua"/>
          <w:color w:val="000000"/>
        </w:rPr>
        <w:t xml:space="preserve"> myeloid cell-mediated induction of Foxp3</w:t>
      </w:r>
      <w:r w:rsidRPr="00BA6ACF">
        <w:rPr>
          <w:rFonts w:ascii="Book Antiqua" w:eastAsia="Book Antiqua" w:hAnsi="Book Antiqua" w:cs="Book Antiqua"/>
          <w:color w:val="000000"/>
          <w:vertAlign w:val="superscript"/>
        </w:rPr>
        <w:t>+</w:t>
      </w:r>
      <w:r w:rsidRPr="00BA6ACF">
        <w:rPr>
          <w:rFonts w:ascii="Book Antiqua" w:eastAsia="Book Antiqua" w:hAnsi="Book Antiqua" w:cs="Book Antiqua"/>
          <w:color w:val="000000"/>
        </w:rPr>
        <w:t xml:space="preserve"> regulatory T cells in the lung. </w:t>
      </w:r>
      <w:r w:rsidRPr="00BA6ACF">
        <w:rPr>
          <w:rFonts w:ascii="Book Antiqua" w:eastAsia="Book Antiqua" w:hAnsi="Book Antiqua" w:cs="Book Antiqua"/>
          <w:i/>
          <w:iCs/>
          <w:color w:val="000000"/>
        </w:rPr>
        <w:t>FASEB J</w:t>
      </w:r>
      <w:r w:rsidRPr="00BA6ACF">
        <w:rPr>
          <w:rFonts w:ascii="Book Antiqua" w:eastAsia="Book Antiqua" w:hAnsi="Book Antiqua" w:cs="Book Antiqua"/>
          <w:color w:val="000000"/>
        </w:rPr>
        <w:t xml:space="preserve"> 2019; </w:t>
      </w:r>
      <w:r w:rsidRPr="00BA6ACF">
        <w:rPr>
          <w:rFonts w:ascii="Book Antiqua" w:eastAsia="Book Antiqua" w:hAnsi="Book Antiqua" w:cs="Book Antiqua"/>
          <w:b/>
          <w:bCs/>
          <w:color w:val="000000"/>
        </w:rPr>
        <w:t>33</w:t>
      </w:r>
      <w:r w:rsidRPr="00BA6ACF">
        <w:rPr>
          <w:rFonts w:ascii="Book Antiqua" w:eastAsia="Book Antiqua" w:hAnsi="Book Antiqua" w:cs="Book Antiqua"/>
          <w:color w:val="000000"/>
        </w:rPr>
        <w:t>: 9404-9421 [PMID: 31108041 DOI: 10.1096/fj.201900047R]</w:t>
      </w:r>
    </w:p>
    <w:p w14:paraId="19F08BD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81 </w:t>
      </w:r>
      <w:r w:rsidRPr="00BA6ACF">
        <w:rPr>
          <w:rFonts w:ascii="Book Antiqua" w:eastAsia="Book Antiqua" w:hAnsi="Book Antiqua" w:cs="Book Antiqua"/>
          <w:b/>
          <w:bCs/>
          <w:color w:val="000000"/>
        </w:rPr>
        <w:t>Fan H</w:t>
      </w:r>
      <w:r w:rsidRPr="00BA6ACF">
        <w:rPr>
          <w:rFonts w:ascii="Book Antiqua" w:eastAsia="Book Antiqua" w:hAnsi="Book Antiqua" w:cs="Book Antiqua"/>
          <w:color w:val="000000"/>
        </w:rPr>
        <w:t xml:space="preserve">, Zhao G, Liu L, Liu F, Gong W, Liu X, Yang L, Wang J, Hou Y. Pre-treatment with IL-1β enhances the efficacy of MSC transplantation in DSS-induced colitis. </w:t>
      </w:r>
      <w:r w:rsidRPr="00BA6ACF">
        <w:rPr>
          <w:rFonts w:ascii="Book Antiqua" w:eastAsia="Book Antiqua" w:hAnsi="Book Antiqua" w:cs="Book Antiqua"/>
          <w:i/>
          <w:iCs/>
          <w:color w:val="000000"/>
        </w:rPr>
        <w:t>Cell Mol Immunol</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9</w:t>
      </w:r>
      <w:r w:rsidRPr="00BA6ACF">
        <w:rPr>
          <w:rFonts w:ascii="Book Antiqua" w:eastAsia="Book Antiqua" w:hAnsi="Book Antiqua" w:cs="Book Antiqua"/>
          <w:color w:val="000000"/>
        </w:rPr>
        <w:t>: 473-481 [PMID: 23085948 DOI: 10.1038/cmi.2012.40]</w:t>
      </w:r>
    </w:p>
    <w:p w14:paraId="3C32277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82 </w:t>
      </w:r>
      <w:r w:rsidRPr="00BA6ACF">
        <w:rPr>
          <w:rFonts w:ascii="Book Antiqua" w:eastAsia="Book Antiqua" w:hAnsi="Book Antiqua" w:cs="Book Antiqua"/>
          <w:b/>
          <w:bCs/>
          <w:color w:val="000000"/>
        </w:rPr>
        <w:t>Yu Y</w:t>
      </w:r>
      <w:r w:rsidRPr="00BA6ACF">
        <w:rPr>
          <w:rFonts w:ascii="Book Antiqua" w:eastAsia="Book Antiqua" w:hAnsi="Book Antiqua" w:cs="Book Antiqua"/>
          <w:color w:val="000000"/>
        </w:rPr>
        <w:t xml:space="preserve">, Yoo SM, Park HH, Baek SY, Kim YJ, Lee S, Kim YL, Seo KW, Kang KS. Preconditioning with interleukin-1 beta and interferon-gamma enhances the efficacy of human umbilical cord blood-derived mesenchymal stem cells-based therapy via enhancing prostaglandin E2 secretion and indoleamine 2,3-dioxygenase activity in dextran sulfate sodium-induced colitis. </w:t>
      </w:r>
      <w:r w:rsidRPr="00BA6ACF">
        <w:rPr>
          <w:rFonts w:ascii="Book Antiqua" w:eastAsia="Book Antiqua" w:hAnsi="Book Antiqua" w:cs="Book Antiqua"/>
          <w:i/>
          <w:iCs/>
          <w:color w:val="000000"/>
        </w:rPr>
        <w:t>J Tissue Eng Regen Med</w:t>
      </w:r>
      <w:r w:rsidRPr="00BA6ACF">
        <w:rPr>
          <w:rFonts w:ascii="Book Antiqua" w:eastAsia="Book Antiqua" w:hAnsi="Book Antiqua" w:cs="Book Antiqua"/>
          <w:color w:val="000000"/>
        </w:rPr>
        <w:t xml:space="preserve"> 2019; </w:t>
      </w:r>
      <w:r w:rsidRPr="00BA6ACF">
        <w:rPr>
          <w:rFonts w:ascii="Book Antiqua" w:eastAsia="Book Antiqua" w:hAnsi="Book Antiqua" w:cs="Book Antiqua"/>
          <w:b/>
          <w:bCs/>
          <w:color w:val="000000"/>
        </w:rPr>
        <w:t>13</w:t>
      </w:r>
      <w:r w:rsidRPr="00BA6ACF">
        <w:rPr>
          <w:rFonts w:ascii="Book Antiqua" w:eastAsia="Book Antiqua" w:hAnsi="Book Antiqua" w:cs="Book Antiqua"/>
          <w:color w:val="000000"/>
        </w:rPr>
        <w:t>: 1792-1804 [PMID: 31293088 DOI: 10.1002/term.2930]</w:t>
      </w:r>
    </w:p>
    <w:p w14:paraId="6B2141C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83 </w:t>
      </w:r>
      <w:r w:rsidRPr="00BA6ACF">
        <w:rPr>
          <w:rFonts w:ascii="Book Antiqua" w:eastAsia="Book Antiqua" w:hAnsi="Book Antiqua" w:cs="Book Antiqua"/>
          <w:b/>
          <w:bCs/>
          <w:color w:val="000000"/>
        </w:rPr>
        <w:t>van Dalen SCM</w:t>
      </w:r>
      <w:r w:rsidRPr="00BA6ACF">
        <w:rPr>
          <w:rFonts w:ascii="Book Antiqua" w:eastAsia="Book Antiqua" w:hAnsi="Book Antiqua" w:cs="Book Antiqua"/>
          <w:color w:val="000000"/>
        </w:rPr>
        <w:t xml:space="preserve">, Blom AB, Walgreen B, Slöetjes AW, Helsen MMA, Geven EJW, Ter Huurne M, Vogl T, Roth J, van de Loo FAJ, Koenders MI, Casteilla L, van der Kraan PM, </w:t>
      </w:r>
      <w:r w:rsidRPr="00BA6ACF">
        <w:rPr>
          <w:rFonts w:ascii="Book Antiqua" w:eastAsia="Book Antiqua" w:hAnsi="Book Antiqua" w:cs="Book Antiqua"/>
          <w:color w:val="000000"/>
        </w:rPr>
        <w:lastRenderedPageBreak/>
        <w:t xml:space="preserve">van den Bosch MHJ, van Lent PLEM. IL-1β-Mediated Activation of Adipose-Derived Mesenchymal Stromal Cells Results in PMN Reallocation and Enhanced Phagocytosis: A Possible Mechanism for the Reduction of Osteoarthritis Pathology. </w:t>
      </w:r>
      <w:r w:rsidRPr="00BA6ACF">
        <w:rPr>
          <w:rFonts w:ascii="Book Antiqua" w:eastAsia="Book Antiqua" w:hAnsi="Book Antiqua" w:cs="Book Antiqua"/>
          <w:i/>
          <w:iCs/>
          <w:color w:val="000000"/>
        </w:rPr>
        <w:t>Front Immunol</w:t>
      </w:r>
      <w:r w:rsidRPr="00BA6ACF">
        <w:rPr>
          <w:rFonts w:ascii="Book Antiqua" w:eastAsia="Book Antiqua" w:hAnsi="Book Antiqua" w:cs="Book Antiqua"/>
          <w:color w:val="000000"/>
        </w:rPr>
        <w:t xml:space="preserve"> 2019; </w:t>
      </w:r>
      <w:r w:rsidRPr="00BA6ACF">
        <w:rPr>
          <w:rFonts w:ascii="Book Antiqua" w:eastAsia="Book Antiqua" w:hAnsi="Book Antiqua" w:cs="Book Antiqua"/>
          <w:b/>
          <w:bCs/>
          <w:color w:val="000000"/>
        </w:rPr>
        <w:t>10</w:t>
      </w:r>
      <w:r w:rsidRPr="00BA6ACF">
        <w:rPr>
          <w:rFonts w:ascii="Book Antiqua" w:eastAsia="Book Antiqua" w:hAnsi="Book Antiqua" w:cs="Book Antiqua"/>
          <w:color w:val="000000"/>
        </w:rPr>
        <w:t>: 1075 [PMID: 31191517 DOI: 10.3389/fimmu.2019.01075]</w:t>
      </w:r>
    </w:p>
    <w:p w14:paraId="75E5033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84 </w:t>
      </w:r>
      <w:r w:rsidRPr="00BA6ACF">
        <w:rPr>
          <w:rFonts w:ascii="Book Antiqua" w:eastAsia="Book Antiqua" w:hAnsi="Book Antiqua" w:cs="Book Antiqua"/>
          <w:b/>
          <w:bCs/>
          <w:color w:val="000000"/>
        </w:rPr>
        <w:t>Huang H</w:t>
      </w:r>
      <w:r w:rsidRPr="00BA6ACF">
        <w:rPr>
          <w:rFonts w:ascii="Book Antiqua" w:eastAsia="Book Antiqua" w:hAnsi="Book Antiqua" w:cs="Book Antiqua"/>
          <w:color w:val="000000"/>
        </w:rPr>
        <w:t xml:space="preserve">, Kim HJ, Chang EJ, Lee ZH, Hwang SJ, Kim HM, Lee Y, Kim HH. IL-17 stimulates the proliferation and differentiation of human mesenchymal stem cells: implications for bone remodeling. </w:t>
      </w:r>
      <w:r w:rsidRPr="00BA6ACF">
        <w:rPr>
          <w:rFonts w:ascii="Book Antiqua" w:eastAsia="Book Antiqua" w:hAnsi="Book Antiqua" w:cs="Book Antiqua"/>
          <w:i/>
          <w:iCs/>
          <w:color w:val="000000"/>
        </w:rPr>
        <w:t>Cell Death Differ</w:t>
      </w:r>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16</w:t>
      </w:r>
      <w:r w:rsidRPr="00BA6ACF">
        <w:rPr>
          <w:rFonts w:ascii="Book Antiqua" w:eastAsia="Book Antiqua" w:hAnsi="Book Antiqua" w:cs="Book Antiqua"/>
          <w:color w:val="000000"/>
        </w:rPr>
        <w:t>: 1332-1343 [PMID: 19543237 DOI: 10.1038/cdd.2009.74]</w:t>
      </w:r>
    </w:p>
    <w:p w14:paraId="6DB987D5" w14:textId="65CD1136"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85 </w:t>
      </w:r>
      <w:r w:rsidRPr="00BA6ACF">
        <w:rPr>
          <w:rFonts w:ascii="Book Antiqua" w:eastAsia="Book Antiqua" w:hAnsi="Book Antiqua" w:cs="Book Antiqua"/>
          <w:b/>
          <w:bCs/>
          <w:color w:val="000000"/>
        </w:rPr>
        <w:t>Mojsilovi</w:t>
      </w:r>
      <w:r w:rsidR="000D7B13" w:rsidRPr="00BA6ACF">
        <w:rPr>
          <w:rFonts w:ascii="Book Antiqua" w:eastAsia="Book Antiqua" w:hAnsi="Book Antiqua" w:cs="Book Antiqua"/>
          <w:b/>
          <w:bCs/>
          <w:color w:val="000000"/>
        </w:rPr>
        <w:t>ć</w:t>
      </w:r>
      <w:r w:rsidRPr="00BA6ACF">
        <w:rPr>
          <w:rFonts w:ascii="Book Antiqua" w:eastAsia="Book Antiqua" w:hAnsi="Book Antiqua" w:cs="Book Antiqua"/>
          <w:b/>
          <w:bCs/>
          <w:color w:val="000000"/>
        </w:rPr>
        <w:t xml:space="preserve"> S</w:t>
      </w:r>
      <w:r w:rsidRPr="00BA6ACF">
        <w:rPr>
          <w:rFonts w:ascii="Book Antiqua" w:eastAsia="Book Antiqua" w:hAnsi="Book Antiqua" w:cs="Book Antiqua"/>
          <w:color w:val="000000"/>
        </w:rPr>
        <w:t>, Krsti</w:t>
      </w:r>
      <w:r w:rsidR="000D7B13" w:rsidRPr="00BA6ACF">
        <w:rPr>
          <w:rFonts w:ascii="Book Antiqua" w:eastAsia="Book Antiqua" w:hAnsi="Book Antiqua" w:cs="Book Antiqua"/>
          <w:color w:val="000000"/>
        </w:rPr>
        <w:t xml:space="preserve">ć </w:t>
      </w:r>
      <w:r w:rsidRPr="00BA6ACF">
        <w:rPr>
          <w:rFonts w:ascii="Book Antiqua" w:eastAsia="Book Antiqua" w:hAnsi="Book Antiqua" w:cs="Book Antiqua"/>
          <w:color w:val="000000"/>
        </w:rPr>
        <w:t>A, Ili</w:t>
      </w:r>
      <w:r w:rsidR="000D7B13" w:rsidRPr="00BA6ACF">
        <w:rPr>
          <w:rFonts w:ascii="Book Antiqua" w:eastAsia="Book Antiqua" w:hAnsi="Book Antiqua" w:cs="Book Antiqua"/>
          <w:color w:val="000000"/>
        </w:rPr>
        <w:t xml:space="preserve">ć </w:t>
      </w:r>
      <w:r w:rsidRPr="00BA6ACF">
        <w:rPr>
          <w:rFonts w:ascii="Book Antiqua" w:eastAsia="Book Antiqua" w:hAnsi="Book Antiqua" w:cs="Book Antiqua"/>
          <w:color w:val="000000"/>
        </w:rPr>
        <w:t xml:space="preserve">V, </w:t>
      </w:r>
      <w:r w:rsidR="000D7B13" w:rsidRPr="00BA6ACF">
        <w:rPr>
          <w:rFonts w:ascii="Book Antiqua" w:eastAsia="Book Antiqua" w:hAnsi="Book Antiqua" w:cs="Book Antiqua"/>
          <w:color w:val="000000"/>
        </w:rPr>
        <w:t>Okić Djordjević I</w:t>
      </w:r>
      <w:r w:rsidR="000D7B13" w:rsidRPr="00BA6ACF" w:rsidDel="000D7B13">
        <w:rPr>
          <w:rFonts w:ascii="Book Antiqua" w:eastAsia="Book Antiqua" w:hAnsi="Book Antiqua" w:cs="Book Antiqua"/>
          <w:color w:val="000000"/>
        </w:rPr>
        <w:t xml:space="preserve"> </w:t>
      </w:r>
      <w:r w:rsidRPr="00BA6ACF">
        <w:rPr>
          <w:rFonts w:ascii="Book Antiqua" w:eastAsia="Book Antiqua" w:hAnsi="Book Antiqua" w:cs="Book Antiqua"/>
          <w:color w:val="000000"/>
        </w:rPr>
        <w:t>I, Koci</w:t>
      </w:r>
      <w:r w:rsidR="000D7B13" w:rsidRPr="00BA6ACF">
        <w:rPr>
          <w:rFonts w:ascii="Book Antiqua" w:eastAsia="Book Antiqua" w:hAnsi="Book Antiqua" w:cs="Book Antiqua"/>
          <w:color w:val="000000"/>
        </w:rPr>
        <w:t xml:space="preserve">ć </w:t>
      </w:r>
      <w:r w:rsidRPr="00BA6ACF">
        <w:rPr>
          <w:rFonts w:ascii="Book Antiqua" w:eastAsia="Book Antiqua" w:hAnsi="Book Antiqua" w:cs="Book Antiqua"/>
          <w:color w:val="000000"/>
        </w:rPr>
        <w:t>J, Trivanovi</w:t>
      </w:r>
      <w:r w:rsidR="000D7B13" w:rsidRPr="00BA6ACF">
        <w:rPr>
          <w:rFonts w:ascii="Book Antiqua" w:eastAsia="Book Antiqua" w:hAnsi="Book Antiqua" w:cs="Book Antiqua"/>
          <w:color w:val="000000"/>
        </w:rPr>
        <w:t xml:space="preserve">ć </w:t>
      </w:r>
      <w:r w:rsidRPr="00BA6ACF">
        <w:rPr>
          <w:rFonts w:ascii="Book Antiqua" w:eastAsia="Book Antiqua" w:hAnsi="Book Antiqua" w:cs="Book Antiqua"/>
          <w:color w:val="000000"/>
        </w:rPr>
        <w:t>D, Santibañez JF, Jov</w:t>
      </w:r>
      <w:r w:rsidR="000D7B13" w:rsidRPr="00BA6ACF">
        <w:rPr>
          <w:rFonts w:ascii="Book Antiqua" w:eastAsia="Book Antiqua" w:hAnsi="Book Antiqua" w:cs="Book Antiqua"/>
          <w:color w:val="000000"/>
        </w:rPr>
        <w:t>čić</w:t>
      </w:r>
      <w:r w:rsidRPr="00BA6ACF">
        <w:rPr>
          <w:rFonts w:ascii="Book Antiqua" w:eastAsia="Book Antiqua" w:hAnsi="Book Antiqua" w:cs="Book Antiqua"/>
          <w:color w:val="000000"/>
        </w:rPr>
        <w:t xml:space="preserve">G, Bugarski D. IL-17 and FGF signaling involved in mouse mesenchymal stem cell proliferation. </w:t>
      </w:r>
      <w:r w:rsidRPr="00BA6ACF">
        <w:rPr>
          <w:rFonts w:ascii="Book Antiqua" w:eastAsia="Book Antiqua" w:hAnsi="Book Antiqua" w:cs="Book Antiqua"/>
          <w:i/>
          <w:iCs/>
          <w:color w:val="000000"/>
        </w:rPr>
        <w:t>Cell Tissue Res</w:t>
      </w:r>
      <w:r w:rsidRPr="00BA6ACF">
        <w:rPr>
          <w:rFonts w:ascii="Book Antiqua" w:eastAsia="Book Antiqua" w:hAnsi="Book Antiqua" w:cs="Book Antiqua"/>
          <w:color w:val="000000"/>
        </w:rPr>
        <w:t xml:space="preserve"> 2011; </w:t>
      </w:r>
      <w:r w:rsidRPr="00BA6ACF">
        <w:rPr>
          <w:rFonts w:ascii="Book Antiqua" w:eastAsia="Book Antiqua" w:hAnsi="Book Antiqua" w:cs="Book Antiqua"/>
          <w:b/>
          <w:bCs/>
          <w:color w:val="000000"/>
        </w:rPr>
        <w:t>346</w:t>
      </w:r>
      <w:r w:rsidRPr="00BA6ACF">
        <w:rPr>
          <w:rFonts w:ascii="Book Antiqua" w:eastAsia="Book Antiqua" w:hAnsi="Book Antiqua" w:cs="Book Antiqua"/>
          <w:color w:val="000000"/>
        </w:rPr>
        <w:t>: 305-316 [PMID: 22160457 DOI: 10.1007/s00441-011-1284-5]</w:t>
      </w:r>
    </w:p>
    <w:p w14:paraId="019CE667" w14:textId="5C41582A"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86 </w:t>
      </w:r>
      <w:r w:rsidRPr="00BA6ACF">
        <w:rPr>
          <w:rFonts w:ascii="Book Antiqua" w:eastAsia="Book Antiqua" w:hAnsi="Book Antiqua" w:cs="Book Antiqua"/>
          <w:b/>
          <w:bCs/>
          <w:color w:val="000000"/>
        </w:rPr>
        <w:t>Krsti</w:t>
      </w:r>
      <w:r w:rsidR="000D7B13" w:rsidRPr="00BA6ACF">
        <w:rPr>
          <w:rFonts w:ascii="Book Antiqua" w:eastAsia="Book Antiqua" w:hAnsi="Book Antiqua" w:cs="Book Antiqua"/>
          <w:b/>
          <w:bCs/>
          <w:color w:val="000000"/>
        </w:rPr>
        <w:t>ć</w:t>
      </w:r>
      <w:r w:rsidRPr="00BA6ACF">
        <w:rPr>
          <w:rFonts w:ascii="Book Antiqua" w:eastAsia="Book Antiqua" w:hAnsi="Book Antiqua" w:cs="Book Antiqua"/>
          <w:b/>
          <w:bCs/>
          <w:color w:val="000000"/>
        </w:rPr>
        <w:t xml:space="preserve"> J</w:t>
      </w:r>
      <w:r w:rsidRPr="00BA6ACF">
        <w:rPr>
          <w:rFonts w:ascii="Book Antiqua" w:eastAsia="Book Antiqua" w:hAnsi="Book Antiqua" w:cs="Book Antiqua"/>
          <w:color w:val="000000"/>
        </w:rPr>
        <w:t>, Obradovi</w:t>
      </w:r>
      <w:r w:rsidR="000D7B13"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H, Jaukovi</w:t>
      </w:r>
      <w:r w:rsidR="000D7B13"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A, </w:t>
      </w:r>
      <w:r w:rsidR="000D7B13" w:rsidRPr="00BA6ACF">
        <w:rPr>
          <w:rFonts w:ascii="Book Antiqua" w:eastAsia="Book Antiqua" w:hAnsi="Book Antiqua" w:cs="Book Antiqua"/>
          <w:color w:val="000000"/>
        </w:rPr>
        <w:t>Okić Djordjević I</w:t>
      </w:r>
      <w:r w:rsidRPr="00BA6ACF">
        <w:rPr>
          <w:rFonts w:ascii="Book Antiqua" w:eastAsia="Book Antiqua" w:hAnsi="Book Antiqua" w:cs="Book Antiqua"/>
          <w:color w:val="000000"/>
        </w:rPr>
        <w:t>, Trivanovi</w:t>
      </w:r>
      <w:r w:rsidR="000D7B13"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D, Kukolj T, Mojsilovi</w:t>
      </w:r>
      <w:r w:rsidR="000D7B13"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S, Ili</w:t>
      </w:r>
      <w:r w:rsidR="000D7B13"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V, Santibañez JF, Bugarski D. Urokinase type plasminogen activator mediates Interleukin-17-induced peripheral blood mesenchymal stem cell motility and transendothelial migration. </w:t>
      </w:r>
      <w:r w:rsidRPr="00BA6ACF">
        <w:rPr>
          <w:rFonts w:ascii="Book Antiqua" w:eastAsia="Book Antiqua" w:hAnsi="Book Antiqua" w:cs="Book Antiqua"/>
          <w:i/>
          <w:iCs/>
          <w:color w:val="000000"/>
        </w:rPr>
        <w:t>Biochim Biophys Acta</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1853</w:t>
      </w:r>
      <w:r w:rsidRPr="00BA6ACF">
        <w:rPr>
          <w:rFonts w:ascii="Book Antiqua" w:eastAsia="Book Antiqua" w:hAnsi="Book Antiqua" w:cs="Book Antiqua"/>
          <w:color w:val="000000"/>
        </w:rPr>
        <w:t>: 431-444 [PMID: 25433194 DOI: 10.1016/j.bbamcr.2014.11.025]</w:t>
      </w:r>
    </w:p>
    <w:p w14:paraId="7B3F9FC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87 </w:t>
      </w:r>
      <w:r w:rsidRPr="00BA6ACF">
        <w:rPr>
          <w:rFonts w:ascii="Book Antiqua" w:eastAsia="Book Antiqua" w:hAnsi="Book Antiqua" w:cs="Book Antiqua"/>
          <w:b/>
          <w:bCs/>
          <w:color w:val="000000"/>
        </w:rPr>
        <w:t>Croes M</w:t>
      </w:r>
      <w:r w:rsidRPr="00BA6ACF">
        <w:rPr>
          <w:rFonts w:ascii="Book Antiqua" w:eastAsia="Book Antiqua" w:hAnsi="Book Antiqua" w:cs="Book Antiqua"/>
          <w:color w:val="000000"/>
        </w:rPr>
        <w:t xml:space="preserve">, Öner FC, van Neerven D, Sabir E, Kruyt MC, Blokhuis TJ, Dhert WJA, Alblas J. Proinflammatory T cells and IL-17 stimulate osteoblast differentiation. </w:t>
      </w:r>
      <w:r w:rsidRPr="00BA6ACF">
        <w:rPr>
          <w:rFonts w:ascii="Book Antiqua" w:eastAsia="Book Antiqua" w:hAnsi="Book Antiqua" w:cs="Book Antiqua"/>
          <w:i/>
          <w:iCs/>
          <w:color w:val="000000"/>
        </w:rPr>
        <w:t>Bone</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84</w:t>
      </w:r>
      <w:r w:rsidRPr="00BA6ACF">
        <w:rPr>
          <w:rFonts w:ascii="Book Antiqua" w:eastAsia="Book Antiqua" w:hAnsi="Book Antiqua" w:cs="Book Antiqua"/>
          <w:color w:val="000000"/>
        </w:rPr>
        <w:t>: 262-270 [PMID: 26780388 DOI: 10.1016/j.bone.2016.01.010]</w:t>
      </w:r>
    </w:p>
    <w:p w14:paraId="52E2B05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88 </w:t>
      </w:r>
      <w:r w:rsidRPr="00BA6ACF">
        <w:rPr>
          <w:rFonts w:ascii="Book Antiqua" w:eastAsia="Book Antiqua" w:hAnsi="Book Antiqua" w:cs="Book Antiqua"/>
          <w:b/>
          <w:bCs/>
          <w:color w:val="000000"/>
        </w:rPr>
        <w:t>Noh M</w:t>
      </w:r>
      <w:r w:rsidRPr="00BA6ACF">
        <w:rPr>
          <w:rFonts w:ascii="Book Antiqua" w:eastAsia="Book Antiqua" w:hAnsi="Book Antiqua" w:cs="Book Antiqua"/>
          <w:color w:val="000000"/>
        </w:rPr>
        <w:t xml:space="preserve">. Interleukin-17A increases leptin production in human bone marrow mesenchymal stem cells. </w:t>
      </w:r>
      <w:r w:rsidRPr="00BA6ACF">
        <w:rPr>
          <w:rFonts w:ascii="Book Antiqua" w:eastAsia="Book Antiqua" w:hAnsi="Book Antiqua" w:cs="Book Antiqua"/>
          <w:i/>
          <w:iCs/>
          <w:color w:val="000000"/>
        </w:rPr>
        <w:t>Biochem Pharmacol</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83</w:t>
      </w:r>
      <w:r w:rsidRPr="00BA6ACF">
        <w:rPr>
          <w:rFonts w:ascii="Book Antiqua" w:eastAsia="Book Antiqua" w:hAnsi="Book Antiqua" w:cs="Book Antiqua"/>
          <w:color w:val="000000"/>
        </w:rPr>
        <w:t>: 661-670 [PMID: 22197587 DOI: 10.1016/j.bcp.2011.12.010]</w:t>
      </w:r>
    </w:p>
    <w:p w14:paraId="5D943E2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89 </w:t>
      </w:r>
      <w:r w:rsidRPr="00BA6ACF">
        <w:rPr>
          <w:rFonts w:ascii="Book Antiqua" w:eastAsia="Book Antiqua" w:hAnsi="Book Antiqua" w:cs="Book Antiqua"/>
          <w:b/>
          <w:bCs/>
          <w:color w:val="000000"/>
        </w:rPr>
        <w:t>Osta B</w:t>
      </w:r>
      <w:r w:rsidRPr="00BA6ACF">
        <w:rPr>
          <w:rFonts w:ascii="Book Antiqua" w:eastAsia="Book Antiqua" w:hAnsi="Book Antiqua" w:cs="Book Antiqua"/>
          <w:color w:val="000000"/>
        </w:rPr>
        <w:t xml:space="preserve">, Lavocat F, Eljaafari A, Miossec P. Effects of Interleukin-17A on Osteogenic Differentiation of Isolated Human Mesenchymal Stem Cells. </w:t>
      </w:r>
      <w:r w:rsidRPr="00BA6ACF">
        <w:rPr>
          <w:rFonts w:ascii="Book Antiqua" w:eastAsia="Book Antiqua" w:hAnsi="Book Antiqua" w:cs="Book Antiqua"/>
          <w:i/>
          <w:iCs/>
          <w:color w:val="000000"/>
        </w:rPr>
        <w:t>Front Immunol</w:t>
      </w:r>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5</w:t>
      </w:r>
      <w:r w:rsidRPr="00BA6ACF">
        <w:rPr>
          <w:rFonts w:ascii="Book Antiqua" w:eastAsia="Book Antiqua" w:hAnsi="Book Antiqua" w:cs="Book Antiqua"/>
          <w:color w:val="000000"/>
        </w:rPr>
        <w:t>: 425 [PMID: 25228904 DOI: 10.3389/fimmu.2014.00425]</w:t>
      </w:r>
    </w:p>
    <w:p w14:paraId="1B20D5E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90 </w:t>
      </w:r>
      <w:r w:rsidRPr="00BA6ACF">
        <w:rPr>
          <w:rFonts w:ascii="Book Antiqua" w:eastAsia="Book Antiqua" w:hAnsi="Book Antiqua" w:cs="Book Antiqua"/>
          <w:b/>
          <w:bCs/>
          <w:color w:val="000000"/>
        </w:rPr>
        <w:t>Kondo M</w:t>
      </w:r>
      <w:r w:rsidRPr="00BA6ACF">
        <w:rPr>
          <w:rFonts w:ascii="Book Antiqua" w:eastAsia="Book Antiqua" w:hAnsi="Book Antiqua" w:cs="Book Antiqua"/>
          <w:color w:val="000000"/>
        </w:rPr>
        <w:t xml:space="preserve">, Yamaoka K, Sonomoto K, Fukuyo S, Oshita K, Okada Y, Tanaka Y. IL-17 inhibits chondrogenic differentiation of human mesenchymal stem cells. </w:t>
      </w:r>
      <w:r w:rsidRPr="00BA6ACF">
        <w:rPr>
          <w:rFonts w:ascii="Book Antiqua" w:eastAsia="Book Antiqua" w:hAnsi="Book Antiqua" w:cs="Book Antiqua"/>
          <w:i/>
          <w:iCs/>
          <w:color w:val="000000"/>
        </w:rPr>
        <w:t>PLoS One</w:t>
      </w:r>
      <w:r w:rsidRPr="00BA6ACF">
        <w:rPr>
          <w:rFonts w:ascii="Book Antiqua" w:eastAsia="Book Antiqua" w:hAnsi="Book Antiqua" w:cs="Book Antiqua"/>
          <w:color w:val="000000"/>
        </w:rPr>
        <w:t xml:space="preserve"> 2013;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e79463 [PMID: 24260226 DOI: 10.1371/journal.pone.0079463]</w:t>
      </w:r>
    </w:p>
    <w:p w14:paraId="55BBBFA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91 </w:t>
      </w:r>
      <w:r w:rsidRPr="00BA6ACF">
        <w:rPr>
          <w:rFonts w:ascii="Book Antiqua" w:eastAsia="Book Antiqua" w:hAnsi="Book Antiqua" w:cs="Book Antiqua"/>
          <w:b/>
          <w:bCs/>
          <w:color w:val="000000"/>
        </w:rPr>
        <w:t>Shin JH</w:t>
      </w:r>
      <w:r w:rsidRPr="00BA6ACF">
        <w:rPr>
          <w:rFonts w:ascii="Book Antiqua" w:eastAsia="Book Antiqua" w:hAnsi="Book Antiqua" w:cs="Book Antiqua"/>
          <w:color w:val="000000"/>
        </w:rPr>
        <w:t xml:space="preserve">, Shin DW, Noh M. Interleukin-17A inhibits adipocyte differentiation in human mesenchymal stem cells and regulates pro-inflammatory responses in adipocytes. </w:t>
      </w:r>
      <w:r w:rsidRPr="00BA6ACF">
        <w:rPr>
          <w:rFonts w:ascii="Book Antiqua" w:eastAsia="Book Antiqua" w:hAnsi="Book Antiqua" w:cs="Book Antiqua"/>
          <w:i/>
          <w:iCs/>
          <w:color w:val="000000"/>
        </w:rPr>
        <w:t>Biochem Pharmacol</w:t>
      </w:r>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77</w:t>
      </w:r>
      <w:r w:rsidRPr="00BA6ACF">
        <w:rPr>
          <w:rFonts w:ascii="Book Antiqua" w:eastAsia="Book Antiqua" w:hAnsi="Book Antiqua" w:cs="Book Antiqua"/>
          <w:color w:val="000000"/>
        </w:rPr>
        <w:t>: 1835-1844 [PMID: 19428338 DOI: 10.1016/j.bcp.2009.03.008]</w:t>
      </w:r>
    </w:p>
    <w:p w14:paraId="1EB58D92" w14:textId="7A8D4D6E"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92 </w:t>
      </w:r>
      <w:r w:rsidR="000D7B13" w:rsidRPr="00BA6ACF">
        <w:rPr>
          <w:rFonts w:ascii="Book Antiqua" w:eastAsia="Book Antiqua" w:hAnsi="Book Antiqua" w:cs="Book Antiqua"/>
          <w:b/>
          <w:bCs/>
          <w:color w:val="000000"/>
        </w:rPr>
        <w:t>Djordjević</w:t>
      </w:r>
      <w:r w:rsidR="000D7B13" w:rsidRPr="00BA6ACF" w:rsidDel="000D7B13">
        <w:rPr>
          <w:rFonts w:ascii="Book Antiqua" w:eastAsia="Book Antiqua" w:hAnsi="Book Antiqua" w:cs="Book Antiqua"/>
          <w:b/>
          <w:bCs/>
          <w:color w:val="000000"/>
        </w:rPr>
        <w:t xml:space="preserve"> </w:t>
      </w:r>
      <w:r w:rsidR="000D7B13" w:rsidRPr="00BA6ACF">
        <w:rPr>
          <w:rFonts w:ascii="Book Antiqua" w:eastAsia="Book Antiqua" w:hAnsi="Book Antiqua" w:cs="Book Antiqua"/>
          <w:b/>
          <w:bCs/>
          <w:color w:val="000000"/>
        </w:rPr>
        <w:t xml:space="preserve">ć </w:t>
      </w:r>
      <w:r w:rsidRPr="00BA6ACF">
        <w:rPr>
          <w:rFonts w:ascii="Book Antiqua" w:eastAsia="Book Antiqua" w:hAnsi="Book Antiqua" w:cs="Book Antiqua"/>
          <w:b/>
          <w:bCs/>
          <w:color w:val="000000"/>
        </w:rPr>
        <w:t>IO</w:t>
      </w:r>
      <w:r w:rsidRPr="00BA6ACF">
        <w:rPr>
          <w:rFonts w:ascii="Book Antiqua" w:eastAsia="Book Antiqua" w:hAnsi="Book Antiqua" w:cs="Book Antiqua"/>
          <w:color w:val="000000"/>
        </w:rPr>
        <w:t>, Kukolj T, Krsti</w:t>
      </w:r>
      <w:r w:rsidR="000D7B13"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J, Trivanovi</w:t>
      </w:r>
      <w:r w:rsidR="000D7B13"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D, Obradovi</w:t>
      </w:r>
      <w:r w:rsidR="000D7B13"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H, Santibañez JF, Mojsilovi</w:t>
      </w:r>
      <w:r w:rsidR="000D7B13"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S, Ili</w:t>
      </w:r>
      <w:r w:rsidR="000D7B13"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V, Bugarski D, Jaukovi</w:t>
      </w:r>
      <w:r w:rsidR="000D7B13"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A. The inhibition of periodontal ligament stem cells osteogenic differentiation by IL-17 is mediated via MAPKs. </w:t>
      </w:r>
      <w:r w:rsidRPr="00BA6ACF">
        <w:rPr>
          <w:rFonts w:ascii="Book Antiqua" w:eastAsia="Book Antiqua" w:hAnsi="Book Antiqua" w:cs="Book Antiqua"/>
          <w:i/>
          <w:iCs/>
          <w:color w:val="000000"/>
        </w:rPr>
        <w:t>Int J Biochem Cell Biol</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71</w:t>
      </w:r>
      <w:r w:rsidRPr="00BA6ACF">
        <w:rPr>
          <w:rFonts w:ascii="Book Antiqua" w:eastAsia="Book Antiqua" w:hAnsi="Book Antiqua" w:cs="Book Antiqua"/>
          <w:color w:val="000000"/>
        </w:rPr>
        <w:t>: 92-101 [PMID: 26718973 DOI: 10.1016/j.biocel.2015.12.007]</w:t>
      </w:r>
    </w:p>
    <w:p w14:paraId="3604CA3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93 </w:t>
      </w:r>
      <w:r w:rsidRPr="00BA6ACF">
        <w:rPr>
          <w:rFonts w:ascii="Book Antiqua" w:eastAsia="Book Antiqua" w:hAnsi="Book Antiqua" w:cs="Book Antiqua"/>
          <w:b/>
          <w:bCs/>
          <w:color w:val="000000"/>
        </w:rPr>
        <w:t>Chang J</w:t>
      </w:r>
      <w:r w:rsidRPr="00BA6ACF">
        <w:rPr>
          <w:rFonts w:ascii="Book Antiqua" w:eastAsia="Book Antiqua" w:hAnsi="Book Antiqua" w:cs="Book Antiqua"/>
          <w:color w:val="000000"/>
        </w:rPr>
        <w:t xml:space="preserve">, Liu F, Lee M, Wu B, Ting K, Zara JN, Soo C, Al Hezaimi K, Zou W, Chen X, Mooney DJ, Wang CY. NF-κB inhibits osteogenic differentiation of mesenchymal stem cells by promoting β-catenin degradation. </w:t>
      </w:r>
      <w:r w:rsidRPr="00BA6ACF">
        <w:rPr>
          <w:rFonts w:ascii="Book Antiqua" w:eastAsia="Book Antiqua" w:hAnsi="Book Antiqua" w:cs="Book Antiqua"/>
          <w:i/>
          <w:iCs/>
          <w:color w:val="000000"/>
        </w:rPr>
        <w:t>Proc Natl Acad Sci U S A</w:t>
      </w:r>
      <w:r w:rsidRPr="00BA6ACF">
        <w:rPr>
          <w:rFonts w:ascii="Book Antiqua" w:eastAsia="Book Antiqua" w:hAnsi="Book Antiqua" w:cs="Book Antiqua"/>
          <w:color w:val="000000"/>
        </w:rPr>
        <w:t xml:space="preserve"> 2013; </w:t>
      </w:r>
      <w:r w:rsidRPr="00BA6ACF">
        <w:rPr>
          <w:rFonts w:ascii="Book Antiqua" w:eastAsia="Book Antiqua" w:hAnsi="Book Antiqua" w:cs="Book Antiqua"/>
          <w:b/>
          <w:bCs/>
          <w:color w:val="000000"/>
        </w:rPr>
        <w:t>110</w:t>
      </w:r>
      <w:r w:rsidRPr="00BA6ACF">
        <w:rPr>
          <w:rFonts w:ascii="Book Antiqua" w:eastAsia="Book Antiqua" w:hAnsi="Book Antiqua" w:cs="Book Antiqua"/>
          <w:color w:val="000000"/>
        </w:rPr>
        <w:t>: 9469-9474 [PMID: 23690607 DOI: 10.1073/pnas.1300532110]</w:t>
      </w:r>
    </w:p>
    <w:p w14:paraId="70CE9850"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94 </w:t>
      </w:r>
      <w:r w:rsidRPr="00BA6ACF">
        <w:rPr>
          <w:rFonts w:ascii="Book Antiqua" w:eastAsia="Book Antiqua" w:hAnsi="Book Antiqua" w:cs="Book Antiqua"/>
          <w:b/>
          <w:bCs/>
          <w:color w:val="000000"/>
        </w:rPr>
        <w:t>Sivanathan KN</w:t>
      </w:r>
      <w:r w:rsidRPr="00BA6ACF">
        <w:rPr>
          <w:rFonts w:ascii="Book Antiqua" w:eastAsia="Book Antiqua" w:hAnsi="Book Antiqua" w:cs="Book Antiqua"/>
          <w:color w:val="000000"/>
        </w:rPr>
        <w:t xml:space="preserve">, Rojas-Canales DM, Hope CM, Krishnan R, Carroll RP, Gronthos S, Grey ST, Coates PT. Interleukin-17A-Induced Human Mesenchymal Stem Cells Are Superior Modulators of Immunological Function. </w:t>
      </w:r>
      <w:r w:rsidRPr="00BA6ACF">
        <w:rPr>
          <w:rFonts w:ascii="Book Antiqua" w:eastAsia="Book Antiqua" w:hAnsi="Book Antiqua" w:cs="Book Antiqua"/>
          <w:i/>
          <w:iCs/>
          <w:color w:val="000000"/>
        </w:rPr>
        <w:t>Stem Cells</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33</w:t>
      </w:r>
      <w:r w:rsidRPr="00BA6ACF">
        <w:rPr>
          <w:rFonts w:ascii="Book Antiqua" w:eastAsia="Book Antiqua" w:hAnsi="Book Antiqua" w:cs="Book Antiqua"/>
          <w:color w:val="000000"/>
        </w:rPr>
        <w:t>: 2850-2863 [PMID: 26037953 DOI: 10.1002/stem.2075]</w:t>
      </w:r>
    </w:p>
    <w:p w14:paraId="40B62A5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95 </w:t>
      </w:r>
      <w:r w:rsidRPr="00BA6ACF">
        <w:rPr>
          <w:rFonts w:ascii="Book Antiqua" w:eastAsia="Book Antiqua" w:hAnsi="Book Antiqua" w:cs="Book Antiqua"/>
          <w:b/>
          <w:bCs/>
          <w:color w:val="000000"/>
        </w:rPr>
        <w:t>Han X</w:t>
      </w:r>
      <w:r w:rsidRPr="00BA6ACF">
        <w:rPr>
          <w:rFonts w:ascii="Book Antiqua" w:eastAsia="Book Antiqua" w:hAnsi="Book Antiqua" w:cs="Book Antiqua"/>
          <w:color w:val="000000"/>
        </w:rPr>
        <w:t xml:space="preserve">, Yang Q, Lin L, Xu C, Zheng C, Chen X, Han Y, Li M, Cao W, Cao K, Chen Q, Xu G, Zhang Y, Zhang J, Schneider RJ, Qian Y, Wang Y, Brewer G, Shi Y. Interleukin-17 enhances immunosuppression by mesenchymal stem cells. </w:t>
      </w:r>
      <w:r w:rsidRPr="00BA6ACF">
        <w:rPr>
          <w:rFonts w:ascii="Book Antiqua" w:eastAsia="Book Antiqua" w:hAnsi="Book Antiqua" w:cs="Book Antiqua"/>
          <w:i/>
          <w:iCs/>
          <w:color w:val="000000"/>
        </w:rPr>
        <w:t>Cell Death Differ</w:t>
      </w:r>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21</w:t>
      </w:r>
      <w:r w:rsidRPr="00BA6ACF">
        <w:rPr>
          <w:rFonts w:ascii="Book Antiqua" w:eastAsia="Book Antiqua" w:hAnsi="Book Antiqua" w:cs="Book Antiqua"/>
          <w:color w:val="000000"/>
        </w:rPr>
        <w:t>: 1758-1768 [PMID: 25034782 DOI: 10.1038/cdd.2014.85]</w:t>
      </w:r>
    </w:p>
    <w:p w14:paraId="2782965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96 </w:t>
      </w:r>
      <w:r w:rsidRPr="00BA6ACF">
        <w:rPr>
          <w:rFonts w:ascii="Book Antiqua" w:eastAsia="Book Antiqua" w:hAnsi="Book Antiqua" w:cs="Book Antiqua"/>
          <w:b/>
          <w:bCs/>
          <w:color w:val="000000"/>
        </w:rPr>
        <w:t>Tian J</w:t>
      </w:r>
      <w:r w:rsidRPr="00BA6ACF">
        <w:rPr>
          <w:rFonts w:ascii="Book Antiqua" w:eastAsia="Book Antiqua" w:hAnsi="Book Antiqua" w:cs="Book Antiqua"/>
          <w:color w:val="000000"/>
        </w:rPr>
        <w:t xml:space="preserve">, Rui K, Tang X, Wang W, Ma J, Tian X, Wang Y, Xu H, Lu L, Wang S. IL-17 down-regulates the immunosuppressive capacity of olfactory ecto-mesenchymal stem cells in murine collagen-induced arthritis. </w:t>
      </w:r>
      <w:r w:rsidRPr="00BA6ACF">
        <w:rPr>
          <w:rFonts w:ascii="Book Antiqua" w:eastAsia="Book Antiqua" w:hAnsi="Book Antiqua" w:cs="Book Antiqua"/>
          <w:i/>
          <w:iCs/>
          <w:color w:val="000000"/>
        </w:rPr>
        <w:t>Oncotarget</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7</w:t>
      </w:r>
      <w:r w:rsidRPr="00BA6ACF">
        <w:rPr>
          <w:rFonts w:ascii="Book Antiqua" w:eastAsia="Book Antiqua" w:hAnsi="Book Antiqua" w:cs="Book Antiqua"/>
          <w:color w:val="000000"/>
        </w:rPr>
        <w:t>: 42953-42962 [PMID: 27356747 DOI: 10.18632/oncotarget.10261]</w:t>
      </w:r>
    </w:p>
    <w:p w14:paraId="57CE0F1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97 </w:t>
      </w:r>
      <w:r w:rsidRPr="00BA6ACF">
        <w:rPr>
          <w:rFonts w:ascii="Book Antiqua" w:eastAsia="Book Antiqua" w:hAnsi="Book Antiqua" w:cs="Book Antiqua"/>
          <w:b/>
          <w:bCs/>
          <w:color w:val="000000"/>
        </w:rPr>
        <w:t>Bai M</w:t>
      </w:r>
      <w:r w:rsidRPr="00BA6ACF">
        <w:rPr>
          <w:rFonts w:ascii="Book Antiqua" w:eastAsia="Book Antiqua" w:hAnsi="Book Antiqua" w:cs="Book Antiqua"/>
          <w:color w:val="000000"/>
        </w:rPr>
        <w:t xml:space="preserve">, Zhang L, Fu B, Bai J, Zhang Y, Cai G, Bai X, Feng Z, Sun S, Chen X. IL-17A improves the efficacy of mesenchymal stem cells in ischemic-reperfusion renal injury by increasing Treg percentages by the COX-2/PGE2 pathway. </w:t>
      </w:r>
      <w:r w:rsidRPr="00BA6ACF">
        <w:rPr>
          <w:rFonts w:ascii="Book Antiqua" w:eastAsia="Book Antiqua" w:hAnsi="Book Antiqua" w:cs="Book Antiqua"/>
          <w:i/>
          <w:iCs/>
          <w:color w:val="000000"/>
        </w:rPr>
        <w:t>Kidney Int</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93</w:t>
      </w:r>
      <w:r w:rsidRPr="00BA6ACF">
        <w:rPr>
          <w:rFonts w:ascii="Book Antiqua" w:eastAsia="Book Antiqua" w:hAnsi="Book Antiqua" w:cs="Book Antiqua"/>
          <w:color w:val="000000"/>
        </w:rPr>
        <w:t>: 814-825 [PMID: 29132705 DOI: 10.1016/j.kint.2017.08.030]</w:t>
      </w:r>
    </w:p>
    <w:p w14:paraId="1726123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98 </w:t>
      </w:r>
      <w:r w:rsidRPr="00BA6ACF">
        <w:rPr>
          <w:rFonts w:ascii="Book Antiqua" w:eastAsia="Book Antiqua" w:hAnsi="Book Antiqua" w:cs="Book Antiqua"/>
          <w:b/>
          <w:bCs/>
          <w:color w:val="000000"/>
        </w:rPr>
        <w:t>Ma T</w:t>
      </w:r>
      <w:r w:rsidRPr="00BA6ACF">
        <w:rPr>
          <w:rFonts w:ascii="Book Antiqua" w:eastAsia="Book Antiqua" w:hAnsi="Book Antiqua" w:cs="Book Antiqua"/>
          <w:color w:val="000000"/>
        </w:rPr>
        <w:t xml:space="preserve">, Wang X, Jiao Y, Wang H, Qi Y, Gong H, Zhang L, Jiang D. Interleukin 17 (IL-17)-Induced Mesenchymal Stem Cells Prolong the Survival of Allogeneic Skin Grafts. </w:t>
      </w:r>
      <w:r w:rsidRPr="00BA6ACF">
        <w:rPr>
          <w:rFonts w:ascii="Book Antiqua" w:eastAsia="Book Antiqua" w:hAnsi="Book Antiqua" w:cs="Book Antiqua"/>
          <w:i/>
          <w:iCs/>
          <w:color w:val="000000"/>
        </w:rPr>
        <w:t>Ann Transplant</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23</w:t>
      </w:r>
      <w:r w:rsidRPr="00BA6ACF">
        <w:rPr>
          <w:rFonts w:ascii="Book Antiqua" w:eastAsia="Book Antiqua" w:hAnsi="Book Antiqua" w:cs="Book Antiqua"/>
          <w:color w:val="000000"/>
        </w:rPr>
        <w:t>: 615-621 [PMID: 30166501 DOI: 10.12659/AOT.909381]</w:t>
      </w:r>
    </w:p>
    <w:p w14:paraId="2A95A38B"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99 </w:t>
      </w:r>
      <w:r w:rsidRPr="00BA6ACF">
        <w:rPr>
          <w:rFonts w:ascii="Book Antiqua" w:eastAsia="Book Antiqua" w:hAnsi="Book Antiqua" w:cs="Book Antiqua"/>
          <w:b/>
          <w:bCs/>
          <w:color w:val="000000"/>
        </w:rPr>
        <w:t>Rincon M</w:t>
      </w:r>
      <w:r w:rsidRPr="00BA6ACF">
        <w:rPr>
          <w:rFonts w:ascii="Book Antiqua" w:eastAsia="Book Antiqua" w:hAnsi="Book Antiqua" w:cs="Book Antiqua"/>
          <w:color w:val="000000"/>
        </w:rPr>
        <w:t xml:space="preserve">. Interleukin-6: from an inflammatory marker to a target for inflammatory diseases. </w:t>
      </w:r>
      <w:r w:rsidRPr="00BA6ACF">
        <w:rPr>
          <w:rFonts w:ascii="Book Antiqua" w:eastAsia="Book Antiqua" w:hAnsi="Book Antiqua" w:cs="Book Antiqua"/>
          <w:i/>
          <w:iCs/>
          <w:color w:val="000000"/>
        </w:rPr>
        <w:t>Trends Immunol</w:t>
      </w:r>
      <w:r w:rsidRPr="00BA6ACF">
        <w:rPr>
          <w:rFonts w:ascii="Book Antiqua" w:eastAsia="Book Antiqua" w:hAnsi="Book Antiqua" w:cs="Book Antiqua"/>
          <w:color w:val="000000"/>
        </w:rPr>
        <w:t xml:space="preserve"> 2012; </w:t>
      </w:r>
      <w:r w:rsidRPr="00BA6ACF">
        <w:rPr>
          <w:rFonts w:ascii="Book Antiqua" w:eastAsia="Book Antiqua" w:hAnsi="Book Antiqua" w:cs="Book Antiqua"/>
          <w:b/>
          <w:bCs/>
          <w:color w:val="000000"/>
        </w:rPr>
        <w:t>33</w:t>
      </w:r>
      <w:r w:rsidRPr="00BA6ACF">
        <w:rPr>
          <w:rFonts w:ascii="Book Antiqua" w:eastAsia="Book Antiqua" w:hAnsi="Book Antiqua" w:cs="Book Antiqua"/>
          <w:color w:val="000000"/>
        </w:rPr>
        <w:t>: 571-577 [PMID: 22883707 DOI: 10.1016/j.it.2012.07.003]</w:t>
      </w:r>
    </w:p>
    <w:p w14:paraId="49AFE3F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100 </w:t>
      </w:r>
      <w:r w:rsidRPr="00BA6ACF">
        <w:rPr>
          <w:rFonts w:ascii="Book Antiqua" w:eastAsia="Book Antiqua" w:hAnsi="Book Antiqua" w:cs="Book Antiqua"/>
          <w:b/>
          <w:bCs/>
          <w:color w:val="000000"/>
        </w:rPr>
        <w:t>Wei H</w:t>
      </w:r>
      <w:r w:rsidRPr="00BA6ACF">
        <w:rPr>
          <w:rFonts w:ascii="Book Antiqua" w:eastAsia="Book Antiqua" w:hAnsi="Book Antiqua" w:cs="Book Antiqua"/>
          <w:color w:val="000000"/>
        </w:rPr>
        <w:t xml:space="preserve">, Shen G, Deng X, Lou D, Sun B, Wu H, Long L, Ding T, Zhao J. The role of IL-6 in bone marrow (BM)-derived mesenchymal stem cells (MSCs) proliferation and chondrogenesis. </w:t>
      </w:r>
      <w:r w:rsidRPr="00BA6ACF">
        <w:rPr>
          <w:rFonts w:ascii="Book Antiqua" w:eastAsia="Book Antiqua" w:hAnsi="Book Antiqua" w:cs="Book Antiqua"/>
          <w:i/>
          <w:iCs/>
          <w:color w:val="000000"/>
        </w:rPr>
        <w:t>Cell Tissue Bank</w:t>
      </w:r>
      <w:r w:rsidRPr="00BA6ACF">
        <w:rPr>
          <w:rFonts w:ascii="Book Antiqua" w:eastAsia="Book Antiqua" w:hAnsi="Book Antiqua" w:cs="Book Antiqua"/>
          <w:color w:val="000000"/>
        </w:rPr>
        <w:t xml:space="preserve"> 2013; </w:t>
      </w:r>
      <w:r w:rsidRPr="00BA6ACF">
        <w:rPr>
          <w:rFonts w:ascii="Book Antiqua" w:eastAsia="Book Antiqua" w:hAnsi="Book Antiqua" w:cs="Book Antiqua"/>
          <w:b/>
          <w:bCs/>
          <w:color w:val="000000"/>
        </w:rPr>
        <w:t>14</w:t>
      </w:r>
      <w:r w:rsidRPr="00BA6ACF">
        <w:rPr>
          <w:rFonts w:ascii="Book Antiqua" w:eastAsia="Book Antiqua" w:hAnsi="Book Antiqua" w:cs="Book Antiqua"/>
          <w:color w:val="000000"/>
        </w:rPr>
        <w:t>: 699-706 [PMID: 23322270 DOI: 10.1007/s10561-012-9354-9]</w:t>
      </w:r>
    </w:p>
    <w:p w14:paraId="7BCA283D"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101 </w:t>
      </w:r>
      <w:r w:rsidRPr="00BA6ACF">
        <w:rPr>
          <w:rFonts w:ascii="Book Antiqua" w:eastAsia="Book Antiqua" w:hAnsi="Book Antiqua" w:cs="Book Antiqua"/>
          <w:b/>
          <w:bCs/>
          <w:color w:val="000000"/>
        </w:rPr>
        <w:t>Song HY</w:t>
      </w:r>
      <w:r w:rsidRPr="00BA6ACF">
        <w:rPr>
          <w:rFonts w:ascii="Book Antiqua" w:eastAsia="Book Antiqua" w:hAnsi="Book Antiqua" w:cs="Book Antiqua"/>
          <w:color w:val="000000"/>
        </w:rPr>
        <w:t xml:space="preserve">, Jeon ES, Jung JS, Kim JH. Oncostatin M induces proliferation of human adipose tissue-derived mesenchymal stem cells. </w:t>
      </w:r>
      <w:r w:rsidRPr="00BA6ACF">
        <w:rPr>
          <w:rFonts w:ascii="Book Antiqua" w:eastAsia="Book Antiqua" w:hAnsi="Book Antiqua" w:cs="Book Antiqua"/>
          <w:i/>
          <w:iCs/>
          <w:color w:val="000000"/>
        </w:rPr>
        <w:t>Int J Biochem Cell Biol</w:t>
      </w:r>
      <w:r w:rsidRPr="00BA6ACF">
        <w:rPr>
          <w:rFonts w:ascii="Book Antiqua" w:eastAsia="Book Antiqua" w:hAnsi="Book Antiqua" w:cs="Book Antiqua"/>
          <w:color w:val="000000"/>
        </w:rPr>
        <w:t xml:space="preserve"> 2005; </w:t>
      </w:r>
      <w:r w:rsidRPr="00BA6ACF">
        <w:rPr>
          <w:rFonts w:ascii="Book Antiqua" w:eastAsia="Book Antiqua" w:hAnsi="Book Antiqua" w:cs="Book Antiqua"/>
          <w:b/>
          <w:bCs/>
          <w:color w:val="000000"/>
        </w:rPr>
        <w:t>37</w:t>
      </w:r>
      <w:r w:rsidRPr="00BA6ACF">
        <w:rPr>
          <w:rFonts w:ascii="Book Antiqua" w:eastAsia="Book Antiqua" w:hAnsi="Book Antiqua" w:cs="Book Antiqua"/>
          <w:color w:val="000000"/>
        </w:rPr>
        <w:t>: 2357-2365 [PMID: 15979922 DOI: 10.1016/j.biocel.2005.05.007]</w:t>
      </w:r>
    </w:p>
    <w:p w14:paraId="1576A95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102 </w:t>
      </w:r>
      <w:r w:rsidRPr="00BA6ACF">
        <w:rPr>
          <w:rFonts w:ascii="Book Antiqua" w:eastAsia="Book Antiqua" w:hAnsi="Book Antiqua" w:cs="Book Antiqua"/>
          <w:b/>
          <w:bCs/>
          <w:color w:val="000000"/>
        </w:rPr>
        <w:t>Li D</w:t>
      </w:r>
      <w:r w:rsidRPr="00BA6ACF">
        <w:rPr>
          <w:rFonts w:ascii="Book Antiqua" w:eastAsia="Book Antiqua" w:hAnsi="Book Antiqua" w:cs="Book Antiqua"/>
          <w:color w:val="000000"/>
        </w:rPr>
        <w:t xml:space="preserve">, Wang GY, Dong BH, Zhang YC, Wang YX, Sun BC. Biological characteristics of human placental mesenchymal stem cells and their proliferative response to various cytokines. </w:t>
      </w:r>
      <w:r w:rsidRPr="00BA6ACF">
        <w:rPr>
          <w:rFonts w:ascii="Book Antiqua" w:eastAsia="Book Antiqua" w:hAnsi="Book Antiqua" w:cs="Book Antiqua"/>
          <w:i/>
          <w:iCs/>
          <w:color w:val="000000"/>
        </w:rPr>
        <w:t>Cells Tissues Organs</w:t>
      </w:r>
      <w:r w:rsidRPr="00BA6ACF">
        <w:rPr>
          <w:rFonts w:ascii="Book Antiqua" w:eastAsia="Book Antiqua" w:hAnsi="Book Antiqua" w:cs="Book Antiqua"/>
          <w:color w:val="000000"/>
        </w:rPr>
        <w:t xml:space="preserve"> 2007; </w:t>
      </w:r>
      <w:r w:rsidRPr="00BA6ACF">
        <w:rPr>
          <w:rFonts w:ascii="Book Antiqua" w:eastAsia="Book Antiqua" w:hAnsi="Book Antiqua" w:cs="Book Antiqua"/>
          <w:b/>
          <w:bCs/>
          <w:color w:val="000000"/>
        </w:rPr>
        <w:t>186</w:t>
      </w:r>
      <w:r w:rsidRPr="00BA6ACF">
        <w:rPr>
          <w:rFonts w:ascii="Book Antiqua" w:eastAsia="Book Antiqua" w:hAnsi="Book Antiqua" w:cs="Book Antiqua"/>
          <w:color w:val="000000"/>
        </w:rPr>
        <w:t>: 169-179 [PMID: 17630477 DOI: 10.1159/000105674]</w:t>
      </w:r>
    </w:p>
    <w:p w14:paraId="044C42B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103 </w:t>
      </w:r>
      <w:r w:rsidRPr="00BA6ACF">
        <w:rPr>
          <w:rFonts w:ascii="Book Antiqua" w:eastAsia="Book Antiqua" w:hAnsi="Book Antiqua" w:cs="Book Antiqua"/>
          <w:b/>
          <w:bCs/>
          <w:color w:val="000000"/>
        </w:rPr>
        <w:t>Pricola KL</w:t>
      </w:r>
      <w:r w:rsidRPr="00BA6ACF">
        <w:rPr>
          <w:rFonts w:ascii="Book Antiqua" w:eastAsia="Book Antiqua" w:hAnsi="Book Antiqua" w:cs="Book Antiqua"/>
          <w:color w:val="000000"/>
        </w:rPr>
        <w:t xml:space="preserve">, Kuhn NZ, Haleem-Smith H, Song Y, Tuan RS. Interleukin-6 maintains bone marrow-derived mesenchymal stem cell stemness by an ERK1/2-dependent mechanism. </w:t>
      </w:r>
      <w:r w:rsidRPr="00BA6ACF">
        <w:rPr>
          <w:rFonts w:ascii="Book Antiqua" w:eastAsia="Book Antiqua" w:hAnsi="Book Antiqua" w:cs="Book Antiqua"/>
          <w:i/>
          <w:iCs/>
          <w:color w:val="000000"/>
        </w:rPr>
        <w:t>J Cell Biochem</w:t>
      </w:r>
      <w:r w:rsidRPr="00BA6ACF">
        <w:rPr>
          <w:rFonts w:ascii="Book Antiqua" w:eastAsia="Book Antiqua" w:hAnsi="Book Antiqua" w:cs="Book Antiqua"/>
          <w:color w:val="000000"/>
        </w:rPr>
        <w:t xml:space="preserve"> 2009; </w:t>
      </w:r>
      <w:r w:rsidRPr="00BA6ACF">
        <w:rPr>
          <w:rFonts w:ascii="Book Antiqua" w:eastAsia="Book Antiqua" w:hAnsi="Book Antiqua" w:cs="Book Antiqua"/>
          <w:b/>
          <w:bCs/>
          <w:color w:val="000000"/>
        </w:rPr>
        <w:t>108</w:t>
      </w:r>
      <w:r w:rsidRPr="00BA6ACF">
        <w:rPr>
          <w:rFonts w:ascii="Book Antiqua" w:eastAsia="Book Antiqua" w:hAnsi="Book Antiqua" w:cs="Book Antiqua"/>
          <w:color w:val="000000"/>
        </w:rPr>
        <w:t>: 577-588 [PMID: 19650110 DOI: 10.1002/jcb.22289]</w:t>
      </w:r>
    </w:p>
    <w:p w14:paraId="7CA7DF2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104 </w:t>
      </w:r>
      <w:r w:rsidRPr="00BA6ACF">
        <w:rPr>
          <w:rFonts w:ascii="Book Antiqua" w:eastAsia="Book Antiqua" w:hAnsi="Book Antiqua" w:cs="Book Antiqua"/>
          <w:b/>
          <w:bCs/>
          <w:color w:val="000000"/>
        </w:rPr>
        <w:t>Nowwarote N</w:t>
      </w:r>
      <w:r w:rsidRPr="00BA6ACF">
        <w:rPr>
          <w:rFonts w:ascii="Book Antiqua" w:eastAsia="Book Antiqua" w:hAnsi="Book Antiqua" w:cs="Book Antiqua"/>
          <w:color w:val="000000"/>
        </w:rPr>
        <w:t xml:space="preserve">, Sukarawan W, Kanjana K, Pavasant P, Fournier BPJ, Osathanon T. Interleukin 6 promotes an </w:t>
      </w:r>
      <w:r w:rsidRPr="00BA6ACF">
        <w:rPr>
          <w:rFonts w:ascii="Book Antiqua" w:eastAsia="Book Antiqua" w:hAnsi="Book Antiqua" w:cs="Book Antiqua"/>
          <w:i/>
          <w:iCs/>
          <w:color w:val="000000"/>
        </w:rPr>
        <w:t>in vitro</w:t>
      </w:r>
      <w:r w:rsidRPr="00BA6ACF">
        <w:rPr>
          <w:rFonts w:ascii="Book Antiqua" w:eastAsia="Book Antiqua" w:hAnsi="Book Antiqua" w:cs="Book Antiqua"/>
          <w:color w:val="000000"/>
        </w:rPr>
        <w:t xml:space="preserve"> mineral deposition by stem cells isolated from human exfoliated deciduous teeth. </w:t>
      </w:r>
      <w:r w:rsidRPr="00BA6ACF">
        <w:rPr>
          <w:rFonts w:ascii="Book Antiqua" w:eastAsia="Book Antiqua" w:hAnsi="Book Antiqua" w:cs="Book Antiqua"/>
          <w:i/>
          <w:iCs/>
          <w:color w:val="000000"/>
        </w:rPr>
        <w:t>R Soc Open Sci</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5</w:t>
      </w:r>
      <w:r w:rsidRPr="00BA6ACF">
        <w:rPr>
          <w:rFonts w:ascii="Book Antiqua" w:eastAsia="Book Antiqua" w:hAnsi="Book Antiqua" w:cs="Book Antiqua"/>
          <w:color w:val="000000"/>
        </w:rPr>
        <w:t>: 180864 [PMID: 30473835 DOI: 10.1098/rsos.180864]</w:t>
      </w:r>
    </w:p>
    <w:p w14:paraId="4F28233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105 </w:t>
      </w:r>
      <w:r w:rsidRPr="00BA6ACF">
        <w:rPr>
          <w:rFonts w:ascii="Book Antiqua" w:eastAsia="Book Antiqua" w:hAnsi="Book Antiqua" w:cs="Book Antiqua"/>
          <w:b/>
          <w:bCs/>
          <w:color w:val="000000"/>
        </w:rPr>
        <w:t>Fukuyo S</w:t>
      </w:r>
      <w:r w:rsidRPr="00BA6ACF">
        <w:rPr>
          <w:rFonts w:ascii="Book Antiqua" w:eastAsia="Book Antiqua" w:hAnsi="Book Antiqua" w:cs="Book Antiqua"/>
          <w:color w:val="000000"/>
        </w:rPr>
        <w:t xml:space="preserve">, Yamaoka K, Sonomoto K, Oshita K, Okada Y, Saito K, Yoshida Y, Kanazawa T, Minami Y, Tanaka Y. IL-6-accelerated calcification by induction of ROR2 in human adipose tissue-derived mesenchymal stem cells is STAT3 dependent. </w:t>
      </w:r>
      <w:r w:rsidRPr="00BA6ACF">
        <w:rPr>
          <w:rFonts w:ascii="Book Antiqua" w:eastAsia="Book Antiqua" w:hAnsi="Book Antiqua" w:cs="Book Antiqua"/>
          <w:i/>
          <w:iCs/>
          <w:color w:val="000000"/>
        </w:rPr>
        <w:t>Rheumatology (Oxford)</w:t>
      </w:r>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53</w:t>
      </w:r>
      <w:r w:rsidRPr="00BA6ACF">
        <w:rPr>
          <w:rFonts w:ascii="Book Antiqua" w:eastAsia="Book Antiqua" w:hAnsi="Book Antiqua" w:cs="Book Antiqua"/>
          <w:color w:val="000000"/>
        </w:rPr>
        <w:t>: 1282-1290 [PMID: 24599911 DOI: 10.1093/rheumatology/ket496]</w:t>
      </w:r>
    </w:p>
    <w:p w14:paraId="51DB1B2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106 </w:t>
      </w:r>
      <w:r w:rsidRPr="00BA6ACF">
        <w:rPr>
          <w:rFonts w:ascii="Book Antiqua" w:eastAsia="Book Antiqua" w:hAnsi="Book Antiqua" w:cs="Book Antiqua"/>
          <w:b/>
          <w:bCs/>
          <w:color w:val="000000"/>
        </w:rPr>
        <w:t>Xie Z</w:t>
      </w:r>
      <w:r w:rsidRPr="00BA6ACF">
        <w:rPr>
          <w:rFonts w:ascii="Book Antiqua" w:eastAsia="Book Antiqua" w:hAnsi="Book Antiqua" w:cs="Book Antiqua"/>
          <w:color w:val="000000"/>
        </w:rPr>
        <w:t xml:space="preserve">, Tang S, Ye G, Wang P, Li J, Liu W, Li M, Wang S, Wu X, Cen S, Zheng G, Ma M, Wu Y, Shen H. Interleukin-6/interleukin-6 receptor complex promotes osteogenic differentiation of bone marrow-derived mesenchymal stem cells. </w:t>
      </w:r>
      <w:r w:rsidRPr="00BA6ACF">
        <w:rPr>
          <w:rFonts w:ascii="Book Antiqua" w:eastAsia="Book Antiqua" w:hAnsi="Book Antiqua" w:cs="Book Antiqua"/>
          <w:i/>
          <w:iCs/>
          <w:color w:val="000000"/>
        </w:rPr>
        <w:t>Stem Cell Res Ther</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9</w:t>
      </w:r>
      <w:r w:rsidRPr="00BA6ACF">
        <w:rPr>
          <w:rFonts w:ascii="Book Antiqua" w:eastAsia="Book Antiqua" w:hAnsi="Book Antiqua" w:cs="Book Antiqua"/>
          <w:color w:val="000000"/>
        </w:rPr>
        <w:t>: 13 [PMID: 29357923 DOI: 10.1186/s13287-017-0766-0]</w:t>
      </w:r>
    </w:p>
    <w:p w14:paraId="5DAD161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107 </w:t>
      </w:r>
      <w:r w:rsidRPr="00BA6ACF">
        <w:rPr>
          <w:rFonts w:ascii="Book Antiqua" w:eastAsia="Book Antiqua" w:hAnsi="Book Antiqua" w:cs="Book Antiqua"/>
          <w:b/>
          <w:bCs/>
          <w:color w:val="000000"/>
        </w:rPr>
        <w:t>Bastidas-Coral AP</w:t>
      </w:r>
      <w:r w:rsidRPr="00BA6ACF">
        <w:rPr>
          <w:rFonts w:ascii="Book Antiqua" w:eastAsia="Book Antiqua" w:hAnsi="Book Antiqua" w:cs="Book Antiqua"/>
          <w:color w:val="000000"/>
        </w:rPr>
        <w:t xml:space="preserve">, Bakker AD, Zandieh-Doulabi B, Kleverlaan CJ, Bravenboer N, Forouzanfar T, Klein-Nulend J. Cytokines TNF-α, IL-6, IL-17F, and IL-4 Differentially Affect Osteogenic Differentiation of Human Adipose Stem Cells. </w:t>
      </w:r>
      <w:r w:rsidRPr="00BA6ACF">
        <w:rPr>
          <w:rFonts w:ascii="Book Antiqua" w:eastAsia="Book Antiqua" w:hAnsi="Book Antiqua" w:cs="Book Antiqua"/>
          <w:i/>
          <w:iCs/>
          <w:color w:val="000000"/>
        </w:rPr>
        <w:t>Stem Cells Int</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2016</w:t>
      </w:r>
      <w:r w:rsidRPr="00BA6ACF">
        <w:rPr>
          <w:rFonts w:ascii="Book Antiqua" w:eastAsia="Book Antiqua" w:hAnsi="Book Antiqua" w:cs="Book Antiqua"/>
          <w:color w:val="000000"/>
        </w:rPr>
        <w:t>: 1318256 [PMID: 27667999 DOI: 10.1155/2016/1318256]</w:t>
      </w:r>
    </w:p>
    <w:p w14:paraId="543513F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108 </w:t>
      </w:r>
      <w:r w:rsidRPr="00BA6ACF">
        <w:rPr>
          <w:rFonts w:ascii="Book Antiqua" w:eastAsia="Book Antiqua" w:hAnsi="Book Antiqua" w:cs="Book Antiqua"/>
          <w:b/>
          <w:bCs/>
          <w:color w:val="000000"/>
        </w:rPr>
        <w:t>Kondo M</w:t>
      </w:r>
      <w:r w:rsidRPr="00BA6ACF">
        <w:rPr>
          <w:rFonts w:ascii="Book Antiqua" w:eastAsia="Book Antiqua" w:hAnsi="Book Antiqua" w:cs="Book Antiqua"/>
          <w:color w:val="000000"/>
        </w:rPr>
        <w:t xml:space="preserve">, Yamaoka K, Sakata K, Sonomoto K, Lin L, Nakano K, Tanaka Y. Contribution of the Interleukin-6/STAT-3 Signaling Pathway to Chondrogenic Differentiation of Human Mesenchymal Stem Cells. </w:t>
      </w:r>
      <w:r w:rsidRPr="00BA6ACF">
        <w:rPr>
          <w:rFonts w:ascii="Book Antiqua" w:eastAsia="Book Antiqua" w:hAnsi="Book Antiqua" w:cs="Book Antiqua"/>
          <w:i/>
          <w:iCs/>
          <w:color w:val="000000"/>
        </w:rPr>
        <w:t>Arthritis Rheumatol</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67</w:t>
      </w:r>
      <w:r w:rsidRPr="00BA6ACF">
        <w:rPr>
          <w:rFonts w:ascii="Book Antiqua" w:eastAsia="Book Antiqua" w:hAnsi="Book Antiqua" w:cs="Book Antiqua"/>
          <w:color w:val="000000"/>
        </w:rPr>
        <w:t>: 1250-1260 [PMID: 25604648 DOI: 10.1002/art.39036]</w:t>
      </w:r>
    </w:p>
    <w:p w14:paraId="134B0F7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109 </w:t>
      </w:r>
      <w:r w:rsidRPr="00BA6ACF">
        <w:rPr>
          <w:rFonts w:ascii="Book Antiqua" w:eastAsia="Book Antiqua" w:hAnsi="Book Antiqua" w:cs="Book Antiqua"/>
          <w:b/>
          <w:bCs/>
          <w:color w:val="000000"/>
        </w:rPr>
        <w:t>Huang RL</w:t>
      </w:r>
      <w:r w:rsidRPr="00BA6ACF">
        <w:rPr>
          <w:rFonts w:ascii="Book Antiqua" w:eastAsia="Book Antiqua" w:hAnsi="Book Antiqua" w:cs="Book Antiqua"/>
          <w:color w:val="000000"/>
        </w:rPr>
        <w:t xml:space="preserve">, Sun Y, Ho CK, Liu K, Tang QQ, Xie Y, Li Q. IL-6 potentiates BMP-2-induced osteogenesis and adipogenesis via two different BMPR1A-mediated pathways. </w:t>
      </w:r>
      <w:r w:rsidRPr="00BA6ACF">
        <w:rPr>
          <w:rFonts w:ascii="Book Antiqua" w:eastAsia="Book Antiqua" w:hAnsi="Book Antiqua" w:cs="Book Antiqua"/>
          <w:i/>
          <w:iCs/>
          <w:color w:val="000000"/>
        </w:rPr>
        <w:t>Cell Death Dis</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9</w:t>
      </w:r>
      <w:r w:rsidRPr="00BA6ACF">
        <w:rPr>
          <w:rFonts w:ascii="Book Antiqua" w:eastAsia="Book Antiqua" w:hAnsi="Book Antiqua" w:cs="Book Antiqua"/>
          <w:color w:val="000000"/>
        </w:rPr>
        <w:t>: 144 [PMID: 29396550 DOI: 10.1038/s41419-017-0126-0]</w:t>
      </w:r>
    </w:p>
    <w:p w14:paraId="419D3F4B"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110 </w:t>
      </w:r>
      <w:r w:rsidRPr="00BA6ACF">
        <w:rPr>
          <w:rFonts w:ascii="Book Antiqua" w:eastAsia="Book Antiqua" w:hAnsi="Book Antiqua" w:cs="Book Antiqua"/>
          <w:b/>
          <w:bCs/>
          <w:color w:val="000000"/>
        </w:rPr>
        <w:t>Mrácek T</w:t>
      </w:r>
      <w:r w:rsidRPr="00BA6ACF">
        <w:rPr>
          <w:rFonts w:ascii="Book Antiqua" w:eastAsia="Book Antiqua" w:hAnsi="Book Antiqua" w:cs="Book Antiqua"/>
          <w:color w:val="000000"/>
        </w:rPr>
        <w:t xml:space="preserve">, Cannon B, Houstek J. IL-1 and LPS but not IL-6 inhibit differentiation and downregulate PPAR gamma in brown adipocytes. </w:t>
      </w:r>
      <w:r w:rsidRPr="00BA6ACF">
        <w:rPr>
          <w:rFonts w:ascii="Book Antiqua" w:eastAsia="Book Antiqua" w:hAnsi="Book Antiqua" w:cs="Book Antiqua"/>
          <w:i/>
          <w:iCs/>
          <w:color w:val="000000"/>
        </w:rPr>
        <w:t>Cytokine</w:t>
      </w:r>
      <w:r w:rsidRPr="00BA6ACF">
        <w:rPr>
          <w:rFonts w:ascii="Book Antiqua" w:eastAsia="Book Antiqua" w:hAnsi="Book Antiqua" w:cs="Book Antiqua"/>
          <w:color w:val="000000"/>
        </w:rPr>
        <w:t xml:space="preserve"> 2004; </w:t>
      </w:r>
      <w:r w:rsidRPr="00BA6ACF">
        <w:rPr>
          <w:rFonts w:ascii="Book Antiqua" w:eastAsia="Book Antiqua" w:hAnsi="Book Antiqua" w:cs="Book Antiqua"/>
          <w:b/>
          <w:bCs/>
          <w:color w:val="000000"/>
        </w:rPr>
        <w:t>26</w:t>
      </w:r>
      <w:r w:rsidRPr="00BA6ACF">
        <w:rPr>
          <w:rFonts w:ascii="Book Antiqua" w:eastAsia="Book Antiqua" w:hAnsi="Book Antiqua" w:cs="Book Antiqua"/>
          <w:color w:val="000000"/>
        </w:rPr>
        <w:t>: 9-15 [PMID: 15016406 DOI: 10.1016/j.cyto.2003.12.001]</w:t>
      </w:r>
    </w:p>
    <w:p w14:paraId="4891EBC6"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111 </w:t>
      </w:r>
      <w:r w:rsidRPr="00BA6ACF">
        <w:rPr>
          <w:rFonts w:ascii="Book Antiqua" w:eastAsia="Book Antiqua" w:hAnsi="Book Antiqua" w:cs="Book Antiqua"/>
          <w:b/>
          <w:bCs/>
          <w:color w:val="000000"/>
        </w:rPr>
        <w:t>Crop MJ</w:t>
      </w:r>
      <w:r w:rsidRPr="00BA6ACF">
        <w:rPr>
          <w:rFonts w:ascii="Book Antiqua" w:eastAsia="Book Antiqua" w:hAnsi="Book Antiqua" w:cs="Book Antiqua"/>
          <w:color w:val="000000"/>
        </w:rPr>
        <w:t xml:space="preserve">, Baan CC, Korevaar SS, Ijzermans JN, Pescatori M, Stubbs AP, van Ijcken WF, Dahlke MH, Eggenhofer E, Weimar W, Hoogduijn MJ. Inflammatory conditions affect gene expression and function of human adipose tissue-derived mesenchymal stem cells. </w:t>
      </w:r>
      <w:r w:rsidRPr="00BA6ACF">
        <w:rPr>
          <w:rFonts w:ascii="Book Antiqua" w:eastAsia="Book Antiqua" w:hAnsi="Book Antiqua" w:cs="Book Antiqua"/>
          <w:i/>
          <w:iCs/>
          <w:color w:val="000000"/>
        </w:rPr>
        <w:t>Clin Exp Immunol</w:t>
      </w:r>
      <w:r w:rsidRPr="00BA6ACF">
        <w:rPr>
          <w:rFonts w:ascii="Book Antiqua" w:eastAsia="Book Antiqua" w:hAnsi="Book Antiqua" w:cs="Book Antiqua"/>
          <w:color w:val="000000"/>
        </w:rPr>
        <w:t xml:space="preserve"> 2010; </w:t>
      </w:r>
      <w:r w:rsidRPr="00BA6ACF">
        <w:rPr>
          <w:rFonts w:ascii="Book Antiqua" w:eastAsia="Book Antiqua" w:hAnsi="Book Antiqua" w:cs="Book Antiqua"/>
          <w:b/>
          <w:bCs/>
          <w:color w:val="000000"/>
        </w:rPr>
        <w:t>162</w:t>
      </w:r>
      <w:r w:rsidRPr="00BA6ACF">
        <w:rPr>
          <w:rFonts w:ascii="Book Antiqua" w:eastAsia="Book Antiqua" w:hAnsi="Book Antiqua" w:cs="Book Antiqua"/>
          <w:color w:val="000000"/>
        </w:rPr>
        <w:t>: 474-486 [PMID: 20846162 DOI: 10.1111/j.1365-2249.2010.04256.x]</w:t>
      </w:r>
    </w:p>
    <w:p w14:paraId="210EE85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112 </w:t>
      </w:r>
      <w:r w:rsidRPr="00BA6ACF">
        <w:rPr>
          <w:rFonts w:ascii="Book Antiqua" w:eastAsia="Book Antiqua" w:hAnsi="Book Antiqua" w:cs="Book Antiqua"/>
          <w:b/>
          <w:bCs/>
          <w:color w:val="000000"/>
        </w:rPr>
        <w:t>Pourgholaminejad A</w:t>
      </w:r>
      <w:r w:rsidRPr="00BA6ACF">
        <w:rPr>
          <w:rFonts w:ascii="Book Antiqua" w:eastAsia="Book Antiqua" w:hAnsi="Book Antiqua" w:cs="Book Antiqua"/>
          <w:color w:val="000000"/>
        </w:rPr>
        <w:t xml:space="preserve">, Aghdami N, Baharvand H, Moazzeni SM. The effect of pro-inflammatory cytokines on immunophenotype, differentiation capacity and immunomodulatory functions of human mesenchymal stem cells. </w:t>
      </w:r>
      <w:r w:rsidRPr="00BA6ACF">
        <w:rPr>
          <w:rFonts w:ascii="Book Antiqua" w:eastAsia="Book Antiqua" w:hAnsi="Book Antiqua" w:cs="Book Antiqua"/>
          <w:i/>
          <w:iCs/>
          <w:color w:val="000000"/>
        </w:rPr>
        <w:t>Cytokine</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85</w:t>
      </w:r>
      <w:r w:rsidRPr="00BA6ACF">
        <w:rPr>
          <w:rFonts w:ascii="Book Antiqua" w:eastAsia="Book Antiqua" w:hAnsi="Book Antiqua" w:cs="Book Antiqua"/>
          <w:color w:val="000000"/>
        </w:rPr>
        <w:t>: 51-60 [PMID: 27288632 DOI: 10.1016/j.cyto.2016.06.003]</w:t>
      </w:r>
    </w:p>
    <w:p w14:paraId="53F5250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113 </w:t>
      </w:r>
      <w:r w:rsidRPr="00BA6ACF">
        <w:rPr>
          <w:rFonts w:ascii="Book Antiqua" w:eastAsia="Book Antiqua" w:hAnsi="Book Antiqua" w:cs="Book Antiqua"/>
          <w:b/>
          <w:bCs/>
          <w:color w:val="000000"/>
        </w:rPr>
        <w:t>Sun X</w:t>
      </w:r>
      <w:r w:rsidRPr="00BA6ACF">
        <w:rPr>
          <w:rFonts w:ascii="Book Antiqua" w:eastAsia="Book Antiqua" w:hAnsi="Book Antiqua" w:cs="Book Antiqua"/>
          <w:color w:val="000000"/>
        </w:rPr>
        <w:t>, Zou T, Zuo C, Zhang M, Shi B, Jiang Z, Cui H, Liao X, Li X, Tang Y, Liu Y, Liu X. IL-1α inhibits proliferation and adipogenic differentiation of human adipose-</w:t>
      </w:r>
      <w:r w:rsidRPr="00BA6ACF">
        <w:rPr>
          <w:rFonts w:ascii="Book Antiqua" w:eastAsia="Book Antiqua" w:hAnsi="Book Antiqua" w:cs="Book Antiqua"/>
          <w:color w:val="000000"/>
        </w:rPr>
        <w:lastRenderedPageBreak/>
        <w:t xml:space="preserve">derived mesenchymal stem cells through NF-κB- and ERK1/2-mediated proinflammatory cytokines. </w:t>
      </w:r>
      <w:r w:rsidRPr="00BA6ACF">
        <w:rPr>
          <w:rFonts w:ascii="Book Antiqua" w:eastAsia="Book Antiqua" w:hAnsi="Book Antiqua" w:cs="Book Antiqua"/>
          <w:i/>
          <w:iCs/>
          <w:color w:val="000000"/>
        </w:rPr>
        <w:t>Cell Biol Int</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42</w:t>
      </w:r>
      <w:r w:rsidRPr="00BA6ACF">
        <w:rPr>
          <w:rFonts w:ascii="Book Antiqua" w:eastAsia="Book Antiqua" w:hAnsi="Book Antiqua" w:cs="Book Antiqua"/>
          <w:color w:val="000000"/>
        </w:rPr>
        <w:t>: 794-803 [PMID: 29288588 DOI: 10.1002/cbin.10932]</w:t>
      </w:r>
    </w:p>
    <w:p w14:paraId="7E9A774C" w14:textId="62E2EEC9"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114 </w:t>
      </w:r>
      <w:r w:rsidRPr="00BA6ACF">
        <w:rPr>
          <w:rFonts w:ascii="Book Antiqua" w:eastAsia="Book Antiqua" w:hAnsi="Book Antiqua" w:cs="Book Antiqua"/>
          <w:b/>
          <w:bCs/>
          <w:color w:val="000000"/>
        </w:rPr>
        <w:t>Kukolj T</w:t>
      </w:r>
      <w:r w:rsidRPr="00BA6ACF">
        <w:rPr>
          <w:rFonts w:ascii="Book Antiqua" w:eastAsia="Book Antiqua" w:hAnsi="Book Antiqua" w:cs="Book Antiqua"/>
          <w:color w:val="000000"/>
        </w:rPr>
        <w:t>, Trivanovi</w:t>
      </w:r>
      <w:r w:rsidR="007E0A29"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D, Mojsilovi</w:t>
      </w:r>
      <w:r w:rsidR="007E0A29"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S, Oki</w:t>
      </w:r>
      <w:r w:rsidR="007E0A29"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Djordjevi</w:t>
      </w:r>
      <w:r w:rsidR="007E0A29"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I, Obradovi</w:t>
      </w:r>
      <w:r w:rsidR="007E0A29"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H, Krsti</w:t>
      </w:r>
      <w:r w:rsidR="007E0A29"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J, Jaukovi</w:t>
      </w:r>
      <w:r w:rsidR="007E0A29" w:rsidRPr="00BA6ACF">
        <w:rPr>
          <w:rFonts w:ascii="Book Antiqua" w:eastAsia="Book Antiqua" w:hAnsi="Book Antiqua" w:cs="Book Antiqua"/>
          <w:color w:val="000000"/>
        </w:rPr>
        <w:t>ć</w:t>
      </w:r>
      <w:r w:rsidRPr="00BA6ACF">
        <w:rPr>
          <w:rFonts w:ascii="Book Antiqua" w:eastAsia="Book Antiqua" w:hAnsi="Book Antiqua" w:cs="Book Antiqua"/>
          <w:color w:val="000000"/>
        </w:rPr>
        <w:t xml:space="preserve"> A, Bugarski D. IL-33 guides osteogenesis and increases proliferation and pluripotency marker expression in dental stem cells. </w:t>
      </w:r>
      <w:r w:rsidRPr="00BA6ACF">
        <w:rPr>
          <w:rFonts w:ascii="Book Antiqua" w:eastAsia="Book Antiqua" w:hAnsi="Book Antiqua" w:cs="Book Antiqua"/>
          <w:i/>
          <w:iCs/>
          <w:color w:val="000000"/>
        </w:rPr>
        <w:t>Cell Prolif</w:t>
      </w:r>
      <w:r w:rsidRPr="00BA6ACF">
        <w:rPr>
          <w:rFonts w:ascii="Book Antiqua" w:eastAsia="Book Antiqua" w:hAnsi="Book Antiqua" w:cs="Book Antiqua"/>
          <w:color w:val="000000"/>
        </w:rPr>
        <w:t xml:space="preserve"> 2019; </w:t>
      </w:r>
      <w:r w:rsidRPr="00BA6ACF">
        <w:rPr>
          <w:rFonts w:ascii="Book Antiqua" w:eastAsia="Book Antiqua" w:hAnsi="Book Antiqua" w:cs="Book Antiqua"/>
          <w:b/>
          <w:bCs/>
          <w:color w:val="000000"/>
        </w:rPr>
        <w:t>52</w:t>
      </w:r>
      <w:r w:rsidRPr="00BA6ACF">
        <w:rPr>
          <w:rFonts w:ascii="Book Antiqua" w:eastAsia="Book Antiqua" w:hAnsi="Book Antiqua" w:cs="Book Antiqua"/>
          <w:color w:val="000000"/>
        </w:rPr>
        <w:t>: e12533 [PMID: 30430681 DOI: 10.1111/cpr.12533]</w:t>
      </w:r>
    </w:p>
    <w:p w14:paraId="06DFA52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115 </w:t>
      </w:r>
      <w:r w:rsidRPr="00BA6ACF">
        <w:rPr>
          <w:rFonts w:ascii="Book Antiqua" w:eastAsia="Book Antiqua" w:hAnsi="Book Antiqua" w:cs="Book Antiqua"/>
          <w:b/>
          <w:bCs/>
          <w:color w:val="000000"/>
        </w:rPr>
        <w:t>Terraza C</w:t>
      </w:r>
      <w:r w:rsidRPr="00BA6ACF">
        <w:rPr>
          <w:rFonts w:ascii="Book Antiqua" w:eastAsia="Book Antiqua" w:hAnsi="Book Antiqua" w:cs="Book Antiqua"/>
          <w:color w:val="000000"/>
        </w:rPr>
        <w:t xml:space="preserve">, Fuentes R, Pino-Lagos K. IFN-γ and IL-33 modulate mesenchymal stem cells function targeting Th1/Th17 axis in a murine skin transplantation model. </w:t>
      </w:r>
      <w:r w:rsidRPr="00BA6ACF">
        <w:rPr>
          <w:rFonts w:ascii="Book Antiqua" w:eastAsia="Book Antiqua" w:hAnsi="Book Antiqua" w:cs="Book Antiqua"/>
          <w:i/>
          <w:iCs/>
          <w:color w:val="000000"/>
        </w:rPr>
        <w:t>Cytokine</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111</w:t>
      </w:r>
      <w:r w:rsidRPr="00BA6ACF">
        <w:rPr>
          <w:rFonts w:ascii="Book Antiqua" w:eastAsia="Book Antiqua" w:hAnsi="Book Antiqua" w:cs="Book Antiqua"/>
          <w:color w:val="000000"/>
        </w:rPr>
        <w:t>: 317-324 [PMID: 30269028 DOI: 10.1016/j.cyto.2018.09.013]</w:t>
      </w:r>
    </w:p>
    <w:p w14:paraId="4CD0B83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116 </w:t>
      </w:r>
      <w:r w:rsidRPr="00BA6ACF">
        <w:rPr>
          <w:rFonts w:ascii="Book Antiqua" w:eastAsia="Book Antiqua" w:hAnsi="Book Antiqua" w:cs="Book Antiqua"/>
          <w:b/>
          <w:bCs/>
          <w:color w:val="000000"/>
        </w:rPr>
        <w:t>Martinotti S</w:t>
      </w:r>
      <w:r w:rsidRPr="00BA6ACF">
        <w:rPr>
          <w:rFonts w:ascii="Book Antiqua" w:eastAsia="Book Antiqua" w:hAnsi="Book Antiqua" w:cs="Book Antiqua"/>
          <w:color w:val="000000"/>
        </w:rPr>
        <w:t xml:space="preserve">, Patrone M, Ranzato E. Emerging roles for HMGB1 protein in immunity, inflammation, and cancer. </w:t>
      </w:r>
      <w:r w:rsidRPr="00BA6ACF">
        <w:rPr>
          <w:rFonts w:ascii="Book Antiqua" w:eastAsia="Book Antiqua" w:hAnsi="Book Antiqua" w:cs="Book Antiqua"/>
          <w:i/>
          <w:iCs/>
          <w:color w:val="000000"/>
        </w:rPr>
        <w:t>Immunotargets Ther</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4</w:t>
      </w:r>
      <w:r w:rsidRPr="00BA6ACF">
        <w:rPr>
          <w:rFonts w:ascii="Book Antiqua" w:eastAsia="Book Antiqua" w:hAnsi="Book Antiqua" w:cs="Book Antiqua"/>
          <w:color w:val="000000"/>
        </w:rPr>
        <w:t>: 101-109 [PMID: 27471716 DOI: 10.2147/ITT.S58064]</w:t>
      </w:r>
    </w:p>
    <w:p w14:paraId="7E38F6E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117 </w:t>
      </w:r>
      <w:r w:rsidRPr="00BA6ACF">
        <w:rPr>
          <w:rFonts w:ascii="Book Antiqua" w:eastAsia="Book Antiqua" w:hAnsi="Book Antiqua" w:cs="Book Antiqua"/>
          <w:b/>
          <w:bCs/>
          <w:color w:val="000000"/>
        </w:rPr>
        <w:t>Lotfi R</w:t>
      </w:r>
      <w:r w:rsidRPr="00BA6ACF">
        <w:rPr>
          <w:rFonts w:ascii="Book Antiqua" w:eastAsia="Book Antiqua" w:hAnsi="Book Antiqua" w:cs="Book Antiqua"/>
          <w:color w:val="000000"/>
        </w:rPr>
        <w:t xml:space="preserve">, Eisenbacher J, Solgi G, Fuchs K, Yildiz T, Nienhaus C, Rojewski MT, Schrezenmeier H. Human mesenchymal stem cells respond to native but not oxidized damage associated molecular pattern molecules from necrotic (tumor) material. </w:t>
      </w:r>
      <w:r w:rsidRPr="00BA6ACF">
        <w:rPr>
          <w:rFonts w:ascii="Book Antiqua" w:eastAsia="Book Antiqua" w:hAnsi="Book Antiqua" w:cs="Book Antiqua"/>
          <w:i/>
          <w:iCs/>
          <w:color w:val="000000"/>
        </w:rPr>
        <w:t>Eur J Immunol</w:t>
      </w:r>
      <w:r w:rsidRPr="00BA6ACF">
        <w:rPr>
          <w:rFonts w:ascii="Book Antiqua" w:eastAsia="Book Antiqua" w:hAnsi="Book Antiqua" w:cs="Book Antiqua"/>
          <w:color w:val="000000"/>
        </w:rPr>
        <w:t xml:space="preserve"> 2011; </w:t>
      </w:r>
      <w:r w:rsidRPr="00BA6ACF">
        <w:rPr>
          <w:rFonts w:ascii="Book Antiqua" w:eastAsia="Book Antiqua" w:hAnsi="Book Antiqua" w:cs="Book Antiqua"/>
          <w:b/>
          <w:bCs/>
          <w:color w:val="000000"/>
        </w:rPr>
        <w:t>41</w:t>
      </w:r>
      <w:r w:rsidRPr="00BA6ACF">
        <w:rPr>
          <w:rFonts w:ascii="Book Antiqua" w:eastAsia="Book Antiqua" w:hAnsi="Book Antiqua" w:cs="Book Antiqua"/>
          <w:color w:val="000000"/>
        </w:rPr>
        <w:t>: 2021-2028 [PMID: 21538978 DOI: 10.1002/eji.201041324]</w:t>
      </w:r>
    </w:p>
    <w:p w14:paraId="6A6476E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118 </w:t>
      </w:r>
      <w:r w:rsidRPr="00BA6ACF">
        <w:rPr>
          <w:rFonts w:ascii="Book Antiqua" w:eastAsia="Book Antiqua" w:hAnsi="Book Antiqua" w:cs="Book Antiqua"/>
          <w:b/>
          <w:bCs/>
          <w:color w:val="000000"/>
        </w:rPr>
        <w:t>Meng E</w:t>
      </w:r>
      <w:r w:rsidRPr="00BA6ACF">
        <w:rPr>
          <w:rFonts w:ascii="Book Antiqua" w:eastAsia="Book Antiqua" w:hAnsi="Book Antiqua" w:cs="Book Antiqua"/>
          <w:color w:val="000000"/>
        </w:rPr>
        <w:t xml:space="preserve">, Guo Z, Wang H, Jin J, Wang J, Wang H, Wu C, Wang L. High mobility group box 1 protein inhibits the proliferation of human mesenchymal stem cells and promotes their migration and differentiation along osteoblastic pathway. </w:t>
      </w:r>
      <w:r w:rsidRPr="00BA6ACF">
        <w:rPr>
          <w:rFonts w:ascii="Book Antiqua" w:eastAsia="Book Antiqua" w:hAnsi="Book Antiqua" w:cs="Book Antiqua"/>
          <w:i/>
          <w:iCs/>
          <w:color w:val="000000"/>
        </w:rPr>
        <w:t>Stem Cells Dev</w:t>
      </w:r>
      <w:r w:rsidRPr="00BA6ACF">
        <w:rPr>
          <w:rFonts w:ascii="Book Antiqua" w:eastAsia="Book Antiqua" w:hAnsi="Book Antiqua" w:cs="Book Antiqua"/>
          <w:color w:val="000000"/>
        </w:rPr>
        <w:t xml:space="preserve"> 2008; </w:t>
      </w:r>
      <w:r w:rsidRPr="00BA6ACF">
        <w:rPr>
          <w:rFonts w:ascii="Book Antiqua" w:eastAsia="Book Antiqua" w:hAnsi="Book Antiqua" w:cs="Book Antiqua"/>
          <w:b/>
          <w:bCs/>
          <w:color w:val="000000"/>
        </w:rPr>
        <w:t>17</w:t>
      </w:r>
      <w:r w:rsidRPr="00BA6ACF">
        <w:rPr>
          <w:rFonts w:ascii="Book Antiqua" w:eastAsia="Book Antiqua" w:hAnsi="Book Antiqua" w:cs="Book Antiqua"/>
          <w:color w:val="000000"/>
        </w:rPr>
        <w:t>: 805-813 [PMID: 18715162 DOI: 10.1089/scd.2007.0276]</w:t>
      </w:r>
    </w:p>
    <w:p w14:paraId="2B3228F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119 </w:t>
      </w:r>
      <w:r w:rsidRPr="00BA6ACF">
        <w:rPr>
          <w:rFonts w:ascii="Book Antiqua" w:eastAsia="Book Antiqua" w:hAnsi="Book Antiqua" w:cs="Book Antiqua"/>
          <w:b/>
          <w:bCs/>
          <w:color w:val="000000"/>
        </w:rPr>
        <w:t>Meng X</w:t>
      </w:r>
      <w:r w:rsidRPr="00BA6ACF">
        <w:rPr>
          <w:rFonts w:ascii="Book Antiqua" w:eastAsia="Book Antiqua" w:hAnsi="Book Antiqua" w:cs="Book Antiqua"/>
          <w:color w:val="000000"/>
        </w:rPr>
        <w:t xml:space="preserve">, Chen M, Su W, Tao X, Sun M, Zou X, Ying R, Wei W, Wang B. The differentiation of mesenchymal stem cells to vascular cells regulated by the HMGB1/RAGE axis: its application in cell therapy for transplant arteriosclerosis. </w:t>
      </w:r>
      <w:r w:rsidRPr="00BA6ACF">
        <w:rPr>
          <w:rFonts w:ascii="Book Antiqua" w:eastAsia="Book Antiqua" w:hAnsi="Book Antiqua" w:cs="Book Antiqua"/>
          <w:i/>
          <w:iCs/>
          <w:color w:val="000000"/>
        </w:rPr>
        <w:t>Stem Cell Res Ther</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9</w:t>
      </w:r>
      <w:r w:rsidRPr="00BA6ACF">
        <w:rPr>
          <w:rFonts w:ascii="Book Antiqua" w:eastAsia="Book Antiqua" w:hAnsi="Book Antiqua" w:cs="Book Antiqua"/>
          <w:color w:val="000000"/>
        </w:rPr>
        <w:t>: 85 [PMID: 29615103 DOI: 10.1186/s13287-018-0827-z]</w:t>
      </w:r>
    </w:p>
    <w:p w14:paraId="3E59D27C"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120 </w:t>
      </w:r>
      <w:r w:rsidRPr="00BA6ACF">
        <w:rPr>
          <w:rFonts w:ascii="Book Antiqua" w:eastAsia="Book Antiqua" w:hAnsi="Book Antiqua" w:cs="Book Antiqua"/>
          <w:b/>
          <w:bCs/>
          <w:color w:val="000000"/>
        </w:rPr>
        <w:t>Lin F</w:t>
      </w:r>
      <w:r w:rsidRPr="00BA6ACF">
        <w:rPr>
          <w:rFonts w:ascii="Book Antiqua" w:eastAsia="Book Antiqua" w:hAnsi="Book Antiqua" w:cs="Book Antiqua"/>
          <w:color w:val="000000"/>
        </w:rPr>
        <w:t xml:space="preserve">, Zhang W, Xue D, Zhu T, Li J, Chen E, Yao X, Pan Z. Signaling pathways involved in the effects of HMGB1 on mesenchymal stem cell migration and osteoblastic differentiation. </w:t>
      </w:r>
      <w:r w:rsidRPr="00BA6ACF">
        <w:rPr>
          <w:rFonts w:ascii="Book Antiqua" w:eastAsia="Book Antiqua" w:hAnsi="Book Antiqua" w:cs="Book Antiqua"/>
          <w:i/>
          <w:iCs/>
          <w:color w:val="000000"/>
        </w:rPr>
        <w:t>Int J Mol Med</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37</w:t>
      </w:r>
      <w:r w:rsidRPr="00BA6ACF">
        <w:rPr>
          <w:rFonts w:ascii="Book Antiqua" w:eastAsia="Book Antiqua" w:hAnsi="Book Antiqua" w:cs="Book Antiqua"/>
          <w:color w:val="000000"/>
        </w:rPr>
        <w:t>: 789-797 [PMID: 26846297 DOI: 10.3892/ijmm.2016.2479]</w:t>
      </w:r>
    </w:p>
    <w:p w14:paraId="16ECC19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lastRenderedPageBreak/>
        <w:t xml:space="preserve">121 </w:t>
      </w:r>
      <w:r w:rsidRPr="00BA6ACF">
        <w:rPr>
          <w:rFonts w:ascii="Book Antiqua" w:eastAsia="Book Antiqua" w:hAnsi="Book Antiqua" w:cs="Book Antiqua"/>
          <w:b/>
          <w:bCs/>
          <w:color w:val="000000"/>
        </w:rPr>
        <w:t>Feng L</w:t>
      </w:r>
      <w:r w:rsidRPr="00BA6ACF">
        <w:rPr>
          <w:rFonts w:ascii="Book Antiqua" w:eastAsia="Book Antiqua" w:hAnsi="Book Antiqua" w:cs="Book Antiqua"/>
          <w:color w:val="000000"/>
        </w:rPr>
        <w:t xml:space="preserve">, Xue D, Chen E, Zhang W, Gao X, Yu J, Feng Y, Pan Z. HMGB1 promotes the secretion of multiple cytokines and potentiates the osteogenic differentiation of mesenchymal stem cells through the Ras/MAPK signaling pathway. </w:t>
      </w:r>
      <w:r w:rsidRPr="00BA6ACF">
        <w:rPr>
          <w:rFonts w:ascii="Book Antiqua" w:eastAsia="Book Antiqua" w:hAnsi="Book Antiqua" w:cs="Book Antiqua"/>
          <w:i/>
          <w:iCs/>
          <w:color w:val="000000"/>
        </w:rPr>
        <w:t>Exp Ther Med</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12</w:t>
      </w:r>
      <w:r w:rsidRPr="00BA6ACF">
        <w:rPr>
          <w:rFonts w:ascii="Book Antiqua" w:eastAsia="Book Antiqua" w:hAnsi="Book Antiqua" w:cs="Book Antiqua"/>
          <w:color w:val="000000"/>
        </w:rPr>
        <w:t>: 3941-3947 [PMID: 28105126 DOI: 10.3892/etm.2016.3857]</w:t>
      </w:r>
    </w:p>
    <w:p w14:paraId="13CB1F2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122 </w:t>
      </w:r>
      <w:r w:rsidRPr="00BA6ACF">
        <w:rPr>
          <w:rFonts w:ascii="Book Antiqua" w:eastAsia="Book Antiqua" w:hAnsi="Book Antiqua" w:cs="Book Antiqua"/>
          <w:b/>
          <w:bCs/>
          <w:color w:val="000000"/>
        </w:rPr>
        <w:t>Jurewicz E</w:t>
      </w:r>
      <w:r w:rsidRPr="00BA6ACF">
        <w:rPr>
          <w:rFonts w:ascii="Book Antiqua" w:eastAsia="Book Antiqua" w:hAnsi="Book Antiqua" w:cs="Book Antiqua"/>
          <w:color w:val="000000"/>
        </w:rPr>
        <w:t xml:space="preserve">, Góral A, Filipek A. S100A6 is secreted from Wharton's jelly mesenchymal stem cells and interacts with integrin β1. </w:t>
      </w:r>
      <w:r w:rsidRPr="00BA6ACF">
        <w:rPr>
          <w:rFonts w:ascii="Book Antiqua" w:eastAsia="Book Antiqua" w:hAnsi="Book Antiqua" w:cs="Book Antiqua"/>
          <w:i/>
          <w:iCs/>
          <w:color w:val="000000"/>
        </w:rPr>
        <w:t>Int J Biochem Cell Biol</w:t>
      </w:r>
      <w:r w:rsidRPr="00BA6ACF">
        <w:rPr>
          <w:rFonts w:ascii="Book Antiqua" w:eastAsia="Book Antiqua" w:hAnsi="Book Antiqua" w:cs="Book Antiqua"/>
          <w:color w:val="000000"/>
        </w:rPr>
        <w:t xml:space="preserve"> 2014; </w:t>
      </w:r>
      <w:r w:rsidRPr="00BA6ACF">
        <w:rPr>
          <w:rFonts w:ascii="Book Antiqua" w:eastAsia="Book Antiqua" w:hAnsi="Book Antiqua" w:cs="Book Antiqua"/>
          <w:b/>
          <w:bCs/>
          <w:color w:val="000000"/>
        </w:rPr>
        <w:t>55</w:t>
      </w:r>
      <w:r w:rsidRPr="00BA6ACF">
        <w:rPr>
          <w:rFonts w:ascii="Book Antiqua" w:eastAsia="Book Antiqua" w:hAnsi="Book Antiqua" w:cs="Book Antiqua"/>
          <w:color w:val="000000"/>
        </w:rPr>
        <w:t>: 298-303 [PMID: 25256682 DOI: 10.1016/j.biocel.2014.09.015]</w:t>
      </w:r>
    </w:p>
    <w:p w14:paraId="7276496B"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123 </w:t>
      </w:r>
      <w:r w:rsidRPr="00BA6ACF">
        <w:rPr>
          <w:rFonts w:ascii="Book Antiqua" w:eastAsia="Book Antiqua" w:hAnsi="Book Antiqua" w:cs="Book Antiqua"/>
          <w:b/>
          <w:bCs/>
          <w:color w:val="000000"/>
        </w:rPr>
        <w:t>Basu A</w:t>
      </w:r>
      <w:r w:rsidRPr="00BA6ACF">
        <w:rPr>
          <w:rFonts w:ascii="Book Antiqua" w:eastAsia="Book Antiqua" w:hAnsi="Book Antiqua" w:cs="Book Antiqua"/>
          <w:color w:val="000000"/>
        </w:rPr>
        <w:t xml:space="preserve">, Munir S, Mulaw MA, Singh K, Crisan D, Sindrilaru A, Treiber N, Wlaschek M, Huber-Lang M, Gebhard F, Scharffetter-Kochanek K. A Novel S100A8/A9 Induced Fingerprint of Mesenchymal Stem Cells associated with Enhanced Wound Healing. </w:t>
      </w:r>
      <w:r w:rsidRPr="00BA6ACF">
        <w:rPr>
          <w:rFonts w:ascii="Book Antiqua" w:eastAsia="Book Antiqua" w:hAnsi="Book Antiqua" w:cs="Book Antiqua"/>
          <w:i/>
          <w:iCs/>
          <w:color w:val="000000"/>
        </w:rPr>
        <w:t>Sci Rep</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6205 [PMID: 29670130 DOI: 10.1038/s41598-018-24425-9]</w:t>
      </w:r>
    </w:p>
    <w:p w14:paraId="3EEB878E"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124 </w:t>
      </w:r>
      <w:r w:rsidRPr="00BA6ACF">
        <w:rPr>
          <w:rFonts w:ascii="Book Antiqua" w:eastAsia="Book Antiqua" w:hAnsi="Book Antiqua" w:cs="Book Antiqua"/>
          <w:b/>
          <w:bCs/>
          <w:color w:val="000000"/>
        </w:rPr>
        <w:t>Gao F</w:t>
      </w:r>
      <w:r w:rsidRPr="00BA6ACF">
        <w:rPr>
          <w:rFonts w:ascii="Book Antiqua" w:eastAsia="Book Antiqua" w:hAnsi="Book Antiqua" w:cs="Book Antiqua"/>
          <w:color w:val="000000"/>
        </w:rPr>
        <w:t xml:space="preserve">, Hu XY, Xie XJ, Xu QY, Wang YP, Liu XB, Xiang MX, Sun Y, Wang JA. Heat shock protein 90 protects rat mesenchymal stem cells against hypoxia and serum deprivation-induced apoptosis via the PI3K/Akt and ERK1/2 pathways. </w:t>
      </w:r>
      <w:r w:rsidRPr="00BA6ACF">
        <w:rPr>
          <w:rFonts w:ascii="Book Antiqua" w:eastAsia="Book Antiqua" w:hAnsi="Book Antiqua" w:cs="Book Antiqua"/>
          <w:i/>
          <w:iCs/>
          <w:color w:val="000000"/>
        </w:rPr>
        <w:t>J Zhejiang Univ Sci B</w:t>
      </w:r>
      <w:r w:rsidRPr="00BA6ACF">
        <w:rPr>
          <w:rFonts w:ascii="Book Antiqua" w:eastAsia="Book Antiqua" w:hAnsi="Book Antiqua" w:cs="Book Antiqua"/>
          <w:color w:val="000000"/>
        </w:rPr>
        <w:t xml:space="preserve"> 2010; </w:t>
      </w:r>
      <w:r w:rsidRPr="00BA6ACF">
        <w:rPr>
          <w:rFonts w:ascii="Book Antiqua" w:eastAsia="Book Antiqua" w:hAnsi="Book Antiqua" w:cs="Book Antiqua"/>
          <w:b/>
          <w:bCs/>
          <w:color w:val="000000"/>
        </w:rPr>
        <w:t>11</w:t>
      </w:r>
      <w:r w:rsidRPr="00BA6ACF">
        <w:rPr>
          <w:rFonts w:ascii="Book Antiqua" w:eastAsia="Book Antiqua" w:hAnsi="Book Antiqua" w:cs="Book Antiqua"/>
          <w:color w:val="000000"/>
        </w:rPr>
        <w:t>: 608-617 [PMID: 20669351 DOI: 10.1631/jzus.B1001007]</w:t>
      </w:r>
    </w:p>
    <w:p w14:paraId="6CBC2BD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125 </w:t>
      </w:r>
      <w:r w:rsidRPr="00BA6ACF">
        <w:rPr>
          <w:rFonts w:ascii="Book Antiqua" w:eastAsia="Book Antiqua" w:hAnsi="Book Antiqua" w:cs="Book Antiqua"/>
          <w:b/>
          <w:bCs/>
          <w:color w:val="000000"/>
        </w:rPr>
        <w:t>Gao F</w:t>
      </w:r>
      <w:r w:rsidRPr="00BA6ACF">
        <w:rPr>
          <w:rFonts w:ascii="Book Antiqua" w:eastAsia="Book Antiqua" w:hAnsi="Book Antiqua" w:cs="Book Antiqua"/>
          <w:color w:val="000000"/>
        </w:rPr>
        <w:t xml:space="preserve">, Hu X, Xie X, Liu X, Wang J. Heat shock protein 90 stimulates rat mesenchymal stem cell migration via PI3K/Akt and ERK1/2 pathways. </w:t>
      </w:r>
      <w:r w:rsidRPr="00BA6ACF">
        <w:rPr>
          <w:rFonts w:ascii="Book Antiqua" w:eastAsia="Book Antiqua" w:hAnsi="Book Antiqua" w:cs="Book Antiqua"/>
          <w:i/>
          <w:iCs/>
          <w:color w:val="000000"/>
        </w:rPr>
        <w:t>Cell Biochem Biophys</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71</w:t>
      </w:r>
      <w:r w:rsidRPr="00BA6ACF">
        <w:rPr>
          <w:rFonts w:ascii="Book Antiqua" w:eastAsia="Book Antiqua" w:hAnsi="Book Antiqua" w:cs="Book Antiqua"/>
          <w:color w:val="000000"/>
        </w:rPr>
        <w:t>: 481-489 [PMID: 25287672 DOI: 10.1007/s12013-014-0228-6]</w:t>
      </w:r>
    </w:p>
    <w:p w14:paraId="09EA244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126 </w:t>
      </w:r>
      <w:r w:rsidRPr="00BA6ACF">
        <w:rPr>
          <w:rFonts w:ascii="Book Antiqua" w:eastAsia="Book Antiqua" w:hAnsi="Book Antiqua" w:cs="Book Antiqua"/>
          <w:b/>
          <w:bCs/>
          <w:color w:val="000000"/>
        </w:rPr>
        <w:t>Andreeva NV</w:t>
      </w:r>
      <w:r w:rsidRPr="00BA6ACF">
        <w:rPr>
          <w:rFonts w:ascii="Book Antiqua" w:eastAsia="Book Antiqua" w:hAnsi="Book Antiqua" w:cs="Book Antiqua"/>
          <w:color w:val="000000"/>
        </w:rPr>
        <w:t xml:space="preserve">, Zatsepina OG, Garbuz DG, Evgen'ev MB, Belyavsky AV. Recombinant HSP70 and mild heat shock stimulate growth of aged mesenchymal stem cells. </w:t>
      </w:r>
      <w:r w:rsidRPr="00BA6ACF">
        <w:rPr>
          <w:rFonts w:ascii="Book Antiqua" w:eastAsia="Book Antiqua" w:hAnsi="Book Antiqua" w:cs="Book Antiqua"/>
          <w:i/>
          <w:iCs/>
          <w:color w:val="000000"/>
        </w:rPr>
        <w:t>Cell Stress Chaperones</w:t>
      </w:r>
      <w:r w:rsidRPr="00BA6ACF">
        <w:rPr>
          <w:rFonts w:ascii="Book Antiqua" w:eastAsia="Book Antiqua" w:hAnsi="Book Antiqua" w:cs="Book Antiqua"/>
          <w:color w:val="000000"/>
        </w:rPr>
        <w:t xml:space="preserve"> 2016; </w:t>
      </w:r>
      <w:r w:rsidRPr="00BA6ACF">
        <w:rPr>
          <w:rFonts w:ascii="Book Antiqua" w:eastAsia="Book Antiqua" w:hAnsi="Book Antiqua" w:cs="Book Antiqua"/>
          <w:b/>
          <w:bCs/>
          <w:color w:val="000000"/>
        </w:rPr>
        <w:t>21</w:t>
      </w:r>
      <w:r w:rsidRPr="00BA6ACF">
        <w:rPr>
          <w:rFonts w:ascii="Book Antiqua" w:eastAsia="Book Antiqua" w:hAnsi="Book Antiqua" w:cs="Book Antiqua"/>
          <w:color w:val="000000"/>
        </w:rPr>
        <w:t>: 727-733 [PMID: 27091568 DOI: 10.1007/s12192-016-0691-7]</w:t>
      </w:r>
    </w:p>
    <w:p w14:paraId="767F987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127 </w:t>
      </w:r>
      <w:r w:rsidRPr="00BA6ACF">
        <w:rPr>
          <w:rFonts w:ascii="Book Antiqua" w:eastAsia="Book Antiqua" w:hAnsi="Book Antiqua" w:cs="Book Antiqua"/>
          <w:b/>
          <w:bCs/>
          <w:color w:val="000000"/>
        </w:rPr>
        <w:t>Chen E</w:t>
      </w:r>
      <w:r w:rsidRPr="00BA6ACF">
        <w:rPr>
          <w:rFonts w:ascii="Book Antiqua" w:eastAsia="Book Antiqua" w:hAnsi="Book Antiqua" w:cs="Book Antiqua"/>
          <w:color w:val="000000"/>
        </w:rPr>
        <w:t xml:space="preserve">, Xue D, Zhang W, Lin F, Pan Z. Extracellular heat shock protein 70 promotes osteogenesis of human mesenchymal stem cells through activation of the ERK signaling pathway. </w:t>
      </w:r>
      <w:r w:rsidRPr="00BA6ACF">
        <w:rPr>
          <w:rFonts w:ascii="Book Antiqua" w:eastAsia="Book Antiqua" w:hAnsi="Book Antiqua" w:cs="Book Antiqua"/>
          <w:i/>
          <w:iCs/>
          <w:color w:val="000000"/>
        </w:rPr>
        <w:t>FEBS Lett</w:t>
      </w:r>
      <w:r w:rsidRPr="00BA6ACF">
        <w:rPr>
          <w:rFonts w:ascii="Book Antiqua" w:eastAsia="Book Antiqua" w:hAnsi="Book Antiqua" w:cs="Book Antiqua"/>
          <w:color w:val="000000"/>
        </w:rPr>
        <w:t xml:space="preserve"> 2015; </w:t>
      </w:r>
      <w:r w:rsidRPr="00BA6ACF">
        <w:rPr>
          <w:rFonts w:ascii="Book Antiqua" w:eastAsia="Book Antiqua" w:hAnsi="Book Antiqua" w:cs="Book Antiqua"/>
          <w:b/>
          <w:bCs/>
          <w:color w:val="000000"/>
        </w:rPr>
        <w:t>589</w:t>
      </w:r>
      <w:r w:rsidRPr="00BA6ACF">
        <w:rPr>
          <w:rFonts w:ascii="Book Antiqua" w:eastAsia="Book Antiqua" w:hAnsi="Book Antiqua" w:cs="Book Antiqua"/>
          <w:color w:val="000000"/>
        </w:rPr>
        <w:t>: 4088-4096 [PMID: 26608032 DOI: 10.1016/j.febslet.2015.11.021]</w:t>
      </w:r>
    </w:p>
    <w:p w14:paraId="18097FD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 xml:space="preserve">128 </w:t>
      </w:r>
      <w:r w:rsidRPr="00BA6ACF">
        <w:rPr>
          <w:rFonts w:ascii="Book Antiqua" w:eastAsia="Book Antiqua" w:hAnsi="Book Antiqua" w:cs="Book Antiqua"/>
          <w:b/>
          <w:bCs/>
          <w:color w:val="000000"/>
        </w:rPr>
        <w:t>Li C</w:t>
      </w:r>
      <w:r w:rsidRPr="00BA6ACF">
        <w:rPr>
          <w:rFonts w:ascii="Book Antiqua" w:eastAsia="Book Antiqua" w:hAnsi="Book Antiqua" w:cs="Book Antiqua"/>
          <w:color w:val="000000"/>
        </w:rPr>
        <w:t xml:space="preserve">, Sunderic K, Nicoll SB, Wang S. Downregulation of Heat Shock Protein 70 Impairs Osteogenic and Chondrogenic Differentiation in Human Mesenchymal Stem Cells. </w:t>
      </w:r>
      <w:r w:rsidRPr="00BA6ACF">
        <w:rPr>
          <w:rFonts w:ascii="Book Antiqua" w:eastAsia="Book Antiqua" w:hAnsi="Book Antiqua" w:cs="Book Antiqua"/>
          <w:i/>
          <w:iCs/>
          <w:color w:val="000000"/>
        </w:rPr>
        <w:t>Sci Rep</w:t>
      </w:r>
      <w:r w:rsidRPr="00BA6ACF">
        <w:rPr>
          <w:rFonts w:ascii="Book Antiqua" w:eastAsia="Book Antiqua" w:hAnsi="Book Antiqua" w:cs="Book Antiqua"/>
          <w:color w:val="000000"/>
        </w:rPr>
        <w:t xml:space="preserve"> 2018; </w:t>
      </w:r>
      <w:r w:rsidRPr="00BA6ACF">
        <w:rPr>
          <w:rFonts w:ascii="Book Antiqua" w:eastAsia="Book Antiqua" w:hAnsi="Book Antiqua" w:cs="Book Antiqua"/>
          <w:b/>
          <w:bCs/>
          <w:color w:val="000000"/>
        </w:rPr>
        <w:t>8</w:t>
      </w:r>
      <w:r w:rsidRPr="00BA6ACF">
        <w:rPr>
          <w:rFonts w:ascii="Book Antiqua" w:eastAsia="Book Antiqua" w:hAnsi="Book Antiqua" w:cs="Book Antiqua"/>
          <w:color w:val="000000"/>
        </w:rPr>
        <w:t>: 553 [PMID: 29323151 DOI: 10.1038/s41598-017-18541-1]</w:t>
      </w:r>
    </w:p>
    <w:p w14:paraId="3F7A87AA" w14:textId="77777777" w:rsidR="00A77B3E" w:rsidRPr="00BA6ACF" w:rsidRDefault="00A77B3E" w:rsidP="007260F0">
      <w:pPr>
        <w:adjustRightInd w:val="0"/>
        <w:snapToGrid w:val="0"/>
        <w:spacing w:line="360" w:lineRule="auto"/>
        <w:jc w:val="both"/>
        <w:rPr>
          <w:rFonts w:ascii="Book Antiqua" w:hAnsi="Book Antiqua"/>
        </w:rPr>
        <w:sectPr w:rsidR="00A77B3E" w:rsidRPr="00BA6ACF">
          <w:pgSz w:w="12240" w:h="15840"/>
          <w:pgMar w:top="1440" w:right="1440" w:bottom="1440" w:left="1440" w:header="720" w:footer="720" w:gutter="0"/>
          <w:cols w:space="720"/>
          <w:docGrid w:linePitch="360"/>
        </w:sectPr>
      </w:pPr>
    </w:p>
    <w:p w14:paraId="5AB36ACF"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lastRenderedPageBreak/>
        <w:t>Footnotes</w:t>
      </w:r>
    </w:p>
    <w:p w14:paraId="3015702D"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Conflict-of-interest statement: </w:t>
      </w:r>
      <w:r w:rsidRPr="00BA6ACF">
        <w:rPr>
          <w:rFonts w:ascii="Book Antiqua" w:eastAsia="Book Antiqua" w:hAnsi="Book Antiqua" w:cs="Book Antiqua"/>
          <w:color w:val="000000"/>
          <w:shd w:val="clear" w:color="auto" w:fill="FFFFFF"/>
        </w:rPr>
        <w:t xml:space="preserve">The authors declare no conflict of interests for this article. </w:t>
      </w:r>
    </w:p>
    <w:p w14:paraId="417D342E" w14:textId="77777777" w:rsidR="00A77B3E" w:rsidRPr="00BA6ACF" w:rsidRDefault="00A77B3E" w:rsidP="007260F0">
      <w:pPr>
        <w:adjustRightInd w:val="0"/>
        <w:snapToGrid w:val="0"/>
        <w:spacing w:line="360" w:lineRule="auto"/>
        <w:jc w:val="both"/>
        <w:rPr>
          <w:rFonts w:ascii="Book Antiqua" w:hAnsi="Book Antiqua"/>
        </w:rPr>
      </w:pPr>
    </w:p>
    <w:p w14:paraId="7B47ADA3"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bCs/>
          <w:color w:val="000000"/>
        </w:rPr>
        <w:t xml:space="preserve">Open-Access: </w:t>
      </w:r>
      <w:r w:rsidRPr="00BA6AC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7DD39C2" w14:textId="77777777" w:rsidR="00A77B3E" w:rsidRPr="00BA6ACF" w:rsidRDefault="00A77B3E" w:rsidP="007260F0">
      <w:pPr>
        <w:adjustRightInd w:val="0"/>
        <w:snapToGrid w:val="0"/>
        <w:spacing w:line="360" w:lineRule="auto"/>
        <w:jc w:val="both"/>
        <w:rPr>
          <w:rFonts w:ascii="Book Antiqua" w:hAnsi="Book Antiqua"/>
        </w:rPr>
      </w:pPr>
    </w:p>
    <w:p w14:paraId="4CFD7E8C" w14:textId="4DB86B3D"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Manuscript source: </w:t>
      </w:r>
      <w:r w:rsidRPr="00BA6ACF">
        <w:rPr>
          <w:rFonts w:ascii="Book Antiqua" w:eastAsia="Book Antiqua" w:hAnsi="Book Antiqua" w:cs="Book Antiqua"/>
          <w:color w:val="000000"/>
        </w:rPr>
        <w:t xml:space="preserve">Invited </w:t>
      </w:r>
      <w:r w:rsidR="00C42431" w:rsidRPr="00BA6ACF">
        <w:rPr>
          <w:rFonts w:ascii="Book Antiqua" w:eastAsia="Book Antiqua" w:hAnsi="Book Antiqua" w:cs="Book Antiqua"/>
          <w:color w:val="000000"/>
        </w:rPr>
        <w:t>m</w:t>
      </w:r>
      <w:r w:rsidRPr="00BA6ACF">
        <w:rPr>
          <w:rFonts w:ascii="Book Antiqua" w:eastAsia="Book Antiqua" w:hAnsi="Book Antiqua" w:cs="Book Antiqua"/>
          <w:color w:val="000000"/>
        </w:rPr>
        <w:t>anuscript</w:t>
      </w:r>
    </w:p>
    <w:p w14:paraId="33ECAE1B" w14:textId="77777777" w:rsidR="00A77B3E" w:rsidRPr="00BA6ACF" w:rsidRDefault="00A77B3E" w:rsidP="007260F0">
      <w:pPr>
        <w:adjustRightInd w:val="0"/>
        <w:snapToGrid w:val="0"/>
        <w:spacing w:line="360" w:lineRule="auto"/>
        <w:jc w:val="both"/>
        <w:rPr>
          <w:rFonts w:ascii="Book Antiqua" w:hAnsi="Book Antiqua"/>
        </w:rPr>
      </w:pPr>
    </w:p>
    <w:p w14:paraId="19E0153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Peer-review started: </w:t>
      </w:r>
      <w:r w:rsidRPr="00BA6ACF">
        <w:rPr>
          <w:rFonts w:ascii="Book Antiqua" w:eastAsia="Book Antiqua" w:hAnsi="Book Antiqua" w:cs="Book Antiqua"/>
          <w:color w:val="000000"/>
        </w:rPr>
        <w:t>April 14, 2020</w:t>
      </w:r>
    </w:p>
    <w:p w14:paraId="449A4C19"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First decision: </w:t>
      </w:r>
      <w:r w:rsidRPr="00BA6ACF">
        <w:rPr>
          <w:rFonts w:ascii="Book Antiqua" w:eastAsia="Book Antiqua" w:hAnsi="Book Antiqua" w:cs="Book Antiqua"/>
          <w:color w:val="000000"/>
        </w:rPr>
        <w:t>April 29, 2020</w:t>
      </w:r>
    </w:p>
    <w:p w14:paraId="6E663D9C" w14:textId="7BD6880A" w:rsidR="00A77B3E" w:rsidRPr="00751EC4"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Article in press: </w:t>
      </w:r>
      <w:r w:rsidR="00751EC4">
        <w:rPr>
          <w:rFonts w:ascii="Book Antiqua" w:eastAsia="Book Antiqua" w:hAnsi="Book Antiqua" w:cs="Book Antiqua"/>
          <w:color w:val="000000"/>
        </w:rPr>
        <w:t>September 1</w:t>
      </w:r>
      <w:r w:rsidR="00751EC4" w:rsidRPr="00751EC4">
        <w:rPr>
          <w:rFonts w:ascii="Book Antiqua" w:eastAsia="Book Antiqua" w:hAnsi="Book Antiqua" w:cs="Book Antiqua"/>
          <w:color w:val="000000"/>
        </w:rPr>
        <w:t>, 2020</w:t>
      </w:r>
    </w:p>
    <w:p w14:paraId="63568467" w14:textId="77777777" w:rsidR="00A77B3E" w:rsidRPr="00BA6ACF" w:rsidRDefault="00A77B3E" w:rsidP="007260F0">
      <w:pPr>
        <w:adjustRightInd w:val="0"/>
        <w:snapToGrid w:val="0"/>
        <w:spacing w:line="360" w:lineRule="auto"/>
        <w:jc w:val="both"/>
        <w:rPr>
          <w:rFonts w:ascii="Book Antiqua" w:hAnsi="Book Antiqua"/>
        </w:rPr>
      </w:pPr>
    </w:p>
    <w:p w14:paraId="092251A4" w14:textId="1C145F42"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Specialty type: </w:t>
      </w:r>
      <w:r w:rsidRPr="00BA6ACF">
        <w:rPr>
          <w:rFonts w:ascii="Book Antiqua" w:eastAsia="Book Antiqua" w:hAnsi="Book Antiqua" w:cs="Book Antiqua"/>
          <w:color w:val="000000"/>
        </w:rPr>
        <w:t xml:space="preserve">Medicine, </w:t>
      </w:r>
      <w:r w:rsidR="00C42431" w:rsidRPr="00BA6ACF">
        <w:rPr>
          <w:rFonts w:ascii="Book Antiqua" w:eastAsia="Book Antiqua" w:hAnsi="Book Antiqua" w:cs="Book Antiqua"/>
          <w:color w:val="000000"/>
        </w:rPr>
        <w:t>research and experimental</w:t>
      </w:r>
    </w:p>
    <w:p w14:paraId="04A2BB7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 xml:space="preserve">Country/Territory of origin: </w:t>
      </w:r>
      <w:r w:rsidRPr="00BA6ACF">
        <w:rPr>
          <w:rFonts w:ascii="Book Antiqua" w:eastAsia="Book Antiqua" w:hAnsi="Book Antiqua" w:cs="Book Antiqua"/>
          <w:color w:val="000000"/>
        </w:rPr>
        <w:t>Serbia</w:t>
      </w:r>
    </w:p>
    <w:p w14:paraId="71FEE1F4"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b/>
          <w:color w:val="000000"/>
        </w:rPr>
        <w:t>Peer-review report’s scientific quality classification</w:t>
      </w:r>
    </w:p>
    <w:p w14:paraId="5A2F350A"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Grade A (Excellent): 0</w:t>
      </w:r>
    </w:p>
    <w:p w14:paraId="6012B3F2"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Grade B (Very good): 0</w:t>
      </w:r>
    </w:p>
    <w:p w14:paraId="488E39A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Grade C (Good): C</w:t>
      </w:r>
    </w:p>
    <w:p w14:paraId="1346CDB5"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Grade D (Fair): 0</w:t>
      </w:r>
    </w:p>
    <w:p w14:paraId="1E4E4CE8" w14:textId="77777777" w:rsidR="00A77B3E" w:rsidRPr="00BA6ACF" w:rsidRDefault="003C0C04" w:rsidP="007260F0">
      <w:pPr>
        <w:adjustRightInd w:val="0"/>
        <w:snapToGrid w:val="0"/>
        <w:spacing w:line="360" w:lineRule="auto"/>
        <w:jc w:val="both"/>
        <w:rPr>
          <w:rFonts w:ascii="Book Antiqua" w:hAnsi="Book Antiqua"/>
        </w:rPr>
      </w:pPr>
      <w:r w:rsidRPr="00BA6ACF">
        <w:rPr>
          <w:rFonts w:ascii="Book Antiqua" w:eastAsia="Book Antiqua" w:hAnsi="Book Antiqua" w:cs="Book Antiqua"/>
          <w:color w:val="000000"/>
        </w:rPr>
        <w:t>Grade E (Poor): 0</w:t>
      </w:r>
    </w:p>
    <w:p w14:paraId="3CE923F1" w14:textId="77777777" w:rsidR="00A77B3E" w:rsidRPr="00BA6ACF" w:rsidRDefault="00A77B3E" w:rsidP="007260F0">
      <w:pPr>
        <w:adjustRightInd w:val="0"/>
        <w:snapToGrid w:val="0"/>
        <w:spacing w:line="360" w:lineRule="auto"/>
        <w:jc w:val="both"/>
        <w:rPr>
          <w:rFonts w:ascii="Book Antiqua" w:hAnsi="Book Antiqua"/>
        </w:rPr>
      </w:pPr>
    </w:p>
    <w:p w14:paraId="5714AF37" w14:textId="3E2882FF" w:rsidR="00A77B3E" w:rsidRPr="00BA6ACF" w:rsidRDefault="003C0C04" w:rsidP="007260F0">
      <w:pPr>
        <w:adjustRightInd w:val="0"/>
        <w:snapToGrid w:val="0"/>
        <w:spacing w:line="360" w:lineRule="auto"/>
        <w:jc w:val="both"/>
        <w:rPr>
          <w:rFonts w:ascii="Book Antiqua" w:hAnsi="Book Antiqua"/>
        </w:rPr>
        <w:sectPr w:rsidR="00A77B3E" w:rsidRPr="00BA6ACF">
          <w:pgSz w:w="12240" w:h="15840"/>
          <w:pgMar w:top="1440" w:right="1440" w:bottom="1440" w:left="1440" w:header="720" w:footer="720" w:gutter="0"/>
          <w:cols w:space="720"/>
          <w:docGrid w:linePitch="360"/>
        </w:sectPr>
      </w:pPr>
      <w:r w:rsidRPr="00BA6ACF">
        <w:rPr>
          <w:rFonts w:ascii="Book Antiqua" w:eastAsia="Book Antiqua" w:hAnsi="Book Antiqua" w:cs="Book Antiqua"/>
          <w:b/>
          <w:color w:val="000000"/>
        </w:rPr>
        <w:t xml:space="preserve">P-Reviewer: </w:t>
      </w:r>
      <w:r w:rsidRPr="00BA6ACF">
        <w:rPr>
          <w:rFonts w:ascii="Book Antiqua" w:eastAsia="Book Antiqua" w:hAnsi="Book Antiqua" w:cs="Book Antiqua"/>
          <w:color w:val="000000"/>
        </w:rPr>
        <w:t>Farahzadi R</w:t>
      </w:r>
      <w:r w:rsidRPr="00BA6ACF">
        <w:rPr>
          <w:rFonts w:ascii="Book Antiqua" w:eastAsia="Book Antiqua" w:hAnsi="Book Antiqua" w:cs="Book Antiqua"/>
          <w:b/>
          <w:color w:val="000000"/>
        </w:rPr>
        <w:t xml:space="preserve"> S-Editor: </w:t>
      </w:r>
      <w:r w:rsidRPr="00BA6ACF">
        <w:rPr>
          <w:rFonts w:ascii="Book Antiqua" w:eastAsia="Book Antiqua" w:hAnsi="Book Antiqua" w:cs="Book Antiqua"/>
          <w:color w:val="000000"/>
        </w:rPr>
        <w:t>Liu M</w:t>
      </w:r>
      <w:r w:rsidRPr="00BA6ACF">
        <w:rPr>
          <w:rFonts w:ascii="Book Antiqua" w:eastAsia="Book Antiqua" w:hAnsi="Book Antiqua" w:cs="Book Antiqua"/>
          <w:b/>
          <w:color w:val="000000"/>
        </w:rPr>
        <w:t xml:space="preserve"> L-Editor:</w:t>
      </w:r>
      <w:r w:rsidR="00751EC4">
        <w:rPr>
          <w:rFonts w:ascii="Book Antiqua" w:hAnsi="Book Antiqua" w:cs="Book Antiqua" w:hint="eastAsia"/>
          <w:b/>
          <w:color w:val="000000"/>
          <w:lang w:eastAsia="zh-CN"/>
        </w:rPr>
        <w:t xml:space="preserve"> </w:t>
      </w:r>
      <w:r w:rsidR="00751EC4" w:rsidRPr="00751EC4">
        <w:rPr>
          <w:rFonts w:ascii="Book Antiqua" w:hAnsi="Book Antiqua" w:cs="Book Antiqua" w:hint="eastAsia"/>
          <w:color w:val="000000"/>
          <w:lang w:eastAsia="zh-CN"/>
        </w:rPr>
        <w:t>A</w:t>
      </w:r>
      <w:r w:rsidRPr="00BA6ACF">
        <w:rPr>
          <w:rFonts w:ascii="Book Antiqua" w:eastAsia="Book Antiqua" w:hAnsi="Book Antiqua" w:cs="Book Antiqua"/>
          <w:b/>
          <w:color w:val="000000"/>
        </w:rPr>
        <w:t xml:space="preserve"> </w:t>
      </w:r>
      <w:r w:rsidR="00751EC4">
        <w:rPr>
          <w:rFonts w:ascii="Book Antiqua" w:hAnsi="Book Antiqua" w:cs="Book Antiqua" w:hint="eastAsia"/>
          <w:b/>
          <w:color w:val="000000"/>
          <w:lang w:eastAsia="zh-CN"/>
        </w:rPr>
        <w:t>P</w:t>
      </w:r>
      <w:r w:rsidR="00751EC4">
        <w:rPr>
          <w:rFonts w:ascii="Book Antiqua" w:eastAsia="Book Antiqua" w:hAnsi="Book Antiqua" w:cs="Book Antiqua"/>
          <w:b/>
          <w:color w:val="000000"/>
        </w:rPr>
        <w:t xml:space="preserve">-Editor: </w:t>
      </w:r>
      <w:r w:rsidR="00751EC4" w:rsidRPr="00D243B6">
        <w:rPr>
          <w:rFonts w:ascii="Book Antiqua" w:eastAsia="Book Antiqua" w:hAnsi="Book Antiqua" w:cs="Book Antiqua"/>
          <w:color w:val="000000"/>
        </w:rPr>
        <w:t>Xing YX</w:t>
      </w:r>
    </w:p>
    <w:p w14:paraId="4F92A294" w14:textId="087F9665" w:rsidR="00A77B3E" w:rsidRPr="00BA6ACF" w:rsidRDefault="003C0C04" w:rsidP="007260F0">
      <w:pPr>
        <w:adjustRightInd w:val="0"/>
        <w:snapToGrid w:val="0"/>
        <w:spacing w:line="360" w:lineRule="auto"/>
        <w:jc w:val="both"/>
        <w:rPr>
          <w:rFonts w:ascii="Book Antiqua" w:eastAsia="Book Antiqua" w:hAnsi="Book Antiqua" w:cs="Book Antiqua"/>
          <w:b/>
          <w:color w:val="000000"/>
        </w:rPr>
      </w:pPr>
      <w:r w:rsidRPr="00BA6ACF">
        <w:rPr>
          <w:rFonts w:ascii="Book Antiqua" w:eastAsia="Book Antiqua" w:hAnsi="Book Antiqua" w:cs="Book Antiqua"/>
          <w:b/>
          <w:color w:val="000000"/>
        </w:rPr>
        <w:lastRenderedPageBreak/>
        <w:t>Figure Legends</w:t>
      </w:r>
    </w:p>
    <w:p w14:paraId="3C5A9335" w14:textId="1ECCE997" w:rsidR="00473557" w:rsidRPr="00BA6ACF" w:rsidRDefault="00473557" w:rsidP="007260F0">
      <w:pPr>
        <w:adjustRightInd w:val="0"/>
        <w:snapToGrid w:val="0"/>
        <w:spacing w:line="360" w:lineRule="auto"/>
        <w:jc w:val="both"/>
        <w:rPr>
          <w:rFonts w:ascii="Book Antiqua" w:hAnsi="Book Antiqua"/>
        </w:rPr>
      </w:pPr>
      <w:r w:rsidRPr="00BA6ACF">
        <w:rPr>
          <w:rFonts w:ascii="Book Antiqua" w:hAnsi="Book Antiqua"/>
          <w:noProof/>
          <w:lang w:eastAsia="zh-CN"/>
        </w:rPr>
        <w:drawing>
          <wp:inline distT="0" distB="0" distL="0" distR="0" wp14:anchorId="4EBE0F67" wp14:editId="2C7D039E">
            <wp:extent cx="5943600" cy="23660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366010"/>
                    </a:xfrm>
                    <a:prstGeom prst="rect">
                      <a:avLst/>
                    </a:prstGeom>
                    <a:noFill/>
                    <a:ln>
                      <a:noFill/>
                    </a:ln>
                  </pic:spPr>
                </pic:pic>
              </a:graphicData>
            </a:graphic>
          </wp:inline>
        </w:drawing>
      </w:r>
    </w:p>
    <w:p w14:paraId="4773DA30" w14:textId="47B16CA9" w:rsidR="00072809" w:rsidRPr="00BA6ACF" w:rsidRDefault="00BA6ACF" w:rsidP="007260F0">
      <w:pPr>
        <w:adjustRightInd w:val="0"/>
        <w:snapToGrid w:val="0"/>
        <w:spacing w:line="360" w:lineRule="auto"/>
        <w:jc w:val="both"/>
        <w:rPr>
          <w:rFonts w:ascii="Book Antiqua" w:eastAsia="Book Antiqua" w:hAnsi="Book Antiqua" w:cs="Book Antiqua"/>
          <w:color w:val="000000"/>
          <w:shd w:val="clear" w:color="auto" w:fill="FFFFFF"/>
        </w:rPr>
      </w:pPr>
      <w:r w:rsidRPr="00BA6ACF">
        <w:rPr>
          <w:rFonts w:ascii="Book Antiqua" w:eastAsia="Book Antiqua" w:hAnsi="Book Antiqua" w:cs="Book Antiqua"/>
          <w:b/>
          <w:bCs/>
          <w:color w:val="000000"/>
          <w:shd w:val="clear" w:color="auto" w:fill="FFFFFF"/>
        </w:rPr>
        <w:t>Figure 1 Influence of inflammatory priming on regenerative features of mesenchymal stromal/stem cells under </w:t>
      </w:r>
      <w:r w:rsidRPr="00BA6ACF">
        <w:rPr>
          <w:rFonts w:ascii="Book Antiqua" w:eastAsia="Book Antiqua" w:hAnsi="Book Antiqua" w:cs="Book Antiqua"/>
          <w:b/>
          <w:bCs/>
          <w:i/>
          <w:iCs/>
          <w:color w:val="000000"/>
          <w:shd w:val="clear" w:color="auto" w:fill="FFFFFF"/>
        </w:rPr>
        <w:t>in vitro</w:t>
      </w:r>
      <w:r w:rsidRPr="00BA6ACF">
        <w:rPr>
          <w:rFonts w:ascii="Book Antiqua" w:eastAsia="Book Antiqua" w:hAnsi="Book Antiqua" w:cs="Book Antiqua"/>
          <w:b/>
          <w:bCs/>
          <w:color w:val="000000"/>
          <w:shd w:val="clear" w:color="auto" w:fill="FFFFFF"/>
        </w:rPr>
        <w:t> conditions. </w:t>
      </w:r>
      <w:r w:rsidRPr="00BA6ACF">
        <w:rPr>
          <w:rFonts w:ascii="Book Antiqua" w:eastAsia="Book Antiqua" w:hAnsi="Book Antiqua" w:cs="Book Antiqua"/>
          <w:color w:val="000000"/>
          <w:shd w:val="clear" w:color="auto" w:fill="FFFFFF"/>
        </w:rPr>
        <w:t>Soluble factors in the inflammatory microenvironment, including pro-inflammatory cytokines secreted by immune cells and alarmins released by damaged cells, influence mesenchymal stromal/stem cells’ (MSCs) ability to regenerate tissue by affecting their proliferation, migration and differentiation potential (osteogenic, chondrogenic, adipogenic). When applied </w:t>
      </w:r>
      <w:r w:rsidRPr="00BA6ACF">
        <w:rPr>
          <w:rFonts w:ascii="Book Antiqua" w:eastAsia="Book Antiqua" w:hAnsi="Book Antiqua" w:cs="Book Antiqua"/>
          <w:i/>
          <w:iCs/>
          <w:color w:val="000000"/>
          <w:shd w:val="clear" w:color="auto" w:fill="FFFFFF"/>
        </w:rPr>
        <w:t>in vitro</w:t>
      </w:r>
      <w:r w:rsidRPr="00BA6ACF">
        <w:rPr>
          <w:rFonts w:ascii="Book Antiqua" w:eastAsia="Book Antiqua" w:hAnsi="Book Antiqua" w:cs="Book Antiqua"/>
          <w:color w:val="000000"/>
          <w:shd w:val="clear" w:color="auto" w:fill="FFFFFF"/>
        </w:rPr>
        <w:t xml:space="preserve">, indicated inflammatory factors differently affect regenerative properties of MSCs depending on the species or tissue origin of MSCs. Symbols: </w:t>
      </w:r>
      <w:r w:rsidRPr="00BA6ACF">
        <w:rPr>
          <w:rFonts w:ascii="Book Antiqua" w:eastAsia="Book Antiqua" w:hAnsi="Book Antiqua" w:cs="Book Antiqua"/>
          <w:color w:val="000000"/>
          <w:shd w:val="clear" w:color="auto" w:fill="FFFFFF"/>
        </w:rPr>
        <w:sym w:font="Symbol" w:char="F0AD"/>
      </w:r>
      <w:r w:rsidRPr="00BA6ACF">
        <w:rPr>
          <w:rFonts w:ascii="Book Antiqua" w:eastAsia="Book Antiqua" w:hAnsi="Book Antiqua" w:cs="Book Antiqua"/>
          <w:color w:val="000000"/>
          <w:shd w:val="clear" w:color="auto" w:fill="FFFFFF"/>
        </w:rPr>
        <w:t xml:space="preserve"> and </w:t>
      </w:r>
      <w:r w:rsidRPr="00BA6ACF">
        <w:rPr>
          <w:rFonts w:ascii="Book Antiqua" w:eastAsia="Book Antiqua" w:hAnsi="Book Antiqua" w:cs="Book Antiqua"/>
          <w:color w:val="000000"/>
          <w:shd w:val="clear" w:color="auto" w:fill="FFFFFF"/>
        </w:rPr>
        <w:sym w:font="Symbol" w:char="F0AF"/>
      </w:r>
      <w:r w:rsidRPr="00BA6ACF">
        <w:rPr>
          <w:rFonts w:ascii="Book Antiqua" w:eastAsia="Book Antiqua" w:hAnsi="Book Antiqua" w:cs="Book Antiqua"/>
          <w:color w:val="000000"/>
          <w:shd w:val="clear" w:color="auto" w:fill="FFFFFF"/>
        </w:rPr>
        <w:t xml:space="preserve"> represent stimulatory or inhibitory activity of priming factor, respectively; </w:t>
      </w:r>
      <w:r w:rsidRPr="00BA6ACF">
        <w:rPr>
          <w:rFonts w:ascii="Book Antiqua" w:eastAsia="Book Antiqua" w:hAnsi="Book Antiqua" w:cs="Book Antiqua"/>
          <w:color w:val="000000"/>
          <w:shd w:val="clear" w:color="auto" w:fill="FFFFFF"/>
        </w:rPr>
        <w:sym w:font="Symbol" w:char="F0AB"/>
      </w:r>
      <w:r w:rsidRPr="00BA6ACF">
        <w:rPr>
          <w:rFonts w:ascii="Book Antiqua" w:eastAsia="Book Antiqua" w:hAnsi="Book Antiqua" w:cs="Book Antiqua"/>
          <w:color w:val="000000"/>
          <w:shd w:val="clear" w:color="auto" w:fill="FFFFFF"/>
        </w:rPr>
        <w:t xml:space="preserve"> indicates no effects of priming factor. The term ’dual’ indicates the data where priming factor dually affected MSCs function depending on applied concentration or MSCs donor age. The numbers in square brackets indicate the references.</w:t>
      </w:r>
      <w:r w:rsidR="003C0C04" w:rsidRPr="00BA6ACF">
        <w:rPr>
          <w:rFonts w:ascii="Book Antiqua" w:eastAsia="Book Antiqua" w:hAnsi="Book Antiqua" w:cs="Book Antiqua"/>
          <w:color w:val="000000"/>
          <w:shd w:val="clear" w:color="auto" w:fill="FFFFFF"/>
        </w:rPr>
        <w:t xml:space="preserve"> IFN-γ: Interferon gamma; TNF-α: Tumor Necrosis Factor alpha; IL: Interleukin; HMGB1: High mobility group box 1; Hsp: Heat shock proteins; MSCs: Mesenchymal stromal/stem cells; h: </w:t>
      </w:r>
      <w:r w:rsidRPr="00BA6ACF">
        <w:rPr>
          <w:rFonts w:ascii="Book Antiqua" w:eastAsia="Book Antiqua" w:hAnsi="Book Antiqua" w:cs="Book Antiqua"/>
          <w:color w:val="000000"/>
          <w:shd w:val="clear" w:color="auto" w:fill="FFFFFF"/>
        </w:rPr>
        <w:t>H</w:t>
      </w:r>
      <w:r w:rsidR="003C0C04" w:rsidRPr="00BA6ACF">
        <w:rPr>
          <w:rFonts w:ascii="Book Antiqua" w:eastAsia="Book Antiqua" w:hAnsi="Book Antiqua" w:cs="Book Antiqua"/>
          <w:color w:val="000000"/>
          <w:shd w:val="clear" w:color="auto" w:fill="FFFFFF"/>
        </w:rPr>
        <w:t>uman; WJ: Warthon jelly; BM: Bone marrow; r:</w:t>
      </w:r>
      <w:r w:rsidRPr="00BA6ACF">
        <w:rPr>
          <w:rFonts w:ascii="Book Antiqua" w:eastAsia="Book Antiqua" w:hAnsi="Book Antiqua" w:cs="Book Antiqua"/>
          <w:color w:val="000000"/>
          <w:shd w:val="clear" w:color="auto" w:fill="FFFFFF"/>
        </w:rPr>
        <w:t xml:space="preserve"> R</w:t>
      </w:r>
      <w:r w:rsidR="003C0C04" w:rsidRPr="00BA6ACF">
        <w:rPr>
          <w:rFonts w:ascii="Book Antiqua" w:eastAsia="Book Antiqua" w:hAnsi="Book Antiqua" w:cs="Book Antiqua"/>
          <w:color w:val="000000"/>
          <w:shd w:val="clear" w:color="auto" w:fill="FFFFFF"/>
        </w:rPr>
        <w:t>at; UC: Umbilical cord; AT: Adipose tissue; DP: Dental pulp; PDL: Periodontal ligament; SHED: </w:t>
      </w:r>
      <w:r w:rsidRPr="00BA6ACF">
        <w:rPr>
          <w:rFonts w:ascii="Book Antiqua" w:eastAsia="Book Antiqua" w:hAnsi="Book Antiqua" w:cs="Book Antiqua"/>
          <w:color w:val="000000"/>
          <w:shd w:val="clear" w:color="auto" w:fill="FFFFFF"/>
        </w:rPr>
        <w:t>E</w:t>
      </w:r>
      <w:r w:rsidR="003C0C04" w:rsidRPr="00BA6ACF">
        <w:rPr>
          <w:rFonts w:ascii="Book Antiqua" w:eastAsia="Book Antiqua" w:hAnsi="Book Antiqua" w:cs="Book Antiqua"/>
          <w:color w:val="000000"/>
          <w:shd w:val="clear" w:color="auto" w:fill="FFFFFF"/>
        </w:rPr>
        <w:t>xfoliated deciduous teeth.</w:t>
      </w:r>
    </w:p>
    <w:p w14:paraId="4AB1224C" w14:textId="6F06B9F0" w:rsidR="00A77B3E" w:rsidRPr="00BA6ACF" w:rsidRDefault="00072809" w:rsidP="007260F0">
      <w:pPr>
        <w:adjustRightInd w:val="0"/>
        <w:snapToGrid w:val="0"/>
        <w:spacing w:line="360" w:lineRule="auto"/>
        <w:jc w:val="both"/>
        <w:rPr>
          <w:rFonts w:ascii="Book Antiqua" w:eastAsia="Book Antiqua" w:hAnsi="Book Antiqua" w:cs="Book Antiqua"/>
          <w:color w:val="000000"/>
          <w:shd w:val="clear" w:color="auto" w:fill="FFFFFF"/>
        </w:rPr>
      </w:pPr>
      <w:r w:rsidRPr="00BA6ACF">
        <w:rPr>
          <w:rFonts w:ascii="Book Antiqua" w:eastAsia="Book Antiqua" w:hAnsi="Book Antiqua" w:cs="Book Antiqua"/>
          <w:color w:val="000000"/>
          <w:shd w:val="clear" w:color="auto" w:fill="FFFFFF"/>
        </w:rPr>
        <w:br w:type="page"/>
      </w:r>
    </w:p>
    <w:p w14:paraId="3FBA0C9E" w14:textId="46D03C6B" w:rsidR="00473557" w:rsidRPr="00BA6ACF" w:rsidRDefault="00BA6ACF" w:rsidP="007260F0">
      <w:pPr>
        <w:adjustRightInd w:val="0"/>
        <w:snapToGrid w:val="0"/>
        <w:spacing w:line="360" w:lineRule="auto"/>
        <w:jc w:val="both"/>
        <w:rPr>
          <w:rFonts w:ascii="Book Antiqua" w:hAnsi="Book Antiqua"/>
        </w:rPr>
      </w:pPr>
      <w:r w:rsidRPr="00BA6ACF">
        <w:rPr>
          <w:rFonts w:ascii="Book Antiqua" w:hAnsi="Book Antiqua"/>
          <w:noProof/>
          <w:lang w:eastAsia="zh-CN"/>
        </w:rPr>
        <w:lastRenderedPageBreak/>
        <w:drawing>
          <wp:inline distT="0" distB="0" distL="0" distR="0" wp14:anchorId="7FD62A42" wp14:editId="26F8EF31">
            <wp:extent cx="5894717" cy="287574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9812" cy="2883109"/>
                    </a:xfrm>
                    <a:prstGeom prst="rect">
                      <a:avLst/>
                    </a:prstGeom>
                    <a:noFill/>
                  </pic:spPr>
                </pic:pic>
              </a:graphicData>
            </a:graphic>
          </wp:inline>
        </w:drawing>
      </w:r>
    </w:p>
    <w:p w14:paraId="428635C9" w14:textId="66CFDF1F" w:rsidR="003C0C04" w:rsidRPr="00BA6ACF" w:rsidRDefault="003C0C04" w:rsidP="007260F0">
      <w:pPr>
        <w:adjustRightInd w:val="0"/>
        <w:snapToGrid w:val="0"/>
        <w:spacing w:line="360" w:lineRule="auto"/>
        <w:jc w:val="both"/>
        <w:rPr>
          <w:rFonts w:ascii="Book Antiqua" w:eastAsia="Book Antiqua" w:hAnsi="Book Antiqua" w:cs="Book Antiqua"/>
          <w:color w:val="000000"/>
        </w:rPr>
      </w:pPr>
      <w:r w:rsidRPr="00BA6ACF">
        <w:rPr>
          <w:rFonts w:ascii="Book Antiqua" w:eastAsia="Book Antiqua" w:hAnsi="Book Antiqua" w:cs="Book Antiqua"/>
          <w:b/>
          <w:bCs/>
          <w:color w:val="000000"/>
          <w:shd w:val="clear" w:color="auto" w:fill="FFFFFF"/>
        </w:rPr>
        <w:t xml:space="preserve">Figure 2 Improved </w:t>
      </w:r>
      <w:r w:rsidRPr="00BA6ACF">
        <w:rPr>
          <w:rFonts w:ascii="Book Antiqua" w:eastAsia="Book Antiqua" w:hAnsi="Book Antiqua" w:cs="Book Antiqua"/>
          <w:b/>
          <w:bCs/>
          <w:i/>
          <w:iCs/>
          <w:color w:val="000000"/>
          <w:shd w:val="clear" w:color="auto" w:fill="FFFFFF"/>
        </w:rPr>
        <w:t>in vivo</w:t>
      </w:r>
      <w:r w:rsidRPr="00BA6ACF">
        <w:rPr>
          <w:rFonts w:ascii="Book Antiqua" w:eastAsia="Book Antiqua" w:hAnsi="Book Antiqua" w:cs="Book Antiqua"/>
          <w:b/>
          <w:bCs/>
          <w:color w:val="000000"/>
          <w:shd w:val="clear" w:color="auto" w:fill="FFFFFF"/>
        </w:rPr>
        <w:t xml:space="preserve"> therapeutic potential of inflammatory primed </w:t>
      </w:r>
      <w:r w:rsidR="00072809" w:rsidRPr="00BA6ACF">
        <w:rPr>
          <w:rFonts w:ascii="Book Antiqua" w:eastAsia="Book Antiqua" w:hAnsi="Book Antiqua" w:cs="Book Antiqua"/>
          <w:b/>
          <w:bCs/>
          <w:color w:val="000000"/>
          <w:shd w:val="clear" w:color="auto" w:fill="FFFFFF"/>
        </w:rPr>
        <w:t>mesenchymal stromal/stem cells</w:t>
      </w:r>
      <w:r w:rsidRPr="00BA6ACF">
        <w:rPr>
          <w:rFonts w:ascii="Book Antiqua" w:eastAsia="Book Antiqua" w:hAnsi="Book Antiqua" w:cs="Book Antiqua"/>
          <w:b/>
          <w:bCs/>
          <w:color w:val="000000"/>
          <w:shd w:val="clear" w:color="auto" w:fill="FFFFFF"/>
        </w:rPr>
        <w:t>.</w:t>
      </w:r>
      <w:r w:rsidRPr="00BA6ACF">
        <w:rPr>
          <w:rFonts w:ascii="Book Antiqua" w:eastAsia="Book Antiqua" w:hAnsi="Book Antiqua" w:cs="Book Antiqua"/>
          <w:color w:val="000000"/>
          <w:shd w:val="clear" w:color="auto" w:fill="FFFFFF"/>
        </w:rPr>
        <w:t xml:space="preserve"> The inflammatory niche mediators, including proinflammatory cytokines and alarmins, play a key role in triggering the reparative functions of mesenchymal stromal/stem cells, influencing their paracrine secretion, proliferation, differentiation, migration and immunomodulatory potential. When applied </w:t>
      </w:r>
      <w:r w:rsidRPr="00BA6ACF">
        <w:rPr>
          <w:rFonts w:ascii="Book Antiqua" w:eastAsia="Book Antiqua" w:hAnsi="Book Antiqua" w:cs="Book Antiqua"/>
          <w:i/>
          <w:iCs/>
          <w:color w:val="000000"/>
          <w:shd w:val="clear" w:color="auto" w:fill="FFFFFF"/>
        </w:rPr>
        <w:t>in vivo</w:t>
      </w:r>
      <w:r w:rsidRPr="00BA6ACF">
        <w:rPr>
          <w:rFonts w:ascii="Book Antiqua" w:eastAsia="Book Antiqua" w:hAnsi="Book Antiqua" w:cs="Book Antiqua"/>
          <w:color w:val="000000"/>
          <w:shd w:val="clear" w:color="auto" w:fill="FFFFFF"/>
        </w:rPr>
        <w:t xml:space="preserve">, improved therapeutic efficiency of inflammatory primed MSCs has been detected in various experimental models. The numbers in square brackets indicate the references. TNF-α: Tumor Necrosis Factor alpha; IL: Interleukin; IFN-γ: Interferon gamma; HMGB1: High mobility group box 1; Hsp: Heat shock proteins; BM: Bone marrow; MSCs: </w:t>
      </w:r>
      <w:bookmarkStart w:id="3" w:name="_Hlk49931564"/>
      <w:r w:rsidRPr="00BA6ACF">
        <w:rPr>
          <w:rFonts w:ascii="Book Antiqua" w:eastAsia="Book Antiqua" w:hAnsi="Book Antiqua" w:cs="Book Antiqua"/>
          <w:color w:val="000000"/>
          <w:shd w:val="clear" w:color="auto" w:fill="FFFFFF"/>
        </w:rPr>
        <w:t>Mesenchymal stromal/stem cells</w:t>
      </w:r>
      <w:bookmarkEnd w:id="3"/>
      <w:r w:rsidRPr="00BA6ACF">
        <w:rPr>
          <w:rFonts w:ascii="Book Antiqua" w:eastAsia="Book Antiqua" w:hAnsi="Book Antiqua" w:cs="Book Antiqua"/>
          <w:color w:val="000000"/>
          <w:shd w:val="clear" w:color="auto" w:fill="FFFFFF"/>
        </w:rPr>
        <w:t xml:space="preserve">; UC: Umbilical cord; AT: Adipose tissue; DSS: </w:t>
      </w:r>
      <w:r w:rsidRPr="00BA6ACF">
        <w:rPr>
          <w:rFonts w:ascii="Book Antiqua" w:eastAsia="Book Antiqua" w:hAnsi="Book Antiqua" w:cs="Book Antiqua"/>
          <w:color w:val="000000"/>
        </w:rPr>
        <w:t>Dextran sulfate sodium.</w:t>
      </w:r>
    </w:p>
    <w:p w14:paraId="77B1DB42" w14:textId="4E620405" w:rsidR="003C0C04" w:rsidRPr="00BA6ACF" w:rsidRDefault="003C0C04" w:rsidP="007260F0">
      <w:pPr>
        <w:adjustRightInd w:val="0"/>
        <w:snapToGrid w:val="0"/>
        <w:spacing w:line="360" w:lineRule="auto"/>
        <w:jc w:val="both"/>
        <w:rPr>
          <w:rFonts w:ascii="Book Antiqua" w:hAnsi="Book Antiqua"/>
          <w:b/>
          <w:bCs/>
          <w:color w:val="000000" w:themeColor="text1"/>
        </w:rPr>
      </w:pPr>
      <w:r w:rsidRPr="00BA6ACF">
        <w:rPr>
          <w:rFonts w:ascii="Book Antiqua" w:eastAsia="Book Antiqua" w:hAnsi="Book Antiqua" w:cs="Book Antiqua"/>
          <w:color w:val="000000"/>
        </w:rPr>
        <w:br w:type="page"/>
      </w:r>
      <w:r w:rsidRPr="00BA6ACF">
        <w:rPr>
          <w:rFonts w:ascii="Book Antiqua" w:hAnsi="Book Antiqua"/>
          <w:b/>
          <w:bCs/>
          <w:color w:val="000000" w:themeColor="text1"/>
        </w:rPr>
        <w:lastRenderedPageBreak/>
        <w:t>Table 1 Influence of inflammatory priming on immunomodulatory features of</w:t>
      </w:r>
      <w:r w:rsidR="007260F0">
        <w:rPr>
          <w:rFonts w:ascii="Book Antiqua" w:hAnsi="Book Antiqua"/>
          <w:b/>
          <w:bCs/>
          <w:color w:val="000000" w:themeColor="text1"/>
        </w:rPr>
        <w:t xml:space="preserve"> </w:t>
      </w:r>
      <w:r w:rsidR="007260F0">
        <w:rPr>
          <w:rFonts w:ascii="Book Antiqua" w:hAnsi="Book Antiqua" w:hint="eastAsia"/>
          <w:b/>
          <w:bCs/>
          <w:color w:val="000000" w:themeColor="text1"/>
          <w:lang w:eastAsia="zh-CN"/>
        </w:rPr>
        <w:t>m</w:t>
      </w:r>
      <w:r w:rsidR="007260F0" w:rsidRPr="007260F0">
        <w:rPr>
          <w:rFonts w:ascii="Book Antiqua" w:hAnsi="Book Antiqua"/>
          <w:b/>
          <w:bCs/>
          <w:color w:val="000000" w:themeColor="text1"/>
        </w:rPr>
        <w:t>esenchymal stromal/stem cells</w:t>
      </w:r>
      <w:r w:rsidRPr="00BA6ACF">
        <w:rPr>
          <w:rFonts w:ascii="Book Antiqua" w:hAnsi="Book Antiqua"/>
          <w:b/>
          <w:bCs/>
          <w:color w:val="000000" w:themeColor="text1"/>
        </w:rPr>
        <w:t xml:space="preserve"> under </w:t>
      </w:r>
      <w:r w:rsidRPr="00BA6ACF">
        <w:rPr>
          <w:rFonts w:ascii="Book Antiqua" w:hAnsi="Book Antiqua"/>
          <w:b/>
          <w:bCs/>
          <w:i/>
          <w:color w:val="000000" w:themeColor="text1"/>
        </w:rPr>
        <w:t>in vitro</w:t>
      </w:r>
      <w:r w:rsidRPr="00BA6ACF">
        <w:rPr>
          <w:rFonts w:ascii="Book Antiqua" w:hAnsi="Book Antiqua"/>
          <w:b/>
          <w:bCs/>
          <w:color w:val="000000" w:themeColor="text1"/>
        </w:rPr>
        <w:t xml:space="preserve"> conditions</w:t>
      </w:r>
    </w:p>
    <w:tbl>
      <w:tblPr>
        <w:tblStyle w:val="a3"/>
        <w:tblW w:w="9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8"/>
        <w:gridCol w:w="818"/>
        <w:gridCol w:w="1275"/>
        <w:gridCol w:w="2977"/>
        <w:gridCol w:w="2041"/>
        <w:gridCol w:w="1928"/>
      </w:tblGrid>
      <w:tr w:rsidR="00BA6ACF" w:rsidRPr="00BA6ACF" w14:paraId="7B8E06FF" w14:textId="77777777" w:rsidTr="00AE2B59">
        <w:trPr>
          <w:trHeight w:val="300"/>
        </w:trPr>
        <w:tc>
          <w:tcPr>
            <w:tcW w:w="818" w:type="dxa"/>
            <w:tcBorders>
              <w:top w:val="single" w:sz="4" w:space="0" w:color="auto"/>
              <w:bottom w:val="single" w:sz="4" w:space="0" w:color="auto"/>
            </w:tcBorders>
          </w:tcPr>
          <w:p w14:paraId="5B92DA95"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818" w:type="dxa"/>
            <w:tcBorders>
              <w:top w:val="single" w:sz="4" w:space="0" w:color="auto"/>
              <w:bottom w:val="single" w:sz="4" w:space="0" w:color="auto"/>
            </w:tcBorders>
            <w:noWrap/>
            <w:hideMark/>
          </w:tcPr>
          <w:p w14:paraId="2BD87613"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r w:rsidRPr="00BA6ACF">
              <w:rPr>
                <w:rFonts w:ascii="Book Antiqua" w:hAnsi="Book Antiqua"/>
                <w:b/>
                <w:bCs/>
                <w:color w:val="000000" w:themeColor="text1"/>
              </w:rPr>
              <w:t>Priming factor</w:t>
            </w:r>
          </w:p>
        </w:tc>
        <w:tc>
          <w:tcPr>
            <w:tcW w:w="1275" w:type="dxa"/>
            <w:tcBorders>
              <w:top w:val="single" w:sz="4" w:space="0" w:color="auto"/>
              <w:bottom w:val="single" w:sz="4" w:space="0" w:color="auto"/>
            </w:tcBorders>
            <w:noWrap/>
            <w:hideMark/>
          </w:tcPr>
          <w:p w14:paraId="2A36789E"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r w:rsidRPr="00BA6ACF">
              <w:rPr>
                <w:rFonts w:ascii="Book Antiqua" w:hAnsi="Book Antiqua"/>
                <w:b/>
                <w:bCs/>
                <w:color w:val="000000" w:themeColor="text1"/>
              </w:rPr>
              <w:t>MSCs source</w:t>
            </w:r>
          </w:p>
        </w:tc>
        <w:tc>
          <w:tcPr>
            <w:tcW w:w="2977" w:type="dxa"/>
            <w:tcBorders>
              <w:top w:val="single" w:sz="4" w:space="0" w:color="auto"/>
              <w:bottom w:val="single" w:sz="4" w:space="0" w:color="auto"/>
            </w:tcBorders>
            <w:noWrap/>
            <w:hideMark/>
          </w:tcPr>
          <w:p w14:paraId="06BE0458"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r w:rsidRPr="00BA6ACF">
              <w:rPr>
                <w:rFonts w:ascii="Book Antiqua" w:hAnsi="Book Antiqua"/>
                <w:b/>
                <w:bCs/>
                <w:color w:val="000000" w:themeColor="text1"/>
              </w:rPr>
              <w:t>Immunomodulatory effects of inflammatory priming</w:t>
            </w:r>
          </w:p>
        </w:tc>
        <w:tc>
          <w:tcPr>
            <w:tcW w:w="2041" w:type="dxa"/>
            <w:tcBorders>
              <w:top w:val="single" w:sz="4" w:space="0" w:color="auto"/>
              <w:bottom w:val="single" w:sz="4" w:space="0" w:color="auto"/>
            </w:tcBorders>
            <w:noWrap/>
            <w:hideMark/>
          </w:tcPr>
          <w:p w14:paraId="42B94743"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r w:rsidRPr="00BA6ACF">
              <w:rPr>
                <w:rFonts w:ascii="Book Antiqua" w:hAnsi="Book Antiqua"/>
                <w:b/>
                <w:bCs/>
                <w:color w:val="000000" w:themeColor="text1"/>
              </w:rPr>
              <w:t>Suggested mechanism</w:t>
            </w:r>
          </w:p>
        </w:tc>
        <w:tc>
          <w:tcPr>
            <w:tcW w:w="1928" w:type="dxa"/>
            <w:tcBorders>
              <w:top w:val="single" w:sz="4" w:space="0" w:color="auto"/>
              <w:bottom w:val="single" w:sz="4" w:space="0" w:color="auto"/>
            </w:tcBorders>
            <w:vAlign w:val="bottom"/>
          </w:tcPr>
          <w:p w14:paraId="58EF9E05" w14:textId="7D2F015E" w:rsidR="00BA6ACF" w:rsidRPr="00BA6ACF" w:rsidRDefault="00BA6ACF" w:rsidP="004B109A">
            <w:pPr>
              <w:adjustRightInd w:val="0"/>
              <w:snapToGrid w:val="0"/>
              <w:spacing w:line="360" w:lineRule="auto"/>
              <w:jc w:val="both"/>
              <w:rPr>
                <w:rFonts w:ascii="Book Antiqua" w:hAnsi="Book Antiqua"/>
                <w:b/>
                <w:bCs/>
                <w:color w:val="000000" w:themeColor="text1"/>
              </w:rPr>
            </w:pPr>
            <w:r w:rsidRPr="00BA6ACF">
              <w:rPr>
                <w:rFonts w:ascii="Book Antiqua" w:hAnsi="Book Antiqua"/>
                <w:b/>
                <w:bCs/>
                <w:color w:val="000000" w:themeColor="text1"/>
              </w:rPr>
              <w:t>Ref</w:t>
            </w:r>
            <w:r w:rsidR="004B109A">
              <w:rPr>
                <w:rFonts w:ascii="Book Antiqua" w:hAnsi="Book Antiqua"/>
                <w:b/>
                <w:bCs/>
                <w:color w:val="000000" w:themeColor="text1"/>
              </w:rPr>
              <w:t>.</w:t>
            </w:r>
          </w:p>
        </w:tc>
      </w:tr>
      <w:tr w:rsidR="00BA6ACF" w:rsidRPr="00BA6ACF" w14:paraId="4D13D10E" w14:textId="77777777" w:rsidTr="00AE2B59">
        <w:trPr>
          <w:trHeight w:val="300"/>
        </w:trPr>
        <w:tc>
          <w:tcPr>
            <w:tcW w:w="818" w:type="dxa"/>
            <w:vMerge w:val="restart"/>
            <w:tcBorders>
              <w:top w:val="single" w:sz="4" w:space="0" w:color="auto"/>
            </w:tcBorders>
          </w:tcPr>
          <w:p w14:paraId="12AF5508"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Pro-inflammatory cytokines</w:t>
            </w:r>
          </w:p>
        </w:tc>
        <w:tc>
          <w:tcPr>
            <w:tcW w:w="818" w:type="dxa"/>
            <w:vMerge w:val="restart"/>
            <w:tcBorders>
              <w:top w:val="single" w:sz="4" w:space="0" w:color="auto"/>
            </w:tcBorders>
            <w:noWrap/>
            <w:hideMark/>
          </w:tcPr>
          <w:p w14:paraId="6B5DD910"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IFN-γ</w:t>
            </w:r>
          </w:p>
        </w:tc>
        <w:tc>
          <w:tcPr>
            <w:tcW w:w="1275" w:type="dxa"/>
            <w:vMerge w:val="restart"/>
            <w:tcBorders>
              <w:top w:val="single" w:sz="4" w:space="0" w:color="auto"/>
            </w:tcBorders>
            <w:noWrap/>
            <w:hideMark/>
          </w:tcPr>
          <w:p w14:paraId="0A5D2DC2"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bCs/>
                <w:color w:val="000000" w:themeColor="text1"/>
              </w:rPr>
              <w:t>hWJ-MSCs</w:t>
            </w:r>
          </w:p>
        </w:tc>
        <w:tc>
          <w:tcPr>
            <w:tcW w:w="2977" w:type="dxa"/>
            <w:tcBorders>
              <w:top w:val="single" w:sz="4" w:space="0" w:color="auto"/>
            </w:tcBorders>
            <w:noWrap/>
            <w:hideMark/>
          </w:tcPr>
          <w:p w14:paraId="33B1112B"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bCs/>
                <w:color w:val="000000" w:themeColor="text1"/>
              </w:rPr>
              <w:t xml:space="preserve"> Th1 and Th17 cells proliferation</w:t>
            </w:r>
          </w:p>
        </w:tc>
        <w:tc>
          <w:tcPr>
            <w:tcW w:w="2041" w:type="dxa"/>
            <w:tcBorders>
              <w:top w:val="single" w:sz="4" w:space="0" w:color="auto"/>
            </w:tcBorders>
            <w:noWrap/>
            <w:hideMark/>
          </w:tcPr>
          <w:p w14:paraId="2AEC601C"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CXCL9, CXCL10, CXCL11, ICAM-1, VCAM-1, IDO1 and HLA-G5 gene expression </w:t>
            </w:r>
          </w:p>
        </w:tc>
        <w:tc>
          <w:tcPr>
            <w:tcW w:w="1928" w:type="dxa"/>
            <w:vMerge w:val="restart"/>
            <w:tcBorders>
              <w:top w:val="single" w:sz="4" w:space="0" w:color="auto"/>
            </w:tcBorders>
            <w:vAlign w:val="center"/>
          </w:tcPr>
          <w:p w14:paraId="492FE292"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color w:val="000000" w:themeColor="text1"/>
              </w:rPr>
              <w:t xml:space="preserve">Wang </w:t>
            </w:r>
            <w:r w:rsidRPr="00BA6ACF">
              <w:rPr>
                <w:rFonts w:ascii="Book Antiqua" w:hAnsi="Book Antiqua"/>
                <w:i/>
                <w:color w:val="000000" w:themeColor="text1"/>
              </w:rPr>
              <w:t>et al</w:t>
            </w:r>
            <w:r w:rsidRPr="00BA6ACF">
              <w:rPr>
                <w:rFonts w:ascii="Book Antiqua" w:hAnsi="Book Antiqua"/>
                <w:color w:val="000000" w:themeColor="text1"/>
                <w:vertAlign w:val="superscript"/>
              </w:rPr>
              <w:t>[35]</w:t>
            </w:r>
            <w:r w:rsidRPr="00BA6ACF">
              <w:rPr>
                <w:rFonts w:ascii="Book Antiqua" w:hAnsi="Book Antiqua"/>
                <w:color w:val="000000" w:themeColor="text1"/>
              </w:rPr>
              <w:t xml:space="preserve">, 2016 </w:t>
            </w:r>
          </w:p>
        </w:tc>
      </w:tr>
      <w:tr w:rsidR="00BA6ACF" w:rsidRPr="00BA6ACF" w14:paraId="50A29FC9" w14:textId="77777777" w:rsidTr="00AE2B59">
        <w:trPr>
          <w:trHeight w:val="330"/>
        </w:trPr>
        <w:tc>
          <w:tcPr>
            <w:tcW w:w="818" w:type="dxa"/>
            <w:vMerge/>
          </w:tcPr>
          <w:p w14:paraId="0C47F402"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818" w:type="dxa"/>
            <w:vMerge/>
            <w:hideMark/>
          </w:tcPr>
          <w:p w14:paraId="3F68B61C"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1275" w:type="dxa"/>
            <w:vMerge/>
            <w:hideMark/>
          </w:tcPr>
          <w:p w14:paraId="2F1F31A8"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c>
          <w:tcPr>
            <w:tcW w:w="2977" w:type="dxa"/>
            <w:noWrap/>
            <w:hideMark/>
          </w:tcPr>
          <w:p w14:paraId="5AC0B992"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Th2 and Tregs (CD4+, CD25+, CD127dim/− cells) percentage</w:t>
            </w:r>
          </w:p>
        </w:tc>
        <w:tc>
          <w:tcPr>
            <w:tcW w:w="2041" w:type="dxa"/>
            <w:hideMark/>
          </w:tcPr>
          <w:p w14:paraId="2E9BF114"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bCs/>
                <w:color w:val="000000" w:themeColor="text1"/>
              </w:rPr>
              <w:t xml:space="preserve"> IFNγ, TNFα but </w:t>
            </w: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IL-10 and IL-6 secretion in co-culture with PB-MNCs</w:t>
            </w:r>
          </w:p>
        </w:tc>
        <w:tc>
          <w:tcPr>
            <w:tcW w:w="1928" w:type="dxa"/>
            <w:vMerge/>
            <w:vAlign w:val="center"/>
          </w:tcPr>
          <w:p w14:paraId="2F7C5A58"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r>
      <w:tr w:rsidR="00BA6ACF" w:rsidRPr="00BA6ACF" w14:paraId="14D7D539" w14:textId="77777777" w:rsidTr="00AE2B59">
        <w:trPr>
          <w:trHeight w:val="892"/>
        </w:trPr>
        <w:tc>
          <w:tcPr>
            <w:tcW w:w="818" w:type="dxa"/>
            <w:vMerge/>
          </w:tcPr>
          <w:p w14:paraId="09D8B63E"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818" w:type="dxa"/>
            <w:vMerge/>
            <w:hideMark/>
          </w:tcPr>
          <w:p w14:paraId="59D4224B"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1275" w:type="dxa"/>
            <w:noWrap/>
            <w:hideMark/>
          </w:tcPr>
          <w:p w14:paraId="3A3472CF"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bCs/>
                <w:color w:val="000000" w:themeColor="text1"/>
              </w:rPr>
              <w:t>hBM-MSCs</w:t>
            </w:r>
          </w:p>
        </w:tc>
        <w:tc>
          <w:tcPr>
            <w:tcW w:w="2977" w:type="dxa"/>
            <w:noWrap/>
            <w:hideMark/>
          </w:tcPr>
          <w:p w14:paraId="092547B1"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bCs/>
                <w:color w:val="000000" w:themeColor="text1"/>
              </w:rPr>
              <w:t xml:space="preserve"> T-cell effector functions and Th1 cytokine (IFN-γ, TNF-α, and IL-2) production </w:t>
            </w:r>
          </w:p>
        </w:tc>
        <w:tc>
          <w:tcPr>
            <w:tcW w:w="2041" w:type="dxa"/>
            <w:noWrap/>
            <w:hideMark/>
          </w:tcPr>
          <w:p w14:paraId="763C18A1"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B7H1 and B7DC (ligands for PD1) expression </w:t>
            </w:r>
          </w:p>
        </w:tc>
        <w:tc>
          <w:tcPr>
            <w:tcW w:w="1928" w:type="dxa"/>
            <w:vAlign w:val="bottom"/>
          </w:tcPr>
          <w:p w14:paraId="7A89D5B1"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color w:val="000000" w:themeColor="text1"/>
              </w:rPr>
              <w:t xml:space="preserve">Chinnadurai </w:t>
            </w:r>
            <w:r w:rsidRPr="00BA6ACF">
              <w:rPr>
                <w:rFonts w:ascii="Book Antiqua" w:hAnsi="Book Antiqua"/>
                <w:i/>
                <w:color w:val="000000" w:themeColor="text1"/>
              </w:rPr>
              <w:t>et al</w:t>
            </w:r>
            <w:r w:rsidRPr="00BA6ACF">
              <w:rPr>
                <w:rFonts w:ascii="Book Antiqua" w:hAnsi="Book Antiqua"/>
                <w:color w:val="000000" w:themeColor="text1"/>
                <w:vertAlign w:val="superscript"/>
              </w:rPr>
              <w:t>[36]</w:t>
            </w:r>
            <w:r w:rsidRPr="00BA6ACF">
              <w:rPr>
                <w:rFonts w:ascii="Book Antiqua" w:hAnsi="Book Antiqua"/>
                <w:color w:val="000000" w:themeColor="text1"/>
              </w:rPr>
              <w:t xml:space="preserve">, 2014 </w:t>
            </w:r>
          </w:p>
        </w:tc>
      </w:tr>
      <w:tr w:rsidR="00BA6ACF" w:rsidRPr="00BA6ACF" w14:paraId="09BDC8C8" w14:textId="77777777" w:rsidTr="00AE2B59">
        <w:trPr>
          <w:trHeight w:val="345"/>
        </w:trPr>
        <w:tc>
          <w:tcPr>
            <w:tcW w:w="818" w:type="dxa"/>
            <w:vMerge/>
          </w:tcPr>
          <w:p w14:paraId="371BB12B"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818" w:type="dxa"/>
            <w:vMerge w:val="restart"/>
            <w:noWrap/>
            <w:hideMark/>
          </w:tcPr>
          <w:p w14:paraId="3C6880B5"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IFN-γ and TNF-α</w:t>
            </w:r>
          </w:p>
        </w:tc>
        <w:tc>
          <w:tcPr>
            <w:tcW w:w="1275" w:type="dxa"/>
            <w:vMerge w:val="restart"/>
            <w:noWrap/>
            <w:hideMark/>
          </w:tcPr>
          <w:p w14:paraId="101E818A"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hBM-MSCs</w:t>
            </w:r>
          </w:p>
        </w:tc>
        <w:tc>
          <w:tcPr>
            <w:tcW w:w="2977" w:type="dxa"/>
            <w:noWrap/>
            <w:hideMark/>
          </w:tcPr>
          <w:p w14:paraId="7D5C402E"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color w:val="000000" w:themeColor="text1"/>
              </w:rPr>
              <w:t xml:space="preserve"> T cell proliferation</w:t>
            </w:r>
          </w:p>
        </w:tc>
        <w:tc>
          <w:tcPr>
            <w:tcW w:w="2041" w:type="dxa"/>
            <w:noWrap/>
            <w:hideMark/>
          </w:tcPr>
          <w:p w14:paraId="571715A0"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color w:val="000000" w:themeColor="text1"/>
              </w:rPr>
              <w:t xml:space="preserve"> IDO activity</w:t>
            </w:r>
          </w:p>
        </w:tc>
        <w:tc>
          <w:tcPr>
            <w:tcW w:w="1928" w:type="dxa"/>
            <w:vMerge w:val="restart"/>
            <w:vAlign w:val="center"/>
          </w:tcPr>
          <w:p w14:paraId="2BA59123"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color w:val="000000" w:themeColor="text1"/>
              </w:rPr>
              <w:t xml:space="preserve">François </w:t>
            </w:r>
            <w:r w:rsidRPr="00BA6ACF">
              <w:rPr>
                <w:rFonts w:ascii="Book Antiqua" w:hAnsi="Book Antiqua"/>
                <w:i/>
                <w:color w:val="000000" w:themeColor="text1"/>
              </w:rPr>
              <w:t>et al</w:t>
            </w:r>
            <w:r w:rsidRPr="00BA6ACF">
              <w:rPr>
                <w:rFonts w:ascii="Book Antiqua" w:hAnsi="Book Antiqua"/>
                <w:color w:val="000000" w:themeColor="text1"/>
                <w:vertAlign w:val="superscript"/>
              </w:rPr>
              <w:t>[55]</w:t>
            </w:r>
            <w:r w:rsidRPr="00BA6ACF">
              <w:rPr>
                <w:rFonts w:ascii="Book Antiqua" w:hAnsi="Book Antiqua"/>
                <w:color w:val="000000" w:themeColor="text1"/>
              </w:rPr>
              <w:t xml:space="preserve">, 2012 </w:t>
            </w:r>
          </w:p>
        </w:tc>
      </w:tr>
      <w:tr w:rsidR="00BA6ACF" w:rsidRPr="00BA6ACF" w14:paraId="571A3FBF" w14:textId="77777777" w:rsidTr="00AE2B59">
        <w:trPr>
          <w:trHeight w:val="330"/>
        </w:trPr>
        <w:tc>
          <w:tcPr>
            <w:tcW w:w="818" w:type="dxa"/>
            <w:vMerge/>
          </w:tcPr>
          <w:p w14:paraId="50CC44B2"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818" w:type="dxa"/>
            <w:vMerge/>
            <w:hideMark/>
          </w:tcPr>
          <w:p w14:paraId="477448AA"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1275" w:type="dxa"/>
            <w:vMerge/>
            <w:hideMark/>
          </w:tcPr>
          <w:p w14:paraId="53148017"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2977" w:type="dxa"/>
            <w:noWrap/>
            <w:hideMark/>
          </w:tcPr>
          <w:p w14:paraId="5482E67E"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color w:val="000000" w:themeColor="text1"/>
              </w:rPr>
              <w:t xml:space="preserve"> Monocyte differentiation into M2 (IL-10-secreting CD206+) immunosuppressive macrophages </w:t>
            </w:r>
          </w:p>
        </w:tc>
        <w:tc>
          <w:tcPr>
            <w:tcW w:w="2041" w:type="dxa"/>
            <w:noWrap/>
            <w:hideMark/>
          </w:tcPr>
          <w:p w14:paraId="3CD15E71"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1928" w:type="dxa"/>
            <w:vMerge/>
            <w:vAlign w:val="center"/>
          </w:tcPr>
          <w:p w14:paraId="4720F9C1"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r>
      <w:tr w:rsidR="00BA6ACF" w:rsidRPr="00BA6ACF" w14:paraId="69338A7F" w14:textId="77777777" w:rsidTr="00AE2B59">
        <w:trPr>
          <w:trHeight w:val="360"/>
        </w:trPr>
        <w:tc>
          <w:tcPr>
            <w:tcW w:w="818" w:type="dxa"/>
            <w:vMerge/>
          </w:tcPr>
          <w:p w14:paraId="250C6C0A"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818" w:type="dxa"/>
            <w:vMerge/>
            <w:hideMark/>
          </w:tcPr>
          <w:p w14:paraId="68997374"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1275" w:type="dxa"/>
            <w:vMerge/>
            <w:noWrap/>
            <w:hideMark/>
          </w:tcPr>
          <w:p w14:paraId="61EF0F57"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c>
          <w:tcPr>
            <w:tcW w:w="2977" w:type="dxa"/>
            <w:noWrap/>
            <w:hideMark/>
          </w:tcPr>
          <w:p w14:paraId="2B2C7385"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bCs/>
                <w:color w:val="000000" w:themeColor="text1"/>
              </w:rPr>
              <w:t xml:space="preserve"> CD3/CD28-induced T-cell proliferation </w:t>
            </w:r>
          </w:p>
        </w:tc>
        <w:tc>
          <w:tcPr>
            <w:tcW w:w="2041" w:type="dxa"/>
            <w:noWrap/>
            <w:hideMark/>
          </w:tcPr>
          <w:p w14:paraId="635872E8"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bCs/>
                <w:color w:val="000000" w:themeColor="text1"/>
              </w:rPr>
              <w:t xml:space="preserve"> Potency to trigger increased IFN-γ and IL-2 synthesis by activated T cells</w:t>
            </w:r>
          </w:p>
        </w:tc>
        <w:tc>
          <w:tcPr>
            <w:tcW w:w="1928" w:type="dxa"/>
            <w:vAlign w:val="bottom"/>
          </w:tcPr>
          <w:p w14:paraId="533D13F5"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color w:val="000000" w:themeColor="text1"/>
              </w:rPr>
              <w:t xml:space="preserve">Cuerquis </w:t>
            </w:r>
            <w:r w:rsidRPr="00BA6ACF">
              <w:rPr>
                <w:rFonts w:ascii="Book Antiqua" w:hAnsi="Book Antiqua"/>
                <w:i/>
                <w:color w:val="000000" w:themeColor="text1"/>
              </w:rPr>
              <w:t>et al</w:t>
            </w:r>
            <w:r w:rsidRPr="00BA6ACF">
              <w:rPr>
                <w:rFonts w:ascii="Book Antiqua" w:hAnsi="Book Antiqua"/>
                <w:color w:val="000000" w:themeColor="text1"/>
                <w:vertAlign w:val="superscript"/>
              </w:rPr>
              <w:t>[59]</w:t>
            </w:r>
            <w:r w:rsidRPr="00BA6ACF">
              <w:rPr>
                <w:rFonts w:ascii="Book Antiqua" w:hAnsi="Book Antiqua"/>
                <w:color w:val="000000" w:themeColor="text1"/>
              </w:rPr>
              <w:t xml:space="preserve">, 2014 </w:t>
            </w:r>
          </w:p>
        </w:tc>
      </w:tr>
      <w:tr w:rsidR="00BA6ACF" w:rsidRPr="00BA6ACF" w14:paraId="70A58AB6" w14:textId="77777777" w:rsidTr="00AE2B59">
        <w:trPr>
          <w:trHeight w:val="734"/>
        </w:trPr>
        <w:tc>
          <w:tcPr>
            <w:tcW w:w="818" w:type="dxa"/>
            <w:vMerge/>
          </w:tcPr>
          <w:p w14:paraId="79552AEF"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818" w:type="dxa"/>
            <w:noWrap/>
            <w:hideMark/>
          </w:tcPr>
          <w:p w14:paraId="535D1C3E"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TNF-α/IFN-γ and IL-β</w:t>
            </w:r>
          </w:p>
        </w:tc>
        <w:tc>
          <w:tcPr>
            <w:tcW w:w="1275" w:type="dxa"/>
            <w:noWrap/>
            <w:hideMark/>
          </w:tcPr>
          <w:p w14:paraId="36115575"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 xml:space="preserve">rBM-MSCs </w:t>
            </w:r>
          </w:p>
        </w:tc>
        <w:tc>
          <w:tcPr>
            <w:tcW w:w="2977" w:type="dxa"/>
            <w:noWrap/>
            <w:hideMark/>
          </w:tcPr>
          <w:p w14:paraId="520848A9"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color w:val="000000" w:themeColor="text1"/>
              </w:rPr>
              <w:t xml:space="preserve"> Proliferation of syngeneic lymphocytes</w:t>
            </w:r>
          </w:p>
        </w:tc>
        <w:tc>
          <w:tcPr>
            <w:tcW w:w="2041" w:type="dxa"/>
            <w:noWrap/>
            <w:hideMark/>
          </w:tcPr>
          <w:p w14:paraId="22D86F76"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NO production </w:t>
            </w:r>
          </w:p>
        </w:tc>
        <w:tc>
          <w:tcPr>
            <w:tcW w:w="1928" w:type="dxa"/>
            <w:vAlign w:val="bottom"/>
          </w:tcPr>
          <w:p w14:paraId="6438C334"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color w:val="000000" w:themeColor="text1"/>
              </w:rPr>
              <w:t xml:space="preserve"> Murphy </w:t>
            </w:r>
            <w:r w:rsidRPr="00BA6ACF">
              <w:rPr>
                <w:rFonts w:ascii="Book Antiqua" w:hAnsi="Book Antiqua"/>
                <w:i/>
                <w:color w:val="000000" w:themeColor="text1"/>
              </w:rPr>
              <w:t>et al</w:t>
            </w:r>
            <w:r w:rsidRPr="00BA6ACF">
              <w:rPr>
                <w:rFonts w:ascii="Book Antiqua" w:hAnsi="Book Antiqua"/>
                <w:color w:val="000000" w:themeColor="text1"/>
                <w:vertAlign w:val="superscript"/>
              </w:rPr>
              <w:t>[80]</w:t>
            </w:r>
            <w:r w:rsidRPr="00BA6ACF">
              <w:rPr>
                <w:rFonts w:ascii="Book Antiqua" w:hAnsi="Book Antiqua"/>
                <w:color w:val="000000" w:themeColor="text1"/>
              </w:rPr>
              <w:t>, 2019</w:t>
            </w:r>
            <w:r w:rsidRPr="00BA6ACF">
              <w:rPr>
                <w:rFonts w:ascii="Book Antiqua" w:hAnsi="Book Antiqua"/>
                <w:color w:val="000000" w:themeColor="text1"/>
                <w:vertAlign w:val="superscript"/>
              </w:rPr>
              <w:t xml:space="preserve"> </w:t>
            </w:r>
          </w:p>
        </w:tc>
      </w:tr>
      <w:tr w:rsidR="00BA6ACF" w:rsidRPr="00BA6ACF" w14:paraId="2E3DA72E" w14:textId="77777777" w:rsidTr="00AE2B59">
        <w:trPr>
          <w:trHeight w:val="330"/>
        </w:trPr>
        <w:tc>
          <w:tcPr>
            <w:tcW w:w="818" w:type="dxa"/>
            <w:vMerge/>
          </w:tcPr>
          <w:p w14:paraId="19C76CBE"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818" w:type="dxa"/>
            <w:vMerge w:val="restart"/>
            <w:noWrap/>
            <w:hideMark/>
          </w:tcPr>
          <w:p w14:paraId="12A37BFC"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IL-17</w:t>
            </w:r>
          </w:p>
        </w:tc>
        <w:tc>
          <w:tcPr>
            <w:tcW w:w="1275" w:type="dxa"/>
            <w:vMerge w:val="restart"/>
            <w:noWrap/>
            <w:hideMark/>
          </w:tcPr>
          <w:p w14:paraId="24D8268D"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hBM-MSCs</w:t>
            </w:r>
          </w:p>
        </w:tc>
        <w:tc>
          <w:tcPr>
            <w:tcW w:w="2977" w:type="dxa"/>
            <w:noWrap/>
            <w:hideMark/>
          </w:tcPr>
          <w:p w14:paraId="134BA4F3"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color w:val="000000" w:themeColor="text1"/>
              </w:rPr>
              <w:t xml:space="preserve"> PHA-stimulated T-cell proliferation</w:t>
            </w:r>
          </w:p>
        </w:tc>
        <w:tc>
          <w:tcPr>
            <w:tcW w:w="2041" w:type="dxa"/>
            <w:noWrap/>
            <w:hideMark/>
          </w:tcPr>
          <w:p w14:paraId="5803BAD1"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IL-6 gene expression</w:t>
            </w:r>
          </w:p>
        </w:tc>
        <w:tc>
          <w:tcPr>
            <w:tcW w:w="1928" w:type="dxa"/>
            <w:vMerge w:val="restart"/>
            <w:vAlign w:val="center"/>
          </w:tcPr>
          <w:p w14:paraId="2222DB24"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color w:val="000000" w:themeColor="text1"/>
              </w:rPr>
              <w:t xml:space="preserve">Sivanathan </w:t>
            </w:r>
            <w:r w:rsidRPr="00BA6ACF">
              <w:rPr>
                <w:rFonts w:ascii="Book Antiqua" w:hAnsi="Book Antiqua"/>
                <w:i/>
                <w:color w:val="000000" w:themeColor="text1"/>
              </w:rPr>
              <w:t>et al</w:t>
            </w:r>
            <w:r w:rsidRPr="00BA6ACF">
              <w:rPr>
                <w:rFonts w:ascii="Book Antiqua" w:hAnsi="Book Antiqua"/>
                <w:color w:val="000000" w:themeColor="text1"/>
                <w:vertAlign w:val="superscript"/>
              </w:rPr>
              <w:t>[94]</w:t>
            </w:r>
            <w:r w:rsidRPr="00BA6ACF">
              <w:rPr>
                <w:rFonts w:ascii="Book Antiqua" w:hAnsi="Book Antiqua"/>
                <w:color w:val="000000" w:themeColor="text1"/>
              </w:rPr>
              <w:t xml:space="preserve">, 2015 </w:t>
            </w:r>
          </w:p>
        </w:tc>
      </w:tr>
      <w:tr w:rsidR="00BA6ACF" w:rsidRPr="00BA6ACF" w14:paraId="39655D71" w14:textId="77777777" w:rsidTr="00AE2B59">
        <w:trPr>
          <w:trHeight w:val="330"/>
        </w:trPr>
        <w:tc>
          <w:tcPr>
            <w:tcW w:w="818" w:type="dxa"/>
            <w:vMerge/>
          </w:tcPr>
          <w:p w14:paraId="0E4364E8"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818" w:type="dxa"/>
            <w:vMerge/>
            <w:hideMark/>
          </w:tcPr>
          <w:p w14:paraId="4A82DFEA"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1275" w:type="dxa"/>
            <w:vMerge/>
            <w:hideMark/>
          </w:tcPr>
          <w:p w14:paraId="19D4E05D"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2977" w:type="dxa"/>
            <w:noWrap/>
            <w:hideMark/>
          </w:tcPr>
          <w:p w14:paraId="16B006C9"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color w:val="000000" w:themeColor="text1"/>
              </w:rPr>
              <w:t xml:space="preserve"> Expression of CD25 on CD4+ effector T cells </w:t>
            </w:r>
          </w:p>
        </w:tc>
        <w:tc>
          <w:tcPr>
            <w:tcW w:w="2041" w:type="dxa"/>
            <w:noWrap/>
            <w:hideMark/>
          </w:tcPr>
          <w:p w14:paraId="7A010CEE" w14:textId="08FFEFAB"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bCs/>
                <w:color w:val="000000" w:themeColor="text1"/>
              </w:rPr>
              <w:t>Treg</w:t>
            </w:r>
            <w:r w:rsidRPr="00BA6ACF">
              <w:rPr>
                <w:rFonts w:ascii="宋体" w:hAnsi="宋体" w:cs="宋体" w:hint="eastAsia"/>
                <w:bCs/>
                <w:color w:val="000000" w:themeColor="text1"/>
              </w:rPr>
              <w:t>‐</w:t>
            </w:r>
            <w:r w:rsidRPr="00BA6ACF">
              <w:rPr>
                <w:rFonts w:ascii="Book Antiqua" w:hAnsi="Book Antiqua"/>
                <w:bCs/>
                <w:color w:val="000000" w:themeColor="text1"/>
              </w:rPr>
              <w:t>mediated IL-2 deprivation</w:t>
            </w:r>
          </w:p>
        </w:tc>
        <w:tc>
          <w:tcPr>
            <w:tcW w:w="1928" w:type="dxa"/>
            <w:vMerge/>
            <w:vAlign w:val="center"/>
          </w:tcPr>
          <w:p w14:paraId="155A0458"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r>
      <w:tr w:rsidR="00BA6ACF" w:rsidRPr="00BA6ACF" w14:paraId="7F64A8D7" w14:textId="77777777" w:rsidTr="00AE2B59">
        <w:trPr>
          <w:trHeight w:val="330"/>
        </w:trPr>
        <w:tc>
          <w:tcPr>
            <w:tcW w:w="818" w:type="dxa"/>
            <w:vMerge/>
          </w:tcPr>
          <w:p w14:paraId="00BE77BE"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818" w:type="dxa"/>
            <w:vMerge/>
            <w:hideMark/>
          </w:tcPr>
          <w:p w14:paraId="260476A3"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1275" w:type="dxa"/>
            <w:vMerge/>
            <w:hideMark/>
          </w:tcPr>
          <w:p w14:paraId="1448110D"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c>
          <w:tcPr>
            <w:tcW w:w="2977" w:type="dxa"/>
            <w:noWrap/>
            <w:hideMark/>
          </w:tcPr>
          <w:p w14:paraId="2BC2E9CA"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bCs/>
                <w:color w:val="000000" w:themeColor="text1"/>
              </w:rPr>
              <w:t xml:space="preserve"> T cell effector function and Th1 cytokines (IFN-γ, TNF-α, IL-2) secretion</w:t>
            </w:r>
          </w:p>
        </w:tc>
        <w:tc>
          <w:tcPr>
            <w:tcW w:w="2041" w:type="dxa"/>
            <w:noWrap/>
            <w:hideMark/>
          </w:tcPr>
          <w:p w14:paraId="6F8FC634"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c>
          <w:tcPr>
            <w:tcW w:w="1928" w:type="dxa"/>
            <w:vMerge/>
            <w:vAlign w:val="center"/>
          </w:tcPr>
          <w:p w14:paraId="79B3BCF3"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r>
      <w:tr w:rsidR="00BA6ACF" w:rsidRPr="00BA6ACF" w14:paraId="385EED4B" w14:textId="77777777" w:rsidTr="00AE2B59">
        <w:trPr>
          <w:trHeight w:val="330"/>
        </w:trPr>
        <w:tc>
          <w:tcPr>
            <w:tcW w:w="818" w:type="dxa"/>
            <w:vMerge/>
          </w:tcPr>
          <w:p w14:paraId="53AE35F8"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818" w:type="dxa"/>
            <w:vMerge/>
            <w:hideMark/>
          </w:tcPr>
          <w:p w14:paraId="5D593A4B" w14:textId="77777777" w:rsidR="00BA6ACF" w:rsidRPr="00BA6ACF" w:rsidRDefault="00BA6ACF" w:rsidP="007260F0">
            <w:pPr>
              <w:adjustRightInd w:val="0"/>
              <w:snapToGrid w:val="0"/>
              <w:spacing w:line="360" w:lineRule="auto"/>
              <w:jc w:val="both"/>
              <w:rPr>
                <w:rFonts w:ascii="Book Antiqua" w:hAnsi="Book Antiqua"/>
                <w:b/>
                <w:bCs/>
                <w:color w:val="000000" w:themeColor="text1"/>
              </w:rPr>
            </w:pPr>
          </w:p>
        </w:tc>
        <w:tc>
          <w:tcPr>
            <w:tcW w:w="1275" w:type="dxa"/>
            <w:vMerge/>
            <w:hideMark/>
          </w:tcPr>
          <w:p w14:paraId="431E28DC"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c>
          <w:tcPr>
            <w:tcW w:w="2977" w:type="dxa"/>
            <w:noWrap/>
            <w:hideMark/>
          </w:tcPr>
          <w:p w14:paraId="7712630D" w14:textId="2D91B528"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Formation of Tregs (CD4+ CD25 high CD127 low FoxP3+)</w:t>
            </w:r>
          </w:p>
        </w:tc>
        <w:tc>
          <w:tcPr>
            <w:tcW w:w="2041" w:type="dxa"/>
            <w:noWrap/>
            <w:hideMark/>
          </w:tcPr>
          <w:p w14:paraId="176ECF7A" w14:textId="58411FE6"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bCs/>
                <w:color w:val="000000" w:themeColor="text1"/>
              </w:rPr>
              <w:t>Cell</w:t>
            </w:r>
            <w:r w:rsidRPr="00BA6ACF">
              <w:rPr>
                <w:rFonts w:ascii="Book Antiqua" w:hAnsi="Book Antiqua" w:cs="宋体"/>
                <w:bCs/>
                <w:color w:val="000000" w:themeColor="text1"/>
                <w:lang w:eastAsia="zh-CN"/>
              </w:rPr>
              <w:t>-</w:t>
            </w:r>
            <w:r w:rsidRPr="00BA6ACF">
              <w:rPr>
                <w:rFonts w:ascii="Book Antiqua" w:hAnsi="Book Antiqua"/>
                <w:bCs/>
                <w:color w:val="000000" w:themeColor="text1"/>
              </w:rPr>
              <w:t xml:space="preserve">contacts and </w:t>
            </w: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PGE2 and TGF</w:t>
            </w:r>
            <w:r w:rsidRPr="00BA6ACF">
              <w:rPr>
                <w:rFonts w:ascii="Book Antiqua" w:hAnsi="Book Antiqua" w:cs="宋体"/>
                <w:bCs/>
                <w:color w:val="000000" w:themeColor="text1"/>
                <w:lang w:eastAsia="zh-CN"/>
              </w:rPr>
              <w:t>-</w:t>
            </w:r>
            <w:r w:rsidRPr="00BA6ACF">
              <w:rPr>
                <w:rFonts w:ascii="Book Antiqua" w:hAnsi="Book Antiqua" w:cs="Book Antiqua"/>
                <w:bCs/>
                <w:color w:val="000000" w:themeColor="text1"/>
              </w:rPr>
              <w:t>β</w:t>
            </w:r>
            <w:r w:rsidRPr="00BA6ACF">
              <w:rPr>
                <w:rFonts w:ascii="Book Antiqua" w:hAnsi="Book Antiqua"/>
                <w:bCs/>
                <w:color w:val="000000" w:themeColor="text1"/>
              </w:rPr>
              <w:t xml:space="preserve"> expression</w:t>
            </w:r>
          </w:p>
        </w:tc>
        <w:tc>
          <w:tcPr>
            <w:tcW w:w="1928" w:type="dxa"/>
            <w:vMerge/>
            <w:vAlign w:val="center"/>
          </w:tcPr>
          <w:p w14:paraId="111A4893"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p>
        </w:tc>
      </w:tr>
      <w:tr w:rsidR="00BA6ACF" w:rsidRPr="00BA6ACF" w14:paraId="7CBF1D2C" w14:textId="77777777" w:rsidTr="00AE2B59">
        <w:trPr>
          <w:trHeight w:val="838"/>
        </w:trPr>
        <w:tc>
          <w:tcPr>
            <w:tcW w:w="818" w:type="dxa"/>
            <w:vMerge/>
          </w:tcPr>
          <w:p w14:paraId="2CC2316F"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818" w:type="dxa"/>
            <w:noWrap/>
            <w:hideMark/>
          </w:tcPr>
          <w:p w14:paraId="30EF4B56"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IFN-γ, TNF-α and IL-17</w:t>
            </w:r>
          </w:p>
        </w:tc>
        <w:tc>
          <w:tcPr>
            <w:tcW w:w="1275" w:type="dxa"/>
            <w:noWrap/>
            <w:hideMark/>
          </w:tcPr>
          <w:p w14:paraId="6729FE2D"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mBM-MSC</w:t>
            </w:r>
          </w:p>
        </w:tc>
        <w:tc>
          <w:tcPr>
            <w:tcW w:w="2977" w:type="dxa"/>
            <w:noWrap/>
            <w:hideMark/>
          </w:tcPr>
          <w:p w14:paraId="5108FFAE"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color w:val="000000" w:themeColor="text1"/>
              </w:rPr>
              <w:t xml:space="preserve"> T-cell proliferation </w:t>
            </w:r>
          </w:p>
        </w:tc>
        <w:tc>
          <w:tcPr>
            <w:tcW w:w="2041" w:type="dxa"/>
            <w:noWrap/>
            <w:hideMark/>
          </w:tcPr>
          <w:p w14:paraId="61458F4D"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color w:val="000000" w:themeColor="text1"/>
              </w:rPr>
              <w:t xml:space="preserve"> iNOS expression </w:t>
            </w:r>
          </w:p>
        </w:tc>
        <w:tc>
          <w:tcPr>
            <w:tcW w:w="1928" w:type="dxa"/>
            <w:vAlign w:val="bottom"/>
          </w:tcPr>
          <w:p w14:paraId="449755B0"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bCs/>
                <w:color w:val="000000" w:themeColor="text1"/>
              </w:rPr>
              <w:t xml:space="preserve">Han </w:t>
            </w:r>
            <w:r w:rsidRPr="00BA6ACF">
              <w:rPr>
                <w:rFonts w:ascii="Book Antiqua" w:hAnsi="Book Antiqua"/>
                <w:bCs/>
                <w:i/>
                <w:color w:val="000000" w:themeColor="text1"/>
              </w:rPr>
              <w:t>et al</w:t>
            </w:r>
            <w:r w:rsidRPr="00BA6ACF">
              <w:rPr>
                <w:rFonts w:ascii="Book Antiqua" w:hAnsi="Book Antiqua"/>
                <w:bCs/>
                <w:color w:val="000000" w:themeColor="text1"/>
              </w:rPr>
              <w:t xml:space="preserve"> </w:t>
            </w:r>
            <w:r w:rsidRPr="00BA6ACF">
              <w:rPr>
                <w:rFonts w:ascii="Book Antiqua" w:hAnsi="Book Antiqua"/>
                <w:bCs/>
                <w:color w:val="000000" w:themeColor="text1"/>
                <w:vertAlign w:val="superscript"/>
              </w:rPr>
              <w:t>[95]</w:t>
            </w:r>
            <w:r w:rsidRPr="00BA6ACF">
              <w:rPr>
                <w:rFonts w:ascii="Book Antiqua" w:hAnsi="Book Antiqua"/>
                <w:bCs/>
                <w:color w:val="000000" w:themeColor="text1"/>
              </w:rPr>
              <w:t>, 2014</w:t>
            </w:r>
          </w:p>
        </w:tc>
      </w:tr>
      <w:tr w:rsidR="00BA6ACF" w:rsidRPr="00BA6ACF" w14:paraId="4422EC28" w14:textId="77777777" w:rsidTr="00AE2B59">
        <w:trPr>
          <w:trHeight w:val="851"/>
        </w:trPr>
        <w:tc>
          <w:tcPr>
            <w:tcW w:w="818" w:type="dxa"/>
            <w:vMerge/>
          </w:tcPr>
          <w:p w14:paraId="4ACF11D3"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818" w:type="dxa"/>
            <w:noWrap/>
            <w:hideMark/>
          </w:tcPr>
          <w:p w14:paraId="04EBBAC6"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IFN-γ, TNF-α and IL-6</w:t>
            </w:r>
          </w:p>
        </w:tc>
        <w:tc>
          <w:tcPr>
            <w:tcW w:w="1275" w:type="dxa"/>
            <w:noWrap/>
            <w:hideMark/>
          </w:tcPr>
          <w:p w14:paraId="6268FFB7"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 xml:space="preserve">hAT-MSC </w:t>
            </w:r>
          </w:p>
        </w:tc>
        <w:tc>
          <w:tcPr>
            <w:tcW w:w="2977" w:type="dxa"/>
            <w:noWrap/>
            <w:hideMark/>
          </w:tcPr>
          <w:p w14:paraId="7126FBC0" w14:textId="223FB6F6"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color w:val="000000" w:themeColor="text1"/>
              </w:rPr>
              <w:t xml:space="preserve"> Proliferation of PHA or MLR activated PB-MNCs </w:t>
            </w:r>
          </w:p>
        </w:tc>
        <w:tc>
          <w:tcPr>
            <w:tcW w:w="2041" w:type="dxa"/>
            <w:noWrap/>
            <w:hideMark/>
          </w:tcPr>
          <w:p w14:paraId="7F94E0A5"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bCs/>
                <w:color w:val="000000" w:themeColor="text1"/>
              </w:rPr>
              <w:t xml:space="preserve"> IDO expression </w:t>
            </w:r>
          </w:p>
        </w:tc>
        <w:tc>
          <w:tcPr>
            <w:tcW w:w="1928" w:type="dxa"/>
          </w:tcPr>
          <w:p w14:paraId="0D7B095D" w14:textId="77777777" w:rsidR="00BA6ACF" w:rsidRPr="00BA6ACF" w:rsidRDefault="00BA6ACF" w:rsidP="007260F0">
            <w:pPr>
              <w:adjustRightInd w:val="0"/>
              <w:snapToGrid w:val="0"/>
              <w:spacing w:line="360" w:lineRule="auto"/>
              <w:jc w:val="both"/>
              <w:rPr>
                <w:rFonts w:ascii="Book Antiqua" w:hAnsi="Book Antiqua"/>
                <w:bCs/>
                <w:color w:val="000000" w:themeColor="text1"/>
              </w:rPr>
            </w:pPr>
            <w:r w:rsidRPr="00BA6ACF">
              <w:rPr>
                <w:rFonts w:ascii="Book Antiqua" w:hAnsi="Book Antiqua"/>
                <w:color w:val="000000" w:themeColor="text1"/>
              </w:rPr>
              <w:t xml:space="preserve">Crop </w:t>
            </w:r>
            <w:r w:rsidRPr="00BA6ACF">
              <w:rPr>
                <w:rFonts w:ascii="Book Antiqua" w:hAnsi="Book Antiqua"/>
                <w:i/>
                <w:color w:val="000000" w:themeColor="text1"/>
              </w:rPr>
              <w:t>et al</w:t>
            </w:r>
            <w:r w:rsidRPr="00BA6ACF">
              <w:rPr>
                <w:rFonts w:ascii="Book Antiqua" w:hAnsi="Book Antiqua"/>
                <w:color w:val="000000" w:themeColor="text1"/>
                <w:vertAlign w:val="superscript"/>
              </w:rPr>
              <w:t>[111]</w:t>
            </w:r>
            <w:r w:rsidRPr="00BA6ACF">
              <w:rPr>
                <w:rFonts w:ascii="Book Antiqua" w:hAnsi="Book Antiqua"/>
                <w:color w:val="000000" w:themeColor="text1"/>
              </w:rPr>
              <w:t xml:space="preserve">, 2010 </w:t>
            </w:r>
          </w:p>
        </w:tc>
      </w:tr>
      <w:tr w:rsidR="00BA6ACF" w:rsidRPr="00BA6ACF" w14:paraId="522907E7" w14:textId="77777777" w:rsidTr="00AE2B59">
        <w:trPr>
          <w:trHeight w:val="820"/>
        </w:trPr>
        <w:tc>
          <w:tcPr>
            <w:tcW w:w="818" w:type="dxa"/>
            <w:vMerge w:val="restart"/>
          </w:tcPr>
          <w:p w14:paraId="0ACA9D4A"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Alarmins</w:t>
            </w:r>
          </w:p>
        </w:tc>
        <w:tc>
          <w:tcPr>
            <w:tcW w:w="818" w:type="dxa"/>
            <w:noWrap/>
            <w:hideMark/>
          </w:tcPr>
          <w:p w14:paraId="1A00E2CC"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IL-1α</w:t>
            </w:r>
          </w:p>
        </w:tc>
        <w:tc>
          <w:tcPr>
            <w:tcW w:w="1275" w:type="dxa"/>
            <w:noWrap/>
            <w:hideMark/>
          </w:tcPr>
          <w:p w14:paraId="2F096774"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hBM-MSCs</w:t>
            </w:r>
          </w:p>
        </w:tc>
        <w:tc>
          <w:tcPr>
            <w:tcW w:w="2977" w:type="dxa"/>
            <w:noWrap/>
            <w:hideMark/>
          </w:tcPr>
          <w:p w14:paraId="16D2A196"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F"/>
            </w:r>
            <w:r w:rsidRPr="00BA6ACF">
              <w:rPr>
                <w:rFonts w:ascii="Book Antiqua" w:hAnsi="Book Antiqua"/>
                <w:color w:val="000000" w:themeColor="text1"/>
              </w:rPr>
              <w:t xml:space="preserve"> IL-6, TNF-α and ↑ IL-10 secretion in LPS-activated mouse microglial BV2 cells</w:t>
            </w:r>
          </w:p>
        </w:tc>
        <w:tc>
          <w:tcPr>
            <w:tcW w:w="2041" w:type="dxa"/>
            <w:noWrap/>
            <w:hideMark/>
          </w:tcPr>
          <w:p w14:paraId="298DC62B"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sym w:font="Symbol" w:char="F0AD"/>
            </w:r>
            <w:r w:rsidRPr="00BA6ACF">
              <w:rPr>
                <w:rFonts w:ascii="Book Antiqua" w:hAnsi="Book Antiqua"/>
                <w:color w:val="000000" w:themeColor="text1"/>
              </w:rPr>
              <w:t xml:space="preserve"> G-CSF secretion </w:t>
            </w:r>
          </w:p>
        </w:tc>
        <w:tc>
          <w:tcPr>
            <w:tcW w:w="1928" w:type="dxa"/>
            <w:vAlign w:val="bottom"/>
          </w:tcPr>
          <w:p w14:paraId="3EF82ED2"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 xml:space="preserve">Redondo-Castro </w:t>
            </w:r>
            <w:r w:rsidRPr="00BA6ACF">
              <w:rPr>
                <w:rFonts w:ascii="Book Antiqua" w:hAnsi="Book Antiqua"/>
                <w:i/>
                <w:color w:val="000000" w:themeColor="text1"/>
              </w:rPr>
              <w:t>et al</w:t>
            </w:r>
            <w:r w:rsidRPr="00BA6ACF">
              <w:rPr>
                <w:rFonts w:ascii="Book Antiqua" w:hAnsi="Book Antiqua"/>
                <w:color w:val="000000" w:themeColor="text1"/>
                <w:vertAlign w:val="superscript"/>
              </w:rPr>
              <w:t>[78]</w:t>
            </w:r>
            <w:r w:rsidRPr="00BA6ACF">
              <w:rPr>
                <w:rFonts w:ascii="Book Antiqua" w:hAnsi="Book Antiqua"/>
                <w:color w:val="000000" w:themeColor="text1"/>
              </w:rPr>
              <w:t xml:space="preserve">, 2017 </w:t>
            </w:r>
          </w:p>
        </w:tc>
      </w:tr>
      <w:tr w:rsidR="00BA6ACF" w:rsidRPr="00BA6ACF" w14:paraId="39210058" w14:textId="77777777" w:rsidTr="00AE2B59">
        <w:trPr>
          <w:trHeight w:val="540"/>
        </w:trPr>
        <w:tc>
          <w:tcPr>
            <w:tcW w:w="818" w:type="dxa"/>
            <w:vMerge/>
            <w:tcBorders>
              <w:bottom w:val="single" w:sz="4" w:space="0" w:color="auto"/>
            </w:tcBorders>
          </w:tcPr>
          <w:p w14:paraId="0B210C0D" w14:textId="77777777" w:rsidR="00BA6ACF" w:rsidRPr="00BA6ACF" w:rsidRDefault="00BA6ACF" w:rsidP="007260F0">
            <w:pPr>
              <w:adjustRightInd w:val="0"/>
              <w:snapToGrid w:val="0"/>
              <w:spacing w:line="360" w:lineRule="auto"/>
              <w:jc w:val="both"/>
              <w:rPr>
                <w:rFonts w:ascii="Book Antiqua" w:hAnsi="Book Antiqua"/>
                <w:color w:val="000000" w:themeColor="text1"/>
              </w:rPr>
            </w:pPr>
          </w:p>
        </w:tc>
        <w:tc>
          <w:tcPr>
            <w:tcW w:w="818" w:type="dxa"/>
            <w:tcBorders>
              <w:bottom w:val="single" w:sz="4" w:space="0" w:color="auto"/>
            </w:tcBorders>
            <w:noWrap/>
            <w:hideMark/>
          </w:tcPr>
          <w:p w14:paraId="0DD80E1E"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HMGB1</w:t>
            </w:r>
          </w:p>
        </w:tc>
        <w:tc>
          <w:tcPr>
            <w:tcW w:w="1275" w:type="dxa"/>
            <w:tcBorders>
              <w:bottom w:val="single" w:sz="4" w:space="0" w:color="auto"/>
            </w:tcBorders>
            <w:noWrap/>
            <w:hideMark/>
          </w:tcPr>
          <w:p w14:paraId="34A23BA3"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 xml:space="preserve">hBM-MSC </w:t>
            </w:r>
          </w:p>
        </w:tc>
        <w:tc>
          <w:tcPr>
            <w:tcW w:w="2977" w:type="dxa"/>
            <w:tcBorders>
              <w:bottom w:val="single" w:sz="4" w:space="0" w:color="auto"/>
            </w:tcBorders>
            <w:noWrap/>
            <w:hideMark/>
          </w:tcPr>
          <w:p w14:paraId="4ED6B288"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 xml:space="preserve">Unaffected inhibition of Con A-induced lymphocyte proliferation </w:t>
            </w:r>
          </w:p>
        </w:tc>
        <w:tc>
          <w:tcPr>
            <w:tcW w:w="2041" w:type="dxa"/>
            <w:tcBorders>
              <w:bottom w:val="single" w:sz="4" w:space="0" w:color="auto"/>
            </w:tcBorders>
            <w:noWrap/>
            <w:hideMark/>
          </w:tcPr>
          <w:p w14:paraId="1D8BEED7"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w:t>
            </w:r>
          </w:p>
        </w:tc>
        <w:tc>
          <w:tcPr>
            <w:tcW w:w="1928" w:type="dxa"/>
            <w:tcBorders>
              <w:bottom w:val="single" w:sz="4" w:space="0" w:color="auto"/>
            </w:tcBorders>
            <w:vAlign w:val="center"/>
          </w:tcPr>
          <w:p w14:paraId="1C566302"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hAnsi="Book Antiqua"/>
                <w:color w:val="000000" w:themeColor="text1"/>
              </w:rPr>
              <w:t xml:space="preserve">Meng </w:t>
            </w:r>
            <w:r w:rsidRPr="00BA6ACF">
              <w:rPr>
                <w:rFonts w:ascii="Book Antiqua" w:hAnsi="Book Antiqua"/>
                <w:i/>
                <w:color w:val="000000" w:themeColor="text1"/>
              </w:rPr>
              <w:t>et al</w:t>
            </w:r>
            <w:r w:rsidRPr="00BA6ACF">
              <w:rPr>
                <w:rFonts w:ascii="Book Antiqua" w:hAnsi="Book Antiqua"/>
                <w:color w:val="000000" w:themeColor="text1"/>
                <w:vertAlign w:val="superscript"/>
              </w:rPr>
              <w:t>[118]</w:t>
            </w:r>
            <w:r w:rsidRPr="00BA6ACF">
              <w:rPr>
                <w:rFonts w:ascii="Book Antiqua" w:hAnsi="Book Antiqua"/>
                <w:color w:val="000000" w:themeColor="text1"/>
              </w:rPr>
              <w:t xml:space="preserve">, 2008 </w:t>
            </w:r>
          </w:p>
        </w:tc>
      </w:tr>
    </w:tbl>
    <w:p w14:paraId="10DAAF2C" w14:textId="77777777" w:rsidR="00BA6ACF" w:rsidRPr="00BA6ACF" w:rsidRDefault="00BA6ACF" w:rsidP="007260F0">
      <w:pPr>
        <w:adjustRightInd w:val="0"/>
        <w:snapToGrid w:val="0"/>
        <w:spacing w:line="360" w:lineRule="auto"/>
        <w:jc w:val="both"/>
        <w:rPr>
          <w:rFonts w:ascii="Book Antiqua" w:hAnsi="Book Antiqua"/>
          <w:color w:val="000000" w:themeColor="text1"/>
        </w:rPr>
      </w:pPr>
      <w:r w:rsidRPr="00BA6ACF">
        <w:rPr>
          <w:rFonts w:ascii="Book Antiqua" w:eastAsia="Book Antiqua" w:hAnsi="Book Antiqua" w:cs="Book Antiqua"/>
          <w:color w:val="000000"/>
          <w:shd w:val="clear" w:color="auto" w:fill="FFFFFF"/>
        </w:rPr>
        <w:t xml:space="preserve">Symbols: </w:t>
      </w:r>
      <w:r w:rsidRPr="00BA6ACF">
        <w:rPr>
          <w:rFonts w:ascii="Book Antiqua" w:eastAsia="Book Antiqua" w:hAnsi="Book Antiqua" w:cs="Book Antiqua"/>
          <w:color w:val="000000"/>
          <w:shd w:val="clear" w:color="auto" w:fill="FFFFFF"/>
        </w:rPr>
        <w:sym w:font="Symbol" w:char="F0AD"/>
      </w:r>
      <w:r w:rsidRPr="00BA6ACF">
        <w:rPr>
          <w:rFonts w:ascii="Book Antiqua" w:eastAsia="Book Antiqua" w:hAnsi="Book Antiqua" w:cs="Book Antiqua"/>
          <w:color w:val="000000"/>
          <w:shd w:val="clear" w:color="auto" w:fill="FFFFFF"/>
        </w:rPr>
        <w:t xml:space="preserve"> and </w:t>
      </w:r>
      <w:r w:rsidRPr="00BA6ACF">
        <w:rPr>
          <w:rFonts w:ascii="Book Antiqua" w:eastAsia="Book Antiqua" w:hAnsi="Book Antiqua" w:cs="Book Antiqua"/>
          <w:color w:val="000000"/>
          <w:shd w:val="clear" w:color="auto" w:fill="FFFFFF"/>
        </w:rPr>
        <w:sym w:font="Symbol" w:char="F0AF"/>
      </w:r>
      <w:r w:rsidRPr="00BA6ACF">
        <w:rPr>
          <w:rFonts w:ascii="Book Antiqua" w:eastAsia="Book Antiqua" w:hAnsi="Book Antiqua" w:cs="Book Antiqua"/>
          <w:color w:val="000000"/>
          <w:shd w:val="clear" w:color="auto" w:fill="FFFFFF"/>
        </w:rPr>
        <w:t xml:space="preserve"> represent stimulatory or inhibitory activity of priming factor, respectively</w:t>
      </w:r>
      <w:r w:rsidRPr="00BA6ACF">
        <w:rPr>
          <w:rFonts w:ascii="Book Antiqua" w:hAnsi="Book Antiqua"/>
          <w:color w:val="000000" w:themeColor="text1"/>
        </w:rPr>
        <w:t>. IFN-γ: Interferon gamma; TNF-α: Tumor Necrosis Factor alpha; IL: Interleukin; HMGB1: High mobility group box 1; MSCs: Mesenchymal stromal/stem cells; h: Human; WJ: Warthon jelly’s; BM: Bone marrow; r:rat; AT: Adipose tissue; Th: T helper; PHA:</w:t>
      </w:r>
      <w:r w:rsidRPr="00BA6ACF">
        <w:rPr>
          <w:rFonts w:ascii="Book Antiqua" w:hAnsi="Book Antiqua" w:cs="Arial"/>
          <w:color w:val="000000" w:themeColor="text1"/>
          <w:shd w:val="clear" w:color="auto" w:fill="FFFFFF"/>
        </w:rPr>
        <w:t xml:space="preserve"> </w:t>
      </w:r>
      <w:r w:rsidRPr="00BA6ACF">
        <w:rPr>
          <w:rFonts w:ascii="Book Antiqua" w:hAnsi="Book Antiqua"/>
          <w:color w:val="000000" w:themeColor="text1"/>
        </w:rPr>
        <w:t>Phytohaemagglutinin; MLR: Mixed lymphocyte reaction; LPS:  Lipopolysaccharide; Con A: Concanavalin A; CXCL: C-X-C motif chemokine ligand; ICAM-1: Intercellular adhesion molecule-1; VCAM-1: Vascular cell adhesion molecule 1; IDO: Indoleamine-pyrrole 2,3-dioxygenase; HLA-G5: Human leukocyte antigen-G molecules; PB-MNCs: Peripheral blood mononuclear cells; B7H1: B7 homolog 1; PD1: Programmed cell death protein 1; NO: Nitric oxide; PGE2: Prostaglandin E</w:t>
      </w:r>
      <w:r w:rsidRPr="00BA6ACF">
        <w:rPr>
          <w:color w:val="000000" w:themeColor="text1"/>
        </w:rPr>
        <w:t>₂</w:t>
      </w:r>
      <w:r w:rsidRPr="00BA6ACF">
        <w:rPr>
          <w:rFonts w:ascii="Book Antiqua" w:hAnsi="Book Antiqua" w:cs="Cambria Math"/>
          <w:color w:val="000000" w:themeColor="text1"/>
        </w:rPr>
        <w:t>;</w:t>
      </w:r>
      <w:r w:rsidRPr="00BA6ACF">
        <w:rPr>
          <w:rFonts w:ascii="Book Antiqua" w:hAnsi="Book Antiqua"/>
          <w:color w:val="000000" w:themeColor="text1"/>
        </w:rPr>
        <w:t xml:space="preserve"> TGF</w:t>
      </w:r>
      <w:r w:rsidRPr="00BA6ACF">
        <w:rPr>
          <w:rFonts w:ascii="宋体" w:eastAsia="宋体" w:hAnsi="宋体" w:cs="宋体" w:hint="eastAsia"/>
          <w:color w:val="000000" w:themeColor="text1"/>
        </w:rPr>
        <w:t>‐</w:t>
      </w:r>
      <w:r w:rsidRPr="00BA6ACF">
        <w:rPr>
          <w:rFonts w:ascii="Book Antiqua" w:hAnsi="Book Antiqua" w:cs="Book Antiqua"/>
          <w:color w:val="000000" w:themeColor="text1"/>
        </w:rPr>
        <w:t>β: Transforming growth factor beta;</w:t>
      </w:r>
      <w:r w:rsidRPr="00BA6ACF">
        <w:rPr>
          <w:rFonts w:ascii="Book Antiqua" w:hAnsi="Book Antiqua"/>
          <w:color w:val="000000" w:themeColor="text1"/>
        </w:rPr>
        <w:t xml:space="preserve"> iNOS: Inducible NO synthase; G-CSF: Granulocyte - colony stimulating factor.</w:t>
      </w:r>
    </w:p>
    <w:p w14:paraId="5DC6FC97" w14:textId="118E7556" w:rsidR="00A77B3E" w:rsidRPr="00BA6ACF" w:rsidRDefault="00A77B3E" w:rsidP="007260F0">
      <w:pPr>
        <w:adjustRightInd w:val="0"/>
        <w:snapToGrid w:val="0"/>
        <w:spacing w:line="360" w:lineRule="auto"/>
        <w:jc w:val="both"/>
        <w:rPr>
          <w:rFonts w:ascii="Book Antiqua" w:hAnsi="Book Antiqua"/>
        </w:rPr>
      </w:pPr>
    </w:p>
    <w:sectPr w:rsidR="00A77B3E" w:rsidRPr="00BA6A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75877" w14:textId="77777777" w:rsidR="00691BB5" w:rsidRDefault="00691BB5" w:rsidP="00BA6ACF">
      <w:r>
        <w:separator/>
      </w:r>
    </w:p>
  </w:endnote>
  <w:endnote w:type="continuationSeparator" w:id="0">
    <w:p w14:paraId="1725CCA5" w14:textId="77777777" w:rsidR="00691BB5" w:rsidRDefault="00691BB5" w:rsidP="00BA6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019877"/>
      <w:docPartObj>
        <w:docPartGallery w:val="Page Numbers (Bottom of Page)"/>
        <w:docPartUnique/>
      </w:docPartObj>
    </w:sdtPr>
    <w:sdtEndPr/>
    <w:sdtContent>
      <w:sdt>
        <w:sdtPr>
          <w:id w:val="-1705238520"/>
          <w:docPartObj>
            <w:docPartGallery w:val="Page Numbers (Top of Page)"/>
            <w:docPartUnique/>
          </w:docPartObj>
        </w:sdtPr>
        <w:sdtEndPr/>
        <w:sdtContent>
          <w:p w14:paraId="301101A6" w14:textId="17DF01A1" w:rsidR="00BA6ACF" w:rsidRDefault="00BA6ACF" w:rsidP="00BA6ACF">
            <w:pPr>
              <w:pStyle w:val="a6"/>
              <w:jc w:val="right"/>
            </w:pPr>
            <w:r w:rsidRPr="00BA6ACF">
              <w:rPr>
                <w:rFonts w:ascii="Book Antiqua" w:hAnsi="Book Antiqua"/>
                <w:sz w:val="24"/>
                <w:szCs w:val="24"/>
                <w:lang w:val="zh-CN" w:eastAsia="zh-CN"/>
              </w:rPr>
              <w:t xml:space="preserve"> </w:t>
            </w:r>
            <w:r w:rsidRPr="00BA6ACF">
              <w:rPr>
                <w:rFonts w:ascii="Book Antiqua" w:hAnsi="Book Antiqua"/>
                <w:b/>
                <w:bCs/>
                <w:sz w:val="24"/>
                <w:szCs w:val="24"/>
              </w:rPr>
              <w:fldChar w:fldCharType="begin"/>
            </w:r>
            <w:r w:rsidRPr="00BA6ACF">
              <w:rPr>
                <w:rFonts w:ascii="Book Antiqua" w:hAnsi="Book Antiqua"/>
                <w:b/>
                <w:bCs/>
                <w:sz w:val="24"/>
                <w:szCs w:val="24"/>
              </w:rPr>
              <w:instrText>PAGE</w:instrText>
            </w:r>
            <w:r w:rsidRPr="00BA6ACF">
              <w:rPr>
                <w:rFonts w:ascii="Book Antiqua" w:hAnsi="Book Antiqua"/>
                <w:b/>
                <w:bCs/>
                <w:sz w:val="24"/>
                <w:szCs w:val="24"/>
              </w:rPr>
              <w:fldChar w:fldCharType="separate"/>
            </w:r>
            <w:r w:rsidR="00C12035">
              <w:rPr>
                <w:rFonts w:ascii="Book Antiqua" w:hAnsi="Book Antiqua"/>
                <w:b/>
                <w:bCs/>
                <w:noProof/>
                <w:sz w:val="24"/>
                <w:szCs w:val="24"/>
              </w:rPr>
              <w:t>4</w:t>
            </w:r>
            <w:r w:rsidRPr="00BA6ACF">
              <w:rPr>
                <w:rFonts w:ascii="Book Antiqua" w:hAnsi="Book Antiqua"/>
                <w:b/>
                <w:bCs/>
                <w:sz w:val="24"/>
                <w:szCs w:val="24"/>
              </w:rPr>
              <w:fldChar w:fldCharType="end"/>
            </w:r>
            <w:r w:rsidRPr="00BA6ACF">
              <w:rPr>
                <w:rFonts w:ascii="Book Antiqua" w:hAnsi="Book Antiqua"/>
                <w:sz w:val="24"/>
                <w:szCs w:val="24"/>
                <w:lang w:val="zh-CN" w:eastAsia="zh-CN"/>
              </w:rPr>
              <w:t xml:space="preserve"> / </w:t>
            </w:r>
            <w:r w:rsidRPr="00BA6ACF">
              <w:rPr>
                <w:rFonts w:ascii="Book Antiqua" w:hAnsi="Book Antiqua"/>
                <w:b/>
                <w:bCs/>
                <w:sz w:val="24"/>
                <w:szCs w:val="24"/>
              </w:rPr>
              <w:fldChar w:fldCharType="begin"/>
            </w:r>
            <w:r w:rsidRPr="00BA6ACF">
              <w:rPr>
                <w:rFonts w:ascii="Book Antiqua" w:hAnsi="Book Antiqua"/>
                <w:b/>
                <w:bCs/>
                <w:sz w:val="24"/>
                <w:szCs w:val="24"/>
              </w:rPr>
              <w:instrText>NUMPAGES</w:instrText>
            </w:r>
            <w:r w:rsidRPr="00BA6ACF">
              <w:rPr>
                <w:rFonts w:ascii="Book Antiqua" w:hAnsi="Book Antiqua"/>
                <w:b/>
                <w:bCs/>
                <w:sz w:val="24"/>
                <w:szCs w:val="24"/>
              </w:rPr>
              <w:fldChar w:fldCharType="separate"/>
            </w:r>
            <w:r w:rsidR="00C12035">
              <w:rPr>
                <w:rFonts w:ascii="Book Antiqua" w:hAnsi="Book Antiqua"/>
                <w:b/>
                <w:bCs/>
                <w:noProof/>
                <w:sz w:val="24"/>
                <w:szCs w:val="24"/>
              </w:rPr>
              <w:t>42</w:t>
            </w:r>
            <w:r w:rsidRPr="00BA6ACF">
              <w:rPr>
                <w:rFonts w:ascii="Book Antiqua" w:hAnsi="Book Antiqua"/>
                <w:b/>
                <w:bCs/>
                <w:sz w:val="24"/>
                <w:szCs w:val="24"/>
              </w:rPr>
              <w:fldChar w:fldCharType="end"/>
            </w:r>
          </w:p>
        </w:sdtContent>
      </w:sdt>
    </w:sdtContent>
  </w:sdt>
  <w:p w14:paraId="4AC2695F" w14:textId="77777777" w:rsidR="00BA6ACF" w:rsidRDefault="00BA6AC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50188" w14:textId="77777777" w:rsidR="00691BB5" w:rsidRDefault="00691BB5" w:rsidP="00BA6ACF">
      <w:r>
        <w:separator/>
      </w:r>
    </w:p>
  </w:footnote>
  <w:footnote w:type="continuationSeparator" w:id="0">
    <w:p w14:paraId="52269A93" w14:textId="77777777" w:rsidR="00691BB5" w:rsidRDefault="00691BB5" w:rsidP="00BA6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2809"/>
    <w:rsid w:val="00086A6A"/>
    <w:rsid w:val="000B4D5B"/>
    <w:rsid w:val="000D7B13"/>
    <w:rsid w:val="00146B60"/>
    <w:rsid w:val="0021156D"/>
    <w:rsid w:val="0025760A"/>
    <w:rsid w:val="00290E68"/>
    <w:rsid w:val="003767F3"/>
    <w:rsid w:val="003B5903"/>
    <w:rsid w:val="003C0C04"/>
    <w:rsid w:val="00473557"/>
    <w:rsid w:val="004B109A"/>
    <w:rsid w:val="00514625"/>
    <w:rsid w:val="00691BB5"/>
    <w:rsid w:val="007260F0"/>
    <w:rsid w:val="00751EC4"/>
    <w:rsid w:val="007E0A29"/>
    <w:rsid w:val="008E6C14"/>
    <w:rsid w:val="008F6AE4"/>
    <w:rsid w:val="00A77B3E"/>
    <w:rsid w:val="00BA6ACF"/>
    <w:rsid w:val="00C12035"/>
    <w:rsid w:val="00C42431"/>
    <w:rsid w:val="00C54AD3"/>
    <w:rsid w:val="00C9619E"/>
    <w:rsid w:val="00CA2A55"/>
    <w:rsid w:val="00D3435A"/>
    <w:rsid w:val="00EA3B56"/>
    <w:rsid w:val="00EE0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F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style>
  <w:style w:type="table" w:styleId="a3">
    <w:name w:val="Table Grid"/>
    <w:basedOn w:val="a1"/>
    <w:uiPriority w:val="39"/>
    <w:rsid w:val="003C0C04"/>
    <w:rPr>
      <w:rFonts w:asciiTheme="minorHAnsi" w:eastAsia="宋体"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7E0A29"/>
    <w:rPr>
      <w:rFonts w:ascii="Segoe UI" w:hAnsi="Segoe UI" w:cs="Segoe UI"/>
      <w:sz w:val="18"/>
      <w:szCs w:val="18"/>
    </w:rPr>
  </w:style>
  <w:style w:type="character" w:customStyle="1" w:styleId="Char">
    <w:name w:val="批注框文本 Char"/>
    <w:basedOn w:val="a0"/>
    <w:link w:val="a4"/>
    <w:rsid w:val="007E0A29"/>
    <w:rPr>
      <w:rFonts w:ascii="Segoe UI" w:hAnsi="Segoe UI" w:cs="Segoe UI"/>
      <w:sz w:val="18"/>
      <w:szCs w:val="18"/>
    </w:rPr>
  </w:style>
  <w:style w:type="paragraph" w:styleId="a5">
    <w:name w:val="header"/>
    <w:basedOn w:val="a"/>
    <w:link w:val="Char0"/>
    <w:unhideWhenUsed/>
    <w:rsid w:val="00BA6A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BA6ACF"/>
    <w:rPr>
      <w:sz w:val="18"/>
      <w:szCs w:val="18"/>
    </w:rPr>
  </w:style>
  <w:style w:type="paragraph" w:styleId="a6">
    <w:name w:val="footer"/>
    <w:basedOn w:val="a"/>
    <w:link w:val="Char1"/>
    <w:uiPriority w:val="99"/>
    <w:unhideWhenUsed/>
    <w:rsid w:val="00BA6ACF"/>
    <w:pPr>
      <w:tabs>
        <w:tab w:val="center" w:pos="4153"/>
        <w:tab w:val="right" w:pos="8306"/>
      </w:tabs>
      <w:snapToGrid w:val="0"/>
    </w:pPr>
    <w:rPr>
      <w:sz w:val="18"/>
      <w:szCs w:val="18"/>
    </w:rPr>
  </w:style>
  <w:style w:type="character" w:customStyle="1" w:styleId="Char1">
    <w:name w:val="页脚 Char"/>
    <w:basedOn w:val="a0"/>
    <w:link w:val="a6"/>
    <w:uiPriority w:val="99"/>
    <w:rsid w:val="00BA6ACF"/>
    <w:rPr>
      <w:sz w:val="18"/>
      <w:szCs w:val="18"/>
    </w:rPr>
  </w:style>
  <w:style w:type="paragraph" w:styleId="a7">
    <w:name w:val="Revision"/>
    <w:hidden/>
    <w:uiPriority w:val="99"/>
    <w:semiHidden/>
    <w:rsid w:val="00BA6AC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style>
  <w:style w:type="table" w:styleId="a3">
    <w:name w:val="Table Grid"/>
    <w:basedOn w:val="a1"/>
    <w:uiPriority w:val="39"/>
    <w:rsid w:val="003C0C04"/>
    <w:rPr>
      <w:rFonts w:asciiTheme="minorHAnsi" w:eastAsia="宋体"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7E0A29"/>
    <w:rPr>
      <w:rFonts w:ascii="Segoe UI" w:hAnsi="Segoe UI" w:cs="Segoe UI"/>
      <w:sz w:val="18"/>
      <w:szCs w:val="18"/>
    </w:rPr>
  </w:style>
  <w:style w:type="character" w:customStyle="1" w:styleId="Char">
    <w:name w:val="批注框文本 Char"/>
    <w:basedOn w:val="a0"/>
    <w:link w:val="a4"/>
    <w:rsid w:val="007E0A29"/>
    <w:rPr>
      <w:rFonts w:ascii="Segoe UI" w:hAnsi="Segoe UI" w:cs="Segoe UI"/>
      <w:sz w:val="18"/>
      <w:szCs w:val="18"/>
    </w:rPr>
  </w:style>
  <w:style w:type="paragraph" w:styleId="a5">
    <w:name w:val="header"/>
    <w:basedOn w:val="a"/>
    <w:link w:val="Char0"/>
    <w:unhideWhenUsed/>
    <w:rsid w:val="00BA6A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BA6ACF"/>
    <w:rPr>
      <w:sz w:val="18"/>
      <w:szCs w:val="18"/>
    </w:rPr>
  </w:style>
  <w:style w:type="paragraph" w:styleId="a6">
    <w:name w:val="footer"/>
    <w:basedOn w:val="a"/>
    <w:link w:val="Char1"/>
    <w:uiPriority w:val="99"/>
    <w:unhideWhenUsed/>
    <w:rsid w:val="00BA6ACF"/>
    <w:pPr>
      <w:tabs>
        <w:tab w:val="center" w:pos="4153"/>
        <w:tab w:val="right" w:pos="8306"/>
      </w:tabs>
      <w:snapToGrid w:val="0"/>
    </w:pPr>
    <w:rPr>
      <w:sz w:val="18"/>
      <w:szCs w:val="18"/>
    </w:rPr>
  </w:style>
  <w:style w:type="character" w:customStyle="1" w:styleId="Char1">
    <w:name w:val="页脚 Char"/>
    <w:basedOn w:val="a0"/>
    <w:link w:val="a6"/>
    <w:uiPriority w:val="99"/>
    <w:rsid w:val="00BA6ACF"/>
    <w:rPr>
      <w:sz w:val="18"/>
      <w:szCs w:val="18"/>
    </w:rPr>
  </w:style>
  <w:style w:type="paragraph" w:styleId="a7">
    <w:name w:val="Revision"/>
    <w:hidden/>
    <w:uiPriority w:val="99"/>
    <w:semiHidden/>
    <w:rsid w:val="00BA6A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91458-681D-4CFC-A17F-2EC509DD7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11750</Words>
  <Characters>66981</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lilcr</dc:creator>
  <cp:lastModifiedBy>邢燕霞</cp:lastModifiedBy>
  <cp:revision>4</cp:revision>
  <dcterms:created xsi:type="dcterms:W3CDTF">2020-09-02T17:26:00Z</dcterms:created>
  <dcterms:modified xsi:type="dcterms:W3CDTF">2020-09-19T16:32:00Z</dcterms:modified>
</cp:coreProperties>
</file>