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D909" w14:textId="77777777" w:rsidR="00C73C17" w:rsidRDefault="00C73C17" w:rsidP="00C73C17">
      <w:pPr>
        <w:spacing w:line="360" w:lineRule="auto"/>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Gastroenterology</w:t>
      </w:r>
    </w:p>
    <w:p w14:paraId="340C0C02" w14:textId="77777777" w:rsidR="00C73C17" w:rsidRDefault="00C73C17" w:rsidP="00C73C17">
      <w:pPr>
        <w:spacing w:line="360" w:lineRule="auto"/>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56086</w:t>
      </w:r>
    </w:p>
    <w:p w14:paraId="4D35651E" w14:textId="77777777" w:rsidR="00C73C17" w:rsidRDefault="00C73C17" w:rsidP="00C73C17">
      <w:pPr>
        <w:spacing w:line="360" w:lineRule="auto"/>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ORIGINAL ARTICLE</w:t>
      </w:r>
      <w:bookmarkStart w:id="0" w:name="_GoBack"/>
      <w:bookmarkEnd w:id="0"/>
    </w:p>
    <w:p w14:paraId="1475192D" w14:textId="77777777" w:rsidR="00C73C17" w:rsidRDefault="00C73C17" w:rsidP="00C73C17">
      <w:pPr>
        <w:spacing w:line="360" w:lineRule="auto"/>
      </w:pPr>
    </w:p>
    <w:p w14:paraId="6B538EB0" w14:textId="77777777" w:rsidR="00C73C17" w:rsidRDefault="00C73C17" w:rsidP="00C73C17">
      <w:pPr>
        <w:spacing w:line="360" w:lineRule="auto"/>
      </w:pPr>
      <w:r>
        <w:rPr>
          <w:rFonts w:ascii="Book Antiqua" w:eastAsia="Book Antiqua" w:hAnsi="Book Antiqua" w:cs="Book Antiqua"/>
          <w:b/>
          <w:i/>
          <w:color w:val="000000"/>
          <w:sz w:val="24"/>
        </w:rPr>
        <w:t>Retrospective Study</w:t>
      </w:r>
    </w:p>
    <w:p w14:paraId="7F95F0BE" w14:textId="5C299618" w:rsidR="00C73C17" w:rsidRDefault="00C73C17" w:rsidP="00C73C17">
      <w:pPr>
        <w:spacing w:line="360" w:lineRule="auto"/>
      </w:pPr>
      <w:r>
        <w:rPr>
          <w:rFonts w:ascii="Book Antiqua" w:eastAsia="Book Antiqua" w:hAnsi="Book Antiqua" w:cs="Book Antiqua"/>
          <w:b/>
          <w:bCs/>
          <w:color w:val="000000"/>
          <w:sz w:val="24"/>
        </w:rPr>
        <w:t xml:space="preserve">Current status of </w:t>
      </w:r>
      <w:r>
        <w:rPr>
          <w:rFonts w:ascii="Book Antiqua" w:eastAsia="Book Antiqua" w:hAnsi="Book Antiqua" w:cs="Book Antiqua"/>
          <w:b/>
          <w:bCs/>
          <w:i/>
          <w:iCs/>
          <w:color w:val="000000"/>
          <w:sz w:val="24"/>
        </w:rPr>
        <w:t>Helicobacter pylori</w:t>
      </w:r>
      <w:r>
        <w:rPr>
          <w:rFonts w:ascii="Book Antiqua" w:eastAsia="Book Antiqua" w:hAnsi="Book Antiqua" w:cs="Book Antiqua"/>
          <w:b/>
          <w:bCs/>
          <w:color w:val="000000"/>
          <w:sz w:val="24"/>
        </w:rPr>
        <w:t xml:space="preserve"> eradication and risk factors </w:t>
      </w:r>
      <w:r w:rsidR="00107FF8">
        <w:rPr>
          <w:rFonts w:ascii="Book Antiqua" w:eastAsia="Book Antiqua" w:hAnsi="Book Antiqua" w:cs="Book Antiqua"/>
          <w:b/>
          <w:bCs/>
          <w:color w:val="000000"/>
          <w:sz w:val="24"/>
        </w:rPr>
        <w:t xml:space="preserve">for </w:t>
      </w:r>
      <w:r>
        <w:rPr>
          <w:rFonts w:ascii="Book Antiqua" w:eastAsia="Book Antiqua" w:hAnsi="Book Antiqua" w:cs="Book Antiqua"/>
          <w:b/>
          <w:bCs/>
          <w:color w:val="000000"/>
          <w:sz w:val="24"/>
        </w:rPr>
        <w:t>eradication failure</w:t>
      </w:r>
    </w:p>
    <w:p w14:paraId="36419E23" w14:textId="77777777" w:rsidR="00C73C17" w:rsidRDefault="00C73C17" w:rsidP="00C73C17">
      <w:pPr>
        <w:spacing w:line="360" w:lineRule="auto"/>
      </w:pPr>
    </w:p>
    <w:p w14:paraId="0E5C7AF6" w14:textId="03D56ACC" w:rsidR="00C73C17" w:rsidRDefault="00C73C17" w:rsidP="00C73C17">
      <w:pPr>
        <w:spacing w:line="360" w:lineRule="auto"/>
      </w:pPr>
      <w:r>
        <w:rPr>
          <w:rFonts w:ascii="Book Antiqua" w:eastAsia="Book Antiqua" w:hAnsi="Book Antiqua" w:cs="Book Antiqua"/>
          <w:color w:val="000000"/>
          <w:sz w:val="24"/>
        </w:rPr>
        <w:t xml:space="preserve">Yan TL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Status of </w:t>
      </w:r>
      <w:r w:rsidR="001A1189">
        <w:rPr>
          <w:rFonts w:ascii="Book Antiqua" w:eastAsia="Book Antiqua" w:hAnsi="Book Antiqua" w:cs="Book Antiqua"/>
          <w:i/>
          <w:iCs/>
          <w:color w:val="000000"/>
          <w:sz w:val="24"/>
        </w:rPr>
        <w:t>H</w:t>
      </w:r>
      <w:r w:rsidR="001A1189">
        <w:rPr>
          <w:rFonts w:ascii="Book Antiqua" w:hAnsi="Book Antiqua" w:cs="Book Antiqua" w:hint="eastAsia"/>
          <w:i/>
          <w:iCs/>
          <w:color w:val="000000"/>
          <w:sz w:val="24"/>
        </w:rPr>
        <w:t>.</w:t>
      </w:r>
      <w:r w:rsidR="001A1189">
        <w:rPr>
          <w:rFonts w:ascii="Book Antiqua" w:eastAsia="Book Antiqua" w:hAnsi="Book Antiqua" w:cs="Book Antiqua"/>
          <w:i/>
          <w:iCs/>
          <w:color w:val="000000"/>
          <w:sz w:val="24"/>
        </w:rPr>
        <w:t xml:space="preserve"> </w:t>
      </w:r>
      <w:r>
        <w:rPr>
          <w:rFonts w:ascii="Book Antiqua" w:eastAsia="Book Antiqua" w:hAnsi="Book Antiqua" w:cs="Book Antiqua"/>
          <w:i/>
          <w:iCs/>
          <w:color w:val="000000"/>
          <w:sz w:val="24"/>
        </w:rPr>
        <w:t>pylori</w:t>
      </w:r>
      <w:r>
        <w:rPr>
          <w:rFonts w:ascii="Book Antiqua" w:eastAsia="Book Antiqua" w:hAnsi="Book Antiqua" w:cs="Book Antiqua"/>
          <w:color w:val="000000"/>
          <w:sz w:val="24"/>
        </w:rPr>
        <w:t xml:space="preserve"> eradication</w:t>
      </w:r>
    </w:p>
    <w:p w14:paraId="0CE5E578" w14:textId="77777777" w:rsidR="00C73C17" w:rsidRDefault="00C73C17" w:rsidP="00C73C17">
      <w:pPr>
        <w:spacing w:line="360" w:lineRule="auto"/>
      </w:pPr>
    </w:p>
    <w:p w14:paraId="6AA0E59D" w14:textId="5591F91D" w:rsidR="00C73C17" w:rsidRDefault="00C73C17" w:rsidP="00C73C17">
      <w:pPr>
        <w:spacing w:line="360" w:lineRule="auto"/>
      </w:pPr>
      <w:r>
        <w:rPr>
          <w:rFonts w:ascii="Book Antiqua" w:eastAsia="Book Antiqua" w:hAnsi="Book Antiqua" w:cs="Book Antiqua"/>
          <w:color w:val="000000"/>
          <w:sz w:val="24"/>
        </w:rPr>
        <w:t>Tian-Lian Yan, Jian-Guo Gao, Jing</w:t>
      </w:r>
      <w:r w:rsidR="00651BDA">
        <w:rPr>
          <w:rFonts w:ascii="Book Antiqua" w:eastAsia="Book Antiqua" w:hAnsi="Book Antiqua" w:cs="Book Antiqua"/>
          <w:color w:val="000000"/>
          <w:sz w:val="24"/>
        </w:rPr>
        <w:t>-</w:t>
      </w:r>
      <w:r w:rsidRPr="00651BDA">
        <w:rPr>
          <w:rFonts w:ascii="Book Antiqua" w:eastAsia="Book Antiqua" w:hAnsi="Book Antiqua" w:cs="Book Antiqua"/>
          <w:caps/>
          <w:color w:val="000000"/>
          <w:sz w:val="24"/>
        </w:rPr>
        <w:t>h</w:t>
      </w:r>
      <w:r>
        <w:rPr>
          <w:rFonts w:ascii="Book Antiqua" w:eastAsia="Book Antiqua" w:hAnsi="Book Antiqua" w:cs="Book Antiqua"/>
          <w:color w:val="000000"/>
          <w:sz w:val="24"/>
        </w:rPr>
        <w:t>ua Wang, Dan Chen, Chao Lu, Cheng-Fu Xu</w:t>
      </w:r>
    </w:p>
    <w:p w14:paraId="39959AA4" w14:textId="77777777" w:rsidR="00C73C17" w:rsidRDefault="00C73C17" w:rsidP="00C73C17">
      <w:pPr>
        <w:spacing w:line="360" w:lineRule="auto"/>
      </w:pPr>
    </w:p>
    <w:p w14:paraId="3B5A60EB" w14:textId="5C0EB90E" w:rsidR="00C73C17" w:rsidRDefault="00C73C17" w:rsidP="00C73C17">
      <w:pPr>
        <w:spacing w:line="360" w:lineRule="auto"/>
      </w:pPr>
      <w:r>
        <w:rPr>
          <w:rFonts w:ascii="Book Antiqua" w:eastAsia="Book Antiqua" w:hAnsi="Book Antiqua" w:cs="Book Antiqua"/>
          <w:b/>
          <w:bCs/>
          <w:color w:val="000000"/>
          <w:sz w:val="24"/>
        </w:rPr>
        <w:t>Tian-Lian Yan, Jian-Guo Gao, Jing</w:t>
      </w:r>
      <w:r w:rsidR="00651BDA">
        <w:rPr>
          <w:rFonts w:ascii="Book Antiqua" w:eastAsia="Book Antiqua" w:hAnsi="Book Antiqua" w:cs="Book Antiqua"/>
          <w:b/>
          <w:bCs/>
          <w:color w:val="000000"/>
          <w:sz w:val="24"/>
        </w:rPr>
        <w:t>-</w:t>
      </w:r>
      <w:r w:rsidRPr="00651BDA">
        <w:rPr>
          <w:rFonts w:ascii="Book Antiqua" w:eastAsia="Book Antiqua" w:hAnsi="Book Antiqua" w:cs="Book Antiqua"/>
          <w:b/>
          <w:bCs/>
          <w:caps/>
          <w:color w:val="000000"/>
          <w:sz w:val="24"/>
        </w:rPr>
        <w:t>h</w:t>
      </w:r>
      <w:r>
        <w:rPr>
          <w:rFonts w:ascii="Book Antiqua" w:eastAsia="Book Antiqua" w:hAnsi="Book Antiqua" w:cs="Book Antiqua"/>
          <w:b/>
          <w:bCs/>
          <w:color w:val="000000"/>
          <w:sz w:val="24"/>
        </w:rPr>
        <w:t xml:space="preserve">ua Wang, Dan Chen, Chao Lu, Cheng-Fu Xu, </w:t>
      </w:r>
      <w:r>
        <w:rPr>
          <w:rFonts w:ascii="Book Antiqua" w:eastAsia="Book Antiqua" w:hAnsi="Book Antiqua" w:cs="Book Antiqua"/>
          <w:color w:val="000000"/>
          <w:sz w:val="24"/>
        </w:rPr>
        <w:t>Department of Gastroenterology, The First Affiliated Hospital, Zhejiang University School of Medicine, Hangzhou 310003, Zhejiang Province, China</w:t>
      </w:r>
    </w:p>
    <w:p w14:paraId="1544DAF6" w14:textId="77777777" w:rsidR="00C73C17" w:rsidRDefault="00C73C17" w:rsidP="00C73C17">
      <w:pPr>
        <w:spacing w:line="360" w:lineRule="auto"/>
      </w:pPr>
    </w:p>
    <w:p w14:paraId="0D90BCB4" w14:textId="205CE6CD" w:rsidR="00C73C17" w:rsidRDefault="00C73C17" w:rsidP="00C73C17">
      <w:pPr>
        <w:spacing w:line="360" w:lineRule="auto"/>
      </w:pPr>
      <w:r>
        <w:rPr>
          <w:rFonts w:ascii="Book Antiqua" w:eastAsia="Book Antiqua" w:hAnsi="Book Antiqua" w:cs="Book Antiqua"/>
          <w:b/>
          <w:bCs/>
          <w:color w:val="000000"/>
          <w:sz w:val="24"/>
          <w:szCs w:val="21"/>
        </w:rPr>
        <w:t xml:space="preserve">Author contributions: </w:t>
      </w:r>
      <w:r>
        <w:rPr>
          <w:rFonts w:ascii="Book Antiqua" w:eastAsia="Book Antiqua" w:hAnsi="Book Antiqua" w:cs="Book Antiqua"/>
          <w:color w:val="000000"/>
          <w:sz w:val="24"/>
        </w:rPr>
        <w:t xml:space="preserve">Yan TL and </w:t>
      </w:r>
      <w:proofErr w:type="gramStart"/>
      <w:r>
        <w:rPr>
          <w:rFonts w:ascii="Book Antiqua" w:eastAsia="Book Antiqua" w:hAnsi="Book Antiqua" w:cs="Book Antiqua"/>
          <w:color w:val="000000"/>
          <w:sz w:val="24"/>
        </w:rPr>
        <w:t>Gao</w:t>
      </w:r>
      <w:proofErr w:type="gramEnd"/>
      <w:r>
        <w:rPr>
          <w:rFonts w:ascii="Book Antiqua" w:eastAsia="Book Antiqua" w:hAnsi="Book Antiqua" w:cs="Book Antiqua"/>
          <w:color w:val="000000"/>
          <w:sz w:val="24"/>
        </w:rPr>
        <w:t xml:space="preserve"> JG contributed equally to this work; Xu CF, Yan TL</w:t>
      </w:r>
      <w:r w:rsidR="00107FF8">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Lu C designed the research; Yan TL, Gao JG</w:t>
      </w:r>
      <w:r w:rsidR="00107FF8">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Chen D performed the research; Wang JH analyzed the data; Yan TL and Xu CF drafted and revised the manuscript. All authors approved the final draft of this manuscript for submission.</w:t>
      </w:r>
    </w:p>
    <w:p w14:paraId="04A3F4C0" w14:textId="77777777" w:rsidR="00C73C17" w:rsidRDefault="00C73C17" w:rsidP="00C73C17">
      <w:pPr>
        <w:spacing w:line="360" w:lineRule="auto"/>
      </w:pPr>
    </w:p>
    <w:p w14:paraId="20F1156F" w14:textId="0831F965" w:rsidR="00C73C17" w:rsidRDefault="00C73C17" w:rsidP="00C73C17">
      <w:pPr>
        <w:spacing w:line="360" w:lineRule="auto"/>
      </w:pPr>
      <w:r>
        <w:rPr>
          <w:rFonts w:ascii="Book Antiqua" w:eastAsia="Book Antiqua" w:hAnsi="Book Antiqua" w:cs="Book Antiqua"/>
          <w:b/>
          <w:bCs/>
          <w:color w:val="000000"/>
          <w:sz w:val="24"/>
          <w:szCs w:val="21"/>
        </w:rPr>
        <w:t>Supported by</w:t>
      </w:r>
      <w:r w:rsidR="00BC2244">
        <w:rPr>
          <w:rFonts w:ascii="Book Antiqua" w:eastAsia="Book Antiqua" w:hAnsi="Book Antiqua" w:cs="Book Antiqua"/>
          <w:b/>
          <w:bCs/>
          <w:color w:val="000000"/>
          <w:sz w:val="24"/>
          <w:szCs w:val="21"/>
        </w:rPr>
        <w:t xml:space="preserve"> </w:t>
      </w:r>
      <w:r>
        <w:rPr>
          <w:rFonts w:ascii="Book Antiqua" w:eastAsia="Book Antiqua" w:hAnsi="Book Antiqua" w:cs="Book Antiqua"/>
          <w:color w:val="000000"/>
          <w:sz w:val="24"/>
        </w:rPr>
        <w:t>the National Natural Science Foundation of China, No. 81600447.</w:t>
      </w:r>
    </w:p>
    <w:p w14:paraId="5BD01931" w14:textId="77777777" w:rsidR="00C73C17" w:rsidRDefault="00C73C17" w:rsidP="00C73C17">
      <w:pPr>
        <w:spacing w:line="360" w:lineRule="auto"/>
      </w:pPr>
    </w:p>
    <w:p w14:paraId="59634CC8" w14:textId="42700636" w:rsidR="00C73C17" w:rsidRDefault="00C73C17" w:rsidP="00C73C17">
      <w:pPr>
        <w:spacing w:line="360" w:lineRule="auto"/>
      </w:pPr>
      <w:r>
        <w:rPr>
          <w:rFonts w:ascii="Book Antiqua" w:eastAsia="Book Antiqua" w:hAnsi="Book Antiqua" w:cs="Book Antiqua"/>
          <w:b/>
          <w:bCs/>
          <w:color w:val="000000"/>
          <w:sz w:val="24"/>
        </w:rPr>
        <w:t xml:space="preserve">Corresponding author: Cheng-Fu Xu, MD, Doctor, </w:t>
      </w:r>
      <w:r>
        <w:rPr>
          <w:rFonts w:ascii="Book Antiqua" w:eastAsia="Book Antiqua" w:hAnsi="Book Antiqua" w:cs="Book Antiqua"/>
          <w:color w:val="000000"/>
          <w:sz w:val="24"/>
        </w:rPr>
        <w:t>Department of Gastroenterology, The First Affiliated Hospital, Zhejiang University School of Medicine, No. 79</w:t>
      </w:r>
      <w:r w:rsidR="00F60A33">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Qingchun</w:t>
      </w:r>
      <w:proofErr w:type="spellEnd"/>
      <w:r>
        <w:rPr>
          <w:rFonts w:ascii="Book Antiqua" w:eastAsia="Book Antiqua" w:hAnsi="Book Antiqua" w:cs="Book Antiqua"/>
          <w:color w:val="000000"/>
          <w:sz w:val="24"/>
        </w:rPr>
        <w:t xml:space="preserve"> Road, Hangzhou 310003, Zhejiang Province, China. xiaofu@zju.edu.cn</w:t>
      </w:r>
    </w:p>
    <w:p w14:paraId="518588A5" w14:textId="77777777" w:rsidR="00C73C17" w:rsidRDefault="00C73C17" w:rsidP="00C73C17">
      <w:pPr>
        <w:spacing w:line="360" w:lineRule="auto"/>
      </w:pPr>
    </w:p>
    <w:p w14:paraId="0AD802AD" w14:textId="77777777" w:rsidR="00C73C17" w:rsidRDefault="00C73C17" w:rsidP="00C73C17">
      <w:pPr>
        <w:spacing w:line="360" w:lineRule="auto"/>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April 24, 2020</w:t>
      </w:r>
    </w:p>
    <w:p w14:paraId="1BEB6D6F" w14:textId="77777777" w:rsidR="00C73C17" w:rsidRDefault="00C73C17" w:rsidP="00C73C17">
      <w:pPr>
        <w:spacing w:line="360" w:lineRule="auto"/>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July 18, 2020</w:t>
      </w:r>
    </w:p>
    <w:p w14:paraId="31D1F2D9" w14:textId="6A416CF6" w:rsidR="00C73C17" w:rsidRDefault="00C73C17" w:rsidP="00C73C17">
      <w:pPr>
        <w:spacing w:line="360" w:lineRule="auto"/>
      </w:pPr>
      <w:r>
        <w:rPr>
          <w:rFonts w:ascii="Book Antiqua" w:eastAsia="Book Antiqua" w:hAnsi="Book Antiqua" w:cs="Book Antiqua"/>
          <w:b/>
          <w:bCs/>
          <w:color w:val="000000"/>
          <w:sz w:val="24"/>
        </w:rPr>
        <w:t>Accepted:</w:t>
      </w:r>
      <w:r w:rsidR="00EB0729" w:rsidRPr="00EB0729">
        <w:t xml:space="preserve"> </w:t>
      </w:r>
      <w:r w:rsidR="00EB0729" w:rsidRPr="00EB0729">
        <w:rPr>
          <w:rFonts w:ascii="Book Antiqua" w:eastAsia="Book Antiqua" w:hAnsi="Book Antiqua" w:cs="Book Antiqua"/>
          <w:color w:val="000000"/>
          <w:sz w:val="24"/>
        </w:rPr>
        <w:t>July 30, 2020</w:t>
      </w:r>
      <w:r w:rsidRPr="00EB0729">
        <w:rPr>
          <w:rFonts w:ascii="Book Antiqua" w:eastAsia="Book Antiqua" w:hAnsi="Book Antiqua" w:cs="Book Antiqua"/>
          <w:color w:val="000000"/>
          <w:sz w:val="24"/>
        </w:rPr>
        <w:t xml:space="preserve"> </w:t>
      </w:r>
    </w:p>
    <w:p w14:paraId="5E5E3929" w14:textId="77777777" w:rsidR="00C73C17" w:rsidRDefault="00C73C17" w:rsidP="00C73C17">
      <w:pPr>
        <w:spacing w:line="360" w:lineRule="auto"/>
      </w:pPr>
      <w:r>
        <w:rPr>
          <w:rFonts w:ascii="Book Antiqua" w:eastAsia="Book Antiqua" w:hAnsi="Book Antiqua" w:cs="Book Antiqua"/>
          <w:b/>
          <w:bCs/>
          <w:color w:val="000000"/>
          <w:sz w:val="24"/>
        </w:rPr>
        <w:lastRenderedPageBreak/>
        <w:t xml:space="preserve">Published online: </w:t>
      </w:r>
    </w:p>
    <w:p w14:paraId="5FC3BAED" w14:textId="77777777" w:rsidR="00C73C17" w:rsidRDefault="00C73C17" w:rsidP="00C73C17">
      <w:pPr>
        <w:spacing w:line="360" w:lineRule="auto"/>
        <w:sectPr w:rsidR="00C73C17">
          <w:footerReference w:type="default" r:id="rId8"/>
          <w:pgSz w:w="12240" w:h="15840"/>
          <w:pgMar w:top="1440" w:right="1440" w:bottom="1440" w:left="1440" w:header="720" w:footer="720" w:gutter="0"/>
          <w:cols w:space="720"/>
          <w:docGrid w:linePitch="360"/>
        </w:sectPr>
      </w:pPr>
    </w:p>
    <w:p w14:paraId="72E6F88D" w14:textId="77777777" w:rsidR="00C73C17" w:rsidRDefault="00C73C17" w:rsidP="00C73C17">
      <w:pPr>
        <w:spacing w:line="360" w:lineRule="auto"/>
      </w:pPr>
      <w:r>
        <w:rPr>
          <w:rFonts w:ascii="Book Antiqua" w:eastAsia="Book Antiqua" w:hAnsi="Book Antiqua" w:cs="Book Antiqua"/>
          <w:b/>
          <w:color w:val="000000"/>
          <w:sz w:val="24"/>
        </w:rPr>
        <w:lastRenderedPageBreak/>
        <w:t>Abstract</w:t>
      </w:r>
    </w:p>
    <w:p w14:paraId="21DA2CFD" w14:textId="77777777" w:rsidR="00C73C17" w:rsidRDefault="00C73C17" w:rsidP="00C73C17">
      <w:pPr>
        <w:spacing w:line="360" w:lineRule="auto"/>
      </w:pPr>
      <w:r>
        <w:rPr>
          <w:rFonts w:ascii="Book Antiqua" w:eastAsia="Book Antiqua" w:hAnsi="Book Antiqua" w:cs="Book Antiqua"/>
          <w:color w:val="000000"/>
          <w:sz w:val="24"/>
        </w:rPr>
        <w:t>BACKGROUND</w:t>
      </w:r>
    </w:p>
    <w:p w14:paraId="49FCB1D0" w14:textId="77777777" w:rsidR="00C73C17" w:rsidRDefault="00C73C17" w:rsidP="00C73C17">
      <w:pPr>
        <w:spacing w:line="360" w:lineRule="auto"/>
      </w:pPr>
      <w:r>
        <w:rPr>
          <w:rFonts w:ascii="Book Antiqua" w:eastAsia="Book Antiqua" w:hAnsi="Book Antiqua" w:cs="Book Antiqua"/>
          <w:color w:val="000000"/>
          <w:sz w:val="24"/>
        </w:rPr>
        <w:t xml:space="preserve">The </w:t>
      </w:r>
      <w:r>
        <w:rPr>
          <w:rFonts w:ascii="Book Antiqua" w:eastAsia="Book Antiqua" w:hAnsi="Book Antiqua" w:cs="Book Antiqua"/>
          <w:i/>
          <w:iCs/>
          <w:color w:val="000000"/>
          <w:sz w:val="24"/>
        </w:rPr>
        <w:t xml:space="preserve">Helicobacter pylori </w:t>
      </w:r>
      <w:r>
        <w:rPr>
          <w:rFonts w:ascii="Book Antiqua" w:eastAsia="Book Antiqua" w:hAnsi="Book Antiqua" w:cs="Book Antiqua"/>
          <w:color w:val="000000"/>
          <w:sz w:val="24"/>
        </w:rPr>
        <w:t>(</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eradication rate is decreasing in the general population of China.</w:t>
      </w:r>
    </w:p>
    <w:p w14:paraId="7E3E5279" w14:textId="77777777" w:rsidR="00C73C17" w:rsidRDefault="00C73C17" w:rsidP="00C73C17">
      <w:pPr>
        <w:spacing w:line="360" w:lineRule="auto"/>
      </w:pPr>
    </w:p>
    <w:p w14:paraId="37EEEAF6" w14:textId="77777777" w:rsidR="00C73C17" w:rsidRDefault="00C73C17" w:rsidP="00C73C17">
      <w:pPr>
        <w:spacing w:line="360" w:lineRule="auto"/>
      </w:pPr>
      <w:r>
        <w:rPr>
          <w:rFonts w:ascii="Book Antiqua" w:eastAsia="Book Antiqua" w:hAnsi="Book Antiqua" w:cs="Book Antiqua"/>
          <w:color w:val="000000"/>
          <w:sz w:val="24"/>
        </w:rPr>
        <w:t>AIM</w:t>
      </w:r>
    </w:p>
    <w:p w14:paraId="63B8B4B5" w14:textId="67808A8D" w:rsidR="00C73C17" w:rsidRDefault="00C73C17" w:rsidP="00C73C17">
      <w:pPr>
        <w:spacing w:line="360" w:lineRule="auto"/>
      </w:pPr>
      <w:r>
        <w:rPr>
          <w:rFonts w:ascii="Book Antiqua" w:eastAsia="Book Antiqua" w:hAnsi="Book Antiqua" w:cs="Book Antiqua"/>
          <w:color w:val="000000"/>
          <w:sz w:val="24"/>
        </w:rPr>
        <w:t xml:space="preserve">To evaluate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w:t>
      </w:r>
      <w:r w:rsidR="00107FF8">
        <w:rPr>
          <w:rFonts w:ascii="Book Antiqua" w:eastAsia="Book Antiqua" w:hAnsi="Book Antiqua" w:cs="Book Antiqua"/>
          <w:color w:val="000000"/>
          <w:sz w:val="24"/>
        </w:rPr>
        <w:t xml:space="preserve">status </w:t>
      </w:r>
      <w:r>
        <w:rPr>
          <w:rFonts w:ascii="Book Antiqua" w:eastAsia="Book Antiqua" w:hAnsi="Book Antiqua" w:cs="Book Antiqua"/>
          <w:color w:val="000000"/>
          <w:sz w:val="24"/>
        </w:rPr>
        <w:t>in real-world clinical practice and to explore factors related to eradication failure.</w:t>
      </w:r>
    </w:p>
    <w:p w14:paraId="3FF97FB0" w14:textId="77777777" w:rsidR="00C73C17" w:rsidRDefault="00C73C17" w:rsidP="00C73C17">
      <w:pPr>
        <w:spacing w:line="360" w:lineRule="auto"/>
      </w:pPr>
    </w:p>
    <w:p w14:paraId="61A4470C" w14:textId="77777777" w:rsidR="00C73C17" w:rsidRDefault="00C73C17" w:rsidP="00C73C17">
      <w:pPr>
        <w:spacing w:line="360" w:lineRule="auto"/>
      </w:pPr>
      <w:r>
        <w:rPr>
          <w:rFonts w:ascii="Book Antiqua" w:eastAsia="Book Antiqua" w:hAnsi="Book Antiqua" w:cs="Book Antiqua"/>
          <w:color w:val="000000"/>
          <w:sz w:val="24"/>
        </w:rPr>
        <w:t>METHODS</w:t>
      </w:r>
    </w:p>
    <w:p w14:paraId="76467577" w14:textId="77777777" w:rsidR="00C73C17" w:rsidRDefault="00C73C17" w:rsidP="00C73C17">
      <w:pPr>
        <w:spacing w:line="360" w:lineRule="auto"/>
      </w:pPr>
      <w:r>
        <w:rPr>
          <w:rFonts w:ascii="Book Antiqua" w:eastAsia="Book Antiqua" w:hAnsi="Book Antiqua" w:cs="Book Antiqua"/>
          <w:color w:val="000000"/>
          <w:sz w:val="24"/>
        </w:rPr>
        <w:t xml:space="preserve">Patients with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infection who were treated with standard 14-d quadruple therapy and received a test of cure at a provincial medical institution between June 2018 and May 2019 were enrolled. Demographic and clinical data were recorded. Eradication rates were calculated and compared between regimens and subgroups. Multivariate analysis was performed to identify predictors of eradication failure.</w:t>
      </w:r>
    </w:p>
    <w:p w14:paraId="08155BD5" w14:textId="77777777" w:rsidR="00C73C17" w:rsidRDefault="00C73C17" w:rsidP="00C73C17">
      <w:pPr>
        <w:spacing w:line="360" w:lineRule="auto"/>
      </w:pPr>
    </w:p>
    <w:p w14:paraId="3670A8C3" w14:textId="77777777" w:rsidR="00C73C17" w:rsidRDefault="00C73C17" w:rsidP="00C73C17">
      <w:pPr>
        <w:spacing w:line="360" w:lineRule="auto"/>
      </w:pPr>
      <w:r>
        <w:rPr>
          <w:rFonts w:ascii="Book Antiqua" w:eastAsia="Book Antiqua" w:hAnsi="Book Antiqua" w:cs="Book Antiqua"/>
          <w:color w:val="000000"/>
          <w:sz w:val="24"/>
        </w:rPr>
        <w:t>RESULTS</w:t>
      </w:r>
    </w:p>
    <w:p w14:paraId="1B070507" w14:textId="7CEDA2D8" w:rsidR="00C73C17" w:rsidRDefault="00C73C17" w:rsidP="00C73C17">
      <w:pPr>
        <w:spacing w:line="360" w:lineRule="auto"/>
      </w:pPr>
      <w:r>
        <w:rPr>
          <w:rFonts w:ascii="Book Antiqua" w:eastAsia="Book Antiqua" w:hAnsi="Book Antiqua" w:cs="Book Antiqua"/>
          <w:color w:val="000000"/>
          <w:sz w:val="24"/>
        </w:rPr>
        <w:t>Of 2610 patients enrolled, eradication was successful in 1999</w:t>
      </w:r>
      <w:r w:rsidR="00107FF8">
        <w:rPr>
          <w:rFonts w:ascii="Book Antiqua" w:eastAsia="Book Antiqua" w:hAnsi="Book Antiqua" w:cs="Book Antiqua"/>
          <w:color w:val="000000"/>
          <w:sz w:val="24"/>
        </w:rPr>
        <w:t xml:space="preserve"> </w:t>
      </w:r>
      <w:r>
        <w:rPr>
          <w:rFonts w:ascii="Book Antiqua" w:eastAsia="Book Antiqua" w:hAnsi="Book Antiqua" w:cs="Book Antiqua"/>
          <w:color w:val="000000"/>
          <w:sz w:val="24"/>
        </w:rPr>
        <w:t>(76.6%)</w:t>
      </w:r>
      <w:r w:rsidR="00107FF8" w:rsidRPr="00107FF8">
        <w:rPr>
          <w:rFonts w:ascii="Book Antiqua" w:eastAsia="Book Antiqua" w:hAnsi="Book Antiqua" w:cs="Book Antiqua"/>
          <w:color w:val="000000"/>
          <w:sz w:val="24"/>
        </w:rPr>
        <w:t xml:space="preserve"> </w:t>
      </w:r>
      <w:r w:rsidR="00107FF8">
        <w:rPr>
          <w:rFonts w:ascii="Book Antiqua" w:eastAsia="Book Antiqua" w:hAnsi="Book Antiqua" w:cs="Book Antiqua"/>
          <w:color w:val="000000"/>
          <w:sz w:val="24"/>
        </w:rPr>
        <w:t>patients</w:t>
      </w:r>
      <w:r>
        <w:rPr>
          <w:rFonts w:ascii="Book Antiqua" w:eastAsia="Book Antiqua" w:hAnsi="Book Antiqua" w:cs="Book Antiqua"/>
          <w:color w:val="000000"/>
          <w:sz w:val="24"/>
        </w:rPr>
        <w:t xml:space="preserve">. Amoxicillin-containing quadruple regimens showed a higher eradication rate than other quadruple therapy regimens (83.0%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The quadruple therapy containing amoxicillin plus clarithromycin achieved the highest eradication rate (83.5%). Primary therapy had a higher eradication rate than rescue therapy (78.3%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66.5%,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In rescue therapy, the amoxicillin- </w:t>
      </w:r>
      <w:r w:rsidR="00107FF8">
        <w:rPr>
          <w:rFonts w:ascii="Book Antiqua" w:eastAsia="Book Antiqua" w:hAnsi="Book Antiqua" w:cs="Book Antiqua"/>
          <w:color w:val="000000"/>
          <w:sz w:val="24"/>
        </w:rPr>
        <w:t xml:space="preserve">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-containing regimen</w:t>
      </w:r>
      <w:r w:rsidR="00B07121">
        <w:rPr>
          <w:rFonts w:ascii="Book Antiqua" w:eastAsia="Book Antiqua" w:hAnsi="Book Antiqua" w:cs="Book Antiqua"/>
          <w:color w:val="000000"/>
          <w:sz w:val="24"/>
        </w:rPr>
        <w:t>s</w:t>
      </w:r>
      <w:r>
        <w:rPr>
          <w:rFonts w:ascii="Book Antiqua" w:eastAsia="Book Antiqua" w:hAnsi="Book Antiqua" w:cs="Book Antiqua"/>
          <w:color w:val="000000"/>
          <w:sz w:val="24"/>
        </w:rPr>
        <w:t xml:space="preserve"> achieved the highest eradication rate (80.8%). Esomeprazole-containing regimens showed a higher eradication rate than those containing other proton pump inhibitors (81.8%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74.9%,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0.001). Multivariate regression analysis found that older age, prior therapy, and</w:t>
      </w:r>
      <w:r w:rsidR="00107FF8">
        <w:rPr>
          <w:rFonts w:ascii="Book Antiqua" w:eastAsia="Book Antiqua" w:hAnsi="Book Antiqua" w:cs="Book Antiqua"/>
          <w:color w:val="000000"/>
          <w:sz w:val="24"/>
        </w:rPr>
        <w:t xml:space="preserve"> </w:t>
      </w:r>
      <w:r>
        <w:rPr>
          <w:rFonts w:ascii="Book Antiqua" w:eastAsia="Book Antiqua" w:hAnsi="Book Antiqua" w:cs="Book Antiqua"/>
          <w:color w:val="000000"/>
          <w:sz w:val="24"/>
        </w:rPr>
        <w:t>use of omeprazole or pantoprazole were associated with</w:t>
      </w:r>
      <w:r w:rsidR="00107FF8">
        <w:rPr>
          <w:rFonts w:ascii="Book Antiqua" w:eastAsia="Book Antiqua" w:hAnsi="Book Antiqua" w:cs="Book Antiqua"/>
          <w:color w:val="000000"/>
          <w:sz w:val="24"/>
        </w:rPr>
        <w:t xml:space="preserve"> an</w:t>
      </w:r>
      <w:r>
        <w:rPr>
          <w:rFonts w:ascii="Book Antiqua" w:eastAsia="Book Antiqua" w:hAnsi="Book Antiqua" w:cs="Book Antiqua"/>
          <w:color w:val="000000"/>
          <w:sz w:val="24"/>
        </w:rPr>
        <w:t xml:space="preserve"> increased risk of eradication failure.</w:t>
      </w:r>
    </w:p>
    <w:p w14:paraId="77589C41" w14:textId="77777777" w:rsidR="00C73C17" w:rsidRDefault="00C73C17" w:rsidP="00C73C17">
      <w:pPr>
        <w:spacing w:line="360" w:lineRule="auto"/>
      </w:pPr>
    </w:p>
    <w:p w14:paraId="1D6F6B18" w14:textId="77777777" w:rsidR="00C73C17" w:rsidRDefault="00C73C17" w:rsidP="00C73C17">
      <w:pPr>
        <w:spacing w:line="360" w:lineRule="auto"/>
      </w:pPr>
      <w:r>
        <w:rPr>
          <w:rFonts w:ascii="Book Antiqua" w:eastAsia="Book Antiqua" w:hAnsi="Book Antiqua" w:cs="Book Antiqua"/>
          <w:color w:val="000000"/>
          <w:sz w:val="24"/>
        </w:rPr>
        <w:lastRenderedPageBreak/>
        <w:t>CONCLUSION</w:t>
      </w:r>
    </w:p>
    <w:p w14:paraId="566C2666" w14:textId="1B0A9728" w:rsidR="00C73C17" w:rsidRDefault="00C73C17" w:rsidP="00C73C17">
      <w:pPr>
        <w:spacing w:line="360" w:lineRule="auto"/>
      </w:pPr>
      <w:r>
        <w:rPr>
          <w:rFonts w:ascii="Book Antiqua" w:eastAsia="Book Antiqua" w:hAnsi="Book Antiqua" w:cs="Book Antiqua"/>
          <w:color w:val="000000"/>
          <w:sz w:val="24"/>
        </w:rPr>
        <w:t xml:space="preserve">The total eradication rate </w:t>
      </w:r>
      <w:r w:rsidR="00107FF8">
        <w:rPr>
          <w:rFonts w:ascii="Book Antiqua" w:eastAsia="Book Antiqua" w:hAnsi="Book Antiqua" w:cs="Book Antiqua"/>
          <w:color w:val="000000"/>
          <w:sz w:val="24"/>
        </w:rPr>
        <w:t xml:space="preserve">is </w:t>
      </w:r>
      <w:r>
        <w:rPr>
          <w:rFonts w:ascii="Book Antiqua" w:eastAsia="Book Antiqua" w:hAnsi="Book Antiqua" w:cs="Book Antiqua"/>
          <w:color w:val="000000"/>
          <w:sz w:val="24"/>
        </w:rPr>
        <w:t>76.6%.</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 xml:space="preserve">Amoxicillin-containing regimens </w:t>
      </w:r>
      <w:r w:rsidR="00107FF8">
        <w:rPr>
          <w:rFonts w:ascii="Book Antiqua" w:eastAsia="Book Antiqua" w:hAnsi="Book Antiqua" w:cs="Book Antiqua"/>
          <w:color w:val="000000"/>
          <w:sz w:val="24"/>
        </w:rPr>
        <w:t xml:space="preserve">are </w:t>
      </w:r>
      <w:r>
        <w:rPr>
          <w:rFonts w:ascii="Book Antiqua" w:eastAsia="Book Antiqua" w:hAnsi="Book Antiqua" w:cs="Book Antiqua"/>
          <w:color w:val="000000"/>
          <w:sz w:val="24"/>
        </w:rPr>
        <w:t xml:space="preserve">superior to other regimens. Age, prior therapy, and use of omeprazole or pantoprazole </w:t>
      </w:r>
      <w:r w:rsidR="00107FF8">
        <w:rPr>
          <w:rFonts w:ascii="Book Antiqua" w:eastAsia="Book Antiqua" w:hAnsi="Book Antiqua" w:cs="Book Antiqua"/>
          <w:color w:val="000000"/>
          <w:sz w:val="24"/>
        </w:rPr>
        <w:t xml:space="preserve">are </w:t>
      </w:r>
      <w:r>
        <w:rPr>
          <w:rFonts w:ascii="Book Antiqua" w:eastAsia="Book Antiqua" w:hAnsi="Book Antiqua" w:cs="Book Antiqua"/>
          <w:color w:val="000000"/>
          <w:sz w:val="24"/>
        </w:rPr>
        <w:t xml:space="preserve">independent risk factors </w:t>
      </w:r>
      <w:r w:rsidR="00107FF8">
        <w:rPr>
          <w:rFonts w:ascii="Book Antiqua" w:eastAsia="Book Antiqua" w:hAnsi="Book Antiqua" w:cs="Book Antiqua"/>
          <w:color w:val="000000"/>
          <w:sz w:val="24"/>
        </w:rPr>
        <w:t xml:space="preserve">for </w:t>
      </w:r>
      <w:r>
        <w:rPr>
          <w:rFonts w:ascii="Book Antiqua" w:eastAsia="Book Antiqua" w:hAnsi="Book Antiqua" w:cs="Book Antiqua"/>
          <w:color w:val="000000"/>
          <w:sz w:val="24"/>
        </w:rPr>
        <w:t>eradication failure.</w:t>
      </w:r>
    </w:p>
    <w:p w14:paraId="0E09F71E" w14:textId="77777777" w:rsidR="00C73C17" w:rsidRDefault="00C73C17" w:rsidP="00C73C17">
      <w:pPr>
        <w:spacing w:line="360" w:lineRule="auto"/>
      </w:pPr>
    </w:p>
    <w:p w14:paraId="2F59E821" w14:textId="77777777" w:rsidR="00C73C17" w:rsidRDefault="00C73C17" w:rsidP="00C73C17">
      <w:pPr>
        <w:spacing w:line="360" w:lineRule="auto"/>
      </w:pPr>
      <w:r>
        <w:rPr>
          <w:rFonts w:ascii="Book Antiqua" w:eastAsia="Book Antiqua" w:hAnsi="Book Antiqua" w:cs="Book Antiqua"/>
          <w:b/>
          <w:bCs/>
          <w:color w:val="000000"/>
          <w:sz w:val="24"/>
        </w:rPr>
        <w:t xml:space="preserve">Key words: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Eradication; Quadruple therapy; Proton pump inhibitor; Retrospective study</w:t>
      </w:r>
    </w:p>
    <w:p w14:paraId="272B169A" w14:textId="77777777" w:rsidR="00C73C17" w:rsidRDefault="00C73C17" w:rsidP="00C73C17">
      <w:pPr>
        <w:spacing w:line="360" w:lineRule="auto"/>
      </w:pPr>
    </w:p>
    <w:p w14:paraId="3B0ED8E7" w14:textId="0055A1EB" w:rsidR="00C73C17" w:rsidRDefault="00C73C17" w:rsidP="00C73C17">
      <w:pPr>
        <w:spacing w:line="360" w:lineRule="auto"/>
      </w:pPr>
      <w:r>
        <w:rPr>
          <w:rFonts w:ascii="Book Antiqua" w:eastAsia="Book Antiqua" w:hAnsi="Book Antiqua" w:cs="Book Antiqua"/>
          <w:color w:val="000000"/>
          <w:sz w:val="24"/>
        </w:rPr>
        <w:t>Yan TL, Gao JG, Wang J</w:t>
      </w:r>
      <w:r w:rsidR="00E3622D">
        <w:rPr>
          <w:rFonts w:ascii="Book Antiqua" w:eastAsia="Book Antiqua" w:hAnsi="Book Antiqua" w:cs="Book Antiqua"/>
          <w:color w:val="000000"/>
          <w:sz w:val="24"/>
        </w:rPr>
        <w:t>H</w:t>
      </w:r>
      <w:r>
        <w:rPr>
          <w:rFonts w:ascii="Book Antiqua" w:eastAsia="Book Antiqua" w:hAnsi="Book Antiqua" w:cs="Book Antiqua"/>
          <w:color w:val="000000"/>
          <w:sz w:val="24"/>
        </w:rPr>
        <w:t xml:space="preserve">, Chen D, Lu C, Xu CF. Current status of </w:t>
      </w:r>
      <w:r w:rsidRPr="00133A81">
        <w:rPr>
          <w:rFonts w:ascii="Book Antiqua" w:eastAsia="Book Antiqua" w:hAnsi="Book Antiqua" w:cs="Book Antiqua"/>
          <w:i/>
          <w:color w:val="000000"/>
          <w:sz w:val="24"/>
        </w:rPr>
        <w:t>Helicobacter pylori</w:t>
      </w:r>
      <w:r>
        <w:rPr>
          <w:rFonts w:ascii="Book Antiqua" w:eastAsia="Book Antiqua" w:hAnsi="Book Antiqua" w:cs="Book Antiqua"/>
          <w:color w:val="000000"/>
          <w:sz w:val="24"/>
        </w:rPr>
        <w:t xml:space="preserve"> eradication and risk factors </w:t>
      </w:r>
      <w:r w:rsidR="00107FF8">
        <w:rPr>
          <w:rFonts w:ascii="Book Antiqua" w:eastAsia="Book Antiqua" w:hAnsi="Book Antiqua" w:cs="Book Antiqua"/>
          <w:color w:val="000000"/>
          <w:sz w:val="24"/>
        </w:rPr>
        <w:t xml:space="preserve">for </w:t>
      </w:r>
      <w:r>
        <w:rPr>
          <w:rFonts w:ascii="Book Antiqua" w:eastAsia="Book Antiqua" w:hAnsi="Book Antiqua" w:cs="Book Antiqua"/>
          <w:color w:val="000000"/>
          <w:sz w:val="24"/>
        </w:rPr>
        <w:t xml:space="preserve">eradication failure.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2020; In press</w:t>
      </w:r>
    </w:p>
    <w:p w14:paraId="43A3F048" w14:textId="77777777" w:rsidR="00C73C17" w:rsidRDefault="00C73C17" w:rsidP="00C73C17">
      <w:pPr>
        <w:spacing w:line="360" w:lineRule="auto"/>
      </w:pPr>
    </w:p>
    <w:p w14:paraId="0345D63F" w14:textId="2F5624F1" w:rsidR="00C73C17" w:rsidRDefault="00C73C17" w:rsidP="00C73C17">
      <w:pPr>
        <w:spacing w:line="360" w:lineRule="auto"/>
      </w:pPr>
      <w:r>
        <w:rPr>
          <w:rFonts w:ascii="Book Antiqua" w:eastAsia="Book Antiqua" w:hAnsi="Book Antiqua" w:cs="Book Antiqua"/>
          <w:b/>
          <w:bCs/>
          <w:color w:val="000000"/>
          <w:sz w:val="24"/>
        </w:rPr>
        <w:t xml:space="preserve">Core tip: </w:t>
      </w:r>
      <w:r>
        <w:rPr>
          <w:rFonts w:ascii="Book Antiqua" w:eastAsia="Book Antiqua" w:hAnsi="Book Antiqua" w:cs="Book Antiqua"/>
          <w:color w:val="000000"/>
          <w:sz w:val="24"/>
        </w:rPr>
        <w:t xml:space="preserve">The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eradication rate is decreasing worldwide, and there is a lack of recent data from China. The current study of 14-d quadruple regimens in Eastern China revealed an eradication rate of 76.6%.</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Amoxicillin-containing regimens had the highest eradication rate in primary therapy, and amoxicillin-</w:t>
      </w:r>
      <w:r w:rsidR="00107FF8">
        <w:rPr>
          <w:rFonts w:ascii="Book Antiqua" w:eastAsia="Book Antiqua" w:hAnsi="Book Antiqua" w:cs="Book Antiqua"/>
          <w:color w:val="000000"/>
          <w:sz w:val="24"/>
        </w:rPr>
        <w:t xml:space="preserve"> 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-containing regimens showed superiority in rescue therapy. Age, prior therapy, and use of omeprazole or pantoprazole were independent risk factors </w:t>
      </w:r>
      <w:r w:rsidR="00107FF8">
        <w:rPr>
          <w:rFonts w:ascii="Book Antiqua" w:eastAsia="Book Antiqua" w:hAnsi="Book Antiqua" w:cs="Book Antiqua"/>
          <w:color w:val="000000"/>
          <w:sz w:val="24"/>
        </w:rPr>
        <w:t xml:space="preserve">for </w:t>
      </w:r>
      <w:r>
        <w:rPr>
          <w:rFonts w:ascii="Book Antiqua" w:eastAsia="Book Antiqua" w:hAnsi="Book Antiqua" w:cs="Book Antiqua"/>
          <w:color w:val="000000"/>
          <w:sz w:val="24"/>
        </w:rPr>
        <w:t xml:space="preserve">eradication failure. This study can improve </w:t>
      </w:r>
      <w:r w:rsidR="00B07121">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choice of antibiotics and proton pump inhibitors and indicates that in clinical practice, attention should be paid to elderly patients and rescue therapy.</w:t>
      </w:r>
    </w:p>
    <w:p w14:paraId="2938EB6E" w14:textId="77777777" w:rsidR="00C73C17" w:rsidRDefault="00C73C17" w:rsidP="00C73C17">
      <w:pPr>
        <w:spacing w:line="360" w:lineRule="auto"/>
      </w:pPr>
    </w:p>
    <w:p w14:paraId="07ACABD1" w14:textId="77777777" w:rsidR="00C73C17" w:rsidRDefault="00C73C17" w:rsidP="00C73C17">
      <w:pPr>
        <w:spacing w:line="360" w:lineRule="auto"/>
      </w:pPr>
      <w:r>
        <w:rPr>
          <w:rFonts w:ascii="Book Antiqua" w:eastAsia="Book Antiqua" w:hAnsi="Book Antiqua" w:cs="Book Antiqua"/>
          <w:b/>
          <w:color w:val="000000"/>
          <w:sz w:val="24"/>
          <w:u w:val="single"/>
        </w:rPr>
        <w:t>INTRODUCTION</w:t>
      </w:r>
    </w:p>
    <w:p w14:paraId="064814AC" w14:textId="16D4039A" w:rsidR="00C73C17" w:rsidRDefault="00C73C17" w:rsidP="00C73C17">
      <w:pPr>
        <w:spacing w:line="360" w:lineRule="auto"/>
      </w:pP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is a widespread bacterium that typically infects </w:t>
      </w:r>
      <w:r w:rsidR="00B07121">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human gastric mucosa. The infection may induce numerous gastrointestinal diseases, including gastritis, peptic ulcer, gastric carcinoma</w:t>
      </w:r>
      <w:r w:rsidR="00B0712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gastric </w:t>
      </w:r>
      <w:proofErr w:type="gramStart"/>
      <w:r>
        <w:rPr>
          <w:rFonts w:ascii="Book Antiqua" w:eastAsia="Book Antiqua" w:hAnsi="Book Antiqua" w:cs="Book Antiqua"/>
          <w:color w:val="000000"/>
          <w:sz w:val="24"/>
        </w:rPr>
        <w:t>lymphoma</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1-3]</w:t>
      </w:r>
      <w:r w:rsidR="00B07121">
        <w:rPr>
          <w:rFonts w:ascii="Book Antiqua" w:eastAsia="Book Antiqua" w:hAnsi="Book Antiqua" w:cs="Book Antiqua"/>
          <w:color w:val="000000"/>
          <w:sz w:val="24"/>
        </w:rPr>
        <w:t xml:space="preserve">, and it </w:t>
      </w:r>
      <w:r>
        <w:rPr>
          <w:rFonts w:ascii="Book Antiqua" w:eastAsia="Book Antiqua" w:hAnsi="Book Antiqua" w:cs="Book Antiqua"/>
          <w:color w:val="000000"/>
          <w:sz w:val="24"/>
        </w:rPr>
        <w:t xml:space="preserve">is also associated with significant </w:t>
      </w:r>
      <w:proofErr w:type="spellStart"/>
      <w:r>
        <w:rPr>
          <w:rFonts w:ascii="Book Antiqua" w:eastAsia="Book Antiqua" w:hAnsi="Book Antiqua" w:cs="Book Antiqua"/>
          <w:color w:val="000000"/>
          <w:sz w:val="24"/>
        </w:rPr>
        <w:t>extragastric</w:t>
      </w:r>
      <w:proofErr w:type="spellEnd"/>
      <w:r>
        <w:rPr>
          <w:rFonts w:ascii="Book Antiqua" w:eastAsia="Book Antiqua" w:hAnsi="Book Antiqua" w:cs="Book Antiqua"/>
          <w:color w:val="000000"/>
          <w:sz w:val="24"/>
        </w:rPr>
        <w:t xml:space="preserve"> diseases, such as idiopathic thrombocytopenic purpura, idiopathic iron deficiency anemia</w:t>
      </w:r>
      <w:r w:rsidR="00B0712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vitamin B12 deficiency</w:t>
      </w:r>
      <w:r>
        <w:rPr>
          <w:rFonts w:ascii="Book Antiqua" w:eastAsia="Book Antiqua" w:hAnsi="Book Antiqua" w:cs="Book Antiqua"/>
          <w:color w:val="000000"/>
          <w:sz w:val="24"/>
          <w:szCs w:val="30"/>
          <w:vertAlign w:val="superscript"/>
        </w:rPr>
        <w:t>[4]</w:t>
      </w:r>
      <w:r>
        <w:rPr>
          <w:rFonts w:ascii="Book Antiqua" w:eastAsia="Book Antiqua" w:hAnsi="Book Antiqua" w:cs="Book Antiqua"/>
          <w:color w:val="000000"/>
          <w:sz w:val="24"/>
        </w:rPr>
        <w:t xml:space="preserve">. Epidemical studies reported that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affects 24%</w:t>
      </w:r>
      <w:r w:rsidR="00133A81">
        <w:rPr>
          <w:rFonts w:ascii="Book Antiqua" w:eastAsia="Book Antiqua" w:hAnsi="Book Antiqua" w:cs="Book Antiqua"/>
          <w:color w:val="000000"/>
          <w:sz w:val="24"/>
        </w:rPr>
        <w:t>-</w:t>
      </w:r>
      <w:r>
        <w:rPr>
          <w:rFonts w:ascii="Book Antiqua" w:eastAsia="Book Antiqua" w:hAnsi="Book Antiqua" w:cs="Book Antiqua"/>
          <w:color w:val="000000"/>
          <w:sz w:val="24"/>
        </w:rPr>
        <w:t xml:space="preserve">50% of people in industrialized nations and up to 79% of those in less-developed countries.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is a worldwide threat </w:t>
      </w:r>
      <w:r>
        <w:rPr>
          <w:rFonts w:ascii="Book Antiqua" w:eastAsia="Book Antiqua" w:hAnsi="Book Antiqua" w:cs="Book Antiqua"/>
          <w:color w:val="000000"/>
          <w:sz w:val="24"/>
        </w:rPr>
        <w:lastRenderedPageBreak/>
        <w:t xml:space="preserve">to public </w:t>
      </w:r>
      <w:proofErr w:type="gramStart"/>
      <w:r>
        <w:rPr>
          <w:rFonts w:ascii="Book Antiqua" w:eastAsia="Book Antiqua" w:hAnsi="Book Antiqua" w:cs="Book Antiqua"/>
          <w:color w:val="000000"/>
          <w:sz w:val="24"/>
        </w:rPr>
        <w:t>health</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5]</w:t>
      </w:r>
      <w:r>
        <w:rPr>
          <w:rFonts w:ascii="Book Antiqua" w:eastAsia="Book Antiqua" w:hAnsi="Book Antiqua" w:cs="Book Antiqua"/>
          <w:color w:val="000000"/>
          <w:sz w:val="24"/>
        </w:rPr>
        <w:t>.</w:t>
      </w:r>
    </w:p>
    <w:p w14:paraId="164DB040" w14:textId="5E9ADA73" w:rsidR="00C73C17" w:rsidRDefault="00C73C17" w:rsidP="00C73C17">
      <w:pPr>
        <w:spacing w:line="360" w:lineRule="auto"/>
        <w:ind w:firstLine="480"/>
      </w:pPr>
      <w:r>
        <w:rPr>
          <w:rFonts w:ascii="Book Antiqua" w:eastAsia="Book Antiqua" w:hAnsi="Book Antiqua" w:cs="Book Antiqua"/>
          <w:color w:val="000000"/>
          <w:sz w:val="24"/>
        </w:rPr>
        <w:t>Currently,</w:t>
      </w:r>
      <w:r>
        <w:rPr>
          <w:rFonts w:ascii="Book Antiqua" w:eastAsia="Book Antiqua" w:hAnsi="Book Antiqua" w:cs="Book Antiqua"/>
          <w:i/>
          <w:iCs/>
          <w:color w:val="000000"/>
          <w:sz w:val="24"/>
        </w:rPr>
        <w:t xml:space="preserve"> H. pylori</w:t>
      </w:r>
      <w:r>
        <w:rPr>
          <w:rFonts w:ascii="Book Antiqua" w:eastAsia="Book Antiqua" w:hAnsi="Book Antiqua" w:cs="Book Antiqua"/>
          <w:color w:val="000000"/>
          <w:sz w:val="24"/>
        </w:rPr>
        <w:t xml:space="preserve"> infection is considered</w:t>
      </w:r>
      <w:r w:rsidR="00B07121">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the most important (yet controllable) risk factor for intestinal gastric cancer, as it accounts for the vast majority of cases of gastric cancer, which generally develops from </w:t>
      </w:r>
      <w:r w:rsidR="00B07121">
        <w:rPr>
          <w:rFonts w:ascii="Book Antiqua" w:eastAsia="Book Antiqua" w:hAnsi="Book Antiqua" w:cs="Book Antiqua"/>
          <w:color w:val="000000"/>
          <w:sz w:val="24"/>
        </w:rPr>
        <w:t xml:space="preserve">a </w:t>
      </w:r>
      <w:r>
        <w:rPr>
          <w:rFonts w:ascii="Book Antiqua" w:eastAsia="Book Antiqua" w:hAnsi="Book Antiqua" w:cs="Book Antiqua"/>
          <w:color w:val="000000"/>
          <w:sz w:val="24"/>
        </w:rPr>
        <w:t>normal gastric mucosa to superficial gastritis and pre-neoplastic lesions</w:t>
      </w:r>
      <w:r>
        <w:rPr>
          <w:rFonts w:ascii="Book Antiqua" w:eastAsia="Book Antiqua" w:hAnsi="Book Antiqua" w:cs="Book Antiqua"/>
          <w:color w:val="000000"/>
          <w:sz w:val="24"/>
          <w:szCs w:val="30"/>
          <w:vertAlign w:val="superscript"/>
        </w:rPr>
        <w:t>[6]</w:t>
      </w:r>
      <w:r>
        <w:rPr>
          <w:rFonts w:ascii="Book Antiqua" w:eastAsia="Book Antiqua" w:hAnsi="Book Antiqua" w:cs="Book Antiqua"/>
          <w:color w:val="000000"/>
          <w:sz w:val="24"/>
        </w:rPr>
        <w:t xml:space="preserve">. A large number of studies have confirmed that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screening and treatment strategies could prevent gastric cancer in a cost-effective way, especially before the appearance of pre-neoplastic lesions and in high-risk </w:t>
      </w:r>
      <w:proofErr w:type="gramStart"/>
      <w:r>
        <w:rPr>
          <w:rFonts w:ascii="Book Antiqua" w:eastAsia="Book Antiqua" w:hAnsi="Book Antiqua" w:cs="Book Antiqua"/>
          <w:color w:val="000000"/>
          <w:sz w:val="24"/>
        </w:rPr>
        <w:t>areas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7-9]</w:t>
      </w:r>
      <w:r>
        <w:rPr>
          <w:rFonts w:ascii="Book Antiqua" w:eastAsia="Book Antiqua" w:hAnsi="Book Antiqua" w:cs="Book Antiqua"/>
          <w:color w:val="000000"/>
          <w:sz w:val="24"/>
        </w:rPr>
        <w:t xml:space="preserve">. In recent decades, the urea breath test has been widely used to detect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not only in specialized hospitals but also in physical examination centers and community hospitals in China. This has led to large numbers of asymptomatic patients being referred to specialized clinics for </w:t>
      </w:r>
      <w:proofErr w:type="gramStart"/>
      <w:r>
        <w:rPr>
          <w:rFonts w:ascii="Book Antiqua" w:eastAsia="Book Antiqua" w:hAnsi="Book Antiqua" w:cs="Book Antiqua"/>
          <w:color w:val="000000"/>
          <w:sz w:val="24"/>
        </w:rPr>
        <w:t>treatment</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10]</w:t>
      </w:r>
      <w:r>
        <w:rPr>
          <w:rFonts w:ascii="Book Antiqua" w:eastAsia="Book Antiqua" w:hAnsi="Book Antiqua" w:cs="Book Antiqua"/>
          <w:color w:val="000000"/>
          <w:sz w:val="24"/>
        </w:rPr>
        <w:t>.</w:t>
      </w:r>
    </w:p>
    <w:p w14:paraId="3D6F4FB5" w14:textId="42544F80" w:rsidR="00C73C17" w:rsidRDefault="00C73C17" w:rsidP="00C73C17">
      <w:pPr>
        <w:spacing w:line="360" w:lineRule="auto"/>
        <w:ind w:firstLine="480"/>
      </w:pPr>
      <w:r>
        <w:rPr>
          <w:rFonts w:ascii="Book Antiqua" w:eastAsia="Book Antiqua" w:hAnsi="Book Antiqua" w:cs="Book Antiqua"/>
          <w:color w:val="000000"/>
          <w:sz w:val="24"/>
        </w:rPr>
        <w:t xml:space="preserve">However,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 xml:space="preserve">eradication therapies are facing decreasing eradication rates, mainly owing to antimicrobial resistance, and are partially influenced by the efficacy of acid-suppressive </w:t>
      </w:r>
      <w:proofErr w:type="gramStart"/>
      <w:r>
        <w:rPr>
          <w:rFonts w:ascii="Book Antiqua" w:eastAsia="Book Antiqua" w:hAnsi="Book Antiqua" w:cs="Book Antiqua"/>
          <w:color w:val="000000"/>
          <w:sz w:val="24"/>
        </w:rPr>
        <w:t>drugs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11]</w:t>
      </w:r>
      <w:r>
        <w:rPr>
          <w:rFonts w:ascii="Book Antiqua" w:eastAsia="Book Antiqua" w:hAnsi="Book Antiqua" w:cs="Book Antiqua"/>
          <w:color w:val="000000"/>
          <w:sz w:val="24"/>
        </w:rPr>
        <w:t xml:space="preserve">. Recent guidelines recommend 14-d combination therapies with two types of antibiotics, a proton pump inhibitor (PPI) and </w:t>
      </w:r>
      <w:proofErr w:type="gramStart"/>
      <w:r>
        <w:rPr>
          <w:rFonts w:ascii="Book Antiqua" w:eastAsia="Book Antiqua" w:hAnsi="Book Antiqua" w:cs="Book Antiqua"/>
          <w:color w:val="000000"/>
          <w:sz w:val="24"/>
        </w:rPr>
        <w:t>bismuth</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12,13]</w:t>
      </w:r>
      <w:r>
        <w:rPr>
          <w:rFonts w:ascii="Book Antiqua" w:eastAsia="Book Antiqua" w:hAnsi="Book Antiqua" w:cs="Book Antiqua"/>
          <w:color w:val="000000"/>
          <w:sz w:val="24"/>
        </w:rPr>
        <w:t xml:space="preserve">. Studies using susceptibility tests based on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strains cultured </w:t>
      </w:r>
      <w:r>
        <w:rPr>
          <w:rFonts w:ascii="Book Antiqua" w:eastAsia="Book Antiqua" w:hAnsi="Book Antiqua" w:cs="Book Antiqua"/>
          <w:i/>
          <w:iCs/>
          <w:color w:val="000000"/>
          <w:sz w:val="24"/>
        </w:rPr>
        <w:t xml:space="preserve">in vitro </w:t>
      </w:r>
      <w:r>
        <w:rPr>
          <w:rFonts w:ascii="Book Antiqua" w:eastAsia="Book Antiqua" w:hAnsi="Book Antiqua" w:cs="Book Antiqua"/>
          <w:color w:val="000000"/>
          <w:sz w:val="24"/>
        </w:rPr>
        <w:t>and prospective studies with relatively small sample sizes reported increasing resistance rates to clarithromycin, metronidazole</w:t>
      </w:r>
      <w:r w:rsidR="00B0712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levofloxacin, while resistance rates to amoxicillin, tetracycline</w:t>
      </w:r>
      <w:r w:rsidR="00B0712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 were low</w:t>
      </w:r>
      <w:r>
        <w:rPr>
          <w:rFonts w:ascii="Book Antiqua" w:eastAsia="Book Antiqua" w:hAnsi="Book Antiqua" w:cs="Book Antiqua"/>
          <w:color w:val="000000"/>
          <w:sz w:val="24"/>
          <w:szCs w:val="30"/>
          <w:vertAlign w:val="superscript"/>
        </w:rPr>
        <w:t>[14,15]</w:t>
      </w:r>
      <w:r>
        <w:rPr>
          <w:rFonts w:ascii="Book Antiqua" w:eastAsia="Book Antiqua" w:hAnsi="Book Antiqua" w:cs="Book Antiqua"/>
          <w:color w:val="000000"/>
          <w:sz w:val="24"/>
        </w:rPr>
        <w:t>. However, there is a scarcity of eradication data from large-sample size studies of real-world practice, which are important for formulating future guidelines and conducting clinical work in China. Moreover, it remains uncertain whether the acidic environment in the stomach during therapy, prior therapy, and demographic characteristics are related to eradication failure.</w:t>
      </w:r>
    </w:p>
    <w:p w14:paraId="72519F07" w14:textId="75BB4DC2" w:rsidR="00C73C17" w:rsidRDefault="00C73C17" w:rsidP="00C73C17">
      <w:pPr>
        <w:spacing w:line="360" w:lineRule="auto"/>
        <w:ind w:firstLine="480"/>
      </w:pPr>
      <w:r>
        <w:rPr>
          <w:rFonts w:ascii="Book Antiqua" w:eastAsia="Book Antiqua" w:hAnsi="Book Antiqua" w:cs="Book Antiqua"/>
          <w:color w:val="000000"/>
          <w:sz w:val="24"/>
        </w:rPr>
        <w:t xml:space="preserve">In this study, we reviewed the medical records of a large series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positive patients from the First Affiliated Hospital, Zhejiang University School of Medicine. We evaluated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w:t>
      </w:r>
      <w:r w:rsidR="00B07121">
        <w:rPr>
          <w:rFonts w:ascii="Book Antiqua" w:eastAsia="Book Antiqua" w:hAnsi="Book Antiqua" w:cs="Book Antiqua"/>
          <w:color w:val="000000"/>
          <w:sz w:val="24"/>
        </w:rPr>
        <w:t xml:space="preserve">status </w:t>
      </w:r>
      <w:r>
        <w:rPr>
          <w:rFonts w:ascii="Book Antiqua" w:eastAsia="Book Antiqua" w:hAnsi="Book Antiqua" w:cs="Book Antiqua"/>
          <w:color w:val="000000"/>
          <w:sz w:val="24"/>
        </w:rPr>
        <w:t>in the local population of Eastern China in real clinical practice and explored factors related to therapy failure.</w:t>
      </w:r>
    </w:p>
    <w:p w14:paraId="404ECC4D" w14:textId="77777777" w:rsidR="00C73C17" w:rsidRDefault="00C73C17" w:rsidP="00A72096">
      <w:pPr>
        <w:spacing w:line="360" w:lineRule="auto"/>
      </w:pPr>
    </w:p>
    <w:p w14:paraId="2A006A16" w14:textId="77777777" w:rsidR="00C73C17" w:rsidRDefault="00C73C17" w:rsidP="00C73C17">
      <w:pPr>
        <w:spacing w:line="360" w:lineRule="auto"/>
      </w:pPr>
      <w:r>
        <w:rPr>
          <w:rFonts w:ascii="Book Antiqua" w:eastAsia="Book Antiqua" w:hAnsi="Book Antiqua" w:cs="Book Antiqua"/>
          <w:b/>
          <w:color w:val="000000"/>
          <w:sz w:val="24"/>
          <w:u w:val="single"/>
        </w:rPr>
        <w:t>MATERIALS AND METHODS</w:t>
      </w:r>
    </w:p>
    <w:p w14:paraId="6CF285BD" w14:textId="77777777" w:rsidR="00C73C17" w:rsidRDefault="00C73C17" w:rsidP="00C73C17">
      <w:pPr>
        <w:spacing w:line="360" w:lineRule="auto"/>
      </w:pPr>
      <w:r>
        <w:rPr>
          <w:rFonts w:ascii="Book Antiqua" w:eastAsia="Book Antiqua" w:hAnsi="Book Antiqua" w:cs="Book Antiqua"/>
          <w:b/>
          <w:bCs/>
          <w:i/>
          <w:iCs/>
          <w:color w:val="000000"/>
          <w:sz w:val="24"/>
        </w:rPr>
        <w:lastRenderedPageBreak/>
        <w:t>Study design and research subjects</w:t>
      </w:r>
    </w:p>
    <w:p w14:paraId="2F0182E5" w14:textId="77777777" w:rsidR="00C73C17" w:rsidRDefault="00C73C17" w:rsidP="00C73C17">
      <w:pPr>
        <w:spacing w:line="360" w:lineRule="auto"/>
      </w:pPr>
      <w:r>
        <w:rPr>
          <w:rFonts w:ascii="Book Antiqua" w:eastAsia="Book Antiqua" w:hAnsi="Book Antiqua" w:cs="Book Antiqua"/>
          <w:color w:val="000000"/>
          <w:sz w:val="24"/>
        </w:rPr>
        <w:t xml:space="preserve">All of the patients diagnosed with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in the electronic medical records obtained from the First Affiliated Hospital, Zhejiang University School of Medicine (Hangzhou, China) between June 2018 and May 2019 were included. In addition, separate databases of laboratory test, endoscopy, and pathology results were searched. Anonymized information of each patient was linked to a unique identification number. Two clinicians checked the therapy regimens independently.</w:t>
      </w:r>
    </w:p>
    <w:p w14:paraId="00F301AB" w14:textId="337239E1" w:rsidR="00C73C17" w:rsidRDefault="00C73C17" w:rsidP="00A72096">
      <w:pPr>
        <w:spacing w:line="360" w:lineRule="auto"/>
        <w:ind w:firstLineChars="100" w:firstLine="240"/>
      </w:pPr>
      <w:r>
        <w:rPr>
          <w:rFonts w:ascii="Book Antiqua" w:eastAsia="Book Antiqua" w:hAnsi="Book Antiqua" w:cs="Book Antiqua"/>
          <w:color w:val="000000"/>
          <w:sz w:val="24"/>
        </w:rPr>
        <w:t>The inclusion criteria were the following:</w:t>
      </w:r>
      <w:r w:rsidR="00A72096">
        <w:rPr>
          <w:rFonts w:hint="eastAsia"/>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1</w:t>
      </w:r>
      <w:r>
        <w:rPr>
          <w:rFonts w:ascii="Book Antiqua" w:eastAsia="Book Antiqua" w:hAnsi="Book Antiqua" w:cs="Book Antiqua"/>
          <w:color w:val="000000"/>
          <w:sz w:val="24"/>
        </w:rPr>
        <w:t>) The general and clinical information and the prescription records were complete and available</w:t>
      </w:r>
      <w:r w:rsidR="0067263D">
        <w:rPr>
          <w:rFonts w:ascii="Book Antiqua" w:eastAsia="Book Antiqua" w:hAnsi="Book Antiqua" w:cs="Book Antiqua"/>
          <w:color w:val="000000"/>
          <w:sz w:val="24"/>
        </w:rPr>
        <w:t>;</w:t>
      </w:r>
      <w:r w:rsidR="0067263D">
        <w:rPr>
          <w:rFonts w:hint="eastAsia"/>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2</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status before treatment was directly determined by one or more of the standard detection methods (urea breath test, histologic staining</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and/or bacterial culture</w:t>
      </w:r>
      <w:r w:rsidR="0067263D">
        <w:rPr>
          <w:rFonts w:ascii="Book Antiqua" w:eastAsia="Book Antiqua" w:hAnsi="Book Antiqua" w:cs="Book Antiqua"/>
          <w:color w:val="000000"/>
          <w:sz w:val="24"/>
        </w:rPr>
        <w:t>);</w:t>
      </w:r>
      <w:r w:rsidR="0067263D">
        <w:rPr>
          <w:rFonts w:hint="eastAsia"/>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3</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patients </w:t>
      </w:r>
      <w:r>
        <w:rPr>
          <w:rFonts w:ascii="Book Antiqua" w:eastAsia="Book Antiqua" w:hAnsi="Book Antiqua" w:cs="Book Antiqua"/>
          <w:color w:val="000000"/>
          <w:sz w:val="24"/>
        </w:rPr>
        <w:t xml:space="preserve">received quadruple therapy for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 xml:space="preserve">infection according to the standard antibiotic combinations and dosages of the “Fifth Chinese National Consensus Report on the management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which highlights bismuth-containing quadruple therapy (PPI, bismuth, and two antibiotics) as the main empirical therapy for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eradication</w:t>
      </w:r>
      <w:r>
        <w:rPr>
          <w:rFonts w:ascii="Book Antiqua" w:eastAsia="Book Antiqua" w:hAnsi="Book Antiqua" w:cs="Book Antiqua"/>
          <w:color w:val="000000"/>
          <w:sz w:val="24"/>
          <w:szCs w:val="30"/>
          <w:vertAlign w:val="superscript"/>
        </w:rPr>
        <w:t>[12</w:t>
      </w:r>
      <w:r w:rsidR="0067263D">
        <w:rPr>
          <w:rFonts w:ascii="Book Antiqua" w:eastAsia="Book Antiqua" w:hAnsi="Book Antiqua" w:cs="Book Antiqua"/>
          <w:color w:val="000000"/>
          <w:sz w:val="24"/>
          <w:szCs w:val="30"/>
          <w:vertAlign w:val="superscript"/>
        </w:rPr>
        <w:t>]</w:t>
      </w:r>
      <w:r w:rsidR="0067263D">
        <w:rPr>
          <w:rFonts w:ascii="Book Antiqua" w:eastAsia="Book Antiqua" w:hAnsi="Book Antiqua" w:cs="Book Antiqua"/>
          <w:color w:val="000000"/>
          <w:sz w:val="24"/>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4</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treatment lasted 14 d</w:t>
      </w:r>
      <w:r w:rsidR="0067263D">
        <w:rPr>
          <w:rFonts w:ascii="Book Antiqua" w:eastAsia="Book Antiqua" w:hAnsi="Book Antiqua" w:cs="Book Antiqua"/>
          <w:color w:val="000000"/>
          <w:sz w:val="24"/>
        </w:rPr>
        <w:t>;</w:t>
      </w:r>
      <w:r w:rsidR="0067263D">
        <w:rPr>
          <w:rFonts w:hint="eastAsia"/>
        </w:rPr>
        <w:t xml:space="preserve"> </w:t>
      </w:r>
      <w:r w:rsidR="0067263D">
        <w:rPr>
          <w:rFonts w:ascii="Book Antiqua" w:eastAsia="Book Antiqua" w:hAnsi="Book Antiqua" w:cs="Book Antiqua"/>
          <w:color w:val="000000"/>
          <w:sz w:val="24"/>
        </w:rPr>
        <w:t>a</w:t>
      </w:r>
      <w:r w:rsidR="0067263D" w:rsidRPr="00A72096">
        <w:rPr>
          <w:rFonts w:ascii="Book Antiqua" w:hAnsi="Book Antiqua"/>
          <w:sz w:val="24"/>
          <w:szCs w:val="24"/>
        </w:rPr>
        <w:t>nd</w:t>
      </w:r>
      <w:r w:rsidR="0067263D" w:rsidRPr="00A72096">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5</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test </w:t>
      </w:r>
      <w:r>
        <w:rPr>
          <w:rFonts w:ascii="Book Antiqua" w:eastAsia="Book Antiqua" w:hAnsi="Book Antiqua" w:cs="Book Antiqua"/>
          <w:color w:val="000000"/>
          <w:sz w:val="24"/>
        </w:rPr>
        <w:t xml:space="preserve">of cure: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status was confirmed by urea breath test 4</w:t>
      </w:r>
      <w:r w:rsidR="00204655">
        <w:rPr>
          <w:rFonts w:ascii="Book Antiqua" w:eastAsia="Book Antiqua" w:hAnsi="Book Antiqua" w:cs="Book Antiqua"/>
          <w:color w:val="000000"/>
          <w:sz w:val="24"/>
        </w:rPr>
        <w:t>-</w:t>
      </w:r>
      <w:r>
        <w:rPr>
          <w:rFonts w:ascii="Book Antiqua" w:eastAsia="Book Antiqua" w:hAnsi="Book Antiqua" w:cs="Book Antiqua"/>
          <w:color w:val="000000"/>
          <w:sz w:val="24"/>
        </w:rPr>
        <w:t xml:space="preserve">8 </w:t>
      </w:r>
      <w:proofErr w:type="spellStart"/>
      <w:r>
        <w:rPr>
          <w:rFonts w:ascii="Book Antiqua" w:eastAsia="Book Antiqua" w:hAnsi="Book Antiqua" w:cs="Book Antiqua"/>
          <w:color w:val="000000"/>
          <w:sz w:val="24"/>
        </w:rPr>
        <w:t>wk</w:t>
      </w:r>
      <w:proofErr w:type="spellEnd"/>
      <w:r>
        <w:rPr>
          <w:rFonts w:ascii="Book Antiqua" w:eastAsia="Book Antiqua" w:hAnsi="Book Antiqua" w:cs="Book Antiqua"/>
          <w:color w:val="000000"/>
          <w:sz w:val="24"/>
        </w:rPr>
        <w:t xml:space="preserve"> after the end of treatment.</w:t>
      </w:r>
    </w:p>
    <w:p w14:paraId="7F71529A" w14:textId="40232A54" w:rsidR="00C73C17" w:rsidRDefault="00C73C17" w:rsidP="00204655">
      <w:pPr>
        <w:spacing w:line="360" w:lineRule="auto"/>
        <w:ind w:firstLineChars="100" w:firstLine="240"/>
      </w:pPr>
      <w:r>
        <w:rPr>
          <w:rFonts w:ascii="Book Antiqua" w:eastAsia="Book Antiqua" w:hAnsi="Book Antiqua" w:cs="Book Antiqua"/>
          <w:color w:val="000000"/>
          <w:sz w:val="24"/>
        </w:rPr>
        <w:t>The exclusion criteria were the following:</w:t>
      </w:r>
      <w:r w:rsidR="00204655">
        <w:rPr>
          <w:rFonts w:hint="eastAsia"/>
        </w:rPr>
        <w:t xml:space="preserve"> </w:t>
      </w:r>
      <w:r>
        <w:rPr>
          <w:rFonts w:ascii="Book Antiqua" w:eastAsia="Book Antiqua" w:hAnsi="Book Antiqua" w:cs="Book Antiqua"/>
          <w:color w:val="000000"/>
          <w:sz w:val="24"/>
        </w:rPr>
        <w:t>(</w:t>
      </w:r>
      <w:r w:rsidR="00204655">
        <w:rPr>
          <w:rFonts w:ascii="Book Antiqua" w:eastAsia="Book Antiqua" w:hAnsi="Book Antiqua" w:cs="Book Antiqua"/>
          <w:color w:val="000000"/>
          <w:sz w:val="24"/>
        </w:rPr>
        <w:t>1</w:t>
      </w:r>
      <w:r>
        <w:rPr>
          <w:rFonts w:ascii="Book Antiqua" w:eastAsia="Book Antiqua" w:hAnsi="Book Antiqua" w:cs="Book Antiqua"/>
          <w:color w:val="000000"/>
          <w:sz w:val="24"/>
        </w:rPr>
        <w:t>) Patients who were lost to follow-up o</w:t>
      </w:r>
      <w:r w:rsidR="00204655">
        <w:rPr>
          <w:rFonts w:ascii="Book Antiqua" w:eastAsia="Book Antiqua" w:hAnsi="Book Antiqua" w:cs="Book Antiqua"/>
          <w:color w:val="000000"/>
          <w:sz w:val="24"/>
        </w:rPr>
        <w:t xml:space="preserve">r changed the therapy regimen; and </w:t>
      </w:r>
      <w:r>
        <w:rPr>
          <w:rFonts w:ascii="Book Antiqua" w:eastAsia="Book Antiqua" w:hAnsi="Book Antiqua" w:cs="Book Antiqua"/>
          <w:color w:val="000000"/>
          <w:sz w:val="24"/>
        </w:rPr>
        <w:t>(</w:t>
      </w:r>
      <w:r w:rsidR="00204655">
        <w:rPr>
          <w:rFonts w:ascii="Book Antiqua" w:eastAsia="Book Antiqua" w:hAnsi="Book Antiqua" w:cs="Book Antiqua"/>
          <w:color w:val="000000"/>
          <w:sz w:val="24"/>
        </w:rPr>
        <w:t>2</w:t>
      </w:r>
      <w:r>
        <w:rPr>
          <w:rFonts w:ascii="Book Antiqua" w:eastAsia="Book Antiqua" w:hAnsi="Book Antiqua" w:cs="Book Antiqua"/>
          <w:color w:val="000000"/>
          <w:sz w:val="24"/>
        </w:rPr>
        <w:t xml:space="preserve">) </w:t>
      </w:r>
      <w:r w:rsidR="0067263D">
        <w:rPr>
          <w:rFonts w:ascii="Book Antiqua" w:eastAsia="Book Antiqua" w:hAnsi="Book Antiqua" w:cs="Book Antiqua"/>
          <w:color w:val="000000"/>
          <w:sz w:val="24"/>
        </w:rPr>
        <w:t xml:space="preserve">therapies </w:t>
      </w:r>
      <w:r>
        <w:rPr>
          <w:rFonts w:ascii="Book Antiqua" w:eastAsia="Book Antiqua" w:hAnsi="Book Antiqua" w:cs="Book Antiqua"/>
          <w:color w:val="000000"/>
          <w:sz w:val="24"/>
        </w:rPr>
        <w:t>that included other drugs, such as probiotics and/or Chinese traditional medicines.</w:t>
      </w:r>
    </w:p>
    <w:p w14:paraId="397AE792" w14:textId="77777777" w:rsidR="00C73C17" w:rsidRDefault="00C73C17" w:rsidP="00760528">
      <w:pPr>
        <w:spacing w:line="360" w:lineRule="auto"/>
        <w:ind w:firstLineChars="100" w:firstLine="240"/>
      </w:pPr>
      <w:r>
        <w:rPr>
          <w:rFonts w:ascii="Book Antiqua" w:eastAsia="Book Antiqua" w:hAnsi="Book Antiqua" w:cs="Book Antiqua"/>
          <w:color w:val="000000"/>
          <w:sz w:val="24"/>
        </w:rPr>
        <w:t>The study protocol was approved by the Clinical Research Ethics Committee of the First Affiliated Hospital, Zhejiang University School of Medicine.</w:t>
      </w:r>
    </w:p>
    <w:p w14:paraId="3B12A13C" w14:textId="77777777" w:rsidR="00C73C17" w:rsidRDefault="00C73C17" w:rsidP="00962F3C">
      <w:pPr>
        <w:spacing w:line="360" w:lineRule="auto"/>
      </w:pPr>
    </w:p>
    <w:p w14:paraId="54C0426D" w14:textId="77777777" w:rsidR="00C73C17" w:rsidRDefault="00C73C17" w:rsidP="00C73C17">
      <w:pPr>
        <w:spacing w:line="360" w:lineRule="auto"/>
      </w:pPr>
      <w:r>
        <w:rPr>
          <w:rFonts w:ascii="Book Antiqua" w:eastAsia="Book Antiqua" w:hAnsi="Book Antiqua" w:cs="Book Antiqua"/>
          <w:b/>
          <w:bCs/>
          <w:i/>
          <w:iCs/>
          <w:color w:val="000000"/>
          <w:sz w:val="24"/>
        </w:rPr>
        <w:t>Statistical analysis</w:t>
      </w:r>
    </w:p>
    <w:p w14:paraId="6EC1424F" w14:textId="0404852D" w:rsidR="00C73C17" w:rsidRDefault="00C73C17" w:rsidP="00C73C17">
      <w:pPr>
        <w:spacing w:line="360" w:lineRule="auto"/>
      </w:pPr>
      <w:r>
        <w:rPr>
          <w:rFonts w:ascii="Book Antiqua" w:eastAsia="Book Antiqua" w:hAnsi="Book Antiqua" w:cs="Book Antiqua"/>
          <w:color w:val="000000"/>
          <w:sz w:val="24"/>
        </w:rPr>
        <w:t>Statistical analyses were performed using SPSS version 22.0 (IBM SPSS Statistics, IBM Corporation, Armonk, NY, USA). Categorical variables are displayed as frequencies and proportions (%). Continuous variables are presented as the mean and standard deviation (SD) unless otherwise stated. Continuous variables were compared by Student’s</w:t>
      </w:r>
      <w:r>
        <w:rPr>
          <w:rFonts w:ascii="Book Antiqua" w:eastAsia="Book Antiqua" w:hAnsi="Book Antiqua" w:cs="Book Antiqua"/>
          <w:i/>
          <w:iCs/>
          <w:color w:val="000000"/>
          <w:sz w:val="24"/>
        </w:rPr>
        <w:t xml:space="preserve"> t</w:t>
      </w:r>
      <w:r>
        <w:rPr>
          <w:rFonts w:ascii="Book Antiqua" w:eastAsia="Book Antiqua" w:hAnsi="Book Antiqua" w:cs="Book Antiqua"/>
          <w:color w:val="000000"/>
          <w:sz w:val="24"/>
        </w:rPr>
        <w:t xml:space="preserve">-test or one-way ANOVA. Categorical variables were compared using the </w:t>
      </w:r>
      <w:r>
        <w:rPr>
          <w:rFonts w:ascii="Book Antiqua" w:eastAsia="Book Antiqua" w:hAnsi="Book Antiqua" w:cs="Book Antiqua"/>
          <w:i/>
          <w:iCs/>
          <w:color w:val="000000"/>
          <w:sz w:val="24"/>
        </w:rPr>
        <w:t>χ</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lastRenderedPageBreak/>
        <w:t>test. The Cochran</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 xml:space="preserve">Armitage trend test was used to analyze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rates in the different age groups. A stepwise logistic regression analysis was performed to examine the relationship between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failure and risk factors (probability to enter = 0.05 and probability to remove = 0.10). Two-tailed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values &lt; 0.05 were considered to indicate statistical significance.</w:t>
      </w:r>
    </w:p>
    <w:p w14:paraId="0719D46D" w14:textId="77777777" w:rsidR="00C73C17" w:rsidRDefault="00C73C17" w:rsidP="00C73C17">
      <w:pPr>
        <w:spacing w:line="360" w:lineRule="auto"/>
      </w:pPr>
    </w:p>
    <w:p w14:paraId="04F719AA" w14:textId="77777777" w:rsidR="00C73C17" w:rsidRDefault="00C73C17" w:rsidP="00C73C17">
      <w:pPr>
        <w:spacing w:line="360" w:lineRule="auto"/>
      </w:pPr>
      <w:r>
        <w:rPr>
          <w:rFonts w:ascii="Book Antiqua" w:eastAsia="Book Antiqua" w:hAnsi="Book Antiqua" w:cs="Book Antiqua"/>
          <w:b/>
          <w:color w:val="000000"/>
          <w:sz w:val="24"/>
          <w:u w:val="single"/>
        </w:rPr>
        <w:t>RESULTS</w:t>
      </w:r>
    </w:p>
    <w:p w14:paraId="16A04DDA" w14:textId="77777777" w:rsidR="00C73C17" w:rsidRDefault="00C73C17" w:rsidP="00C73C17">
      <w:pPr>
        <w:spacing w:line="360" w:lineRule="auto"/>
      </w:pPr>
      <w:r>
        <w:rPr>
          <w:rFonts w:ascii="Book Antiqua" w:eastAsia="Book Antiqua" w:hAnsi="Book Antiqua" w:cs="Book Antiqua"/>
          <w:b/>
          <w:bCs/>
          <w:i/>
          <w:iCs/>
          <w:color w:val="000000"/>
          <w:sz w:val="24"/>
        </w:rPr>
        <w:t>Patient selection and clinical characteristics</w:t>
      </w:r>
    </w:p>
    <w:p w14:paraId="1ED7556D" w14:textId="635C4A4C" w:rsidR="00C73C17" w:rsidRDefault="00C73C17" w:rsidP="00C73C17">
      <w:pPr>
        <w:spacing w:line="360" w:lineRule="auto"/>
      </w:pPr>
      <w:r>
        <w:rPr>
          <w:rFonts w:ascii="Book Antiqua" w:eastAsia="Book Antiqua" w:hAnsi="Book Antiqua" w:cs="Book Antiqua"/>
          <w:color w:val="000000"/>
          <w:sz w:val="24"/>
        </w:rPr>
        <w:t xml:space="preserve">A total of 2652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-positive patients received 14-d quadruple therapy between June 2018 and May 2019 and took the urea breath test 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 xml:space="preserve">8 </w:t>
      </w:r>
      <w:proofErr w:type="spellStart"/>
      <w:r>
        <w:rPr>
          <w:rFonts w:ascii="Book Antiqua" w:eastAsia="Book Antiqua" w:hAnsi="Book Antiqua" w:cs="Book Antiqua"/>
          <w:color w:val="000000"/>
          <w:sz w:val="24"/>
        </w:rPr>
        <w:t>wk</w:t>
      </w:r>
      <w:proofErr w:type="spellEnd"/>
      <w:r>
        <w:rPr>
          <w:rFonts w:ascii="Book Antiqua" w:eastAsia="Book Antiqua" w:hAnsi="Book Antiqua" w:cs="Book Antiqua"/>
          <w:color w:val="000000"/>
          <w:sz w:val="24"/>
        </w:rPr>
        <w:t xml:space="preserve"> later. We excluded 34 patients because the therapy regimens were changed due to drug intolerance. We also excluded another </w:t>
      </w:r>
      <w:r w:rsidR="0067263D">
        <w:rPr>
          <w:rFonts w:ascii="Book Antiqua" w:eastAsia="Book Antiqua" w:hAnsi="Book Antiqua" w:cs="Book Antiqua"/>
          <w:color w:val="000000"/>
          <w:sz w:val="24"/>
        </w:rPr>
        <w:t xml:space="preserve">five </w:t>
      </w:r>
      <w:r>
        <w:rPr>
          <w:rFonts w:ascii="Book Antiqua" w:eastAsia="Book Antiqua" w:hAnsi="Book Antiqua" w:cs="Book Antiqua"/>
          <w:color w:val="000000"/>
          <w:sz w:val="24"/>
        </w:rPr>
        <w:t xml:space="preserve">patients who received amoxicillin plus metronidazole-based therapy and </w:t>
      </w:r>
      <w:r w:rsidR="0067263D">
        <w:rPr>
          <w:rFonts w:ascii="Book Antiqua" w:eastAsia="Book Antiqua" w:hAnsi="Book Antiqua" w:cs="Book Antiqua"/>
          <w:color w:val="000000"/>
          <w:sz w:val="24"/>
        </w:rPr>
        <w:t xml:space="preserve">three </w:t>
      </w:r>
      <w:r>
        <w:rPr>
          <w:rFonts w:ascii="Book Antiqua" w:eastAsia="Book Antiqua" w:hAnsi="Book Antiqua" w:cs="Book Antiqua"/>
          <w:color w:val="000000"/>
          <w:sz w:val="24"/>
        </w:rPr>
        <w:t>patients who received levofloxacin plus metronidazole-based therapy owing to the small sample sizes. Finally, 2610 patients (1088 men and 1522 women) with a mean age of 44.53 ± 14.43 years were included in the analyses (Figure 1).</w:t>
      </w:r>
    </w:p>
    <w:p w14:paraId="45F4F709" w14:textId="669B200C" w:rsidR="00C73C17" w:rsidRDefault="00C73C17" w:rsidP="00C73C17">
      <w:pPr>
        <w:spacing w:line="360" w:lineRule="auto"/>
        <w:ind w:firstLine="480"/>
      </w:pPr>
      <w:r>
        <w:rPr>
          <w:rFonts w:ascii="Book Antiqua" w:eastAsia="Book Antiqua" w:hAnsi="Book Antiqua" w:cs="Book Antiqua"/>
          <w:color w:val="000000"/>
          <w:sz w:val="24"/>
        </w:rPr>
        <w:t xml:space="preserve">Of the 2610 patients, 373 (14.3%) had a prior history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treatment, and 2237 (85.7%) did not (Table 1). One or more symptoms were observed in 1301 (49.8%) patients, including upper abdominal pain (15.6%), abdominal distension (24.6%), nausea (5.3%), acid regurgitation or heartburn (9.6%), bitter taste in the mouth (6.0%), belching (8.6%), increased stool frequency (5.5%)</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others (5.8%). A total of 1390 (53.3%) patients underwent gastroscopy before or after therapy, 244 had at least one peptic ulcer, 416 had atrophy, intestinal metaplasia</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or dysplasia, as determined by biopsy histology</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17 were diagnosed with MALT lymphoma or gastric cancer (Table 1).</w:t>
      </w:r>
    </w:p>
    <w:p w14:paraId="61B5F633" w14:textId="77777777" w:rsidR="00C73C17" w:rsidRPr="0067263D" w:rsidRDefault="00C73C17" w:rsidP="00C73C17">
      <w:pPr>
        <w:spacing w:line="360" w:lineRule="auto"/>
        <w:ind w:firstLine="480"/>
      </w:pPr>
    </w:p>
    <w:p w14:paraId="1CB2EBE1" w14:textId="77777777" w:rsidR="00C73C17" w:rsidRDefault="00C73C17" w:rsidP="00C73C17">
      <w:pPr>
        <w:spacing w:line="360" w:lineRule="auto"/>
      </w:pPr>
      <w:r>
        <w:rPr>
          <w:rFonts w:ascii="Book Antiqua" w:eastAsia="Book Antiqua" w:hAnsi="Book Antiqua" w:cs="Book Antiqua"/>
          <w:b/>
          <w:bCs/>
          <w:i/>
          <w:iCs/>
          <w:color w:val="000000"/>
          <w:sz w:val="24"/>
        </w:rPr>
        <w:t>Helicobacter pylori eradication rates</w:t>
      </w:r>
    </w:p>
    <w:p w14:paraId="170FD90D" w14:textId="30455AC3" w:rsidR="00C73C17" w:rsidRDefault="00C73C17" w:rsidP="00C73C17">
      <w:pPr>
        <w:spacing w:line="360" w:lineRule="auto"/>
      </w:pPr>
      <w:r>
        <w:rPr>
          <w:rFonts w:ascii="Book Antiqua" w:eastAsia="Book Antiqua" w:hAnsi="Book Antiqua" w:cs="Book Antiqua"/>
          <w:color w:val="000000"/>
          <w:sz w:val="24"/>
        </w:rPr>
        <w:t>Of the 2610 patients, eradication was successful in 1999 (76.6%) patients. The eradication rate of each antibiotic combination is illustrated in Figure 2</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 xml:space="preserve">Amoxicillin-based therapy showed a significantly higher eradication rate than other </w:t>
      </w:r>
      <w:r>
        <w:rPr>
          <w:rFonts w:ascii="Book Antiqua" w:eastAsia="Book Antiqua" w:hAnsi="Book Antiqua" w:cs="Book Antiqua"/>
          <w:color w:val="000000"/>
          <w:sz w:val="24"/>
        </w:rPr>
        <w:lastRenderedPageBreak/>
        <w:t xml:space="preserve">regimens (83.0%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Therapy consisting of amoxicillin plus clarithromycin achieved the highe</w:t>
      </w:r>
      <w:r w:rsidR="00FF2267">
        <w:rPr>
          <w:rFonts w:ascii="Book Antiqua" w:eastAsia="Book Antiqua" w:hAnsi="Book Antiqua" w:cs="Book Antiqua"/>
          <w:color w:val="000000"/>
          <w:sz w:val="24"/>
        </w:rPr>
        <w:t>st eradication rate (83.5%; 95%</w:t>
      </w:r>
      <w:r>
        <w:rPr>
          <w:rFonts w:ascii="Book Antiqua" w:eastAsia="Book Antiqua" w:hAnsi="Book Antiqua" w:cs="Book Antiqua"/>
          <w:color w:val="000000"/>
          <w:sz w:val="24"/>
        </w:rPr>
        <w:t>CI: 81.4%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85.5%), followed by therapy that consisted of amoxicilli</w:t>
      </w:r>
      <w:r w:rsidR="00FF2267">
        <w:rPr>
          <w:rFonts w:ascii="Book Antiqua" w:eastAsia="Book Antiqua" w:hAnsi="Book Antiqua" w:cs="Book Antiqua"/>
          <w:color w:val="000000"/>
          <w:sz w:val="24"/>
        </w:rPr>
        <w:t>n plus furazolidone (79.4%; 95%</w:t>
      </w:r>
      <w:r>
        <w:rPr>
          <w:rFonts w:ascii="Book Antiqua" w:eastAsia="Book Antiqua" w:hAnsi="Book Antiqua" w:cs="Book Antiqua"/>
          <w:color w:val="000000"/>
          <w:sz w:val="24"/>
        </w:rPr>
        <w:t>CI: 69.4%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89.4%), amoxicillin plus levofloxacin (78.9%; 95% CI: 69.8%</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88.1%), clarithromyci</w:t>
      </w:r>
      <w:r w:rsidR="00FF2267">
        <w:rPr>
          <w:rFonts w:ascii="Book Antiqua" w:eastAsia="Book Antiqua" w:hAnsi="Book Antiqua" w:cs="Book Antiqua"/>
          <w:color w:val="000000"/>
          <w:sz w:val="24"/>
        </w:rPr>
        <w:t>n plus levofloxacin (72.1%; 95%</w:t>
      </w:r>
      <w:r>
        <w:rPr>
          <w:rFonts w:ascii="Book Antiqua" w:eastAsia="Book Antiqua" w:hAnsi="Book Antiqua" w:cs="Book Antiqua"/>
          <w:color w:val="000000"/>
          <w:sz w:val="24"/>
        </w:rPr>
        <w:t>CI: 69.3%</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74.9%), levofloxaci</w:t>
      </w:r>
      <w:r w:rsidR="00FF2267">
        <w:rPr>
          <w:rFonts w:ascii="Book Antiqua" w:eastAsia="Book Antiqua" w:hAnsi="Book Antiqua" w:cs="Book Antiqua"/>
          <w:color w:val="000000"/>
          <w:sz w:val="24"/>
        </w:rPr>
        <w:t>n plus furazolidone (63.2%; 95%</w:t>
      </w:r>
      <w:r>
        <w:rPr>
          <w:rFonts w:ascii="Book Antiqua" w:eastAsia="Book Antiqua" w:hAnsi="Book Antiqua" w:cs="Book Antiqua"/>
          <w:color w:val="000000"/>
          <w:sz w:val="24"/>
        </w:rPr>
        <w:t>CI: 41.5%</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84.8%), clarithromycin</w:t>
      </w:r>
      <w:r w:rsidR="00FF2267">
        <w:rPr>
          <w:rFonts w:ascii="Book Antiqua" w:eastAsia="Book Antiqua" w:hAnsi="Book Antiqua" w:cs="Book Antiqua"/>
          <w:color w:val="000000"/>
          <w:sz w:val="24"/>
        </w:rPr>
        <w:t xml:space="preserve"> plus metronidazole (54.7%; 95%</w:t>
      </w:r>
      <w:r>
        <w:rPr>
          <w:rFonts w:ascii="Book Antiqua" w:eastAsia="Book Antiqua" w:hAnsi="Book Antiqua" w:cs="Book Antiqua"/>
          <w:color w:val="000000"/>
          <w:sz w:val="24"/>
        </w:rPr>
        <w:t>CI: 46.7%</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62.7%)</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clarithromycin plus furazolidone</w:t>
      </w:r>
      <w:r w:rsidR="00FF2267">
        <w:rPr>
          <w:rFonts w:ascii="Book Antiqua" w:eastAsia="Book Antiqua" w:hAnsi="Book Antiqua" w:cs="Book Antiqua"/>
          <w:color w:val="000000"/>
          <w:sz w:val="24"/>
        </w:rPr>
        <w:t xml:space="preserve"> (44.1%; 95%</w:t>
      </w:r>
      <w:r>
        <w:rPr>
          <w:rFonts w:ascii="Book Antiqua" w:eastAsia="Book Antiqua" w:hAnsi="Book Antiqua" w:cs="Book Antiqua"/>
          <w:color w:val="000000"/>
          <w:sz w:val="24"/>
        </w:rPr>
        <w:t>CI: 27.4%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60.8%). The eradication rate was not significantly different among the three different amoxicillin-based therapies (Figure 2).</w:t>
      </w:r>
    </w:p>
    <w:p w14:paraId="5606980B" w14:textId="71F23277" w:rsidR="00C73C17" w:rsidRDefault="00C73C17" w:rsidP="00C73C17">
      <w:pPr>
        <w:spacing w:line="360" w:lineRule="auto"/>
        <w:ind w:firstLine="480"/>
      </w:pPr>
      <w:r>
        <w:rPr>
          <w:rFonts w:ascii="Book Antiqua" w:eastAsia="Book Antiqua" w:hAnsi="Book Antiqua" w:cs="Book Antiqua"/>
          <w:color w:val="000000"/>
          <w:sz w:val="24"/>
        </w:rPr>
        <w:t>We also found that the choice of PPI is a factor that influenced the eradication rate (Table 2</w:t>
      </w:r>
      <w:r>
        <w:rPr>
          <w:rFonts w:ascii="Book Antiqua" w:eastAsia="Book Antiqua" w:hAnsi="Book Antiqua" w:cs="Book Antiqua"/>
          <w:b/>
          <w:bCs/>
          <w:color w:val="000000"/>
          <w:sz w:val="24"/>
        </w:rPr>
        <w:t>)</w:t>
      </w:r>
      <w:r>
        <w:rPr>
          <w:rFonts w:ascii="Book Antiqua" w:eastAsia="Book Antiqua" w:hAnsi="Book Antiqua" w:cs="Book Antiqua"/>
          <w:color w:val="000000"/>
          <w:sz w:val="24"/>
        </w:rPr>
        <w:t>. Therapy with esomeprazole achieved the highe</w:t>
      </w:r>
      <w:r w:rsidR="00FF2267">
        <w:rPr>
          <w:rFonts w:ascii="Book Antiqua" w:eastAsia="Book Antiqua" w:hAnsi="Book Antiqua" w:cs="Book Antiqua"/>
          <w:color w:val="000000"/>
          <w:sz w:val="24"/>
        </w:rPr>
        <w:t>st eradication rate (81.8%; 95%</w:t>
      </w:r>
      <w:r>
        <w:rPr>
          <w:rFonts w:ascii="Book Antiqua" w:eastAsia="Book Antiqua" w:hAnsi="Book Antiqua" w:cs="Book Antiqua"/>
          <w:color w:val="000000"/>
          <w:sz w:val="24"/>
        </w:rPr>
        <w:t>CI: 78.2%</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84.0%), followed by therapi</w:t>
      </w:r>
      <w:r w:rsidR="00FF2267">
        <w:rPr>
          <w:rFonts w:ascii="Book Antiqua" w:eastAsia="Book Antiqua" w:hAnsi="Book Antiqua" w:cs="Book Antiqua"/>
          <w:color w:val="000000"/>
          <w:sz w:val="24"/>
        </w:rPr>
        <w:t>es with rabeprazole (78.6%; 95%</w:t>
      </w:r>
      <w:r>
        <w:rPr>
          <w:rFonts w:ascii="Book Antiqua" w:eastAsia="Book Antiqua" w:hAnsi="Book Antiqua" w:cs="Book Antiqua"/>
          <w:color w:val="000000"/>
          <w:sz w:val="24"/>
        </w:rPr>
        <w:t>CI: 75.8%</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w:t>
      </w:r>
      <w:r w:rsidR="00FF2267">
        <w:rPr>
          <w:rFonts w:ascii="Book Antiqua" w:eastAsia="Book Antiqua" w:hAnsi="Book Antiqua" w:cs="Book Antiqua"/>
          <w:color w:val="000000"/>
          <w:sz w:val="24"/>
        </w:rPr>
        <w:t>1.4%), lansoprazole (78.2%; 95%</w:t>
      </w:r>
      <w:r>
        <w:rPr>
          <w:rFonts w:ascii="Book Antiqua" w:eastAsia="Book Antiqua" w:hAnsi="Book Antiqua" w:cs="Book Antiqua"/>
          <w:color w:val="000000"/>
          <w:sz w:val="24"/>
        </w:rPr>
        <w:t>CI: 67.3%</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w:t>
      </w:r>
      <w:r w:rsidR="00FF2267">
        <w:rPr>
          <w:rFonts w:ascii="Book Antiqua" w:eastAsia="Book Antiqua" w:hAnsi="Book Antiqua" w:cs="Book Antiqua"/>
          <w:color w:val="000000"/>
          <w:sz w:val="24"/>
        </w:rPr>
        <w:t>9.1%), pantoprazole (74.0%; 95%</w:t>
      </w:r>
      <w:r>
        <w:rPr>
          <w:rFonts w:ascii="Book Antiqua" w:eastAsia="Book Antiqua" w:hAnsi="Book Antiqua" w:cs="Book Antiqua"/>
          <w:color w:val="000000"/>
          <w:sz w:val="24"/>
        </w:rPr>
        <w:t>CI: 70.5%</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77.5%)</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omeprazole (6</w:t>
      </w:r>
      <w:r w:rsidR="00FF2267">
        <w:rPr>
          <w:rFonts w:ascii="Book Antiqua" w:eastAsia="Book Antiqua" w:hAnsi="Book Antiqua" w:cs="Book Antiqua"/>
          <w:color w:val="000000"/>
          <w:sz w:val="24"/>
        </w:rPr>
        <w:t>8.6%; 95%</w:t>
      </w:r>
      <w:r>
        <w:rPr>
          <w:rFonts w:ascii="Book Antiqua" w:eastAsia="Book Antiqua" w:hAnsi="Book Antiqua" w:cs="Book Antiqua"/>
          <w:color w:val="000000"/>
          <w:sz w:val="24"/>
        </w:rPr>
        <w:t>CI: 64.1%</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73.1%). Eradication rates of therapies with omeprazole and pantoprazole were significantly lower than that of therapy with esomeprazole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0.005). Eradication rates of therapies with rabeprazole and lansoprazole were lower than that of therapy with esomeprazole, but </w:t>
      </w:r>
      <w:r w:rsidR="0067263D">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difference was not statistically significant. T</w:t>
      </w:r>
      <w:r w:rsidR="0067263D">
        <w:rPr>
          <w:rFonts w:ascii="Book Antiqua" w:eastAsia="Book Antiqua" w:hAnsi="Book Antiqua" w:cs="Book Antiqua"/>
          <w:color w:val="000000"/>
          <w:sz w:val="24"/>
        </w:rPr>
        <w:t>h</w:t>
      </w:r>
      <w:r>
        <w:rPr>
          <w:rFonts w:ascii="Book Antiqua" w:eastAsia="Book Antiqua" w:hAnsi="Book Antiqua" w:cs="Book Antiqua"/>
          <w:color w:val="000000"/>
          <w:sz w:val="24"/>
        </w:rPr>
        <w:t xml:space="preserve">erapies with esomeprazole showed a significantly higher overall eradication rate than those with other PPIs (81.8%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74.9%, </w:t>
      </w:r>
      <w:r>
        <w:rPr>
          <w:rFonts w:ascii="Book Antiqua" w:eastAsia="Book Antiqua" w:hAnsi="Book Antiqua" w:cs="Book Antiqua"/>
          <w:i/>
          <w:iCs/>
          <w:color w:val="000000"/>
          <w:sz w:val="24"/>
        </w:rPr>
        <w:t>χ</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 10.755,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0.001).</w:t>
      </w:r>
    </w:p>
    <w:p w14:paraId="5603D368" w14:textId="3FD655F2" w:rsidR="00C73C17" w:rsidRDefault="00C73C17" w:rsidP="00C73C17">
      <w:pPr>
        <w:spacing w:line="360" w:lineRule="auto"/>
        <w:ind w:firstLine="480"/>
      </w:pPr>
      <w:r>
        <w:rPr>
          <w:rFonts w:ascii="Book Antiqua" w:eastAsia="Book Antiqua" w:hAnsi="Book Antiqua" w:cs="Book Antiqua"/>
          <w:color w:val="000000"/>
          <w:sz w:val="24"/>
        </w:rPr>
        <w:t>In addition, we found that the eradication rate showed a significant decreasing trend with increase in age (Figure 3). The eradication rates were 84.0%, 79.3%, 74.5%, 70.8%</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72.4% in patients aged &lt; 30, 30</w:t>
      </w:r>
      <w:r w:rsidR="00863CDD">
        <w:rPr>
          <w:rFonts w:ascii="Book Antiqua" w:eastAsia="Book Antiqua" w:hAnsi="Book Antiqua" w:cs="Book Antiqua"/>
          <w:color w:val="000000"/>
          <w:sz w:val="24"/>
        </w:rPr>
        <w:t>-</w:t>
      </w:r>
      <w:r>
        <w:rPr>
          <w:rFonts w:ascii="Book Antiqua" w:eastAsia="Book Antiqua" w:hAnsi="Book Antiqua" w:cs="Book Antiqua"/>
          <w:color w:val="000000"/>
          <w:sz w:val="24"/>
        </w:rPr>
        <w:t>39, 40</w:t>
      </w:r>
      <w:r w:rsidR="00863CDD">
        <w:rPr>
          <w:rFonts w:ascii="Book Antiqua" w:eastAsia="Book Antiqua" w:hAnsi="Book Antiqua" w:cs="Book Antiqua"/>
          <w:color w:val="000000"/>
          <w:sz w:val="24"/>
        </w:rPr>
        <w:t>-</w:t>
      </w:r>
      <w:r>
        <w:rPr>
          <w:rFonts w:ascii="Book Antiqua" w:eastAsia="Book Antiqua" w:hAnsi="Book Antiqua" w:cs="Book Antiqua"/>
          <w:color w:val="000000"/>
          <w:sz w:val="24"/>
        </w:rPr>
        <w:t>49, 50</w:t>
      </w:r>
      <w:r w:rsidR="00863CDD">
        <w:rPr>
          <w:rFonts w:ascii="Book Antiqua" w:eastAsia="Book Antiqua" w:hAnsi="Book Antiqua" w:cs="Book Antiqua"/>
          <w:color w:val="000000"/>
          <w:sz w:val="24"/>
        </w:rPr>
        <w:t>-</w:t>
      </w:r>
      <w:r>
        <w:rPr>
          <w:rFonts w:ascii="Book Antiqua" w:eastAsia="Book Antiqua" w:hAnsi="Book Antiqua" w:cs="Book Antiqua"/>
          <w:color w:val="000000"/>
          <w:sz w:val="24"/>
        </w:rPr>
        <w:t>59, and ≥ 60 years, respectively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for trend &lt; 0.001).</w:t>
      </w:r>
    </w:p>
    <w:p w14:paraId="6BD22ED2" w14:textId="77777777" w:rsidR="00C73C17" w:rsidRPr="00863CDD" w:rsidRDefault="00C73C17" w:rsidP="00C73C17">
      <w:pPr>
        <w:spacing w:line="360" w:lineRule="auto"/>
        <w:ind w:firstLine="480"/>
      </w:pPr>
    </w:p>
    <w:p w14:paraId="795B19A8" w14:textId="77777777" w:rsidR="00C73C17" w:rsidRDefault="00C73C17" w:rsidP="00C73C17">
      <w:pPr>
        <w:spacing w:line="360" w:lineRule="auto"/>
      </w:pPr>
      <w:r>
        <w:rPr>
          <w:rFonts w:ascii="Book Antiqua" w:eastAsia="Book Antiqua" w:hAnsi="Book Antiqua" w:cs="Book Antiqua"/>
          <w:b/>
          <w:bCs/>
          <w:i/>
          <w:iCs/>
          <w:color w:val="000000"/>
          <w:sz w:val="24"/>
        </w:rPr>
        <w:t>Subgroup analysis</w:t>
      </w:r>
    </w:p>
    <w:p w14:paraId="36F44D79" w14:textId="1C6C9DCC" w:rsidR="00C73C17" w:rsidRDefault="00C73C17" w:rsidP="00C73C17">
      <w:pPr>
        <w:spacing w:line="360" w:lineRule="auto"/>
      </w:pPr>
      <w:r>
        <w:rPr>
          <w:rFonts w:ascii="Book Antiqua" w:eastAsia="Book Antiqua" w:hAnsi="Book Antiqua" w:cs="Book Antiqua"/>
          <w:color w:val="000000"/>
          <w:sz w:val="24"/>
        </w:rPr>
        <w:t>The eradication rates for primary and r</w:t>
      </w:r>
      <w:r w:rsidR="003A256F">
        <w:rPr>
          <w:rFonts w:ascii="Book Antiqua" w:eastAsia="Book Antiqua" w:hAnsi="Book Antiqua" w:cs="Book Antiqua"/>
          <w:color w:val="000000"/>
          <w:sz w:val="24"/>
        </w:rPr>
        <w:t>escue therapies were 78.3% (95%</w:t>
      </w:r>
      <w:r>
        <w:rPr>
          <w:rFonts w:ascii="Book Antiqua" w:eastAsia="Book Antiqua" w:hAnsi="Book Antiqua" w:cs="Book Antiqua"/>
          <w:color w:val="000000"/>
          <w:sz w:val="24"/>
        </w:rPr>
        <w:t>CI: 76.6%</w:t>
      </w:r>
      <w:r w:rsidR="003A256F">
        <w:rPr>
          <w:rFonts w:ascii="Book Antiqua" w:eastAsia="Book Antiqua" w:hAnsi="Book Antiqua" w:cs="Book Antiqua"/>
          <w:color w:val="000000"/>
          <w:sz w:val="24"/>
        </w:rPr>
        <w:t>-</w:t>
      </w:r>
      <w:r>
        <w:rPr>
          <w:rFonts w:ascii="Book Antiqua" w:eastAsia="Book Antiqua" w:hAnsi="Book Antiqua" w:cs="Book Antiqua"/>
          <w:color w:val="000000"/>
          <w:sz w:val="24"/>
        </w:rPr>
        <w:t>80.0%) and 66.5% (95% CI: 61.7%</w:t>
      </w:r>
      <w:r w:rsidR="003A256F">
        <w:rPr>
          <w:rFonts w:ascii="Book Antiqua" w:eastAsia="Book Antiqua" w:hAnsi="Book Antiqua" w:cs="Book Antiqua"/>
          <w:color w:val="000000"/>
          <w:sz w:val="24"/>
        </w:rPr>
        <w:t>-</w:t>
      </w:r>
      <w:r>
        <w:rPr>
          <w:rFonts w:ascii="Book Antiqua" w:eastAsia="Book Antiqua" w:hAnsi="Book Antiqua" w:cs="Book Antiqua"/>
          <w:color w:val="000000"/>
          <w:sz w:val="24"/>
        </w:rPr>
        <w:t>71.3%), respectively. Primary therapy showed a higher eradication rate than rescue therapy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The amoxicillin-containing regimens </w:t>
      </w:r>
      <w:r>
        <w:rPr>
          <w:rFonts w:ascii="Book Antiqua" w:eastAsia="Book Antiqua" w:hAnsi="Book Antiqua" w:cs="Book Antiqua"/>
          <w:color w:val="000000"/>
          <w:sz w:val="24"/>
        </w:rPr>
        <w:lastRenderedPageBreak/>
        <w:t>showed superiority in primary therapy</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amoxicillin- </w:t>
      </w:r>
      <w:r w:rsidR="0067263D">
        <w:rPr>
          <w:rFonts w:ascii="Book Antiqua" w:eastAsia="Book Antiqua" w:hAnsi="Book Antiqua" w:cs="Book Antiqua"/>
          <w:color w:val="000000"/>
          <w:sz w:val="24"/>
        </w:rPr>
        <w:t xml:space="preserve">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-containing regimens achieved the highest eradica</w:t>
      </w:r>
      <w:r w:rsidR="003A256F">
        <w:rPr>
          <w:rFonts w:ascii="Book Antiqua" w:eastAsia="Book Antiqua" w:hAnsi="Book Antiqua" w:cs="Book Antiqua"/>
          <w:color w:val="000000"/>
          <w:sz w:val="24"/>
        </w:rPr>
        <w:t>tion rate (80.8%; 95%CI: 70.1%-</w:t>
      </w:r>
      <w:r>
        <w:rPr>
          <w:rFonts w:ascii="Book Antiqua" w:eastAsia="Book Antiqua" w:hAnsi="Book Antiqua" w:cs="Book Antiqua"/>
          <w:color w:val="000000"/>
          <w:sz w:val="24"/>
        </w:rPr>
        <w:t xml:space="preserve">91.5%) in rescue therapy, followed by amoxicillin- </w:t>
      </w:r>
      <w:r w:rsidR="0067263D">
        <w:rPr>
          <w:rFonts w:ascii="Book Antiqua" w:eastAsia="Book Antiqua" w:hAnsi="Book Antiqua" w:cs="Book Antiqua"/>
          <w:color w:val="000000"/>
          <w:sz w:val="24"/>
        </w:rPr>
        <w:t xml:space="preserve">and </w:t>
      </w:r>
      <w:r>
        <w:rPr>
          <w:rFonts w:ascii="Book Antiqua" w:eastAsia="Book Antiqua" w:hAnsi="Book Antiqua" w:cs="Book Antiqua"/>
          <w:color w:val="000000"/>
          <w:sz w:val="24"/>
        </w:rPr>
        <w:t>clarithromycin-cont</w:t>
      </w:r>
      <w:r w:rsidR="003A256F">
        <w:rPr>
          <w:rFonts w:ascii="Book Antiqua" w:eastAsia="Book Antiqua" w:hAnsi="Book Antiqua" w:cs="Book Antiqua"/>
          <w:color w:val="000000"/>
          <w:sz w:val="24"/>
        </w:rPr>
        <w:t>aining regimens (77.1%; 95%</w:t>
      </w:r>
      <w:r>
        <w:rPr>
          <w:rFonts w:ascii="Book Antiqua" w:eastAsia="Book Antiqua" w:hAnsi="Book Antiqua" w:cs="Book Antiqua"/>
          <w:color w:val="000000"/>
          <w:sz w:val="24"/>
        </w:rPr>
        <w:t>CI: 69.1%</w:t>
      </w:r>
      <w:r w:rsidR="003A256F">
        <w:rPr>
          <w:rFonts w:ascii="Book Antiqua" w:eastAsia="Book Antiqua" w:hAnsi="Book Antiqua" w:cs="Book Antiqua"/>
          <w:color w:val="000000"/>
          <w:sz w:val="24"/>
        </w:rPr>
        <w:t>-</w:t>
      </w:r>
      <w:r>
        <w:rPr>
          <w:rFonts w:ascii="Book Antiqua" w:eastAsia="Book Antiqua" w:hAnsi="Book Antiqua" w:cs="Book Antiqua"/>
          <w:color w:val="000000"/>
          <w:sz w:val="24"/>
        </w:rPr>
        <w:t>85.2%).</w:t>
      </w:r>
    </w:p>
    <w:p w14:paraId="554CF625" w14:textId="0DEE6BA9" w:rsidR="00C73C17" w:rsidRDefault="00C73C17" w:rsidP="00C73C17">
      <w:pPr>
        <w:spacing w:line="360" w:lineRule="auto"/>
        <w:ind w:firstLine="480"/>
      </w:pPr>
      <w:r>
        <w:rPr>
          <w:rFonts w:ascii="Book Antiqua" w:eastAsia="Book Antiqua" w:hAnsi="Book Antiqua" w:cs="Book Antiqua"/>
          <w:color w:val="000000"/>
          <w:sz w:val="24"/>
        </w:rPr>
        <w:t>The regimens containing amoxicillin plus levofloxacin, clarithromycin plus levofloxacin</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clarithromycin plus metronidazole showed lower eradication rates in rescue therapy than in primary therapy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0.05). The regimens containing amoxicillin plus clarithromycin, amoxicillin plus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 clarithromycin plus </w:t>
      </w:r>
      <w:proofErr w:type="spellStart"/>
      <w:r>
        <w:rPr>
          <w:rFonts w:ascii="Book Antiqua" w:eastAsia="Book Antiqua" w:hAnsi="Book Antiqua" w:cs="Book Antiqua"/>
          <w:color w:val="000000"/>
          <w:sz w:val="24"/>
        </w:rPr>
        <w:t>furazolidone</w:t>
      </w:r>
      <w:proofErr w:type="spellEnd"/>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levofloxacin plus furazolidone showed no significant difference in eradication rate</w:t>
      </w:r>
      <w:r w:rsidR="0067263D">
        <w:rPr>
          <w:rFonts w:ascii="Book Antiqua" w:eastAsia="Book Antiqua" w:hAnsi="Book Antiqua" w:cs="Book Antiqua"/>
          <w:color w:val="000000"/>
          <w:sz w:val="24"/>
        </w:rPr>
        <w:t>s</w:t>
      </w:r>
      <w:r>
        <w:rPr>
          <w:rFonts w:ascii="Book Antiqua" w:eastAsia="Book Antiqua" w:hAnsi="Book Antiqua" w:cs="Book Antiqua"/>
          <w:color w:val="000000"/>
          <w:sz w:val="24"/>
        </w:rPr>
        <w:t xml:space="preserve"> between primary and rescue therapy (Table 3).</w:t>
      </w:r>
    </w:p>
    <w:p w14:paraId="048BC575" w14:textId="77777777" w:rsidR="00C73C17" w:rsidRPr="0067263D" w:rsidRDefault="00C73C17" w:rsidP="00C73C17">
      <w:pPr>
        <w:spacing w:line="360" w:lineRule="auto"/>
        <w:ind w:firstLine="480"/>
      </w:pPr>
    </w:p>
    <w:p w14:paraId="0122CF15" w14:textId="0EA4EFFD" w:rsidR="00C73C17" w:rsidRDefault="00C73C17" w:rsidP="00C73C17">
      <w:pPr>
        <w:spacing w:line="360" w:lineRule="auto"/>
      </w:pPr>
      <w:r>
        <w:rPr>
          <w:rFonts w:ascii="Book Antiqua" w:eastAsia="Book Antiqua" w:hAnsi="Book Antiqua" w:cs="Book Antiqua"/>
          <w:b/>
          <w:bCs/>
          <w:i/>
          <w:iCs/>
          <w:color w:val="000000"/>
          <w:sz w:val="24"/>
        </w:rPr>
        <w:t xml:space="preserve">Risk factors </w:t>
      </w:r>
      <w:r w:rsidR="0067263D">
        <w:rPr>
          <w:rFonts w:ascii="Book Antiqua" w:eastAsia="Book Antiqua" w:hAnsi="Book Antiqua" w:cs="Book Antiqua"/>
          <w:b/>
          <w:bCs/>
          <w:i/>
          <w:iCs/>
          <w:color w:val="000000"/>
          <w:sz w:val="24"/>
        </w:rPr>
        <w:t xml:space="preserve">for </w:t>
      </w:r>
      <w:r>
        <w:rPr>
          <w:rFonts w:ascii="Book Antiqua" w:eastAsia="Book Antiqua" w:hAnsi="Book Antiqua" w:cs="Book Antiqua"/>
          <w:b/>
          <w:bCs/>
          <w:i/>
          <w:iCs/>
          <w:color w:val="000000"/>
          <w:sz w:val="24"/>
        </w:rPr>
        <w:t>eradication failure</w:t>
      </w:r>
    </w:p>
    <w:p w14:paraId="2F6F073C" w14:textId="1D7EFFF4" w:rsidR="00C73C17" w:rsidRDefault="00C73C17" w:rsidP="00C73C17">
      <w:pPr>
        <w:spacing w:line="360" w:lineRule="auto"/>
      </w:pPr>
      <w:r>
        <w:rPr>
          <w:rFonts w:ascii="Book Antiqua" w:eastAsia="Book Antiqua" w:hAnsi="Book Antiqua" w:cs="Book Antiqua"/>
          <w:color w:val="000000"/>
          <w:sz w:val="24"/>
        </w:rPr>
        <w:t xml:space="preserve">We performed stepwise logistic regression analyses to explore factors associated with eradication failure. </w:t>
      </w:r>
      <w:r w:rsidR="0067263D">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univariate analysis showed that age, prior therapy, antibiotic regimen</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choice of PPI were significantly associated with the risk of eradication failure, while gender and chief complaint were not. </w:t>
      </w:r>
      <w:r w:rsidR="0067263D">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multivariate logistic regression analysis confirmed that older age and prior therapy were significantly associated with an increased risk of eradication failure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Setting the regimen containing amoxicillin plus clarithromycin as the reference group, regimens containing clarithromycin plus levofloxacin, clarithromycin plus metronidazole, and clarithromycin plus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 all showed </w:t>
      </w:r>
      <w:proofErr w:type="gramStart"/>
      <w:r w:rsidR="0067263D">
        <w:rPr>
          <w:rFonts w:ascii="Book Antiqua" w:eastAsia="Book Antiqua" w:hAnsi="Book Antiqua" w:cs="Book Antiqua"/>
          <w:color w:val="000000"/>
          <w:sz w:val="24"/>
        </w:rPr>
        <w:t xml:space="preserve">a </w:t>
      </w:r>
      <w:r>
        <w:rPr>
          <w:rFonts w:ascii="Book Antiqua" w:eastAsia="Book Antiqua" w:hAnsi="Book Antiqua" w:cs="Book Antiqua"/>
          <w:color w:val="000000"/>
          <w:sz w:val="24"/>
        </w:rPr>
        <w:t>higher odds</w:t>
      </w:r>
      <w:proofErr w:type="gramEnd"/>
      <w:r>
        <w:rPr>
          <w:rFonts w:ascii="Book Antiqua" w:eastAsia="Book Antiqua" w:hAnsi="Book Antiqua" w:cs="Book Antiqua"/>
          <w:color w:val="000000"/>
          <w:sz w:val="24"/>
        </w:rPr>
        <w:t xml:space="preserve"> of eradication failure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Other regimens were not significantly associated with eradication failure. Setting regimens containing esomeprazole as the reference group, the regimens containing omeprazole and pantoprazole showed </w:t>
      </w:r>
      <w:r w:rsidR="0067263D">
        <w:rPr>
          <w:rFonts w:ascii="Book Antiqua" w:eastAsia="Book Antiqua" w:hAnsi="Book Antiqua" w:cs="Book Antiqua"/>
          <w:color w:val="000000"/>
          <w:sz w:val="24"/>
        </w:rPr>
        <w:t xml:space="preserve">a </w:t>
      </w:r>
      <w:r>
        <w:rPr>
          <w:rFonts w:ascii="Book Antiqua" w:eastAsia="Book Antiqua" w:hAnsi="Book Antiqua" w:cs="Book Antiqua"/>
          <w:color w:val="000000"/>
          <w:sz w:val="24"/>
        </w:rPr>
        <w:t>significantly higher risk of eradication failure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0.05), whereas rabeprazole and lansoprazole were not significantly associated with eradication failure (Table 4).</w:t>
      </w:r>
    </w:p>
    <w:p w14:paraId="517561E3" w14:textId="77777777" w:rsidR="00C73C17" w:rsidRDefault="00C73C17" w:rsidP="00C73C17">
      <w:pPr>
        <w:spacing w:line="360" w:lineRule="auto"/>
      </w:pPr>
    </w:p>
    <w:p w14:paraId="1F3925AF" w14:textId="77777777" w:rsidR="00C73C17" w:rsidRDefault="00C73C17" w:rsidP="00C73C17">
      <w:pPr>
        <w:spacing w:line="360" w:lineRule="auto"/>
      </w:pPr>
      <w:r>
        <w:rPr>
          <w:rFonts w:ascii="Book Antiqua" w:eastAsia="Book Antiqua" w:hAnsi="Book Antiqua" w:cs="Book Antiqua"/>
          <w:b/>
          <w:color w:val="000000"/>
          <w:sz w:val="24"/>
          <w:u w:val="single"/>
        </w:rPr>
        <w:t>DISCUSSION</w:t>
      </w:r>
    </w:p>
    <w:p w14:paraId="6E676F0E" w14:textId="2C2DEA31" w:rsidR="00C73C17" w:rsidRDefault="00C73C17" w:rsidP="00C73C17">
      <w:pPr>
        <w:spacing w:line="360" w:lineRule="auto"/>
      </w:pPr>
      <w:r>
        <w:rPr>
          <w:rFonts w:ascii="Book Antiqua" w:eastAsia="Book Antiqua" w:hAnsi="Book Antiqua" w:cs="Book Antiqua"/>
          <w:color w:val="000000"/>
          <w:sz w:val="24"/>
        </w:rPr>
        <w:t xml:space="preserve">In this large-sized retrospective study, we evaluated the efficiency of various standard </w:t>
      </w:r>
      <w:r>
        <w:rPr>
          <w:rFonts w:ascii="Book Antiqua" w:eastAsia="Book Antiqua" w:hAnsi="Book Antiqua" w:cs="Book Antiqua"/>
          <w:color w:val="000000"/>
          <w:sz w:val="24"/>
        </w:rPr>
        <w:lastRenderedPageBreak/>
        <w:t xml:space="preserve">14-d quadruple regimens recommended for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treatment. We found that amoxicillin-based quadruple therapy was superior, and amoxicillin- and furazolidone-based therapy showed a high eradication rate in rescue therapy. Our multivariate analysis showed that older age, prior therapy</w:t>
      </w:r>
      <w:r w:rsidR="0067263D">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w:t>
      </w:r>
      <w:r w:rsidR="0067263D">
        <w:rPr>
          <w:rFonts w:ascii="Book Antiqua" w:eastAsia="Book Antiqua" w:hAnsi="Book Antiqua" w:cs="Book Antiqua"/>
          <w:color w:val="000000"/>
          <w:sz w:val="24"/>
        </w:rPr>
        <w:t xml:space="preserve"> </w:t>
      </w:r>
      <w:r>
        <w:rPr>
          <w:rFonts w:ascii="Book Antiqua" w:eastAsia="Book Antiqua" w:hAnsi="Book Antiqua" w:cs="Book Antiqua"/>
          <w:color w:val="000000"/>
          <w:sz w:val="24"/>
        </w:rPr>
        <w:t>application of omeprazole or pantoprazole increased the risk of eradication failure.</w:t>
      </w:r>
    </w:p>
    <w:p w14:paraId="111C6D0A" w14:textId="77777777" w:rsidR="00C73C17" w:rsidRDefault="00C73C17" w:rsidP="00C73C17">
      <w:pPr>
        <w:spacing w:line="360" w:lineRule="auto"/>
        <w:ind w:firstLine="480"/>
      </w:pPr>
      <w:r>
        <w:rPr>
          <w:rFonts w:ascii="Book Antiqua" w:eastAsia="Book Antiqua" w:hAnsi="Book Antiqua" w:cs="Book Antiqua"/>
          <w:color w:val="000000"/>
          <w:sz w:val="24"/>
        </w:rPr>
        <w:t xml:space="preserve">This study reports an unsatisfactory eradication rate of 76.6%, even though prescription was in strict accordance with guidelines. In a single-center retrospective study performed by another hospital in Eastern China, 992 patients received 10 to 14 d of quadruple therapy for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based on furazolidone and amoxicillin between January and December 2015. The eradication rate of rescue therapy was 91.3</w:t>
      </w:r>
      <w:proofErr w:type="gramStart"/>
      <w:r>
        <w:rPr>
          <w:rFonts w:ascii="Book Antiqua" w:eastAsia="Book Antiqua" w:hAnsi="Book Antiqua" w:cs="Book Antiqua"/>
          <w:color w:val="000000"/>
          <w:sz w:val="24"/>
        </w:rPr>
        <w:t>%</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16]</w:t>
      </w:r>
      <w:r>
        <w:rPr>
          <w:rFonts w:ascii="Book Antiqua" w:eastAsia="Book Antiqua" w:hAnsi="Book Antiqua" w:cs="Book Antiqua"/>
          <w:color w:val="000000"/>
          <w:sz w:val="24"/>
        </w:rPr>
        <w:t xml:space="preserve">. However, in our study, the eradication rate of 14-d quadruple rescue therapy based on amoxicillin and furazolidone was only 80.8%. One possible reason for this discrepancy is that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resistance rates to antibiotics have increased during the past years. However, antibiotic resistance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cultures was not investigated for all of the enrolled patients. Because of its cost and relatively low sensitivity,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culture is not recommended for routine diagnosis of</w:t>
      </w:r>
      <w:r>
        <w:rPr>
          <w:rFonts w:ascii="Book Antiqua" w:eastAsia="Book Antiqua" w:hAnsi="Book Antiqua" w:cs="Book Antiqua"/>
          <w:i/>
          <w:iCs/>
          <w:color w:val="000000"/>
          <w:sz w:val="24"/>
        </w:rPr>
        <w:t xml:space="preserve"> H. pylori</w:t>
      </w:r>
      <w:r>
        <w:rPr>
          <w:rFonts w:ascii="Book Antiqua" w:eastAsia="Book Antiqua" w:hAnsi="Book Antiqua" w:cs="Book Antiqua"/>
          <w:color w:val="000000"/>
          <w:sz w:val="24"/>
        </w:rPr>
        <w:t xml:space="preserve"> </w:t>
      </w:r>
      <w:proofErr w:type="gramStart"/>
      <w:r>
        <w:rPr>
          <w:rFonts w:ascii="Book Antiqua" w:eastAsia="Book Antiqua" w:hAnsi="Book Antiqua" w:cs="Book Antiqua"/>
          <w:color w:val="000000"/>
          <w:sz w:val="24"/>
        </w:rPr>
        <w:t>infection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17]</w:t>
      </w:r>
      <w:r>
        <w:rPr>
          <w:rFonts w:ascii="Book Antiqua" w:eastAsia="Book Antiqua" w:hAnsi="Book Antiqua" w:cs="Book Antiqua"/>
          <w:color w:val="000000"/>
          <w:sz w:val="24"/>
        </w:rPr>
        <w:t xml:space="preserve">. Another reason might be the lack of tetracycline-containing regimens and the low proportion of furazolidone-containing regimens, the resistance rates of which are relatively low in </w:t>
      </w:r>
      <w:proofErr w:type="gramStart"/>
      <w:r>
        <w:rPr>
          <w:rFonts w:ascii="Book Antiqua" w:eastAsia="Book Antiqua" w:hAnsi="Book Antiqua" w:cs="Book Antiqua"/>
          <w:color w:val="000000"/>
          <w:sz w:val="24"/>
        </w:rPr>
        <w:t>China</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 Unfortunately, most hospitals in China are facing shortages of tetracycline, which yielded effective anti-</w:t>
      </w:r>
      <w:r>
        <w:rPr>
          <w:rFonts w:ascii="Book Antiqua" w:eastAsia="Book Antiqua" w:hAnsi="Book Antiqua" w:cs="Book Antiqua"/>
          <w:i/>
          <w:iCs/>
          <w:color w:val="000000"/>
          <w:sz w:val="24"/>
        </w:rPr>
        <w:t xml:space="preserve">H. </w:t>
      </w:r>
      <w:proofErr w:type="gramStart"/>
      <w:r>
        <w:rPr>
          <w:rFonts w:ascii="Book Antiqua" w:eastAsia="Book Antiqua" w:hAnsi="Book Antiqua" w:cs="Book Antiqua"/>
          <w:i/>
          <w:iCs/>
          <w:color w:val="000000"/>
          <w:sz w:val="24"/>
        </w:rPr>
        <w:t>pylori</w:t>
      </w:r>
      <w:proofErr w:type="gramEnd"/>
      <w:r>
        <w:rPr>
          <w:rFonts w:ascii="Book Antiqua" w:eastAsia="Book Antiqua" w:hAnsi="Book Antiqua" w:cs="Book Antiqua"/>
          <w:color w:val="000000"/>
          <w:sz w:val="24"/>
        </w:rPr>
        <w:t xml:space="preserve"> results in the USA</w:t>
      </w:r>
      <w:r>
        <w:rPr>
          <w:rFonts w:ascii="Book Antiqua" w:eastAsia="Book Antiqua" w:hAnsi="Book Antiqua" w:cs="Book Antiqua"/>
          <w:color w:val="000000"/>
          <w:sz w:val="24"/>
          <w:szCs w:val="30"/>
          <w:vertAlign w:val="superscript"/>
        </w:rPr>
        <w:t>[19]</w:t>
      </w:r>
      <w:r>
        <w:rPr>
          <w:rFonts w:ascii="Book Antiqua" w:eastAsia="Book Antiqua" w:hAnsi="Book Antiqua" w:cs="Book Antiqua"/>
          <w:color w:val="000000"/>
          <w:sz w:val="24"/>
        </w:rPr>
        <w:t xml:space="preserve">. Moreover, the potentially severe side effects of furazolidone limit its widespread application in initial empiric therapy. Therefore, furazolidone-containing regimens are more frequently used for patients with refractory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w:t>
      </w:r>
      <w:proofErr w:type="gramStart"/>
      <w:r>
        <w:rPr>
          <w:rFonts w:ascii="Book Antiqua" w:eastAsia="Book Antiqua" w:hAnsi="Book Antiqua" w:cs="Book Antiqua"/>
          <w:color w:val="000000"/>
          <w:sz w:val="24"/>
        </w:rPr>
        <w:t>infection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20]</w:t>
      </w:r>
      <w:r>
        <w:rPr>
          <w:rFonts w:ascii="Book Antiqua" w:eastAsia="Book Antiqua" w:hAnsi="Book Antiqua" w:cs="Book Antiqua"/>
          <w:color w:val="000000"/>
          <w:sz w:val="24"/>
        </w:rPr>
        <w:t>.</w:t>
      </w:r>
    </w:p>
    <w:p w14:paraId="0A8FE357" w14:textId="69D96F63" w:rsidR="00C73C17" w:rsidRDefault="00C73C17" w:rsidP="00C73C17">
      <w:pPr>
        <w:spacing w:line="360" w:lineRule="auto"/>
        <w:ind w:firstLine="480"/>
      </w:pPr>
      <w:r>
        <w:rPr>
          <w:rFonts w:ascii="Book Antiqua" w:eastAsia="Book Antiqua" w:hAnsi="Book Antiqua" w:cs="Book Antiqua"/>
          <w:color w:val="000000"/>
          <w:sz w:val="24"/>
        </w:rPr>
        <w:t xml:space="preserve">In this study, we also observed that only half of the patients had symptoms, and the other half were asymptomatic. As more asymptomatic patients are referred to the hospital for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therapy, we predict </w:t>
      </w:r>
      <w:r w:rsidR="00096751">
        <w:rPr>
          <w:rFonts w:ascii="Book Antiqua" w:eastAsia="Book Antiqua" w:hAnsi="Book Antiqua" w:cs="Book Antiqua"/>
          <w:color w:val="000000"/>
          <w:sz w:val="24"/>
        </w:rPr>
        <w:t xml:space="preserve">that </w:t>
      </w:r>
      <w:r>
        <w:rPr>
          <w:rFonts w:ascii="Book Antiqua" w:eastAsia="Book Antiqua" w:hAnsi="Book Antiqua" w:cs="Book Antiqua"/>
          <w:color w:val="000000"/>
          <w:sz w:val="24"/>
        </w:rPr>
        <w:t xml:space="preserve">antibiotic resistance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will increase in the near future. It is, therefore, worthwhile to explore methods to improve the eradication rate. A previous study reported that patient compliance is an indispensable factor influencing treatment </w:t>
      </w:r>
      <w:proofErr w:type="gramStart"/>
      <w:r>
        <w:rPr>
          <w:rFonts w:ascii="Book Antiqua" w:eastAsia="Book Antiqua" w:hAnsi="Book Antiqua" w:cs="Book Antiqua"/>
          <w:color w:val="000000"/>
          <w:sz w:val="24"/>
        </w:rPr>
        <w:t>results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21]</w:t>
      </w:r>
      <w:r>
        <w:rPr>
          <w:rFonts w:ascii="Book Antiqua" w:eastAsia="Book Antiqua" w:hAnsi="Book Antiqua" w:cs="Book Antiqua"/>
          <w:color w:val="000000"/>
          <w:sz w:val="24"/>
        </w:rPr>
        <w:t xml:space="preserve">. In addition, high-dose PPI and </w:t>
      </w:r>
      <w:r>
        <w:rPr>
          <w:rFonts w:ascii="Book Antiqua" w:eastAsia="Book Antiqua" w:hAnsi="Book Antiqua" w:cs="Book Antiqua"/>
          <w:color w:val="000000"/>
          <w:sz w:val="24"/>
        </w:rPr>
        <w:lastRenderedPageBreak/>
        <w:t xml:space="preserve">amoxicillin dual therapy could decrease the use of unnecessary antibiotics, which is a promising alternative </w:t>
      </w:r>
      <w:proofErr w:type="gramStart"/>
      <w:r>
        <w:rPr>
          <w:rFonts w:ascii="Book Antiqua" w:eastAsia="Book Antiqua" w:hAnsi="Book Antiqua" w:cs="Book Antiqua"/>
          <w:color w:val="000000"/>
          <w:sz w:val="24"/>
        </w:rPr>
        <w:t>approach</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22,23]</w:t>
      </w:r>
      <w:r>
        <w:rPr>
          <w:rFonts w:ascii="Book Antiqua" w:eastAsia="Book Antiqua" w:hAnsi="Book Antiqua" w:cs="Book Antiqua"/>
          <w:color w:val="000000"/>
          <w:sz w:val="24"/>
        </w:rPr>
        <w:t xml:space="preserve">. Adjuvant therapy, including specific probiotics or vitamins, also showed good results, although more evidence will be </w:t>
      </w:r>
      <w:proofErr w:type="gramStart"/>
      <w:r>
        <w:rPr>
          <w:rFonts w:ascii="Book Antiqua" w:eastAsia="Book Antiqua" w:hAnsi="Book Antiqua" w:cs="Book Antiqua"/>
          <w:color w:val="000000"/>
          <w:sz w:val="24"/>
        </w:rPr>
        <w:t>needed</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24]</w:t>
      </w:r>
      <w:r>
        <w:rPr>
          <w:rFonts w:ascii="Book Antiqua" w:eastAsia="Book Antiqua" w:hAnsi="Book Antiqua" w:cs="Book Antiqua"/>
          <w:color w:val="000000"/>
          <w:sz w:val="24"/>
        </w:rPr>
        <w:t>.</w:t>
      </w:r>
    </w:p>
    <w:p w14:paraId="4D1137C1" w14:textId="77777777" w:rsidR="00C73C17" w:rsidRDefault="00C73C17" w:rsidP="00C73C17">
      <w:pPr>
        <w:spacing w:line="360" w:lineRule="auto"/>
        <w:ind w:firstLine="480"/>
      </w:pPr>
      <w:r>
        <w:rPr>
          <w:rFonts w:ascii="Book Antiqua" w:eastAsia="Book Antiqua" w:hAnsi="Book Antiqua" w:cs="Book Antiqua"/>
          <w:color w:val="000000"/>
          <w:sz w:val="24"/>
        </w:rPr>
        <w:t>Consistent with previous studies, our results also suggest that acid-suppressive drugs play an important role in eradication therapy. A previous meta-analysis reported that regimens containing new-generation PPIs (esomeprazole or rabeprazole) showed a significantly higher eradication rate than those containing first-generation PPIs (omeprazole, lansoprazole, or pantoprazole</w:t>
      </w:r>
      <w:proofErr w:type="gramStart"/>
      <w:r>
        <w:rPr>
          <w:rFonts w:ascii="Book Antiqua" w:eastAsia="Book Antiqua" w:hAnsi="Book Antiqua" w:cs="Book Antiqua"/>
          <w:color w:val="000000"/>
          <w:sz w:val="24"/>
        </w:rPr>
        <w:t>)</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25]</w:t>
      </w:r>
      <w:r>
        <w:rPr>
          <w:rFonts w:ascii="Book Antiqua" w:eastAsia="Book Antiqua" w:hAnsi="Book Antiqua" w:cs="Book Antiqua"/>
          <w:color w:val="000000"/>
          <w:sz w:val="24"/>
        </w:rPr>
        <w:t xml:space="preserve">. In this study, we also found a significantly lower eradication rate for omeprazole- or pantoprazole-containing regimens than for those containing new-generation PPIs. However, the difference in eradication rates between regimens containing lansoprazole and new-generation PPIs was not significant. Due to the relatively small size of the lansoprazole group, this result needs to be confirmed in future studies. The main role of PPIs in the treatment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infections is to elevate the gastric pH, leading to an increase in the population of dividing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Subsequently, the bacteria become more susceptible to antibiotics, such as amoxicillin and </w:t>
      </w:r>
      <w:proofErr w:type="gramStart"/>
      <w:r>
        <w:rPr>
          <w:rFonts w:ascii="Book Antiqua" w:eastAsia="Book Antiqua" w:hAnsi="Book Antiqua" w:cs="Book Antiqua"/>
          <w:color w:val="000000"/>
          <w:sz w:val="24"/>
        </w:rPr>
        <w:t>clarithromycin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26]</w:t>
      </w:r>
      <w:r>
        <w:rPr>
          <w:rFonts w:ascii="Book Antiqua" w:eastAsia="Book Antiqua" w:hAnsi="Book Antiqua" w:cs="Book Antiqua"/>
          <w:color w:val="000000"/>
          <w:sz w:val="24"/>
        </w:rPr>
        <w:t xml:space="preserve">. Selecting a PPI with a stable effect and high efficacy that is weakly influenced by CYP2C19 genotypes can improve the eradication </w:t>
      </w:r>
      <w:proofErr w:type="gramStart"/>
      <w:r>
        <w:rPr>
          <w:rFonts w:ascii="Book Antiqua" w:eastAsia="Book Antiqua" w:hAnsi="Book Antiqua" w:cs="Book Antiqua"/>
          <w:color w:val="000000"/>
          <w:sz w:val="24"/>
        </w:rPr>
        <w:t>rate</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12]</w:t>
      </w:r>
      <w:r>
        <w:rPr>
          <w:rFonts w:ascii="Book Antiqua" w:eastAsia="Book Antiqua" w:hAnsi="Book Antiqua" w:cs="Book Antiqua"/>
          <w:color w:val="000000"/>
          <w:sz w:val="24"/>
        </w:rPr>
        <w:t xml:space="preserve">. In addition to the modification of dual therapy by high-dose PPI mentioned above, </w:t>
      </w:r>
      <w:proofErr w:type="spellStart"/>
      <w:r>
        <w:rPr>
          <w:rFonts w:ascii="Book Antiqua" w:eastAsia="Book Antiqua" w:hAnsi="Book Antiqua" w:cs="Book Antiqua"/>
          <w:color w:val="000000"/>
          <w:sz w:val="24"/>
        </w:rPr>
        <w:t>vonoprazan</w:t>
      </w:r>
      <w:proofErr w:type="spellEnd"/>
      <w:r>
        <w:rPr>
          <w:rFonts w:ascii="Book Antiqua" w:eastAsia="Book Antiqua" w:hAnsi="Book Antiqua" w:cs="Book Antiqua"/>
          <w:color w:val="000000"/>
          <w:sz w:val="24"/>
        </w:rPr>
        <w:t xml:space="preserve">, a first-in-class potassium-competitive acid blocker, was recently reported to be an independent factor for successful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in both primary and rescue </w:t>
      </w:r>
      <w:proofErr w:type="gramStart"/>
      <w:r>
        <w:rPr>
          <w:rFonts w:ascii="Book Antiqua" w:eastAsia="Book Antiqua" w:hAnsi="Book Antiqua" w:cs="Book Antiqua"/>
          <w:color w:val="000000"/>
          <w:sz w:val="24"/>
        </w:rPr>
        <w:t>therapy</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27]</w:t>
      </w:r>
      <w:r>
        <w:rPr>
          <w:rFonts w:ascii="Book Antiqua" w:eastAsia="Book Antiqua" w:hAnsi="Book Antiqua" w:cs="Book Antiqua"/>
          <w:color w:val="000000"/>
          <w:sz w:val="24"/>
        </w:rPr>
        <w:t>.</w:t>
      </w:r>
    </w:p>
    <w:p w14:paraId="2894B4F7" w14:textId="787E1644" w:rsidR="00C73C17" w:rsidRDefault="00C73C17" w:rsidP="00C73C17">
      <w:pPr>
        <w:spacing w:line="360" w:lineRule="auto"/>
        <w:ind w:firstLine="480"/>
      </w:pPr>
      <w:r>
        <w:rPr>
          <w:rFonts w:ascii="Book Antiqua" w:eastAsia="Book Antiqua" w:hAnsi="Book Antiqua" w:cs="Book Antiqua"/>
          <w:color w:val="000000"/>
          <w:sz w:val="24"/>
        </w:rPr>
        <w:t xml:space="preserve">In this study, a significant trend of decreasing eradication rates was observed with increasing age, which is consistent with previous </w:t>
      </w:r>
      <w:proofErr w:type="gramStart"/>
      <w:r>
        <w:rPr>
          <w:rFonts w:ascii="Book Antiqua" w:eastAsia="Book Antiqua" w:hAnsi="Book Antiqua" w:cs="Book Antiqua"/>
          <w:color w:val="000000"/>
          <w:sz w:val="24"/>
        </w:rPr>
        <w:t>reports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27,28]</w:t>
      </w:r>
      <w:r>
        <w:rPr>
          <w:rFonts w:ascii="Book Antiqua" w:eastAsia="Book Antiqua" w:hAnsi="Book Antiqua" w:cs="Book Antiqua"/>
          <w:color w:val="000000"/>
          <w:sz w:val="24"/>
        </w:rPr>
        <w:t>. Possible reasons include lower tolerance to and compliance with therapy, more potential complications, increased risks of drug side effects</w:t>
      </w:r>
      <w:r w:rsidR="00096751">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increased antibiotic resistance because of higher accumulated antibiotic </w:t>
      </w:r>
      <w:proofErr w:type="gramStart"/>
      <w:r>
        <w:rPr>
          <w:rFonts w:ascii="Book Antiqua" w:eastAsia="Book Antiqua" w:hAnsi="Book Antiqua" w:cs="Book Antiqua"/>
          <w:color w:val="000000"/>
          <w:sz w:val="24"/>
        </w:rPr>
        <w:t>consumption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29]</w:t>
      </w:r>
      <w:r>
        <w:rPr>
          <w:rFonts w:ascii="Book Antiqua" w:eastAsia="Book Antiqua" w:hAnsi="Book Antiqua" w:cs="Book Antiqua"/>
          <w:color w:val="000000"/>
          <w:sz w:val="24"/>
        </w:rPr>
        <w:t xml:space="preserve">. In contrast, no significant difference in the eradication rate or frequency of adverse effects between the elderly group and the younger group was found in other </w:t>
      </w:r>
      <w:proofErr w:type="gramStart"/>
      <w:r>
        <w:rPr>
          <w:rFonts w:ascii="Book Antiqua" w:eastAsia="Book Antiqua" w:hAnsi="Book Antiqua" w:cs="Book Antiqua"/>
          <w:color w:val="000000"/>
          <w:sz w:val="24"/>
        </w:rPr>
        <w:t>studies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30,31]</w:t>
      </w:r>
      <w:r>
        <w:rPr>
          <w:rFonts w:ascii="Book Antiqua" w:eastAsia="Book Antiqua" w:hAnsi="Book Antiqua" w:cs="Book Antiqua"/>
          <w:color w:val="000000"/>
          <w:sz w:val="24"/>
        </w:rPr>
        <w:t>.</w:t>
      </w:r>
    </w:p>
    <w:p w14:paraId="6BEF3701" w14:textId="3461A6E6" w:rsidR="00C73C17" w:rsidRDefault="00C73C17" w:rsidP="00C73C17">
      <w:pPr>
        <w:spacing w:line="360" w:lineRule="auto"/>
        <w:ind w:firstLine="480"/>
      </w:pPr>
      <w:r>
        <w:rPr>
          <w:rFonts w:ascii="Book Antiqua" w:eastAsia="Book Antiqua" w:hAnsi="Book Antiqua" w:cs="Book Antiqua"/>
          <w:color w:val="000000"/>
          <w:sz w:val="24"/>
        </w:rPr>
        <w:t xml:space="preserve">Several limitations should be considered when explaining the results of this study. </w:t>
      </w:r>
      <w:r>
        <w:rPr>
          <w:rFonts w:ascii="Book Antiqua" w:eastAsia="Book Antiqua" w:hAnsi="Book Antiqua" w:cs="Book Antiqua"/>
          <w:color w:val="000000"/>
          <w:sz w:val="24"/>
        </w:rPr>
        <w:lastRenderedPageBreak/>
        <w:t>First, because of its retrospective nature, the classification of primary or rescue therapy was completely dependent on the electronic medical records. The percentage of rescue therapy might be underestimated if the patients’ medical histories were not fully recorded, and some rescue therapy cases might be misclassified as primary therapy, resulting in a relatively low eradication rate in the primary therapy group. Second, patient compliance was not analyzed in this study. However, all of the patients enrolled in this study completed the urea breath test 4</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 xml:space="preserve">8 </w:t>
      </w:r>
      <w:proofErr w:type="spellStart"/>
      <w:r>
        <w:rPr>
          <w:rFonts w:ascii="Book Antiqua" w:eastAsia="Book Antiqua" w:hAnsi="Book Antiqua" w:cs="Book Antiqua"/>
          <w:color w:val="000000"/>
          <w:sz w:val="24"/>
        </w:rPr>
        <w:t>wk</w:t>
      </w:r>
      <w:proofErr w:type="spellEnd"/>
      <w:r>
        <w:rPr>
          <w:rFonts w:ascii="Book Antiqua" w:eastAsia="Book Antiqua" w:hAnsi="Book Antiqua" w:cs="Book Antiqua"/>
          <w:color w:val="000000"/>
          <w:sz w:val="24"/>
        </w:rPr>
        <w:t xml:space="preserve"> after finishing treatment, indicating a relatively high compliance. Third, similar to previous reports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the data used in this study were extracted from a single center. The results may not be extrapolated to other areas, especially if resistance rates vary geographically. In addition, the small sample sizes of some regimens, such as the furazolidone-containing regimens in subgroup analysis of primary therapy and lansoprazole-containing regimens, limit the reliability of the corresponding results.</w:t>
      </w:r>
    </w:p>
    <w:p w14:paraId="531E01F2" w14:textId="7F9E20BA" w:rsidR="00C73C17" w:rsidRDefault="00C73C17" w:rsidP="00C73C17">
      <w:pPr>
        <w:spacing w:line="360" w:lineRule="auto"/>
        <w:ind w:firstLine="480"/>
      </w:pPr>
      <w:r>
        <w:rPr>
          <w:rFonts w:ascii="Book Antiqua" w:eastAsia="Book Antiqua" w:hAnsi="Book Antiqua" w:cs="Book Antiqua"/>
          <w:color w:val="000000"/>
          <w:sz w:val="24"/>
        </w:rPr>
        <w:t xml:space="preserve">In conclusion, this study revealed an unsatisfactory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rate of 76.6% in Eastern China. Amoxicillin-containing 14-d quadruple regimens </w:t>
      </w:r>
      <w:r w:rsidR="00096751">
        <w:rPr>
          <w:rFonts w:ascii="Book Antiqua" w:eastAsia="Book Antiqua" w:hAnsi="Book Antiqua" w:cs="Book Antiqua"/>
          <w:color w:val="000000"/>
          <w:sz w:val="24"/>
        </w:rPr>
        <w:t xml:space="preserve">have </w:t>
      </w:r>
      <w:r>
        <w:rPr>
          <w:rFonts w:ascii="Book Antiqua" w:eastAsia="Book Antiqua" w:hAnsi="Book Antiqua" w:cs="Book Antiqua"/>
          <w:color w:val="000000"/>
          <w:sz w:val="24"/>
        </w:rPr>
        <w:t>the highest eradication rate in primary therapy, and amoxicillin</w:t>
      </w:r>
      <w:r w:rsidR="00096751">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sidR="00096751">
        <w:rPr>
          <w:rFonts w:ascii="Book Antiqua" w:eastAsia="Book Antiqua" w:hAnsi="Book Antiqua" w:cs="Book Antiqua"/>
          <w:color w:val="000000"/>
          <w:sz w:val="24"/>
        </w:rPr>
        <w:t xml:space="preserve">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-containing regimens show superiority in rescue therapy. An inferiority of omeprazole and pantoprazole </w:t>
      </w:r>
      <w:r w:rsidR="00096751">
        <w:rPr>
          <w:rFonts w:ascii="Book Antiqua" w:eastAsia="Book Antiqua" w:hAnsi="Book Antiqua" w:cs="Book Antiqua"/>
          <w:color w:val="000000"/>
          <w:sz w:val="24"/>
        </w:rPr>
        <w:t xml:space="preserve">is </w:t>
      </w:r>
      <w:r>
        <w:rPr>
          <w:rFonts w:ascii="Book Antiqua" w:eastAsia="Book Antiqua" w:hAnsi="Book Antiqua" w:cs="Book Antiqua"/>
          <w:color w:val="000000"/>
          <w:sz w:val="24"/>
        </w:rPr>
        <w:t>also observed. These findings may be helpful to improve the eradication rate of anti-</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therapy.</w:t>
      </w:r>
    </w:p>
    <w:p w14:paraId="413D8000" w14:textId="77777777" w:rsidR="00C73C17" w:rsidRDefault="00C73C17" w:rsidP="00C73C17">
      <w:pPr>
        <w:spacing w:line="360" w:lineRule="auto"/>
        <w:ind w:firstLine="480"/>
      </w:pPr>
    </w:p>
    <w:p w14:paraId="6F6446BB" w14:textId="77777777" w:rsidR="00C73C17" w:rsidRDefault="00C73C17" w:rsidP="00C73C17">
      <w:pPr>
        <w:spacing w:line="360" w:lineRule="auto"/>
      </w:pPr>
      <w:r>
        <w:rPr>
          <w:rFonts w:ascii="Book Antiqua" w:eastAsia="Book Antiqua" w:hAnsi="Book Antiqua" w:cs="Book Antiqua"/>
          <w:b/>
          <w:color w:val="000000"/>
          <w:sz w:val="24"/>
          <w:u w:val="single"/>
        </w:rPr>
        <w:t>ARTICLE HIGHLIGHTS</w:t>
      </w:r>
    </w:p>
    <w:p w14:paraId="74FA5FC1" w14:textId="77777777" w:rsidR="00C73C17" w:rsidRDefault="00C73C17" w:rsidP="00C73C17">
      <w:pPr>
        <w:spacing w:line="360" w:lineRule="auto"/>
      </w:pPr>
      <w:r>
        <w:rPr>
          <w:rFonts w:ascii="Book Antiqua" w:eastAsia="Book Antiqua" w:hAnsi="Book Antiqua" w:cs="Book Antiqua"/>
          <w:b/>
          <w:i/>
          <w:color w:val="000000"/>
          <w:sz w:val="24"/>
        </w:rPr>
        <w:t>Research background</w:t>
      </w:r>
    </w:p>
    <w:p w14:paraId="443857A3" w14:textId="397CFCE2" w:rsidR="00C73C17" w:rsidRDefault="00C73C17" w:rsidP="00C73C17">
      <w:pPr>
        <w:spacing w:line="360" w:lineRule="auto"/>
      </w:pPr>
      <w:r>
        <w:rPr>
          <w:rFonts w:ascii="Book Antiqua" w:eastAsia="Book Antiqua" w:hAnsi="Book Antiqua" w:cs="Book Antiqua"/>
          <w:i/>
          <w:iCs/>
          <w:color w:val="000000"/>
          <w:sz w:val="24"/>
        </w:rPr>
        <w:t xml:space="preserve">Helicobacter pylori </w:t>
      </w:r>
      <w:r>
        <w:rPr>
          <w:rFonts w:ascii="Book Antiqua" w:eastAsia="Book Antiqua" w:hAnsi="Book Antiqua" w:cs="Book Antiqua"/>
          <w:color w:val="000000"/>
          <w:sz w:val="24"/>
        </w:rPr>
        <w:t>(</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is a widespread bacterium that affects approximately 50% of the world’s population and induces numerous gastrointestinal and </w:t>
      </w:r>
      <w:proofErr w:type="spellStart"/>
      <w:r>
        <w:rPr>
          <w:rFonts w:ascii="Book Antiqua" w:eastAsia="Book Antiqua" w:hAnsi="Book Antiqua" w:cs="Book Antiqua"/>
          <w:color w:val="000000"/>
          <w:sz w:val="24"/>
        </w:rPr>
        <w:t>extragastric</w:t>
      </w:r>
      <w:proofErr w:type="spellEnd"/>
      <w:r>
        <w:rPr>
          <w:rFonts w:ascii="Book Antiqua" w:eastAsia="Book Antiqua" w:hAnsi="Book Antiqua" w:cs="Book Antiqua"/>
          <w:color w:val="000000"/>
          <w:sz w:val="24"/>
        </w:rPr>
        <w:t xml:space="preserve"> diseases. Currently,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is considered</w:t>
      </w:r>
      <w:r w:rsidR="00096751">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the most important (yet controllable) risk factor for gastric cancer. To date, there are limited data in clinical practice regarding eradication rate and </w:t>
      </w:r>
      <w:r w:rsidR="00096751">
        <w:rPr>
          <w:rFonts w:ascii="Book Antiqua" w:eastAsia="Book Antiqua" w:hAnsi="Book Antiqua" w:cs="Book Antiqua"/>
          <w:color w:val="000000"/>
          <w:sz w:val="24"/>
        </w:rPr>
        <w:t xml:space="preserve">factors related to </w:t>
      </w:r>
      <w:r>
        <w:rPr>
          <w:rFonts w:ascii="Book Antiqua" w:eastAsia="Book Antiqua" w:hAnsi="Book Antiqua" w:cs="Book Antiqua"/>
          <w:color w:val="000000"/>
          <w:sz w:val="24"/>
        </w:rPr>
        <w:t>therapy failure.</w:t>
      </w:r>
    </w:p>
    <w:p w14:paraId="4086F10A" w14:textId="77777777" w:rsidR="00C73C17" w:rsidRDefault="00C73C17" w:rsidP="00C73C17">
      <w:pPr>
        <w:spacing w:line="360" w:lineRule="auto"/>
      </w:pPr>
    </w:p>
    <w:p w14:paraId="13D9EAE5" w14:textId="77777777" w:rsidR="00C73C17" w:rsidRDefault="00C73C17" w:rsidP="00C73C17">
      <w:pPr>
        <w:spacing w:line="360" w:lineRule="auto"/>
      </w:pPr>
      <w:r>
        <w:rPr>
          <w:rFonts w:ascii="Book Antiqua" w:eastAsia="Book Antiqua" w:hAnsi="Book Antiqua" w:cs="Book Antiqua"/>
          <w:b/>
          <w:i/>
          <w:color w:val="000000"/>
          <w:sz w:val="24"/>
        </w:rPr>
        <w:t>Research motivation</w:t>
      </w:r>
    </w:p>
    <w:p w14:paraId="2A151A00" w14:textId="0AFE3C14" w:rsidR="00C73C17" w:rsidRDefault="00C73C17" w:rsidP="00C73C17">
      <w:pPr>
        <w:spacing w:line="360" w:lineRule="auto"/>
      </w:pPr>
      <w:r>
        <w:rPr>
          <w:rFonts w:ascii="Book Antiqua" w:eastAsia="Book Antiqua" w:hAnsi="Book Antiqua" w:cs="Book Antiqua"/>
          <w:color w:val="000000"/>
          <w:sz w:val="24"/>
        </w:rPr>
        <w:lastRenderedPageBreak/>
        <w:t>In</w:t>
      </w:r>
      <w:r w:rsidR="00096751">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recent years,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eradication therapies are facing decreasing eradication rates. However, risk factors related to therapy failure are still uncertain. In addition, there is a lack of recent eradication rate from China.</w:t>
      </w:r>
      <w:r>
        <w:rPr>
          <w:rFonts w:ascii="Book Antiqua" w:eastAsia="Book Antiqua" w:hAnsi="Book Antiqua" w:cs="Book Antiqua"/>
          <w:color w:val="000000"/>
          <w:sz w:val="24"/>
          <w:szCs w:val="21"/>
        </w:rPr>
        <w:t xml:space="preserve"> </w:t>
      </w:r>
      <w:r>
        <w:rPr>
          <w:rFonts w:ascii="Book Antiqua" w:eastAsia="Book Antiqua" w:hAnsi="Book Antiqua" w:cs="Book Antiqua"/>
          <w:color w:val="000000"/>
          <w:sz w:val="24"/>
        </w:rPr>
        <w:t>Study in this aspect will certainly be helpful to improve the effectiveness of anti-</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therapy in the future.</w:t>
      </w:r>
    </w:p>
    <w:p w14:paraId="06933E6E" w14:textId="77777777" w:rsidR="00C73C17" w:rsidRDefault="00C73C17" w:rsidP="00C73C17">
      <w:pPr>
        <w:spacing w:line="360" w:lineRule="auto"/>
      </w:pPr>
    </w:p>
    <w:p w14:paraId="59CEBFED" w14:textId="77777777" w:rsidR="00C73C17" w:rsidRDefault="00C73C17" w:rsidP="00C73C17">
      <w:pPr>
        <w:spacing w:line="360" w:lineRule="auto"/>
      </w:pPr>
      <w:r>
        <w:rPr>
          <w:rFonts w:ascii="Book Antiqua" w:eastAsia="Book Antiqua" w:hAnsi="Book Antiqua" w:cs="Book Antiqua"/>
          <w:b/>
          <w:i/>
          <w:color w:val="000000"/>
          <w:sz w:val="24"/>
        </w:rPr>
        <w:t>Research objectives</w:t>
      </w:r>
    </w:p>
    <w:p w14:paraId="6BA5C940" w14:textId="565373CD" w:rsidR="00C73C17" w:rsidRDefault="00C73C17" w:rsidP="00C73C17">
      <w:pPr>
        <w:spacing w:line="360" w:lineRule="auto"/>
      </w:pPr>
      <w:r>
        <w:rPr>
          <w:rFonts w:ascii="Book Antiqua" w:eastAsia="Book Antiqua" w:hAnsi="Book Antiqua" w:cs="Book Antiqua"/>
          <w:color w:val="000000"/>
          <w:sz w:val="24"/>
        </w:rPr>
        <w:t xml:space="preserve">This study aimed to evaluate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w:t>
      </w:r>
      <w:r w:rsidR="00096751">
        <w:rPr>
          <w:rFonts w:ascii="Book Antiqua" w:eastAsia="Book Antiqua" w:hAnsi="Book Antiqua" w:cs="Book Antiqua"/>
          <w:color w:val="000000"/>
          <w:sz w:val="24"/>
        </w:rPr>
        <w:t xml:space="preserve">status </w:t>
      </w:r>
      <w:r>
        <w:rPr>
          <w:rFonts w:ascii="Book Antiqua" w:eastAsia="Book Antiqua" w:hAnsi="Book Antiqua" w:cs="Book Antiqua"/>
          <w:color w:val="000000"/>
          <w:sz w:val="24"/>
        </w:rPr>
        <w:t>in the local population of Eastern China and to explore factors related to eradication failure.</w:t>
      </w:r>
    </w:p>
    <w:p w14:paraId="52269A81" w14:textId="77777777" w:rsidR="00C73C17" w:rsidRDefault="00C73C17" w:rsidP="00C73C17">
      <w:pPr>
        <w:spacing w:line="360" w:lineRule="auto"/>
      </w:pPr>
    </w:p>
    <w:p w14:paraId="2E022340" w14:textId="77777777" w:rsidR="00C73C17" w:rsidRDefault="00C73C17" w:rsidP="00C73C17">
      <w:pPr>
        <w:spacing w:line="360" w:lineRule="auto"/>
      </w:pPr>
      <w:r>
        <w:rPr>
          <w:rFonts w:ascii="Book Antiqua" w:eastAsia="Book Antiqua" w:hAnsi="Book Antiqua" w:cs="Book Antiqua"/>
          <w:b/>
          <w:i/>
          <w:color w:val="000000"/>
          <w:sz w:val="24"/>
        </w:rPr>
        <w:t>Research methods</w:t>
      </w:r>
    </w:p>
    <w:p w14:paraId="230F26AB" w14:textId="77777777" w:rsidR="00C73C17" w:rsidRDefault="00C73C17" w:rsidP="00C73C17">
      <w:pPr>
        <w:spacing w:line="360" w:lineRule="auto"/>
      </w:pPr>
      <w:r>
        <w:rPr>
          <w:rFonts w:ascii="Book Antiqua" w:eastAsia="Book Antiqua" w:hAnsi="Book Antiqua" w:cs="Book Antiqua"/>
          <w:color w:val="000000"/>
          <w:sz w:val="24"/>
        </w:rPr>
        <w:t xml:space="preserve">Medical records for patients with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infection who underwent standard 14-d quadruple therapy and received urea breath test after treatment</w:t>
      </w:r>
      <w:r>
        <w:rPr>
          <w:rFonts w:ascii="Book Antiqua" w:eastAsia="Book Antiqua" w:hAnsi="Book Antiqua" w:cs="Book Antiqua"/>
          <w:color w:val="000000"/>
          <w:sz w:val="24"/>
          <w:szCs w:val="21"/>
        </w:rPr>
        <w:t xml:space="preserve"> </w:t>
      </w:r>
      <w:r>
        <w:rPr>
          <w:rFonts w:ascii="Book Antiqua" w:eastAsia="Book Antiqua" w:hAnsi="Book Antiqua" w:cs="Book Antiqua"/>
          <w:color w:val="000000"/>
          <w:sz w:val="24"/>
        </w:rPr>
        <w:t>were retrospectively reviewed. Eradication rates were calculated and compared between regimens and subgroups. Multivariate analysis was performed to identify predictors of eradication failure.</w:t>
      </w:r>
    </w:p>
    <w:p w14:paraId="174B2E7D" w14:textId="77777777" w:rsidR="00C73C17" w:rsidRDefault="00C73C17" w:rsidP="00C73C17">
      <w:pPr>
        <w:spacing w:line="360" w:lineRule="auto"/>
      </w:pPr>
    </w:p>
    <w:p w14:paraId="3A432603" w14:textId="77777777" w:rsidR="00C73C17" w:rsidRDefault="00C73C17" w:rsidP="00C73C17">
      <w:pPr>
        <w:spacing w:line="360" w:lineRule="auto"/>
      </w:pPr>
      <w:r>
        <w:rPr>
          <w:rFonts w:ascii="Book Antiqua" w:eastAsia="Book Antiqua" w:hAnsi="Book Antiqua" w:cs="Book Antiqua"/>
          <w:b/>
          <w:i/>
          <w:color w:val="000000"/>
          <w:sz w:val="24"/>
        </w:rPr>
        <w:t>Research results</w:t>
      </w:r>
    </w:p>
    <w:p w14:paraId="3D160833" w14:textId="328DAA90" w:rsidR="00C73C17" w:rsidRDefault="00C73C17" w:rsidP="00C73C17">
      <w:pPr>
        <w:spacing w:line="360" w:lineRule="auto"/>
      </w:pPr>
      <w:r>
        <w:rPr>
          <w:rFonts w:ascii="Book Antiqua" w:eastAsia="Book Antiqua" w:hAnsi="Book Antiqua" w:cs="Book Antiqua"/>
          <w:color w:val="000000"/>
          <w:sz w:val="24"/>
        </w:rPr>
        <w:t>Of 2610 patients enrolled, eradication was successful in 1999</w:t>
      </w:r>
      <w:r w:rsidR="00096751">
        <w:rPr>
          <w:rFonts w:ascii="Book Antiqua" w:eastAsia="Book Antiqua" w:hAnsi="Book Antiqua" w:cs="Book Antiqua"/>
          <w:color w:val="000000"/>
          <w:sz w:val="24"/>
        </w:rPr>
        <w:t xml:space="preserve"> </w:t>
      </w:r>
      <w:r>
        <w:rPr>
          <w:rFonts w:ascii="Book Antiqua" w:eastAsia="Book Antiqua" w:hAnsi="Book Antiqua" w:cs="Book Antiqua"/>
          <w:color w:val="000000"/>
          <w:sz w:val="24"/>
        </w:rPr>
        <w:t>(76.6%)</w:t>
      </w:r>
      <w:r w:rsidR="00096751" w:rsidRPr="00096751">
        <w:rPr>
          <w:rFonts w:ascii="Book Antiqua" w:eastAsia="Book Antiqua" w:hAnsi="Book Antiqua" w:cs="Book Antiqua"/>
          <w:color w:val="000000"/>
          <w:sz w:val="24"/>
        </w:rPr>
        <w:t xml:space="preserve"> </w:t>
      </w:r>
      <w:r w:rsidR="00096751">
        <w:rPr>
          <w:rFonts w:ascii="Book Antiqua" w:eastAsia="Book Antiqua" w:hAnsi="Book Antiqua" w:cs="Book Antiqua"/>
          <w:color w:val="000000"/>
          <w:sz w:val="24"/>
        </w:rPr>
        <w:t>patients</w:t>
      </w:r>
      <w:r>
        <w:rPr>
          <w:rFonts w:ascii="Book Antiqua" w:eastAsia="Book Antiqua" w:hAnsi="Book Antiqua" w:cs="Book Antiqua"/>
          <w:color w:val="000000"/>
          <w:sz w:val="24"/>
        </w:rPr>
        <w:t xml:space="preserve">. Amoxicillin-containing quadruple regimens showed a higher eradication rate than other quadruple therapy regimens (83.0%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The quadruple therapy containing amoxicillin plus clarithromycin achieved the highest eradication rate (83.5%). Primary therapy had a higher eradication rate than rescue therapy (78.3%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66.5%,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In rescue therapy, amoxicillin-</w:t>
      </w:r>
      <w:r w:rsidR="00096751">
        <w:rPr>
          <w:rFonts w:ascii="Book Antiqua" w:eastAsia="Book Antiqua" w:hAnsi="Book Antiqua" w:cs="Book Antiqua"/>
          <w:color w:val="000000"/>
          <w:sz w:val="24"/>
        </w:rPr>
        <w:t xml:space="preserve"> and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-containing regimen</w:t>
      </w:r>
      <w:r w:rsidR="00096751">
        <w:rPr>
          <w:rFonts w:ascii="Book Antiqua" w:eastAsia="Book Antiqua" w:hAnsi="Book Antiqua" w:cs="Book Antiqua"/>
          <w:color w:val="000000"/>
          <w:sz w:val="24"/>
        </w:rPr>
        <w:t>s</w:t>
      </w:r>
      <w:r>
        <w:rPr>
          <w:rFonts w:ascii="Book Antiqua" w:eastAsia="Book Antiqua" w:hAnsi="Book Antiqua" w:cs="Book Antiqua"/>
          <w:color w:val="000000"/>
          <w:sz w:val="24"/>
        </w:rPr>
        <w:t xml:space="preserve"> achieved the highest eradication rate (80.8%). Esomeprazole-containing regimens showed a higher eradication rate than those containing other proton pump inhibitors (81.8%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74.9%,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 0.001). Multivariate regression analysis found that older age, prior therapy, and</w:t>
      </w:r>
      <w:r w:rsidR="00096751">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use of omeprazole or pantoprazole were associated with </w:t>
      </w:r>
      <w:r w:rsidR="00096751">
        <w:rPr>
          <w:rFonts w:ascii="Book Antiqua" w:eastAsia="Book Antiqua" w:hAnsi="Book Antiqua" w:cs="Book Antiqua"/>
          <w:color w:val="000000"/>
          <w:sz w:val="24"/>
        </w:rPr>
        <w:t xml:space="preserve">an </w:t>
      </w:r>
      <w:r>
        <w:rPr>
          <w:rFonts w:ascii="Book Antiqua" w:eastAsia="Book Antiqua" w:hAnsi="Book Antiqua" w:cs="Book Antiqua"/>
          <w:color w:val="000000"/>
          <w:sz w:val="24"/>
        </w:rPr>
        <w:t>increased risk of eradication failure.</w:t>
      </w:r>
    </w:p>
    <w:p w14:paraId="11454E78" w14:textId="77777777" w:rsidR="00C73C17" w:rsidRDefault="00C73C17" w:rsidP="00C73C17">
      <w:pPr>
        <w:spacing w:line="360" w:lineRule="auto"/>
      </w:pPr>
    </w:p>
    <w:p w14:paraId="2ADFFF14" w14:textId="77777777" w:rsidR="00C73C17" w:rsidRDefault="00C73C17" w:rsidP="00C73C17">
      <w:pPr>
        <w:spacing w:line="360" w:lineRule="auto"/>
      </w:pPr>
      <w:r>
        <w:rPr>
          <w:rFonts w:ascii="Book Antiqua" w:eastAsia="Book Antiqua" w:hAnsi="Book Antiqua" w:cs="Book Antiqua"/>
          <w:b/>
          <w:i/>
          <w:color w:val="000000"/>
          <w:sz w:val="24"/>
        </w:rPr>
        <w:lastRenderedPageBreak/>
        <w:t>Research conclusions</w:t>
      </w:r>
    </w:p>
    <w:p w14:paraId="6E495F8E" w14:textId="437929C8" w:rsidR="00C73C17" w:rsidRDefault="00C73C17" w:rsidP="00C73C17">
      <w:pPr>
        <w:spacing w:line="360" w:lineRule="auto"/>
      </w:pPr>
      <w:r>
        <w:rPr>
          <w:rFonts w:ascii="Book Antiqua" w:eastAsia="Book Antiqua" w:hAnsi="Book Antiqua" w:cs="Book Antiqua"/>
          <w:color w:val="000000"/>
          <w:sz w:val="24"/>
        </w:rPr>
        <w:t xml:space="preserve">This study confirmed that the total eradication rate </w:t>
      </w:r>
      <w:r w:rsidR="00096751">
        <w:rPr>
          <w:rFonts w:ascii="Book Antiqua" w:eastAsia="Book Antiqua" w:hAnsi="Book Antiqua" w:cs="Book Antiqua"/>
          <w:color w:val="000000"/>
          <w:sz w:val="24"/>
        </w:rPr>
        <w:t xml:space="preserve">is </w:t>
      </w:r>
      <w:r>
        <w:rPr>
          <w:rFonts w:ascii="Book Antiqua" w:eastAsia="Book Antiqua" w:hAnsi="Book Antiqua" w:cs="Book Antiqua"/>
          <w:color w:val="000000"/>
          <w:sz w:val="24"/>
        </w:rPr>
        <w:t>76.6% in eastern China.</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 xml:space="preserve">Amoxicillin-containing regimens </w:t>
      </w:r>
      <w:r w:rsidR="00096751">
        <w:rPr>
          <w:rFonts w:ascii="Book Antiqua" w:eastAsia="Book Antiqua" w:hAnsi="Book Antiqua" w:cs="Book Antiqua"/>
          <w:color w:val="000000"/>
          <w:sz w:val="24"/>
        </w:rPr>
        <w:t xml:space="preserve">are </w:t>
      </w:r>
      <w:r>
        <w:rPr>
          <w:rFonts w:ascii="Book Antiqua" w:eastAsia="Book Antiqua" w:hAnsi="Book Antiqua" w:cs="Book Antiqua"/>
          <w:color w:val="000000"/>
          <w:sz w:val="24"/>
        </w:rPr>
        <w:t xml:space="preserve">superior to other regimens. Age, prior therapy, and use of omeprazole or pantoprazole </w:t>
      </w:r>
      <w:r w:rsidR="00096751">
        <w:rPr>
          <w:rFonts w:ascii="Book Antiqua" w:eastAsia="Book Antiqua" w:hAnsi="Book Antiqua" w:cs="Book Antiqua"/>
          <w:color w:val="000000"/>
          <w:sz w:val="24"/>
        </w:rPr>
        <w:t xml:space="preserve">are </w:t>
      </w:r>
      <w:r>
        <w:rPr>
          <w:rFonts w:ascii="Book Antiqua" w:eastAsia="Book Antiqua" w:hAnsi="Book Antiqua" w:cs="Book Antiqua"/>
          <w:color w:val="000000"/>
          <w:sz w:val="24"/>
        </w:rPr>
        <w:t xml:space="preserve">independent risk factors </w:t>
      </w:r>
      <w:r w:rsidR="00096751">
        <w:rPr>
          <w:rFonts w:ascii="Book Antiqua" w:eastAsia="Book Antiqua" w:hAnsi="Book Antiqua" w:cs="Book Antiqua"/>
          <w:color w:val="000000"/>
          <w:sz w:val="24"/>
        </w:rPr>
        <w:t xml:space="preserve">for </w:t>
      </w:r>
      <w:r>
        <w:rPr>
          <w:rFonts w:ascii="Book Antiqua" w:eastAsia="Book Antiqua" w:hAnsi="Book Antiqua" w:cs="Book Antiqua"/>
          <w:color w:val="000000"/>
          <w:sz w:val="24"/>
        </w:rPr>
        <w:t>eradication failure.</w:t>
      </w:r>
    </w:p>
    <w:p w14:paraId="0FE3BAC2" w14:textId="77777777" w:rsidR="00C73C17" w:rsidRDefault="00C73C17" w:rsidP="00C73C17">
      <w:pPr>
        <w:spacing w:line="360" w:lineRule="auto"/>
      </w:pPr>
    </w:p>
    <w:p w14:paraId="2E8054CF" w14:textId="77777777" w:rsidR="00C73C17" w:rsidRDefault="00C73C17" w:rsidP="00C73C17">
      <w:pPr>
        <w:spacing w:line="360" w:lineRule="auto"/>
      </w:pPr>
      <w:r>
        <w:rPr>
          <w:rFonts w:ascii="Book Antiqua" w:eastAsia="Book Antiqua" w:hAnsi="Book Antiqua" w:cs="Book Antiqua"/>
          <w:b/>
          <w:i/>
          <w:color w:val="000000"/>
          <w:sz w:val="24"/>
        </w:rPr>
        <w:t>Research perspectives</w:t>
      </w:r>
    </w:p>
    <w:p w14:paraId="0C4242BF" w14:textId="6749E1F0" w:rsidR="00C73C17" w:rsidRDefault="00C73C17" w:rsidP="00C73C17">
      <w:pPr>
        <w:spacing w:line="360" w:lineRule="auto"/>
      </w:pPr>
      <w:r>
        <w:rPr>
          <w:rFonts w:ascii="Book Antiqua" w:eastAsia="Book Antiqua" w:hAnsi="Book Antiqua" w:cs="Book Antiqua"/>
          <w:color w:val="000000"/>
          <w:sz w:val="24"/>
        </w:rPr>
        <w:t xml:space="preserve">This study can improve </w:t>
      </w:r>
      <w:r w:rsidR="00096751">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choice of antibiotics and proton pump inhibitors and indicates that in clinical practice, attention should be paid to elderly patients and rescue therapy. Further prospective research focusing on optimizing the treatment strategies considering these factors is required.</w:t>
      </w:r>
    </w:p>
    <w:p w14:paraId="6507600B" w14:textId="77777777" w:rsidR="00C73C17" w:rsidRDefault="00C73C17" w:rsidP="00C73C17">
      <w:pPr>
        <w:spacing w:line="360" w:lineRule="auto"/>
      </w:pPr>
    </w:p>
    <w:p w14:paraId="66FC6AD9" w14:textId="77777777" w:rsidR="00C73C17" w:rsidRDefault="00C73C17" w:rsidP="00C73C17">
      <w:pPr>
        <w:spacing w:line="360" w:lineRule="auto"/>
      </w:pPr>
      <w:r>
        <w:rPr>
          <w:rFonts w:ascii="Book Antiqua" w:eastAsia="Book Antiqua" w:hAnsi="Book Antiqua" w:cs="Book Antiqua"/>
          <w:b/>
          <w:color w:val="000000"/>
          <w:sz w:val="24"/>
        </w:rPr>
        <w:t>REFERENCES</w:t>
      </w:r>
    </w:p>
    <w:p w14:paraId="7C9BF366" w14:textId="77777777" w:rsidR="00C73C17" w:rsidRDefault="00C73C17" w:rsidP="00C73C17">
      <w:pPr>
        <w:spacing w:line="360" w:lineRule="auto"/>
      </w:pPr>
      <w:r>
        <w:rPr>
          <w:rFonts w:ascii="Book Antiqua" w:eastAsia="Book Antiqua" w:hAnsi="Book Antiqua" w:cs="Book Antiqua"/>
          <w:color w:val="000000"/>
          <w:sz w:val="24"/>
        </w:rPr>
        <w:t xml:space="preserve">1 </w:t>
      </w:r>
      <w:proofErr w:type="spellStart"/>
      <w:r>
        <w:rPr>
          <w:rFonts w:ascii="Book Antiqua" w:eastAsia="Book Antiqua" w:hAnsi="Book Antiqua" w:cs="Book Antiqua"/>
          <w:b/>
          <w:bCs/>
          <w:color w:val="000000"/>
          <w:sz w:val="24"/>
        </w:rPr>
        <w:t>Boltin</w:t>
      </w:r>
      <w:proofErr w:type="spellEnd"/>
      <w:r>
        <w:rPr>
          <w:rFonts w:ascii="Book Antiqua" w:eastAsia="Book Antiqua" w:hAnsi="Book Antiqua" w:cs="Book Antiqua"/>
          <w:b/>
          <w:bCs/>
          <w:color w:val="000000"/>
          <w:sz w:val="24"/>
        </w:rPr>
        <w:t xml:space="preserve"> D</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Niv</w:t>
      </w:r>
      <w:proofErr w:type="spellEnd"/>
      <w:r>
        <w:rPr>
          <w:rFonts w:ascii="Book Antiqua" w:eastAsia="Book Antiqua" w:hAnsi="Book Antiqua" w:cs="Book Antiqua"/>
          <w:color w:val="000000"/>
          <w:sz w:val="24"/>
        </w:rPr>
        <w:t xml:space="preserve"> Y, </w:t>
      </w:r>
      <w:proofErr w:type="spellStart"/>
      <w:r>
        <w:rPr>
          <w:rFonts w:ascii="Book Antiqua" w:eastAsia="Book Antiqua" w:hAnsi="Book Antiqua" w:cs="Book Antiqua"/>
          <w:color w:val="000000"/>
          <w:sz w:val="24"/>
        </w:rPr>
        <w:t>Schütte</w:t>
      </w:r>
      <w:proofErr w:type="spellEnd"/>
      <w:r>
        <w:rPr>
          <w:rFonts w:ascii="Book Antiqua" w:eastAsia="Book Antiqua" w:hAnsi="Book Antiqua" w:cs="Book Antiqua"/>
          <w:color w:val="000000"/>
          <w:sz w:val="24"/>
        </w:rPr>
        <w:t xml:space="preserve"> K, Schulz C. Review: Helicobacter pylori and non-malignant upper gastrointestinal diseases.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 Suppl 1</w:t>
      </w:r>
      <w:r>
        <w:rPr>
          <w:rFonts w:ascii="Book Antiqua" w:eastAsia="Book Antiqua" w:hAnsi="Book Antiqua" w:cs="Book Antiqua"/>
          <w:color w:val="000000"/>
          <w:sz w:val="24"/>
        </w:rPr>
        <w:t>: e12637 [PMID: 31486237 DOI: 10.1111/hel.12637]</w:t>
      </w:r>
    </w:p>
    <w:p w14:paraId="05D597D4" w14:textId="77777777" w:rsidR="00C73C17" w:rsidRDefault="00C73C17" w:rsidP="00C73C17">
      <w:pPr>
        <w:spacing w:line="360" w:lineRule="auto"/>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Sugano K</w:t>
      </w:r>
      <w:r>
        <w:rPr>
          <w:rFonts w:ascii="Book Antiqua" w:eastAsia="Book Antiqua" w:hAnsi="Book Antiqua" w:cs="Book Antiqua"/>
          <w:color w:val="000000"/>
          <w:sz w:val="24"/>
        </w:rPr>
        <w:t xml:space="preserve">. Effect of Helicobacter pylori eradication on the incidence of gastric cancer: a systematic review and meta-analysis. </w:t>
      </w:r>
      <w:r>
        <w:rPr>
          <w:rFonts w:ascii="Book Antiqua" w:eastAsia="Book Antiqua" w:hAnsi="Book Antiqua" w:cs="Book Antiqua"/>
          <w:i/>
          <w:iCs/>
          <w:color w:val="000000"/>
          <w:sz w:val="24"/>
        </w:rPr>
        <w:t>Gastric Cancer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22</w:t>
      </w:r>
      <w:r>
        <w:rPr>
          <w:rFonts w:ascii="Book Antiqua" w:eastAsia="Book Antiqua" w:hAnsi="Book Antiqua" w:cs="Book Antiqua"/>
          <w:color w:val="000000"/>
          <w:sz w:val="24"/>
        </w:rPr>
        <w:t>: 435-445 [PMID: 30206731 DOI: 10.1007/s10120-018-0876-0]</w:t>
      </w:r>
    </w:p>
    <w:p w14:paraId="6E2E5896" w14:textId="77777777" w:rsidR="00C73C17" w:rsidRDefault="00C73C17" w:rsidP="00C73C17">
      <w:pPr>
        <w:spacing w:line="360" w:lineRule="auto"/>
      </w:pPr>
      <w:r>
        <w:rPr>
          <w:rFonts w:ascii="Book Antiqua" w:eastAsia="Book Antiqua" w:hAnsi="Book Antiqua" w:cs="Book Antiqua"/>
          <w:color w:val="000000"/>
          <w:sz w:val="24"/>
        </w:rPr>
        <w:t xml:space="preserve">3 </w:t>
      </w:r>
      <w:proofErr w:type="spellStart"/>
      <w:r>
        <w:rPr>
          <w:rFonts w:ascii="Book Antiqua" w:eastAsia="Book Antiqua" w:hAnsi="Book Antiqua" w:cs="Book Antiqua"/>
          <w:b/>
          <w:bCs/>
          <w:color w:val="000000"/>
          <w:sz w:val="24"/>
        </w:rPr>
        <w:t>Venerito</w:t>
      </w:r>
      <w:proofErr w:type="spellEnd"/>
      <w:r>
        <w:rPr>
          <w:rFonts w:ascii="Book Antiqua" w:eastAsia="Book Antiqua" w:hAnsi="Book Antiqua" w:cs="Book Antiqua"/>
          <w:b/>
          <w:bCs/>
          <w:color w:val="000000"/>
          <w:sz w:val="24"/>
        </w:rPr>
        <w:t xml:space="preserve"> M</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Vasapolli</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Rokkas</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Delchier</w:t>
      </w:r>
      <w:proofErr w:type="spellEnd"/>
      <w:r>
        <w:rPr>
          <w:rFonts w:ascii="Book Antiqua" w:eastAsia="Book Antiqua" w:hAnsi="Book Antiqua" w:cs="Book Antiqua"/>
          <w:color w:val="000000"/>
          <w:sz w:val="24"/>
        </w:rPr>
        <w:t xml:space="preserve"> JC, </w:t>
      </w:r>
      <w:proofErr w:type="spellStart"/>
      <w:r>
        <w:rPr>
          <w:rFonts w:ascii="Book Antiqua" w:eastAsia="Book Antiqua" w:hAnsi="Book Antiqua" w:cs="Book Antiqua"/>
          <w:color w:val="000000"/>
          <w:sz w:val="24"/>
        </w:rPr>
        <w:t>Malfertheiner</w:t>
      </w:r>
      <w:proofErr w:type="spellEnd"/>
      <w:r>
        <w:rPr>
          <w:rFonts w:ascii="Book Antiqua" w:eastAsia="Book Antiqua" w:hAnsi="Book Antiqua" w:cs="Book Antiqua"/>
          <w:color w:val="000000"/>
          <w:sz w:val="24"/>
        </w:rPr>
        <w:t xml:space="preserve"> P. Helicobacter pylori, gastric cancer and other gastrointestinal malignancies.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22 Suppl 1</w:t>
      </w:r>
      <w:r>
        <w:rPr>
          <w:rFonts w:ascii="Book Antiqua" w:eastAsia="Book Antiqua" w:hAnsi="Book Antiqua" w:cs="Book Antiqua"/>
          <w:color w:val="000000"/>
          <w:sz w:val="24"/>
        </w:rPr>
        <w:t>: [PMID: 28891127 DOI: 10.1111/hel.12413]</w:t>
      </w:r>
    </w:p>
    <w:p w14:paraId="030951A8" w14:textId="77777777" w:rsidR="00C73C17" w:rsidRDefault="00C73C17" w:rsidP="00C73C17">
      <w:pPr>
        <w:spacing w:line="360" w:lineRule="auto"/>
      </w:pPr>
      <w:r>
        <w:rPr>
          <w:rFonts w:ascii="Book Antiqua" w:eastAsia="Book Antiqua" w:hAnsi="Book Antiqua" w:cs="Book Antiqua"/>
          <w:color w:val="000000"/>
          <w:sz w:val="24"/>
        </w:rPr>
        <w:t xml:space="preserve">4 </w:t>
      </w:r>
      <w:proofErr w:type="spellStart"/>
      <w:r>
        <w:rPr>
          <w:rFonts w:ascii="Book Antiqua" w:eastAsia="Book Antiqua" w:hAnsi="Book Antiqua" w:cs="Book Antiqua"/>
          <w:b/>
          <w:bCs/>
          <w:color w:val="000000"/>
          <w:sz w:val="24"/>
        </w:rPr>
        <w:t>Franceschi</w:t>
      </w:r>
      <w:proofErr w:type="spellEnd"/>
      <w:r>
        <w:rPr>
          <w:rFonts w:ascii="Book Antiqua" w:eastAsia="Book Antiqua" w:hAnsi="Book Antiqua" w:cs="Book Antiqua"/>
          <w:b/>
          <w:bCs/>
          <w:color w:val="000000"/>
          <w:sz w:val="24"/>
        </w:rPr>
        <w:t xml:space="preserve"> F</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Covino</w:t>
      </w:r>
      <w:proofErr w:type="spellEnd"/>
      <w:r>
        <w:rPr>
          <w:rFonts w:ascii="Book Antiqua" w:eastAsia="Book Antiqua" w:hAnsi="Book Antiqua" w:cs="Book Antiqua"/>
          <w:color w:val="000000"/>
          <w:sz w:val="24"/>
        </w:rPr>
        <w:t xml:space="preserve"> M, </w:t>
      </w:r>
      <w:proofErr w:type="spellStart"/>
      <w:r>
        <w:rPr>
          <w:rFonts w:ascii="Book Antiqua" w:eastAsia="Book Antiqua" w:hAnsi="Book Antiqua" w:cs="Book Antiqua"/>
          <w:color w:val="000000"/>
          <w:sz w:val="24"/>
        </w:rPr>
        <w:t>Roubaud</w:t>
      </w:r>
      <w:proofErr w:type="spellEnd"/>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Baudron</w:t>
      </w:r>
      <w:proofErr w:type="spellEnd"/>
      <w:r>
        <w:rPr>
          <w:rFonts w:ascii="Book Antiqua" w:eastAsia="Book Antiqua" w:hAnsi="Book Antiqua" w:cs="Book Antiqua"/>
          <w:color w:val="000000"/>
          <w:sz w:val="24"/>
        </w:rPr>
        <w:t xml:space="preserve"> C. Review: Helicobacter pylori and </w:t>
      </w:r>
      <w:proofErr w:type="spellStart"/>
      <w:r>
        <w:rPr>
          <w:rFonts w:ascii="Book Antiqua" w:eastAsia="Book Antiqua" w:hAnsi="Book Antiqua" w:cs="Book Antiqua"/>
          <w:color w:val="000000"/>
          <w:sz w:val="24"/>
        </w:rPr>
        <w:t>extragastric</w:t>
      </w:r>
      <w:proofErr w:type="spellEnd"/>
      <w:r>
        <w:rPr>
          <w:rFonts w:ascii="Book Antiqua" w:eastAsia="Book Antiqua" w:hAnsi="Book Antiqua" w:cs="Book Antiqua"/>
          <w:color w:val="000000"/>
          <w:sz w:val="24"/>
        </w:rPr>
        <w:t xml:space="preserve"> diseases.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 Suppl 1</w:t>
      </w:r>
      <w:r>
        <w:rPr>
          <w:rFonts w:ascii="Book Antiqua" w:eastAsia="Book Antiqua" w:hAnsi="Book Antiqua" w:cs="Book Antiqua"/>
          <w:color w:val="000000"/>
          <w:sz w:val="24"/>
        </w:rPr>
        <w:t>: e12636 [PMID: 31486239 DOI: 10.1111/hel.12636]</w:t>
      </w:r>
    </w:p>
    <w:p w14:paraId="178E4185" w14:textId="77777777" w:rsidR="00C73C17" w:rsidRDefault="00C73C17" w:rsidP="00C73C17">
      <w:pPr>
        <w:spacing w:line="360" w:lineRule="auto"/>
      </w:pPr>
      <w:r>
        <w:rPr>
          <w:rFonts w:ascii="Book Antiqua" w:eastAsia="Book Antiqua" w:hAnsi="Book Antiqua" w:cs="Book Antiqua"/>
          <w:color w:val="000000"/>
          <w:sz w:val="24"/>
        </w:rPr>
        <w:t xml:space="preserve">5 </w:t>
      </w:r>
      <w:proofErr w:type="spellStart"/>
      <w:r>
        <w:rPr>
          <w:rFonts w:ascii="Book Antiqua" w:eastAsia="Book Antiqua" w:hAnsi="Book Antiqua" w:cs="Book Antiqua"/>
          <w:b/>
          <w:bCs/>
          <w:color w:val="000000"/>
          <w:sz w:val="24"/>
        </w:rPr>
        <w:t>Sjomina</w:t>
      </w:r>
      <w:proofErr w:type="spellEnd"/>
      <w:r>
        <w:rPr>
          <w:rFonts w:ascii="Book Antiqua" w:eastAsia="Book Antiqua" w:hAnsi="Book Antiqua" w:cs="Book Antiqua"/>
          <w:b/>
          <w:bCs/>
          <w:color w:val="000000"/>
          <w:sz w:val="24"/>
        </w:rPr>
        <w:t xml:space="preserve"> O</w:t>
      </w:r>
      <w:r>
        <w:rPr>
          <w:rFonts w:ascii="Book Antiqua" w:eastAsia="Book Antiqua" w:hAnsi="Book Antiqua" w:cs="Book Antiqua"/>
          <w:color w:val="000000"/>
          <w:sz w:val="24"/>
        </w:rPr>
        <w:t xml:space="preserve">, Pavlova J, </w:t>
      </w:r>
      <w:proofErr w:type="spellStart"/>
      <w:r>
        <w:rPr>
          <w:rFonts w:ascii="Book Antiqua" w:eastAsia="Book Antiqua" w:hAnsi="Book Antiqua" w:cs="Book Antiqua"/>
          <w:color w:val="000000"/>
          <w:sz w:val="24"/>
        </w:rPr>
        <w:t>Niv</w:t>
      </w:r>
      <w:proofErr w:type="spellEnd"/>
      <w:r>
        <w:rPr>
          <w:rFonts w:ascii="Book Antiqua" w:eastAsia="Book Antiqua" w:hAnsi="Book Antiqua" w:cs="Book Antiqua"/>
          <w:color w:val="000000"/>
          <w:sz w:val="24"/>
        </w:rPr>
        <w:t xml:space="preserve"> Y, </w:t>
      </w:r>
      <w:proofErr w:type="spellStart"/>
      <w:r>
        <w:rPr>
          <w:rFonts w:ascii="Book Antiqua" w:eastAsia="Book Antiqua" w:hAnsi="Book Antiqua" w:cs="Book Antiqua"/>
          <w:color w:val="000000"/>
          <w:sz w:val="24"/>
        </w:rPr>
        <w:t>Leja</w:t>
      </w:r>
      <w:proofErr w:type="spellEnd"/>
      <w:r>
        <w:rPr>
          <w:rFonts w:ascii="Book Antiqua" w:eastAsia="Book Antiqua" w:hAnsi="Book Antiqua" w:cs="Book Antiqua"/>
          <w:color w:val="000000"/>
          <w:sz w:val="24"/>
        </w:rPr>
        <w:t xml:space="preserve"> M. Epidemiology of Helicobacter pylori infection.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23 Suppl 1</w:t>
      </w:r>
      <w:r>
        <w:rPr>
          <w:rFonts w:ascii="Book Antiqua" w:eastAsia="Book Antiqua" w:hAnsi="Book Antiqua" w:cs="Book Antiqua"/>
          <w:color w:val="000000"/>
          <w:sz w:val="24"/>
        </w:rPr>
        <w:t>: e12514 [PMID: 30203587 DOI: 10.1111/hel.12514]</w:t>
      </w:r>
    </w:p>
    <w:p w14:paraId="47745A98" w14:textId="77777777" w:rsidR="00C73C17" w:rsidRDefault="00C73C17" w:rsidP="00C73C17">
      <w:pPr>
        <w:spacing w:line="360" w:lineRule="auto"/>
      </w:pPr>
      <w:r>
        <w:rPr>
          <w:rFonts w:ascii="Book Antiqua" w:eastAsia="Book Antiqua" w:hAnsi="Book Antiqua" w:cs="Book Antiqua"/>
          <w:color w:val="000000"/>
          <w:sz w:val="24"/>
        </w:rPr>
        <w:t xml:space="preserve">6 </w:t>
      </w:r>
      <w:proofErr w:type="spellStart"/>
      <w:r>
        <w:rPr>
          <w:rFonts w:ascii="Book Antiqua" w:eastAsia="Book Antiqua" w:hAnsi="Book Antiqua" w:cs="Book Antiqua"/>
          <w:b/>
          <w:bCs/>
          <w:color w:val="000000"/>
          <w:sz w:val="24"/>
        </w:rPr>
        <w:t>Rugge</w:t>
      </w:r>
      <w:proofErr w:type="spellEnd"/>
      <w:r>
        <w:rPr>
          <w:rFonts w:ascii="Book Antiqua" w:eastAsia="Book Antiqua" w:hAnsi="Book Antiqua" w:cs="Book Antiqua"/>
          <w:b/>
          <w:bCs/>
          <w:color w:val="000000"/>
          <w:sz w:val="24"/>
        </w:rPr>
        <w:t xml:space="preserve"> M</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Genta</w:t>
      </w:r>
      <w:proofErr w:type="spellEnd"/>
      <w:r>
        <w:rPr>
          <w:rFonts w:ascii="Book Antiqua" w:eastAsia="Book Antiqua" w:hAnsi="Book Antiqua" w:cs="Book Antiqua"/>
          <w:color w:val="000000"/>
          <w:sz w:val="24"/>
        </w:rPr>
        <w:t xml:space="preserve"> RM, Di Mario F, El-Omar EM, El-</w:t>
      </w:r>
      <w:proofErr w:type="spellStart"/>
      <w:r>
        <w:rPr>
          <w:rFonts w:ascii="Book Antiqua" w:eastAsia="Book Antiqua" w:hAnsi="Book Antiqua" w:cs="Book Antiqua"/>
          <w:color w:val="000000"/>
          <w:sz w:val="24"/>
        </w:rPr>
        <w:t>Serag</w:t>
      </w:r>
      <w:proofErr w:type="spellEnd"/>
      <w:r>
        <w:rPr>
          <w:rFonts w:ascii="Book Antiqua" w:eastAsia="Book Antiqua" w:hAnsi="Book Antiqua" w:cs="Book Antiqua"/>
          <w:color w:val="000000"/>
          <w:sz w:val="24"/>
        </w:rPr>
        <w:t xml:space="preserve"> HB, </w:t>
      </w:r>
      <w:proofErr w:type="spellStart"/>
      <w:r>
        <w:rPr>
          <w:rFonts w:ascii="Book Antiqua" w:eastAsia="Book Antiqua" w:hAnsi="Book Antiqua" w:cs="Book Antiqua"/>
          <w:color w:val="000000"/>
          <w:sz w:val="24"/>
        </w:rPr>
        <w:t>Fassan</w:t>
      </w:r>
      <w:proofErr w:type="spellEnd"/>
      <w:r>
        <w:rPr>
          <w:rFonts w:ascii="Book Antiqua" w:eastAsia="Book Antiqua" w:hAnsi="Book Antiqua" w:cs="Book Antiqua"/>
          <w:color w:val="000000"/>
          <w:sz w:val="24"/>
        </w:rPr>
        <w:t xml:space="preserve"> M, Hunt RH, </w:t>
      </w:r>
      <w:proofErr w:type="spellStart"/>
      <w:r>
        <w:rPr>
          <w:rFonts w:ascii="Book Antiqua" w:eastAsia="Book Antiqua" w:hAnsi="Book Antiqua" w:cs="Book Antiqua"/>
          <w:color w:val="000000"/>
          <w:sz w:val="24"/>
        </w:rPr>
        <w:t>Kuipers</w:t>
      </w:r>
      <w:proofErr w:type="spellEnd"/>
      <w:r>
        <w:rPr>
          <w:rFonts w:ascii="Book Antiqua" w:eastAsia="Book Antiqua" w:hAnsi="Book Antiqua" w:cs="Book Antiqua"/>
          <w:color w:val="000000"/>
          <w:sz w:val="24"/>
        </w:rPr>
        <w:t xml:space="preserve"> EJ, </w:t>
      </w:r>
      <w:proofErr w:type="spellStart"/>
      <w:r>
        <w:rPr>
          <w:rFonts w:ascii="Book Antiqua" w:eastAsia="Book Antiqua" w:hAnsi="Book Antiqua" w:cs="Book Antiqua"/>
          <w:color w:val="000000"/>
          <w:sz w:val="24"/>
        </w:rPr>
        <w:t>Malfertheiner</w:t>
      </w:r>
      <w:proofErr w:type="spellEnd"/>
      <w:r>
        <w:rPr>
          <w:rFonts w:ascii="Book Antiqua" w:eastAsia="Book Antiqua" w:hAnsi="Book Antiqua" w:cs="Book Antiqua"/>
          <w:color w:val="000000"/>
          <w:sz w:val="24"/>
        </w:rPr>
        <w:t xml:space="preserve"> P, Sugano K, Graham DY. Gastric Cancer as Preventable </w:t>
      </w:r>
      <w:r>
        <w:rPr>
          <w:rFonts w:ascii="Book Antiqua" w:eastAsia="Book Antiqua" w:hAnsi="Book Antiqua" w:cs="Book Antiqua"/>
          <w:color w:val="000000"/>
          <w:sz w:val="24"/>
        </w:rPr>
        <w:lastRenderedPageBreak/>
        <w:t xml:space="preserve">Disease. </w:t>
      </w:r>
      <w:r>
        <w:rPr>
          <w:rFonts w:ascii="Book Antiqua" w:eastAsia="Book Antiqua" w:hAnsi="Book Antiqua" w:cs="Book Antiqua"/>
          <w:i/>
          <w:iCs/>
          <w:color w:val="000000"/>
          <w:sz w:val="24"/>
        </w:rPr>
        <w:t>Clin Gastroenterol Hepatol</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15</w:t>
      </w:r>
      <w:r>
        <w:rPr>
          <w:rFonts w:ascii="Book Antiqua" w:eastAsia="Book Antiqua" w:hAnsi="Book Antiqua" w:cs="Book Antiqua"/>
          <w:color w:val="000000"/>
          <w:sz w:val="24"/>
        </w:rPr>
        <w:t>: 1833-1843 [PMID: 28532700 DOI: 10.1016/j.cgh.2017.05.023]</w:t>
      </w:r>
    </w:p>
    <w:p w14:paraId="55C44A71" w14:textId="77777777" w:rsidR="00C73C17" w:rsidRDefault="00C73C17" w:rsidP="00C73C17">
      <w:pPr>
        <w:spacing w:line="360" w:lineRule="auto"/>
      </w:pPr>
      <w:r>
        <w:rPr>
          <w:rFonts w:ascii="Book Antiqua" w:eastAsia="Book Antiqua" w:hAnsi="Book Antiqua" w:cs="Book Antiqua"/>
          <w:color w:val="000000"/>
          <w:sz w:val="24"/>
        </w:rPr>
        <w:t xml:space="preserve">7 </w:t>
      </w:r>
      <w:proofErr w:type="spellStart"/>
      <w:r>
        <w:rPr>
          <w:rFonts w:ascii="Book Antiqua" w:eastAsia="Book Antiqua" w:hAnsi="Book Antiqua" w:cs="Book Antiqua"/>
          <w:b/>
          <w:bCs/>
          <w:color w:val="000000"/>
          <w:sz w:val="24"/>
        </w:rPr>
        <w:t>Lansdorp-Vogelaar</w:t>
      </w:r>
      <w:proofErr w:type="spellEnd"/>
      <w:r>
        <w:rPr>
          <w:rFonts w:ascii="Book Antiqua" w:eastAsia="Book Antiqua" w:hAnsi="Book Antiqua" w:cs="Book Antiqua"/>
          <w:b/>
          <w:bCs/>
          <w:color w:val="000000"/>
          <w:sz w:val="24"/>
        </w:rPr>
        <w:t xml:space="preserve"> I</w:t>
      </w:r>
      <w:r>
        <w:rPr>
          <w:rFonts w:ascii="Book Antiqua" w:eastAsia="Book Antiqua" w:hAnsi="Book Antiqua" w:cs="Book Antiqua"/>
          <w:color w:val="000000"/>
          <w:sz w:val="24"/>
        </w:rPr>
        <w:t xml:space="preserve">, Sharp L. Cost-effectiveness of screening and treating Helicobacter pylori for gastric cancer prevention. </w:t>
      </w:r>
      <w:r>
        <w:rPr>
          <w:rFonts w:ascii="Book Antiqua" w:eastAsia="Book Antiqua" w:hAnsi="Book Antiqua" w:cs="Book Antiqua"/>
          <w:i/>
          <w:iCs/>
          <w:color w:val="000000"/>
          <w:sz w:val="24"/>
        </w:rPr>
        <w:t xml:space="preserve">Best </w:t>
      </w:r>
      <w:proofErr w:type="spellStart"/>
      <w:r>
        <w:rPr>
          <w:rFonts w:ascii="Book Antiqua" w:eastAsia="Book Antiqua" w:hAnsi="Book Antiqua" w:cs="Book Antiqua"/>
          <w:i/>
          <w:iCs/>
          <w:color w:val="000000"/>
          <w:sz w:val="24"/>
        </w:rPr>
        <w:t>Pract</w:t>
      </w:r>
      <w:proofErr w:type="spellEnd"/>
      <w:r>
        <w:rPr>
          <w:rFonts w:ascii="Book Antiqua" w:eastAsia="Book Antiqua" w:hAnsi="Book Antiqua" w:cs="Book Antiqua"/>
          <w:i/>
          <w:iCs/>
          <w:color w:val="000000"/>
          <w:sz w:val="24"/>
        </w:rPr>
        <w:t xml:space="preserve"> Res </w:t>
      </w:r>
      <w:proofErr w:type="spellStart"/>
      <w:r>
        <w:rPr>
          <w:rFonts w:ascii="Book Antiqua" w:eastAsia="Book Antiqua" w:hAnsi="Book Antiqua" w:cs="Book Antiqua"/>
          <w:i/>
          <w:iCs/>
          <w:color w:val="000000"/>
          <w:sz w:val="24"/>
        </w:rPr>
        <w:t>Clin</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Gastroenterol</w:t>
      </w:r>
      <w:proofErr w:type="spellEnd"/>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27</w:t>
      </w:r>
      <w:r>
        <w:rPr>
          <w:rFonts w:ascii="Book Antiqua" w:eastAsia="Book Antiqua" w:hAnsi="Book Antiqua" w:cs="Book Antiqua"/>
          <w:color w:val="000000"/>
          <w:sz w:val="24"/>
        </w:rPr>
        <w:t>: 933-947 [PMID: 24182612 DOI: 10.1016/j.bpg.2013.09.005]</w:t>
      </w:r>
    </w:p>
    <w:p w14:paraId="6668A6FE" w14:textId="77777777" w:rsidR="00C73C17" w:rsidRDefault="00C73C17" w:rsidP="00C73C17">
      <w:pPr>
        <w:spacing w:line="360" w:lineRule="auto"/>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Han Y</w:t>
      </w:r>
      <w:r>
        <w:rPr>
          <w:rFonts w:ascii="Book Antiqua" w:eastAsia="Book Antiqua" w:hAnsi="Book Antiqua" w:cs="Book Antiqua"/>
          <w:color w:val="000000"/>
          <w:sz w:val="24"/>
        </w:rPr>
        <w:t xml:space="preserve">, Yan T, Ma H, Yao X, Lu C, Li Y, Li L. Cost-Effectiveness Analysis of Helicobacter pylori Eradication Therapy for Prevention of Gastric Cancer: A Markov Model.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65</w:t>
      </w:r>
      <w:r>
        <w:rPr>
          <w:rFonts w:ascii="Book Antiqua" w:eastAsia="Book Antiqua" w:hAnsi="Book Antiqua" w:cs="Book Antiqua"/>
          <w:color w:val="000000"/>
          <w:sz w:val="24"/>
        </w:rPr>
        <w:t>: 1679-1688 [PMID: 31673902 DOI: 10.1007/s10620-019-05910-1]</w:t>
      </w:r>
    </w:p>
    <w:p w14:paraId="57DB4539" w14:textId="77777777" w:rsidR="00C73C17" w:rsidRDefault="00C73C17" w:rsidP="00C73C17">
      <w:pPr>
        <w:spacing w:line="360" w:lineRule="auto"/>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Bae SE</w:t>
      </w:r>
      <w:r>
        <w:rPr>
          <w:rFonts w:ascii="Book Antiqua" w:eastAsia="Book Antiqua" w:hAnsi="Book Antiqua" w:cs="Book Antiqua"/>
          <w:color w:val="000000"/>
          <w:sz w:val="24"/>
        </w:rPr>
        <w:t xml:space="preserve">, Choi KD, Choe J, Kim SO, Na HK, Choi JY, </w:t>
      </w:r>
      <w:proofErr w:type="spellStart"/>
      <w:r>
        <w:rPr>
          <w:rFonts w:ascii="Book Antiqua" w:eastAsia="Book Antiqua" w:hAnsi="Book Antiqua" w:cs="Book Antiqua"/>
          <w:color w:val="000000"/>
          <w:sz w:val="24"/>
        </w:rPr>
        <w:t>Ahn</w:t>
      </w:r>
      <w:proofErr w:type="spellEnd"/>
      <w:r>
        <w:rPr>
          <w:rFonts w:ascii="Book Antiqua" w:eastAsia="Book Antiqua" w:hAnsi="Book Antiqua" w:cs="Book Antiqua"/>
          <w:color w:val="000000"/>
          <w:sz w:val="24"/>
        </w:rPr>
        <w:t xml:space="preserve"> JY, Jung KW, Lee J, Kim DH, Chang HS, Song HJ, Lee GH, Jung HY. The effect of eradication of Helicobacter pylori on gastric cancer prevention in healthy asymptomatic populations.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23</w:t>
      </w:r>
      <w:r>
        <w:rPr>
          <w:rFonts w:ascii="Book Antiqua" w:eastAsia="Book Antiqua" w:hAnsi="Book Antiqua" w:cs="Book Antiqua"/>
          <w:color w:val="000000"/>
          <w:sz w:val="24"/>
        </w:rPr>
        <w:t>: e12464 [PMID: 29345408 DOI: 10.1111/hel.12464]</w:t>
      </w:r>
    </w:p>
    <w:p w14:paraId="11FB8B94" w14:textId="77777777" w:rsidR="00C73C17" w:rsidRDefault="00C73C17" w:rsidP="00C73C17">
      <w:pPr>
        <w:spacing w:line="360" w:lineRule="auto"/>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Du Y</w:t>
      </w:r>
      <w:r>
        <w:rPr>
          <w:rFonts w:ascii="Book Antiqua" w:eastAsia="Book Antiqua" w:hAnsi="Book Antiqua" w:cs="Book Antiqua"/>
          <w:color w:val="000000"/>
          <w:sz w:val="24"/>
        </w:rPr>
        <w:t xml:space="preserve">, Zhu H, Liu J, Li J, Chang X, Zhou L, Chen M, Lu N, Li Z. Consensus on eradication of Helicobacter pylori and prevention and control of gastric cancer in China (2019, Shanghai). </w:t>
      </w:r>
      <w:r>
        <w:rPr>
          <w:rFonts w:ascii="Book Antiqua" w:eastAsia="Book Antiqua" w:hAnsi="Book Antiqua" w:cs="Book Antiqua"/>
          <w:i/>
          <w:iCs/>
          <w:color w:val="000000"/>
          <w:sz w:val="24"/>
        </w:rPr>
        <w:t>J Gastroenterol Hepatol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35</w:t>
      </w:r>
      <w:r>
        <w:rPr>
          <w:rFonts w:ascii="Book Antiqua" w:eastAsia="Book Antiqua" w:hAnsi="Book Antiqua" w:cs="Book Antiqua"/>
          <w:color w:val="000000"/>
          <w:sz w:val="24"/>
        </w:rPr>
        <w:t>: 624-629 [PMID: 31788864 DOI: 10.1111/jgh.14947]</w:t>
      </w:r>
    </w:p>
    <w:p w14:paraId="7A266782" w14:textId="77777777" w:rsidR="00C73C17" w:rsidRDefault="00C73C17" w:rsidP="00C73C17">
      <w:pPr>
        <w:spacing w:line="360" w:lineRule="auto"/>
      </w:pPr>
      <w:r>
        <w:rPr>
          <w:rFonts w:ascii="Book Antiqua" w:eastAsia="Book Antiqua" w:hAnsi="Book Antiqua" w:cs="Book Antiqua"/>
          <w:color w:val="000000"/>
          <w:sz w:val="24"/>
        </w:rPr>
        <w:t xml:space="preserve">11 </w:t>
      </w:r>
      <w:r>
        <w:rPr>
          <w:rFonts w:ascii="Book Antiqua" w:eastAsia="Book Antiqua" w:hAnsi="Book Antiqua" w:cs="Book Antiqua"/>
          <w:b/>
          <w:bCs/>
          <w:color w:val="000000"/>
          <w:sz w:val="24"/>
        </w:rPr>
        <w:t>Suzuki S</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Gotoda</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Kusano</w:t>
      </w:r>
      <w:proofErr w:type="spellEnd"/>
      <w:r>
        <w:rPr>
          <w:rFonts w:ascii="Book Antiqua" w:eastAsia="Book Antiqua" w:hAnsi="Book Antiqua" w:cs="Book Antiqua"/>
          <w:color w:val="000000"/>
          <w:sz w:val="24"/>
        </w:rPr>
        <w:t xml:space="preserve"> C, </w:t>
      </w:r>
      <w:proofErr w:type="spellStart"/>
      <w:r>
        <w:rPr>
          <w:rFonts w:ascii="Book Antiqua" w:eastAsia="Book Antiqua" w:hAnsi="Book Antiqua" w:cs="Book Antiqua"/>
          <w:color w:val="000000"/>
          <w:sz w:val="24"/>
        </w:rPr>
        <w:t>Ikehara</w:t>
      </w:r>
      <w:proofErr w:type="spellEnd"/>
      <w:r>
        <w:rPr>
          <w:rFonts w:ascii="Book Antiqua" w:eastAsia="Book Antiqua" w:hAnsi="Book Antiqua" w:cs="Book Antiqua"/>
          <w:color w:val="000000"/>
          <w:sz w:val="24"/>
        </w:rPr>
        <w:t xml:space="preserve"> H, </w:t>
      </w:r>
      <w:proofErr w:type="spellStart"/>
      <w:r>
        <w:rPr>
          <w:rFonts w:ascii="Book Antiqua" w:eastAsia="Book Antiqua" w:hAnsi="Book Antiqua" w:cs="Book Antiqua"/>
          <w:color w:val="000000"/>
          <w:sz w:val="24"/>
        </w:rPr>
        <w:t>Ichijima</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Ohyauchi</w:t>
      </w:r>
      <w:proofErr w:type="spellEnd"/>
      <w:r>
        <w:rPr>
          <w:rFonts w:ascii="Book Antiqua" w:eastAsia="Book Antiqua" w:hAnsi="Book Antiqua" w:cs="Book Antiqua"/>
          <w:color w:val="000000"/>
          <w:sz w:val="24"/>
        </w:rPr>
        <w:t xml:space="preserve"> M, Ito H, Kawamura M, Ogata Y, </w:t>
      </w:r>
      <w:proofErr w:type="spellStart"/>
      <w:r>
        <w:rPr>
          <w:rFonts w:ascii="Book Antiqua" w:eastAsia="Book Antiqua" w:hAnsi="Book Antiqua" w:cs="Book Antiqua"/>
          <w:color w:val="000000"/>
          <w:sz w:val="24"/>
        </w:rPr>
        <w:t>Ohtaka</w:t>
      </w:r>
      <w:proofErr w:type="spellEnd"/>
      <w:r>
        <w:rPr>
          <w:rFonts w:ascii="Book Antiqua" w:eastAsia="Book Antiqua" w:hAnsi="Book Antiqua" w:cs="Book Antiqua"/>
          <w:color w:val="000000"/>
          <w:sz w:val="24"/>
        </w:rPr>
        <w:t xml:space="preserve"> M, Nakahara M, </w:t>
      </w:r>
      <w:proofErr w:type="spellStart"/>
      <w:r>
        <w:rPr>
          <w:rFonts w:ascii="Book Antiqua" w:eastAsia="Book Antiqua" w:hAnsi="Book Antiqua" w:cs="Book Antiqua"/>
          <w:color w:val="000000"/>
          <w:sz w:val="24"/>
        </w:rPr>
        <w:t>Kawabe</w:t>
      </w:r>
      <w:proofErr w:type="spellEnd"/>
      <w:r>
        <w:rPr>
          <w:rFonts w:ascii="Book Antiqua" w:eastAsia="Book Antiqua" w:hAnsi="Book Antiqua" w:cs="Book Antiqua"/>
          <w:color w:val="000000"/>
          <w:sz w:val="24"/>
        </w:rPr>
        <w:t xml:space="preserve"> K. Seven-day </w:t>
      </w:r>
      <w:proofErr w:type="spellStart"/>
      <w:r>
        <w:rPr>
          <w:rFonts w:ascii="Book Antiqua" w:eastAsia="Book Antiqua" w:hAnsi="Book Antiqua" w:cs="Book Antiqua"/>
          <w:color w:val="000000"/>
          <w:sz w:val="24"/>
        </w:rPr>
        <w:t>vonoprazan</w:t>
      </w:r>
      <w:proofErr w:type="spellEnd"/>
      <w:r>
        <w:rPr>
          <w:rFonts w:ascii="Book Antiqua" w:eastAsia="Book Antiqua" w:hAnsi="Book Antiqua" w:cs="Book Antiqua"/>
          <w:color w:val="000000"/>
          <w:sz w:val="24"/>
        </w:rPr>
        <w:t xml:space="preserve"> and low-dose amoxicillin dual therapy as first-line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treatment: a </w:t>
      </w:r>
      <w:proofErr w:type="spellStart"/>
      <w:r>
        <w:rPr>
          <w:rFonts w:ascii="Book Antiqua" w:eastAsia="Book Antiqua" w:hAnsi="Book Antiqua" w:cs="Book Antiqua"/>
          <w:color w:val="000000"/>
          <w:sz w:val="24"/>
        </w:rPr>
        <w:t>multicentre</w:t>
      </w:r>
      <w:proofErr w:type="spellEnd"/>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randomised</w:t>
      </w:r>
      <w:proofErr w:type="spellEnd"/>
      <w:r>
        <w:rPr>
          <w:rFonts w:ascii="Book Antiqua" w:eastAsia="Book Antiqua" w:hAnsi="Book Antiqua" w:cs="Book Antiqua"/>
          <w:color w:val="000000"/>
          <w:sz w:val="24"/>
        </w:rPr>
        <w:t xml:space="preserve"> trial in Japan.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69</w:t>
      </w:r>
      <w:r>
        <w:rPr>
          <w:rFonts w:ascii="Book Antiqua" w:eastAsia="Book Antiqua" w:hAnsi="Book Antiqua" w:cs="Book Antiqua"/>
          <w:color w:val="000000"/>
          <w:sz w:val="24"/>
        </w:rPr>
        <w:t>: 1019-1026 [PMID: 31915235 DOI: 10.1136/gutjnl-2019-319954]</w:t>
      </w:r>
    </w:p>
    <w:p w14:paraId="2E5DCFA7" w14:textId="77777777" w:rsidR="00C73C17" w:rsidRDefault="00C73C17" w:rsidP="00C73C17">
      <w:pPr>
        <w:spacing w:line="360" w:lineRule="auto"/>
      </w:pPr>
      <w:r>
        <w:rPr>
          <w:rFonts w:ascii="Book Antiqua" w:eastAsia="Book Antiqua" w:hAnsi="Book Antiqua" w:cs="Book Antiqua"/>
          <w:color w:val="000000"/>
          <w:sz w:val="24"/>
        </w:rPr>
        <w:t xml:space="preserve">12 </w:t>
      </w:r>
      <w:r>
        <w:rPr>
          <w:rFonts w:ascii="Book Antiqua" w:eastAsia="Book Antiqua" w:hAnsi="Book Antiqua" w:cs="Book Antiqua"/>
          <w:b/>
          <w:bCs/>
          <w:color w:val="000000"/>
          <w:sz w:val="24"/>
        </w:rPr>
        <w:t>Liu WZ</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Xie</w:t>
      </w:r>
      <w:proofErr w:type="spellEnd"/>
      <w:r>
        <w:rPr>
          <w:rFonts w:ascii="Book Antiqua" w:eastAsia="Book Antiqua" w:hAnsi="Book Antiqua" w:cs="Book Antiqua"/>
          <w:color w:val="000000"/>
          <w:sz w:val="24"/>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23</w:t>
      </w:r>
      <w:r>
        <w:rPr>
          <w:rFonts w:ascii="Book Antiqua" w:eastAsia="Book Antiqua" w:hAnsi="Book Antiqua" w:cs="Book Antiqua"/>
          <w:color w:val="000000"/>
          <w:sz w:val="24"/>
        </w:rPr>
        <w:t>: e12475 [PMID: 29512258 DOI: 10.1111/hel.12475]</w:t>
      </w:r>
    </w:p>
    <w:p w14:paraId="5FF40305" w14:textId="77777777" w:rsidR="00C73C17" w:rsidRDefault="00C73C17" w:rsidP="00C73C17">
      <w:pPr>
        <w:spacing w:line="360" w:lineRule="auto"/>
      </w:pPr>
      <w:r>
        <w:rPr>
          <w:rFonts w:ascii="Book Antiqua" w:eastAsia="Book Antiqua" w:hAnsi="Book Antiqua" w:cs="Book Antiqua"/>
          <w:color w:val="000000"/>
          <w:sz w:val="24"/>
        </w:rPr>
        <w:t xml:space="preserve">13 </w:t>
      </w:r>
      <w:proofErr w:type="spellStart"/>
      <w:r>
        <w:rPr>
          <w:rFonts w:ascii="Book Antiqua" w:eastAsia="Book Antiqua" w:hAnsi="Book Antiqua" w:cs="Book Antiqua"/>
          <w:b/>
          <w:bCs/>
          <w:color w:val="000000"/>
          <w:sz w:val="24"/>
        </w:rPr>
        <w:t>Malfertheiner</w:t>
      </w:r>
      <w:proofErr w:type="spellEnd"/>
      <w:r>
        <w:rPr>
          <w:rFonts w:ascii="Book Antiqua" w:eastAsia="Book Antiqua" w:hAnsi="Book Antiqua" w:cs="Book Antiqua"/>
          <w:b/>
          <w:bCs/>
          <w:color w:val="000000"/>
          <w:sz w:val="24"/>
        </w:rPr>
        <w:t xml:space="preserve"> P</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Megraud</w:t>
      </w:r>
      <w:proofErr w:type="spellEnd"/>
      <w:r>
        <w:rPr>
          <w:rFonts w:ascii="Book Antiqua" w:eastAsia="Book Antiqua" w:hAnsi="Book Antiqua" w:cs="Book Antiqua"/>
          <w:color w:val="000000"/>
          <w:sz w:val="24"/>
        </w:rPr>
        <w:t xml:space="preserve"> F, </w:t>
      </w:r>
      <w:proofErr w:type="spellStart"/>
      <w:r>
        <w:rPr>
          <w:rFonts w:ascii="Book Antiqua" w:eastAsia="Book Antiqua" w:hAnsi="Book Antiqua" w:cs="Book Antiqua"/>
          <w:color w:val="000000"/>
          <w:sz w:val="24"/>
        </w:rPr>
        <w:t>O'Morain</w:t>
      </w:r>
      <w:proofErr w:type="spellEnd"/>
      <w:r>
        <w:rPr>
          <w:rFonts w:ascii="Book Antiqua" w:eastAsia="Book Antiqua" w:hAnsi="Book Antiqua" w:cs="Book Antiqua"/>
          <w:color w:val="000000"/>
          <w:sz w:val="24"/>
        </w:rPr>
        <w:t xml:space="preserve"> CA, </w:t>
      </w:r>
      <w:proofErr w:type="spellStart"/>
      <w:r>
        <w:rPr>
          <w:rFonts w:ascii="Book Antiqua" w:eastAsia="Book Antiqua" w:hAnsi="Book Antiqua" w:cs="Book Antiqua"/>
          <w:color w:val="000000"/>
          <w:sz w:val="24"/>
        </w:rPr>
        <w:t>Gisbert</w:t>
      </w:r>
      <w:proofErr w:type="spellEnd"/>
      <w:r>
        <w:rPr>
          <w:rFonts w:ascii="Book Antiqua" w:eastAsia="Book Antiqua" w:hAnsi="Book Antiqua" w:cs="Book Antiqua"/>
          <w:color w:val="000000"/>
          <w:sz w:val="24"/>
        </w:rPr>
        <w:t xml:space="preserve"> JP, </w:t>
      </w:r>
      <w:proofErr w:type="spellStart"/>
      <w:r>
        <w:rPr>
          <w:rFonts w:ascii="Book Antiqua" w:eastAsia="Book Antiqua" w:hAnsi="Book Antiqua" w:cs="Book Antiqua"/>
          <w:color w:val="000000"/>
          <w:sz w:val="24"/>
        </w:rPr>
        <w:t>Kuipers</w:t>
      </w:r>
      <w:proofErr w:type="spellEnd"/>
      <w:r>
        <w:rPr>
          <w:rFonts w:ascii="Book Antiqua" w:eastAsia="Book Antiqua" w:hAnsi="Book Antiqua" w:cs="Book Antiqua"/>
          <w:color w:val="000000"/>
          <w:sz w:val="24"/>
        </w:rPr>
        <w:t xml:space="preserve"> EJ, Axon AT, </w:t>
      </w:r>
      <w:proofErr w:type="spellStart"/>
      <w:r>
        <w:rPr>
          <w:rFonts w:ascii="Book Antiqua" w:eastAsia="Book Antiqua" w:hAnsi="Book Antiqua" w:cs="Book Antiqua"/>
          <w:color w:val="000000"/>
          <w:sz w:val="24"/>
        </w:rPr>
        <w:t>Bazzoli</w:t>
      </w:r>
      <w:proofErr w:type="spellEnd"/>
      <w:r>
        <w:rPr>
          <w:rFonts w:ascii="Book Antiqua" w:eastAsia="Book Antiqua" w:hAnsi="Book Antiqua" w:cs="Book Antiqua"/>
          <w:color w:val="000000"/>
          <w:sz w:val="24"/>
        </w:rPr>
        <w:t xml:space="preserve"> F, </w:t>
      </w:r>
      <w:proofErr w:type="spellStart"/>
      <w:r>
        <w:rPr>
          <w:rFonts w:ascii="Book Antiqua" w:eastAsia="Book Antiqua" w:hAnsi="Book Antiqua" w:cs="Book Antiqua"/>
          <w:color w:val="000000"/>
          <w:sz w:val="24"/>
        </w:rPr>
        <w:t>Gasbarrini</w:t>
      </w:r>
      <w:proofErr w:type="spellEnd"/>
      <w:r>
        <w:rPr>
          <w:rFonts w:ascii="Book Antiqua" w:eastAsia="Book Antiqua" w:hAnsi="Book Antiqua" w:cs="Book Antiqua"/>
          <w:color w:val="000000"/>
          <w:sz w:val="24"/>
        </w:rPr>
        <w:t xml:space="preserve"> A, Atherton J, Graham DY, Hunt R, </w:t>
      </w:r>
      <w:proofErr w:type="spellStart"/>
      <w:r>
        <w:rPr>
          <w:rFonts w:ascii="Book Antiqua" w:eastAsia="Book Antiqua" w:hAnsi="Book Antiqua" w:cs="Book Antiqua"/>
          <w:color w:val="000000"/>
          <w:sz w:val="24"/>
        </w:rPr>
        <w:t>Moayyedi</w:t>
      </w:r>
      <w:proofErr w:type="spellEnd"/>
      <w:r>
        <w:rPr>
          <w:rFonts w:ascii="Book Antiqua" w:eastAsia="Book Antiqua" w:hAnsi="Book Antiqua" w:cs="Book Antiqua"/>
          <w:color w:val="000000"/>
          <w:sz w:val="24"/>
        </w:rPr>
        <w:t xml:space="preserve"> P, </w:t>
      </w:r>
      <w:proofErr w:type="spellStart"/>
      <w:r>
        <w:rPr>
          <w:rFonts w:ascii="Book Antiqua" w:eastAsia="Book Antiqua" w:hAnsi="Book Antiqua" w:cs="Book Antiqua"/>
          <w:color w:val="000000"/>
          <w:sz w:val="24"/>
        </w:rPr>
        <w:t>Rokkas</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Rugge</w:t>
      </w:r>
      <w:proofErr w:type="spellEnd"/>
      <w:r>
        <w:rPr>
          <w:rFonts w:ascii="Book Antiqua" w:eastAsia="Book Antiqua" w:hAnsi="Book Antiqua" w:cs="Book Antiqua"/>
          <w:color w:val="000000"/>
          <w:sz w:val="24"/>
        </w:rPr>
        <w:t xml:space="preserve"> M, </w:t>
      </w:r>
      <w:proofErr w:type="spellStart"/>
      <w:r>
        <w:rPr>
          <w:rFonts w:ascii="Book Antiqua" w:eastAsia="Book Antiqua" w:hAnsi="Book Antiqua" w:cs="Book Antiqua"/>
          <w:color w:val="000000"/>
          <w:sz w:val="24"/>
        </w:rPr>
        <w:lastRenderedPageBreak/>
        <w:t>Selgrad</w:t>
      </w:r>
      <w:proofErr w:type="spellEnd"/>
      <w:r>
        <w:rPr>
          <w:rFonts w:ascii="Book Antiqua" w:eastAsia="Book Antiqua" w:hAnsi="Book Antiqua" w:cs="Book Antiqua"/>
          <w:color w:val="000000"/>
          <w:sz w:val="24"/>
        </w:rPr>
        <w:t xml:space="preserve"> M, </w:t>
      </w:r>
      <w:proofErr w:type="spellStart"/>
      <w:r>
        <w:rPr>
          <w:rFonts w:ascii="Book Antiqua" w:eastAsia="Book Antiqua" w:hAnsi="Book Antiqua" w:cs="Book Antiqua"/>
          <w:color w:val="000000"/>
          <w:sz w:val="24"/>
        </w:rPr>
        <w:t>Suerbaum</w:t>
      </w:r>
      <w:proofErr w:type="spellEnd"/>
      <w:r>
        <w:rPr>
          <w:rFonts w:ascii="Book Antiqua" w:eastAsia="Book Antiqua" w:hAnsi="Book Antiqua" w:cs="Book Antiqua"/>
          <w:color w:val="000000"/>
          <w:sz w:val="24"/>
        </w:rPr>
        <w:t xml:space="preserve"> S, Sugano K, El-Omar EM; European Helicobacter and Microbiota Study Group and Consensus panel. Management of Helicobacter pylori infection-the Maastricht V/Florence Consensus Report.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66</w:t>
      </w:r>
      <w:r>
        <w:rPr>
          <w:rFonts w:ascii="Book Antiqua" w:eastAsia="Book Antiqua" w:hAnsi="Book Antiqua" w:cs="Book Antiqua"/>
          <w:color w:val="000000"/>
          <w:sz w:val="24"/>
        </w:rPr>
        <w:t>: 6-30 [PMID: 27707777 DOI: 10.1136/gutjnl-2016-312288]</w:t>
      </w:r>
    </w:p>
    <w:p w14:paraId="2F24D05A" w14:textId="77777777" w:rsidR="00C73C17" w:rsidRDefault="00C73C17" w:rsidP="00C73C17">
      <w:pPr>
        <w:spacing w:line="360" w:lineRule="auto"/>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Hu Y</w:t>
      </w:r>
      <w:r>
        <w:rPr>
          <w:rFonts w:ascii="Book Antiqua" w:eastAsia="Book Antiqua" w:hAnsi="Book Antiqua" w:cs="Book Antiqua"/>
          <w:color w:val="000000"/>
          <w:sz w:val="24"/>
        </w:rPr>
        <w:t xml:space="preserve">, Zhu Y, Lu NH. Primary Antibiotic Resistance of Helicobacter pylori in China.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62</w:t>
      </w:r>
      <w:r>
        <w:rPr>
          <w:rFonts w:ascii="Book Antiqua" w:eastAsia="Book Antiqua" w:hAnsi="Book Antiqua" w:cs="Book Antiqua"/>
          <w:color w:val="000000"/>
          <w:sz w:val="24"/>
        </w:rPr>
        <w:t>: 1146-1154 [PMID: 28315035 DOI: 10.1007/s10620-017-4536-8]</w:t>
      </w:r>
    </w:p>
    <w:p w14:paraId="3259D800" w14:textId="77777777" w:rsidR="00C73C17" w:rsidRDefault="00C73C17" w:rsidP="00C73C17">
      <w:pPr>
        <w:spacing w:line="360" w:lineRule="auto"/>
      </w:pPr>
      <w:r>
        <w:rPr>
          <w:rFonts w:ascii="Book Antiqua" w:eastAsia="Book Antiqua" w:hAnsi="Book Antiqua" w:cs="Book Antiqua"/>
          <w:color w:val="000000"/>
          <w:sz w:val="24"/>
        </w:rPr>
        <w:t xml:space="preserve">15 </w:t>
      </w:r>
      <w:r>
        <w:rPr>
          <w:rFonts w:ascii="Book Antiqua" w:eastAsia="Book Antiqua" w:hAnsi="Book Antiqua" w:cs="Book Antiqua"/>
          <w:b/>
          <w:bCs/>
          <w:color w:val="000000"/>
          <w:sz w:val="24"/>
        </w:rPr>
        <w:t>Zhang W</w:t>
      </w:r>
      <w:r>
        <w:rPr>
          <w:rFonts w:ascii="Book Antiqua" w:eastAsia="Book Antiqua" w:hAnsi="Book Antiqua" w:cs="Book Antiqua"/>
          <w:color w:val="000000"/>
          <w:sz w:val="24"/>
        </w:rPr>
        <w:t xml:space="preserve">, Chen Q, Liang X, Liu W, Xiao S, Graham DY, Lu H. Bismuth, lansoprazole, amoxicillin and metronidazole or clarithromycin as first-line Helicobacter pylori therapy.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64</w:t>
      </w:r>
      <w:r>
        <w:rPr>
          <w:rFonts w:ascii="Book Antiqua" w:eastAsia="Book Antiqua" w:hAnsi="Book Antiqua" w:cs="Book Antiqua"/>
          <w:color w:val="000000"/>
          <w:sz w:val="24"/>
        </w:rPr>
        <w:t>: 1715-1720 [PMID: 26338726 DOI: 10.1136/gutjnl-2015-309900]</w:t>
      </w:r>
    </w:p>
    <w:p w14:paraId="3BC04088" w14:textId="77777777" w:rsidR="00C73C17" w:rsidRDefault="00C73C17" w:rsidP="00C73C17">
      <w:pPr>
        <w:spacing w:line="360" w:lineRule="auto"/>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Zhang YW</w:t>
      </w:r>
      <w:r>
        <w:rPr>
          <w:rFonts w:ascii="Book Antiqua" w:eastAsia="Book Antiqua" w:hAnsi="Book Antiqua" w:cs="Book Antiqua"/>
          <w:color w:val="000000"/>
          <w:sz w:val="24"/>
        </w:rPr>
        <w:t xml:space="preserve">, Hu WL, Cai Y, Zheng WF, Du Q, Kim JJ, Kao JY, Dai N, Si JM. Outcomes of furazolidone- and amoxicillin-based quadruple therapy for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infection and predictors of failed eradication.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24</w:t>
      </w:r>
      <w:r>
        <w:rPr>
          <w:rFonts w:ascii="Book Antiqua" w:eastAsia="Book Antiqua" w:hAnsi="Book Antiqua" w:cs="Book Antiqua"/>
          <w:color w:val="000000"/>
          <w:sz w:val="24"/>
        </w:rPr>
        <w:t>: 4596-4605 [PMID: 30386109 DOI: 10.3748/wjg.v24.i40.4596]</w:t>
      </w:r>
    </w:p>
    <w:p w14:paraId="597874A6" w14:textId="77777777" w:rsidR="00C73C17" w:rsidRDefault="00C73C17" w:rsidP="00C73C17">
      <w:pPr>
        <w:spacing w:line="360" w:lineRule="auto"/>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Atkinson NS</w:t>
      </w:r>
      <w:r>
        <w:rPr>
          <w:rFonts w:ascii="Book Antiqua" w:eastAsia="Book Antiqua" w:hAnsi="Book Antiqua" w:cs="Book Antiqua"/>
          <w:color w:val="000000"/>
          <w:sz w:val="24"/>
        </w:rPr>
        <w:t xml:space="preserve">, Braden B. Helicobacter Pylori Infection: Diagnostic Strategies in Primary Diagnosis and After Therapy.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61</w:t>
      </w:r>
      <w:r>
        <w:rPr>
          <w:rFonts w:ascii="Book Antiqua" w:eastAsia="Book Antiqua" w:hAnsi="Book Antiqua" w:cs="Book Antiqua"/>
          <w:color w:val="000000"/>
          <w:sz w:val="24"/>
        </w:rPr>
        <w:t>: 19-24 [PMID: 26391269 DOI: 10.1007/s10620-015-3877-4]</w:t>
      </w:r>
    </w:p>
    <w:p w14:paraId="7D1FFCF0" w14:textId="77777777" w:rsidR="00C73C17" w:rsidRDefault="00C73C17" w:rsidP="00C73C17">
      <w:pPr>
        <w:spacing w:line="360" w:lineRule="auto"/>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Zhang YX</w:t>
      </w:r>
      <w:r>
        <w:rPr>
          <w:rFonts w:ascii="Book Antiqua" w:eastAsia="Book Antiqua" w:hAnsi="Book Antiqua" w:cs="Book Antiqua"/>
          <w:color w:val="000000"/>
          <w:sz w:val="24"/>
        </w:rPr>
        <w:t xml:space="preserve">, Zhou LY, Song ZQ, Zhang JZ, He LH, Ding Y. Primary antibiotic resistance of Helicobacter pylori strains isolated from patients with dyspeptic symptoms in Beijing: a prospective serial study.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21</w:t>
      </w:r>
      <w:r>
        <w:rPr>
          <w:rFonts w:ascii="Book Antiqua" w:eastAsia="Book Antiqua" w:hAnsi="Book Antiqua" w:cs="Book Antiqua"/>
          <w:color w:val="000000"/>
          <w:sz w:val="24"/>
        </w:rPr>
        <w:t>: 2786-2792 [PMID: 25759550 DOI: 10.3748/wjg.v21.i9.2786]</w:t>
      </w:r>
    </w:p>
    <w:p w14:paraId="4F376DF6" w14:textId="77777777" w:rsidR="00C73C17" w:rsidRDefault="00C73C17" w:rsidP="00C73C17">
      <w:pPr>
        <w:spacing w:line="360" w:lineRule="auto"/>
      </w:pPr>
      <w:r>
        <w:rPr>
          <w:rFonts w:ascii="Book Antiqua" w:eastAsia="Book Antiqua" w:hAnsi="Book Antiqua" w:cs="Book Antiqua"/>
          <w:color w:val="000000"/>
          <w:sz w:val="24"/>
        </w:rPr>
        <w:t xml:space="preserve">19 </w:t>
      </w:r>
      <w:proofErr w:type="spellStart"/>
      <w:r>
        <w:rPr>
          <w:rFonts w:ascii="Book Antiqua" w:eastAsia="Book Antiqua" w:hAnsi="Book Antiqua" w:cs="Book Antiqua"/>
          <w:b/>
          <w:bCs/>
          <w:color w:val="000000"/>
          <w:sz w:val="24"/>
        </w:rPr>
        <w:t>Alsamman</w:t>
      </w:r>
      <w:proofErr w:type="spellEnd"/>
      <w:r>
        <w:rPr>
          <w:rFonts w:ascii="Book Antiqua" w:eastAsia="Book Antiqua" w:hAnsi="Book Antiqua" w:cs="Book Antiqua"/>
          <w:b/>
          <w:bCs/>
          <w:color w:val="000000"/>
          <w:sz w:val="24"/>
        </w:rPr>
        <w:t xml:space="preserve"> MA</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Vecchio</w:t>
      </w:r>
      <w:proofErr w:type="spellEnd"/>
      <w:r>
        <w:rPr>
          <w:rFonts w:ascii="Book Antiqua" w:eastAsia="Book Antiqua" w:hAnsi="Book Antiqua" w:cs="Book Antiqua"/>
          <w:color w:val="000000"/>
          <w:sz w:val="24"/>
        </w:rPr>
        <w:t xml:space="preserve"> EC, </w:t>
      </w:r>
      <w:proofErr w:type="spellStart"/>
      <w:r>
        <w:rPr>
          <w:rFonts w:ascii="Book Antiqua" w:eastAsia="Book Antiqua" w:hAnsi="Book Antiqua" w:cs="Book Antiqua"/>
          <w:color w:val="000000"/>
          <w:sz w:val="24"/>
        </w:rPr>
        <w:t>Shawwa</w:t>
      </w:r>
      <w:proofErr w:type="spellEnd"/>
      <w:r>
        <w:rPr>
          <w:rFonts w:ascii="Book Antiqua" w:eastAsia="Book Antiqua" w:hAnsi="Book Antiqua" w:cs="Book Antiqua"/>
          <w:color w:val="000000"/>
          <w:sz w:val="24"/>
        </w:rPr>
        <w:t xml:space="preserve"> K, Acosta-Gonzales G, Resnick MB, Moss SF. Retrospective Analysis Confirms Tetracycline Quadruple as Best Helicobacter pylori Regimen in the USA.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64</w:t>
      </w:r>
      <w:r>
        <w:rPr>
          <w:rFonts w:ascii="Book Antiqua" w:eastAsia="Book Antiqua" w:hAnsi="Book Antiqua" w:cs="Book Antiqua"/>
          <w:color w:val="000000"/>
          <w:sz w:val="24"/>
        </w:rPr>
        <w:t>: 2893-2898 [PMID: 31187323 DOI: 10.1007/s10620-019-05694-4]</w:t>
      </w:r>
    </w:p>
    <w:p w14:paraId="1C824A11" w14:textId="77777777" w:rsidR="00C73C17" w:rsidRDefault="00C73C17" w:rsidP="00C73C17">
      <w:pPr>
        <w:spacing w:line="360" w:lineRule="auto"/>
      </w:pPr>
      <w:r>
        <w:rPr>
          <w:rFonts w:ascii="Book Antiqua" w:eastAsia="Book Antiqua" w:hAnsi="Book Antiqua" w:cs="Book Antiqua"/>
          <w:color w:val="000000"/>
          <w:sz w:val="24"/>
        </w:rPr>
        <w:t xml:space="preserve">20 </w:t>
      </w:r>
      <w:proofErr w:type="spellStart"/>
      <w:r>
        <w:rPr>
          <w:rFonts w:ascii="Book Antiqua" w:eastAsia="Book Antiqua" w:hAnsi="Book Antiqua" w:cs="Book Antiqua"/>
          <w:b/>
          <w:bCs/>
          <w:color w:val="000000"/>
          <w:sz w:val="24"/>
        </w:rPr>
        <w:t>Nijevitch</w:t>
      </w:r>
      <w:proofErr w:type="spellEnd"/>
      <w:r>
        <w:rPr>
          <w:rFonts w:ascii="Book Antiqua" w:eastAsia="Book Antiqua" w:hAnsi="Book Antiqua" w:cs="Book Antiqua"/>
          <w:b/>
          <w:bCs/>
          <w:color w:val="000000"/>
          <w:sz w:val="24"/>
        </w:rPr>
        <w:t xml:space="preserve"> AA</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Shcherbakov</w:t>
      </w:r>
      <w:proofErr w:type="spellEnd"/>
      <w:r>
        <w:rPr>
          <w:rFonts w:ascii="Book Antiqua" w:eastAsia="Book Antiqua" w:hAnsi="Book Antiqua" w:cs="Book Antiqua"/>
          <w:color w:val="000000"/>
          <w:sz w:val="24"/>
        </w:rPr>
        <w:t xml:space="preserve"> PL, </w:t>
      </w:r>
      <w:proofErr w:type="spellStart"/>
      <w:r>
        <w:rPr>
          <w:rFonts w:ascii="Book Antiqua" w:eastAsia="Book Antiqua" w:hAnsi="Book Antiqua" w:cs="Book Antiqua"/>
          <w:color w:val="000000"/>
          <w:sz w:val="24"/>
        </w:rPr>
        <w:t>Sataev</w:t>
      </w:r>
      <w:proofErr w:type="spellEnd"/>
      <w:r>
        <w:rPr>
          <w:rFonts w:ascii="Book Antiqua" w:eastAsia="Book Antiqua" w:hAnsi="Book Antiqua" w:cs="Book Antiqua"/>
          <w:color w:val="000000"/>
          <w:sz w:val="24"/>
        </w:rPr>
        <w:t xml:space="preserve"> VU, </w:t>
      </w:r>
      <w:proofErr w:type="spellStart"/>
      <w:r>
        <w:rPr>
          <w:rFonts w:ascii="Book Antiqua" w:eastAsia="Book Antiqua" w:hAnsi="Book Antiqua" w:cs="Book Antiqua"/>
          <w:color w:val="000000"/>
          <w:sz w:val="24"/>
        </w:rPr>
        <w:t>Khasanov</w:t>
      </w:r>
      <w:proofErr w:type="spellEnd"/>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RSh</w:t>
      </w:r>
      <w:proofErr w:type="spellEnd"/>
      <w:r>
        <w:rPr>
          <w:rFonts w:ascii="Book Antiqua" w:eastAsia="Book Antiqua" w:hAnsi="Book Antiqua" w:cs="Book Antiqua"/>
          <w:color w:val="000000"/>
          <w:sz w:val="24"/>
        </w:rPr>
        <w:t xml:space="preserve">, Al </w:t>
      </w:r>
      <w:proofErr w:type="spellStart"/>
      <w:r>
        <w:rPr>
          <w:rFonts w:ascii="Book Antiqua" w:eastAsia="Book Antiqua" w:hAnsi="Book Antiqua" w:cs="Book Antiqua"/>
          <w:color w:val="000000"/>
          <w:sz w:val="24"/>
        </w:rPr>
        <w:t>Khashash</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Tuygunov</w:t>
      </w:r>
      <w:proofErr w:type="spellEnd"/>
      <w:r>
        <w:rPr>
          <w:rFonts w:ascii="Book Antiqua" w:eastAsia="Book Antiqua" w:hAnsi="Book Antiqua" w:cs="Book Antiqua"/>
          <w:color w:val="000000"/>
          <w:sz w:val="24"/>
        </w:rPr>
        <w:t xml:space="preserve"> MM. Helicobacter pylori eradication in childhood after failure of initial treatment: advantage of quadruple therapy with </w:t>
      </w:r>
      <w:proofErr w:type="spellStart"/>
      <w:r>
        <w:rPr>
          <w:rFonts w:ascii="Book Antiqua" w:eastAsia="Book Antiqua" w:hAnsi="Book Antiqua" w:cs="Book Antiqua"/>
          <w:color w:val="000000"/>
          <w:sz w:val="24"/>
        </w:rPr>
        <w:t>nifuratel</w:t>
      </w:r>
      <w:proofErr w:type="spellEnd"/>
      <w:r>
        <w:rPr>
          <w:rFonts w:ascii="Book Antiqua" w:eastAsia="Book Antiqua" w:hAnsi="Book Antiqua" w:cs="Book Antiqua"/>
          <w:color w:val="000000"/>
          <w:sz w:val="24"/>
        </w:rPr>
        <w:t xml:space="preserve"> to </w:t>
      </w:r>
      <w:proofErr w:type="spellStart"/>
      <w:r>
        <w:rPr>
          <w:rFonts w:ascii="Book Antiqua" w:eastAsia="Book Antiqua" w:hAnsi="Book Antiqua" w:cs="Book Antiqua"/>
          <w:color w:val="000000"/>
          <w:sz w:val="24"/>
        </w:rPr>
        <w:t>furazolidone</w:t>
      </w:r>
      <w:proofErr w:type="spellEnd"/>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 xml:space="preserve">Aliment </w:t>
      </w:r>
      <w:proofErr w:type="spellStart"/>
      <w:r>
        <w:rPr>
          <w:rFonts w:ascii="Book Antiqua" w:eastAsia="Book Antiqua" w:hAnsi="Book Antiqua" w:cs="Book Antiqua"/>
          <w:i/>
          <w:iCs/>
          <w:color w:val="000000"/>
          <w:sz w:val="24"/>
        </w:rPr>
        <w:t>Pharmacol</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Ther</w:t>
      </w:r>
      <w:proofErr w:type="spellEnd"/>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22</w:t>
      </w:r>
      <w:r>
        <w:rPr>
          <w:rFonts w:ascii="Book Antiqua" w:eastAsia="Book Antiqua" w:hAnsi="Book Antiqua" w:cs="Book Antiqua"/>
          <w:color w:val="000000"/>
          <w:sz w:val="24"/>
        </w:rPr>
        <w:t>: 881-887 [PMID: 16225499 DOI: 10.1111/j.1365-2036.2005.02656.x]</w:t>
      </w:r>
    </w:p>
    <w:p w14:paraId="4D601D88" w14:textId="77777777" w:rsidR="00C73C17" w:rsidRDefault="00C73C17" w:rsidP="00C73C17">
      <w:pPr>
        <w:spacing w:line="360" w:lineRule="auto"/>
      </w:pPr>
      <w:r>
        <w:rPr>
          <w:rFonts w:ascii="Book Antiqua" w:eastAsia="Book Antiqua" w:hAnsi="Book Antiqua" w:cs="Book Antiqua"/>
          <w:color w:val="000000"/>
          <w:sz w:val="24"/>
        </w:rPr>
        <w:lastRenderedPageBreak/>
        <w:t xml:space="preserve">21 </w:t>
      </w:r>
      <w:r>
        <w:rPr>
          <w:rFonts w:ascii="Book Antiqua" w:eastAsia="Book Antiqua" w:hAnsi="Book Antiqua" w:cs="Book Antiqua"/>
          <w:b/>
          <w:bCs/>
          <w:color w:val="000000"/>
          <w:sz w:val="24"/>
        </w:rPr>
        <w:t>Wang T</w:t>
      </w:r>
      <w:r>
        <w:rPr>
          <w:rFonts w:ascii="Book Antiqua" w:eastAsia="Book Antiqua" w:hAnsi="Book Antiqua" w:cs="Book Antiqua"/>
          <w:color w:val="000000"/>
          <w:sz w:val="24"/>
        </w:rPr>
        <w:t xml:space="preserve">, Yang X, Li Y, Li L, Liu J, Ji C, Sun Y, Li Y, </w:t>
      </w:r>
      <w:proofErr w:type="spellStart"/>
      <w:r>
        <w:rPr>
          <w:rFonts w:ascii="Book Antiqua" w:eastAsia="Book Antiqua" w:hAnsi="Book Antiqua" w:cs="Book Antiqua"/>
          <w:color w:val="000000"/>
          <w:sz w:val="24"/>
        </w:rPr>
        <w:t>Zuo</w:t>
      </w:r>
      <w:proofErr w:type="spellEnd"/>
      <w:r>
        <w:rPr>
          <w:rFonts w:ascii="Book Antiqua" w:eastAsia="Book Antiqua" w:hAnsi="Book Antiqua" w:cs="Book Antiqua"/>
          <w:color w:val="000000"/>
          <w:sz w:val="24"/>
        </w:rPr>
        <w:t xml:space="preserve"> X. Twice daily short-message-based re-education could improve Helicobacter pylori eradication rate in young population: A prospective randomized controlled study.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w:t>
      </w:r>
      <w:r>
        <w:rPr>
          <w:rFonts w:ascii="Book Antiqua" w:eastAsia="Book Antiqua" w:hAnsi="Book Antiqua" w:cs="Book Antiqua"/>
          <w:color w:val="000000"/>
          <w:sz w:val="24"/>
        </w:rPr>
        <w:t>: e12569 [PMID: 30848868 DOI: 10.1111/hel.12569]</w:t>
      </w:r>
    </w:p>
    <w:p w14:paraId="7B59BC73" w14:textId="77777777" w:rsidR="00C73C17" w:rsidRDefault="00C73C17" w:rsidP="00C73C17">
      <w:pPr>
        <w:spacing w:line="360" w:lineRule="auto"/>
      </w:pPr>
      <w:r>
        <w:rPr>
          <w:rFonts w:ascii="Book Antiqua" w:eastAsia="Book Antiqua" w:hAnsi="Book Antiqua" w:cs="Book Antiqua"/>
          <w:color w:val="000000"/>
          <w:sz w:val="24"/>
        </w:rPr>
        <w:t xml:space="preserve">22 </w:t>
      </w:r>
      <w:r>
        <w:rPr>
          <w:rFonts w:ascii="Book Antiqua" w:eastAsia="Book Antiqua" w:hAnsi="Book Antiqua" w:cs="Book Antiqua"/>
          <w:b/>
          <w:bCs/>
          <w:color w:val="000000"/>
          <w:sz w:val="24"/>
        </w:rPr>
        <w:t>Yang J</w:t>
      </w:r>
      <w:r>
        <w:rPr>
          <w:rFonts w:ascii="Book Antiqua" w:eastAsia="Book Antiqua" w:hAnsi="Book Antiqua" w:cs="Book Antiqua"/>
          <w:color w:val="000000"/>
          <w:sz w:val="24"/>
        </w:rPr>
        <w:t xml:space="preserve">, Zhang Y, Fan L, Zhu YJ, Wang TY, Wang XW, Chen DF, Lan CH. Eradication Efficacy of Modified Dual Therapy Compared with Bismuth-Containing Quadruple Therapy as a First-Line Treatment of Helicobacter pylori. </w:t>
      </w:r>
      <w:r>
        <w:rPr>
          <w:rFonts w:ascii="Book Antiqua" w:eastAsia="Book Antiqua" w:hAnsi="Book Antiqua" w:cs="Book Antiqua"/>
          <w:i/>
          <w:iCs/>
          <w:color w:val="000000"/>
          <w:sz w:val="24"/>
        </w:rPr>
        <w:t>Am J Gastroenterol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114</w:t>
      </w:r>
      <w:r>
        <w:rPr>
          <w:rFonts w:ascii="Book Antiqua" w:eastAsia="Book Antiqua" w:hAnsi="Book Antiqua" w:cs="Book Antiqua"/>
          <w:color w:val="000000"/>
          <w:sz w:val="24"/>
        </w:rPr>
        <w:t>: 437-445 [PMID: 30807294 DOI: 10.14309/ajg.0000000000000132]</w:t>
      </w:r>
    </w:p>
    <w:p w14:paraId="3C9F8402" w14:textId="77777777" w:rsidR="00C73C17" w:rsidRDefault="00C73C17" w:rsidP="00C73C17">
      <w:pPr>
        <w:spacing w:line="360" w:lineRule="auto"/>
      </w:pPr>
      <w:r>
        <w:rPr>
          <w:rFonts w:ascii="Book Antiqua" w:eastAsia="Book Antiqua" w:hAnsi="Book Antiqua" w:cs="Book Antiqua"/>
          <w:color w:val="000000"/>
          <w:sz w:val="24"/>
        </w:rPr>
        <w:t xml:space="preserve">23 </w:t>
      </w:r>
      <w:r>
        <w:rPr>
          <w:rFonts w:ascii="Book Antiqua" w:eastAsia="Book Antiqua" w:hAnsi="Book Antiqua" w:cs="Book Antiqua"/>
          <w:b/>
          <w:bCs/>
          <w:color w:val="000000"/>
          <w:sz w:val="24"/>
        </w:rPr>
        <w:t>Tai WC</w:t>
      </w:r>
      <w:r>
        <w:rPr>
          <w:rFonts w:ascii="Book Antiqua" w:eastAsia="Book Antiqua" w:hAnsi="Book Antiqua" w:cs="Book Antiqua"/>
          <w:color w:val="000000"/>
          <w:sz w:val="24"/>
        </w:rPr>
        <w:t xml:space="preserve">, Liang CM, </w:t>
      </w:r>
      <w:proofErr w:type="spellStart"/>
      <w:r>
        <w:rPr>
          <w:rFonts w:ascii="Book Antiqua" w:eastAsia="Book Antiqua" w:hAnsi="Book Antiqua" w:cs="Book Antiqua"/>
          <w:color w:val="000000"/>
          <w:sz w:val="24"/>
        </w:rPr>
        <w:t>Kuo</w:t>
      </w:r>
      <w:proofErr w:type="spellEnd"/>
      <w:r>
        <w:rPr>
          <w:rFonts w:ascii="Book Antiqua" w:eastAsia="Book Antiqua" w:hAnsi="Book Antiqua" w:cs="Book Antiqua"/>
          <w:color w:val="000000"/>
          <w:sz w:val="24"/>
        </w:rPr>
        <w:t xml:space="preserve"> CM, Huang PY, Wu CK, Yang SC, </w:t>
      </w:r>
      <w:proofErr w:type="spellStart"/>
      <w:r>
        <w:rPr>
          <w:rFonts w:ascii="Book Antiqua" w:eastAsia="Book Antiqua" w:hAnsi="Book Antiqua" w:cs="Book Antiqua"/>
          <w:color w:val="000000"/>
          <w:sz w:val="24"/>
        </w:rPr>
        <w:t>Kuo</w:t>
      </w:r>
      <w:proofErr w:type="spellEnd"/>
      <w:r>
        <w:rPr>
          <w:rFonts w:ascii="Book Antiqua" w:eastAsia="Book Antiqua" w:hAnsi="Book Antiqua" w:cs="Book Antiqua"/>
          <w:color w:val="000000"/>
          <w:sz w:val="24"/>
        </w:rPr>
        <w:t xml:space="preserve"> YH, Lin MT, Lee CH, Hsu CN, Wu KL, Hu TH, </w:t>
      </w:r>
      <w:proofErr w:type="spellStart"/>
      <w:r>
        <w:rPr>
          <w:rFonts w:ascii="Book Antiqua" w:eastAsia="Book Antiqua" w:hAnsi="Book Antiqua" w:cs="Book Antiqua"/>
          <w:color w:val="000000"/>
          <w:sz w:val="24"/>
        </w:rPr>
        <w:t>Chuah</w:t>
      </w:r>
      <w:proofErr w:type="spellEnd"/>
      <w:r>
        <w:rPr>
          <w:rFonts w:ascii="Book Antiqua" w:eastAsia="Book Antiqua" w:hAnsi="Book Antiqua" w:cs="Book Antiqua"/>
          <w:color w:val="000000"/>
          <w:sz w:val="24"/>
        </w:rPr>
        <w:t xml:space="preserve"> SK. A 14 day esomeprazole- and amoxicillin-containing high-dose dual therapy regimen achieves a high eradication rate as first-line anti-Helicobacter pylori treatment in Taiwan: a prospective randomized trial. </w:t>
      </w:r>
      <w:r>
        <w:rPr>
          <w:rFonts w:ascii="Book Antiqua" w:eastAsia="Book Antiqua" w:hAnsi="Book Antiqua" w:cs="Book Antiqua"/>
          <w:i/>
          <w:iCs/>
          <w:color w:val="000000"/>
          <w:sz w:val="24"/>
        </w:rPr>
        <w:t xml:space="preserve">J </w:t>
      </w:r>
      <w:proofErr w:type="spellStart"/>
      <w:r>
        <w:rPr>
          <w:rFonts w:ascii="Book Antiqua" w:eastAsia="Book Antiqua" w:hAnsi="Book Antiqua" w:cs="Book Antiqua"/>
          <w:i/>
          <w:iCs/>
          <w:color w:val="000000"/>
          <w:sz w:val="24"/>
        </w:rPr>
        <w:t>Antimicrob</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Chemother</w:t>
      </w:r>
      <w:proofErr w:type="spellEnd"/>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74</w:t>
      </w:r>
      <w:r>
        <w:rPr>
          <w:rFonts w:ascii="Book Antiqua" w:eastAsia="Book Antiqua" w:hAnsi="Book Antiqua" w:cs="Book Antiqua"/>
          <w:color w:val="000000"/>
          <w:sz w:val="24"/>
        </w:rPr>
        <w:t>: 1718-1724 [PMID: 30768161 DOI: 10.1093/</w:t>
      </w:r>
      <w:proofErr w:type="spellStart"/>
      <w:r>
        <w:rPr>
          <w:rFonts w:ascii="Book Antiqua" w:eastAsia="Book Antiqua" w:hAnsi="Book Antiqua" w:cs="Book Antiqua"/>
          <w:color w:val="000000"/>
          <w:sz w:val="24"/>
        </w:rPr>
        <w:t>jac</w:t>
      </w:r>
      <w:proofErr w:type="spellEnd"/>
      <w:r>
        <w:rPr>
          <w:rFonts w:ascii="Book Antiqua" w:eastAsia="Book Antiqua" w:hAnsi="Book Antiqua" w:cs="Book Antiqua"/>
          <w:color w:val="000000"/>
          <w:sz w:val="24"/>
        </w:rPr>
        <w:t>/dkz046]</w:t>
      </w:r>
    </w:p>
    <w:p w14:paraId="4E9820DC" w14:textId="77777777" w:rsidR="00C73C17" w:rsidRDefault="00C73C17" w:rsidP="00C73C17">
      <w:pPr>
        <w:spacing w:line="360" w:lineRule="auto"/>
      </w:pPr>
      <w:r>
        <w:rPr>
          <w:rFonts w:ascii="Book Antiqua" w:eastAsia="Book Antiqua" w:hAnsi="Book Antiqua" w:cs="Book Antiqua"/>
          <w:color w:val="000000"/>
          <w:sz w:val="24"/>
        </w:rPr>
        <w:t xml:space="preserve">24 </w:t>
      </w:r>
      <w:r>
        <w:rPr>
          <w:rFonts w:ascii="Book Antiqua" w:eastAsia="Book Antiqua" w:hAnsi="Book Antiqua" w:cs="Book Antiqua"/>
          <w:b/>
          <w:bCs/>
          <w:color w:val="000000"/>
          <w:sz w:val="24"/>
        </w:rPr>
        <w:t>Hu Y</w:t>
      </w:r>
      <w:r>
        <w:rPr>
          <w:rFonts w:ascii="Book Antiqua" w:eastAsia="Book Antiqua" w:hAnsi="Book Antiqua" w:cs="Book Antiqua"/>
          <w:color w:val="000000"/>
          <w:sz w:val="24"/>
        </w:rPr>
        <w:t xml:space="preserve">, Zhu Y, Lu NH. Recent progress in Helicobacter pylori treatment. </w:t>
      </w:r>
      <w:r>
        <w:rPr>
          <w:rFonts w:ascii="Book Antiqua" w:eastAsia="Book Antiqua" w:hAnsi="Book Antiqua" w:cs="Book Antiqua"/>
          <w:i/>
          <w:iCs/>
          <w:color w:val="000000"/>
          <w:sz w:val="24"/>
        </w:rPr>
        <w:t>Chin Med J (</w:t>
      </w:r>
      <w:proofErr w:type="spellStart"/>
      <w:r>
        <w:rPr>
          <w:rFonts w:ascii="Book Antiqua" w:eastAsia="Book Antiqua" w:hAnsi="Book Antiqua" w:cs="Book Antiqua"/>
          <w:i/>
          <w:iCs/>
          <w:color w:val="000000"/>
          <w:sz w:val="24"/>
        </w:rPr>
        <w:t>Engl</w:t>
      </w:r>
      <w:proofErr w:type="spellEnd"/>
      <w:r>
        <w:rPr>
          <w:rFonts w:ascii="Book Antiqua" w:eastAsia="Book Antiqua" w:hAnsi="Book Antiqua" w:cs="Book Antiqua"/>
          <w:i/>
          <w:iCs/>
          <w:color w:val="000000"/>
          <w:sz w:val="24"/>
        </w:rPr>
        <w: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133</w:t>
      </w:r>
      <w:r>
        <w:rPr>
          <w:rFonts w:ascii="Book Antiqua" w:eastAsia="Book Antiqua" w:hAnsi="Book Antiqua" w:cs="Book Antiqua"/>
          <w:color w:val="000000"/>
          <w:sz w:val="24"/>
        </w:rPr>
        <w:t>: 335-343 [PMID: 31929363 DOI: 10.1097/CM9.0000000000000618]</w:t>
      </w:r>
    </w:p>
    <w:p w14:paraId="3D31737C" w14:textId="77777777" w:rsidR="00C73C17" w:rsidRDefault="00C73C17" w:rsidP="00C73C17">
      <w:pPr>
        <w:spacing w:line="360" w:lineRule="auto"/>
      </w:pPr>
      <w:r>
        <w:rPr>
          <w:rFonts w:ascii="Book Antiqua" w:eastAsia="Book Antiqua" w:hAnsi="Book Antiqua" w:cs="Book Antiqua"/>
          <w:color w:val="000000"/>
          <w:sz w:val="24"/>
        </w:rPr>
        <w:t xml:space="preserve">25 </w:t>
      </w:r>
      <w:proofErr w:type="spellStart"/>
      <w:r>
        <w:rPr>
          <w:rFonts w:ascii="Book Antiqua" w:eastAsia="Book Antiqua" w:hAnsi="Book Antiqua" w:cs="Book Antiqua"/>
          <w:b/>
          <w:bCs/>
          <w:color w:val="000000"/>
          <w:sz w:val="24"/>
        </w:rPr>
        <w:t>McNicholl</w:t>
      </w:r>
      <w:proofErr w:type="spellEnd"/>
      <w:r>
        <w:rPr>
          <w:rFonts w:ascii="Book Antiqua" w:eastAsia="Book Antiqua" w:hAnsi="Book Antiqua" w:cs="Book Antiqua"/>
          <w:b/>
          <w:bCs/>
          <w:color w:val="000000"/>
          <w:sz w:val="24"/>
        </w:rPr>
        <w:t xml:space="preserve"> AG</w:t>
      </w:r>
      <w:r>
        <w:rPr>
          <w:rFonts w:ascii="Book Antiqua" w:eastAsia="Book Antiqua" w:hAnsi="Book Antiqua" w:cs="Book Antiqua"/>
          <w:color w:val="000000"/>
          <w:sz w:val="24"/>
        </w:rPr>
        <w:t xml:space="preserve">, Linares PM, Nyssen OP, </w:t>
      </w:r>
      <w:proofErr w:type="spellStart"/>
      <w:r>
        <w:rPr>
          <w:rFonts w:ascii="Book Antiqua" w:eastAsia="Book Antiqua" w:hAnsi="Book Antiqua" w:cs="Book Antiqua"/>
          <w:color w:val="000000"/>
          <w:sz w:val="24"/>
        </w:rPr>
        <w:t>Calvet</w:t>
      </w:r>
      <w:proofErr w:type="spellEnd"/>
      <w:r>
        <w:rPr>
          <w:rFonts w:ascii="Book Antiqua" w:eastAsia="Book Antiqua" w:hAnsi="Book Antiqua" w:cs="Book Antiqua"/>
          <w:color w:val="000000"/>
          <w:sz w:val="24"/>
        </w:rPr>
        <w:t xml:space="preserve"> X, </w:t>
      </w:r>
      <w:proofErr w:type="spellStart"/>
      <w:r>
        <w:rPr>
          <w:rFonts w:ascii="Book Antiqua" w:eastAsia="Book Antiqua" w:hAnsi="Book Antiqua" w:cs="Book Antiqua"/>
          <w:color w:val="000000"/>
          <w:sz w:val="24"/>
        </w:rPr>
        <w:t>Gisbert</w:t>
      </w:r>
      <w:proofErr w:type="spellEnd"/>
      <w:r>
        <w:rPr>
          <w:rFonts w:ascii="Book Antiqua" w:eastAsia="Book Antiqua" w:hAnsi="Book Antiqua" w:cs="Book Antiqua"/>
          <w:color w:val="000000"/>
          <w:sz w:val="24"/>
        </w:rPr>
        <w:t xml:space="preserve"> JP. Meta-analysis: esomeprazole or rabeprazole vs. first-generation pump inhibitors in the treatment of Helicobacter pylori infection. </w:t>
      </w:r>
      <w:r>
        <w:rPr>
          <w:rFonts w:ascii="Book Antiqua" w:eastAsia="Book Antiqua" w:hAnsi="Book Antiqua" w:cs="Book Antiqua"/>
          <w:i/>
          <w:iCs/>
          <w:color w:val="000000"/>
          <w:sz w:val="24"/>
        </w:rPr>
        <w:t xml:space="preserve">Aliment </w:t>
      </w:r>
      <w:proofErr w:type="spellStart"/>
      <w:r>
        <w:rPr>
          <w:rFonts w:ascii="Book Antiqua" w:eastAsia="Book Antiqua" w:hAnsi="Book Antiqua" w:cs="Book Antiqua"/>
          <w:i/>
          <w:iCs/>
          <w:color w:val="000000"/>
          <w:sz w:val="24"/>
        </w:rPr>
        <w:t>Pharmacol</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Ther</w:t>
      </w:r>
      <w:proofErr w:type="spellEnd"/>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36</w:t>
      </w:r>
      <w:r>
        <w:rPr>
          <w:rFonts w:ascii="Book Antiqua" w:eastAsia="Book Antiqua" w:hAnsi="Book Antiqua" w:cs="Book Antiqua"/>
          <w:color w:val="000000"/>
          <w:sz w:val="24"/>
        </w:rPr>
        <w:t>: 414-425 [PMID: 22803691 DOI: 10.1111/j.1365-2036.2012.05211.x]</w:t>
      </w:r>
    </w:p>
    <w:p w14:paraId="2D28348A" w14:textId="77777777" w:rsidR="00C73C17" w:rsidRDefault="00C73C17" w:rsidP="00C73C17">
      <w:pPr>
        <w:spacing w:line="360" w:lineRule="auto"/>
      </w:pPr>
      <w:r>
        <w:rPr>
          <w:rFonts w:ascii="Book Antiqua" w:eastAsia="Book Antiqua" w:hAnsi="Book Antiqua" w:cs="Book Antiqua"/>
          <w:color w:val="000000"/>
          <w:sz w:val="24"/>
        </w:rPr>
        <w:t xml:space="preserve">26 </w:t>
      </w:r>
      <w:r>
        <w:rPr>
          <w:rFonts w:ascii="Book Antiqua" w:eastAsia="Book Antiqua" w:hAnsi="Book Antiqua" w:cs="Book Antiqua"/>
          <w:b/>
          <w:bCs/>
          <w:color w:val="000000"/>
          <w:sz w:val="24"/>
        </w:rPr>
        <w:t>Hu Y</w:t>
      </w:r>
      <w:r>
        <w:rPr>
          <w:rFonts w:ascii="Book Antiqua" w:eastAsia="Book Antiqua" w:hAnsi="Book Antiqua" w:cs="Book Antiqua"/>
          <w:color w:val="000000"/>
          <w:sz w:val="24"/>
        </w:rPr>
        <w:t xml:space="preserve">, Zhu Y, Lu NH. Novel and Effective Therapeutic Regimens for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in an Era of Increasing Antibiotic Resistance. </w:t>
      </w:r>
      <w:r>
        <w:rPr>
          <w:rFonts w:ascii="Book Antiqua" w:eastAsia="Book Antiqua" w:hAnsi="Book Antiqua" w:cs="Book Antiqua"/>
          <w:i/>
          <w:iCs/>
          <w:color w:val="000000"/>
          <w:sz w:val="24"/>
        </w:rPr>
        <w:t>Front Cell Infect Microbiol</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7</w:t>
      </w:r>
      <w:r>
        <w:rPr>
          <w:rFonts w:ascii="Book Antiqua" w:eastAsia="Book Antiqua" w:hAnsi="Book Antiqua" w:cs="Book Antiqua"/>
          <w:color w:val="000000"/>
          <w:sz w:val="24"/>
        </w:rPr>
        <w:t>: 168 [PMID: 28529929 DOI: 10.3389/Fcimb.2017.00168]</w:t>
      </w:r>
    </w:p>
    <w:p w14:paraId="7A745976" w14:textId="77777777" w:rsidR="00C73C17" w:rsidRDefault="00C73C17" w:rsidP="00C73C17">
      <w:pPr>
        <w:spacing w:line="360" w:lineRule="auto"/>
      </w:pPr>
      <w:r>
        <w:rPr>
          <w:rFonts w:ascii="Book Antiqua" w:eastAsia="Book Antiqua" w:hAnsi="Book Antiqua" w:cs="Book Antiqua"/>
          <w:color w:val="000000"/>
          <w:sz w:val="24"/>
        </w:rPr>
        <w:t xml:space="preserve">27 </w:t>
      </w:r>
      <w:r>
        <w:rPr>
          <w:rFonts w:ascii="Book Antiqua" w:eastAsia="Book Antiqua" w:hAnsi="Book Antiqua" w:cs="Book Antiqua"/>
          <w:b/>
          <w:bCs/>
          <w:color w:val="000000"/>
          <w:sz w:val="24"/>
        </w:rPr>
        <w:t>Mori H</w:t>
      </w:r>
      <w:r>
        <w:rPr>
          <w:rFonts w:ascii="Book Antiqua" w:eastAsia="Book Antiqua" w:hAnsi="Book Antiqua" w:cs="Book Antiqua"/>
          <w:color w:val="000000"/>
          <w:sz w:val="24"/>
        </w:rPr>
        <w:t xml:space="preserve">, Suzuki H, </w:t>
      </w:r>
      <w:proofErr w:type="spellStart"/>
      <w:r>
        <w:rPr>
          <w:rFonts w:ascii="Book Antiqua" w:eastAsia="Book Antiqua" w:hAnsi="Book Antiqua" w:cs="Book Antiqua"/>
          <w:color w:val="000000"/>
          <w:sz w:val="24"/>
        </w:rPr>
        <w:t>Omata</w:t>
      </w:r>
      <w:proofErr w:type="spellEnd"/>
      <w:r>
        <w:rPr>
          <w:rFonts w:ascii="Book Antiqua" w:eastAsia="Book Antiqua" w:hAnsi="Book Antiqua" w:cs="Book Antiqua"/>
          <w:color w:val="000000"/>
          <w:sz w:val="24"/>
        </w:rPr>
        <w:t xml:space="preserve"> F, </w:t>
      </w:r>
      <w:proofErr w:type="spellStart"/>
      <w:r>
        <w:rPr>
          <w:rFonts w:ascii="Book Antiqua" w:eastAsia="Book Antiqua" w:hAnsi="Book Antiqua" w:cs="Book Antiqua"/>
          <w:color w:val="000000"/>
          <w:sz w:val="24"/>
        </w:rPr>
        <w:t>Masaoka</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Asaoka</w:t>
      </w:r>
      <w:proofErr w:type="spellEnd"/>
      <w:r>
        <w:rPr>
          <w:rFonts w:ascii="Book Antiqua" w:eastAsia="Book Antiqua" w:hAnsi="Book Antiqua" w:cs="Book Antiqua"/>
          <w:color w:val="000000"/>
          <w:sz w:val="24"/>
        </w:rPr>
        <w:t xml:space="preserve"> D, Kawakami K, Mizuno S, </w:t>
      </w:r>
      <w:proofErr w:type="spellStart"/>
      <w:r>
        <w:rPr>
          <w:rFonts w:ascii="Book Antiqua" w:eastAsia="Book Antiqua" w:hAnsi="Book Antiqua" w:cs="Book Antiqua"/>
          <w:color w:val="000000"/>
          <w:sz w:val="24"/>
        </w:rPr>
        <w:t>Kurihara</w:t>
      </w:r>
      <w:proofErr w:type="spellEnd"/>
      <w:r>
        <w:rPr>
          <w:rFonts w:ascii="Book Antiqua" w:eastAsia="Book Antiqua" w:hAnsi="Book Antiqua" w:cs="Book Antiqua"/>
          <w:color w:val="000000"/>
          <w:sz w:val="24"/>
        </w:rPr>
        <w:t xml:space="preserve"> N, </w:t>
      </w:r>
      <w:proofErr w:type="spellStart"/>
      <w:r>
        <w:rPr>
          <w:rFonts w:ascii="Book Antiqua" w:eastAsia="Book Antiqua" w:hAnsi="Book Antiqua" w:cs="Book Antiqua"/>
          <w:color w:val="000000"/>
          <w:sz w:val="24"/>
        </w:rPr>
        <w:t>Nagahara</w:t>
      </w:r>
      <w:proofErr w:type="spellEnd"/>
      <w:r>
        <w:rPr>
          <w:rFonts w:ascii="Book Antiqua" w:eastAsia="Book Antiqua" w:hAnsi="Book Antiqua" w:cs="Book Antiqua"/>
          <w:color w:val="000000"/>
          <w:sz w:val="24"/>
        </w:rPr>
        <w:t xml:space="preserve"> A, Sakaki N, Ito M, Kawamura Y, Suzuki M, Shimada Y, Sasaki H, Matsuhisa T, Torii A, Nishizawa T, Mine T, </w:t>
      </w:r>
      <w:proofErr w:type="spellStart"/>
      <w:r>
        <w:rPr>
          <w:rFonts w:ascii="Book Antiqua" w:eastAsia="Book Antiqua" w:hAnsi="Book Antiqua" w:cs="Book Antiqua"/>
          <w:color w:val="000000"/>
          <w:sz w:val="24"/>
        </w:rPr>
        <w:t>Ohkusa</w:t>
      </w:r>
      <w:proofErr w:type="spellEnd"/>
      <w:r>
        <w:rPr>
          <w:rFonts w:ascii="Book Antiqua" w:eastAsia="Book Antiqua" w:hAnsi="Book Antiqua" w:cs="Book Antiqua"/>
          <w:color w:val="000000"/>
          <w:sz w:val="24"/>
        </w:rPr>
        <w:t xml:space="preserve"> T, Kawai T, Tokunaga K, Takahashi S. Current status of first- and second-line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eradication therapy in the metropolitan area: a multicenter study with a large number of patients. </w:t>
      </w:r>
      <w:proofErr w:type="spellStart"/>
      <w:r>
        <w:rPr>
          <w:rFonts w:ascii="Book Antiqua" w:eastAsia="Book Antiqua" w:hAnsi="Book Antiqua" w:cs="Book Antiqua"/>
          <w:i/>
          <w:iCs/>
          <w:color w:val="000000"/>
          <w:sz w:val="24"/>
        </w:rPr>
        <w:t>Therap</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Adv</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Gastroenterol</w:t>
      </w:r>
      <w:proofErr w:type="spellEnd"/>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12</w:t>
      </w:r>
      <w:r>
        <w:rPr>
          <w:rFonts w:ascii="Book Antiqua" w:eastAsia="Book Antiqua" w:hAnsi="Book Antiqua" w:cs="Book Antiqua"/>
          <w:color w:val="000000"/>
          <w:sz w:val="24"/>
        </w:rPr>
        <w:t xml:space="preserve">: 1756284819858511 [PMID: 31320930 DOI: </w:t>
      </w:r>
      <w:r>
        <w:rPr>
          <w:rFonts w:ascii="Book Antiqua" w:eastAsia="Book Antiqua" w:hAnsi="Book Antiqua" w:cs="Book Antiqua"/>
          <w:color w:val="000000"/>
          <w:sz w:val="24"/>
        </w:rPr>
        <w:lastRenderedPageBreak/>
        <w:t>10.1177/1756284819858511]</w:t>
      </w:r>
    </w:p>
    <w:p w14:paraId="5C990112" w14:textId="77777777" w:rsidR="00C73C17" w:rsidRDefault="00C73C17" w:rsidP="00C73C17">
      <w:pPr>
        <w:spacing w:line="360" w:lineRule="auto"/>
      </w:pPr>
      <w:r>
        <w:rPr>
          <w:rFonts w:ascii="Book Antiqua" w:eastAsia="Book Antiqua" w:hAnsi="Book Antiqua" w:cs="Book Antiqua"/>
          <w:color w:val="000000"/>
          <w:sz w:val="24"/>
        </w:rPr>
        <w:t xml:space="preserve">28 </w:t>
      </w:r>
      <w:r>
        <w:rPr>
          <w:rFonts w:ascii="Book Antiqua" w:eastAsia="Book Antiqua" w:hAnsi="Book Antiqua" w:cs="Book Antiqua"/>
          <w:b/>
          <w:bCs/>
          <w:color w:val="000000"/>
          <w:sz w:val="24"/>
        </w:rPr>
        <w:t>Kim BJ</w:t>
      </w:r>
      <w:r>
        <w:rPr>
          <w:rFonts w:ascii="Book Antiqua" w:eastAsia="Book Antiqua" w:hAnsi="Book Antiqua" w:cs="Book Antiqua"/>
          <w:color w:val="000000"/>
          <w:sz w:val="24"/>
        </w:rPr>
        <w:t xml:space="preserve">, Yang CH, Song HJ, Jeon SW, Kim GH, Kim HS, Kim TH, Shim KN, Chung IK, Park MI, Choi IJ, Kim JH, Kim BW, </w:t>
      </w:r>
      <w:proofErr w:type="spellStart"/>
      <w:r>
        <w:rPr>
          <w:rFonts w:ascii="Book Antiqua" w:eastAsia="Book Antiqua" w:hAnsi="Book Antiqua" w:cs="Book Antiqua"/>
          <w:color w:val="000000"/>
          <w:sz w:val="24"/>
        </w:rPr>
        <w:t>Baik</w:t>
      </w:r>
      <w:proofErr w:type="spellEnd"/>
      <w:r>
        <w:rPr>
          <w:rFonts w:ascii="Book Antiqua" w:eastAsia="Book Antiqua" w:hAnsi="Book Antiqua" w:cs="Book Antiqua"/>
          <w:color w:val="000000"/>
          <w:sz w:val="24"/>
        </w:rPr>
        <w:t xml:space="preserve"> GH, Han SW, </w:t>
      </w:r>
      <w:proofErr w:type="spellStart"/>
      <w:r>
        <w:rPr>
          <w:rFonts w:ascii="Book Antiqua" w:eastAsia="Book Antiqua" w:hAnsi="Book Antiqua" w:cs="Book Antiqua"/>
          <w:color w:val="000000"/>
          <w:sz w:val="24"/>
        </w:rPr>
        <w:t>Seo</w:t>
      </w:r>
      <w:proofErr w:type="spellEnd"/>
      <w:r>
        <w:rPr>
          <w:rFonts w:ascii="Book Antiqua" w:eastAsia="Book Antiqua" w:hAnsi="Book Antiqua" w:cs="Book Antiqua"/>
          <w:color w:val="000000"/>
          <w:sz w:val="24"/>
        </w:rPr>
        <w:t xml:space="preserve"> HE, Jung WT, Hwan Oh J, Kim SG, Lee JH, Park SK, Park BJ, Yang BR, Lee J, Kim JG. Online registry for nationwide database of Helicobacter pylori eradication in Korea: Correlation of antibiotic use density with eradication success.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w:t>
      </w:r>
      <w:r>
        <w:rPr>
          <w:rFonts w:ascii="Book Antiqua" w:eastAsia="Book Antiqua" w:hAnsi="Book Antiqua" w:cs="Book Antiqua"/>
          <w:color w:val="000000"/>
          <w:sz w:val="24"/>
        </w:rPr>
        <w:t>: e12646 [PMID: 31368629 DOI: 10.1111/hel.12646]</w:t>
      </w:r>
    </w:p>
    <w:p w14:paraId="74CAFD75" w14:textId="77777777" w:rsidR="00C73C17" w:rsidRDefault="00C73C17" w:rsidP="00C73C17">
      <w:pPr>
        <w:spacing w:line="360" w:lineRule="auto"/>
      </w:pPr>
      <w:r>
        <w:rPr>
          <w:rFonts w:ascii="Book Antiqua" w:eastAsia="Book Antiqua" w:hAnsi="Book Antiqua" w:cs="Book Antiqua"/>
          <w:color w:val="000000"/>
          <w:sz w:val="24"/>
        </w:rPr>
        <w:t xml:space="preserve">29 </w:t>
      </w:r>
      <w:proofErr w:type="spellStart"/>
      <w:r>
        <w:rPr>
          <w:rFonts w:ascii="Book Antiqua" w:eastAsia="Book Antiqua" w:hAnsi="Book Antiqua" w:cs="Book Antiqua"/>
          <w:b/>
          <w:bCs/>
          <w:color w:val="000000"/>
          <w:sz w:val="24"/>
        </w:rPr>
        <w:t>Boyanova</w:t>
      </w:r>
      <w:proofErr w:type="spellEnd"/>
      <w:r>
        <w:rPr>
          <w:rFonts w:ascii="Book Antiqua" w:eastAsia="Book Antiqua" w:hAnsi="Book Antiqua" w:cs="Book Antiqua"/>
          <w:b/>
          <w:bCs/>
          <w:color w:val="000000"/>
          <w:sz w:val="24"/>
        </w:rPr>
        <w:t xml:space="preserve"> L</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Gergova</w:t>
      </w:r>
      <w:proofErr w:type="spellEnd"/>
      <w:r>
        <w:rPr>
          <w:rFonts w:ascii="Book Antiqua" w:eastAsia="Book Antiqua" w:hAnsi="Book Antiqua" w:cs="Book Antiqua"/>
          <w:color w:val="000000"/>
          <w:sz w:val="24"/>
        </w:rPr>
        <w:t xml:space="preserve"> G, </w:t>
      </w:r>
      <w:proofErr w:type="spellStart"/>
      <w:r>
        <w:rPr>
          <w:rFonts w:ascii="Book Antiqua" w:eastAsia="Book Antiqua" w:hAnsi="Book Antiqua" w:cs="Book Antiqua"/>
          <w:color w:val="000000"/>
          <w:sz w:val="24"/>
        </w:rPr>
        <w:t>Markovska</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Kandilarov</w:t>
      </w:r>
      <w:proofErr w:type="spellEnd"/>
      <w:r>
        <w:rPr>
          <w:rFonts w:ascii="Book Antiqua" w:eastAsia="Book Antiqua" w:hAnsi="Book Antiqua" w:cs="Book Antiqua"/>
          <w:color w:val="000000"/>
          <w:sz w:val="24"/>
        </w:rPr>
        <w:t xml:space="preserve"> N, </w:t>
      </w:r>
      <w:proofErr w:type="spellStart"/>
      <w:r>
        <w:rPr>
          <w:rFonts w:ascii="Book Antiqua" w:eastAsia="Book Antiqua" w:hAnsi="Book Antiqua" w:cs="Book Antiqua"/>
          <w:color w:val="000000"/>
          <w:sz w:val="24"/>
        </w:rPr>
        <w:t>Davidkov</w:t>
      </w:r>
      <w:proofErr w:type="spellEnd"/>
      <w:r>
        <w:rPr>
          <w:rFonts w:ascii="Book Antiqua" w:eastAsia="Book Antiqua" w:hAnsi="Book Antiqua" w:cs="Book Antiqua"/>
          <w:color w:val="000000"/>
          <w:sz w:val="24"/>
        </w:rPr>
        <w:t xml:space="preserve"> L, </w:t>
      </w:r>
      <w:proofErr w:type="spellStart"/>
      <w:r>
        <w:rPr>
          <w:rFonts w:ascii="Book Antiqua" w:eastAsia="Book Antiqua" w:hAnsi="Book Antiqua" w:cs="Book Antiqua"/>
          <w:color w:val="000000"/>
          <w:sz w:val="24"/>
        </w:rPr>
        <w:t>Spassova</w:t>
      </w:r>
      <w:proofErr w:type="spellEnd"/>
      <w:r>
        <w:rPr>
          <w:rFonts w:ascii="Book Antiqua" w:eastAsia="Book Antiqua" w:hAnsi="Book Antiqua" w:cs="Book Antiqua"/>
          <w:color w:val="000000"/>
          <w:sz w:val="24"/>
        </w:rPr>
        <w:t xml:space="preserve"> Z, </w:t>
      </w:r>
      <w:proofErr w:type="spellStart"/>
      <w:r>
        <w:rPr>
          <w:rFonts w:ascii="Book Antiqua" w:eastAsia="Book Antiqua" w:hAnsi="Book Antiqua" w:cs="Book Antiqua"/>
          <w:color w:val="000000"/>
          <w:sz w:val="24"/>
        </w:rPr>
        <w:t>Mitov</w:t>
      </w:r>
      <w:proofErr w:type="spellEnd"/>
      <w:r>
        <w:rPr>
          <w:rFonts w:ascii="Book Antiqua" w:eastAsia="Book Antiqua" w:hAnsi="Book Antiqua" w:cs="Book Antiqua"/>
          <w:color w:val="000000"/>
          <w:sz w:val="24"/>
        </w:rPr>
        <w:t xml:space="preserve"> I. Primary Helicobacter pylori resistance in elderly patients over 20 years: A Bulgarian study. </w:t>
      </w:r>
      <w:r>
        <w:rPr>
          <w:rFonts w:ascii="Book Antiqua" w:eastAsia="Book Antiqua" w:hAnsi="Book Antiqua" w:cs="Book Antiqua"/>
          <w:i/>
          <w:iCs/>
          <w:color w:val="000000"/>
          <w:sz w:val="24"/>
        </w:rPr>
        <w:t>Diagn Microbiol Infect Dis</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88</w:t>
      </w:r>
      <w:r>
        <w:rPr>
          <w:rFonts w:ascii="Book Antiqua" w:eastAsia="Book Antiqua" w:hAnsi="Book Antiqua" w:cs="Book Antiqua"/>
          <w:color w:val="000000"/>
          <w:sz w:val="24"/>
        </w:rPr>
        <w:t>: 264-267 [PMID: 28506722 DOI: 10.1016/j.diagmicrobio.2017.05.001]</w:t>
      </w:r>
    </w:p>
    <w:p w14:paraId="2A6A5D41" w14:textId="77777777" w:rsidR="00C73C17" w:rsidRDefault="00C73C17" w:rsidP="00C73C17">
      <w:pPr>
        <w:spacing w:line="360" w:lineRule="auto"/>
      </w:pPr>
      <w:r>
        <w:rPr>
          <w:rFonts w:ascii="Book Antiqua" w:eastAsia="Book Antiqua" w:hAnsi="Book Antiqua" w:cs="Book Antiqua"/>
          <w:color w:val="000000"/>
          <w:sz w:val="24"/>
        </w:rPr>
        <w:t xml:space="preserve">30 </w:t>
      </w:r>
      <w:r>
        <w:rPr>
          <w:rFonts w:ascii="Book Antiqua" w:eastAsia="Book Antiqua" w:hAnsi="Book Antiqua" w:cs="Book Antiqua"/>
          <w:b/>
          <w:bCs/>
          <w:color w:val="000000"/>
          <w:sz w:val="24"/>
        </w:rPr>
        <w:t>Kobayashi S</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Joshita</w:t>
      </w:r>
      <w:proofErr w:type="spellEnd"/>
      <w:r>
        <w:rPr>
          <w:rFonts w:ascii="Book Antiqua" w:eastAsia="Book Antiqua" w:hAnsi="Book Antiqua" w:cs="Book Antiqua"/>
          <w:color w:val="000000"/>
          <w:sz w:val="24"/>
        </w:rPr>
        <w:t xml:space="preserve"> S, Yamamoto C, Yanagisawa T, Miyazawa T, Miyazawa M, Kubota D, Sato J, Umemura T, Tanaka E. Efficacy and safety of eradication therapy for elderly patients with helicobacter pylori infection. </w:t>
      </w:r>
      <w:r>
        <w:rPr>
          <w:rFonts w:ascii="Book Antiqua" w:eastAsia="Book Antiqua" w:hAnsi="Book Antiqua" w:cs="Book Antiqua"/>
          <w:i/>
          <w:iCs/>
          <w:color w:val="000000"/>
          <w:sz w:val="24"/>
        </w:rPr>
        <w:t>Medicine (Baltimore)</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98</w:t>
      </w:r>
      <w:r>
        <w:rPr>
          <w:rFonts w:ascii="Book Antiqua" w:eastAsia="Book Antiqua" w:hAnsi="Book Antiqua" w:cs="Book Antiqua"/>
          <w:color w:val="000000"/>
          <w:sz w:val="24"/>
        </w:rPr>
        <w:t>: e16619 [PMID: 31348311 DOI: 10.1097/MD.0000000000016619]</w:t>
      </w:r>
    </w:p>
    <w:p w14:paraId="4D8841E2" w14:textId="77777777" w:rsidR="00C73C17" w:rsidRDefault="00C73C17" w:rsidP="00C73C17">
      <w:pPr>
        <w:spacing w:line="360" w:lineRule="auto"/>
        <w:sectPr w:rsidR="00C73C17">
          <w:pgSz w:w="12240" w:h="15840"/>
          <w:pgMar w:top="1440" w:right="1440" w:bottom="1440" w:left="1440" w:header="720" w:footer="720" w:gutter="0"/>
          <w:cols w:space="720"/>
          <w:docGrid w:linePitch="360"/>
        </w:sectPr>
      </w:pPr>
      <w:r>
        <w:rPr>
          <w:rFonts w:ascii="Book Antiqua" w:eastAsia="Book Antiqua" w:hAnsi="Book Antiqua" w:cs="Book Antiqua"/>
          <w:color w:val="000000"/>
          <w:sz w:val="24"/>
        </w:rPr>
        <w:t xml:space="preserve">31 </w:t>
      </w:r>
      <w:r>
        <w:rPr>
          <w:rFonts w:ascii="Book Antiqua" w:eastAsia="Book Antiqua" w:hAnsi="Book Antiqua" w:cs="Book Antiqua"/>
          <w:b/>
          <w:bCs/>
          <w:color w:val="000000"/>
          <w:sz w:val="24"/>
        </w:rPr>
        <w:t>Nishizawa T</w:t>
      </w:r>
      <w:r>
        <w:rPr>
          <w:rFonts w:ascii="Book Antiqua" w:eastAsia="Book Antiqua" w:hAnsi="Book Antiqua" w:cs="Book Antiqua"/>
          <w:color w:val="000000"/>
          <w:sz w:val="24"/>
        </w:rPr>
        <w:t xml:space="preserve">, Suzuki H, Fujimoto A, Kinoshita H, Yoshida S, Isomura Y, Toyoshima A, Kanai T, Yahagi N, Toyoshima O. Effects of patient age and choice of antisecretory agent on success of eradication therapy for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infection. </w:t>
      </w:r>
      <w:r>
        <w:rPr>
          <w:rFonts w:ascii="Book Antiqua" w:eastAsia="Book Antiqua" w:hAnsi="Book Antiqua" w:cs="Book Antiqua"/>
          <w:i/>
          <w:iCs/>
          <w:color w:val="000000"/>
          <w:sz w:val="24"/>
        </w:rPr>
        <w:t xml:space="preserve">J </w:t>
      </w:r>
      <w:proofErr w:type="spellStart"/>
      <w:r>
        <w:rPr>
          <w:rFonts w:ascii="Book Antiqua" w:eastAsia="Book Antiqua" w:hAnsi="Book Antiqua" w:cs="Book Antiqua"/>
          <w:i/>
          <w:iCs/>
          <w:color w:val="000000"/>
          <w:sz w:val="24"/>
        </w:rPr>
        <w:t>Clin</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Biochem</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Nutr</w:t>
      </w:r>
      <w:proofErr w:type="spellEnd"/>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60</w:t>
      </w:r>
      <w:r>
        <w:rPr>
          <w:rFonts w:ascii="Book Antiqua" w:eastAsia="Book Antiqua" w:hAnsi="Book Antiqua" w:cs="Book Antiqua"/>
          <w:color w:val="000000"/>
          <w:sz w:val="24"/>
        </w:rPr>
        <w:t>: 208-210 [PMID: 28584402 DOI: 10.3164/jcbn.16-86]</w:t>
      </w:r>
    </w:p>
    <w:p w14:paraId="7F544893" w14:textId="77777777" w:rsidR="00C73C17" w:rsidRDefault="00C73C17" w:rsidP="00C73C17">
      <w:pPr>
        <w:spacing w:line="360" w:lineRule="auto"/>
      </w:pPr>
      <w:r>
        <w:rPr>
          <w:rFonts w:ascii="Book Antiqua" w:eastAsia="Book Antiqua" w:hAnsi="Book Antiqua" w:cs="Book Antiqua"/>
          <w:b/>
          <w:color w:val="000000"/>
          <w:sz w:val="24"/>
        </w:rPr>
        <w:lastRenderedPageBreak/>
        <w:t>Footnotes</w:t>
      </w:r>
    </w:p>
    <w:p w14:paraId="5F71288F" w14:textId="77777777" w:rsidR="00C73C17" w:rsidRDefault="00C73C17" w:rsidP="00C73C17">
      <w:pPr>
        <w:spacing w:line="360" w:lineRule="auto"/>
      </w:pPr>
      <w:r>
        <w:rPr>
          <w:rFonts w:ascii="Book Antiqua" w:eastAsia="Book Antiqua" w:hAnsi="Book Antiqua" w:cs="Book Antiqua"/>
          <w:b/>
          <w:bCs/>
          <w:color w:val="000000"/>
          <w:sz w:val="24"/>
          <w:szCs w:val="21"/>
        </w:rPr>
        <w:t xml:space="preserve">Institutional review board statement: </w:t>
      </w:r>
      <w:r>
        <w:rPr>
          <w:rFonts w:ascii="Book Antiqua" w:eastAsia="Book Antiqua" w:hAnsi="Book Antiqua" w:cs="Book Antiqua"/>
          <w:color w:val="000000"/>
          <w:sz w:val="24"/>
        </w:rPr>
        <w:t>This study was reviewed and approved by</w:t>
      </w:r>
      <w:r>
        <w:rPr>
          <w:rFonts w:ascii="Book Antiqua" w:eastAsia="Book Antiqua" w:hAnsi="Book Antiqua" w:cs="Book Antiqua"/>
          <w:color w:val="000000"/>
          <w:sz w:val="24"/>
          <w:szCs w:val="21"/>
        </w:rPr>
        <w:t xml:space="preserve"> </w:t>
      </w:r>
      <w:r>
        <w:rPr>
          <w:rFonts w:ascii="Book Antiqua" w:eastAsia="Book Antiqua" w:hAnsi="Book Antiqua" w:cs="Book Antiqua"/>
          <w:color w:val="000000"/>
          <w:sz w:val="24"/>
        </w:rPr>
        <w:t>the Clinical Research Ethics Committee of the First Affiliated Hospital, Zhejiang University School of Medicine.</w:t>
      </w:r>
    </w:p>
    <w:p w14:paraId="132DEB37" w14:textId="77777777" w:rsidR="00C73C17" w:rsidRDefault="00C73C17" w:rsidP="00C73C17">
      <w:pPr>
        <w:spacing w:line="360" w:lineRule="auto"/>
      </w:pPr>
    </w:p>
    <w:p w14:paraId="63A55AB8" w14:textId="1A44B1A7" w:rsidR="00C73C17" w:rsidRDefault="00A934C4" w:rsidP="00C73C17">
      <w:pPr>
        <w:spacing w:line="360" w:lineRule="auto"/>
      </w:pPr>
      <w:r w:rsidRPr="00A934C4">
        <w:rPr>
          <w:rFonts w:ascii="Book Antiqua" w:eastAsia="Book Antiqua" w:hAnsi="Book Antiqua" w:cs="Book Antiqua"/>
          <w:b/>
          <w:bCs/>
          <w:color w:val="000000"/>
          <w:sz w:val="24"/>
          <w:szCs w:val="21"/>
        </w:rPr>
        <w:t>Informed consent statement</w:t>
      </w:r>
      <w:r w:rsidR="00C73C17">
        <w:rPr>
          <w:rFonts w:ascii="Book Antiqua" w:eastAsia="Book Antiqua" w:hAnsi="Book Antiqua" w:cs="Book Antiqua"/>
          <w:b/>
          <w:bCs/>
          <w:color w:val="000000"/>
          <w:sz w:val="24"/>
          <w:szCs w:val="21"/>
        </w:rPr>
        <w:t xml:space="preserve">: </w:t>
      </w:r>
      <w:r w:rsidR="00C73C17">
        <w:rPr>
          <w:rFonts w:ascii="Book Antiqua" w:eastAsia="Book Antiqua" w:hAnsi="Book Antiqua" w:cs="Book Antiqua"/>
          <w:color w:val="000000"/>
          <w:sz w:val="24"/>
        </w:rPr>
        <w:t xml:space="preserve">Because of the retrospective and anonymous </w:t>
      </w:r>
      <w:r w:rsidR="009B57E5">
        <w:rPr>
          <w:rFonts w:ascii="Book Antiqua" w:eastAsia="Book Antiqua" w:hAnsi="Book Antiqua" w:cs="Book Antiqua"/>
          <w:color w:val="000000"/>
          <w:sz w:val="24"/>
        </w:rPr>
        <w:t xml:space="preserve">nature </w:t>
      </w:r>
      <w:r w:rsidR="00C73C17">
        <w:rPr>
          <w:rFonts w:ascii="Book Antiqua" w:eastAsia="Book Antiqua" w:hAnsi="Book Antiqua" w:cs="Book Antiqua"/>
          <w:color w:val="000000"/>
          <w:sz w:val="24"/>
        </w:rPr>
        <w:t>of this study, the need for informed consent was exempted by the institutional review board.</w:t>
      </w:r>
    </w:p>
    <w:p w14:paraId="59963875" w14:textId="77777777" w:rsidR="00C73C17" w:rsidRDefault="00C73C17" w:rsidP="00C73C17">
      <w:pPr>
        <w:spacing w:line="360" w:lineRule="auto"/>
      </w:pPr>
    </w:p>
    <w:p w14:paraId="7300C4C1" w14:textId="705766E3" w:rsidR="00C73C17" w:rsidRDefault="00C73C17" w:rsidP="00C73C17">
      <w:pPr>
        <w:spacing w:line="360" w:lineRule="auto"/>
      </w:pPr>
      <w:r>
        <w:rPr>
          <w:rFonts w:ascii="Book Antiqua" w:eastAsia="Book Antiqua" w:hAnsi="Book Antiqua" w:cs="Book Antiqua"/>
          <w:b/>
          <w:bCs/>
          <w:color w:val="000000"/>
          <w:sz w:val="24"/>
          <w:szCs w:val="21"/>
        </w:rPr>
        <w:t xml:space="preserve">Conflict-of-interest statement: </w:t>
      </w:r>
      <w:r>
        <w:rPr>
          <w:rFonts w:ascii="Book Antiqua" w:eastAsia="Book Antiqua" w:hAnsi="Book Antiqua" w:cs="Book Antiqua"/>
          <w:color w:val="000000"/>
          <w:sz w:val="24"/>
        </w:rPr>
        <w:t xml:space="preserve">All of the authors declare </w:t>
      </w:r>
      <w:r w:rsidR="009B57E5">
        <w:rPr>
          <w:rFonts w:ascii="Book Antiqua" w:eastAsia="Book Antiqua" w:hAnsi="Book Antiqua" w:cs="Book Antiqua"/>
          <w:color w:val="000000"/>
          <w:sz w:val="24"/>
        </w:rPr>
        <w:t xml:space="preserve">that </w:t>
      </w:r>
      <w:r>
        <w:rPr>
          <w:rFonts w:ascii="Book Antiqua" w:eastAsia="Book Antiqua" w:hAnsi="Book Antiqua" w:cs="Book Antiqua"/>
          <w:color w:val="000000"/>
          <w:sz w:val="24"/>
        </w:rPr>
        <w:t>they have no conflicts of interest</w:t>
      </w:r>
      <w:r w:rsidR="009B57E5">
        <w:rPr>
          <w:rFonts w:ascii="Book Antiqua" w:eastAsia="Book Antiqua" w:hAnsi="Book Antiqua" w:cs="Book Antiqua"/>
          <w:color w:val="000000"/>
          <w:sz w:val="24"/>
        </w:rPr>
        <w:t xml:space="preserve"> to disclose</w:t>
      </w:r>
      <w:r>
        <w:rPr>
          <w:rFonts w:ascii="Book Antiqua" w:eastAsia="Book Antiqua" w:hAnsi="Book Antiqua" w:cs="Book Antiqua"/>
          <w:color w:val="000000"/>
          <w:sz w:val="24"/>
        </w:rPr>
        <w:t>.</w:t>
      </w:r>
    </w:p>
    <w:p w14:paraId="7F8921A9" w14:textId="77777777" w:rsidR="00C73C17" w:rsidRDefault="00C73C17" w:rsidP="00C73C17">
      <w:pPr>
        <w:spacing w:line="360" w:lineRule="auto"/>
      </w:pPr>
    </w:p>
    <w:p w14:paraId="4ADD52D8" w14:textId="7A8E1F1D" w:rsidR="00C73C17" w:rsidRDefault="00C73C17" w:rsidP="00C73C17">
      <w:pPr>
        <w:spacing w:line="360" w:lineRule="auto"/>
      </w:pPr>
      <w:r>
        <w:rPr>
          <w:rFonts w:ascii="Book Antiqua" w:eastAsia="Book Antiqua" w:hAnsi="Book Antiqua" w:cs="Book Antiqua"/>
          <w:b/>
          <w:bCs/>
          <w:color w:val="000000"/>
          <w:sz w:val="24"/>
          <w:szCs w:val="21"/>
        </w:rPr>
        <w:t>Data sharing statement</w:t>
      </w:r>
      <w:r w:rsidR="009B57E5">
        <w:rPr>
          <w:rFonts w:ascii="Book Antiqua" w:eastAsia="Book Antiqua" w:hAnsi="Book Antiqua" w:cs="Book Antiqua"/>
          <w:b/>
          <w:bCs/>
          <w:color w:val="000000"/>
          <w:sz w:val="24"/>
          <w:szCs w:val="21"/>
        </w:rPr>
        <w:t xml:space="preserve">: </w:t>
      </w:r>
      <w:r>
        <w:rPr>
          <w:rFonts w:ascii="Book Antiqua" w:eastAsia="Book Antiqua" w:hAnsi="Book Antiqua" w:cs="Book Antiqua"/>
          <w:color w:val="000000"/>
          <w:sz w:val="24"/>
        </w:rPr>
        <w:t>No additional data are available.</w:t>
      </w:r>
    </w:p>
    <w:p w14:paraId="27C00B73" w14:textId="77777777" w:rsidR="00C73C17" w:rsidRDefault="00C73C17" w:rsidP="00C73C17">
      <w:pPr>
        <w:spacing w:line="360" w:lineRule="auto"/>
      </w:pPr>
    </w:p>
    <w:p w14:paraId="0D841299" w14:textId="77777777" w:rsidR="00C73C17" w:rsidRDefault="00C73C17" w:rsidP="00C73C17">
      <w:pPr>
        <w:spacing w:line="360" w:lineRule="auto"/>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sz w:val="24"/>
        </w:rPr>
        <w:t>NonCommercial</w:t>
      </w:r>
      <w:proofErr w:type="spellEnd"/>
      <w:r>
        <w:rPr>
          <w:rFonts w:ascii="Book Antiqua" w:eastAsia="Book Antiqua" w:hAnsi="Book Antiqua" w:cs="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CA2690" w14:textId="77777777" w:rsidR="00C73C17" w:rsidRDefault="00C73C17" w:rsidP="00C73C17">
      <w:pPr>
        <w:spacing w:line="360" w:lineRule="auto"/>
      </w:pPr>
    </w:p>
    <w:p w14:paraId="4C3637E1" w14:textId="77777777" w:rsidR="00C73C17" w:rsidRDefault="00C73C17" w:rsidP="00C73C17">
      <w:pPr>
        <w:spacing w:line="360" w:lineRule="auto"/>
        <w:rPr>
          <w:rFonts w:ascii="Book Antiqua" w:eastAsia="Book Antiqua" w:hAnsi="Book Antiqua" w:cs="Book Antiqua"/>
          <w:color w:val="000000"/>
          <w:sz w:val="24"/>
        </w:rPr>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14:paraId="6D784354" w14:textId="77777777" w:rsidR="0005517D" w:rsidRDefault="0005517D" w:rsidP="00C73C17">
      <w:pPr>
        <w:spacing w:line="360" w:lineRule="auto"/>
      </w:pPr>
    </w:p>
    <w:p w14:paraId="570A9D36" w14:textId="77777777" w:rsidR="00C73C17" w:rsidRDefault="00C73C17" w:rsidP="00C73C17">
      <w:pPr>
        <w:spacing w:line="360" w:lineRule="auto"/>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April 24, 2020</w:t>
      </w:r>
    </w:p>
    <w:p w14:paraId="4D3DFEBA" w14:textId="77777777" w:rsidR="00C73C17" w:rsidRDefault="00C73C17" w:rsidP="00C73C17">
      <w:pPr>
        <w:spacing w:line="360" w:lineRule="auto"/>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June 13, 2020</w:t>
      </w:r>
    </w:p>
    <w:p w14:paraId="5E6204CD" w14:textId="77777777" w:rsidR="00C73C17" w:rsidRDefault="00C73C17" w:rsidP="00C73C17">
      <w:pPr>
        <w:spacing w:line="360" w:lineRule="auto"/>
      </w:pPr>
      <w:r>
        <w:rPr>
          <w:rFonts w:ascii="Book Antiqua" w:eastAsia="Book Antiqua" w:hAnsi="Book Antiqua" w:cs="Book Antiqua"/>
          <w:b/>
          <w:color w:val="000000"/>
          <w:sz w:val="24"/>
        </w:rPr>
        <w:t xml:space="preserve">Article in press: </w:t>
      </w:r>
    </w:p>
    <w:p w14:paraId="715F2781" w14:textId="77777777" w:rsidR="00C73C17" w:rsidRDefault="00C73C17" w:rsidP="00C73C17">
      <w:pPr>
        <w:spacing w:line="360" w:lineRule="auto"/>
      </w:pPr>
    </w:p>
    <w:p w14:paraId="6A7B6371" w14:textId="77777777" w:rsidR="00C73C17" w:rsidRDefault="00C73C17" w:rsidP="00C73C17">
      <w:pPr>
        <w:spacing w:line="360" w:lineRule="auto"/>
      </w:pPr>
      <w:r>
        <w:rPr>
          <w:rFonts w:ascii="Book Antiqua" w:eastAsia="Book Antiqua" w:hAnsi="Book Antiqua" w:cs="Book Antiqua"/>
          <w:b/>
          <w:color w:val="000000"/>
          <w:sz w:val="24"/>
        </w:rPr>
        <w:t xml:space="preserve">Specialty type: </w:t>
      </w:r>
      <w:r w:rsidRPr="00E700C2">
        <w:rPr>
          <w:rFonts w:ascii="Book Antiqua" w:eastAsia="微软雅黑" w:hAnsi="Book Antiqua" w:cs="宋体"/>
          <w:kern w:val="0"/>
          <w:sz w:val="24"/>
          <w:szCs w:val="24"/>
        </w:rPr>
        <w:t>Gastroenterology and hepatology</w:t>
      </w:r>
    </w:p>
    <w:p w14:paraId="1AA2CF54" w14:textId="77777777" w:rsidR="00C73C17" w:rsidRDefault="00C73C17" w:rsidP="00C73C17">
      <w:pPr>
        <w:spacing w:line="360" w:lineRule="auto"/>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China</w:t>
      </w:r>
    </w:p>
    <w:p w14:paraId="72F884DB" w14:textId="77777777" w:rsidR="00C73C17" w:rsidRDefault="00C73C17" w:rsidP="00C73C17">
      <w:pPr>
        <w:spacing w:line="360" w:lineRule="auto"/>
      </w:pPr>
      <w:r>
        <w:rPr>
          <w:rFonts w:ascii="Book Antiqua" w:eastAsia="Book Antiqua" w:hAnsi="Book Antiqua" w:cs="Book Antiqua"/>
          <w:b/>
          <w:color w:val="000000"/>
          <w:sz w:val="24"/>
        </w:rPr>
        <w:lastRenderedPageBreak/>
        <w:t>Peer-review report’s scientific quality classification</w:t>
      </w:r>
    </w:p>
    <w:p w14:paraId="430DC05E" w14:textId="77777777" w:rsidR="00C73C17" w:rsidRDefault="00C73C17" w:rsidP="00C73C17">
      <w:pPr>
        <w:spacing w:line="360" w:lineRule="auto"/>
      </w:pPr>
      <w:r>
        <w:rPr>
          <w:rFonts w:ascii="Book Antiqua" w:eastAsia="Book Antiqua" w:hAnsi="Book Antiqua" w:cs="Book Antiqua"/>
          <w:color w:val="000000"/>
          <w:sz w:val="24"/>
        </w:rPr>
        <w:t>Grade A (Excellent): 0</w:t>
      </w:r>
    </w:p>
    <w:p w14:paraId="0199A4E7" w14:textId="77777777" w:rsidR="00C73C17" w:rsidRDefault="00C73C17" w:rsidP="00C73C17">
      <w:pPr>
        <w:spacing w:line="360" w:lineRule="auto"/>
      </w:pPr>
      <w:r>
        <w:rPr>
          <w:rFonts w:ascii="Book Antiqua" w:eastAsia="Book Antiqua" w:hAnsi="Book Antiqua" w:cs="Book Antiqua"/>
          <w:color w:val="000000"/>
          <w:sz w:val="24"/>
        </w:rPr>
        <w:t>Grade B (Very good): 0</w:t>
      </w:r>
    </w:p>
    <w:p w14:paraId="7E57E1B8" w14:textId="77777777" w:rsidR="00C73C17" w:rsidRDefault="00C73C17" w:rsidP="00C73C17">
      <w:pPr>
        <w:spacing w:line="360" w:lineRule="auto"/>
      </w:pPr>
      <w:r>
        <w:rPr>
          <w:rFonts w:ascii="Book Antiqua" w:eastAsia="Book Antiqua" w:hAnsi="Book Antiqua" w:cs="Book Antiqua"/>
          <w:color w:val="000000"/>
          <w:sz w:val="24"/>
        </w:rPr>
        <w:t>Grade C (Good): C, C</w:t>
      </w:r>
    </w:p>
    <w:p w14:paraId="0C7B4BB4" w14:textId="77777777" w:rsidR="00C73C17" w:rsidRDefault="00C73C17" w:rsidP="00C73C17">
      <w:pPr>
        <w:spacing w:line="360" w:lineRule="auto"/>
      </w:pPr>
      <w:r>
        <w:rPr>
          <w:rFonts w:ascii="Book Antiqua" w:eastAsia="Book Antiqua" w:hAnsi="Book Antiqua" w:cs="Book Antiqua"/>
          <w:color w:val="000000"/>
          <w:sz w:val="24"/>
        </w:rPr>
        <w:t>Grade D (Fair): 0</w:t>
      </w:r>
    </w:p>
    <w:p w14:paraId="71140125" w14:textId="77777777" w:rsidR="00C73C17" w:rsidRDefault="00C73C17" w:rsidP="00C73C17">
      <w:pPr>
        <w:spacing w:line="360" w:lineRule="auto"/>
      </w:pPr>
      <w:r>
        <w:rPr>
          <w:rFonts w:ascii="Book Antiqua" w:eastAsia="Book Antiqua" w:hAnsi="Book Antiqua" w:cs="Book Antiqua"/>
          <w:color w:val="000000"/>
          <w:sz w:val="24"/>
        </w:rPr>
        <w:t>Grade E (Poor): 0</w:t>
      </w:r>
    </w:p>
    <w:p w14:paraId="277CD098" w14:textId="77777777" w:rsidR="00C73C17" w:rsidRDefault="00C73C17" w:rsidP="00C73C17">
      <w:pPr>
        <w:spacing w:line="360" w:lineRule="auto"/>
      </w:pPr>
    </w:p>
    <w:p w14:paraId="7A5B1D46" w14:textId="262BBF4E" w:rsidR="00C73C17" w:rsidRDefault="00C73C17" w:rsidP="00C73C17">
      <w:pPr>
        <w:spacing w:line="360" w:lineRule="auto"/>
        <w:rPr>
          <w:rFonts w:ascii="Book Antiqua" w:eastAsia="Book Antiqua" w:hAnsi="Book Antiqua" w:cs="Book Antiqua"/>
          <w:b/>
          <w:color w:val="000000"/>
          <w:sz w:val="24"/>
        </w:rPr>
      </w:pPr>
      <w:r>
        <w:rPr>
          <w:rFonts w:ascii="Book Antiqua" w:eastAsia="Book Antiqua" w:hAnsi="Book Antiqua" w:cs="Book Antiqua"/>
          <w:b/>
          <w:color w:val="000000"/>
          <w:sz w:val="24"/>
        </w:rPr>
        <w:t xml:space="preserve">P-Reviewer: </w:t>
      </w:r>
      <w:proofErr w:type="spellStart"/>
      <w:r w:rsidR="00BA23FF">
        <w:rPr>
          <w:rFonts w:ascii="Book Antiqua" w:eastAsia="Book Antiqua" w:hAnsi="Book Antiqua" w:cs="Book Antiqua"/>
          <w:color w:val="000000"/>
          <w:sz w:val="24"/>
        </w:rPr>
        <w:t>Gavriilidis</w:t>
      </w:r>
      <w:proofErr w:type="spellEnd"/>
      <w:r w:rsidR="00BA23FF">
        <w:rPr>
          <w:rFonts w:ascii="Book Antiqua" w:eastAsia="Book Antiqua" w:hAnsi="Book Antiqua" w:cs="Book Antiqua"/>
          <w:color w:val="000000"/>
          <w:sz w:val="24"/>
        </w:rPr>
        <w:t xml:space="preserve"> P, </w:t>
      </w:r>
      <w:proofErr w:type="spellStart"/>
      <w:r>
        <w:rPr>
          <w:rFonts w:ascii="Book Antiqua" w:eastAsia="Book Antiqua" w:hAnsi="Book Antiqua" w:cs="Book Antiqua"/>
          <w:color w:val="000000"/>
          <w:sz w:val="24"/>
        </w:rPr>
        <w:t>Sezgin</w:t>
      </w:r>
      <w:proofErr w:type="spellEnd"/>
      <w:r>
        <w:rPr>
          <w:rFonts w:ascii="Book Antiqua" w:eastAsia="Book Antiqua" w:hAnsi="Book Antiqua" w:cs="Book Antiqua"/>
          <w:color w:val="000000"/>
          <w:sz w:val="24"/>
        </w:rPr>
        <w:t xml:space="preserve"> O</w:t>
      </w:r>
      <w:r w:rsidR="00BA23FF">
        <w:rPr>
          <w:rFonts w:ascii="Book Antiqua" w:eastAsia="Book Antiqua" w:hAnsi="Book Antiqua" w:cs="Book Antiqua"/>
          <w:color w:val="000000"/>
          <w:sz w:val="24"/>
        </w:rPr>
        <w:t xml:space="preserve"> </w:t>
      </w:r>
      <w:r>
        <w:rPr>
          <w:rFonts w:ascii="Book Antiqua" w:eastAsia="Book Antiqua" w:hAnsi="Book Antiqua" w:cs="Book Antiqua"/>
          <w:b/>
          <w:color w:val="000000"/>
          <w:sz w:val="24"/>
        </w:rPr>
        <w:t xml:space="preserve">S-Editor: </w:t>
      </w:r>
      <w:r>
        <w:rPr>
          <w:rFonts w:ascii="Book Antiqua" w:eastAsia="Book Antiqua" w:hAnsi="Book Antiqua" w:cs="Book Antiqua"/>
          <w:color w:val="000000"/>
          <w:sz w:val="24"/>
        </w:rPr>
        <w:t>Wang</w:t>
      </w:r>
      <w:r w:rsidR="00C35878">
        <w:rPr>
          <w:rFonts w:ascii="Book Antiqua" w:eastAsia="Book Antiqua" w:hAnsi="Book Antiqua" w:cs="Book Antiqua"/>
          <w:color w:val="000000"/>
          <w:sz w:val="24"/>
        </w:rPr>
        <w:t xml:space="preserve"> </w:t>
      </w:r>
      <w:r>
        <w:rPr>
          <w:rFonts w:ascii="Book Antiqua" w:eastAsia="Book Antiqua" w:hAnsi="Book Antiqua" w:cs="Book Antiqua"/>
          <w:color w:val="000000"/>
          <w:sz w:val="24"/>
        </w:rPr>
        <w:t>DM</w:t>
      </w:r>
      <w:r>
        <w:rPr>
          <w:rFonts w:ascii="Book Antiqua" w:eastAsia="Book Antiqua" w:hAnsi="Book Antiqua" w:cs="Book Antiqua"/>
          <w:b/>
          <w:color w:val="000000"/>
          <w:sz w:val="24"/>
        </w:rPr>
        <w:t xml:space="preserve"> L-Editor: </w:t>
      </w:r>
      <w:r w:rsidR="009B57E5" w:rsidRPr="00755C30">
        <w:rPr>
          <w:rFonts w:ascii="Book Antiqua" w:eastAsia="Book Antiqua" w:hAnsi="Book Antiqua" w:cs="Book Antiqua"/>
          <w:color w:val="000000"/>
          <w:sz w:val="24"/>
        </w:rPr>
        <w:t>Wang TQ</w:t>
      </w:r>
      <w:r>
        <w:rPr>
          <w:rFonts w:ascii="Book Antiqua" w:eastAsia="Book Antiqua" w:hAnsi="Book Antiqua" w:cs="Book Antiqua"/>
          <w:b/>
          <w:color w:val="000000"/>
          <w:sz w:val="24"/>
        </w:rPr>
        <w:t xml:space="preserve"> E-Editor: </w:t>
      </w:r>
    </w:p>
    <w:p w14:paraId="3BBFD946" w14:textId="77777777" w:rsidR="00E3659B" w:rsidRDefault="00E3659B" w:rsidP="00C73C17">
      <w:pPr>
        <w:spacing w:line="360" w:lineRule="auto"/>
        <w:sectPr w:rsidR="00E3659B">
          <w:pgSz w:w="12240" w:h="15840"/>
          <w:pgMar w:top="1440" w:right="1440" w:bottom="1440" w:left="1440" w:header="720" w:footer="720" w:gutter="0"/>
          <w:cols w:space="720"/>
          <w:docGrid w:linePitch="360"/>
        </w:sectPr>
      </w:pPr>
    </w:p>
    <w:p w14:paraId="4C846929" w14:textId="77777777" w:rsidR="00F1462E" w:rsidRPr="001114F2" w:rsidRDefault="00F1462E" w:rsidP="004E6EE4">
      <w:pPr>
        <w:widowControl/>
        <w:spacing w:line="360" w:lineRule="auto"/>
        <w:jc w:val="left"/>
        <w:rPr>
          <w:rFonts w:ascii="Book Antiqua" w:hAnsi="Book Antiqua"/>
          <w:b/>
          <w:sz w:val="24"/>
          <w:szCs w:val="24"/>
        </w:rPr>
      </w:pPr>
      <w:r w:rsidRPr="00D95531">
        <w:rPr>
          <w:rFonts w:ascii="Book Antiqua" w:hAnsi="Book Antiqua"/>
          <w:b/>
          <w:sz w:val="24"/>
          <w:szCs w:val="24"/>
        </w:rPr>
        <w:lastRenderedPageBreak/>
        <w:t>Figure Legends</w:t>
      </w:r>
    </w:p>
    <w:p w14:paraId="0EC329BB" w14:textId="59E63A65" w:rsidR="006E3AB9" w:rsidRDefault="00370161" w:rsidP="00193349">
      <w:pPr>
        <w:spacing w:line="360" w:lineRule="auto"/>
        <w:rPr>
          <w:rFonts w:ascii="Book Antiqua" w:hAnsi="Book Antiqua" w:cs="Times New Roman"/>
          <w:b/>
          <w:sz w:val="24"/>
          <w:szCs w:val="24"/>
        </w:rPr>
      </w:pPr>
      <w:r>
        <w:rPr>
          <w:noProof/>
        </w:rPr>
        <w:drawing>
          <wp:inline distT="0" distB="0" distL="0" distR="0" wp14:anchorId="705B1379" wp14:editId="07FE49F5">
            <wp:extent cx="5274310" cy="28879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887980"/>
                    </a:xfrm>
                    <a:prstGeom prst="rect">
                      <a:avLst/>
                    </a:prstGeom>
                  </pic:spPr>
                </pic:pic>
              </a:graphicData>
            </a:graphic>
          </wp:inline>
        </w:drawing>
      </w:r>
    </w:p>
    <w:p w14:paraId="7024AA9F" w14:textId="77777777" w:rsidR="00F1462E" w:rsidRPr="002962C3" w:rsidRDefault="00F1462E" w:rsidP="00193349">
      <w:pPr>
        <w:spacing w:line="360" w:lineRule="auto"/>
        <w:rPr>
          <w:rFonts w:ascii="Book Antiqua" w:hAnsi="Book Antiqua" w:cs="Times New Roman"/>
          <w:sz w:val="24"/>
          <w:szCs w:val="24"/>
        </w:rPr>
      </w:pPr>
      <w:r w:rsidRPr="002962C3">
        <w:rPr>
          <w:rFonts w:ascii="Book Antiqua" w:hAnsi="Book Antiqua" w:cs="Times New Roman"/>
          <w:b/>
          <w:sz w:val="24"/>
          <w:szCs w:val="24"/>
        </w:rPr>
        <w:t>Figure 1</w:t>
      </w:r>
      <w:r w:rsidRPr="002962C3">
        <w:rPr>
          <w:rFonts w:ascii="Book Antiqua" w:hAnsi="Book Antiqua" w:cs="Times New Roman"/>
          <w:sz w:val="24"/>
          <w:szCs w:val="24"/>
        </w:rPr>
        <w:t xml:space="preserve"> </w:t>
      </w:r>
      <w:r w:rsidRPr="00B11325">
        <w:rPr>
          <w:rFonts w:ascii="Book Antiqua" w:hAnsi="Book Antiqua" w:cs="Times New Roman"/>
          <w:b/>
          <w:sz w:val="24"/>
          <w:szCs w:val="24"/>
        </w:rPr>
        <w:t>Study flowchart.</w:t>
      </w:r>
    </w:p>
    <w:p w14:paraId="49B27EBC" w14:textId="77777777" w:rsidR="00F1462E" w:rsidRDefault="00F1462E" w:rsidP="00193349">
      <w:pPr>
        <w:widowControl/>
        <w:jc w:val="left"/>
        <w:rPr>
          <w:rFonts w:ascii="Book Antiqua" w:hAnsi="Book Antiqua" w:cs="Times New Roman"/>
          <w:sz w:val="24"/>
          <w:szCs w:val="24"/>
        </w:rPr>
      </w:pPr>
      <w:r>
        <w:rPr>
          <w:rFonts w:ascii="Book Antiqua" w:hAnsi="Book Antiqua" w:cs="Times New Roman"/>
          <w:sz w:val="24"/>
          <w:szCs w:val="24"/>
        </w:rPr>
        <w:br w:type="page"/>
      </w:r>
    </w:p>
    <w:p w14:paraId="5FB4DE91" w14:textId="77777777" w:rsidR="00F1462E" w:rsidRPr="002962C3" w:rsidRDefault="001114F2" w:rsidP="00193349">
      <w:pPr>
        <w:spacing w:line="360" w:lineRule="auto"/>
        <w:rPr>
          <w:rFonts w:ascii="Book Antiqua" w:hAnsi="Book Antiqua" w:cs="Times New Roman"/>
          <w:sz w:val="24"/>
          <w:szCs w:val="24"/>
        </w:rPr>
      </w:pPr>
      <w:r w:rsidRPr="001114F2">
        <w:rPr>
          <w:rFonts w:ascii="Book Antiqua" w:hAnsi="Book Antiqua" w:cs="Times New Roman"/>
          <w:noProof/>
          <w:sz w:val="24"/>
          <w:szCs w:val="24"/>
        </w:rPr>
        <w:lastRenderedPageBreak/>
        <w:drawing>
          <wp:inline distT="0" distB="0" distL="0" distR="0" wp14:anchorId="6D948AF9" wp14:editId="76A45D3A">
            <wp:extent cx="5274310" cy="4641167"/>
            <wp:effectExtent l="0" t="0" r="2540" b="7620"/>
            <wp:docPr id="3" name="图片 3" descr="C:\Users\PVer\AppData\Local\Temp\1592743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er\AppData\Local\Temp\159274379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641167"/>
                    </a:xfrm>
                    <a:prstGeom prst="rect">
                      <a:avLst/>
                    </a:prstGeom>
                    <a:noFill/>
                    <a:ln>
                      <a:noFill/>
                    </a:ln>
                  </pic:spPr>
                </pic:pic>
              </a:graphicData>
            </a:graphic>
          </wp:inline>
        </w:drawing>
      </w:r>
    </w:p>
    <w:p w14:paraId="38CB4C93" w14:textId="28C0A9BC" w:rsidR="00F1462E" w:rsidRPr="002962C3" w:rsidRDefault="00F1462E" w:rsidP="00193349">
      <w:pPr>
        <w:spacing w:line="360" w:lineRule="auto"/>
        <w:rPr>
          <w:rFonts w:ascii="Book Antiqua" w:hAnsi="Book Antiqua" w:cs="Times New Roman"/>
          <w:sz w:val="24"/>
          <w:szCs w:val="24"/>
        </w:rPr>
      </w:pPr>
      <w:r w:rsidRPr="002962C3">
        <w:rPr>
          <w:rFonts w:ascii="Book Antiqua" w:hAnsi="Book Antiqua" w:cs="Times New Roman"/>
          <w:b/>
          <w:sz w:val="24"/>
          <w:szCs w:val="24"/>
        </w:rPr>
        <w:t xml:space="preserve">Figure 2 </w:t>
      </w:r>
      <w:r w:rsidRPr="00B11325">
        <w:rPr>
          <w:rFonts w:ascii="Book Antiqua" w:hAnsi="Book Antiqua" w:cs="Times New Roman"/>
          <w:b/>
          <w:sz w:val="24"/>
          <w:szCs w:val="24"/>
        </w:rPr>
        <w:t xml:space="preserve">Eradication rates of </w:t>
      </w:r>
      <w:r w:rsidR="00D57159" w:rsidRPr="00D57159">
        <w:rPr>
          <w:rStyle w:val="af"/>
          <w:rFonts w:ascii="Book Antiqua" w:hAnsi="Book Antiqua"/>
          <w:b/>
          <w:bCs/>
          <w:sz w:val="24"/>
          <w:szCs w:val="28"/>
        </w:rPr>
        <w:t>Helicobacter pylori</w:t>
      </w:r>
      <w:r w:rsidRPr="00B11325">
        <w:rPr>
          <w:rFonts w:ascii="Book Antiqua" w:hAnsi="Book Antiqua" w:cs="Times New Roman"/>
          <w:b/>
          <w:sz w:val="24"/>
          <w:szCs w:val="24"/>
        </w:rPr>
        <w:t xml:space="preserve"> treatment regimens classified by antibiotic combination.</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c</w:t>
      </w:r>
      <w:r w:rsidRPr="002962C3">
        <w:rPr>
          <w:rFonts w:ascii="Book Antiqua" w:hAnsi="Book Antiqua" w:cs="Times New Roman"/>
          <w:i/>
          <w:sz w:val="24"/>
          <w:szCs w:val="24"/>
        </w:rPr>
        <w:t>P</w:t>
      </w:r>
      <w:proofErr w:type="spellEnd"/>
      <w:r w:rsidRPr="002962C3">
        <w:rPr>
          <w:rFonts w:ascii="Book Antiqua" w:hAnsi="Book Antiqua" w:cs="Times New Roman"/>
          <w:i/>
          <w:sz w:val="24"/>
          <w:szCs w:val="24"/>
        </w:rPr>
        <w:t xml:space="preserve"> </w:t>
      </w:r>
      <w:r w:rsidRPr="002962C3">
        <w:rPr>
          <w:rFonts w:ascii="Book Antiqua" w:hAnsi="Book Antiqua" w:cs="Times New Roman"/>
          <w:sz w:val="24"/>
          <w:szCs w:val="24"/>
        </w:rPr>
        <w:t>&lt; 0.001 compar</w:t>
      </w:r>
      <w:r>
        <w:rPr>
          <w:rFonts w:ascii="Book Antiqua" w:hAnsi="Book Antiqua" w:cs="Times New Roman"/>
          <w:sz w:val="24"/>
          <w:szCs w:val="24"/>
        </w:rPr>
        <w:t>ed</w:t>
      </w:r>
      <w:r w:rsidRPr="002962C3">
        <w:rPr>
          <w:rFonts w:ascii="Book Antiqua" w:hAnsi="Book Antiqua" w:cs="Times New Roman"/>
          <w:sz w:val="24"/>
          <w:szCs w:val="24"/>
        </w:rPr>
        <w:t xml:space="preserve"> </w:t>
      </w:r>
      <w:r>
        <w:rPr>
          <w:rFonts w:ascii="Book Antiqua" w:hAnsi="Book Antiqua" w:cs="Times New Roman"/>
          <w:sz w:val="24"/>
          <w:szCs w:val="24"/>
        </w:rPr>
        <w:t>with</w:t>
      </w:r>
      <w:r w:rsidRPr="002962C3">
        <w:rPr>
          <w:rFonts w:ascii="Book Antiqua" w:hAnsi="Book Antiqua" w:cs="Times New Roman"/>
          <w:sz w:val="24"/>
          <w:szCs w:val="24"/>
        </w:rPr>
        <w:t xml:space="preserve"> </w:t>
      </w:r>
      <w:r>
        <w:rPr>
          <w:rFonts w:ascii="Book Antiqua" w:hAnsi="Book Antiqua" w:cs="Times New Roman"/>
          <w:sz w:val="24"/>
          <w:szCs w:val="24"/>
        </w:rPr>
        <w:t xml:space="preserve">the </w:t>
      </w:r>
      <w:r w:rsidRPr="002962C3">
        <w:rPr>
          <w:rFonts w:ascii="Book Antiqua" w:hAnsi="Book Antiqua" w:cs="Times New Roman"/>
          <w:sz w:val="24"/>
          <w:szCs w:val="24"/>
        </w:rPr>
        <w:t>regimen containing amoxicillin plus clarithromycin.</w:t>
      </w:r>
    </w:p>
    <w:p w14:paraId="6A456C75" w14:textId="1D1236CC" w:rsidR="00F1462E" w:rsidRPr="002962C3" w:rsidRDefault="00F1462E" w:rsidP="00193349">
      <w:pPr>
        <w:spacing w:line="360" w:lineRule="auto"/>
        <w:rPr>
          <w:rFonts w:ascii="Book Antiqua" w:hAnsi="Book Antiqua" w:cs="Times New Roman"/>
          <w:sz w:val="24"/>
          <w:szCs w:val="24"/>
        </w:rPr>
      </w:pPr>
      <w:r>
        <w:rPr>
          <w:rFonts w:ascii="Book Antiqua" w:eastAsia="宋体" w:hAnsi="Book Antiqua" w:cs="Times New Roman"/>
          <w:sz w:val="24"/>
          <w:szCs w:val="24"/>
        </w:rPr>
        <w:br w:type="page"/>
      </w:r>
      <w:r w:rsidR="00531AF3">
        <w:rPr>
          <w:noProof/>
        </w:rPr>
        <w:lastRenderedPageBreak/>
        <w:drawing>
          <wp:inline distT="0" distB="0" distL="0" distR="0" wp14:anchorId="5ECCEDB3" wp14:editId="36ECF5FE">
            <wp:extent cx="5274310" cy="35706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570605"/>
                    </a:xfrm>
                    <a:prstGeom prst="rect">
                      <a:avLst/>
                    </a:prstGeom>
                  </pic:spPr>
                </pic:pic>
              </a:graphicData>
            </a:graphic>
          </wp:inline>
        </w:drawing>
      </w:r>
    </w:p>
    <w:p w14:paraId="177753C2" w14:textId="57D4FEEF" w:rsidR="00D57159" w:rsidRPr="00D57159" w:rsidRDefault="00F1462E" w:rsidP="00193349">
      <w:pPr>
        <w:spacing w:line="360" w:lineRule="auto"/>
        <w:rPr>
          <w:rFonts w:ascii="Book Antiqua" w:hAnsi="Book Antiqua" w:cs="Times New Roman"/>
          <w:b/>
          <w:sz w:val="24"/>
          <w:szCs w:val="24"/>
        </w:rPr>
      </w:pPr>
      <w:r w:rsidRPr="002962C3">
        <w:rPr>
          <w:rFonts w:ascii="Book Antiqua" w:hAnsi="Book Antiqua" w:cs="Times New Roman"/>
          <w:b/>
          <w:sz w:val="24"/>
          <w:szCs w:val="24"/>
        </w:rPr>
        <w:t xml:space="preserve">Figure 3 </w:t>
      </w:r>
      <w:r w:rsidRPr="00B11325">
        <w:rPr>
          <w:rFonts w:ascii="Book Antiqua" w:hAnsi="Book Antiqua" w:cs="Times New Roman"/>
          <w:b/>
          <w:sz w:val="24"/>
          <w:szCs w:val="24"/>
        </w:rPr>
        <w:t>Eradication rates in specific patient age ranges.</w:t>
      </w:r>
    </w:p>
    <w:p w14:paraId="3D80010C" w14:textId="2144FF47" w:rsidR="00F1462E" w:rsidRDefault="00F1462E" w:rsidP="00193349">
      <w:pPr>
        <w:widowControl/>
        <w:jc w:val="left"/>
        <w:rPr>
          <w:rFonts w:ascii="Book Antiqua" w:eastAsia="宋体" w:hAnsi="Book Antiqua" w:cs="Times New Roman"/>
          <w:sz w:val="24"/>
          <w:szCs w:val="24"/>
        </w:rPr>
      </w:pPr>
      <w:r>
        <w:rPr>
          <w:rFonts w:ascii="Book Antiqua" w:eastAsia="宋体" w:hAnsi="Book Antiqua" w:cs="Times New Roman"/>
          <w:sz w:val="24"/>
          <w:szCs w:val="24"/>
        </w:rPr>
        <w:br w:type="page"/>
      </w:r>
    </w:p>
    <w:p w14:paraId="6F020235" w14:textId="734FE1D6" w:rsidR="00D57159" w:rsidRPr="00D57159" w:rsidRDefault="00D57159" w:rsidP="00A5633C">
      <w:pPr>
        <w:widowControl/>
        <w:snapToGrid w:val="0"/>
        <w:spacing w:line="360" w:lineRule="auto"/>
        <w:rPr>
          <w:rFonts w:ascii="Book Antiqua" w:eastAsia="宋体" w:hAnsi="Book Antiqua" w:cs="Times New Roman"/>
          <w:b/>
          <w:bCs/>
          <w:sz w:val="24"/>
          <w:szCs w:val="24"/>
        </w:rPr>
      </w:pPr>
      <w:bookmarkStart w:id="1" w:name="_Hlk46482636"/>
      <w:r w:rsidRPr="00D57159">
        <w:rPr>
          <w:rFonts w:ascii="Book Antiqua" w:eastAsia="宋体" w:hAnsi="Book Antiqua" w:cs="Times New Roman"/>
          <w:b/>
          <w:bCs/>
          <w:sz w:val="24"/>
          <w:szCs w:val="24"/>
        </w:rPr>
        <w:lastRenderedPageBreak/>
        <w:t xml:space="preserve">Table 1 Demographic and clinical characteristics of patients with </w:t>
      </w:r>
      <w:r w:rsidRPr="00D11088">
        <w:rPr>
          <w:rFonts w:ascii="Book Antiqua" w:eastAsia="宋体" w:hAnsi="Book Antiqua" w:cs="Times New Roman"/>
          <w:b/>
          <w:bCs/>
          <w:i/>
          <w:sz w:val="24"/>
          <w:szCs w:val="24"/>
        </w:rPr>
        <w:t>Helicobacter pylori</w:t>
      </w:r>
      <w:r w:rsidRPr="00D57159">
        <w:rPr>
          <w:rFonts w:ascii="Book Antiqua" w:eastAsia="宋体" w:hAnsi="Book Antiqua" w:cs="Times New Roman"/>
          <w:b/>
          <w:bCs/>
          <w:sz w:val="24"/>
          <w:szCs w:val="24"/>
        </w:rPr>
        <w:t xml:space="preserve"> infection</w:t>
      </w:r>
    </w:p>
    <w:tbl>
      <w:tblPr>
        <w:tblStyle w:val="1"/>
        <w:tblpPr w:leftFromText="180" w:rightFromText="180" w:vertAnchor="page" w:horzAnchor="margin" w:tblpY="2317"/>
        <w:tblW w:w="8422"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196"/>
        <w:gridCol w:w="2174"/>
        <w:gridCol w:w="2052"/>
      </w:tblGrid>
      <w:tr w:rsidR="00D57159" w:rsidRPr="0016373D" w14:paraId="497487D1" w14:textId="77777777" w:rsidTr="00071784">
        <w:trPr>
          <w:trHeight w:val="285"/>
        </w:trPr>
        <w:tc>
          <w:tcPr>
            <w:tcW w:w="4196" w:type="dxa"/>
            <w:tcBorders>
              <w:top w:val="single" w:sz="4" w:space="0" w:color="auto"/>
              <w:bottom w:val="single" w:sz="4" w:space="0" w:color="auto"/>
            </w:tcBorders>
            <w:shd w:val="clear" w:color="auto" w:fill="FFFFFF" w:themeFill="background1"/>
          </w:tcPr>
          <w:p w14:paraId="5493B751" w14:textId="394C9944" w:rsidR="00D57159" w:rsidRPr="0016373D" w:rsidRDefault="00D57159" w:rsidP="00107FF8">
            <w:pPr>
              <w:spacing w:line="360" w:lineRule="auto"/>
              <w:rPr>
                <w:rFonts w:ascii="Book Antiqua" w:eastAsia="宋体" w:hAnsi="Book Antiqua" w:cs="Times New Roman"/>
                <w:b/>
                <w:sz w:val="24"/>
                <w:szCs w:val="24"/>
              </w:rPr>
            </w:pPr>
            <w:bookmarkStart w:id="2" w:name="_Hlk46482645"/>
            <w:bookmarkEnd w:id="1"/>
            <w:r w:rsidRPr="0016373D">
              <w:rPr>
                <w:rFonts w:ascii="Book Antiqua" w:eastAsia="宋体" w:hAnsi="Book Antiqua" w:cs="Times New Roman"/>
                <w:b/>
                <w:sz w:val="24"/>
                <w:szCs w:val="24"/>
              </w:rPr>
              <w:t>Variable</w:t>
            </w:r>
          </w:p>
        </w:tc>
        <w:tc>
          <w:tcPr>
            <w:tcW w:w="2174" w:type="dxa"/>
            <w:tcBorders>
              <w:top w:val="single" w:sz="4" w:space="0" w:color="auto"/>
              <w:bottom w:val="single" w:sz="4" w:space="0" w:color="auto"/>
            </w:tcBorders>
            <w:shd w:val="clear" w:color="auto" w:fill="FFFFFF" w:themeFill="background1"/>
          </w:tcPr>
          <w:p w14:paraId="41EC8647" w14:textId="77777777" w:rsidR="00D57159" w:rsidRPr="0016373D" w:rsidRDefault="00D57159"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Cases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2052" w:type="dxa"/>
            <w:tcBorders>
              <w:top w:val="single" w:sz="4" w:space="0" w:color="auto"/>
              <w:bottom w:val="single" w:sz="4" w:space="0" w:color="auto"/>
            </w:tcBorders>
            <w:shd w:val="clear" w:color="auto" w:fill="FFFFFF" w:themeFill="background1"/>
          </w:tcPr>
          <w:p w14:paraId="29E82231" w14:textId="77777777" w:rsidR="00D57159" w:rsidRPr="0016373D" w:rsidRDefault="00D57159"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Percentage</w:t>
            </w:r>
          </w:p>
        </w:tc>
      </w:tr>
      <w:tr w:rsidR="00D57159" w:rsidRPr="0016373D" w14:paraId="511E63D8" w14:textId="77777777" w:rsidTr="00071784">
        <w:trPr>
          <w:trHeight w:val="285"/>
        </w:trPr>
        <w:tc>
          <w:tcPr>
            <w:tcW w:w="4196" w:type="dxa"/>
            <w:tcBorders>
              <w:top w:val="single" w:sz="4" w:space="0" w:color="auto"/>
            </w:tcBorders>
            <w:shd w:val="clear" w:color="auto" w:fill="FFFFFF" w:themeFill="background1"/>
          </w:tcPr>
          <w:p w14:paraId="168B4AD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Overall cases</w:t>
            </w:r>
          </w:p>
        </w:tc>
        <w:tc>
          <w:tcPr>
            <w:tcW w:w="2174" w:type="dxa"/>
            <w:tcBorders>
              <w:top w:val="single" w:sz="4" w:space="0" w:color="auto"/>
            </w:tcBorders>
            <w:shd w:val="clear" w:color="auto" w:fill="FFFFFF" w:themeFill="background1"/>
          </w:tcPr>
          <w:p w14:paraId="78C32C36"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2610</w:t>
            </w:r>
          </w:p>
        </w:tc>
        <w:tc>
          <w:tcPr>
            <w:tcW w:w="2052" w:type="dxa"/>
            <w:tcBorders>
              <w:top w:val="single" w:sz="4" w:space="0" w:color="auto"/>
            </w:tcBorders>
            <w:shd w:val="clear" w:color="auto" w:fill="FFFFFF" w:themeFill="background1"/>
          </w:tcPr>
          <w:p w14:paraId="72841B76"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0D985673" w14:textId="77777777" w:rsidTr="00071784">
        <w:trPr>
          <w:trHeight w:val="285"/>
        </w:trPr>
        <w:tc>
          <w:tcPr>
            <w:tcW w:w="4196" w:type="dxa"/>
            <w:shd w:val="clear" w:color="auto" w:fill="FFFFFF" w:themeFill="background1"/>
          </w:tcPr>
          <w:p w14:paraId="15E9378E"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Gender</w:t>
            </w:r>
          </w:p>
        </w:tc>
        <w:tc>
          <w:tcPr>
            <w:tcW w:w="2174" w:type="dxa"/>
            <w:shd w:val="clear" w:color="auto" w:fill="FFFFFF" w:themeFill="background1"/>
          </w:tcPr>
          <w:p w14:paraId="2F04ED26"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FFFFFF" w:themeFill="background1"/>
          </w:tcPr>
          <w:p w14:paraId="6B0A84DF"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317F5DD6" w14:textId="77777777" w:rsidTr="00071784">
        <w:trPr>
          <w:trHeight w:val="285"/>
        </w:trPr>
        <w:tc>
          <w:tcPr>
            <w:tcW w:w="4196" w:type="dxa"/>
            <w:shd w:val="clear" w:color="auto" w:fill="FFFFFF" w:themeFill="background1"/>
          </w:tcPr>
          <w:p w14:paraId="283941EF"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Male</w:t>
            </w:r>
          </w:p>
        </w:tc>
        <w:tc>
          <w:tcPr>
            <w:tcW w:w="2174" w:type="dxa"/>
            <w:shd w:val="clear" w:color="auto" w:fill="FFFFFF" w:themeFill="background1"/>
          </w:tcPr>
          <w:p w14:paraId="37A3449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1088</w:t>
            </w:r>
          </w:p>
        </w:tc>
        <w:tc>
          <w:tcPr>
            <w:tcW w:w="2052" w:type="dxa"/>
            <w:shd w:val="clear" w:color="auto" w:fill="FFFFFF" w:themeFill="background1"/>
          </w:tcPr>
          <w:p w14:paraId="0D8B3BB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41.7%</w:t>
            </w:r>
          </w:p>
        </w:tc>
      </w:tr>
      <w:tr w:rsidR="00D57159" w:rsidRPr="0016373D" w14:paraId="42042142" w14:textId="77777777" w:rsidTr="00071784">
        <w:trPr>
          <w:trHeight w:val="285"/>
        </w:trPr>
        <w:tc>
          <w:tcPr>
            <w:tcW w:w="4196" w:type="dxa"/>
            <w:shd w:val="clear" w:color="auto" w:fill="FFFFFF" w:themeFill="background1"/>
          </w:tcPr>
          <w:p w14:paraId="7E3F999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Female</w:t>
            </w:r>
          </w:p>
        </w:tc>
        <w:tc>
          <w:tcPr>
            <w:tcW w:w="2174" w:type="dxa"/>
            <w:shd w:val="clear" w:color="auto" w:fill="FFFFFF" w:themeFill="background1"/>
          </w:tcPr>
          <w:p w14:paraId="68F4B85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1522</w:t>
            </w:r>
          </w:p>
        </w:tc>
        <w:tc>
          <w:tcPr>
            <w:tcW w:w="2052" w:type="dxa"/>
            <w:shd w:val="clear" w:color="auto" w:fill="FFFFFF" w:themeFill="background1"/>
          </w:tcPr>
          <w:p w14:paraId="0F516E6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58.3%</w:t>
            </w:r>
          </w:p>
        </w:tc>
      </w:tr>
      <w:tr w:rsidR="00D57159" w:rsidRPr="0016373D" w14:paraId="08255221" w14:textId="77777777" w:rsidTr="00071784">
        <w:trPr>
          <w:trHeight w:val="285"/>
        </w:trPr>
        <w:tc>
          <w:tcPr>
            <w:tcW w:w="4196" w:type="dxa"/>
            <w:shd w:val="clear" w:color="auto" w:fill="FFFFFF" w:themeFill="background1"/>
          </w:tcPr>
          <w:p w14:paraId="337CA64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Age, range (</w:t>
            </w:r>
            <w:proofErr w:type="spellStart"/>
            <w:r w:rsidRPr="0016373D">
              <w:rPr>
                <w:rFonts w:ascii="Book Antiqua" w:eastAsia="宋体" w:hAnsi="Book Antiqua" w:cs="Times New Roman"/>
                <w:sz w:val="24"/>
                <w:szCs w:val="24"/>
              </w:rPr>
              <w:t>yr</w:t>
            </w:r>
            <w:proofErr w:type="spellEnd"/>
            <w:r w:rsidRPr="0016373D">
              <w:rPr>
                <w:rFonts w:ascii="Book Antiqua" w:eastAsia="宋体" w:hAnsi="Book Antiqua" w:cs="Times New Roman"/>
                <w:sz w:val="24"/>
                <w:szCs w:val="24"/>
              </w:rPr>
              <w:t>)</w:t>
            </w:r>
          </w:p>
        </w:tc>
        <w:tc>
          <w:tcPr>
            <w:tcW w:w="2174" w:type="dxa"/>
            <w:shd w:val="clear" w:color="auto" w:fill="FFFFFF" w:themeFill="background1"/>
          </w:tcPr>
          <w:p w14:paraId="50041908"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FFFFFF" w:themeFill="background1"/>
          </w:tcPr>
          <w:p w14:paraId="484131EE"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1B8AEA9F" w14:textId="77777777" w:rsidTr="00071784">
        <w:trPr>
          <w:trHeight w:val="285"/>
        </w:trPr>
        <w:tc>
          <w:tcPr>
            <w:tcW w:w="4196" w:type="dxa"/>
            <w:shd w:val="clear" w:color="auto" w:fill="FFFFFF" w:themeFill="background1"/>
          </w:tcPr>
          <w:p w14:paraId="1ACC6739"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&lt; 30</w:t>
            </w:r>
          </w:p>
        </w:tc>
        <w:tc>
          <w:tcPr>
            <w:tcW w:w="2174" w:type="dxa"/>
            <w:shd w:val="clear" w:color="auto" w:fill="FFFFFF" w:themeFill="background1"/>
          </w:tcPr>
          <w:p w14:paraId="2EA0C82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582</w:t>
            </w:r>
          </w:p>
        </w:tc>
        <w:tc>
          <w:tcPr>
            <w:tcW w:w="2052" w:type="dxa"/>
            <w:shd w:val="clear" w:color="auto" w:fill="FFFFFF" w:themeFill="background1"/>
          </w:tcPr>
          <w:p w14:paraId="692A6C55"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22.3%</w:t>
            </w:r>
          </w:p>
        </w:tc>
      </w:tr>
      <w:tr w:rsidR="00D57159" w:rsidRPr="0016373D" w14:paraId="2CDEBDA1" w14:textId="77777777" w:rsidTr="00071784">
        <w:trPr>
          <w:trHeight w:val="285"/>
        </w:trPr>
        <w:tc>
          <w:tcPr>
            <w:tcW w:w="4196" w:type="dxa"/>
            <w:shd w:val="clear" w:color="auto" w:fill="FFFFFF" w:themeFill="background1"/>
          </w:tcPr>
          <w:p w14:paraId="3B57A543"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30-40</w:t>
            </w:r>
          </w:p>
        </w:tc>
        <w:tc>
          <w:tcPr>
            <w:tcW w:w="2174" w:type="dxa"/>
            <w:shd w:val="clear" w:color="auto" w:fill="FFFFFF" w:themeFill="background1"/>
          </w:tcPr>
          <w:p w14:paraId="2C6BCA77"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576</w:t>
            </w:r>
          </w:p>
        </w:tc>
        <w:tc>
          <w:tcPr>
            <w:tcW w:w="2052" w:type="dxa"/>
            <w:shd w:val="clear" w:color="auto" w:fill="FFFFFF" w:themeFill="background1"/>
          </w:tcPr>
          <w:p w14:paraId="3E4309E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22.1%</w:t>
            </w:r>
          </w:p>
        </w:tc>
      </w:tr>
      <w:tr w:rsidR="00D57159" w:rsidRPr="0016373D" w14:paraId="47DEE3A6" w14:textId="77777777" w:rsidTr="00071784">
        <w:trPr>
          <w:trHeight w:val="285"/>
        </w:trPr>
        <w:tc>
          <w:tcPr>
            <w:tcW w:w="4196" w:type="dxa"/>
            <w:shd w:val="clear" w:color="auto" w:fill="FFFFFF" w:themeFill="background1"/>
          </w:tcPr>
          <w:p w14:paraId="781D888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40-50</w:t>
            </w:r>
          </w:p>
        </w:tc>
        <w:tc>
          <w:tcPr>
            <w:tcW w:w="2174" w:type="dxa"/>
            <w:shd w:val="clear" w:color="auto" w:fill="FFFFFF" w:themeFill="background1"/>
          </w:tcPr>
          <w:p w14:paraId="200A8D7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478</w:t>
            </w:r>
          </w:p>
        </w:tc>
        <w:tc>
          <w:tcPr>
            <w:tcW w:w="2052" w:type="dxa"/>
            <w:shd w:val="clear" w:color="auto" w:fill="FFFFFF" w:themeFill="background1"/>
          </w:tcPr>
          <w:p w14:paraId="4FE2B8F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18.3%</w:t>
            </w:r>
          </w:p>
        </w:tc>
      </w:tr>
      <w:tr w:rsidR="00D57159" w:rsidRPr="0016373D" w14:paraId="7FD9ACE6" w14:textId="77777777" w:rsidTr="00071784">
        <w:trPr>
          <w:trHeight w:val="285"/>
        </w:trPr>
        <w:tc>
          <w:tcPr>
            <w:tcW w:w="4196" w:type="dxa"/>
            <w:shd w:val="clear" w:color="auto" w:fill="FFFFFF" w:themeFill="background1"/>
          </w:tcPr>
          <w:p w14:paraId="4CD0442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50-60</w:t>
            </w:r>
          </w:p>
        </w:tc>
        <w:tc>
          <w:tcPr>
            <w:tcW w:w="2174" w:type="dxa"/>
            <w:shd w:val="clear" w:color="auto" w:fill="FFFFFF" w:themeFill="background1"/>
          </w:tcPr>
          <w:p w14:paraId="6CD4494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528</w:t>
            </w:r>
          </w:p>
        </w:tc>
        <w:tc>
          <w:tcPr>
            <w:tcW w:w="2052" w:type="dxa"/>
            <w:shd w:val="clear" w:color="auto" w:fill="FFFFFF" w:themeFill="background1"/>
          </w:tcPr>
          <w:p w14:paraId="270B842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20.2%</w:t>
            </w:r>
          </w:p>
        </w:tc>
      </w:tr>
      <w:tr w:rsidR="00D57159" w:rsidRPr="0016373D" w14:paraId="4269DE36" w14:textId="77777777" w:rsidTr="00071784">
        <w:trPr>
          <w:trHeight w:val="285"/>
        </w:trPr>
        <w:tc>
          <w:tcPr>
            <w:tcW w:w="4196" w:type="dxa"/>
            <w:shd w:val="clear" w:color="auto" w:fill="FFFFFF" w:themeFill="background1"/>
          </w:tcPr>
          <w:p w14:paraId="5CCAE08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&gt; 60</w:t>
            </w:r>
          </w:p>
        </w:tc>
        <w:tc>
          <w:tcPr>
            <w:tcW w:w="2174" w:type="dxa"/>
            <w:shd w:val="clear" w:color="auto" w:fill="FFFFFF" w:themeFill="background1"/>
          </w:tcPr>
          <w:p w14:paraId="6E136C8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446</w:t>
            </w:r>
          </w:p>
        </w:tc>
        <w:tc>
          <w:tcPr>
            <w:tcW w:w="2052" w:type="dxa"/>
            <w:shd w:val="clear" w:color="auto" w:fill="FFFFFF" w:themeFill="background1"/>
          </w:tcPr>
          <w:p w14:paraId="7A379C0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17.1%</w:t>
            </w:r>
          </w:p>
        </w:tc>
      </w:tr>
      <w:tr w:rsidR="00D57159" w:rsidRPr="0016373D" w14:paraId="36CFB026" w14:textId="77777777" w:rsidTr="00071784">
        <w:trPr>
          <w:trHeight w:val="285"/>
        </w:trPr>
        <w:tc>
          <w:tcPr>
            <w:tcW w:w="4196" w:type="dxa"/>
            <w:shd w:val="clear" w:color="auto" w:fill="FFFFFF" w:themeFill="background1"/>
          </w:tcPr>
          <w:p w14:paraId="727E8878" w14:textId="4AA097C0" w:rsidR="00D57159" w:rsidRPr="0016373D" w:rsidRDefault="00D57159" w:rsidP="008906CC">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Chief </w:t>
            </w:r>
            <w:r w:rsidR="009B57E5">
              <w:rPr>
                <w:rFonts w:ascii="Book Antiqua" w:eastAsia="宋体" w:hAnsi="Book Antiqua" w:cs="Times New Roman"/>
                <w:sz w:val="24"/>
                <w:szCs w:val="24"/>
              </w:rPr>
              <w:t>c</w:t>
            </w:r>
            <w:r w:rsidR="009B57E5" w:rsidRPr="0016373D">
              <w:rPr>
                <w:rFonts w:ascii="Book Antiqua" w:eastAsia="宋体" w:hAnsi="Book Antiqua" w:cs="Times New Roman"/>
                <w:sz w:val="24"/>
                <w:szCs w:val="24"/>
              </w:rPr>
              <w:t>omplaint</w:t>
            </w:r>
          </w:p>
        </w:tc>
        <w:tc>
          <w:tcPr>
            <w:tcW w:w="2174" w:type="dxa"/>
            <w:shd w:val="clear" w:color="auto" w:fill="FFFFFF" w:themeFill="background1"/>
          </w:tcPr>
          <w:p w14:paraId="7B464F0A"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FFFFFF" w:themeFill="background1"/>
          </w:tcPr>
          <w:p w14:paraId="53531EC1"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39BDF991" w14:textId="77777777" w:rsidTr="00071784">
        <w:trPr>
          <w:trHeight w:val="285"/>
        </w:trPr>
        <w:tc>
          <w:tcPr>
            <w:tcW w:w="4196" w:type="dxa"/>
            <w:shd w:val="clear" w:color="auto" w:fill="FFFFFF" w:themeFill="background1"/>
          </w:tcPr>
          <w:p w14:paraId="58A57A12"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Upper abdominal pain</w:t>
            </w:r>
          </w:p>
        </w:tc>
        <w:tc>
          <w:tcPr>
            <w:tcW w:w="2174" w:type="dxa"/>
            <w:shd w:val="clear" w:color="auto" w:fill="FFFFFF" w:themeFill="background1"/>
          </w:tcPr>
          <w:p w14:paraId="5F48DD54"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406</w:t>
            </w:r>
          </w:p>
        </w:tc>
        <w:tc>
          <w:tcPr>
            <w:tcW w:w="2052" w:type="dxa"/>
            <w:shd w:val="clear" w:color="auto" w:fill="FFFFFF" w:themeFill="background1"/>
          </w:tcPr>
          <w:p w14:paraId="095FC2B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15.6%</w:t>
            </w:r>
          </w:p>
        </w:tc>
      </w:tr>
      <w:tr w:rsidR="00D57159" w:rsidRPr="0016373D" w14:paraId="47E20D8E" w14:textId="77777777" w:rsidTr="00071784">
        <w:trPr>
          <w:trHeight w:val="285"/>
        </w:trPr>
        <w:tc>
          <w:tcPr>
            <w:tcW w:w="4196" w:type="dxa"/>
            <w:shd w:val="clear" w:color="auto" w:fill="FFFFFF" w:themeFill="background1"/>
          </w:tcPr>
          <w:p w14:paraId="481BF8A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Abdominal distension</w:t>
            </w:r>
          </w:p>
        </w:tc>
        <w:tc>
          <w:tcPr>
            <w:tcW w:w="2174" w:type="dxa"/>
            <w:shd w:val="clear" w:color="auto" w:fill="FFFFFF" w:themeFill="background1"/>
          </w:tcPr>
          <w:p w14:paraId="741F1BB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643</w:t>
            </w:r>
          </w:p>
        </w:tc>
        <w:tc>
          <w:tcPr>
            <w:tcW w:w="2052" w:type="dxa"/>
            <w:shd w:val="clear" w:color="auto" w:fill="FFFFFF" w:themeFill="background1"/>
          </w:tcPr>
          <w:p w14:paraId="6877681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24.6%</w:t>
            </w:r>
          </w:p>
        </w:tc>
      </w:tr>
      <w:tr w:rsidR="00D57159" w:rsidRPr="0016373D" w14:paraId="5865B589" w14:textId="77777777" w:rsidTr="00071784">
        <w:trPr>
          <w:trHeight w:val="285"/>
        </w:trPr>
        <w:tc>
          <w:tcPr>
            <w:tcW w:w="4196" w:type="dxa"/>
            <w:shd w:val="clear" w:color="auto" w:fill="FFFFFF" w:themeFill="background1"/>
          </w:tcPr>
          <w:p w14:paraId="462EE57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Nausea</w:t>
            </w:r>
          </w:p>
        </w:tc>
        <w:tc>
          <w:tcPr>
            <w:tcW w:w="2174" w:type="dxa"/>
            <w:shd w:val="clear" w:color="auto" w:fill="FFFFFF" w:themeFill="background1"/>
          </w:tcPr>
          <w:p w14:paraId="1024E64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138</w:t>
            </w:r>
          </w:p>
        </w:tc>
        <w:tc>
          <w:tcPr>
            <w:tcW w:w="2052" w:type="dxa"/>
            <w:shd w:val="clear" w:color="auto" w:fill="FFFFFF" w:themeFill="background1"/>
          </w:tcPr>
          <w:p w14:paraId="72A2536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5.3%</w:t>
            </w:r>
          </w:p>
        </w:tc>
      </w:tr>
      <w:tr w:rsidR="00D57159" w:rsidRPr="0016373D" w14:paraId="59FC5752" w14:textId="77777777" w:rsidTr="00071784">
        <w:trPr>
          <w:trHeight w:val="285"/>
        </w:trPr>
        <w:tc>
          <w:tcPr>
            <w:tcW w:w="4196" w:type="dxa"/>
            <w:shd w:val="clear" w:color="auto" w:fill="FFFFFF" w:themeFill="background1"/>
          </w:tcPr>
          <w:p w14:paraId="50F2280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Acid regurgitation or heartburn</w:t>
            </w:r>
          </w:p>
        </w:tc>
        <w:tc>
          <w:tcPr>
            <w:tcW w:w="2174" w:type="dxa"/>
            <w:shd w:val="clear" w:color="auto" w:fill="FFFFFF" w:themeFill="background1"/>
          </w:tcPr>
          <w:p w14:paraId="74F58308"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250</w:t>
            </w:r>
          </w:p>
        </w:tc>
        <w:tc>
          <w:tcPr>
            <w:tcW w:w="2052" w:type="dxa"/>
            <w:shd w:val="clear" w:color="auto" w:fill="FFFFFF" w:themeFill="background1"/>
          </w:tcPr>
          <w:p w14:paraId="09B0AD7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9.6%</w:t>
            </w:r>
          </w:p>
        </w:tc>
      </w:tr>
      <w:tr w:rsidR="00D57159" w:rsidRPr="0016373D" w14:paraId="2384A20A" w14:textId="77777777" w:rsidTr="00071784">
        <w:trPr>
          <w:trHeight w:val="285"/>
        </w:trPr>
        <w:tc>
          <w:tcPr>
            <w:tcW w:w="4196" w:type="dxa"/>
            <w:shd w:val="clear" w:color="auto" w:fill="FFFFFF" w:themeFill="background1"/>
          </w:tcPr>
          <w:p w14:paraId="40AEC67F"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Bitter taste in mouth</w:t>
            </w:r>
          </w:p>
        </w:tc>
        <w:tc>
          <w:tcPr>
            <w:tcW w:w="2174" w:type="dxa"/>
            <w:shd w:val="clear" w:color="auto" w:fill="FFFFFF" w:themeFill="background1"/>
          </w:tcPr>
          <w:p w14:paraId="0C01CA96"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157</w:t>
            </w:r>
          </w:p>
        </w:tc>
        <w:tc>
          <w:tcPr>
            <w:tcW w:w="2052" w:type="dxa"/>
            <w:shd w:val="clear" w:color="auto" w:fill="FFFFFF" w:themeFill="background1"/>
          </w:tcPr>
          <w:p w14:paraId="3BC584CE"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6.0%</w:t>
            </w:r>
          </w:p>
        </w:tc>
      </w:tr>
      <w:tr w:rsidR="00D57159" w:rsidRPr="0016373D" w14:paraId="78076C89" w14:textId="77777777" w:rsidTr="00071784">
        <w:trPr>
          <w:trHeight w:val="285"/>
        </w:trPr>
        <w:tc>
          <w:tcPr>
            <w:tcW w:w="4196" w:type="dxa"/>
            <w:shd w:val="clear" w:color="auto" w:fill="FFFFFF" w:themeFill="background1"/>
          </w:tcPr>
          <w:p w14:paraId="32490CE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Belch</w:t>
            </w:r>
            <w:r>
              <w:rPr>
                <w:rFonts w:ascii="Book Antiqua" w:eastAsia="宋体" w:hAnsi="Book Antiqua" w:cs="Times New Roman"/>
                <w:sz w:val="24"/>
                <w:szCs w:val="24"/>
              </w:rPr>
              <w:t>ing</w:t>
            </w:r>
          </w:p>
        </w:tc>
        <w:tc>
          <w:tcPr>
            <w:tcW w:w="2174" w:type="dxa"/>
            <w:shd w:val="clear" w:color="auto" w:fill="FFFFFF" w:themeFill="background1"/>
          </w:tcPr>
          <w:p w14:paraId="37801D3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224</w:t>
            </w:r>
          </w:p>
        </w:tc>
        <w:tc>
          <w:tcPr>
            <w:tcW w:w="2052" w:type="dxa"/>
            <w:shd w:val="clear" w:color="auto" w:fill="FFFFFF" w:themeFill="background1"/>
          </w:tcPr>
          <w:p w14:paraId="48EE463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8.6%</w:t>
            </w:r>
          </w:p>
        </w:tc>
      </w:tr>
      <w:tr w:rsidR="00D57159" w:rsidRPr="0016373D" w14:paraId="2DCADDEF" w14:textId="77777777" w:rsidTr="00071784">
        <w:trPr>
          <w:trHeight w:val="285"/>
        </w:trPr>
        <w:tc>
          <w:tcPr>
            <w:tcW w:w="4196" w:type="dxa"/>
            <w:shd w:val="clear" w:color="auto" w:fill="FFFFFF" w:themeFill="background1"/>
          </w:tcPr>
          <w:p w14:paraId="4FDBC07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Increased stool frequency</w:t>
            </w:r>
          </w:p>
        </w:tc>
        <w:tc>
          <w:tcPr>
            <w:tcW w:w="2174" w:type="dxa"/>
            <w:shd w:val="clear" w:color="auto" w:fill="FFFFFF" w:themeFill="background1"/>
          </w:tcPr>
          <w:p w14:paraId="3C72DF35"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143</w:t>
            </w:r>
          </w:p>
        </w:tc>
        <w:tc>
          <w:tcPr>
            <w:tcW w:w="2052" w:type="dxa"/>
            <w:shd w:val="clear" w:color="auto" w:fill="FFFFFF" w:themeFill="background1"/>
          </w:tcPr>
          <w:p w14:paraId="1DE9CF85"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5.5%</w:t>
            </w:r>
          </w:p>
        </w:tc>
      </w:tr>
      <w:tr w:rsidR="00D57159" w:rsidRPr="0016373D" w14:paraId="4E105872" w14:textId="77777777" w:rsidTr="00071784">
        <w:trPr>
          <w:trHeight w:val="285"/>
        </w:trPr>
        <w:tc>
          <w:tcPr>
            <w:tcW w:w="4196" w:type="dxa"/>
            <w:shd w:val="clear" w:color="auto" w:fill="FFFFFF" w:themeFill="background1"/>
          </w:tcPr>
          <w:p w14:paraId="5AB0F1A4"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Others</w:t>
            </w:r>
          </w:p>
        </w:tc>
        <w:tc>
          <w:tcPr>
            <w:tcW w:w="2174" w:type="dxa"/>
            <w:shd w:val="clear" w:color="auto" w:fill="FFFFFF" w:themeFill="background1"/>
          </w:tcPr>
          <w:p w14:paraId="5132F5E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152</w:t>
            </w:r>
          </w:p>
        </w:tc>
        <w:tc>
          <w:tcPr>
            <w:tcW w:w="2052" w:type="dxa"/>
            <w:shd w:val="clear" w:color="auto" w:fill="FFFFFF" w:themeFill="background1"/>
          </w:tcPr>
          <w:p w14:paraId="2B11344E"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5.8%</w:t>
            </w:r>
          </w:p>
        </w:tc>
      </w:tr>
      <w:tr w:rsidR="00D57159" w:rsidRPr="0016373D" w14:paraId="09FE6395" w14:textId="77777777" w:rsidTr="00071784">
        <w:trPr>
          <w:trHeight w:val="285"/>
        </w:trPr>
        <w:tc>
          <w:tcPr>
            <w:tcW w:w="4196" w:type="dxa"/>
            <w:shd w:val="clear" w:color="auto" w:fill="FFFFFF" w:themeFill="background1"/>
          </w:tcPr>
          <w:p w14:paraId="641DEB86"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No symptoms</w:t>
            </w:r>
          </w:p>
        </w:tc>
        <w:tc>
          <w:tcPr>
            <w:tcW w:w="2174" w:type="dxa"/>
            <w:shd w:val="clear" w:color="auto" w:fill="FFFFFF" w:themeFill="background1"/>
          </w:tcPr>
          <w:p w14:paraId="6AE152E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1309</w:t>
            </w:r>
          </w:p>
        </w:tc>
        <w:tc>
          <w:tcPr>
            <w:tcW w:w="2052" w:type="dxa"/>
            <w:shd w:val="clear" w:color="auto" w:fill="FFFFFF" w:themeFill="background1"/>
          </w:tcPr>
          <w:p w14:paraId="6136AFAD"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50.2%</w:t>
            </w:r>
          </w:p>
        </w:tc>
      </w:tr>
      <w:tr w:rsidR="00D57159" w:rsidRPr="0016373D" w14:paraId="180343F7" w14:textId="77777777" w:rsidTr="00071784">
        <w:trPr>
          <w:trHeight w:val="285"/>
        </w:trPr>
        <w:tc>
          <w:tcPr>
            <w:tcW w:w="4196" w:type="dxa"/>
            <w:shd w:val="clear" w:color="auto" w:fill="FFFFFF" w:themeFill="background1"/>
          </w:tcPr>
          <w:p w14:paraId="7F3EF589"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Received gastroscopy</w:t>
            </w:r>
          </w:p>
        </w:tc>
        <w:tc>
          <w:tcPr>
            <w:tcW w:w="2174" w:type="dxa"/>
            <w:shd w:val="clear" w:color="auto" w:fill="FFFFFF" w:themeFill="background1"/>
          </w:tcPr>
          <w:p w14:paraId="2D5E81A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1390</w:t>
            </w:r>
          </w:p>
        </w:tc>
        <w:tc>
          <w:tcPr>
            <w:tcW w:w="2052" w:type="dxa"/>
            <w:shd w:val="clear" w:color="auto" w:fill="FFFFFF" w:themeFill="background1"/>
          </w:tcPr>
          <w:p w14:paraId="1D9FD6E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53.3%</w:t>
            </w:r>
          </w:p>
        </w:tc>
      </w:tr>
      <w:tr w:rsidR="00D57159" w:rsidRPr="0016373D" w14:paraId="292A6C55" w14:textId="77777777" w:rsidTr="00071784">
        <w:trPr>
          <w:trHeight w:val="285"/>
        </w:trPr>
        <w:tc>
          <w:tcPr>
            <w:tcW w:w="4196" w:type="dxa"/>
            <w:shd w:val="clear" w:color="auto" w:fill="FFFFFF" w:themeFill="background1"/>
          </w:tcPr>
          <w:p w14:paraId="5053267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Endoscopic and pathological findings </w:t>
            </w:r>
          </w:p>
        </w:tc>
        <w:tc>
          <w:tcPr>
            <w:tcW w:w="2174" w:type="dxa"/>
            <w:shd w:val="clear" w:color="auto" w:fill="FFFFFF" w:themeFill="background1"/>
          </w:tcPr>
          <w:p w14:paraId="20F82F07"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FFFFFF" w:themeFill="background1"/>
          </w:tcPr>
          <w:p w14:paraId="6C30DA0F"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29798DEA" w14:textId="77777777" w:rsidTr="00071784">
        <w:trPr>
          <w:trHeight w:val="285"/>
        </w:trPr>
        <w:tc>
          <w:tcPr>
            <w:tcW w:w="4196" w:type="dxa"/>
            <w:shd w:val="clear" w:color="auto" w:fill="FFFFFF" w:themeFill="background1"/>
          </w:tcPr>
          <w:p w14:paraId="5B8ACE85"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Peptic ulcer</w:t>
            </w:r>
          </w:p>
        </w:tc>
        <w:tc>
          <w:tcPr>
            <w:tcW w:w="2174" w:type="dxa"/>
            <w:shd w:val="clear" w:color="auto" w:fill="FFFFFF" w:themeFill="background1"/>
          </w:tcPr>
          <w:p w14:paraId="7721B5C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244</w:t>
            </w:r>
          </w:p>
        </w:tc>
        <w:tc>
          <w:tcPr>
            <w:tcW w:w="2052" w:type="dxa"/>
            <w:shd w:val="clear" w:color="auto" w:fill="FFFFFF" w:themeFill="background1"/>
          </w:tcPr>
          <w:p w14:paraId="6346AD77"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9.3%</w:t>
            </w:r>
          </w:p>
        </w:tc>
      </w:tr>
      <w:tr w:rsidR="00D57159" w:rsidRPr="0016373D" w14:paraId="228D422D" w14:textId="77777777" w:rsidTr="00071784">
        <w:trPr>
          <w:trHeight w:val="285"/>
        </w:trPr>
        <w:tc>
          <w:tcPr>
            <w:tcW w:w="4196" w:type="dxa"/>
            <w:shd w:val="clear" w:color="auto" w:fill="FFFFFF" w:themeFill="background1"/>
          </w:tcPr>
          <w:p w14:paraId="37462220"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Pre-neoplastic lesions</w:t>
            </w:r>
          </w:p>
        </w:tc>
        <w:tc>
          <w:tcPr>
            <w:tcW w:w="2174" w:type="dxa"/>
            <w:shd w:val="clear" w:color="auto" w:fill="FFFFFF" w:themeFill="background1"/>
          </w:tcPr>
          <w:p w14:paraId="1897F07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416</w:t>
            </w:r>
          </w:p>
        </w:tc>
        <w:tc>
          <w:tcPr>
            <w:tcW w:w="2052" w:type="dxa"/>
            <w:shd w:val="clear" w:color="auto" w:fill="FFFFFF" w:themeFill="background1"/>
          </w:tcPr>
          <w:p w14:paraId="17F163C5"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15.9%</w:t>
            </w:r>
          </w:p>
        </w:tc>
      </w:tr>
      <w:tr w:rsidR="00D57159" w:rsidRPr="0016373D" w14:paraId="76D88BF9" w14:textId="77777777" w:rsidTr="00071784">
        <w:trPr>
          <w:trHeight w:val="285"/>
        </w:trPr>
        <w:tc>
          <w:tcPr>
            <w:tcW w:w="4196" w:type="dxa"/>
            <w:shd w:val="clear" w:color="auto" w:fill="FFFFFF" w:themeFill="background1"/>
          </w:tcPr>
          <w:p w14:paraId="2030886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MALT lymphoma or gastric cancer</w:t>
            </w:r>
          </w:p>
        </w:tc>
        <w:tc>
          <w:tcPr>
            <w:tcW w:w="2174" w:type="dxa"/>
            <w:shd w:val="clear" w:color="auto" w:fill="FFFFFF" w:themeFill="background1"/>
          </w:tcPr>
          <w:p w14:paraId="00EC7E0E"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17</w:t>
            </w:r>
          </w:p>
        </w:tc>
        <w:tc>
          <w:tcPr>
            <w:tcW w:w="2052" w:type="dxa"/>
            <w:shd w:val="clear" w:color="auto" w:fill="FFFFFF" w:themeFill="background1"/>
          </w:tcPr>
          <w:p w14:paraId="0BAC94E3"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0.7%</w:t>
            </w:r>
          </w:p>
        </w:tc>
      </w:tr>
      <w:tr w:rsidR="00D57159" w:rsidRPr="0016373D" w14:paraId="4B6BAA5B" w14:textId="77777777" w:rsidTr="00071784">
        <w:trPr>
          <w:trHeight w:val="285"/>
        </w:trPr>
        <w:tc>
          <w:tcPr>
            <w:tcW w:w="4196" w:type="dxa"/>
            <w:shd w:val="clear" w:color="auto" w:fill="FFFFFF" w:themeFill="background1"/>
          </w:tcPr>
          <w:p w14:paraId="6C7ECE0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lastRenderedPageBreak/>
              <w:t>Eradication attempts</w:t>
            </w:r>
          </w:p>
        </w:tc>
        <w:tc>
          <w:tcPr>
            <w:tcW w:w="2174" w:type="dxa"/>
            <w:shd w:val="clear" w:color="auto" w:fill="FFFFFF" w:themeFill="background1"/>
          </w:tcPr>
          <w:p w14:paraId="57B38AE2" w14:textId="77777777" w:rsidR="00D57159" w:rsidRPr="0016373D" w:rsidRDefault="00D57159" w:rsidP="00107FF8">
            <w:pPr>
              <w:spacing w:line="360" w:lineRule="auto"/>
              <w:rPr>
                <w:rFonts w:ascii="Book Antiqua" w:eastAsia="宋体" w:hAnsi="Book Antiqua" w:cs="Times New Roman"/>
                <w:sz w:val="24"/>
                <w:szCs w:val="24"/>
              </w:rPr>
            </w:pPr>
          </w:p>
        </w:tc>
        <w:tc>
          <w:tcPr>
            <w:tcW w:w="2052" w:type="dxa"/>
            <w:shd w:val="clear" w:color="auto" w:fill="FFFFFF" w:themeFill="background1"/>
          </w:tcPr>
          <w:p w14:paraId="1DE3E8EE" w14:textId="77777777" w:rsidR="00D57159" w:rsidRPr="0016373D" w:rsidRDefault="00D57159" w:rsidP="00107FF8">
            <w:pPr>
              <w:spacing w:line="360" w:lineRule="auto"/>
              <w:rPr>
                <w:rFonts w:ascii="Book Antiqua" w:eastAsia="宋体" w:hAnsi="Book Antiqua" w:cs="Times New Roman"/>
                <w:sz w:val="24"/>
                <w:szCs w:val="24"/>
              </w:rPr>
            </w:pPr>
          </w:p>
        </w:tc>
      </w:tr>
      <w:tr w:rsidR="00D57159" w:rsidRPr="0016373D" w14:paraId="400BFA7B" w14:textId="77777777" w:rsidTr="00071784">
        <w:trPr>
          <w:trHeight w:val="285"/>
        </w:trPr>
        <w:tc>
          <w:tcPr>
            <w:tcW w:w="4196" w:type="dxa"/>
            <w:shd w:val="clear" w:color="auto" w:fill="FFFFFF" w:themeFill="background1"/>
          </w:tcPr>
          <w:p w14:paraId="7C73523A" w14:textId="77777777" w:rsidR="00D57159" w:rsidRPr="0016373D" w:rsidRDefault="00D57159" w:rsidP="00107FF8">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Primary</w:t>
            </w:r>
          </w:p>
        </w:tc>
        <w:tc>
          <w:tcPr>
            <w:tcW w:w="2174" w:type="dxa"/>
            <w:shd w:val="clear" w:color="auto" w:fill="FFFFFF" w:themeFill="background1"/>
          </w:tcPr>
          <w:p w14:paraId="6F266DDC"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2237</w:t>
            </w:r>
          </w:p>
        </w:tc>
        <w:tc>
          <w:tcPr>
            <w:tcW w:w="2052" w:type="dxa"/>
            <w:shd w:val="clear" w:color="auto" w:fill="FFFFFF" w:themeFill="background1"/>
          </w:tcPr>
          <w:p w14:paraId="30517541"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85.7%</w:t>
            </w:r>
          </w:p>
        </w:tc>
      </w:tr>
      <w:tr w:rsidR="00D57159" w:rsidRPr="0016373D" w14:paraId="153A6DCE" w14:textId="77777777" w:rsidTr="00071784">
        <w:trPr>
          <w:trHeight w:val="285"/>
        </w:trPr>
        <w:tc>
          <w:tcPr>
            <w:tcW w:w="4196" w:type="dxa"/>
            <w:shd w:val="clear" w:color="auto" w:fill="FFFFFF" w:themeFill="background1"/>
          </w:tcPr>
          <w:p w14:paraId="26951F8B"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Rescue</w:t>
            </w:r>
          </w:p>
        </w:tc>
        <w:tc>
          <w:tcPr>
            <w:tcW w:w="2174" w:type="dxa"/>
            <w:shd w:val="clear" w:color="auto" w:fill="FFFFFF" w:themeFill="background1"/>
          </w:tcPr>
          <w:p w14:paraId="41E7EFB0"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373</w:t>
            </w:r>
          </w:p>
        </w:tc>
        <w:tc>
          <w:tcPr>
            <w:tcW w:w="2052" w:type="dxa"/>
            <w:shd w:val="clear" w:color="auto" w:fill="FFFFFF" w:themeFill="background1"/>
          </w:tcPr>
          <w:p w14:paraId="79E304C2" w14:textId="77777777" w:rsidR="00D57159" w:rsidRPr="0016373D" w:rsidRDefault="00D57159"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14.3%</w:t>
            </w:r>
          </w:p>
        </w:tc>
      </w:tr>
      <w:bookmarkEnd w:id="2"/>
    </w:tbl>
    <w:p w14:paraId="2FC9D676" w14:textId="6D353C70" w:rsidR="00D57159" w:rsidRDefault="00D57159" w:rsidP="00193349">
      <w:pPr>
        <w:widowControl/>
        <w:jc w:val="left"/>
        <w:rPr>
          <w:rFonts w:ascii="Book Antiqua" w:eastAsia="宋体" w:hAnsi="Book Antiqua" w:cs="Times New Roman"/>
          <w:sz w:val="24"/>
          <w:szCs w:val="24"/>
        </w:rPr>
      </w:pPr>
    </w:p>
    <w:p w14:paraId="0EDD9E16" w14:textId="4C835BA1" w:rsidR="00A5633C" w:rsidRDefault="00A5633C">
      <w:pPr>
        <w:widowControl/>
        <w:jc w:val="left"/>
        <w:rPr>
          <w:rFonts w:ascii="Book Antiqua" w:eastAsia="宋体" w:hAnsi="Book Antiqua" w:cs="Times New Roman"/>
          <w:b/>
          <w:sz w:val="24"/>
          <w:szCs w:val="24"/>
        </w:rPr>
      </w:pPr>
    </w:p>
    <w:p w14:paraId="1C7DAA68" w14:textId="6259173E" w:rsidR="00D57159" w:rsidRDefault="00D57159" w:rsidP="00A5633C">
      <w:pPr>
        <w:widowControl/>
        <w:spacing w:line="360" w:lineRule="auto"/>
        <w:jc w:val="left"/>
        <w:rPr>
          <w:rFonts w:ascii="Book Antiqua" w:eastAsia="宋体" w:hAnsi="Book Antiqua" w:cs="Times New Roman"/>
          <w:sz w:val="24"/>
          <w:szCs w:val="24"/>
        </w:rPr>
      </w:pPr>
      <w:r w:rsidRPr="0016373D">
        <w:rPr>
          <w:rFonts w:ascii="Book Antiqua" w:eastAsia="宋体" w:hAnsi="Book Antiqua" w:cs="Times New Roman"/>
          <w:b/>
          <w:sz w:val="24"/>
          <w:szCs w:val="24"/>
        </w:rPr>
        <w:t>Table 2</w:t>
      </w:r>
      <w:r w:rsidRPr="000A1B5D">
        <w:rPr>
          <w:rFonts w:ascii="Book Antiqua" w:eastAsia="宋体" w:hAnsi="Book Antiqua" w:cs="Times New Roman"/>
          <w:b/>
          <w:sz w:val="24"/>
          <w:szCs w:val="24"/>
        </w:rPr>
        <w:t xml:space="preserve"> Eradication rates of specific </w:t>
      </w:r>
      <w:r w:rsidRPr="00D11088">
        <w:rPr>
          <w:rFonts w:ascii="Book Antiqua" w:eastAsia="宋体" w:hAnsi="Book Antiqua" w:cs="Times New Roman"/>
          <w:b/>
          <w:bCs/>
          <w:i/>
          <w:sz w:val="24"/>
          <w:szCs w:val="24"/>
        </w:rPr>
        <w:t>Helicobacter pylori</w:t>
      </w:r>
      <w:r w:rsidRPr="000A1B5D">
        <w:rPr>
          <w:rFonts w:ascii="Book Antiqua" w:eastAsia="宋体" w:hAnsi="Book Antiqua" w:cs="Times New Roman"/>
          <w:b/>
          <w:sz w:val="24"/>
          <w:szCs w:val="24"/>
        </w:rPr>
        <w:t xml:space="preserve"> regimens classified by</w:t>
      </w:r>
      <w:r w:rsidRPr="00DC1B6B">
        <w:rPr>
          <w:rFonts w:ascii="Book Antiqua" w:eastAsia="宋体" w:hAnsi="Book Antiqua" w:cs="Times New Roman"/>
          <w:b/>
          <w:bCs/>
          <w:sz w:val="24"/>
          <w:szCs w:val="24"/>
        </w:rPr>
        <w:t xml:space="preserve"> </w:t>
      </w:r>
      <w:r w:rsidR="00DC1B6B" w:rsidRPr="00DC1B6B">
        <w:rPr>
          <w:rFonts w:ascii="Book Antiqua" w:hAnsi="Book Antiqua" w:cs="Times New Roman"/>
          <w:b/>
          <w:bCs/>
          <w:sz w:val="24"/>
          <w:szCs w:val="24"/>
        </w:rPr>
        <w:t>proton pump inhibitor</w:t>
      </w:r>
    </w:p>
    <w:tbl>
      <w:tblPr>
        <w:tblStyle w:val="1"/>
        <w:tblW w:w="9097" w:type="dxa"/>
        <w:tblInd w:w="-426"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261"/>
        <w:gridCol w:w="1081"/>
        <w:gridCol w:w="479"/>
        <w:gridCol w:w="1292"/>
        <w:gridCol w:w="1469"/>
        <w:gridCol w:w="1515"/>
      </w:tblGrid>
      <w:tr w:rsidR="00DC1B6B" w:rsidRPr="0016373D" w14:paraId="10E1241D" w14:textId="77777777" w:rsidTr="00107FF8">
        <w:tc>
          <w:tcPr>
            <w:tcW w:w="3261" w:type="dxa"/>
            <w:tcBorders>
              <w:top w:val="single" w:sz="8" w:space="0" w:color="auto"/>
              <w:bottom w:val="single" w:sz="4" w:space="0" w:color="auto"/>
            </w:tcBorders>
            <w:shd w:val="clear" w:color="auto" w:fill="FFFFFF" w:themeFill="background1"/>
            <w:vAlign w:val="bottom"/>
          </w:tcPr>
          <w:p w14:paraId="2505CE26" w14:textId="0DEA769F" w:rsidR="00DC1B6B" w:rsidRPr="0016373D" w:rsidRDefault="00DC1B6B" w:rsidP="00107FF8">
            <w:pPr>
              <w:widowControl/>
              <w:spacing w:line="360" w:lineRule="auto"/>
              <w:jc w:val="left"/>
              <w:rPr>
                <w:rFonts w:ascii="Book Antiqua" w:eastAsia="宋体" w:hAnsi="Book Antiqua" w:cs="Times New Roman"/>
                <w:b/>
                <w:sz w:val="24"/>
                <w:szCs w:val="24"/>
              </w:rPr>
            </w:pPr>
            <w:r w:rsidRPr="0016373D">
              <w:rPr>
                <w:rFonts w:ascii="Book Antiqua" w:eastAsia="宋体" w:hAnsi="Book Antiqua" w:cs="Times New Roman"/>
                <w:b/>
                <w:sz w:val="24"/>
                <w:szCs w:val="24"/>
              </w:rPr>
              <w:t>PPI</w:t>
            </w:r>
          </w:p>
        </w:tc>
        <w:tc>
          <w:tcPr>
            <w:tcW w:w="1560" w:type="dxa"/>
            <w:gridSpan w:val="2"/>
            <w:tcBorders>
              <w:top w:val="single" w:sz="8" w:space="0" w:color="auto"/>
              <w:bottom w:val="single" w:sz="4" w:space="0" w:color="auto"/>
            </w:tcBorders>
            <w:shd w:val="clear" w:color="auto" w:fill="FFFFFF" w:themeFill="background1"/>
            <w:vAlign w:val="bottom"/>
          </w:tcPr>
          <w:p w14:paraId="6AC25D85" w14:textId="77777777" w:rsidR="00DC1B6B" w:rsidRPr="0016373D" w:rsidRDefault="00DC1B6B" w:rsidP="00107FF8">
            <w:pPr>
              <w:widowControl/>
              <w:spacing w:line="360" w:lineRule="auto"/>
              <w:jc w:val="center"/>
              <w:rPr>
                <w:rFonts w:ascii="Book Antiqua" w:eastAsia="宋体" w:hAnsi="Book Antiqua" w:cs="Times New Roman"/>
                <w:b/>
                <w:sz w:val="24"/>
                <w:szCs w:val="24"/>
              </w:rPr>
            </w:pPr>
            <w:r w:rsidRPr="0016373D">
              <w:rPr>
                <w:rFonts w:ascii="Book Antiqua" w:eastAsia="宋体" w:hAnsi="Book Antiqua" w:cs="Times New Roman"/>
                <w:b/>
                <w:sz w:val="24"/>
                <w:szCs w:val="24"/>
              </w:rPr>
              <w:t>Successful eradication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1292" w:type="dxa"/>
            <w:tcBorders>
              <w:top w:val="single" w:sz="8" w:space="0" w:color="auto"/>
              <w:bottom w:val="single" w:sz="4" w:space="0" w:color="auto"/>
            </w:tcBorders>
            <w:shd w:val="clear" w:color="auto" w:fill="FFFFFF" w:themeFill="background1"/>
            <w:vAlign w:val="bottom"/>
          </w:tcPr>
          <w:p w14:paraId="3D8AAFBA" w14:textId="77777777" w:rsidR="00DC1B6B" w:rsidRPr="0016373D" w:rsidRDefault="00DC1B6B" w:rsidP="00107FF8">
            <w:pPr>
              <w:widowControl/>
              <w:spacing w:line="360" w:lineRule="auto"/>
              <w:jc w:val="center"/>
              <w:rPr>
                <w:rFonts w:ascii="Book Antiqua" w:eastAsia="宋体" w:hAnsi="Book Antiqua" w:cs="Times New Roman"/>
                <w:b/>
                <w:sz w:val="24"/>
                <w:szCs w:val="24"/>
              </w:rPr>
            </w:pPr>
            <w:r w:rsidRPr="0016373D">
              <w:rPr>
                <w:rFonts w:ascii="Book Antiqua" w:eastAsia="宋体" w:hAnsi="Book Antiqua" w:cs="Times New Roman"/>
                <w:b/>
                <w:sz w:val="24"/>
                <w:szCs w:val="24"/>
              </w:rPr>
              <w:t>Total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1469" w:type="dxa"/>
            <w:tcBorders>
              <w:top w:val="single" w:sz="8" w:space="0" w:color="auto"/>
              <w:bottom w:val="single" w:sz="4" w:space="0" w:color="auto"/>
            </w:tcBorders>
            <w:shd w:val="clear" w:color="auto" w:fill="FFFFFF" w:themeFill="background1"/>
            <w:vAlign w:val="bottom"/>
          </w:tcPr>
          <w:p w14:paraId="0C844871" w14:textId="77777777" w:rsidR="00DC1B6B" w:rsidRPr="0016373D" w:rsidRDefault="00DC1B6B" w:rsidP="00107FF8">
            <w:pPr>
              <w:widowControl/>
              <w:spacing w:line="360" w:lineRule="auto"/>
              <w:jc w:val="center"/>
              <w:rPr>
                <w:rFonts w:ascii="Book Antiqua" w:eastAsia="宋体" w:hAnsi="Book Antiqua" w:cs="Times New Roman"/>
                <w:b/>
                <w:sz w:val="24"/>
                <w:szCs w:val="24"/>
              </w:rPr>
            </w:pPr>
            <w:r w:rsidRPr="0016373D">
              <w:rPr>
                <w:rFonts w:ascii="Book Antiqua" w:eastAsia="宋体" w:hAnsi="Book Antiqua" w:cs="Times New Roman"/>
                <w:b/>
                <w:sz w:val="24"/>
                <w:szCs w:val="24"/>
              </w:rPr>
              <w:t>Eradication rate (%)</w:t>
            </w:r>
          </w:p>
        </w:tc>
        <w:tc>
          <w:tcPr>
            <w:tcW w:w="1515" w:type="dxa"/>
            <w:tcBorders>
              <w:top w:val="single" w:sz="8" w:space="0" w:color="auto"/>
              <w:bottom w:val="single" w:sz="4" w:space="0" w:color="auto"/>
            </w:tcBorders>
            <w:shd w:val="clear" w:color="auto" w:fill="FFFFFF" w:themeFill="background1"/>
            <w:vAlign w:val="bottom"/>
          </w:tcPr>
          <w:p w14:paraId="49DBD0AC" w14:textId="3175D8E1" w:rsidR="00DC1B6B" w:rsidRPr="0016373D" w:rsidRDefault="00B523E7" w:rsidP="00107FF8">
            <w:pPr>
              <w:widowControl/>
              <w:spacing w:line="360" w:lineRule="auto"/>
              <w:jc w:val="center"/>
              <w:rPr>
                <w:rFonts w:ascii="Book Antiqua" w:eastAsia="宋体" w:hAnsi="Book Antiqua" w:cs="Times New Roman"/>
                <w:b/>
                <w:sz w:val="24"/>
                <w:szCs w:val="24"/>
              </w:rPr>
            </w:pPr>
            <w:r>
              <w:rPr>
                <w:rFonts w:ascii="Book Antiqua" w:eastAsia="宋体" w:hAnsi="Book Antiqua" w:cs="Times New Roman"/>
                <w:b/>
                <w:sz w:val="24"/>
                <w:szCs w:val="24"/>
              </w:rPr>
              <w:t>95%</w:t>
            </w:r>
            <w:r w:rsidR="00DC1B6B" w:rsidRPr="0016373D">
              <w:rPr>
                <w:rFonts w:ascii="Book Antiqua" w:eastAsia="宋体" w:hAnsi="Book Antiqua" w:cs="Times New Roman"/>
                <w:b/>
                <w:sz w:val="24"/>
                <w:szCs w:val="24"/>
              </w:rPr>
              <w:t>CI (%)</w:t>
            </w:r>
          </w:p>
        </w:tc>
      </w:tr>
      <w:tr w:rsidR="00DC1B6B" w:rsidRPr="0016373D" w14:paraId="29FCD72D" w14:textId="77777777" w:rsidTr="00107FF8">
        <w:tc>
          <w:tcPr>
            <w:tcW w:w="3261" w:type="dxa"/>
            <w:tcBorders>
              <w:top w:val="single" w:sz="4" w:space="0" w:color="auto"/>
              <w:left w:val="nil"/>
              <w:bottom w:val="nil"/>
              <w:right w:val="nil"/>
            </w:tcBorders>
            <w:shd w:val="clear" w:color="auto" w:fill="FFFFFF" w:themeFill="background1"/>
            <w:vAlign w:val="bottom"/>
          </w:tcPr>
          <w:p w14:paraId="283326E8" w14:textId="77777777" w:rsidR="00DC1B6B" w:rsidRPr="0016373D" w:rsidRDefault="00DC1B6B" w:rsidP="00107FF8">
            <w:pPr>
              <w:widowControl/>
              <w:spacing w:line="360" w:lineRule="auto"/>
              <w:ind w:right="440"/>
              <w:rPr>
                <w:rFonts w:ascii="Book Antiqua" w:eastAsia="宋体" w:hAnsi="Book Antiqua" w:cs="Times New Roman"/>
                <w:sz w:val="24"/>
                <w:szCs w:val="24"/>
              </w:rPr>
            </w:pPr>
            <w:r w:rsidRPr="0016373D">
              <w:rPr>
                <w:rFonts w:ascii="Book Antiqua" w:eastAsia="宋体" w:hAnsi="Book Antiqua" w:cs="Times New Roman"/>
                <w:sz w:val="24"/>
                <w:szCs w:val="24"/>
              </w:rPr>
              <w:t>Esomeprazole</w:t>
            </w:r>
          </w:p>
        </w:tc>
        <w:tc>
          <w:tcPr>
            <w:tcW w:w="1081" w:type="dxa"/>
            <w:tcBorders>
              <w:top w:val="single" w:sz="4" w:space="0" w:color="auto"/>
              <w:left w:val="nil"/>
              <w:bottom w:val="nil"/>
              <w:right w:val="nil"/>
            </w:tcBorders>
            <w:shd w:val="clear" w:color="auto" w:fill="FFFFFF" w:themeFill="background1"/>
            <w:vAlign w:val="bottom"/>
          </w:tcPr>
          <w:p w14:paraId="4D6858DD"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566</w:t>
            </w:r>
          </w:p>
        </w:tc>
        <w:tc>
          <w:tcPr>
            <w:tcW w:w="1771" w:type="dxa"/>
            <w:gridSpan w:val="2"/>
            <w:tcBorders>
              <w:top w:val="single" w:sz="4" w:space="0" w:color="auto"/>
              <w:left w:val="nil"/>
              <w:bottom w:val="nil"/>
              <w:right w:val="nil"/>
            </w:tcBorders>
            <w:shd w:val="clear" w:color="auto" w:fill="FFFFFF" w:themeFill="background1"/>
            <w:vAlign w:val="bottom"/>
          </w:tcPr>
          <w:p w14:paraId="3725F42C"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698</w:t>
            </w:r>
          </w:p>
        </w:tc>
        <w:tc>
          <w:tcPr>
            <w:tcW w:w="1469" w:type="dxa"/>
            <w:tcBorders>
              <w:top w:val="single" w:sz="4" w:space="0" w:color="auto"/>
              <w:left w:val="nil"/>
              <w:bottom w:val="nil"/>
              <w:right w:val="nil"/>
            </w:tcBorders>
            <w:shd w:val="clear" w:color="auto" w:fill="FFFFFF" w:themeFill="background1"/>
            <w:vAlign w:val="bottom"/>
          </w:tcPr>
          <w:p w14:paraId="46150650"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81.1</w:t>
            </w:r>
          </w:p>
        </w:tc>
        <w:tc>
          <w:tcPr>
            <w:tcW w:w="1515" w:type="dxa"/>
            <w:tcBorders>
              <w:top w:val="single" w:sz="4" w:space="0" w:color="auto"/>
              <w:left w:val="nil"/>
              <w:bottom w:val="nil"/>
              <w:right w:val="nil"/>
            </w:tcBorders>
            <w:shd w:val="clear" w:color="auto" w:fill="FFFFFF" w:themeFill="background1"/>
            <w:vAlign w:val="bottom"/>
          </w:tcPr>
          <w:p w14:paraId="2FA00C19" w14:textId="5F50A9F1"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78.2</w:t>
            </w:r>
            <w:r w:rsidR="00B523E7">
              <w:rPr>
                <w:rFonts w:ascii="Book Antiqua" w:eastAsia="宋体" w:hAnsi="Book Antiqua" w:cs="Times New Roman"/>
                <w:sz w:val="24"/>
                <w:szCs w:val="24"/>
              </w:rPr>
              <w:t>-</w:t>
            </w:r>
            <w:r w:rsidRPr="0016373D">
              <w:rPr>
                <w:rFonts w:ascii="Book Antiqua" w:eastAsia="宋体" w:hAnsi="Book Antiqua" w:cs="Times New Roman"/>
                <w:sz w:val="24"/>
                <w:szCs w:val="24"/>
              </w:rPr>
              <w:t>84.0</w:t>
            </w:r>
          </w:p>
        </w:tc>
      </w:tr>
      <w:tr w:rsidR="00DC1B6B" w:rsidRPr="0016373D" w14:paraId="3BF4B5F9" w14:textId="77777777" w:rsidTr="00107FF8">
        <w:tc>
          <w:tcPr>
            <w:tcW w:w="3261" w:type="dxa"/>
            <w:tcBorders>
              <w:top w:val="nil"/>
              <w:left w:val="nil"/>
              <w:bottom w:val="nil"/>
              <w:right w:val="nil"/>
            </w:tcBorders>
            <w:shd w:val="clear" w:color="auto" w:fill="FFFFFF" w:themeFill="background1"/>
            <w:vAlign w:val="bottom"/>
          </w:tcPr>
          <w:p w14:paraId="63D7A6BF" w14:textId="76D56B61" w:rsidR="00DC1B6B" w:rsidRPr="0016373D" w:rsidRDefault="009B57E5">
            <w:pPr>
              <w:widowControl/>
              <w:spacing w:line="360" w:lineRule="auto"/>
              <w:ind w:right="420"/>
              <w:rPr>
                <w:rFonts w:ascii="Book Antiqua" w:eastAsia="宋体" w:hAnsi="Book Antiqua" w:cs="Times New Roman"/>
                <w:sz w:val="24"/>
                <w:szCs w:val="24"/>
              </w:rPr>
            </w:pPr>
            <w:r w:rsidRPr="0016373D">
              <w:rPr>
                <w:rFonts w:ascii="Book Antiqua" w:eastAsia="宋体" w:hAnsi="Book Antiqua" w:cs="Times New Roman"/>
                <w:sz w:val="24"/>
                <w:szCs w:val="24"/>
              </w:rPr>
              <w:t>Non</w:t>
            </w:r>
            <w:r>
              <w:rPr>
                <w:rFonts w:ascii="Book Antiqua" w:eastAsia="宋体" w:hAnsi="Book Antiqua" w:cs="Times New Roman"/>
                <w:sz w:val="24"/>
                <w:szCs w:val="24"/>
              </w:rPr>
              <w:t>-</w:t>
            </w:r>
            <w:r w:rsidR="00DC1B6B" w:rsidRPr="0016373D">
              <w:rPr>
                <w:rFonts w:ascii="Book Antiqua" w:eastAsia="宋体" w:hAnsi="Book Antiqua" w:cs="Times New Roman"/>
                <w:sz w:val="24"/>
                <w:szCs w:val="24"/>
              </w:rPr>
              <w:t>esomeprazole PPIs</w:t>
            </w:r>
          </w:p>
        </w:tc>
        <w:tc>
          <w:tcPr>
            <w:tcW w:w="1081" w:type="dxa"/>
            <w:tcBorders>
              <w:top w:val="nil"/>
              <w:left w:val="nil"/>
              <w:bottom w:val="nil"/>
              <w:right w:val="nil"/>
            </w:tcBorders>
            <w:shd w:val="clear" w:color="auto" w:fill="FFFFFF" w:themeFill="background1"/>
            <w:vAlign w:val="bottom"/>
          </w:tcPr>
          <w:p w14:paraId="6324DF93"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1433</w:t>
            </w:r>
          </w:p>
        </w:tc>
        <w:tc>
          <w:tcPr>
            <w:tcW w:w="1771" w:type="dxa"/>
            <w:gridSpan w:val="2"/>
            <w:tcBorders>
              <w:top w:val="nil"/>
              <w:left w:val="nil"/>
              <w:bottom w:val="nil"/>
              <w:right w:val="nil"/>
            </w:tcBorders>
            <w:shd w:val="clear" w:color="auto" w:fill="FFFFFF" w:themeFill="background1"/>
            <w:vAlign w:val="bottom"/>
          </w:tcPr>
          <w:p w14:paraId="18A203B7"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1912</w:t>
            </w:r>
          </w:p>
        </w:tc>
        <w:tc>
          <w:tcPr>
            <w:tcW w:w="1469" w:type="dxa"/>
            <w:tcBorders>
              <w:top w:val="nil"/>
              <w:left w:val="nil"/>
              <w:bottom w:val="nil"/>
              <w:right w:val="nil"/>
            </w:tcBorders>
            <w:shd w:val="clear" w:color="auto" w:fill="FFFFFF" w:themeFill="background1"/>
            <w:vAlign w:val="bottom"/>
          </w:tcPr>
          <w:p w14:paraId="1A7539E2"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74.9</w:t>
            </w:r>
          </w:p>
        </w:tc>
        <w:tc>
          <w:tcPr>
            <w:tcW w:w="1515" w:type="dxa"/>
            <w:tcBorders>
              <w:top w:val="nil"/>
              <w:left w:val="nil"/>
              <w:bottom w:val="nil"/>
              <w:right w:val="nil"/>
            </w:tcBorders>
            <w:shd w:val="clear" w:color="auto" w:fill="FFFFFF" w:themeFill="background1"/>
            <w:vAlign w:val="bottom"/>
          </w:tcPr>
          <w:p w14:paraId="1E3A41A2" w14:textId="3B7830B0"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73.0</w:t>
            </w:r>
            <w:r w:rsidR="00B523E7">
              <w:rPr>
                <w:rFonts w:ascii="Book Antiqua" w:eastAsia="宋体" w:hAnsi="Book Antiqua" w:cs="Times New Roman"/>
                <w:sz w:val="24"/>
                <w:szCs w:val="24"/>
              </w:rPr>
              <w:t>-</w:t>
            </w:r>
            <w:r w:rsidRPr="0016373D">
              <w:rPr>
                <w:rFonts w:ascii="Book Antiqua" w:eastAsia="宋体" w:hAnsi="Book Antiqua" w:cs="Times New Roman"/>
                <w:sz w:val="24"/>
                <w:szCs w:val="24"/>
              </w:rPr>
              <w:t>76.8</w:t>
            </w:r>
          </w:p>
        </w:tc>
      </w:tr>
      <w:tr w:rsidR="00DC1B6B" w:rsidRPr="0016373D" w14:paraId="74750E9E" w14:textId="77777777" w:rsidTr="00107FF8">
        <w:tc>
          <w:tcPr>
            <w:tcW w:w="3261" w:type="dxa"/>
            <w:tcBorders>
              <w:top w:val="nil"/>
              <w:left w:val="nil"/>
              <w:bottom w:val="nil"/>
              <w:right w:val="nil"/>
            </w:tcBorders>
            <w:shd w:val="clear" w:color="auto" w:fill="FFFFFF" w:themeFill="background1"/>
            <w:vAlign w:val="bottom"/>
          </w:tcPr>
          <w:p w14:paraId="35F5EE4B" w14:textId="77777777" w:rsidR="00DC1B6B" w:rsidRPr="0016373D" w:rsidRDefault="00DC1B6B" w:rsidP="00107FF8">
            <w:pPr>
              <w:widowControl/>
              <w:spacing w:line="360" w:lineRule="auto"/>
              <w:ind w:right="440" w:firstLineChars="150" w:firstLine="360"/>
              <w:rPr>
                <w:rFonts w:ascii="Book Antiqua" w:eastAsia="宋体" w:hAnsi="Book Antiqua" w:cs="Times New Roman"/>
                <w:sz w:val="24"/>
                <w:szCs w:val="24"/>
              </w:rPr>
            </w:pPr>
            <w:r w:rsidRPr="0016373D">
              <w:rPr>
                <w:rFonts w:ascii="Book Antiqua" w:hAnsi="Book Antiqua" w:cs="Times New Roman"/>
                <w:sz w:val="24"/>
                <w:szCs w:val="24"/>
              </w:rPr>
              <w:t>Rabeprazole</w:t>
            </w:r>
          </w:p>
        </w:tc>
        <w:tc>
          <w:tcPr>
            <w:tcW w:w="1081" w:type="dxa"/>
            <w:tcBorders>
              <w:top w:val="nil"/>
              <w:left w:val="nil"/>
              <w:bottom w:val="nil"/>
              <w:right w:val="nil"/>
            </w:tcBorders>
            <w:shd w:val="clear" w:color="auto" w:fill="FFFFFF" w:themeFill="background1"/>
            <w:vAlign w:val="bottom"/>
          </w:tcPr>
          <w:p w14:paraId="36C38F1C"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657</w:t>
            </w:r>
          </w:p>
        </w:tc>
        <w:tc>
          <w:tcPr>
            <w:tcW w:w="1771" w:type="dxa"/>
            <w:gridSpan w:val="2"/>
            <w:tcBorders>
              <w:top w:val="nil"/>
              <w:left w:val="nil"/>
              <w:bottom w:val="nil"/>
              <w:right w:val="nil"/>
            </w:tcBorders>
            <w:shd w:val="clear" w:color="auto" w:fill="FFFFFF" w:themeFill="background1"/>
            <w:vAlign w:val="bottom"/>
          </w:tcPr>
          <w:p w14:paraId="0755F32D"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836</w:t>
            </w:r>
          </w:p>
        </w:tc>
        <w:tc>
          <w:tcPr>
            <w:tcW w:w="1469" w:type="dxa"/>
            <w:tcBorders>
              <w:top w:val="nil"/>
              <w:left w:val="nil"/>
              <w:bottom w:val="nil"/>
              <w:right w:val="nil"/>
            </w:tcBorders>
            <w:shd w:val="clear" w:color="auto" w:fill="FFFFFF" w:themeFill="background1"/>
            <w:vAlign w:val="bottom"/>
          </w:tcPr>
          <w:p w14:paraId="075EBC33"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78.6</w:t>
            </w:r>
          </w:p>
        </w:tc>
        <w:tc>
          <w:tcPr>
            <w:tcW w:w="1515" w:type="dxa"/>
            <w:tcBorders>
              <w:top w:val="nil"/>
              <w:left w:val="nil"/>
              <w:bottom w:val="nil"/>
              <w:right w:val="nil"/>
            </w:tcBorders>
            <w:shd w:val="clear" w:color="auto" w:fill="FFFFFF" w:themeFill="background1"/>
            <w:vAlign w:val="bottom"/>
          </w:tcPr>
          <w:p w14:paraId="5866A281" w14:textId="0923B828"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75.8</w:t>
            </w:r>
            <w:r w:rsidR="00B523E7">
              <w:rPr>
                <w:rFonts w:ascii="Book Antiqua" w:hAnsi="Book Antiqua" w:cs="Times New Roman"/>
                <w:sz w:val="24"/>
                <w:szCs w:val="24"/>
              </w:rPr>
              <w:t>-</w:t>
            </w:r>
            <w:r w:rsidRPr="0016373D">
              <w:rPr>
                <w:rFonts w:ascii="Book Antiqua" w:hAnsi="Book Antiqua" w:cs="Times New Roman"/>
                <w:sz w:val="24"/>
                <w:szCs w:val="24"/>
              </w:rPr>
              <w:t>81.4</w:t>
            </w:r>
          </w:p>
        </w:tc>
      </w:tr>
      <w:tr w:rsidR="00DC1B6B" w:rsidRPr="0016373D" w14:paraId="19DF4566" w14:textId="77777777" w:rsidTr="00107FF8">
        <w:tc>
          <w:tcPr>
            <w:tcW w:w="3261" w:type="dxa"/>
            <w:tcBorders>
              <w:top w:val="nil"/>
              <w:left w:val="nil"/>
              <w:bottom w:val="nil"/>
              <w:right w:val="nil"/>
            </w:tcBorders>
            <w:shd w:val="clear" w:color="auto" w:fill="FFFFFF" w:themeFill="background1"/>
            <w:vAlign w:val="bottom"/>
          </w:tcPr>
          <w:p w14:paraId="49BEC8D8" w14:textId="77777777" w:rsidR="00DC1B6B" w:rsidRPr="0016373D" w:rsidRDefault="00DC1B6B" w:rsidP="00107FF8">
            <w:pPr>
              <w:widowControl/>
              <w:spacing w:line="360" w:lineRule="auto"/>
              <w:ind w:right="420" w:firstLineChars="150" w:firstLine="360"/>
              <w:rPr>
                <w:rFonts w:ascii="Book Antiqua" w:eastAsia="宋体" w:hAnsi="Book Antiqua" w:cs="Times New Roman"/>
                <w:sz w:val="24"/>
                <w:szCs w:val="24"/>
              </w:rPr>
            </w:pPr>
            <w:r w:rsidRPr="0016373D">
              <w:rPr>
                <w:rFonts w:ascii="Book Antiqua" w:hAnsi="Book Antiqua" w:cs="Times New Roman"/>
                <w:sz w:val="24"/>
                <w:szCs w:val="24"/>
              </w:rPr>
              <w:t>Lansoprazole</w:t>
            </w:r>
          </w:p>
        </w:tc>
        <w:tc>
          <w:tcPr>
            <w:tcW w:w="1081" w:type="dxa"/>
            <w:tcBorders>
              <w:top w:val="nil"/>
              <w:left w:val="nil"/>
              <w:bottom w:val="nil"/>
              <w:right w:val="nil"/>
            </w:tcBorders>
            <w:shd w:val="clear" w:color="auto" w:fill="FFFFFF" w:themeFill="background1"/>
            <w:vAlign w:val="bottom"/>
          </w:tcPr>
          <w:p w14:paraId="372BF3A4"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43</w:t>
            </w:r>
          </w:p>
        </w:tc>
        <w:tc>
          <w:tcPr>
            <w:tcW w:w="1771" w:type="dxa"/>
            <w:gridSpan w:val="2"/>
            <w:tcBorders>
              <w:top w:val="nil"/>
              <w:left w:val="nil"/>
              <w:bottom w:val="nil"/>
              <w:right w:val="nil"/>
            </w:tcBorders>
            <w:shd w:val="clear" w:color="auto" w:fill="FFFFFF" w:themeFill="background1"/>
            <w:vAlign w:val="bottom"/>
          </w:tcPr>
          <w:p w14:paraId="2C2EA702"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55</w:t>
            </w:r>
          </w:p>
        </w:tc>
        <w:tc>
          <w:tcPr>
            <w:tcW w:w="1469" w:type="dxa"/>
            <w:tcBorders>
              <w:top w:val="nil"/>
              <w:left w:val="nil"/>
              <w:bottom w:val="nil"/>
              <w:right w:val="nil"/>
            </w:tcBorders>
            <w:shd w:val="clear" w:color="auto" w:fill="FFFFFF" w:themeFill="background1"/>
            <w:vAlign w:val="bottom"/>
          </w:tcPr>
          <w:p w14:paraId="14C9B5B2"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78.2</w:t>
            </w:r>
          </w:p>
        </w:tc>
        <w:tc>
          <w:tcPr>
            <w:tcW w:w="1515" w:type="dxa"/>
            <w:tcBorders>
              <w:top w:val="nil"/>
              <w:left w:val="nil"/>
              <w:bottom w:val="nil"/>
              <w:right w:val="nil"/>
            </w:tcBorders>
            <w:shd w:val="clear" w:color="auto" w:fill="FFFFFF" w:themeFill="background1"/>
            <w:vAlign w:val="bottom"/>
          </w:tcPr>
          <w:p w14:paraId="194C2976" w14:textId="0B49BEDA"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67.3</w:t>
            </w:r>
            <w:r w:rsidR="00B523E7">
              <w:rPr>
                <w:rFonts w:ascii="Book Antiqua" w:hAnsi="Book Antiqua" w:cs="Times New Roman"/>
                <w:sz w:val="24"/>
                <w:szCs w:val="24"/>
              </w:rPr>
              <w:t>-</w:t>
            </w:r>
            <w:r w:rsidRPr="0016373D">
              <w:rPr>
                <w:rFonts w:ascii="Book Antiqua" w:hAnsi="Book Antiqua" w:cs="Times New Roman"/>
                <w:sz w:val="24"/>
                <w:szCs w:val="24"/>
              </w:rPr>
              <w:t>89.1</w:t>
            </w:r>
          </w:p>
        </w:tc>
      </w:tr>
      <w:tr w:rsidR="00DC1B6B" w:rsidRPr="0016373D" w14:paraId="4D34FBD3" w14:textId="77777777" w:rsidTr="00107FF8">
        <w:tc>
          <w:tcPr>
            <w:tcW w:w="3261" w:type="dxa"/>
            <w:tcBorders>
              <w:top w:val="nil"/>
              <w:left w:val="nil"/>
              <w:bottom w:val="nil"/>
              <w:right w:val="nil"/>
            </w:tcBorders>
            <w:shd w:val="clear" w:color="auto" w:fill="FFFFFF" w:themeFill="background1"/>
            <w:vAlign w:val="bottom"/>
          </w:tcPr>
          <w:p w14:paraId="25761001" w14:textId="77777777" w:rsidR="00DC1B6B" w:rsidRPr="0016373D" w:rsidRDefault="00DC1B6B" w:rsidP="00107FF8">
            <w:pPr>
              <w:widowControl/>
              <w:spacing w:line="360" w:lineRule="auto"/>
              <w:ind w:right="420" w:firstLineChars="150" w:firstLine="360"/>
              <w:rPr>
                <w:rFonts w:ascii="Book Antiqua" w:eastAsia="宋体" w:hAnsi="Book Antiqua" w:cs="Times New Roman"/>
                <w:sz w:val="24"/>
                <w:szCs w:val="24"/>
              </w:rPr>
            </w:pPr>
            <w:r w:rsidRPr="0016373D">
              <w:rPr>
                <w:rFonts w:ascii="Book Antiqua" w:hAnsi="Book Antiqua" w:cs="Times New Roman"/>
                <w:sz w:val="24"/>
                <w:szCs w:val="24"/>
              </w:rPr>
              <w:t>Pantoprazole</w:t>
            </w:r>
          </w:p>
        </w:tc>
        <w:tc>
          <w:tcPr>
            <w:tcW w:w="1081" w:type="dxa"/>
            <w:tcBorders>
              <w:top w:val="nil"/>
              <w:left w:val="nil"/>
              <w:bottom w:val="nil"/>
              <w:right w:val="nil"/>
            </w:tcBorders>
            <w:shd w:val="clear" w:color="auto" w:fill="FFFFFF" w:themeFill="background1"/>
            <w:vAlign w:val="bottom"/>
          </w:tcPr>
          <w:p w14:paraId="3D50C7D0"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449</w:t>
            </w:r>
          </w:p>
        </w:tc>
        <w:tc>
          <w:tcPr>
            <w:tcW w:w="1771" w:type="dxa"/>
            <w:gridSpan w:val="2"/>
            <w:tcBorders>
              <w:top w:val="nil"/>
              <w:left w:val="nil"/>
              <w:bottom w:val="nil"/>
              <w:right w:val="nil"/>
            </w:tcBorders>
            <w:shd w:val="clear" w:color="auto" w:fill="FFFFFF" w:themeFill="background1"/>
            <w:vAlign w:val="bottom"/>
          </w:tcPr>
          <w:p w14:paraId="5F0E3B0C"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607</w:t>
            </w:r>
          </w:p>
        </w:tc>
        <w:tc>
          <w:tcPr>
            <w:tcW w:w="1469" w:type="dxa"/>
            <w:tcBorders>
              <w:top w:val="nil"/>
              <w:left w:val="nil"/>
              <w:bottom w:val="nil"/>
              <w:right w:val="nil"/>
            </w:tcBorders>
            <w:shd w:val="clear" w:color="auto" w:fill="FFFFFF" w:themeFill="background1"/>
            <w:vAlign w:val="bottom"/>
          </w:tcPr>
          <w:p w14:paraId="3FFC15F3"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74.0</w:t>
            </w:r>
          </w:p>
        </w:tc>
        <w:tc>
          <w:tcPr>
            <w:tcW w:w="1515" w:type="dxa"/>
            <w:tcBorders>
              <w:top w:val="nil"/>
              <w:left w:val="nil"/>
              <w:bottom w:val="nil"/>
              <w:right w:val="nil"/>
            </w:tcBorders>
            <w:shd w:val="clear" w:color="auto" w:fill="FFFFFF" w:themeFill="background1"/>
            <w:vAlign w:val="bottom"/>
          </w:tcPr>
          <w:p w14:paraId="44E2D5E8" w14:textId="45074013"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70.5</w:t>
            </w:r>
            <w:r w:rsidR="00B523E7">
              <w:rPr>
                <w:rFonts w:ascii="Book Antiqua" w:hAnsi="Book Antiqua" w:cs="Times New Roman"/>
                <w:sz w:val="24"/>
                <w:szCs w:val="24"/>
              </w:rPr>
              <w:t>-</w:t>
            </w:r>
            <w:r w:rsidRPr="0016373D">
              <w:rPr>
                <w:rFonts w:ascii="Book Antiqua" w:hAnsi="Book Antiqua" w:cs="Times New Roman"/>
                <w:sz w:val="24"/>
                <w:szCs w:val="24"/>
              </w:rPr>
              <w:t>77.5</w:t>
            </w:r>
          </w:p>
        </w:tc>
      </w:tr>
      <w:tr w:rsidR="00DC1B6B" w:rsidRPr="0016373D" w14:paraId="5CD31B7A" w14:textId="77777777" w:rsidTr="00107FF8">
        <w:tc>
          <w:tcPr>
            <w:tcW w:w="3261" w:type="dxa"/>
            <w:tcBorders>
              <w:top w:val="nil"/>
              <w:left w:val="nil"/>
              <w:bottom w:val="single" w:sz="4" w:space="0" w:color="auto"/>
              <w:right w:val="nil"/>
            </w:tcBorders>
            <w:shd w:val="clear" w:color="auto" w:fill="FFFFFF" w:themeFill="background1"/>
            <w:vAlign w:val="bottom"/>
          </w:tcPr>
          <w:p w14:paraId="04AD9FA1" w14:textId="77777777" w:rsidR="00DC1B6B" w:rsidRPr="0016373D" w:rsidRDefault="00DC1B6B" w:rsidP="00107FF8">
            <w:pPr>
              <w:widowControl/>
              <w:spacing w:line="360" w:lineRule="auto"/>
              <w:ind w:right="420" w:firstLineChars="150" w:firstLine="360"/>
              <w:rPr>
                <w:rFonts w:ascii="Book Antiqua" w:eastAsia="宋体" w:hAnsi="Book Antiqua" w:cs="Times New Roman"/>
                <w:sz w:val="24"/>
                <w:szCs w:val="24"/>
              </w:rPr>
            </w:pPr>
            <w:r w:rsidRPr="0016373D">
              <w:rPr>
                <w:rFonts w:ascii="Book Antiqua" w:hAnsi="Book Antiqua" w:cs="Times New Roman"/>
                <w:sz w:val="24"/>
                <w:szCs w:val="24"/>
              </w:rPr>
              <w:t>Omeprazole</w:t>
            </w:r>
          </w:p>
        </w:tc>
        <w:tc>
          <w:tcPr>
            <w:tcW w:w="1081" w:type="dxa"/>
            <w:tcBorders>
              <w:top w:val="nil"/>
              <w:left w:val="nil"/>
              <w:bottom w:val="single" w:sz="4" w:space="0" w:color="auto"/>
              <w:right w:val="nil"/>
            </w:tcBorders>
            <w:shd w:val="clear" w:color="auto" w:fill="FFFFFF" w:themeFill="background1"/>
            <w:vAlign w:val="bottom"/>
          </w:tcPr>
          <w:p w14:paraId="13D18C07"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284</w:t>
            </w:r>
          </w:p>
        </w:tc>
        <w:tc>
          <w:tcPr>
            <w:tcW w:w="1771" w:type="dxa"/>
            <w:gridSpan w:val="2"/>
            <w:tcBorders>
              <w:top w:val="nil"/>
              <w:left w:val="nil"/>
              <w:bottom w:val="single" w:sz="4" w:space="0" w:color="auto"/>
              <w:right w:val="nil"/>
            </w:tcBorders>
            <w:shd w:val="clear" w:color="auto" w:fill="FFFFFF" w:themeFill="background1"/>
            <w:vAlign w:val="bottom"/>
          </w:tcPr>
          <w:p w14:paraId="68F5A648"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414</w:t>
            </w:r>
          </w:p>
        </w:tc>
        <w:tc>
          <w:tcPr>
            <w:tcW w:w="1469" w:type="dxa"/>
            <w:tcBorders>
              <w:top w:val="nil"/>
              <w:left w:val="nil"/>
              <w:bottom w:val="single" w:sz="4" w:space="0" w:color="auto"/>
              <w:right w:val="nil"/>
            </w:tcBorders>
            <w:shd w:val="clear" w:color="auto" w:fill="FFFFFF" w:themeFill="background1"/>
            <w:vAlign w:val="bottom"/>
          </w:tcPr>
          <w:p w14:paraId="32F90BC6" w14:textId="77777777" w:rsidR="00DC1B6B" w:rsidRPr="0016373D" w:rsidRDefault="00DC1B6B" w:rsidP="00107FF8">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68.6</w:t>
            </w:r>
          </w:p>
        </w:tc>
        <w:tc>
          <w:tcPr>
            <w:tcW w:w="1515" w:type="dxa"/>
            <w:tcBorders>
              <w:top w:val="nil"/>
              <w:left w:val="nil"/>
              <w:bottom w:val="single" w:sz="4" w:space="0" w:color="auto"/>
              <w:right w:val="nil"/>
            </w:tcBorders>
            <w:shd w:val="clear" w:color="auto" w:fill="FFFFFF" w:themeFill="background1"/>
            <w:vAlign w:val="bottom"/>
          </w:tcPr>
          <w:p w14:paraId="174568D3" w14:textId="0E8853BD"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64.1</w:t>
            </w:r>
            <w:r w:rsidR="00B523E7">
              <w:rPr>
                <w:rFonts w:ascii="Book Antiqua" w:hAnsi="Book Antiqua" w:cs="Times New Roman"/>
                <w:sz w:val="24"/>
                <w:szCs w:val="24"/>
              </w:rPr>
              <w:t>-</w:t>
            </w:r>
            <w:r w:rsidRPr="0016373D">
              <w:rPr>
                <w:rFonts w:ascii="Book Antiqua" w:hAnsi="Book Antiqua" w:cs="Times New Roman"/>
                <w:sz w:val="24"/>
                <w:szCs w:val="24"/>
              </w:rPr>
              <w:t>73.1</w:t>
            </w:r>
          </w:p>
        </w:tc>
      </w:tr>
    </w:tbl>
    <w:p w14:paraId="7670DFD0" w14:textId="3B2FFDCE" w:rsidR="00DC1B6B" w:rsidRPr="0016373D" w:rsidRDefault="00DC1B6B" w:rsidP="00DC1B6B">
      <w:pPr>
        <w:adjustRightInd w:val="0"/>
        <w:snapToGrid w:val="0"/>
        <w:spacing w:line="360" w:lineRule="auto"/>
        <w:rPr>
          <w:rFonts w:ascii="Book Antiqua" w:hAnsi="Book Antiqua" w:cs="Times New Roman"/>
          <w:sz w:val="24"/>
          <w:szCs w:val="24"/>
        </w:rPr>
      </w:pPr>
      <w:r w:rsidRPr="0016373D">
        <w:rPr>
          <w:rFonts w:ascii="Book Antiqua" w:hAnsi="Book Antiqua" w:cs="Times New Roman"/>
          <w:sz w:val="24"/>
          <w:szCs w:val="24"/>
        </w:rPr>
        <w:t xml:space="preserve">The </w:t>
      </w:r>
      <w:r>
        <w:rPr>
          <w:rFonts w:ascii="Book Antiqua" w:hAnsi="Book Antiqua" w:cs="Times New Roman"/>
          <w:sz w:val="24"/>
          <w:szCs w:val="24"/>
        </w:rPr>
        <w:t xml:space="preserve">following </w:t>
      </w:r>
      <w:r w:rsidRPr="0016373D">
        <w:rPr>
          <w:rFonts w:ascii="Book Antiqua" w:hAnsi="Book Antiqua" w:cs="Times New Roman"/>
          <w:sz w:val="24"/>
          <w:szCs w:val="24"/>
        </w:rPr>
        <w:t>PPI dos</w:t>
      </w:r>
      <w:r>
        <w:rPr>
          <w:rFonts w:ascii="Book Antiqua" w:hAnsi="Book Antiqua" w:cs="Times New Roman"/>
          <w:sz w:val="24"/>
          <w:szCs w:val="24"/>
        </w:rPr>
        <w:t>ag</w:t>
      </w:r>
      <w:r w:rsidRPr="0016373D">
        <w:rPr>
          <w:rFonts w:ascii="Book Antiqua" w:hAnsi="Book Antiqua" w:cs="Times New Roman"/>
          <w:sz w:val="24"/>
          <w:szCs w:val="24"/>
        </w:rPr>
        <w:t>e</w:t>
      </w:r>
      <w:r>
        <w:rPr>
          <w:rFonts w:ascii="Book Antiqua" w:hAnsi="Book Antiqua" w:cs="Times New Roman"/>
          <w:sz w:val="24"/>
          <w:szCs w:val="24"/>
        </w:rPr>
        <w:t>s</w:t>
      </w:r>
      <w:r w:rsidRPr="0016373D">
        <w:rPr>
          <w:rFonts w:ascii="Book Antiqua" w:hAnsi="Book Antiqua" w:cs="Times New Roman"/>
          <w:sz w:val="24"/>
          <w:szCs w:val="24"/>
        </w:rPr>
        <w:t xml:space="preserve"> </w:t>
      </w:r>
      <w:r>
        <w:rPr>
          <w:rFonts w:ascii="Book Antiqua" w:hAnsi="Book Antiqua" w:cs="Times New Roman"/>
          <w:sz w:val="24"/>
          <w:szCs w:val="24"/>
        </w:rPr>
        <w:t xml:space="preserve">were prescribed: </w:t>
      </w:r>
      <w:r w:rsidR="009B57E5">
        <w:rPr>
          <w:rFonts w:ascii="Book Antiqua" w:hAnsi="Book Antiqua" w:cs="Times New Roman"/>
          <w:sz w:val="24"/>
          <w:szCs w:val="24"/>
        </w:rPr>
        <w:t>E</w:t>
      </w:r>
      <w:r w:rsidR="009B57E5" w:rsidRPr="0016373D">
        <w:rPr>
          <w:rFonts w:ascii="Book Antiqua" w:hAnsi="Book Antiqua" w:cs="Times New Roman"/>
          <w:sz w:val="24"/>
          <w:szCs w:val="24"/>
        </w:rPr>
        <w:t>someprazole</w:t>
      </w:r>
      <w:r>
        <w:rPr>
          <w:rFonts w:ascii="Book Antiqua" w:hAnsi="Book Antiqua" w:cs="Times New Roman"/>
          <w:sz w:val="24"/>
          <w:szCs w:val="24"/>
        </w:rPr>
        <w:t>,</w:t>
      </w:r>
      <w:r w:rsidRPr="0016373D">
        <w:rPr>
          <w:rFonts w:ascii="Book Antiqua" w:hAnsi="Book Antiqua" w:cs="Times New Roman"/>
          <w:sz w:val="24"/>
          <w:szCs w:val="24"/>
        </w:rPr>
        <w:t xml:space="preserve"> 20 mg bid</w:t>
      </w:r>
      <w:r>
        <w:rPr>
          <w:rFonts w:ascii="Book Antiqua" w:hAnsi="Book Antiqua" w:cs="Times New Roman"/>
          <w:sz w:val="24"/>
          <w:szCs w:val="24"/>
        </w:rPr>
        <w:t>;</w:t>
      </w:r>
      <w:r w:rsidRPr="0016373D">
        <w:rPr>
          <w:rFonts w:ascii="Book Antiqua" w:hAnsi="Book Antiqua" w:cs="Times New Roman"/>
          <w:sz w:val="24"/>
          <w:szCs w:val="24"/>
        </w:rPr>
        <w:t xml:space="preserve"> rabeprazole</w:t>
      </w:r>
      <w:r>
        <w:rPr>
          <w:rFonts w:ascii="Book Antiqua" w:hAnsi="Book Antiqua" w:cs="Times New Roman"/>
          <w:sz w:val="24"/>
          <w:szCs w:val="24"/>
        </w:rPr>
        <w:t>,</w:t>
      </w:r>
      <w:r w:rsidRPr="0016373D">
        <w:rPr>
          <w:rFonts w:ascii="Book Antiqua" w:hAnsi="Book Antiqua" w:cs="Times New Roman"/>
          <w:sz w:val="24"/>
          <w:szCs w:val="24"/>
        </w:rPr>
        <w:t xml:space="preserve"> 20 mg bid</w:t>
      </w:r>
      <w:r>
        <w:rPr>
          <w:rFonts w:ascii="Book Antiqua" w:hAnsi="Book Antiqua" w:cs="Times New Roman"/>
          <w:sz w:val="24"/>
          <w:szCs w:val="24"/>
        </w:rPr>
        <w:t>;</w:t>
      </w:r>
      <w:r w:rsidRPr="0016373D">
        <w:rPr>
          <w:rFonts w:ascii="Book Antiqua" w:hAnsi="Book Antiqua" w:cs="Times New Roman"/>
          <w:sz w:val="24"/>
          <w:szCs w:val="24"/>
        </w:rPr>
        <w:t xml:space="preserve"> omeprazole</w:t>
      </w:r>
      <w:r>
        <w:rPr>
          <w:rFonts w:ascii="Book Antiqua" w:hAnsi="Book Antiqua" w:cs="Times New Roman"/>
          <w:sz w:val="24"/>
          <w:szCs w:val="24"/>
        </w:rPr>
        <w:t>,</w:t>
      </w:r>
      <w:r w:rsidRPr="0016373D">
        <w:rPr>
          <w:rFonts w:ascii="Book Antiqua" w:hAnsi="Book Antiqua" w:cs="Times New Roman"/>
          <w:sz w:val="24"/>
          <w:szCs w:val="24"/>
        </w:rPr>
        <w:t xml:space="preserve"> 20 mg bid</w:t>
      </w:r>
      <w:r>
        <w:rPr>
          <w:rFonts w:ascii="Book Antiqua" w:hAnsi="Book Antiqua" w:cs="Times New Roman"/>
          <w:sz w:val="24"/>
          <w:szCs w:val="24"/>
        </w:rPr>
        <w:t>;</w:t>
      </w:r>
      <w:r w:rsidRPr="0016373D">
        <w:rPr>
          <w:rFonts w:ascii="Book Antiqua" w:hAnsi="Book Antiqua" w:cs="Times New Roman"/>
          <w:sz w:val="24"/>
          <w:szCs w:val="24"/>
        </w:rPr>
        <w:t xml:space="preserve"> lansoprazole</w:t>
      </w:r>
      <w:r>
        <w:rPr>
          <w:rFonts w:ascii="Book Antiqua" w:hAnsi="Book Antiqua" w:cs="Times New Roman"/>
          <w:sz w:val="24"/>
          <w:szCs w:val="24"/>
        </w:rPr>
        <w:t>,</w:t>
      </w:r>
      <w:r w:rsidRPr="0016373D">
        <w:rPr>
          <w:rFonts w:ascii="Book Antiqua" w:hAnsi="Book Antiqua" w:cs="Times New Roman"/>
          <w:sz w:val="24"/>
          <w:szCs w:val="24"/>
        </w:rPr>
        <w:t xml:space="preserve"> 30 mg bid</w:t>
      </w:r>
      <w:r>
        <w:rPr>
          <w:rFonts w:ascii="Book Antiqua" w:hAnsi="Book Antiqua" w:cs="Times New Roman"/>
          <w:sz w:val="24"/>
          <w:szCs w:val="24"/>
        </w:rPr>
        <w:t>;</w:t>
      </w:r>
      <w:r w:rsidRPr="0016373D">
        <w:rPr>
          <w:rFonts w:ascii="Book Antiqua" w:hAnsi="Book Antiqua" w:cs="Times New Roman"/>
          <w:sz w:val="24"/>
          <w:szCs w:val="24"/>
        </w:rPr>
        <w:t xml:space="preserve"> pantoprazole</w:t>
      </w:r>
      <w:r>
        <w:rPr>
          <w:rFonts w:ascii="Book Antiqua" w:hAnsi="Book Antiqua" w:cs="Times New Roman"/>
          <w:sz w:val="24"/>
          <w:szCs w:val="24"/>
        </w:rPr>
        <w:t>,</w:t>
      </w:r>
      <w:r w:rsidRPr="0016373D">
        <w:rPr>
          <w:rFonts w:ascii="Book Antiqua" w:hAnsi="Book Antiqua" w:cs="Times New Roman"/>
          <w:sz w:val="24"/>
          <w:szCs w:val="24"/>
        </w:rPr>
        <w:t xml:space="preserve"> 40 mg bid.</w:t>
      </w:r>
      <w:r>
        <w:rPr>
          <w:rFonts w:ascii="Book Antiqua" w:hAnsi="Book Antiqua" w:cs="Times New Roman"/>
          <w:sz w:val="24"/>
          <w:szCs w:val="24"/>
        </w:rPr>
        <w:t xml:space="preserve"> PPI: </w:t>
      </w:r>
      <w:r w:rsidR="009B57E5">
        <w:rPr>
          <w:rFonts w:ascii="Book Antiqua" w:hAnsi="Book Antiqua" w:cs="Times New Roman"/>
          <w:sz w:val="24"/>
          <w:szCs w:val="24"/>
        </w:rPr>
        <w:t>P</w:t>
      </w:r>
      <w:r w:rsidR="009B57E5" w:rsidRPr="00DC1B6B">
        <w:rPr>
          <w:rFonts w:ascii="Book Antiqua" w:hAnsi="Book Antiqua" w:cs="Times New Roman"/>
          <w:sz w:val="24"/>
          <w:szCs w:val="24"/>
        </w:rPr>
        <w:t xml:space="preserve">roton </w:t>
      </w:r>
      <w:proofErr w:type="gramStart"/>
      <w:r w:rsidRPr="00DC1B6B">
        <w:rPr>
          <w:rFonts w:ascii="Book Antiqua" w:hAnsi="Book Antiqua" w:cs="Times New Roman"/>
          <w:sz w:val="24"/>
          <w:szCs w:val="24"/>
        </w:rPr>
        <w:t>pump</w:t>
      </w:r>
      <w:proofErr w:type="gramEnd"/>
      <w:r w:rsidRPr="00DC1B6B">
        <w:rPr>
          <w:rFonts w:ascii="Book Antiqua" w:hAnsi="Book Antiqua" w:cs="Times New Roman"/>
          <w:sz w:val="24"/>
          <w:szCs w:val="24"/>
        </w:rPr>
        <w:t xml:space="preserve"> inhibitor</w:t>
      </w:r>
      <w:r>
        <w:rPr>
          <w:rFonts w:ascii="Book Antiqua" w:hAnsi="Book Antiqua" w:cs="Times New Roman"/>
          <w:sz w:val="24"/>
          <w:szCs w:val="24"/>
        </w:rPr>
        <w:t>.</w:t>
      </w:r>
    </w:p>
    <w:p w14:paraId="20216581" w14:textId="77777777" w:rsidR="00F1462E" w:rsidRPr="0016373D" w:rsidRDefault="00F1462E" w:rsidP="00193349">
      <w:pPr>
        <w:spacing w:line="360" w:lineRule="auto"/>
        <w:jc w:val="right"/>
        <w:rPr>
          <w:rFonts w:ascii="Book Antiqua" w:eastAsia="宋体" w:hAnsi="Book Antiqua" w:cs="Times New Roman"/>
          <w:sz w:val="24"/>
          <w:szCs w:val="24"/>
        </w:rPr>
      </w:pPr>
    </w:p>
    <w:p w14:paraId="0A31E99E" w14:textId="7A8958E2" w:rsidR="00F1462E" w:rsidRPr="00177C33" w:rsidRDefault="00F1462E" w:rsidP="00DC1B6B">
      <w:pPr>
        <w:widowControl/>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br w:type="page"/>
      </w:r>
    </w:p>
    <w:p w14:paraId="37DC135D" w14:textId="6623495D" w:rsidR="00F1462E" w:rsidRDefault="00DC1B6B" w:rsidP="00193349">
      <w:pPr>
        <w:widowControl/>
        <w:spacing w:line="360" w:lineRule="auto"/>
        <w:jc w:val="left"/>
        <w:rPr>
          <w:rFonts w:ascii="Book Antiqua" w:eastAsia="宋体" w:hAnsi="Book Antiqua" w:cs="Times New Roman"/>
          <w:sz w:val="24"/>
          <w:szCs w:val="24"/>
        </w:rPr>
      </w:pPr>
      <w:r w:rsidRPr="0016373D">
        <w:rPr>
          <w:rFonts w:ascii="Book Antiqua" w:eastAsia="宋体" w:hAnsi="Book Antiqua" w:cs="Times New Roman"/>
          <w:b/>
          <w:sz w:val="24"/>
          <w:szCs w:val="24"/>
        </w:rPr>
        <w:lastRenderedPageBreak/>
        <w:t>Table 3 Subgroup comparison of eradication rates</w:t>
      </w:r>
    </w:p>
    <w:tbl>
      <w:tblPr>
        <w:tblStyle w:val="1"/>
        <w:tblW w:w="102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851"/>
        <w:gridCol w:w="1417"/>
        <w:gridCol w:w="969"/>
        <w:gridCol w:w="1418"/>
        <w:gridCol w:w="1512"/>
      </w:tblGrid>
      <w:tr w:rsidR="00DC1B6B" w:rsidRPr="0016373D" w14:paraId="7FB9E590" w14:textId="77777777" w:rsidTr="00DC1B6B">
        <w:tc>
          <w:tcPr>
            <w:tcW w:w="1101" w:type="dxa"/>
            <w:tcBorders>
              <w:top w:val="single" w:sz="8" w:space="0" w:color="auto"/>
              <w:bottom w:val="single" w:sz="8" w:space="0" w:color="auto"/>
            </w:tcBorders>
            <w:shd w:val="clear" w:color="auto" w:fill="FFFFFF" w:themeFill="background1"/>
          </w:tcPr>
          <w:p w14:paraId="40B283FE"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tcBorders>
              <w:top w:val="single" w:sz="8" w:space="0" w:color="auto"/>
              <w:bottom w:val="single" w:sz="8" w:space="0" w:color="auto"/>
            </w:tcBorders>
            <w:shd w:val="clear" w:color="auto" w:fill="FFFFFF" w:themeFill="background1"/>
          </w:tcPr>
          <w:p w14:paraId="1B7E8BC1" w14:textId="3B288E7E" w:rsidR="00DC1B6B" w:rsidRPr="0016373D" w:rsidRDefault="00DC1B6B"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Antibiotic regimen</w:t>
            </w:r>
          </w:p>
        </w:tc>
        <w:tc>
          <w:tcPr>
            <w:tcW w:w="1417" w:type="dxa"/>
            <w:tcBorders>
              <w:top w:val="single" w:sz="8" w:space="0" w:color="auto"/>
              <w:bottom w:val="single" w:sz="8" w:space="0" w:color="auto"/>
            </w:tcBorders>
            <w:shd w:val="clear" w:color="auto" w:fill="FFFFFF" w:themeFill="background1"/>
          </w:tcPr>
          <w:p w14:paraId="60C434D7" w14:textId="77777777" w:rsidR="00DC1B6B" w:rsidRPr="0016373D" w:rsidRDefault="00DC1B6B"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Successful eradication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 xml:space="preserve">) </w:t>
            </w:r>
          </w:p>
        </w:tc>
        <w:tc>
          <w:tcPr>
            <w:tcW w:w="969" w:type="dxa"/>
            <w:tcBorders>
              <w:top w:val="single" w:sz="8" w:space="0" w:color="auto"/>
              <w:bottom w:val="single" w:sz="8" w:space="0" w:color="auto"/>
            </w:tcBorders>
            <w:shd w:val="clear" w:color="auto" w:fill="FFFFFF" w:themeFill="background1"/>
          </w:tcPr>
          <w:p w14:paraId="622C121E" w14:textId="77777777" w:rsidR="00DC1B6B" w:rsidRPr="0016373D" w:rsidRDefault="00DC1B6B"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Total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1418" w:type="dxa"/>
            <w:tcBorders>
              <w:top w:val="single" w:sz="8" w:space="0" w:color="auto"/>
              <w:bottom w:val="single" w:sz="8" w:space="0" w:color="auto"/>
            </w:tcBorders>
            <w:shd w:val="clear" w:color="auto" w:fill="FFFFFF" w:themeFill="background1"/>
          </w:tcPr>
          <w:p w14:paraId="4FBFE5F5" w14:textId="77777777" w:rsidR="00DC1B6B" w:rsidRPr="0016373D" w:rsidRDefault="00DC1B6B" w:rsidP="00107FF8">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Eradication rate (%)</w:t>
            </w:r>
          </w:p>
        </w:tc>
        <w:tc>
          <w:tcPr>
            <w:tcW w:w="1512" w:type="dxa"/>
            <w:tcBorders>
              <w:top w:val="single" w:sz="8" w:space="0" w:color="auto"/>
              <w:bottom w:val="single" w:sz="8" w:space="0" w:color="auto"/>
            </w:tcBorders>
            <w:shd w:val="clear" w:color="auto" w:fill="FFFFFF" w:themeFill="background1"/>
          </w:tcPr>
          <w:p w14:paraId="0FE5D8C6" w14:textId="77777777" w:rsidR="00DC1B6B" w:rsidRPr="0016373D" w:rsidRDefault="00DC1B6B" w:rsidP="00107FF8">
            <w:pPr>
              <w:spacing w:line="360" w:lineRule="auto"/>
              <w:jc w:val="left"/>
              <w:rPr>
                <w:rFonts w:ascii="Book Antiqua" w:eastAsia="宋体" w:hAnsi="Book Antiqua" w:cs="Times New Roman"/>
                <w:b/>
                <w:sz w:val="24"/>
                <w:szCs w:val="24"/>
              </w:rPr>
            </w:pPr>
            <w:r w:rsidRPr="0016373D">
              <w:rPr>
                <w:rFonts w:ascii="Book Antiqua" w:eastAsia="宋体" w:hAnsi="Book Antiqua" w:cs="Times New Roman"/>
                <w:b/>
                <w:sz w:val="24"/>
                <w:szCs w:val="24"/>
              </w:rPr>
              <w:t>95% CI (%)</w:t>
            </w:r>
          </w:p>
        </w:tc>
      </w:tr>
      <w:tr w:rsidR="00DC1B6B" w:rsidRPr="0016373D" w14:paraId="43397EB7" w14:textId="77777777" w:rsidTr="00DC1B6B">
        <w:tc>
          <w:tcPr>
            <w:tcW w:w="1101" w:type="dxa"/>
            <w:tcBorders>
              <w:top w:val="single" w:sz="8" w:space="0" w:color="auto"/>
            </w:tcBorders>
            <w:shd w:val="clear" w:color="auto" w:fill="auto"/>
          </w:tcPr>
          <w:p w14:paraId="19A8CA03" w14:textId="77777777" w:rsidR="00DC1B6B" w:rsidRPr="00DC1B6B" w:rsidRDefault="00DC1B6B" w:rsidP="00107FF8">
            <w:pPr>
              <w:spacing w:line="360" w:lineRule="auto"/>
              <w:rPr>
                <w:rFonts w:ascii="Book Antiqua" w:eastAsia="宋体" w:hAnsi="Book Antiqua" w:cs="Times New Roman"/>
                <w:bCs/>
                <w:sz w:val="24"/>
                <w:szCs w:val="24"/>
              </w:rPr>
            </w:pPr>
            <w:r w:rsidRPr="00DC1B6B">
              <w:rPr>
                <w:rFonts w:ascii="Book Antiqua" w:eastAsia="宋体" w:hAnsi="Book Antiqua" w:cs="Times New Roman"/>
                <w:bCs/>
                <w:sz w:val="24"/>
                <w:szCs w:val="24"/>
              </w:rPr>
              <w:t xml:space="preserve">Primary </w:t>
            </w:r>
          </w:p>
        </w:tc>
        <w:tc>
          <w:tcPr>
            <w:tcW w:w="3851" w:type="dxa"/>
            <w:tcBorders>
              <w:top w:val="single" w:sz="8" w:space="0" w:color="auto"/>
            </w:tcBorders>
            <w:shd w:val="clear" w:color="auto" w:fill="auto"/>
          </w:tcPr>
          <w:p w14:paraId="7B5AA2F0"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Total</w:t>
            </w:r>
          </w:p>
        </w:tc>
        <w:tc>
          <w:tcPr>
            <w:tcW w:w="1417" w:type="dxa"/>
            <w:tcBorders>
              <w:top w:val="single" w:sz="8" w:space="0" w:color="auto"/>
            </w:tcBorders>
            <w:shd w:val="clear" w:color="auto" w:fill="auto"/>
          </w:tcPr>
          <w:p w14:paraId="5F29C6D3"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1751</w:t>
            </w:r>
          </w:p>
        </w:tc>
        <w:tc>
          <w:tcPr>
            <w:tcW w:w="969" w:type="dxa"/>
            <w:tcBorders>
              <w:top w:val="single" w:sz="8" w:space="0" w:color="auto"/>
            </w:tcBorders>
            <w:shd w:val="clear" w:color="auto" w:fill="auto"/>
          </w:tcPr>
          <w:p w14:paraId="60BD6D62"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2237</w:t>
            </w:r>
          </w:p>
        </w:tc>
        <w:tc>
          <w:tcPr>
            <w:tcW w:w="1418" w:type="dxa"/>
            <w:tcBorders>
              <w:top w:val="single" w:sz="8" w:space="0" w:color="auto"/>
            </w:tcBorders>
            <w:shd w:val="clear" w:color="auto" w:fill="auto"/>
          </w:tcPr>
          <w:p w14:paraId="5E1A358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78.3</w:t>
            </w:r>
          </w:p>
        </w:tc>
        <w:tc>
          <w:tcPr>
            <w:tcW w:w="1512" w:type="dxa"/>
            <w:tcBorders>
              <w:top w:val="single" w:sz="8" w:space="0" w:color="auto"/>
            </w:tcBorders>
            <w:shd w:val="clear" w:color="auto" w:fill="auto"/>
          </w:tcPr>
          <w:p w14:paraId="2E8519BF" w14:textId="13C112AA"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76.6</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80.0</w:t>
            </w:r>
          </w:p>
        </w:tc>
      </w:tr>
      <w:tr w:rsidR="00DC1B6B" w:rsidRPr="0016373D" w14:paraId="55DFEB15" w14:textId="77777777" w:rsidTr="00DC1B6B">
        <w:tc>
          <w:tcPr>
            <w:tcW w:w="1101" w:type="dxa"/>
            <w:shd w:val="clear" w:color="auto" w:fill="auto"/>
          </w:tcPr>
          <w:p w14:paraId="0FBF1384"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305C6B0C"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clarithromycin</w:t>
            </w:r>
          </w:p>
        </w:tc>
        <w:tc>
          <w:tcPr>
            <w:tcW w:w="1417" w:type="dxa"/>
            <w:shd w:val="clear" w:color="auto" w:fill="auto"/>
          </w:tcPr>
          <w:p w14:paraId="648378C2"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980</w:t>
            </w:r>
          </w:p>
        </w:tc>
        <w:tc>
          <w:tcPr>
            <w:tcW w:w="969" w:type="dxa"/>
            <w:shd w:val="clear" w:color="auto" w:fill="auto"/>
          </w:tcPr>
          <w:p w14:paraId="22BC9CA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1166</w:t>
            </w:r>
          </w:p>
        </w:tc>
        <w:tc>
          <w:tcPr>
            <w:tcW w:w="1418" w:type="dxa"/>
            <w:shd w:val="clear" w:color="auto" w:fill="auto"/>
          </w:tcPr>
          <w:p w14:paraId="38D31F11"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84.0</w:t>
            </w:r>
          </w:p>
        </w:tc>
        <w:tc>
          <w:tcPr>
            <w:tcW w:w="1512" w:type="dxa"/>
            <w:shd w:val="clear" w:color="auto" w:fill="auto"/>
          </w:tcPr>
          <w:p w14:paraId="165BABF1" w14:textId="1F2417B8"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81.9</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86.1</w:t>
            </w:r>
          </w:p>
        </w:tc>
      </w:tr>
      <w:tr w:rsidR="00DC1B6B" w:rsidRPr="0016373D" w14:paraId="48D6720E" w14:textId="77777777" w:rsidTr="00DC1B6B">
        <w:tc>
          <w:tcPr>
            <w:tcW w:w="1101" w:type="dxa"/>
            <w:shd w:val="clear" w:color="auto" w:fill="auto"/>
          </w:tcPr>
          <w:p w14:paraId="0A4A56C1"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60EEE096"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levofloxacin</w:t>
            </w:r>
          </w:p>
        </w:tc>
        <w:tc>
          <w:tcPr>
            <w:tcW w:w="1417" w:type="dxa"/>
            <w:shd w:val="clear" w:color="auto" w:fill="auto"/>
          </w:tcPr>
          <w:p w14:paraId="472AB65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47</w:t>
            </w:r>
          </w:p>
        </w:tc>
        <w:tc>
          <w:tcPr>
            <w:tcW w:w="969" w:type="dxa"/>
            <w:shd w:val="clear" w:color="auto" w:fill="auto"/>
          </w:tcPr>
          <w:p w14:paraId="4CA28F0F"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54</w:t>
            </w:r>
          </w:p>
        </w:tc>
        <w:tc>
          <w:tcPr>
            <w:tcW w:w="1418" w:type="dxa"/>
            <w:shd w:val="clear" w:color="auto" w:fill="auto"/>
          </w:tcPr>
          <w:p w14:paraId="13570FA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87.0</w:t>
            </w:r>
          </w:p>
        </w:tc>
        <w:tc>
          <w:tcPr>
            <w:tcW w:w="1512" w:type="dxa"/>
            <w:shd w:val="clear" w:color="auto" w:fill="auto"/>
          </w:tcPr>
          <w:p w14:paraId="0E009EBD" w14:textId="36D0FD0B"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78.1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96.0</w:t>
            </w:r>
          </w:p>
        </w:tc>
      </w:tr>
      <w:tr w:rsidR="00DC1B6B" w:rsidRPr="0016373D" w14:paraId="553C3633" w14:textId="77777777" w:rsidTr="00DC1B6B">
        <w:tc>
          <w:tcPr>
            <w:tcW w:w="1101" w:type="dxa"/>
            <w:shd w:val="clear" w:color="auto" w:fill="auto"/>
          </w:tcPr>
          <w:p w14:paraId="65E2622B"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38DCF8B8"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furazolidone</w:t>
            </w:r>
          </w:p>
        </w:tc>
        <w:tc>
          <w:tcPr>
            <w:tcW w:w="1417" w:type="dxa"/>
            <w:shd w:val="clear" w:color="auto" w:fill="auto"/>
          </w:tcPr>
          <w:p w14:paraId="103E704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w:t>
            </w:r>
          </w:p>
        </w:tc>
        <w:tc>
          <w:tcPr>
            <w:tcW w:w="969" w:type="dxa"/>
            <w:shd w:val="clear" w:color="auto" w:fill="auto"/>
          </w:tcPr>
          <w:p w14:paraId="4667226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w:t>
            </w:r>
          </w:p>
        </w:tc>
        <w:tc>
          <w:tcPr>
            <w:tcW w:w="1418" w:type="dxa"/>
            <w:shd w:val="clear" w:color="auto" w:fill="auto"/>
          </w:tcPr>
          <w:p w14:paraId="7DA06B03"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72.7</w:t>
            </w:r>
          </w:p>
        </w:tc>
        <w:tc>
          <w:tcPr>
            <w:tcW w:w="1512" w:type="dxa"/>
            <w:shd w:val="clear" w:color="auto" w:fill="auto"/>
          </w:tcPr>
          <w:p w14:paraId="0E3653DE" w14:textId="2F66DD31"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46.4</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99.0</w:t>
            </w:r>
          </w:p>
        </w:tc>
      </w:tr>
      <w:tr w:rsidR="00DC1B6B" w:rsidRPr="0016373D" w14:paraId="58D9D598" w14:textId="77777777" w:rsidTr="00DC1B6B">
        <w:tc>
          <w:tcPr>
            <w:tcW w:w="1101" w:type="dxa"/>
            <w:shd w:val="clear" w:color="auto" w:fill="auto"/>
          </w:tcPr>
          <w:p w14:paraId="01F83878"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2A9B0353"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metronidazole</w:t>
            </w:r>
          </w:p>
        </w:tc>
        <w:tc>
          <w:tcPr>
            <w:tcW w:w="1417" w:type="dxa"/>
            <w:shd w:val="clear" w:color="auto" w:fill="auto"/>
          </w:tcPr>
          <w:p w14:paraId="17DB55AF"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61</w:t>
            </w:r>
          </w:p>
        </w:tc>
        <w:tc>
          <w:tcPr>
            <w:tcW w:w="969" w:type="dxa"/>
            <w:shd w:val="clear" w:color="auto" w:fill="auto"/>
          </w:tcPr>
          <w:p w14:paraId="5472CC7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112</w:t>
            </w:r>
          </w:p>
        </w:tc>
        <w:tc>
          <w:tcPr>
            <w:tcW w:w="1418" w:type="dxa"/>
            <w:shd w:val="clear" w:color="auto" w:fill="auto"/>
          </w:tcPr>
          <w:p w14:paraId="531B3D1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54.5</w:t>
            </w:r>
          </w:p>
        </w:tc>
        <w:tc>
          <w:tcPr>
            <w:tcW w:w="1512" w:type="dxa"/>
            <w:shd w:val="clear" w:color="auto" w:fill="auto"/>
          </w:tcPr>
          <w:p w14:paraId="57043E60" w14:textId="77EAEE15"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45.2</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63.7</w:t>
            </w:r>
          </w:p>
        </w:tc>
      </w:tr>
      <w:tr w:rsidR="00DC1B6B" w:rsidRPr="0016373D" w14:paraId="68445056" w14:textId="77777777" w:rsidTr="00DC1B6B">
        <w:tc>
          <w:tcPr>
            <w:tcW w:w="1101" w:type="dxa"/>
            <w:shd w:val="clear" w:color="auto" w:fill="auto"/>
          </w:tcPr>
          <w:p w14:paraId="37E41790"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4468C601"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levofloxacin</w:t>
            </w:r>
          </w:p>
        </w:tc>
        <w:tc>
          <w:tcPr>
            <w:tcW w:w="1417" w:type="dxa"/>
            <w:shd w:val="clear" w:color="auto" w:fill="auto"/>
          </w:tcPr>
          <w:p w14:paraId="0280F44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647</w:t>
            </w:r>
          </w:p>
        </w:tc>
        <w:tc>
          <w:tcPr>
            <w:tcW w:w="969" w:type="dxa"/>
            <w:shd w:val="clear" w:color="auto" w:fill="auto"/>
          </w:tcPr>
          <w:p w14:paraId="2827E81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871</w:t>
            </w:r>
          </w:p>
        </w:tc>
        <w:tc>
          <w:tcPr>
            <w:tcW w:w="1418" w:type="dxa"/>
            <w:shd w:val="clear" w:color="auto" w:fill="auto"/>
          </w:tcPr>
          <w:p w14:paraId="1DFF78D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74.3</w:t>
            </w:r>
          </w:p>
        </w:tc>
        <w:tc>
          <w:tcPr>
            <w:tcW w:w="1512" w:type="dxa"/>
            <w:shd w:val="clear" w:color="auto" w:fill="auto"/>
          </w:tcPr>
          <w:p w14:paraId="6CCBFA0A" w14:textId="7E06EAE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71.4</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77.2</w:t>
            </w:r>
          </w:p>
        </w:tc>
      </w:tr>
      <w:tr w:rsidR="00DC1B6B" w:rsidRPr="0016373D" w14:paraId="4BAA0B86" w14:textId="77777777" w:rsidTr="00DC1B6B">
        <w:tc>
          <w:tcPr>
            <w:tcW w:w="1101" w:type="dxa"/>
            <w:shd w:val="clear" w:color="auto" w:fill="auto"/>
          </w:tcPr>
          <w:p w14:paraId="1FCAD314"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431065F4"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furazolidone</w:t>
            </w:r>
          </w:p>
        </w:tc>
        <w:tc>
          <w:tcPr>
            <w:tcW w:w="1417" w:type="dxa"/>
            <w:shd w:val="clear" w:color="auto" w:fill="auto"/>
          </w:tcPr>
          <w:p w14:paraId="67242A9D"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w:t>
            </w:r>
          </w:p>
        </w:tc>
        <w:tc>
          <w:tcPr>
            <w:tcW w:w="969" w:type="dxa"/>
            <w:shd w:val="clear" w:color="auto" w:fill="auto"/>
          </w:tcPr>
          <w:p w14:paraId="7183B53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20</w:t>
            </w:r>
          </w:p>
        </w:tc>
        <w:tc>
          <w:tcPr>
            <w:tcW w:w="1418" w:type="dxa"/>
            <w:shd w:val="clear" w:color="auto" w:fill="auto"/>
          </w:tcPr>
          <w:p w14:paraId="64CC7D5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35.0</w:t>
            </w:r>
          </w:p>
        </w:tc>
        <w:tc>
          <w:tcPr>
            <w:tcW w:w="1512" w:type="dxa"/>
            <w:shd w:val="clear" w:color="auto" w:fill="auto"/>
          </w:tcPr>
          <w:p w14:paraId="13F2260A" w14:textId="2F7D8865"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14.1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55.9</w:t>
            </w:r>
          </w:p>
        </w:tc>
      </w:tr>
      <w:tr w:rsidR="00DC1B6B" w:rsidRPr="0016373D" w14:paraId="6FF6BB2A" w14:textId="77777777" w:rsidTr="00DC1B6B">
        <w:tc>
          <w:tcPr>
            <w:tcW w:w="1101" w:type="dxa"/>
            <w:shd w:val="clear" w:color="auto" w:fill="auto"/>
          </w:tcPr>
          <w:p w14:paraId="5588EEDE"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014096AA"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Levofloxacin plus furazolidone</w:t>
            </w:r>
          </w:p>
        </w:tc>
        <w:tc>
          <w:tcPr>
            <w:tcW w:w="1417" w:type="dxa"/>
            <w:shd w:val="clear" w:color="auto" w:fill="auto"/>
          </w:tcPr>
          <w:p w14:paraId="25E0AD55"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w:t>
            </w:r>
          </w:p>
        </w:tc>
        <w:tc>
          <w:tcPr>
            <w:tcW w:w="969" w:type="dxa"/>
            <w:shd w:val="clear" w:color="auto" w:fill="auto"/>
          </w:tcPr>
          <w:p w14:paraId="37666AD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w:t>
            </w:r>
          </w:p>
        </w:tc>
        <w:tc>
          <w:tcPr>
            <w:tcW w:w="1418" w:type="dxa"/>
            <w:shd w:val="clear" w:color="auto" w:fill="auto"/>
          </w:tcPr>
          <w:p w14:paraId="6F1DEB6C"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33.3</w:t>
            </w:r>
          </w:p>
        </w:tc>
        <w:tc>
          <w:tcPr>
            <w:tcW w:w="1512" w:type="dxa"/>
            <w:shd w:val="clear" w:color="auto" w:fill="auto"/>
          </w:tcPr>
          <w:p w14:paraId="69DD75A2" w14:textId="07BD48D6" w:rsidR="00DC1B6B" w:rsidRPr="0016373D" w:rsidRDefault="00DC1B6B" w:rsidP="00107FF8">
            <w:pPr>
              <w:spacing w:line="360" w:lineRule="auto"/>
              <w:ind w:firstLineChars="50" w:firstLine="120"/>
              <w:jc w:val="left"/>
              <w:rPr>
                <w:rFonts w:ascii="Book Antiqua" w:eastAsia="宋体" w:hAnsi="Book Antiqua" w:cs="Times New Roman"/>
                <w:sz w:val="24"/>
                <w:szCs w:val="24"/>
              </w:rPr>
            </w:pPr>
            <w:r w:rsidRPr="0016373D">
              <w:rPr>
                <w:rFonts w:ascii="Book Antiqua" w:eastAsia="宋体" w:hAnsi="Book Antiqua" w:cs="Times New Roman"/>
                <w:sz w:val="24"/>
                <w:szCs w:val="24"/>
              </w:rPr>
              <w:t>0.0</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86.7</w:t>
            </w:r>
          </w:p>
        </w:tc>
      </w:tr>
      <w:tr w:rsidR="00DC1B6B" w:rsidRPr="0016373D" w14:paraId="182F3F99" w14:textId="77777777" w:rsidTr="00DC1B6B">
        <w:tc>
          <w:tcPr>
            <w:tcW w:w="1101" w:type="dxa"/>
            <w:shd w:val="clear" w:color="auto" w:fill="auto"/>
          </w:tcPr>
          <w:p w14:paraId="67772900" w14:textId="77777777" w:rsidR="00DC1B6B" w:rsidRPr="00DC1B6B" w:rsidRDefault="00DC1B6B" w:rsidP="00107FF8">
            <w:pPr>
              <w:spacing w:line="360" w:lineRule="auto"/>
              <w:rPr>
                <w:rFonts w:ascii="Book Antiqua" w:eastAsia="宋体" w:hAnsi="Book Antiqua" w:cs="Times New Roman"/>
                <w:bCs/>
                <w:sz w:val="24"/>
                <w:szCs w:val="24"/>
              </w:rPr>
            </w:pPr>
            <w:r w:rsidRPr="00DC1B6B">
              <w:rPr>
                <w:rFonts w:ascii="Book Antiqua" w:eastAsia="宋体" w:hAnsi="Book Antiqua" w:cs="Times New Roman"/>
                <w:bCs/>
                <w:sz w:val="24"/>
                <w:szCs w:val="24"/>
              </w:rPr>
              <w:t>Rescue</w:t>
            </w:r>
          </w:p>
        </w:tc>
        <w:tc>
          <w:tcPr>
            <w:tcW w:w="3851" w:type="dxa"/>
            <w:shd w:val="clear" w:color="auto" w:fill="auto"/>
          </w:tcPr>
          <w:p w14:paraId="616CD0D2"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Total</w:t>
            </w:r>
          </w:p>
        </w:tc>
        <w:tc>
          <w:tcPr>
            <w:tcW w:w="1417" w:type="dxa"/>
            <w:shd w:val="clear" w:color="auto" w:fill="auto"/>
          </w:tcPr>
          <w:p w14:paraId="2693F0B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248</w:t>
            </w:r>
          </w:p>
        </w:tc>
        <w:tc>
          <w:tcPr>
            <w:tcW w:w="969" w:type="dxa"/>
            <w:shd w:val="clear" w:color="auto" w:fill="auto"/>
          </w:tcPr>
          <w:p w14:paraId="14876472"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373</w:t>
            </w:r>
          </w:p>
        </w:tc>
        <w:tc>
          <w:tcPr>
            <w:tcW w:w="1418" w:type="dxa"/>
            <w:shd w:val="clear" w:color="auto" w:fill="auto"/>
          </w:tcPr>
          <w:p w14:paraId="29251E7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66.5</w:t>
            </w:r>
          </w:p>
        </w:tc>
        <w:tc>
          <w:tcPr>
            <w:tcW w:w="1512" w:type="dxa"/>
            <w:shd w:val="clear" w:color="auto" w:fill="auto"/>
          </w:tcPr>
          <w:p w14:paraId="100E85CA" w14:textId="29848D35"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61.7</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71.3</w:t>
            </w:r>
          </w:p>
        </w:tc>
      </w:tr>
      <w:tr w:rsidR="00DC1B6B" w:rsidRPr="0016373D" w14:paraId="6C3895FC" w14:textId="77777777" w:rsidTr="00DC1B6B">
        <w:tc>
          <w:tcPr>
            <w:tcW w:w="1101" w:type="dxa"/>
            <w:shd w:val="clear" w:color="auto" w:fill="auto"/>
          </w:tcPr>
          <w:p w14:paraId="67A7804F"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1FF24B97"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clarithromycin</w:t>
            </w:r>
          </w:p>
        </w:tc>
        <w:tc>
          <w:tcPr>
            <w:tcW w:w="1417" w:type="dxa"/>
            <w:shd w:val="clear" w:color="auto" w:fill="auto"/>
          </w:tcPr>
          <w:p w14:paraId="2D4AA11F"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81</w:t>
            </w:r>
          </w:p>
        </w:tc>
        <w:tc>
          <w:tcPr>
            <w:tcW w:w="969" w:type="dxa"/>
            <w:shd w:val="clear" w:color="auto" w:fill="auto"/>
          </w:tcPr>
          <w:p w14:paraId="2313DDC2"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105</w:t>
            </w:r>
          </w:p>
        </w:tc>
        <w:tc>
          <w:tcPr>
            <w:tcW w:w="1418" w:type="dxa"/>
            <w:shd w:val="clear" w:color="auto" w:fill="auto"/>
          </w:tcPr>
          <w:p w14:paraId="4C2F177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77.1</w:t>
            </w:r>
          </w:p>
        </w:tc>
        <w:tc>
          <w:tcPr>
            <w:tcW w:w="1512" w:type="dxa"/>
            <w:shd w:val="clear" w:color="auto" w:fill="auto"/>
          </w:tcPr>
          <w:p w14:paraId="45A52992" w14:textId="2CF50089"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69.1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85.2</w:t>
            </w:r>
          </w:p>
        </w:tc>
      </w:tr>
      <w:tr w:rsidR="00DC1B6B" w:rsidRPr="0016373D" w14:paraId="10BBB63C" w14:textId="77777777" w:rsidTr="00DC1B6B">
        <w:tc>
          <w:tcPr>
            <w:tcW w:w="1101" w:type="dxa"/>
            <w:shd w:val="clear" w:color="auto" w:fill="auto"/>
          </w:tcPr>
          <w:p w14:paraId="51DEDD7B"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6DE3981D"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levofloxacin</w:t>
            </w:r>
          </w:p>
        </w:tc>
        <w:tc>
          <w:tcPr>
            <w:tcW w:w="1417" w:type="dxa"/>
            <w:shd w:val="clear" w:color="auto" w:fill="auto"/>
          </w:tcPr>
          <w:p w14:paraId="4F4F87F8"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13</w:t>
            </w:r>
          </w:p>
        </w:tc>
        <w:tc>
          <w:tcPr>
            <w:tcW w:w="969" w:type="dxa"/>
            <w:shd w:val="clear" w:color="auto" w:fill="auto"/>
          </w:tcPr>
          <w:p w14:paraId="3920239D"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22</w:t>
            </w:r>
          </w:p>
        </w:tc>
        <w:tc>
          <w:tcPr>
            <w:tcW w:w="1418" w:type="dxa"/>
            <w:shd w:val="clear" w:color="auto" w:fill="auto"/>
          </w:tcPr>
          <w:p w14:paraId="210314C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59.1</w:t>
            </w:r>
          </w:p>
        </w:tc>
        <w:tc>
          <w:tcPr>
            <w:tcW w:w="1512" w:type="dxa"/>
            <w:shd w:val="clear" w:color="auto" w:fill="auto"/>
          </w:tcPr>
          <w:p w14:paraId="0E41E35A" w14:textId="14475A8B"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38.5</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79.6</w:t>
            </w:r>
          </w:p>
        </w:tc>
      </w:tr>
      <w:tr w:rsidR="00DC1B6B" w:rsidRPr="0016373D" w14:paraId="333A3D8F" w14:textId="77777777" w:rsidTr="00DC1B6B">
        <w:tc>
          <w:tcPr>
            <w:tcW w:w="1101" w:type="dxa"/>
            <w:shd w:val="clear" w:color="auto" w:fill="auto"/>
          </w:tcPr>
          <w:p w14:paraId="0C4ADAAA"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2EB36E72"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furazolidone</w:t>
            </w:r>
          </w:p>
        </w:tc>
        <w:tc>
          <w:tcPr>
            <w:tcW w:w="1417" w:type="dxa"/>
            <w:shd w:val="clear" w:color="auto" w:fill="auto"/>
          </w:tcPr>
          <w:p w14:paraId="34A0D83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42</w:t>
            </w:r>
          </w:p>
        </w:tc>
        <w:tc>
          <w:tcPr>
            <w:tcW w:w="969" w:type="dxa"/>
            <w:shd w:val="clear" w:color="auto" w:fill="auto"/>
          </w:tcPr>
          <w:p w14:paraId="199396C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52</w:t>
            </w:r>
          </w:p>
        </w:tc>
        <w:tc>
          <w:tcPr>
            <w:tcW w:w="1418" w:type="dxa"/>
            <w:shd w:val="clear" w:color="auto" w:fill="auto"/>
          </w:tcPr>
          <w:p w14:paraId="4E0C90EF"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80.8</w:t>
            </w:r>
          </w:p>
        </w:tc>
        <w:tc>
          <w:tcPr>
            <w:tcW w:w="1512" w:type="dxa"/>
            <w:shd w:val="clear" w:color="auto" w:fill="auto"/>
          </w:tcPr>
          <w:p w14:paraId="5320FA96" w14:textId="2F1E5FED"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70.1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91.5</w:t>
            </w:r>
          </w:p>
        </w:tc>
      </w:tr>
      <w:tr w:rsidR="00DC1B6B" w:rsidRPr="0016373D" w14:paraId="2C04F38B" w14:textId="77777777" w:rsidTr="00DC1B6B">
        <w:tc>
          <w:tcPr>
            <w:tcW w:w="1101" w:type="dxa"/>
            <w:shd w:val="clear" w:color="auto" w:fill="auto"/>
          </w:tcPr>
          <w:p w14:paraId="5C587475"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4878A0B8"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metronidazole</w:t>
            </w:r>
          </w:p>
        </w:tc>
        <w:tc>
          <w:tcPr>
            <w:tcW w:w="1417" w:type="dxa"/>
            <w:shd w:val="clear" w:color="auto" w:fill="auto"/>
          </w:tcPr>
          <w:p w14:paraId="56BA821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20</w:t>
            </w:r>
          </w:p>
        </w:tc>
        <w:tc>
          <w:tcPr>
            <w:tcW w:w="969" w:type="dxa"/>
            <w:shd w:val="clear" w:color="auto" w:fill="auto"/>
          </w:tcPr>
          <w:p w14:paraId="4C1E997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36</w:t>
            </w:r>
          </w:p>
        </w:tc>
        <w:tc>
          <w:tcPr>
            <w:tcW w:w="1418" w:type="dxa"/>
            <w:shd w:val="clear" w:color="auto" w:fill="auto"/>
          </w:tcPr>
          <w:p w14:paraId="4CF2E2B1"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55.6</w:t>
            </w:r>
          </w:p>
        </w:tc>
        <w:tc>
          <w:tcPr>
            <w:tcW w:w="1512" w:type="dxa"/>
            <w:shd w:val="clear" w:color="auto" w:fill="auto"/>
          </w:tcPr>
          <w:p w14:paraId="1CEF866E" w14:textId="717B97AC"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39.3</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71.8</w:t>
            </w:r>
          </w:p>
        </w:tc>
      </w:tr>
      <w:tr w:rsidR="00DC1B6B" w:rsidRPr="0016373D" w14:paraId="21087C1D" w14:textId="77777777" w:rsidTr="00DC1B6B">
        <w:tc>
          <w:tcPr>
            <w:tcW w:w="1101" w:type="dxa"/>
            <w:shd w:val="clear" w:color="auto" w:fill="auto"/>
          </w:tcPr>
          <w:p w14:paraId="54FFDD35"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76D61F8E"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levofloxacin</w:t>
            </w:r>
          </w:p>
        </w:tc>
        <w:tc>
          <w:tcPr>
            <w:tcW w:w="1417" w:type="dxa"/>
            <w:shd w:val="clear" w:color="auto" w:fill="auto"/>
          </w:tcPr>
          <w:p w14:paraId="0F857A9B"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73</w:t>
            </w:r>
          </w:p>
        </w:tc>
        <w:tc>
          <w:tcPr>
            <w:tcW w:w="969" w:type="dxa"/>
            <w:shd w:val="clear" w:color="auto" w:fill="auto"/>
          </w:tcPr>
          <w:p w14:paraId="0EBD5511"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128</w:t>
            </w:r>
          </w:p>
        </w:tc>
        <w:tc>
          <w:tcPr>
            <w:tcW w:w="1418" w:type="dxa"/>
            <w:shd w:val="clear" w:color="auto" w:fill="auto"/>
          </w:tcPr>
          <w:p w14:paraId="10752EF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57.0</w:t>
            </w:r>
          </w:p>
        </w:tc>
        <w:tc>
          <w:tcPr>
            <w:tcW w:w="1512" w:type="dxa"/>
            <w:shd w:val="clear" w:color="auto" w:fill="auto"/>
          </w:tcPr>
          <w:p w14:paraId="7A977FA3" w14:textId="3A6DB6F6"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48.5</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65.6</w:t>
            </w:r>
          </w:p>
        </w:tc>
      </w:tr>
      <w:tr w:rsidR="00DC1B6B" w:rsidRPr="0016373D" w14:paraId="171CFD2D" w14:textId="77777777" w:rsidTr="00DC1B6B">
        <w:tc>
          <w:tcPr>
            <w:tcW w:w="1101" w:type="dxa"/>
            <w:shd w:val="clear" w:color="auto" w:fill="auto"/>
          </w:tcPr>
          <w:p w14:paraId="5D8E2D97"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shd w:val="clear" w:color="auto" w:fill="auto"/>
          </w:tcPr>
          <w:p w14:paraId="3277D784"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furazolidone</w:t>
            </w:r>
          </w:p>
        </w:tc>
        <w:tc>
          <w:tcPr>
            <w:tcW w:w="1417" w:type="dxa"/>
            <w:shd w:val="clear" w:color="auto" w:fill="auto"/>
          </w:tcPr>
          <w:p w14:paraId="3A93BEB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w:t>
            </w:r>
          </w:p>
        </w:tc>
        <w:tc>
          <w:tcPr>
            <w:tcW w:w="969" w:type="dxa"/>
            <w:shd w:val="clear" w:color="auto" w:fill="auto"/>
          </w:tcPr>
          <w:p w14:paraId="5109460E"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14</w:t>
            </w:r>
          </w:p>
        </w:tc>
        <w:tc>
          <w:tcPr>
            <w:tcW w:w="1418" w:type="dxa"/>
            <w:shd w:val="clear" w:color="auto" w:fill="auto"/>
          </w:tcPr>
          <w:p w14:paraId="6BD1686A"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57.1</w:t>
            </w:r>
          </w:p>
        </w:tc>
        <w:tc>
          <w:tcPr>
            <w:tcW w:w="1512" w:type="dxa"/>
            <w:shd w:val="clear" w:color="auto" w:fill="auto"/>
          </w:tcPr>
          <w:p w14:paraId="5B9FA8D6" w14:textId="071240F4"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31.2</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83.1</w:t>
            </w:r>
          </w:p>
        </w:tc>
      </w:tr>
      <w:tr w:rsidR="00DC1B6B" w:rsidRPr="0016373D" w14:paraId="5DD199C9" w14:textId="77777777" w:rsidTr="00DC1B6B">
        <w:tc>
          <w:tcPr>
            <w:tcW w:w="1101" w:type="dxa"/>
            <w:tcBorders>
              <w:bottom w:val="single" w:sz="8" w:space="0" w:color="auto"/>
            </w:tcBorders>
            <w:shd w:val="clear" w:color="auto" w:fill="auto"/>
          </w:tcPr>
          <w:p w14:paraId="4E295C3F" w14:textId="77777777" w:rsidR="00DC1B6B" w:rsidRPr="0016373D" w:rsidRDefault="00DC1B6B" w:rsidP="00107FF8">
            <w:pPr>
              <w:spacing w:line="360" w:lineRule="auto"/>
              <w:rPr>
                <w:rFonts w:ascii="Book Antiqua" w:eastAsia="宋体" w:hAnsi="Book Antiqua" w:cs="Times New Roman"/>
                <w:b/>
                <w:sz w:val="24"/>
                <w:szCs w:val="24"/>
              </w:rPr>
            </w:pPr>
          </w:p>
        </w:tc>
        <w:tc>
          <w:tcPr>
            <w:tcW w:w="3851" w:type="dxa"/>
            <w:tcBorders>
              <w:bottom w:val="single" w:sz="8" w:space="0" w:color="auto"/>
            </w:tcBorders>
            <w:shd w:val="clear" w:color="auto" w:fill="auto"/>
          </w:tcPr>
          <w:p w14:paraId="23C4BFDE" w14:textId="77777777" w:rsidR="00DC1B6B" w:rsidRPr="0016373D" w:rsidRDefault="00DC1B6B" w:rsidP="00107FF8">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Levofloxacin plus furazolidone</w:t>
            </w:r>
          </w:p>
        </w:tc>
        <w:tc>
          <w:tcPr>
            <w:tcW w:w="1417" w:type="dxa"/>
            <w:tcBorders>
              <w:bottom w:val="single" w:sz="8" w:space="0" w:color="auto"/>
            </w:tcBorders>
            <w:shd w:val="clear" w:color="auto" w:fill="auto"/>
          </w:tcPr>
          <w:p w14:paraId="4E017F77"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w:t>
            </w:r>
          </w:p>
        </w:tc>
        <w:tc>
          <w:tcPr>
            <w:tcW w:w="969" w:type="dxa"/>
            <w:tcBorders>
              <w:bottom w:val="single" w:sz="8" w:space="0" w:color="auto"/>
            </w:tcBorders>
            <w:shd w:val="clear" w:color="auto" w:fill="auto"/>
          </w:tcPr>
          <w:p w14:paraId="2A83CD93"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16</w:t>
            </w:r>
          </w:p>
        </w:tc>
        <w:tc>
          <w:tcPr>
            <w:tcW w:w="1418" w:type="dxa"/>
            <w:tcBorders>
              <w:bottom w:val="single" w:sz="8" w:space="0" w:color="auto"/>
            </w:tcBorders>
            <w:shd w:val="clear" w:color="auto" w:fill="auto"/>
          </w:tcPr>
          <w:p w14:paraId="1D7255F9" w14:textId="77777777"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68.8</w:t>
            </w:r>
          </w:p>
        </w:tc>
        <w:tc>
          <w:tcPr>
            <w:tcW w:w="1512" w:type="dxa"/>
            <w:tcBorders>
              <w:bottom w:val="single" w:sz="8" w:space="0" w:color="auto"/>
            </w:tcBorders>
            <w:shd w:val="clear" w:color="auto" w:fill="auto"/>
          </w:tcPr>
          <w:p w14:paraId="4658F591" w14:textId="159D024D" w:rsidR="00DC1B6B" w:rsidRPr="0016373D" w:rsidRDefault="00DC1B6B" w:rsidP="00107FF8">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46.0</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91.5</w:t>
            </w:r>
          </w:p>
        </w:tc>
      </w:tr>
    </w:tbl>
    <w:p w14:paraId="7936157C" w14:textId="1DEF5CA1" w:rsidR="00F1462E" w:rsidRPr="000A1B5D" w:rsidRDefault="00DC1B6B" w:rsidP="00A5633C">
      <w:pPr>
        <w:adjustRightInd w:val="0"/>
        <w:snapToGrid w:val="0"/>
        <w:spacing w:line="360" w:lineRule="auto"/>
        <w:rPr>
          <w:rFonts w:ascii="Book Antiqua" w:hAnsi="Book Antiqua" w:cs="Times New Roman"/>
          <w:sz w:val="24"/>
          <w:szCs w:val="24"/>
        </w:rPr>
      </w:pPr>
      <w:r w:rsidRPr="0016373D">
        <w:rPr>
          <w:rFonts w:ascii="Book Antiqua" w:hAnsi="Book Antiqua" w:cs="Times New Roman"/>
          <w:sz w:val="24"/>
          <w:szCs w:val="24"/>
        </w:rPr>
        <w:t xml:space="preserve">The </w:t>
      </w:r>
      <w:r>
        <w:rPr>
          <w:rFonts w:ascii="Book Antiqua" w:hAnsi="Book Antiqua" w:cs="Times New Roman"/>
          <w:sz w:val="24"/>
          <w:szCs w:val="24"/>
        </w:rPr>
        <w:t xml:space="preserve">following </w:t>
      </w:r>
      <w:r w:rsidRPr="0016373D">
        <w:rPr>
          <w:rFonts w:ascii="Book Antiqua" w:hAnsi="Book Antiqua" w:cs="Times New Roman"/>
          <w:sz w:val="24"/>
          <w:szCs w:val="24"/>
        </w:rPr>
        <w:t xml:space="preserve">antibiotic </w:t>
      </w:r>
      <w:r>
        <w:rPr>
          <w:rFonts w:ascii="Book Antiqua" w:hAnsi="Book Antiqua" w:cs="Times New Roman"/>
          <w:sz w:val="24"/>
          <w:szCs w:val="24"/>
        </w:rPr>
        <w:t xml:space="preserve">dosages were prescribed: </w:t>
      </w:r>
      <w:r w:rsidR="009B57E5">
        <w:rPr>
          <w:rFonts w:ascii="Book Antiqua" w:hAnsi="Book Antiqua" w:cs="Times New Roman"/>
          <w:sz w:val="24"/>
          <w:szCs w:val="24"/>
        </w:rPr>
        <w:t>A</w:t>
      </w:r>
      <w:r w:rsidR="009B57E5" w:rsidRPr="0016373D">
        <w:rPr>
          <w:rFonts w:ascii="Book Antiqua" w:hAnsi="Book Antiqua" w:cs="Times New Roman"/>
          <w:sz w:val="24"/>
          <w:szCs w:val="24"/>
        </w:rPr>
        <w:t>moxicillin</w:t>
      </w:r>
      <w:r>
        <w:rPr>
          <w:rFonts w:ascii="Book Antiqua" w:hAnsi="Book Antiqua" w:cs="Times New Roman"/>
          <w:sz w:val="24"/>
          <w:szCs w:val="24"/>
        </w:rPr>
        <w:t>,</w:t>
      </w:r>
      <w:r w:rsidRPr="0016373D">
        <w:rPr>
          <w:rFonts w:ascii="Book Antiqua" w:hAnsi="Book Antiqua" w:cs="Times New Roman"/>
          <w:sz w:val="24"/>
          <w:szCs w:val="24"/>
        </w:rPr>
        <w:t xml:space="preserve"> 1000 mg bid</w:t>
      </w:r>
      <w:r>
        <w:rPr>
          <w:rFonts w:ascii="Book Antiqua" w:hAnsi="Book Antiqua" w:cs="Times New Roman"/>
          <w:sz w:val="24"/>
          <w:szCs w:val="24"/>
        </w:rPr>
        <w:t>;</w:t>
      </w:r>
      <w:r w:rsidRPr="0016373D">
        <w:rPr>
          <w:rFonts w:ascii="Book Antiqua" w:hAnsi="Book Antiqua" w:cs="Times New Roman"/>
          <w:sz w:val="24"/>
          <w:szCs w:val="24"/>
        </w:rPr>
        <w:t xml:space="preserve"> clarithromycin</w:t>
      </w:r>
      <w:r>
        <w:rPr>
          <w:rFonts w:ascii="Book Antiqua" w:hAnsi="Book Antiqua" w:cs="Times New Roman"/>
          <w:sz w:val="24"/>
          <w:szCs w:val="24"/>
        </w:rPr>
        <w:t>,</w:t>
      </w:r>
      <w:r w:rsidRPr="0016373D">
        <w:rPr>
          <w:rFonts w:ascii="Book Antiqua" w:hAnsi="Book Antiqua" w:cs="Times New Roman"/>
          <w:sz w:val="24"/>
          <w:szCs w:val="24"/>
        </w:rPr>
        <w:t xml:space="preserve"> 500 mg bid</w:t>
      </w:r>
      <w:r>
        <w:rPr>
          <w:rFonts w:ascii="Book Antiqua" w:hAnsi="Book Antiqua" w:cs="Times New Roman"/>
          <w:sz w:val="24"/>
          <w:szCs w:val="24"/>
        </w:rPr>
        <w:t>;</w:t>
      </w:r>
      <w:r w:rsidRPr="0016373D">
        <w:rPr>
          <w:rFonts w:ascii="Book Antiqua" w:hAnsi="Book Antiqua" w:cs="Times New Roman"/>
          <w:sz w:val="24"/>
          <w:szCs w:val="24"/>
        </w:rPr>
        <w:t xml:space="preserve"> </w:t>
      </w:r>
      <w:proofErr w:type="spellStart"/>
      <w:r w:rsidRPr="0016373D">
        <w:rPr>
          <w:rFonts w:ascii="Book Antiqua" w:hAnsi="Book Antiqua" w:cs="Times New Roman"/>
          <w:sz w:val="24"/>
          <w:szCs w:val="24"/>
        </w:rPr>
        <w:t>levoflaxacin</w:t>
      </w:r>
      <w:proofErr w:type="spellEnd"/>
      <w:r>
        <w:rPr>
          <w:rFonts w:ascii="Book Antiqua" w:hAnsi="Book Antiqua" w:cs="Times New Roman"/>
          <w:sz w:val="24"/>
          <w:szCs w:val="24"/>
        </w:rPr>
        <w:t>,</w:t>
      </w:r>
      <w:r w:rsidRPr="0016373D">
        <w:rPr>
          <w:rFonts w:ascii="Book Antiqua" w:hAnsi="Book Antiqua" w:cs="Times New Roman"/>
          <w:sz w:val="24"/>
          <w:szCs w:val="24"/>
        </w:rPr>
        <w:t xml:space="preserve"> 500 mg </w:t>
      </w:r>
      <w:proofErr w:type="spellStart"/>
      <w:r w:rsidRPr="0016373D">
        <w:rPr>
          <w:rFonts w:ascii="Book Antiqua" w:hAnsi="Book Antiqua" w:cs="Times New Roman"/>
          <w:sz w:val="24"/>
          <w:szCs w:val="24"/>
        </w:rPr>
        <w:t>qd</w:t>
      </w:r>
      <w:proofErr w:type="spellEnd"/>
      <w:r w:rsidRPr="0016373D">
        <w:rPr>
          <w:rFonts w:ascii="Book Antiqua" w:hAnsi="Book Antiqua" w:cs="Times New Roman"/>
          <w:sz w:val="24"/>
          <w:szCs w:val="24"/>
        </w:rPr>
        <w:t xml:space="preserve"> or 200 mg bid</w:t>
      </w:r>
      <w:r>
        <w:rPr>
          <w:rFonts w:ascii="Book Antiqua" w:hAnsi="Book Antiqua" w:cs="Times New Roman"/>
          <w:sz w:val="24"/>
          <w:szCs w:val="24"/>
        </w:rPr>
        <w:t>;</w:t>
      </w:r>
      <w:r w:rsidRPr="0016373D">
        <w:rPr>
          <w:rFonts w:ascii="Book Antiqua" w:hAnsi="Book Antiqua" w:cs="Times New Roman"/>
          <w:sz w:val="24"/>
          <w:szCs w:val="24"/>
        </w:rPr>
        <w:t xml:space="preserve"> furazolidone</w:t>
      </w:r>
      <w:r>
        <w:rPr>
          <w:rFonts w:ascii="Book Antiqua" w:hAnsi="Book Antiqua" w:cs="Times New Roman"/>
          <w:sz w:val="24"/>
          <w:szCs w:val="24"/>
        </w:rPr>
        <w:t>,</w:t>
      </w:r>
      <w:r w:rsidRPr="0016373D">
        <w:rPr>
          <w:rFonts w:ascii="Book Antiqua" w:hAnsi="Book Antiqua" w:cs="Times New Roman"/>
          <w:sz w:val="24"/>
          <w:szCs w:val="24"/>
        </w:rPr>
        <w:t xml:space="preserve"> 100 mg bid</w:t>
      </w:r>
      <w:r>
        <w:rPr>
          <w:rFonts w:ascii="Book Antiqua" w:hAnsi="Book Antiqua" w:cs="Times New Roman"/>
          <w:sz w:val="24"/>
          <w:szCs w:val="24"/>
        </w:rPr>
        <w:t>;</w:t>
      </w:r>
      <w:r w:rsidRPr="0016373D">
        <w:rPr>
          <w:rFonts w:ascii="Book Antiqua" w:hAnsi="Book Antiqua" w:cs="Times New Roman"/>
          <w:sz w:val="24"/>
          <w:szCs w:val="24"/>
        </w:rPr>
        <w:t xml:space="preserve"> metronidazole</w:t>
      </w:r>
      <w:r>
        <w:rPr>
          <w:rFonts w:ascii="Book Antiqua" w:hAnsi="Book Antiqua" w:cs="Times New Roman"/>
          <w:sz w:val="24"/>
          <w:szCs w:val="24"/>
        </w:rPr>
        <w:t>,</w:t>
      </w:r>
      <w:r w:rsidRPr="0016373D">
        <w:rPr>
          <w:rFonts w:ascii="Book Antiqua" w:hAnsi="Book Antiqua" w:cs="Times New Roman"/>
          <w:sz w:val="24"/>
          <w:szCs w:val="24"/>
        </w:rPr>
        <w:t xml:space="preserve"> 200 mg bid, 400 mg bid</w:t>
      </w:r>
      <w:r>
        <w:rPr>
          <w:rFonts w:ascii="Book Antiqua" w:hAnsi="Book Antiqua" w:cs="Times New Roman"/>
          <w:sz w:val="24"/>
          <w:szCs w:val="24"/>
        </w:rPr>
        <w:t>,</w:t>
      </w:r>
      <w:r w:rsidRPr="0016373D">
        <w:rPr>
          <w:rFonts w:ascii="Book Antiqua" w:hAnsi="Book Antiqua" w:cs="Times New Roman"/>
          <w:sz w:val="24"/>
          <w:szCs w:val="24"/>
        </w:rPr>
        <w:t xml:space="preserve"> or 200 mg </w:t>
      </w:r>
      <w:proofErr w:type="spellStart"/>
      <w:r w:rsidRPr="0016373D">
        <w:rPr>
          <w:rFonts w:ascii="Book Antiqua" w:hAnsi="Book Antiqua" w:cs="Times New Roman"/>
          <w:sz w:val="24"/>
          <w:szCs w:val="24"/>
        </w:rPr>
        <w:t>tid</w:t>
      </w:r>
      <w:proofErr w:type="spellEnd"/>
      <w:r w:rsidRPr="0016373D">
        <w:rPr>
          <w:rFonts w:ascii="Book Antiqua" w:hAnsi="Book Antiqua" w:cs="Times New Roman"/>
          <w:sz w:val="24"/>
          <w:szCs w:val="24"/>
        </w:rPr>
        <w:t>.</w:t>
      </w:r>
    </w:p>
    <w:p w14:paraId="2AE33BA5" w14:textId="77777777" w:rsidR="00F1462E" w:rsidRPr="009B57E5" w:rsidRDefault="00F1462E" w:rsidP="00193349">
      <w:pPr>
        <w:widowControl/>
        <w:spacing w:line="360" w:lineRule="auto"/>
        <w:jc w:val="left"/>
        <w:rPr>
          <w:rFonts w:ascii="Book Antiqua" w:eastAsia="宋体" w:hAnsi="Book Antiqua" w:cs="Times New Roman"/>
          <w:sz w:val="24"/>
          <w:szCs w:val="24"/>
        </w:rPr>
        <w:sectPr w:rsidR="00F1462E" w:rsidRPr="009B57E5" w:rsidSect="00193349">
          <w:pgSz w:w="11906" w:h="16838"/>
          <w:pgMar w:top="1440" w:right="1800" w:bottom="1440" w:left="1800" w:header="851" w:footer="992" w:gutter="0"/>
          <w:cols w:space="425"/>
          <w:docGrid w:type="lines" w:linePitch="312"/>
        </w:sectPr>
      </w:pPr>
    </w:p>
    <w:tbl>
      <w:tblPr>
        <w:tblW w:w="4757" w:type="pct"/>
        <w:tblBorders>
          <w:top w:val="single" w:sz="4" w:space="0" w:color="auto"/>
          <w:bottom w:val="single" w:sz="4" w:space="0" w:color="auto"/>
        </w:tblBorders>
        <w:tblLayout w:type="fixed"/>
        <w:tblLook w:val="04A0" w:firstRow="1" w:lastRow="0" w:firstColumn="1" w:lastColumn="0" w:noHBand="0" w:noVBand="1"/>
      </w:tblPr>
      <w:tblGrid>
        <w:gridCol w:w="1950"/>
        <w:gridCol w:w="3293"/>
        <w:gridCol w:w="1273"/>
        <w:gridCol w:w="1553"/>
        <w:gridCol w:w="1036"/>
        <w:gridCol w:w="388"/>
        <w:gridCol w:w="1330"/>
        <w:gridCol w:w="1632"/>
        <w:gridCol w:w="1030"/>
      </w:tblGrid>
      <w:tr w:rsidR="00F1462E" w:rsidRPr="0016373D" w14:paraId="7ED80D1E" w14:textId="77777777" w:rsidTr="00193349">
        <w:trPr>
          <w:trHeight w:val="402"/>
        </w:trPr>
        <w:tc>
          <w:tcPr>
            <w:tcW w:w="5000" w:type="pct"/>
            <w:gridSpan w:val="9"/>
            <w:tcBorders>
              <w:top w:val="nil"/>
              <w:bottom w:val="single" w:sz="4" w:space="0" w:color="auto"/>
            </w:tcBorders>
          </w:tcPr>
          <w:p w14:paraId="6A73FDAF" w14:textId="4D8E5812" w:rsidR="00F1462E" w:rsidRPr="0016373D" w:rsidRDefault="00F1462E">
            <w:pPr>
              <w:widowControl/>
              <w:spacing w:line="360" w:lineRule="auto"/>
              <w:rPr>
                <w:rFonts w:ascii="Book Antiqua" w:eastAsia="宋体" w:hAnsi="Book Antiqua" w:cs="Times New Roman"/>
                <w:b/>
                <w:color w:val="000000"/>
                <w:sz w:val="24"/>
                <w:szCs w:val="24"/>
              </w:rPr>
            </w:pPr>
            <w:r w:rsidRPr="0016373D">
              <w:rPr>
                <w:rFonts w:ascii="Book Antiqua" w:eastAsia="宋体" w:hAnsi="Book Antiqua" w:cs="Times New Roman"/>
                <w:b/>
                <w:color w:val="000000"/>
                <w:sz w:val="24"/>
                <w:szCs w:val="24"/>
              </w:rPr>
              <w:lastRenderedPageBreak/>
              <w:t xml:space="preserve">Table 4 </w:t>
            </w:r>
            <w:r w:rsidRPr="0016373D">
              <w:rPr>
                <w:rFonts w:ascii="Book Antiqua" w:eastAsia="宋体" w:hAnsi="Book Antiqua" w:cs="Times New Roman"/>
                <w:b/>
                <w:sz w:val="24"/>
                <w:szCs w:val="24"/>
              </w:rPr>
              <w:t>Univariate and multivariate analys</w:t>
            </w:r>
            <w:r>
              <w:rPr>
                <w:rFonts w:ascii="Book Antiqua" w:eastAsia="宋体" w:hAnsi="Book Antiqua" w:cs="Times New Roman"/>
                <w:b/>
                <w:sz w:val="24"/>
                <w:szCs w:val="24"/>
              </w:rPr>
              <w:t>e</w:t>
            </w:r>
            <w:r w:rsidRPr="0016373D">
              <w:rPr>
                <w:rFonts w:ascii="Book Antiqua" w:eastAsia="宋体" w:hAnsi="Book Antiqua" w:cs="Times New Roman"/>
                <w:b/>
                <w:sz w:val="24"/>
                <w:szCs w:val="24"/>
              </w:rPr>
              <w:t xml:space="preserve">s </w:t>
            </w:r>
            <w:r w:rsidR="009B57E5">
              <w:rPr>
                <w:rFonts w:ascii="Book Antiqua" w:eastAsia="宋体" w:hAnsi="Book Antiqua" w:cs="Times New Roman"/>
                <w:b/>
                <w:sz w:val="24"/>
                <w:szCs w:val="24"/>
              </w:rPr>
              <w:t>of</w:t>
            </w:r>
            <w:r w:rsidR="009B57E5" w:rsidRPr="0016373D">
              <w:rPr>
                <w:rFonts w:ascii="Book Antiqua" w:eastAsia="宋体" w:hAnsi="Book Antiqua" w:cs="Times New Roman"/>
                <w:b/>
                <w:sz w:val="24"/>
                <w:szCs w:val="24"/>
              </w:rPr>
              <w:t xml:space="preserve"> </w:t>
            </w:r>
            <w:r w:rsidRPr="0016373D">
              <w:rPr>
                <w:rFonts w:ascii="Book Antiqua" w:eastAsia="宋体" w:hAnsi="Book Antiqua" w:cs="Times New Roman"/>
                <w:b/>
                <w:sz w:val="24"/>
                <w:szCs w:val="24"/>
              </w:rPr>
              <w:t xml:space="preserve">risk factors </w:t>
            </w:r>
            <w:r w:rsidR="009B57E5">
              <w:rPr>
                <w:rFonts w:ascii="Book Antiqua" w:eastAsia="宋体" w:hAnsi="Book Antiqua" w:cs="Times New Roman"/>
                <w:b/>
                <w:sz w:val="24"/>
                <w:szCs w:val="24"/>
              </w:rPr>
              <w:t>for</w:t>
            </w:r>
            <w:r w:rsidR="009B57E5" w:rsidRPr="0016373D">
              <w:rPr>
                <w:rFonts w:ascii="Book Antiqua" w:eastAsia="宋体" w:hAnsi="Book Antiqua" w:cs="Times New Roman"/>
                <w:b/>
                <w:sz w:val="24"/>
                <w:szCs w:val="24"/>
              </w:rPr>
              <w:t xml:space="preserve"> </w:t>
            </w:r>
            <w:r w:rsidRPr="0016373D">
              <w:rPr>
                <w:rFonts w:ascii="Book Antiqua" w:eastAsia="宋体" w:hAnsi="Book Antiqua" w:cs="Times New Roman"/>
                <w:b/>
                <w:sz w:val="24"/>
                <w:szCs w:val="24"/>
              </w:rPr>
              <w:t>eradication</w:t>
            </w:r>
            <w:r>
              <w:rPr>
                <w:rFonts w:ascii="Book Antiqua" w:eastAsia="宋体" w:hAnsi="Book Antiqua" w:cs="Times New Roman"/>
                <w:b/>
                <w:sz w:val="24"/>
                <w:szCs w:val="24"/>
              </w:rPr>
              <w:t xml:space="preserve"> failure</w:t>
            </w:r>
          </w:p>
        </w:tc>
      </w:tr>
      <w:tr w:rsidR="00F1462E" w:rsidRPr="0016373D" w14:paraId="64C9E85B" w14:textId="77777777" w:rsidTr="00193349">
        <w:trPr>
          <w:trHeight w:val="402"/>
        </w:trPr>
        <w:tc>
          <w:tcPr>
            <w:tcW w:w="723" w:type="pct"/>
            <w:vMerge w:val="restart"/>
            <w:tcBorders>
              <w:top w:val="single" w:sz="4" w:space="0" w:color="auto"/>
            </w:tcBorders>
            <w:shd w:val="clear" w:color="auto" w:fill="auto"/>
            <w:noWrap/>
            <w:vAlign w:val="center"/>
            <w:hideMark/>
          </w:tcPr>
          <w:p w14:paraId="417C4357" w14:textId="68D58979" w:rsidR="00F1462E" w:rsidRPr="0016373D" w:rsidRDefault="00F1462E">
            <w:pPr>
              <w:widowControl/>
              <w:spacing w:line="360" w:lineRule="auto"/>
              <w:rPr>
                <w:rFonts w:ascii="Book Antiqua" w:eastAsia="宋体" w:hAnsi="Book Antiqua" w:cs="Times New Roman"/>
                <w:color w:val="000000"/>
                <w:kern w:val="0"/>
                <w:sz w:val="24"/>
                <w:szCs w:val="24"/>
              </w:rPr>
            </w:pPr>
            <w:r w:rsidRPr="0016373D">
              <w:rPr>
                <w:rFonts w:ascii="Book Antiqua" w:eastAsia="宋体" w:hAnsi="Book Antiqua" w:cs="Times New Roman"/>
                <w:b/>
                <w:color w:val="000000"/>
                <w:sz w:val="24"/>
                <w:szCs w:val="24"/>
              </w:rPr>
              <w:t>Variable</w:t>
            </w:r>
          </w:p>
        </w:tc>
        <w:tc>
          <w:tcPr>
            <w:tcW w:w="1221" w:type="pct"/>
            <w:vMerge w:val="restart"/>
            <w:tcBorders>
              <w:top w:val="single" w:sz="4" w:space="0" w:color="auto"/>
            </w:tcBorders>
            <w:shd w:val="clear" w:color="auto" w:fill="auto"/>
            <w:noWrap/>
            <w:vAlign w:val="bottom"/>
            <w:hideMark/>
          </w:tcPr>
          <w:p w14:paraId="57303BC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32" w:type="pct"/>
            <w:gridSpan w:val="3"/>
            <w:tcBorders>
              <w:top w:val="single" w:sz="4" w:space="0" w:color="auto"/>
              <w:bottom w:val="single" w:sz="4" w:space="0" w:color="auto"/>
            </w:tcBorders>
            <w:shd w:val="clear" w:color="auto" w:fill="auto"/>
            <w:noWrap/>
            <w:vAlign w:val="bottom"/>
            <w:hideMark/>
          </w:tcPr>
          <w:p w14:paraId="7072B6C1" w14:textId="77777777" w:rsidR="00F1462E" w:rsidRPr="0016373D" w:rsidRDefault="00F1462E" w:rsidP="00193349">
            <w:pPr>
              <w:widowControl/>
              <w:spacing w:line="360" w:lineRule="auto"/>
              <w:jc w:val="center"/>
              <w:rPr>
                <w:rFonts w:ascii="Book Antiqua" w:eastAsia="宋体" w:hAnsi="Book Antiqua" w:cs="Times New Roman"/>
                <w:color w:val="000000"/>
                <w:kern w:val="0"/>
                <w:sz w:val="24"/>
                <w:szCs w:val="24"/>
              </w:rPr>
            </w:pPr>
            <w:r w:rsidRPr="0016373D">
              <w:rPr>
                <w:rFonts w:ascii="Book Antiqua" w:eastAsia="宋体" w:hAnsi="Book Antiqua" w:cs="Times New Roman"/>
                <w:b/>
                <w:color w:val="000000"/>
                <w:sz w:val="24"/>
                <w:szCs w:val="24"/>
              </w:rPr>
              <w:t>Univariate analysis</w:t>
            </w:r>
          </w:p>
        </w:tc>
        <w:tc>
          <w:tcPr>
            <w:tcW w:w="144" w:type="pct"/>
            <w:tcBorders>
              <w:top w:val="single" w:sz="4" w:space="0" w:color="auto"/>
              <w:bottom w:val="nil"/>
            </w:tcBorders>
          </w:tcPr>
          <w:p w14:paraId="7BDA0C69" w14:textId="77777777" w:rsidR="00F1462E" w:rsidRPr="0016373D" w:rsidRDefault="00F1462E" w:rsidP="00193349">
            <w:pPr>
              <w:widowControl/>
              <w:spacing w:line="360" w:lineRule="auto"/>
              <w:jc w:val="left"/>
              <w:rPr>
                <w:rFonts w:ascii="Book Antiqua" w:eastAsia="宋体" w:hAnsi="Book Antiqua" w:cs="Times New Roman"/>
                <w:b/>
                <w:color w:val="000000"/>
                <w:sz w:val="24"/>
                <w:szCs w:val="24"/>
              </w:rPr>
            </w:pPr>
          </w:p>
        </w:tc>
        <w:tc>
          <w:tcPr>
            <w:tcW w:w="1480" w:type="pct"/>
            <w:gridSpan w:val="3"/>
            <w:tcBorders>
              <w:top w:val="single" w:sz="4" w:space="0" w:color="auto"/>
              <w:bottom w:val="single" w:sz="4" w:space="0" w:color="auto"/>
            </w:tcBorders>
            <w:shd w:val="clear" w:color="auto" w:fill="auto"/>
            <w:noWrap/>
            <w:vAlign w:val="bottom"/>
            <w:hideMark/>
          </w:tcPr>
          <w:p w14:paraId="771B138C" w14:textId="77777777" w:rsidR="00F1462E" w:rsidRPr="0016373D" w:rsidRDefault="00F1462E" w:rsidP="00193349">
            <w:pPr>
              <w:widowControl/>
              <w:spacing w:line="360" w:lineRule="auto"/>
              <w:jc w:val="center"/>
              <w:rPr>
                <w:rFonts w:ascii="Book Antiqua" w:eastAsia="宋体" w:hAnsi="Book Antiqua" w:cs="Times New Roman"/>
                <w:color w:val="000000"/>
                <w:kern w:val="0"/>
                <w:sz w:val="24"/>
                <w:szCs w:val="24"/>
              </w:rPr>
            </w:pPr>
            <w:r w:rsidRPr="0016373D">
              <w:rPr>
                <w:rFonts w:ascii="Book Antiqua" w:eastAsia="宋体" w:hAnsi="Book Antiqua" w:cs="Times New Roman"/>
                <w:b/>
                <w:color w:val="000000"/>
                <w:sz w:val="24"/>
                <w:szCs w:val="24"/>
              </w:rPr>
              <w:t>Multivariate analysis</w:t>
            </w:r>
          </w:p>
        </w:tc>
      </w:tr>
      <w:tr w:rsidR="00F1462E" w:rsidRPr="0016373D" w14:paraId="05D3D4E0" w14:textId="77777777" w:rsidTr="00193349">
        <w:trPr>
          <w:trHeight w:val="402"/>
        </w:trPr>
        <w:tc>
          <w:tcPr>
            <w:tcW w:w="723" w:type="pct"/>
            <w:vMerge/>
            <w:tcBorders>
              <w:bottom w:val="single" w:sz="4" w:space="0" w:color="auto"/>
            </w:tcBorders>
            <w:shd w:val="clear" w:color="auto" w:fill="auto"/>
            <w:noWrap/>
            <w:vAlign w:val="bottom"/>
            <w:hideMark/>
          </w:tcPr>
          <w:p w14:paraId="30E3C6B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vMerge/>
            <w:tcBorders>
              <w:bottom w:val="single" w:sz="4" w:space="0" w:color="auto"/>
            </w:tcBorders>
            <w:shd w:val="clear" w:color="auto" w:fill="auto"/>
            <w:noWrap/>
            <w:vAlign w:val="bottom"/>
            <w:hideMark/>
          </w:tcPr>
          <w:p w14:paraId="2D4A7A20"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72" w:type="pct"/>
            <w:tcBorders>
              <w:top w:val="nil"/>
              <w:bottom w:val="single" w:sz="4" w:space="0" w:color="auto"/>
            </w:tcBorders>
            <w:shd w:val="clear" w:color="auto" w:fill="auto"/>
            <w:noWrap/>
            <w:vAlign w:val="bottom"/>
            <w:hideMark/>
          </w:tcPr>
          <w:p w14:paraId="1D3BE0D7"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color w:val="000000"/>
                <w:kern w:val="0"/>
                <w:sz w:val="24"/>
                <w:szCs w:val="24"/>
              </w:rPr>
              <w:t>OR</w:t>
            </w:r>
          </w:p>
        </w:tc>
        <w:tc>
          <w:tcPr>
            <w:tcW w:w="576" w:type="pct"/>
            <w:tcBorders>
              <w:top w:val="nil"/>
              <w:bottom w:val="single" w:sz="4" w:space="0" w:color="auto"/>
            </w:tcBorders>
            <w:shd w:val="clear" w:color="auto" w:fill="auto"/>
            <w:noWrap/>
            <w:vAlign w:val="bottom"/>
            <w:hideMark/>
          </w:tcPr>
          <w:p w14:paraId="1D2D48F6" w14:textId="4C0D53E2" w:rsidR="00F1462E" w:rsidRPr="0016373D" w:rsidRDefault="009134FE" w:rsidP="00193349">
            <w:pPr>
              <w:widowControl/>
              <w:spacing w:line="360" w:lineRule="auto"/>
              <w:jc w:val="left"/>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95%</w:t>
            </w:r>
            <w:r w:rsidR="00F1462E" w:rsidRPr="0016373D">
              <w:rPr>
                <w:rFonts w:ascii="Book Antiqua" w:eastAsia="宋体" w:hAnsi="Book Antiqua" w:cs="Times New Roman"/>
                <w:b/>
                <w:color w:val="000000"/>
                <w:kern w:val="0"/>
                <w:sz w:val="24"/>
                <w:szCs w:val="24"/>
              </w:rPr>
              <w:t>CI</w:t>
            </w:r>
          </w:p>
        </w:tc>
        <w:tc>
          <w:tcPr>
            <w:tcW w:w="384" w:type="pct"/>
            <w:tcBorders>
              <w:top w:val="nil"/>
              <w:bottom w:val="single" w:sz="4" w:space="0" w:color="auto"/>
            </w:tcBorders>
            <w:shd w:val="clear" w:color="auto" w:fill="auto"/>
            <w:noWrap/>
            <w:vAlign w:val="bottom"/>
            <w:hideMark/>
          </w:tcPr>
          <w:p w14:paraId="6D54C953"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i/>
                <w:color w:val="000000"/>
                <w:kern w:val="0"/>
                <w:sz w:val="24"/>
                <w:szCs w:val="24"/>
              </w:rPr>
              <w:t>P</w:t>
            </w:r>
            <w:r w:rsidRPr="0016373D">
              <w:rPr>
                <w:rFonts w:ascii="Book Antiqua" w:eastAsia="宋体" w:hAnsi="Book Antiqua" w:cs="Times New Roman"/>
                <w:b/>
                <w:color w:val="000000"/>
                <w:kern w:val="0"/>
                <w:sz w:val="24"/>
                <w:szCs w:val="24"/>
              </w:rPr>
              <w:t xml:space="preserve"> value</w:t>
            </w:r>
          </w:p>
        </w:tc>
        <w:tc>
          <w:tcPr>
            <w:tcW w:w="144" w:type="pct"/>
            <w:tcBorders>
              <w:top w:val="nil"/>
              <w:bottom w:val="single" w:sz="4" w:space="0" w:color="auto"/>
            </w:tcBorders>
          </w:tcPr>
          <w:p w14:paraId="68BC6BB0"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p>
        </w:tc>
        <w:tc>
          <w:tcPr>
            <w:tcW w:w="493" w:type="pct"/>
            <w:tcBorders>
              <w:top w:val="nil"/>
              <w:bottom w:val="single" w:sz="4" w:space="0" w:color="auto"/>
            </w:tcBorders>
            <w:shd w:val="clear" w:color="auto" w:fill="auto"/>
            <w:noWrap/>
            <w:vAlign w:val="bottom"/>
            <w:hideMark/>
          </w:tcPr>
          <w:p w14:paraId="1F7C2691"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color w:val="000000"/>
                <w:kern w:val="0"/>
                <w:sz w:val="24"/>
                <w:szCs w:val="24"/>
              </w:rPr>
              <w:t>OR</w:t>
            </w:r>
          </w:p>
        </w:tc>
        <w:tc>
          <w:tcPr>
            <w:tcW w:w="605" w:type="pct"/>
            <w:tcBorders>
              <w:top w:val="nil"/>
              <w:bottom w:val="single" w:sz="4" w:space="0" w:color="auto"/>
            </w:tcBorders>
            <w:shd w:val="clear" w:color="auto" w:fill="auto"/>
            <w:noWrap/>
            <w:vAlign w:val="bottom"/>
            <w:hideMark/>
          </w:tcPr>
          <w:p w14:paraId="78E0442A" w14:textId="64A60E7F" w:rsidR="00F1462E" w:rsidRPr="0016373D" w:rsidRDefault="009134FE" w:rsidP="00193349">
            <w:pPr>
              <w:widowControl/>
              <w:spacing w:line="360" w:lineRule="auto"/>
              <w:jc w:val="left"/>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95%</w:t>
            </w:r>
            <w:r w:rsidR="00F1462E" w:rsidRPr="0016373D">
              <w:rPr>
                <w:rFonts w:ascii="Book Antiqua" w:eastAsia="宋体" w:hAnsi="Book Antiqua" w:cs="Times New Roman"/>
                <w:b/>
                <w:color w:val="000000"/>
                <w:kern w:val="0"/>
                <w:sz w:val="24"/>
                <w:szCs w:val="24"/>
              </w:rPr>
              <w:t>CI</w:t>
            </w:r>
          </w:p>
        </w:tc>
        <w:tc>
          <w:tcPr>
            <w:tcW w:w="382" w:type="pct"/>
            <w:tcBorders>
              <w:top w:val="nil"/>
              <w:bottom w:val="single" w:sz="4" w:space="0" w:color="auto"/>
            </w:tcBorders>
            <w:shd w:val="clear" w:color="auto" w:fill="auto"/>
            <w:noWrap/>
            <w:vAlign w:val="bottom"/>
            <w:hideMark/>
          </w:tcPr>
          <w:p w14:paraId="4EA40800"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i/>
                <w:color w:val="000000"/>
                <w:kern w:val="0"/>
                <w:sz w:val="24"/>
                <w:szCs w:val="24"/>
              </w:rPr>
              <w:t>P</w:t>
            </w:r>
            <w:r w:rsidRPr="0016373D">
              <w:rPr>
                <w:rFonts w:ascii="Book Antiqua" w:eastAsia="宋体" w:hAnsi="Book Antiqua" w:cs="Times New Roman"/>
                <w:b/>
                <w:color w:val="000000"/>
                <w:kern w:val="0"/>
                <w:sz w:val="24"/>
                <w:szCs w:val="24"/>
              </w:rPr>
              <w:t xml:space="preserve"> value</w:t>
            </w:r>
          </w:p>
        </w:tc>
      </w:tr>
      <w:tr w:rsidR="00F1462E" w:rsidRPr="0016373D" w14:paraId="6528B257" w14:textId="77777777" w:rsidTr="00193349">
        <w:trPr>
          <w:trHeight w:val="402"/>
        </w:trPr>
        <w:tc>
          <w:tcPr>
            <w:tcW w:w="723" w:type="pct"/>
            <w:tcBorders>
              <w:top w:val="single" w:sz="4" w:space="0" w:color="auto"/>
              <w:bottom w:val="nil"/>
            </w:tcBorders>
            <w:shd w:val="clear" w:color="auto" w:fill="auto"/>
            <w:noWrap/>
            <w:vAlign w:val="bottom"/>
            <w:hideMark/>
          </w:tcPr>
          <w:p w14:paraId="2A9A45E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Gender</w:t>
            </w:r>
          </w:p>
        </w:tc>
        <w:tc>
          <w:tcPr>
            <w:tcW w:w="1221" w:type="pct"/>
            <w:tcBorders>
              <w:top w:val="single" w:sz="4" w:space="0" w:color="auto"/>
              <w:bottom w:val="nil"/>
            </w:tcBorders>
            <w:shd w:val="clear" w:color="auto" w:fill="auto"/>
            <w:noWrap/>
            <w:vAlign w:val="bottom"/>
            <w:hideMark/>
          </w:tcPr>
          <w:p w14:paraId="7B7989E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Male</w:t>
            </w:r>
          </w:p>
        </w:tc>
        <w:tc>
          <w:tcPr>
            <w:tcW w:w="1048" w:type="pct"/>
            <w:gridSpan w:val="2"/>
            <w:tcBorders>
              <w:top w:val="single" w:sz="4" w:space="0" w:color="auto"/>
              <w:bottom w:val="nil"/>
            </w:tcBorders>
            <w:shd w:val="clear" w:color="auto" w:fill="auto"/>
            <w:noWrap/>
            <w:vAlign w:val="bottom"/>
            <w:hideMark/>
          </w:tcPr>
          <w:p w14:paraId="00AC904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4" w:type="pct"/>
            <w:tcBorders>
              <w:top w:val="single" w:sz="4" w:space="0" w:color="auto"/>
              <w:bottom w:val="nil"/>
            </w:tcBorders>
            <w:shd w:val="clear" w:color="auto" w:fill="auto"/>
            <w:noWrap/>
            <w:vAlign w:val="bottom"/>
            <w:hideMark/>
          </w:tcPr>
          <w:p w14:paraId="7728C01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4" w:type="pct"/>
            <w:tcBorders>
              <w:top w:val="single" w:sz="4" w:space="0" w:color="auto"/>
              <w:bottom w:val="nil"/>
            </w:tcBorders>
          </w:tcPr>
          <w:p w14:paraId="715E6F0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single" w:sz="4" w:space="0" w:color="auto"/>
              <w:bottom w:val="nil"/>
            </w:tcBorders>
            <w:shd w:val="clear" w:color="auto" w:fill="auto"/>
            <w:noWrap/>
            <w:vAlign w:val="bottom"/>
            <w:hideMark/>
          </w:tcPr>
          <w:p w14:paraId="4ED62CC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605" w:type="pct"/>
            <w:tcBorders>
              <w:top w:val="single" w:sz="4" w:space="0" w:color="auto"/>
              <w:bottom w:val="nil"/>
            </w:tcBorders>
            <w:shd w:val="clear" w:color="auto" w:fill="auto"/>
            <w:noWrap/>
            <w:vAlign w:val="bottom"/>
            <w:hideMark/>
          </w:tcPr>
          <w:p w14:paraId="09814C1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382" w:type="pct"/>
            <w:tcBorders>
              <w:top w:val="single" w:sz="4" w:space="0" w:color="auto"/>
              <w:bottom w:val="nil"/>
            </w:tcBorders>
            <w:shd w:val="clear" w:color="auto" w:fill="auto"/>
            <w:noWrap/>
            <w:vAlign w:val="bottom"/>
            <w:hideMark/>
          </w:tcPr>
          <w:p w14:paraId="4050570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74307107" w14:textId="77777777" w:rsidTr="00193349">
        <w:trPr>
          <w:trHeight w:val="402"/>
        </w:trPr>
        <w:tc>
          <w:tcPr>
            <w:tcW w:w="723" w:type="pct"/>
            <w:tcBorders>
              <w:top w:val="nil"/>
              <w:bottom w:val="nil"/>
            </w:tcBorders>
            <w:shd w:val="clear" w:color="auto" w:fill="auto"/>
            <w:noWrap/>
            <w:vAlign w:val="bottom"/>
            <w:hideMark/>
          </w:tcPr>
          <w:p w14:paraId="654E8FE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hideMark/>
          </w:tcPr>
          <w:p w14:paraId="11F3FBD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Female</w:t>
            </w:r>
          </w:p>
        </w:tc>
        <w:tc>
          <w:tcPr>
            <w:tcW w:w="472" w:type="pct"/>
            <w:tcBorders>
              <w:top w:val="nil"/>
              <w:bottom w:val="nil"/>
            </w:tcBorders>
            <w:shd w:val="clear" w:color="auto" w:fill="auto"/>
            <w:noWrap/>
            <w:vAlign w:val="bottom"/>
            <w:hideMark/>
          </w:tcPr>
          <w:p w14:paraId="58106BC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1.202</w:t>
            </w:r>
          </w:p>
        </w:tc>
        <w:tc>
          <w:tcPr>
            <w:tcW w:w="576" w:type="pct"/>
            <w:tcBorders>
              <w:top w:val="nil"/>
              <w:bottom w:val="nil"/>
            </w:tcBorders>
            <w:shd w:val="clear" w:color="auto" w:fill="auto"/>
            <w:noWrap/>
            <w:vAlign w:val="bottom"/>
            <w:hideMark/>
          </w:tcPr>
          <w:p w14:paraId="09036586" w14:textId="6FBA45EB"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0.998</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1.447</w:t>
            </w:r>
          </w:p>
        </w:tc>
        <w:tc>
          <w:tcPr>
            <w:tcW w:w="384" w:type="pct"/>
            <w:tcBorders>
              <w:top w:val="nil"/>
              <w:bottom w:val="nil"/>
            </w:tcBorders>
            <w:shd w:val="clear" w:color="auto" w:fill="auto"/>
            <w:noWrap/>
            <w:vAlign w:val="bottom"/>
            <w:hideMark/>
          </w:tcPr>
          <w:p w14:paraId="625A69F1"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0.052</w:t>
            </w:r>
          </w:p>
        </w:tc>
        <w:tc>
          <w:tcPr>
            <w:tcW w:w="144" w:type="pct"/>
            <w:tcBorders>
              <w:top w:val="nil"/>
              <w:bottom w:val="nil"/>
            </w:tcBorders>
          </w:tcPr>
          <w:p w14:paraId="419F3F7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15523D7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605" w:type="pct"/>
            <w:tcBorders>
              <w:top w:val="nil"/>
              <w:bottom w:val="nil"/>
            </w:tcBorders>
            <w:shd w:val="clear" w:color="auto" w:fill="auto"/>
            <w:noWrap/>
            <w:vAlign w:val="bottom"/>
            <w:hideMark/>
          </w:tcPr>
          <w:p w14:paraId="0F0D403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382" w:type="pct"/>
            <w:tcBorders>
              <w:top w:val="nil"/>
              <w:bottom w:val="nil"/>
            </w:tcBorders>
            <w:shd w:val="clear" w:color="auto" w:fill="auto"/>
            <w:noWrap/>
            <w:vAlign w:val="bottom"/>
            <w:hideMark/>
          </w:tcPr>
          <w:p w14:paraId="0A65887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1A0204D7" w14:textId="77777777" w:rsidTr="00193349">
        <w:trPr>
          <w:trHeight w:val="402"/>
        </w:trPr>
        <w:tc>
          <w:tcPr>
            <w:tcW w:w="723" w:type="pct"/>
            <w:tcBorders>
              <w:top w:val="nil"/>
              <w:bottom w:val="nil"/>
            </w:tcBorders>
            <w:shd w:val="clear" w:color="auto" w:fill="auto"/>
            <w:noWrap/>
            <w:vAlign w:val="bottom"/>
            <w:hideMark/>
          </w:tcPr>
          <w:p w14:paraId="016CFDC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Age</w:t>
            </w:r>
          </w:p>
        </w:tc>
        <w:tc>
          <w:tcPr>
            <w:tcW w:w="1221" w:type="pct"/>
            <w:tcBorders>
              <w:top w:val="nil"/>
              <w:bottom w:val="nil"/>
            </w:tcBorders>
            <w:shd w:val="clear" w:color="auto" w:fill="auto"/>
            <w:noWrap/>
            <w:vAlign w:val="bottom"/>
            <w:hideMark/>
          </w:tcPr>
          <w:p w14:paraId="4D51567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72" w:type="pct"/>
            <w:tcBorders>
              <w:top w:val="nil"/>
              <w:bottom w:val="nil"/>
            </w:tcBorders>
            <w:shd w:val="clear" w:color="auto" w:fill="auto"/>
            <w:noWrap/>
            <w:vAlign w:val="bottom"/>
            <w:hideMark/>
          </w:tcPr>
          <w:p w14:paraId="446E3D5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1.018</w:t>
            </w:r>
          </w:p>
        </w:tc>
        <w:tc>
          <w:tcPr>
            <w:tcW w:w="576" w:type="pct"/>
            <w:tcBorders>
              <w:top w:val="nil"/>
              <w:bottom w:val="nil"/>
            </w:tcBorders>
            <w:shd w:val="clear" w:color="auto" w:fill="auto"/>
            <w:noWrap/>
            <w:vAlign w:val="bottom"/>
            <w:hideMark/>
          </w:tcPr>
          <w:p w14:paraId="5434F7F1" w14:textId="59058EFC"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1.011</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1.024</w:t>
            </w:r>
          </w:p>
        </w:tc>
        <w:tc>
          <w:tcPr>
            <w:tcW w:w="384" w:type="pct"/>
            <w:tcBorders>
              <w:top w:val="nil"/>
              <w:bottom w:val="nil"/>
            </w:tcBorders>
            <w:shd w:val="clear" w:color="auto" w:fill="auto"/>
            <w:noWrap/>
            <w:vAlign w:val="bottom"/>
            <w:hideMark/>
          </w:tcPr>
          <w:p w14:paraId="0F18CC9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456E8AB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3CCD371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1.014</w:t>
            </w:r>
          </w:p>
        </w:tc>
        <w:tc>
          <w:tcPr>
            <w:tcW w:w="605" w:type="pct"/>
            <w:tcBorders>
              <w:top w:val="nil"/>
              <w:bottom w:val="nil"/>
            </w:tcBorders>
            <w:shd w:val="clear" w:color="auto" w:fill="auto"/>
            <w:noWrap/>
            <w:vAlign w:val="bottom"/>
            <w:hideMark/>
          </w:tcPr>
          <w:p w14:paraId="27C87E86" w14:textId="71B4467D"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1.008</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1.021</w:t>
            </w:r>
          </w:p>
        </w:tc>
        <w:tc>
          <w:tcPr>
            <w:tcW w:w="382" w:type="pct"/>
            <w:tcBorders>
              <w:top w:val="nil"/>
              <w:bottom w:val="nil"/>
            </w:tcBorders>
            <w:shd w:val="clear" w:color="auto" w:fill="auto"/>
            <w:noWrap/>
            <w:vAlign w:val="bottom"/>
            <w:hideMark/>
          </w:tcPr>
          <w:p w14:paraId="51AAA17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r>
      <w:tr w:rsidR="00F1462E" w:rsidRPr="0016373D" w14:paraId="0652DAA1" w14:textId="77777777" w:rsidTr="00193349">
        <w:trPr>
          <w:trHeight w:val="402"/>
        </w:trPr>
        <w:tc>
          <w:tcPr>
            <w:tcW w:w="723" w:type="pct"/>
            <w:tcBorders>
              <w:top w:val="nil"/>
              <w:bottom w:val="nil"/>
            </w:tcBorders>
            <w:shd w:val="clear" w:color="auto" w:fill="auto"/>
            <w:noWrap/>
            <w:vAlign w:val="bottom"/>
            <w:hideMark/>
          </w:tcPr>
          <w:p w14:paraId="5A806A1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sz w:val="24"/>
                <w:szCs w:val="24"/>
              </w:rPr>
              <w:t>Eradication</w:t>
            </w:r>
            <w:r w:rsidRPr="0016373D">
              <w:rPr>
                <w:rFonts w:ascii="Book Antiqua" w:eastAsia="宋体" w:hAnsi="Book Antiqua" w:cs="Times New Roman"/>
                <w:color w:val="000000"/>
                <w:kern w:val="0"/>
                <w:sz w:val="24"/>
                <w:szCs w:val="24"/>
              </w:rPr>
              <w:t xml:space="preserve"> attempts</w:t>
            </w:r>
          </w:p>
        </w:tc>
        <w:tc>
          <w:tcPr>
            <w:tcW w:w="1221" w:type="pct"/>
            <w:tcBorders>
              <w:top w:val="nil"/>
              <w:bottom w:val="nil"/>
            </w:tcBorders>
            <w:shd w:val="clear" w:color="auto" w:fill="auto"/>
            <w:noWrap/>
            <w:vAlign w:val="bottom"/>
            <w:hideMark/>
          </w:tcPr>
          <w:p w14:paraId="0B7216B3"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Primary</w:t>
            </w:r>
          </w:p>
        </w:tc>
        <w:tc>
          <w:tcPr>
            <w:tcW w:w="1048" w:type="pct"/>
            <w:gridSpan w:val="2"/>
            <w:tcBorders>
              <w:top w:val="nil"/>
              <w:bottom w:val="nil"/>
            </w:tcBorders>
            <w:shd w:val="clear" w:color="auto" w:fill="auto"/>
            <w:noWrap/>
            <w:vAlign w:val="bottom"/>
            <w:hideMark/>
          </w:tcPr>
          <w:p w14:paraId="32DD828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4" w:type="pct"/>
            <w:tcBorders>
              <w:top w:val="nil"/>
              <w:bottom w:val="nil"/>
            </w:tcBorders>
            <w:shd w:val="clear" w:color="auto" w:fill="auto"/>
            <w:noWrap/>
            <w:vAlign w:val="bottom"/>
            <w:hideMark/>
          </w:tcPr>
          <w:p w14:paraId="76E65DE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4" w:type="pct"/>
            <w:tcBorders>
              <w:top w:val="nil"/>
              <w:bottom w:val="nil"/>
            </w:tcBorders>
          </w:tcPr>
          <w:p w14:paraId="7EAD1200"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098" w:type="pct"/>
            <w:gridSpan w:val="2"/>
            <w:tcBorders>
              <w:top w:val="nil"/>
              <w:bottom w:val="nil"/>
            </w:tcBorders>
            <w:shd w:val="clear" w:color="auto" w:fill="auto"/>
            <w:noWrap/>
            <w:vAlign w:val="bottom"/>
            <w:hideMark/>
          </w:tcPr>
          <w:p w14:paraId="509874E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2" w:type="pct"/>
            <w:tcBorders>
              <w:top w:val="nil"/>
              <w:bottom w:val="nil"/>
            </w:tcBorders>
            <w:shd w:val="clear" w:color="auto" w:fill="auto"/>
            <w:noWrap/>
            <w:vAlign w:val="bottom"/>
            <w:hideMark/>
          </w:tcPr>
          <w:p w14:paraId="03CA635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69A6A8F6" w14:textId="77777777" w:rsidTr="00193349">
        <w:trPr>
          <w:trHeight w:val="402"/>
        </w:trPr>
        <w:tc>
          <w:tcPr>
            <w:tcW w:w="723" w:type="pct"/>
            <w:tcBorders>
              <w:top w:val="nil"/>
              <w:bottom w:val="nil"/>
            </w:tcBorders>
            <w:shd w:val="clear" w:color="auto" w:fill="auto"/>
            <w:noWrap/>
            <w:vAlign w:val="bottom"/>
            <w:hideMark/>
          </w:tcPr>
          <w:p w14:paraId="3399FEE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hideMark/>
          </w:tcPr>
          <w:p w14:paraId="35D5728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Rescue</w:t>
            </w:r>
          </w:p>
        </w:tc>
        <w:tc>
          <w:tcPr>
            <w:tcW w:w="472" w:type="pct"/>
            <w:tcBorders>
              <w:top w:val="nil"/>
              <w:bottom w:val="nil"/>
            </w:tcBorders>
            <w:shd w:val="clear" w:color="auto" w:fill="auto"/>
            <w:noWrap/>
            <w:vAlign w:val="bottom"/>
            <w:hideMark/>
          </w:tcPr>
          <w:p w14:paraId="5898B51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1.816</w:t>
            </w:r>
          </w:p>
        </w:tc>
        <w:tc>
          <w:tcPr>
            <w:tcW w:w="576" w:type="pct"/>
            <w:tcBorders>
              <w:top w:val="nil"/>
              <w:bottom w:val="nil"/>
            </w:tcBorders>
            <w:shd w:val="clear" w:color="auto" w:fill="auto"/>
            <w:noWrap/>
            <w:vAlign w:val="bottom"/>
            <w:hideMark/>
          </w:tcPr>
          <w:p w14:paraId="7567DE5D" w14:textId="3F2B514F"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1.432</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2.302</w:t>
            </w:r>
          </w:p>
        </w:tc>
        <w:tc>
          <w:tcPr>
            <w:tcW w:w="384" w:type="pct"/>
            <w:tcBorders>
              <w:top w:val="nil"/>
              <w:bottom w:val="nil"/>
            </w:tcBorders>
            <w:shd w:val="clear" w:color="auto" w:fill="auto"/>
            <w:noWrap/>
            <w:vAlign w:val="bottom"/>
            <w:hideMark/>
          </w:tcPr>
          <w:p w14:paraId="2CCA79A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6EAA4D8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166D9EB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1.538</w:t>
            </w:r>
          </w:p>
        </w:tc>
        <w:tc>
          <w:tcPr>
            <w:tcW w:w="605" w:type="pct"/>
            <w:tcBorders>
              <w:top w:val="nil"/>
              <w:bottom w:val="nil"/>
            </w:tcBorders>
            <w:shd w:val="clear" w:color="auto" w:fill="auto"/>
            <w:noWrap/>
            <w:vAlign w:val="bottom"/>
            <w:hideMark/>
          </w:tcPr>
          <w:p w14:paraId="066ECECA" w14:textId="1F2BB2C4"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1.179</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2.007</w:t>
            </w:r>
          </w:p>
        </w:tc>
        <w:tc>
          <w:tcPr>
            <w:tcW w:w="382" w:type="pct"/>
            <w:tcBorders>
              <w:top w:val="nil"/>
              <w:bottom w:val="nil"/>
            </w:tcBorders>
            <w:shd w:val="clear" w:color="auto" w:fill="auto"/>
            <w:noWrap/>
            <w:vAlign w:val="bottom"/>
            <w:hideMark/>
          </w:tcPr>
          <w:p w14:paraId="63FFDBF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0.002</w:t>
            </w:r>
          </w:p>
        </w:tc>
      </w:tr>
      <w:tr w:rsidR="00F1462E" w:rsidRPr="0016373D" w14:paraId="6C8DBD71" w14:textId="77777777" w:rsidTr="00193349">
        <w:trPr>
          <w:trHeight w:val="402"/>
        </w:trPr>
        <w:tc>
          <w:tcPr>
            <w:tcW w:w="723" w:type="pct"/>
            <w:tcBorders>
              <w:top w:val="nil"/>
              <w:bottom w:val="nil"/>
            </w:tcBorders>
            <w:shd w:val="clear" w:color="auto" w:fill="auto"/>
            <w:noWrap/>
            <w:hideMark/>
          </w:tcPr>
          <w:p w14:paraId="39ACC67A" w14:textId="77777777" w:rsidR="00F1462E" w:rsidRPr="0016373D" w:rsidRDefault="00F1462E" w:rsidP="00193349">
            <w:pPr>
              <w:widowControl/>
              <w:spacing w:line="360" w:lineRule="auto"/>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Antibiotic regimens</w:t>
            </w:r>
          </w:p>
        </w:tc>
        <w:tc>
          <w:tcPr>
            <w:tcW w:w="1221" w:type="pct"/>
            <w:tcBorders>
              <w:top w:val="nil"/>
              <w:bottom w:val="nil"/>
            </w:tcBorders>
            <w:shd w:val="clear" w:color="auto" w:fill="auto"/>
            <w:noWrap/>
            <w:hideMark/>
          </w:tcPr>
          <w:p w14:paraId="3446F962"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Amoxicillin plus clarithromycin</w:t>
            </w:r>
          </w:p>
        </w:tc>
        <w:tc>
          <w:tcPr>
            <w:tcW w:w="1048" w:type="pct"/>
            <w:gridSpan w:val="2"/>
            <w:tcBorders>
              <w:top w:val="nil"/>
              <w:bottom w:val="nil"/>
            </w:tcBorders>
            <w:shd w:val="clear" w:color="auto" w:fill="auto"/>
            <w:noWrap/>
            <w:vAlign w:val="bottom"/>
            <w:hideMark/>
          </w:tcPr>
          <w:p w14:paraId="21D9EDE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4" w:type="pct"/>
            <w:tcBorders>
              <w:top w:val="nil"/>
              <w:bottom w:val="nil"/>
            </w:tcBorders>
            <w:shd w:val="clear" w:color="auto" w:fill="auto"/>
            <w:noWrap/>
            <w:vAlign w:val="bottom"/>
            <w:hideMark/>
          </w:tcPr>
          <w:p w14:paraId="4087C34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4" w:type="pct"/>
            <w:tcBorders>
              <w:top w:val="nil"/>
              <w:bottom w:val="nil"/>
            </w:tcBorders>
          </w:tcPr>
          <w:p w14:paraId="335C56C3"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098" w:type="pct"/>
            <w:gridSpan w:val="2"/>
            <w:tcBorders>
              <w:top w:val="nil"/>
              <w:bottom w:val="nil"/>
            </w:tcBorders>
            <w:shd w:val="clear" w:color="auto" w:fill="auto"/>
            <w:noWrap/>
            <w:vAlign w:val="bottom"/>
            <w:hideMark/>
          </w:tcPr>
          <w:p w14:paraId="78793EF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2" w:type="pct"/>
            <w:tcBorders>
              <w:top w:val="nil"/>
              <w:bottom w:val="nil"/>
            </w:tcBorders>
            <w:shd w:val="clear" w:color="auto" w:fill="auto"/>
            <w:noWrap/>
            <w:vAlign w:val="bottom"/>
            <w:hideMark/>
          </w:tcPr>
          <w:p w14:paraId="5E729367"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5A463895" w14:textId="77777777" w:rsidTr="00193349">
        <w:trPr>
          <w:trHeight w:val="402"/>
        </w:trPr>
        <w:tc>
          <w:tcPr>
            <w:tcW w:w="723" w:type="pct"/>
            <w:tcBorders>
              <w:top w:val="nil"/>
              <w:bottom w:val="nil"/>
            </w:tcBorders>
            <w:shd w:val="clear" w:color="auto" w:fill="auto"/>
            <w:noWrap/>
            <w:vAlign w:val="bottom"/>
            <w:hideMark/>
          </w:tcPr>
          <w:p w14:paraId="14A98EE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47DB779A"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Amoxicillin plus levofloxacin</w:t>
            </w:r>
          </w:p>
        </w:tc>
        <w:tc>
          <w:tcPr>
            <w:tcW w:w="472" w:type="pct"/>
            <w:tcBorders>
              <w:top w:val="nil"/>
              <w:bottom w:val="nil"/>
            </w:tcBorders>
            <w:shd w:val="clear" w:color="auto" w:fill="auto"/>
            <w:noWrap/>
            <w:vAlign w:val="bottom"/>
            <w:hideMark/>
          </w:tcPr>
          <w:p w14:paraId="49882051"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1.347</w:t>
            </w:r>
          </w:p>
        </w:tc>
        <w:tc>
          <w:tcPr>
            <w:tcW w:w="576" w:type="pct"/>
            <w:tcBorders>
              <w:top w:val="nil"/>
              <w:bottom w:val="nil"/>
            </w:tcBorders>
            <w:shd w:val="clear" w:color="auto" w:fill="auto"/>
            <w:noWrap/>
            <w:vAlign w:val="bottom"/>
            <w:hideMark/>
          </w:tcPr>
          <w:p w14:paraId="064CA74F" w14:textId="43555F8E"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0.761</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2.385</w:t>
            </w:r>
          </w:p>
        </w:tc>
        <w:tc>
          <w:tcPr>
            <w:tcW w:w="384" w:type="pct"/>
            <w:tcBorders>
              <w:top w:val="nil"/>
              <w:bottom w:val="nil"/>
            </w:tcBorders>
            <w:shd w:val="clear" w:color="auto" w:fill="auto"/>
            <w:noWrap/>
            <w:vAlign w:val="bottom"/>
            <w:hideMark/>
          </w:tcPr>
          <w:p w14:paraId="45BB3A0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0.306</w:t>
            </w:r>
          </w:p>
        </w:tc>
        <w:tc>
          <w:tcPr>
            <w:tcW w:w="144" w:type="pct"/>
            <w:tcBorders>
              <w:top w:val="nil"/>
              <w:bottom w:val="nil"/>
            </w:tcBorders>
          </w:tcPr>
          <w:p w14:paraId="3AAEA89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5987691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1.167</w:t>
            </w:r>
          </w:p>
        </w:tc>
        <w:tc>
          <w:tcPr>
            <w:tcW w:w="605" w:type="pct"/>
            <w:tcBorders>
              <w:top w:val="nil"/>
              <w:bottom w:val="nil"/>
            </w:tcBorders>
            <w:shd w:val="clear" w:color="auto" w:fill="auto"/>
            <w:noWrap/>
            <w:vAlign w:val="bottom"/>
            <w:hideMark/>
          </w:tcPr>
          <w:p w14:paraId="3AD7CAA9" w14:textId="4B3DD62B"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0.654</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2.084</w:t>
            </w:r>
          </w:p>
        </w:tc>
        <w:tc>
          <w:tcPr>
            <w:tcW w:w="382" w:type="pct"/>
            <w:tcBorders>
              <w:top w:val="nil"/>
              <w:bottom w:val="nil"/>
            </w:tcBorders>
            <w:shd w:val="clear" w:color="auto" w:fill="auto"/>
            <w:noWrap/>
            <w:vAlign w:val="bottom"/>
            <w:hideMark/>
          </w:tcPr>
          <w:p w14:paraId="0386826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0.601</w:t>
            </w:r>
          </w:p>
        </w:tc>
      </w:tr>
      <w:tr w:rsidR="00F1462E" w:rsidRPr="0016373D" w14:paraId="0D5609A5" w14:textId="77777777" w:rsidTr="00193349">
        <w:trPr>
          <w:trHeight w:val="402"/>
        </w:trPr>
        <w:tc>
          <w:tcPr>
            <w:tcW w:w="723" w:type="pct"/>
            <w:tcBorders>
              <w:top w:val="nil"/>
              <w:bottom w:val="nil"/>
            </w:tcBorders>
            <w:shd w:val="clear" w:color="auto" w:fill="auto"/>
            <w:noWrap/>
            <w:vAlign w:val="bottom"/>
            <w:hideMark/>
          </w:tcPr>
          <w:p w14:paraId="52F593A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322F551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Amoxicillin plus furazolidone</w:t>
            </w:r>
          </w:p>
        </w:tc>
        <w:tc>
          <w:tcPr>
            <w:tcW w:w="472" w:type="pct"/>
            <w:tcBorders>
              <w:top w:val="nil"/>
              <w:bottom w:val="nil"/>
            </w:tcBorders>
            <w:shd w:val="clear" w:color="auto" w:fill="auto"/>
            <w:noWrap/>
            <w:vAlign w:val="bottom"/>
            <w:hideMark/>
          </w:tcPr>
          <w:p w14:paraId="5CE0869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1.314</w:t>
            </w:r>
          </w:p>
        </w:tc>
        <w:tc>
          <w:tcPr>
            <w:tcW w:w="576" w:type="pct"/>
            <w:tcBorders>
              <w:top w:val="nil"/>
              <w:bottom w:val="nil"/>
            </w:tcBorders>
            <w:shd w:val="clear" w:color="auto" w:fill="auto"/>
            <w:noWrap/>
            <w:vAlign w:val="bottom"/>
            <w:hideMark/>
          </w:tcPr>
          <w:p w14:paraId="2C97EE8D" w14:textId="34B66F8E"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0.701</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2.461</w:t>
            </w:r>
          </w:p>
        </w:tc>
        <w:tc>
          <w:tcPr>
            <w:tcW w:w="384" w:type="pct"/>
            <w:tcBorders>
              <w:top w:val="nil"/>
              <w:bottom w:val="nil"/>
            </w:tcBorders>
            <w:shd w:val="clear" w:color="auto" w:fill="auto"/>
            <w:noWrap/>
            <w:vAlign w:val="bottom"/>
            <w:hideMark/>
          </w:tcPr>
          <w:p w14:paraId="5BA76AB1"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0.394</w:t>
            </w:r>
          </w:p>
        </w:tc>
        <w:tc>
          <w:tcPr>
            <w:tcW w:w="144" w:type="pct"/>
            <w:tcBorders>
              <w:top w:val="nil"/>
              <w:bottom w:val="nil"/>
            </w:tcBorders>
          </w:tcPr>
          <w:p w14:paraId="40B4EF7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7853F9B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0.982</w:t>
            </w:r>
          </w:p>
        </w:tc>
        <w:tc>
          <w:tcPr>
            <w:tcW w:w="605" w:type="pct"/>
            <w:tcBorders>
              <w:top w:val="nil"/>
              <w:bottom w:val="nil"/>
            </w:tcBorders>
            <w:shd w:val="clear" w:color="auto" w:fill="auto"/>
            <w:noWrap/>
            <w:vAlign w:val="bottom"/>
            <w:hideMark/>
          </w:tcPr>
          <w:p w14:paraId="48A04FAD" w14:textId="6A06DD5F"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0.505</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1.911</w:t>
            </w:r>
          </w:p>
        </w:tc>
        <w:tc>
          <w:tcPr>
            <w:tcW w:w="382" w:type="pct"/>
            <w:tcBorders>
              <w:top w:val="nil"/>
              <w:bottom w:val="nil"/>
            </w:tcBorders>
            <w:shd w:val="clear" w:color="auto" w:fill="auto"/>
            <w:noWrap/>
            <w:vAlign w:val="bottom"/>
            <w:hideMark/>
          </w:tcPr>
          <w:p w14:paraId="491D8A7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0.958</w:t>
            </w:r>
          </w:p>
        </w:tc>
      </w:tr>
      <w:tr w:rsidR="00F1462E" w:rsidRPr="0016373D" w14:paraId="7156C86D" w14:textId="77777777" w:rsidTr="00193349">
        <w:trPr>
          <w:trHeight w:val="402"/>
        </w:trPr>
        <w:tc>
          <w:tcPr>
            <w:tcW w:w="723" w:type="pct"/>
            <w:tcBorders>
              <w:top w:val="nil"/>
              <w:bottom w:val="nil"/>
            </w:tcBorders>
            <w:shd w:val="clear" w:color="auto" w:fill="auto"/>
            <w:noWrap/>
            <w:vAlign w:val="bottom"/>
            <w:hideMark/>
          </w:tcPr>
          <w:p w14:paraId="38BCAF9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39A84975"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Clarithromycin plus metronidazole</w:t>
            </w:r>
          </w:p>
        </w:tc>
        <w:tc>
          <w:tcPr>
            <w:tcW w:w="472" w:type="pct"/>
            <w:tcBorders>
              <w:top w:val="nil"/>
              <w:bottom w:val="nil"/>
            </w:tcBorders>
            <w:shd w:val="clear" w:color="auto" w:fill="auto"/>
            <w:noWrap/>
            <w:vAlign w:val="bottom"/>
            <w:hideMark/>
          </w:tcPr>
          <w:p w14:paraId="0816EA0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4.179</w:t>
            </w:r>
          </w:p>
        </w:tc>
        <w:tc>
          <w:tcPr>
            <w:tcW w:w="576" w:type="pct"/>
            <w:tcBorders>
              <w:top w:val="nil"/>
              <w:bottom w:val="nil"/>
            </w:tcBorders>
            <w:shd w:val="clear" w:color="auto" w:fill="auto"/>
            <w:noWrap/>
            <w:vAlign w:val="bottom"/>
            <w:hideMark/>
          </w:tcPr>
          <w:p w14:paraId="721D67FB" w14:textId="32A9CD58"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2.928</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5.966</w:t>
            </w:r>
          </w:p>
        </w:tc>
        <w:tc>
          <w:tcPr>
            <w:tcW w:w="384" w:type="pct"/>
            <w:tcBorders>
              <w:top w:val="nil"/>
              <w:bottom w:val="nil"/>
            </w:tcBorders>
            <w:shd w:val="clear" w:color="auto" w:fill="auto"/>
            <w:noWrap/>
            <w:vAlign w:val="bottom"/>
            <w:hideMark/>
          </w:tcPr>
          <w:p w14:paraId="6D2B0D07"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279FC7B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37BCBEC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3.139</w:t>
            </w:r>
          </w:p>
        </w:tc>
        <w:tc>
          <w:tcPr>
            <w:tcW w:w="605" w:type="pct"/>
            <w:tcBorders>
              <w:top w:val="nil"/>
              <w:bottom w:val="nil"/>
            </w:tcBorders>
            <w:shd w:val="clear" w:color="auto" w:fill="auto"/>
            <w:noWrap/>
            <w:vAlign w:val="bottom"/>
            <w:hideMark/>
          </w:tcPr>
          <w:p w14:paraId="5EEF73DD" w14:textId="64AB3303"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2.125</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4.637</w:t>
            </w:r>
          </w:p>
        </w:tc>
        <w:tc>
          <w:tcPr>
            <w:tcW w:w="382" w:type="pct"/>
            <w:tcBorders>
              <w:top w:val="nil"/>
              <w:bottom w:val="nil"/>
            </w:tcBorders>
            <w:shd w:val="clear" w:color="auto" w:fill="auto"/>
            <w:noWrap/>
            <w:vAlign w:val="bottom"/>
            <w:hideMark/>
          </w:tcPr>
          <w:p w14:paraId="233CDF7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&lt; 0.001</w:t>
            </w:r>
          </w:p>
        </w:tc>
      </w:tr>
      <w:tr w:rsidR="00F1462E" w:rsidRPr="0016373D" w14:paraId="0F0694E4" w14:textId="77777777" w:rsidTr="00193349">
        <w:trPr>
          <w:trHeight w:val="402"/>
        </w:trPr>
        <w:tc>
          <w:tcPr>
            <w:tcW w:w="723" w:type="pct"/>
            <w:tcBorders>
              <w:top w:val="nil"/>
              <w:bottom w:val="nil"/>
            </w:tcBorders>
            <w:shd w:val="clear" w:color="auto" w:fill="auto"/>
            <w:noWrap/>
            <w:vAlign w:val="bottom"/>
            <w:hideMark/>
          </w:tcPr>
          <w:p w14:paraId="2953EDC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13D54EE6"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Clarithromycin plus levofloxacin</w:t>
            </w:r>
          </w:p>
        </w:tc>
        <w:tc>
          <w:tcPr>
            <w:tcW w:w="472" w:type="pct"/>
            <w:tcBorders>
              <w:top w:val="nil"/>
              <w:bottom w:val="nil"/>
            </w:tcBorders>
            <w:shd w:val="clear" w:color="auto" w:fill="auto"/>
            <w:noWrap/>
            <w:vAlign w:val="bottom"/>
            <w:hideMark/>
          </w:tcPr>
          <w:p w14:paraId="7940871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1.958</w:t>
            </w:r>
          </w:p>
        </w:tc>
        <w:tc>
          <w:tcPr>
            <w:tcW w:w="576" w:type="pct"/>
            <w:tcBorders>
              <w:top w:val="nil"/>
              <w:bottom w:val="nil"/>
            </w:tcBorders>
            <w:shd w:val="clear" w:color="auto" w:fill="auto"/>
            <w:noWrap/>
            <w:vAlign w:val="bottom"/>
            <w:hideMark/>
          </w:tcPr>
          <w:p w14:paraId="3B8BB71A" w14:textId="665ECC1C"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1.599</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2.397</w:t>
            </w:r>
          </w:p>
        </w:tc>
        <w:tc>
          <w:tcPr>
            <w:tcW w:w="384" w:type="pct"/>
            <w:tcBorders>
              <w:top w:val="nil"/>
              <w:bottom w:val="nil"/>
            </w:tcBorders>
            <w:shd w:val="clear" w:color="auto" w:fill="auto"/>
            <w:noWrap/>
            <w:vAlign w:val="bottom"/>
            <w:hideMark/>
          </w:tcPr>
          <w:p w14:paraId="79FC455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5DFE410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7E126D2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1.863</w:t>
            </w:r>
          </w:p>
        </w:tc>
        <w:tc>
          <w:tcPr>
            <w:tcW w:w="605" w:type="pct"/>
            <w:tcBorders>
              <w:top w:val="nil"/>
              <w:bottom w:val="nil"/>
            </w:tcBorders>
            <w:shd w:val="clear" w:color="auto" w:fill="auto"/>
            <w:noWrap/>
            <w:vAlign w:val="bottom"/>
            <w:hideMark/>
          </w:tcPr>
          <w:p w14:paraId="23F284C7" w14:textId="0E0D1358"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1.517</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2.287</w:t>
            </w:r>
          </w:p>
        </w:tc>
        <w:tc>
          <w:tcPr>
            <w:tcW w:w="382" w:type="pct"/>
            <w:tcBorders>
              <w:top w:val="nil"/>
              <w:bottom w:val="nil"/>
            </w:tcBorders>
            <w:shd w:val="clear" w:color="auto" w:fill="auto"/>
            <w:noWrap/>
            <w:vAlign w:val="bottom"/>
            <w:hideMark/>
          </w:tcPr>
          <w:p w14:paraId="29DC99D7"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&lt; 0.001</w:t>
            </w:r>
          </w:p>
        </w:tc>
      </w:tr>
      <w:tr w:rsidR="00F1462E" w:rsidRPr="0016373D" w14:paraId="0D2EAF9E" w14:textId="77777777" w:rsidTr="00193349">
        <w:trPr>
          <w:trHeight w:val="402"/>
        </w:trPr>
        <w:tc>
          <w:tcPr>
            <w:tcW w:w="723" w:type="pct"/>
            <w:tcBorders>
              <w:top w:val="nil"/>
              <w:bottom w:val="nil"/>
            </w:tcBorders>
            <w:shd w:val="clear" w:color="auto" w:fill="auto"/>
            <w:noWrap/>
            <w:vAlign w:val="bottom"/>
            <w:hideMark/>
          </w:tcPr>
          <w:p w14:paraId="0A8AA2C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03929B3C" w14:textId="77777777" w:rsidR="00F1462E" w:rsidRPr="0016373D" w:rsidRDefault="00F1462E" w:rsidP="00193349">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Clarithromycin plus furazolidone</w:t>
            </w:r>
          </w:p>
        </w:tc>
        <w:tc>
          <w:tcPr>
            <w:tcW w:w="472" w:type="pct"/>
            <w:tcBorders>
              <w:top w:val="nil"/>
              <w:bottom w:val="nil"/>
            </w:tcBorders>
            <w:shd w:val="clear" w:color="auto" w:fill="auto"/>
            <w:noWrap/>
            <w:vAlign w:val="bottom"/>
            <w:hideMark/>
          </w:tcPr>
          <w:p w14:paraId="2A5A0D7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6.400</w:t>
            </w:r>
          </w:p>
        </w:tc>
        <w:tc>
          <w:tcPr>
            <w:tcW w:w="576" w:type="pct"/>
            <w:tcBorders>
              <w:top w:val="nil"/>
              <w:bottom w:val="nil"/>
            </w:tcBorders>
            <w:shd w:val="clear" w:color="auto" w:fill="auto"/>
            <w:noWrap/>
            <w:vAlign w:val="bottom"/>
            <w:hideMark/>
          </w:tcPr>
          <w:p w14:paraId="5BC33857" w14:textId="293175B0"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3.200</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12.797</w:t>
            </w:r>
          </w:p>
        </w:tc>
        <w:tc>
          <w:tcPr>
            <w:tcW w:w="384" w:type="pct"/>
            <w:tcBorders>
              <w:top w:val="nil"/>
              <w:bottom w:val="nil"/>
            </w:tcBorders>
            <w:shd w:val="clear" w:color="auto" w:fill="auto"/>
            <w:noWrap/>
            <w:vAlign w:val="bottom"/>
            <w:hideMark/>
          </w:tcPr>
          <w:p w14:paraId="6B553E9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&lt; 0.001</w:t>
            </w:r>
          </w:p>
        </w:tc>
        <w:tc>
          <w:tcPr>
            <w:tcW w:w="144" w:type="pct"/>
            <w:tcBorders>
              <w:top w:val="nil"/>
              <w:bottom w:val="nil"/>
            </w:tcBorders>
          </w:tcPr>
          <w:p w14:paraId="404F10A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hideMark/>
          </w:tcPr>
          <w:p w14:paraId="343EC2C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5.748</w:t>
            </w:r>
          </w:p>
        </w:tc>
        <w:tc>
          <w:tcPr>
            <w:tcW w:w="605" w:type="pct"/>
            <w:tcBorders>
              <w:top w:val="nil"/>
              <w:bottom w:val="nil"/>
            </w:tcBorders>
            <w:shd w:val="clear" w:color="auto" w:fill="auto"/>
            <w:noWrap/>
            <w:vAlign w:val="bottom"/>
            <w:hideMark/>
          </w:tcPr>
          <w:p w14:paraId="66C39D57" w14:textId="705E3E3D"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2.834</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11.655</w:t>
            </w:r>
          </w:p>
        </w:tc>
        <w:tc>
          <w:tcPr>
            <w:tcW w:w="382" w:type="pct"/>
            <w:tcBorders>
              <w:top w:val="nil"/>
              <w:bottom w:val="nil"/>
            </w:tcBorders>
            <w:shd w:val="clear" w:color="auto" w:fill="auto"/>
            <w:noWrap/>
            <w:vAlign w:val="bottom"/>
            <w:hideMark/>
          </w:tcPr>
          <w:p w14:paraId="79780A43"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&lt; 0.001</w:t>
            </w:r>
          </w:p>
        </w:tc>
      </w:tr>
      <w:tr w:rsidR="00F1462E" w:rsidRPr="0016373D" w14:paraId="5F92BCD0" w14:textId="77777777" w:rsidTr="00193349">
        <w:trPr>
          <w:trHeight w:val="402"/>
        </w:trPr>
        <w:tc>
          <w:tcPr>
            <w:tcW w:w="723" w:type="pct"/>
            <w:tcBorders>
              <w:top w:val="nil"/>
              <w:bottom w:val="nil"/>
            </w:tcBorders>
            <w:shd w:val="clear" w:color="auto" w:fill="auto"/>
            <w:noWrap/>
            <w:vAlign w:val="bottom"/>
            <w:hideMark/>
          </w:tcPr>
          <w:p w14:paraId="5313FCD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40D89A87" w14:textId="77777777" w:rsidR="00F1462E" w:rsidRPr="0016373D" w:rsidRDefault="00F1462E" w:rsidP="00193349">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Levofloxacin plus furazolidone</w:t>
            </w:r>
          </w:p>
        </w:tc>
        <w:tc>
          <w:tcPr>
            <w:tcW w:w="472" w:type="pct"/>
            <w:tcBorders>
              <w:top w:val="nil"/>
              <w:bottom w:val="nil"/>
            </w:tcBorders>
            <w:shd w:val="clear" w:color="auto" w:fill="auto"/>
            <w:noWrap/>
            <w:vAlign w:val="bottom"/>
            <w:hideMark/>
          </w:tcPr>
          <w:p w14:paraId="50AD0AA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2.947</w:t>
            </w:r>
          </w:p>
        </w:tc>
        <w:tc>
          <w:tcPr>
            <w:tcW w:w="576" w:type="pct"/>
            <w:tcBorders>
              <w:top w:val="nil"/>
              <w:bottom w:val="nil"/>
            </w:tcBorders>
            <w:shd w:val="clear" w:color="auto" w:fill="auto"/>
            <w:noWrap/>
            <w:vAlign w:val="bottom"/>
            <w:hideMark/>
          </w:tcPr>
          <w:p w14:paraId="197D974F" w14:textId="4A794C96"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1.147</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7.574</w:t>
            </w:r>
          </w:p>
        </w:tc>
        <w:tc>
          <w:tcPr>
            <w:tcW w:w="384" w:type="pct"/>
            <w:tcBorders>
              <w:top w:val="nil"/>
              <w:bottom w:val="nil"/>
            </w:tcBorders>
            <w:shd w:val="clear" w:color="auto" w:fill="auto"/>
            <w:noWrap/>
            <w:vAlign w:val="bottom"/>
            <w:hideMark/>
          </w:tcPr>
          <w:p w14:paraId="02227CDB"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0.025</w:t>
            </w:r>
          </w:p>
        </w:tc>
        <w:tc>
          <w:tcPr>
            <w:tcW w:w="144" w:type="pct"/>
            <w:tcBorders>
              <w:top w:val="nil"/>
              <w:bottom w:val="nil"/>
            </w:tcBorders>
          </w:tcPr>
          <w:p w14:paraId="001C982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hideMark/>
          </w:tcPr>
          <w:p w14:paraId="6405EBA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2.115</w:t>
            </w:r>
          </w:p>
        </w:tc>
        <w:tc>
          <w:tcPr>
            <w:tcW w:w="605" w:type="pct"/>
            <w:tcBorders>
              <w:top w:val="nil"/>
              <w:bottom w:val="nil"/>
            </w:tcBorders>
            <w:shd w:val="clear" w:color="auto" w:fill="auto"/>
            <w:noWrap/>
            <w:vAlign w:val="bottom"/>
            <w:hideMark/>
          </w:tcPr>
          <w:p w14:paraId="522E748D" w14:textId="6DF6B31C"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0.798</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5.605</w:t>
            </w:r>
          </w:p>
        </w:tc>
        <w:tc>
          <w:tcPr>
            <w:tcW w:w="382" w:type="pct"/>
            <w:tcBorders>
              <w:top w:val="nil"/>
              <w:bottom w:val="nil"/>
            </w:tcBorders>
            <w:shd w:val="clear" w:color="auto" w:fill="auto"/>
            <w:noWrap/>
            <w:vAlign w:val="bottom"/>
            <w:hideMark/>
          </w:tcPr>
          <w:p w14:paraId="5B3A1DB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0.132</w:t>
            </w:r>
          </w:p>
        </w:tc>
      </w:tr>
      <w:tr w:rsidR="00F1462E" w:rsidRPr="0016373D" w14:paraId="682C9EEE" w14:textId="77777777" w:rsidTr="00193349">
        <w:trPr>
          <w:trHeight w:val="402"/>
        </w:trPr>
        <w:tc>
          <w:tcPr>
            <w:tcW w:w="723" w:type="pct"/>
            <w:tcBorders>
              <w:top w:val="nil"/>
              <w:bottom w:val="nil"/>
            </w:tcBorders>
            <w:shd w:val="clear" w:color="auto" w:fill="auto"/>
            <w:noWrap/>
            <w:vAlign w:val="bottom"/>
            <w:hideMark/>
          </w:tcPr>
          <w:p w14:paraId="1B624E6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PPIs</w:t>
            </w:r>
          </w:p>
        </w:tc>
        <w:tc>
          <w:tcPr>
            <w:tcW w:w="1221" w:type="pct"/>
            <w:tcBorders>
              <w:top w:val="nil"/>
              <w:bottom w:val="nil"/>
            </w:tcBorders>
            <w:shd w:val="clear" w:color="auto" w:fill="auto"/>
            <w:noWrap/>
            <w:vAlign w:val="bottom"/>
            <w:hideMark/>
          </w:tcPr>
          <w:p w14:paraId="2566B34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Esomeprazole</w:t>
            </w:r>
          </w:p>
        </w:tc>
        <w:tc>
          <w:tcPr>
            <w:tcW w:w="1048" w:type="pct"/>
            <w:gridSpan w:val="2"/>
            <w:tcBorders>
              <w:top w:val="nil"/>
              <w:bottom w:val="nil"/>
            </w:tcBorders>
            <w:shd w:val="clear" w:color="auto" w:fill="auto"/>
            <w:noWrap/>
            <w:vAlign w:val="bottom"/>
            <w:hideMark/>
          </w:tcPr>
          <w:p w14:paraId="6FF7F61E"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 (Reference)</w:t>
            </w:r>
          </w:p>
        </w:tc>
        <w:tc>
          <w:tcPr>
            <w:tcW w:w="384" w:type="pct"/>
            <w:tcBorders>
              <w:top w:val="nil"/>
              <w:bottom w:val="nil"/>
            </w:tcBorders>
            <w:shd w:val="clear" w:color="auto" w:fill="auto"/>
            <w:noWrap/>
            <w:vAlign w:val="bottom"/>
            <w:hideMark/>
          </w:tcPr>
          <w:p w14:paraId="16A9C28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144" w:type="pct"/>
            <w:tcBorders>
              <w:top w:val="nil"/>
              <w:bottom w:val="nil"/>
            </w:tcBorders>
          </w:tcPr>
          <w:p w14:paraId="09978E0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1098" w:type="pct"/>
            <w:gridSpan w:val="2"/>
            <w:tcBorders>
              <w:top w:val="nil"/>
              <w:bottom w:val="nil"/>
            </w:tcBorders>
            <w:shd w:val="clear" w:color="auto" w:fill="auto"/>
            <w:noWrap/>
            <w:vAlign w:val="bottom"/>
            <w:hideMark/>
          </w:tcPr>
          <w:p w14:paraId="1630811B"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 (Reference)</w:t>
            </w:r>
          </w:p>
        </w:tc>
        <w:tc>
          <w:tcPr>
            <w:tcW w:w="382" w:type="pct"/>
            <w:tcBorders>
              <w:top w:val="nil"/>
              <w:bottom w:val="nil"/>
            </w:tcBorders>
            <w:shd w:val="clear" w:color="auto" w:fill="auto"/>
            <w:noWrap/>
            <w:vAlign w:val="bottom"/>
            <w:hideMark/>
          </w:tcPr>
          <w:p w14:paraId="5DD5A520"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r>
      <w:tr w:rsidR="00F1462E" w:rsidRPr="0016373D" w14:paraId="25AAE0BF" w14:textId="77777777" w:rsidTr="00193349">
        <w:trPr>
          <w:trHeight w:val="402"/>
        </w:trPr>
        <w:tc>
          <w:tcPr>
            <w:tcW w:w="723" w:type="pct"/>
            <w:tcBorders>
              <w:top w:val="nil"/>
              <w:bottom w:val="nil"/>
            </w:tcBorders>
            <w:shd w:val="clear" w:color="auto" w:fill="auto"/>
            <w:noWrap/>
            <w:vAlign w:val="bottom"/>
            <w:hideMark/>
          </w:tcPr>
          <w:p w14:paraId="12D9F64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hideMark/>
          </w:tcPr>
          <w:p w14:paraId="4ECA48F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Rabeprazole</w:t>
            </w:r>
          </w:p>
        </w:tc>
        <w:tc>
          <w:tcPr>
            <w:tcW w:w="472" w:type="pct"/>
            <w:tcBorders>
              <w:top w:val="nil"/>
              <w:bottom w:val="nil"/>
            </w:tcBorders>
            <w:shd w:val="clear" w:color="auto" w:fill="auto"/>
            <w:noWrap/>
            <w:vAlign w:val="bottom"/>
            <w:hideMark/>
          </w:tcPr>
          <w:p w14:paraId="415D8AD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1.168</w:t>
            </w:r>
          </w:p>
        </w:tc>
        <w:tc>
          <w:tcPr>
            <w:tcW w:w="576" w:type="pct"/>
            <w:tcBorders>
              <w:top w:val="nil"/>
              <w:bottom w:val="nil"/>
            </w:tcBorders>
            <w:shd w:val="clear" w:color="auto" w:fill="auto"/>
            <w:noWrap/>
            <w:vAlign w:val="bottom"/>
            <w:hideMark/>
          </w:tcPr>
          <w:p w14:paraId="3CA4178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0.909-1.502</w:t>
            </w:r>
          </w:p>
        </w:tc>
        <w:tc>
          <w:tcPr>
            <w:tcW w:w="384" w:type="pct"/>
            <w:tcBorders>
              <w:top w:val="nil"/>
              <w:bottom w:val="nil"/>
            </w:tcBorders>
            <w:shd w:val="clear" w:color="auto" w:fill="auto"/>
            <w:noWrap/>
            <w:vAlign w:val="bottom"/>
            <w:hideMark/>
          </w:tcPr>
          <w:p w14:paraId="7E282D99"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0.225</w:t>
            </w:r>
          </w:p>
        </w:tc>
        <w:tc>
          <w:tcPr>
            <w:tcW w:w="144" w:type="pct"/>
            <w:tcBorders>
              <w:top w:val="nil"/>
              <w:bottom w:val="nil"/>
            </w:tcBorders>
          </w:tcPr>
          <w:p w14:paraId="666A3B5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hideMark/>
          </w:tcPr>
          <w:p w14:paraId="147292A2"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1.138</w:t>
            </w:r>
          </w:p>
        </w:tc>
        <w:tc>
          <w:tcPr>
            <w:tcW w:w="605" w:type="pct"/>
            <w:tcBorders>
              <w:top w:val="nil"/>
              <w:bottom w:val="nil"/>
            </w:tcBorders>
            <w:shd w:val="clear" w:color="auto" w:fill="auto"/>
            <w:noWrap/>
            <w:vAlign w:val="bottom"/>
            <w:hideMark/>
          </w:tcPr>
          <w:p w14:paraId="0A6FFC2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0.879-1.473</w:t>
            </w:r>
          </w:p>
        </w:tc>
        <w:tc>
          <w:tcPr>
            <w:tcW w:w="382" w:type="pct"/>
            <w:tcBorders>
              <w:top w:val="nil"/>
              <w:bottom w:val="nil"/>
            </w:tcBorders>
            <w:shd w:val="clear" w:color="auto" w:fill="auto"/>
            <w:noWrap/>
            <w:vAlign w:val="bottom"/>
            <w:hideMark/>
          </w:tcPr>
          <w:p w14:paraId="05298A4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0.327</w:t>
            </w:r>
          </w:p>
        </w:tc>
      </w:tr>
      <w:tr w:rsidR="00F1462E" w:rsidRPr="0016373D" w14:paraId="6B03BD0C" w14:textId="77777777" w:rsidTr="00193349">
        <w:trPr>
          <w:trHeight w:val="402"/>
        </w:trPr>
        <w:tc>
          <w:tcPr>
            <w:tcW w:w="723" w:type="pct"/>
            <w:tcBorders>
              <w:top w:val="nil"/>
              <w:bottom w:val="nil"/>
            </w:tcBorders>
            <w:shd w:val="clear" w:color="auto" w:fill="auto"/>
            <w:noWrap/>
            <w:vAlign w:val="bottom"/>
          </w:tcPr>
          <w:p w14:paraId="277CCB2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tcPr>
          <w:p w14:paraId="7989F00D"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Lansoprazole</w:t>
            </w:r>
          </w:p>
        </w:tc>
        <w:tc>
          <w:tcPr>
            <w:tcW w:w="472" w:type="pct"/>
            <w:tcBorders>
              <w:top w:val="nil"/>
              <w:bottom w:val="nil"/>
            </w:tcBorders>
            <w:shd w:val="clear" w:color="auto" w:fill="auto"/>
            <w:noWrap/>
            <w:vAlign w:val="bottom"/>
          </w:tcPr>
          <w:p w14:paraId="3BCB29F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1.197</w:t>
            </w:r>
          </w:p>
        </w:tc>
        <w:tc>
          <w:tcPr>
            <w:tcW w:w="576" w:type="pct"/>
            <w:tcBorders>
              <w:top w:val="nil"/>
              <w:bottom w:val="nil"/>
            </w:tcBorders>
            <w:shd w:val="clear" w:color="auto" w:fill="auto"/>
            <w:noWrap/>
            <w:vAlign w:val="bottom"/>
          </w:tcPr>
          <w:p w14:paraId="7C15E3AF"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0.614-2.332</w:t>
            </w:r>
          </w:p>
        </w:tc>
        <w:tc>
          <w:tcPr>
            <w:tcW w:w="384" w:type="pct"/>
            <w:tcBorders>
              <w:top w:val="nil"/>
              <w:bottom w:val="nil"/>
            </w:tcBorders>
            <w:shd w:val="clear" w:color="auto" w:fill="auto"/>
            <w:noWrap/>
            <w:vAlign w:val="bottom"/>
          </w:tcPr>
          <w:p w14:paraId="6ECCB38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0.598</w:t>
            </w:r>
          </w:p>
        </w:tc>
        <w:tc>
          <w:tcPr>
            <w:tcW w:w="144" w:type="pct"/>
            <w:tcBorders>
              <w:top w:val="nil"/>
              <w:bottom w:val="nil"/>
            </w:tcBorders>
          </w:tcPr>
          <w:p w14:paraId="3E10EF2E"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tcPr>
          <w:p w14:paraId="2AB4922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1.262</w:t>
            </w:r>
          </w:p>
        </w:tc>
        <w:tc>
          <w:tcPr>
            <w:tcW w:w="605" w:type="pct"/>
            <w:tcBorders>
              <w:top w:val="nil"/>
              <w:bottom w:val="nil"/>
            </w:tcBorders>
            <w:shd w:val="clear" w:color="auto" w:fill="auto"/>
            <w:noWrap/>
            <w:vAlign w:val="bottom"/>
          </w:tcPr>
          <w:p w14:paraId="6C579ED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0.638-2.496</w:t>
            </w:r>
          </w:p>
        </w:tc>
        <w:tc>
          <w:tcPr>
            <w:tcW w:w="382" w:type="pct"/>
            <w:tcBorders>
              <w:top w:val="nil"/>
              <w:bottom w:val="nil"/>
            </w:tcBorders>
            <w:shd w:val="clear" w:color="auto" w:fill="auto"/>
            <w:noWrap/>
            <w:vAlign w:val="bottom"/>
          </w:tcPr>
          <w:p w14:paraId="78763CB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0.504</w:t>
            </w:r>
          </w:p>
        </w:tc>
      </w:tr>
      <w:tr w:rsidR="00F1462E" w:rsidRPr="0016373D" w14:paraId="1759ADE8" w14:textId="77777777" w:rsidTr="00193349">
        <w:trPr>
          <w:trHeight w:val="402"/>
        </w:trPr>
        <w:tc>
          <w:tcPr>
            <w:tcW w:w="723" w:type="pct"/>
            <w:tcBorders>
              <w:top w:val="nil"/>
              <w:bottom w:val="nil"/>
            </w:tcBorders>
            <w:shd w:val="clear" w:color="auto" w:fill="auto"/>
            <w:noWrap/>
            <w:vAlign w:val="bottom"/>
          </w:tcPr>
          <w:p w14:paraId="097878B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tcPr>
          <w:p w14:paraId="6DBBA1A0"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Pantoprazole</w:t>
            </w:r>
          </w:p>
        </w:tc>
        <w:tc>
          <w:tcPr>
            <w:tcW w:w="472" w:type="pct"/>
            <w:tcBorders>
              <w:top w:val="nil"/>
              <w:bottom w:val="nil"/>
            </w:tcBorders>
            <w:shd w:val="clear" w:color="auto" w:fill="auto"/>
            <w:noWrap/>
            <w:vAlign w:val="bottom"/>
          </w:tcPr>
          <w:p w14:paraId="52346A3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1.509</w:t>
            </w:r>
          </w:p>
        </w:tc>
        <w:tc>
          <w:tcPr>
            <w:tcW w:w="576" w:type="pct"/>
            <w:tcBorders>
              <w:top w:val="nil"/>
              <w:bottom w:val="nil"/>
            </w:tcBorders>
            <w:shd w:val="clear" w:color="auto" w:fill="auto"/>
            <w:noWrap/>
            <w:vAlign w:val="bottom"/>
          </w:tcPr>
          <w:p w14:paraId="3FDB99D2"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1.161-1.961</w:t>
            </w:r>
          </w:p>
        </w:tc>
        <w:tc>
          <w:tcPr>
            <w:tcW w:w="384" w:type="pct"/>
            <w:tcBorders>
              <w:top w:val="nil"/>
              <w:bottom w:val="nil"/>
            </w:tcBorders>
            <w:shd w:val="clear" w:color="auto" w:fill="auto"/>
            <w:noWrap/>
            <w:vAlign w:val="bottom"/>
          </w:tcPr>
          <w:p w14:paraId="66A8DEF5"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0.002</w:t>
            </w:r>
          </w:p>
        </w:tc>
        <w:tc>
          <w:tcPr>
            <w:tcW w:w="144" w:type="pct"/>
            <w:tcBorders>
              <w:top w:val="nil"/>
              <w:bottom w:val="nil"/>
            </w:tcBorders>
          </w:tcPr>
          <w:p w14:paraId="777E5CC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tcPr>
          <w:p w14:paraId="45B94CB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1.398</w:t>
            </w:r>
          </w:p>
        </w:tc>
        <w:tc>
          <w:tcPr>
            <w:tcW w:w="605" w:type="pct"/>
            <w:tcBorders>
              <w:top w:val="nil"/>
              <w:bottom w:val="nil"/>
            </w:tcBorders>
            <w:shd w:val="clear" w:color="auto" w:fill="auto"/>
            <w:noWrap/>
            <w:vAlign w:val="bottom"/>
          </w:tcPr>
          <w:p w14:paraId="70C0612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1.067-1.831</w:t>
            </w:r>
          </w:p>
        </w:tc>
        <w:tc>
          <w:tcPr>
            <w:tcW w:w="382" w:type="pct"/>
            <w:tcBorders>
              <w:top w:val="nil"/>
              <w:bottom w:val="nil"/>
            </w:tcBorders>
            <w:shd w:val="clear" w:color="auto" w:fill="auto"/>
            <w:noWrap/>
            <w:vAlign w:val="bottom"/>
          </w:tcPr>
          <w:p w14:paraId="1F5B946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0.015</w:t>
            </w:r>
          </w:p>
        </w:tc>
      </w:tr>
      <w:tr w:rsidR="00F1462E" w:rsidRPr="0016373D" w14:paraId="67831909" w14:textId="77777777" w:rsidTr="00193349">
        <w:trPr>
          <w:trHeight w:val="402"/>
        </w:trPr>
        <w:tc>
          <w:tcPr>
            <w:tcW w:w="723" w:type="pct"/>
            <w:tcBorders>
              <w:top w:val="nil"/>
              <w:bottom w:val="single" w:sz="4" w:space="0" w:color="auto"/>
            </w:tcBorders>
            <w:shd w:val="clear" w:color="auto" w:fill="auto"/>
            <w:noWrap/>
            <w:vAlign w:val="bottom"/>
          </w:tcPr>
          <w:p w14:paraId="6671595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single" w:sz="4" w:space="0" w:color="auto"/>
            </w:tcBorders>
            <w:shd w:val="clear" w:color="auto" w:fill="auto"/>
            <w:noWrap/>
            <w:vAlign w:val="bottom"/>
          </w:tcPr>
          <w:p w14:paraId="257E854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Omeprazole</w:t>
            </w:r>
          </w:p>
        </w:tc>
        <w:tc>
          <w:tcPr>
            <w:tcW w:w="472" w:type="pct"/>
            <w:tcBorders>
              <w:top w:val="nil"/>
              <w:bottom w:val="single" w:sz="4" w:space="0" w:color="auto"/>
            </w:tcBorders>
            <w:shd w:val="clear" w:color="auto" w:fill="auto"/>
            <w:noWrap/>
            <w:vAlign w:val="bottom"/>
          </w:tcPr>
          <w:p w14:paraId="01CBC0A0"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1.963</w:t>
            </w:r>
          </w:p>
        </w:tc>
        <w:tc>
          <w:tcPr>
            <w:tcW w:w="576" w:type="pct"/>
            <w:tcBorders>
              <w:top w:val="nil"/>
              <w:bottom w:val="single" w:sz="4" w:space="0" w:color="auto"/>
            </w:tcBorders>
            <w:shd w:val="clear" w:color="auto" w:fill="auto"/>
            <w:noWrap/>
            <w:vAlign w:val="bottom"/>
          </w:tcPr>
          <w:p w14:paraId="00A966B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1.482-2.600</w:t>
            </w:r>
          </w:p>
        </w:tc>
        <w:tc>
          <w:tcPr>
            <w:tcW w:w="384" w:type="pct"/>
            <w:tcBorders>
              <w:top w:val="nil"/>
              <w:bottom w:val="single" w:sz="4" w:space="0" w:color="auto"/>
            </w:tcBorders>
            <w:shd w:val="clear" w:color="auto" w:fill="auto"/>
            <w:noWrap/>
            <w:vAlign w:val="bottom"/>
          </w:tcPr>
          <w:p w14:paraId="7DD60A8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&lt; 0.001</w:t>
            </w:r>
          </w:p>
        </w:tc>
        <w:tc>
          <w:tcPr>
            <w:tcW w:w="144" w:type="pct"/>
            <w:tcBorders>
              <w:top w:val="nil"/>
              <w:bottom w:val="single" w:sz="4" w:space="0" w:color="auto"/>
            </w:tcBorders>
          </w:tcPr>
          <w:p w14:paraId="175E55D9"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single" w:sz="4" w:space="0" w:color="auto"/>
            </w:tcBorders>
            <w:shd w:val="clear" w:color="auto" w:fill="auto"/>
            <w:noWrap/>
            <w:vAlign w:val="bottom"/>
          </w:tcPr>
          <w:p w14:paraId="19101BD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1.513</w:t>
            </w:r>
          </w:p>
        </w:tc>
        <w:tc>
          <w:tcPr>
            <w:tcW w:w="605" w:type="pct"/>
            <w:tcBorders>
              <w:top w:val="nil"/>
              <w:bottom w:val="single" w:sz="4" w:space="0" w:color="auto"/>
            </w:tcBorders>
            <w:shd w:val="clear" w:color="auto" w:fill="auto"/>
            <w:noWrap/>
            <w:vAlign w:val="bottom"/>
          </w:tcPr>
          <w:p w14:paraId="1A0978F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1.113-2.056</w:t>
            </w:r>
          </w:p>
        </w:tc>
        <w:tc>
          <w:tcPr>
            <w:tcW w:w="382" w:type="pct"/>
            <w:tcBorders>
              <w:top w:val="nil"/>
              <w:bottom w:val="single" w:sz="4" w:space="0" w:color="auto"/>
            </w:tcBorders>
            <w:shd w:val="clear" w:color="auto" w:fill="auto"/>
            <w:noWrap/>
            <w:vAlign w:val="bottom"/>
          </w:tcPr>
          <w:p w14:paraId="7872CF2E"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0.008</w:t>
            </w:r>
          </w:p>
        </w:tc>
      </w:tr>
    </w:tbl>
    <w:p w14:paraId="442609B4" w14:textId="77777777" w:rsidR="00F477D7" w:rsidRDefault="00F477D7"/>
    <w:sectPr w:rsidR="00F477D7" w:rsidSect="00193349">
      <w:pgSz w:w="16838" w:h="11906" w:orient="landscape"/>
      <w:pgMar w:top="1440" w:right="1440" w:bottom="1440" w:left="1440" w:header="851" w:footer="992" w:gutter="0"/>
      <w:pgBorders w:offsetFrom="page">
        <w:top w:val="single" w:sz="4" w:space="24" w:color="auto"/>
        <w:bottom w:val="single" w:sz="4" w:space="24" w:color="auto"/>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769F8" w14:textId="77777777" w:rsidR="00336DF3" w:rsidRDefault="00336DF3" w:rsidP="0026065F">
      <w:r>
        <w:separator/>
      </w:r>
    </w:p>
  </w:endnote>
  <w:endnote w:type="continuationSeparator" w:id="0">
    <w:p w14:paraId="23C3424B" w14:textId="77777777" w:rsidR="00336DF3" w:rsidRDefault="00336DF3" w:rsidP="0026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IX-Regular">
    <w:altName w:val="Times New Roman"/>
    <w:panose1 w:val="00000000000000000000"/>
    <w:charset w:val="00"/>
    <w:family w:val="roman"/>
    <w:notTrueType/>
    <w:pitch w:val="default"/>
  </w:font>
  <w:font w:name="Lato-Italic">
    <w:altName w:val="Times New Roman"/>
    <w:panose1 w:val="00000000000000000000"/>
    <w:charset w:val="00"/>
    <w:family w:val="roman"/>
    <w:notTrueType/>
    <w:pitch w:val="default"/>
  </w:font>
  <w:font w:name="AdvOTfbba3ace.B+fb">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63769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8CA477" w14:textId="209A410F" w:rsidR="00107FF8" w:rsidRPr="003E498E" w:rsidRDefault="00107FF8">
            <w:pPr>
              <w:pStyle w:val="a7"/>
              <w:jc w:val="right"/>
              <w:rPr>
                <w:rFonts w:ascii="Book Antiqua" w:hAnsi="Book Antiqua"/>
                <w:sz w:val="24"/>
                <w:szCs w:val="24"/>
              </w:rPr>
            </w:pPr>
            <w:r w:rsidRPr="003E498E">
              <w:rPr>
                <w:rFonts w:ascii="Book Antiqua" w:hAnsi="Book Antiqua"/>
                <w:sz w:val="24"/>
                <w:szCs w:val="24"/>
              </w:rPr>
              <w:fldChar w:fldCharType="begin"/>
            </w:r>
            <w:r w:rsidRPr="003E498E">
              <w:rPr>
                <w:rFonts w:ascii="Book Antiqua" w:hAnsi="Book Antiqua"/>
                <w:sz w:val="24"/>
                <w:szCs w:val="24"/>
              </w:rPr>
              <w:instrText>PAGE</w:instrText>
            </w:r>
            <w:r w:rsidRPr="003E498E">
              <w:rPr>
                <w:rFonts w:ascii="Book Antiqua" w:hAnsi="Book Antiqua"/>
                <w:sz w:val="24"/>
                <w:szCs w:val="24"/>
              </w:rPr>
              <w:fldChar w:fldCharType="separate"/>
            </w:r>
            <w:r w:rsidR="001A1189">
              <w:rPr>
                <w:rFonts w:ascii="Book Antiqua" w:hAnsi="Book Antiqua"/>
                <w:noProof/>
                <w:sz w:val="24"/>
                <w:szCs w:val="24"/>
              </w:rPr>
              <w:t>1</w:t>
            </w:r>
            <w:r w:rsidRPr="003E498E">
              <w:rPr>
                <w:rFonts w:ascii="Book Antiqua" w:hAnsi="Book Antiqua"/>
                <w:sz w:val="24"/>
                <w:szCs w:val="24"/>
              </w:rPr>
              <w:fldChar w:fldCharType="end"/>
            </w:r>
            <w:r w:rsidRPr="003E498E">
              <w:rPr>
                <w:rFonts w:ascii="Book Antiqua" w:hAnsi="Book Antiqua"/>
                <w:sz w:val="24"/>
                <w:szCs w:val="24"/>
                <w:lang w:val="zh-CN"/>
              </w:rPr>
              <w:t>/</w:t>
            </w:r>
            <w:r w:rsidRPr="003E498E">
              <w:rPr>
                <w:rFonts w:ascii="Book Antiqua" w:hAnsi="Book Antiqua"/>
                <w:sz w:val="24"/>
                <w:szCs w:val="24"/>
              </w:rPr>
              <w:fldChar w:fldCharType="begin"/>
            </w:r>
            <w:r w:rsidRPr="003E498E">
              <w:rPr>
                <w:rFonts w:ascii="Book Antiqua" w:hAnsi="Book Antiqua"/>
                <w:sz w:val="24"/>
                <w:szCs w:val="24"/>
              </w:rPr>
              <w:instrText>NUMPAGES</w:instrText>
            </w:r>
            <w:r w:rsidRPr="003E498E">
              <w:rPr>
                <w:rFonts w:ascii="Book Antiqua" w:hAnsi="Book Antiqua"/>
                <w:sz w:val="24"/>
                <w:szCs w:val="24"/>
              </w:rPr>
              <w:fldChar w:fldCharType="separate"/>
            </w:r>
            <w:r w:rsidR="001A1189">
              <w:rPr>
                <w:rFonts w:ascii="Book Antiqua" w:hAnsi="Book Antiqua"/>
                <w:noProof/>
                <w:sz w:val="24"/>
                <w:szCs w:val="24"/>
              </w:rPr>
              <w:t>28</w:t>
            </w:r>
            <w:r w:rsidRPr="003E498E">
              <w:rPr>
                <w:rFonts w:ascii="Book Antiqua" w:hAnsi="Book Antiqua"/>
                <w:sz w:val="24"/>
                <w:szCs w:val="24"/>
              </w:rPr>
              <w:fldChar w:fldCharType="end"/>
            </w:r>
          </w:p>
        </w:sdtContent>
      </w:sdt>
    </w:sdtContent>
  </w:sdt>
  <w:p w14:paraId="34477124" w14:textId="77777777" w:rsidR="00107FF8" w:rsidRPr="003E498E" w:rsidRDefault="00107FF8">
    <w:pPr>
      <w:pStyle w:val="a7"/>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88EDD" w14:textId="77777777" w:rsidR="00336DF3" w:rsidRDefault="00336DF3" w:rsidP="0026065F">
      <w:r>
        <w:separator/>
      </w:r>
    </w:p>
  </w:footnote>
  <w:footnote w:type="continuationSeparator" w:id="0">
    <w:p w14:paraId="37B599F3" w14:textId="77777777" w:rsidR="00336DF3" w:rsidRDefault="00336DF3" w:rsidP="00260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A1"/>
    <w:multiLevelType w:val="hybridMultilevel"/>
    <w:tmpl w:val="21D2C9D4"/>
    <w:lvl w:ilvl="0" w:tplc="4F1090D2">
      <w:start w:val="1"/>
      <w:numFmt w:val="lowerRoman"/>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4D52C0"/>
    <w:multiLevelType w:val="hybridMultilevel"/>
    <w:tmpl w:val="227A23EE"/>
    <w:lvl w:ilvl="0" w:tplc="A3768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1462E"/>
    <w:rsid w:val="00027062"/>
    <w:rsid w:val="0005517D"/>
    <w:rsid w:val="00071784"/>
    <w:rsid w:val="00096751"/>
    <w:rsid w:val="000E3177"/>
    <w:rsid w:val="00107FF8"/>
    <w:rsid w:val="001114F2"/>
    <w:rsid w:val="001175F1"/>
    <w:rsid w:val="00133A81"/>
    <w:rsid w:val="00177C33"/>
    <w:rsid w:val="001911A6"/>
    <w:rsid w:val="00193349"/>
    <w:rsid w:val="001A1189"/>
    <w:rsid w:val="001C5A3D"/>
    <w:rsid w:val="001E2FF8"/>
    <w:rsid w:val="001E6BD8"/>
    <w:rsid w:val="00204655"/>
    <w:rsid w:val="002054F9"/>
    <w:rsid w:val="0022551F"/>
    <w:rsid w:val="00230B0C"/>
    <w:rsid w:val="0026065F"/>
    <w:rsid w:val="002619E5"/>
    <w:rsid w:val="00262089"/>
    <w:rsid w:val="002C5AFA"/>
    <w:rsid w:val="003311DD"/>
    <w:rsid w:val="00336DF3"/>
    <w:rsid w:val="00347BA8"/>
    <w:rsid w:val="00370161"/>
    <w:rsid w:val="0038089C"/>
    <w:rsid w:val="003A256F"/>
    <w:rsid w:val="003D1F46"/>
    <w:rsid w:val="003E498E"/>
    <w:rsid w:val="0044300C"/>
    <w:rsid w:val="00447399"/>
    <w:rsid w:val="004A5585"/>
    <w:rsid w:val="004D22AC"/>
    <w:rsid w:val="004E6EE4"/>
    <w:rsid w:val="004F69F1"/>
    <w:rsid w:val="00531AF3"/>
    <w:rsid w:val="00553C77"/>
    <w:rsid w:val="00570067"/>
    <w:rsid w:val="005D02F9"/>
    <w:rsid w:val="00605FF6"/>
    <w:rsid w:val="00651BDA"/>
    <w:rsid w:val="0067263D"/>
    <w:rsid w:val="00696095"/>
    <w:rsid w:val="006E3AB9"/>
    <w:rsid w:val="006F6248"/>
    <w:rsid w:val="00755C30"/>
    <w:rsid w:val="00760528"/>
    <w:rsid w:val="0079460A"/>
    <w:rsid w:val="007D1D42"/>
    <w:rsid w:val="007E07C1"/>
    <w:rsid w:val="0081382A"/>
    <w:rsid w:val="008310B6"/>
    <w:rsid w:val="00856215"/>
    <w:rsid w:val="008619EB"/>
    <w:rsid w:val="00863CDD"/>
    <w:rsid w:val="008906CC"/>
    <w:rsid w:val="00905591"/>
    <w:rsid w:val="009134FE"/>
    <w:rsid w:val="00922C8D"/>
    <w:rsid w:val="00954066"/>
    <w:rsid w:val="00962F3C"/>
    <w:rsid w:val="009A2DC5"/>
    <w:rsid w:val="009A796B"/>
    <w:rsid w:val="009B27F2"/>
    <w:rsid w:val="009B57E5"/>
    <w:rsid w:val="00A24D4D"/>
    <w:rsid w:val="00A5633C"/>
    <w:rsid w:val="00A72096"/>
    <w:rsid w:val="00A934C4"/>
    <w:rsid w:val="00AC07EC"/>
    <w:rsid w:val="00AF378E"/>
    <w:rsid w:val="00AF5FE8"/>
    <w:rsid w:val="00B07121"/>
    <w:rsid w:val="00B11325"/>
    <w:rsid w:val="00B523E7"/>
    <w:rsid w:val="00B65503"/>
    <w:rsid w:val="00B725BF"/>
    <w:rsid w:val="00BA23FF"/>
    <w:rsid w:val="00BC2244"/>
    <w:rsid w:val="00BC707F"/>
    <w:rsid w:val="00BE3B2F"/>
    <w:rsid w:val="00C0185F"/>
    <w:rsid w:val="00C1215B"/>
    <w:rsid w:val="00C35878"/>
    <w:rsid w:val="00C73C17"/>
    <w:rsid w:val="00C77DC1"/>
    <w:rsid w:val="00D11088"/>
    <w:rsid w:val="00D544A9"/>
    <w:rsid w:val="00D57159"/>
    <w:rsid w:val="00D65680"/>
    <w:rsid w:val="00D71F6C"/>
    <w:rsid w:val="00DA38A3"/>
    <w:rsid w:val="00DC1B6B"/>
    <w:rsid w:val="00E171D0"/>
    <w:rsid w:val="00E3622D"/>
    <w:rsid w:val="00E3659B"/>
    <w:rsid w:val="00E43F1C"/>
    <w:rsid w:val="00EA78E0"/>
    <w:rsid w:val="00EB0729"/>
    <w:rsid w:val="00EC1F12"/>
    <w:rsid w:val="00F1462E"/>
    <w:rsid w:val="00F477D7"/>
    <w:rsid w:val="00F60A33"/>
    <w:rsid w:val="00FC3551"/>
    <w:rsid w:val="00FF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1462E"/>
    <w:rPr>
      <w:i/>
      <w:iCs/>
      <w:color w:val="404040" w:themeColor="text1" w:themeTint="BF"/>
    </w:rPr>
  </w:style>
  <w:style w:type="table" w:styleId="a4">
    <w:name w:val="Table Grid"/>
    <w:basedOn w:val="a1"/>
    <w:uiPriority w:val="59"/>
    <w:rsid w:val="00F1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Char"/>
    <w:uiPriority w:val="34"/>
    <w:qFormat/>
    <w:rsid w:val="00F1462E"/>
    <w:pPr>
      <w:ind w:firstLineChars="200" w:firstLine="420"/>
    </w:pPr>
  </w:style>
  <w:style w:type="paragraph" w:styleId="a6">
    <w:name w:val="header"/>
    <w:basedOn w:val="a"/>
    <w:link w:val="Char0"/>
    <w:uiPriority w:val="99"/>
    <w:unhideWhenUsed/>
    <w:rsid w:val="00F146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1462E"/>
    <w:rPr>
      <w:sz w:val="18"/>
      <w:szCs w:val="18"/>
    </w:rPr>
  </w:style>
  <w:style w:type="paragraph" w:styleId="a7">
    <w:name w:val="footer"/>
    <w:basedOn w:val="a"/>
    <w:link w:val="Char1"/>
    <w:uiPriority w:val="99"/>
    <w:unhideWhenUsed/>
    <w:rsid w:val="00F1462E"/>
    <w:pPr>
      <w:tabs>
        <w:tab w:val="center" w:pos="4153"/>
        <w:tab w:val="right" w:pos="8306"/>
      </w:tabs>
      <w:snapToGrid w:val="0"/>
      <w:jc w:val="left"/>
    </w:pPr>
    <w:rPr>
      <w:sz w:val="18"/>
      <w:szCs w:val="18"/>
    </w:rPr>
  </w:style>
  <w:style w:type="character" w:customStyle="1" w:styleId="Char1">
    <w:name w:val="页脚 Char"/>
    <w:basedOn w:val="a0"/>
    <w:link w:val="a7"/>
    <w:uiPriority w:val="99"/>
    <w:rsid w:val="00F1462E"/>
    <w:rPr>
      <w:sz w:val="18"/>
      <w:szCs w:val="18"/>
    </w:rPr>
  </w:style>
  <w:style w:type="character" w:customStyle="1" w:styleId="fontstyle01">
    <w:name w:val="fontstyle01"/>
    <w:basedOn w:val="a0"/>
    <w:rsid w:val="00F1462E"/>
    <w:rPr>
      <w:rFonts w:ascii="STIX-Regular" w:hAnsi="STIX-Regular" w:hint="default"/>
      <w:b w:val="0"/>
      <w:bCs w:val="0"/>
      <w:i w:val="0"/>
      <w:iCs w:val="0"/>
      <w:color w:val="000000"/>
      <w:sz w:val="20"/>
      <w:szCs w:val="20"/>
    </w:rPr>
  </w:style>
  <w:style w:type="character" w:customStyle="1" w:styleId="fontstyle21">
    <w:name w:val="fontstyle21"/>
    <w:basedOn w:val="a0"/>
    <w:rsid w:val="00F1462E"/>
    <w:rPr>
      <w:rFonts w:ascii="Lato-Italic" w:hAnsi="Lato-Italic" w:hint="default"/>
      <w:b w:val="0"/>
      <w:bCs w:val="0"/>
      <w:i/>
      <w:iCs/>
      <w:color w:val="231F20"/>
      <w:sz w:val="16"/>
      <w:szCs w:val="16"/>
    </w:rPr>
  </w:style>
  <w:style w:type="paragraph" w:customStyle="1" w:styleId="EndNoteBibliographyTitle">
    <w:name w:val="EndNote Bibliography Title"/>
    <w:basedOn w:val="a"/>
    <w:link w:val="EndNoteBibliographyTitleChar"/>
    <w:rsid w:val="00F1462E"/>
    <w:pPr>
      <w:jc w:val="center"/>
    </w:pPr>
    <w:rPr>
      <w:rFonts w:ascii="Calibri" w:hAnsi="Calibri" w:cs="Calibri"/>
      <w:noProof/>
      <w:sz w:val="20"/>
    </w:rPr>
  </w:style>
  <w:style w:type="character" w:customStyle="1" w:styleId="Char">
    <w:name w:val="列出段落 Char"/>
    <w:basedOn w:val="a0"/>
    <w:link w:val="a5"/>
    <w:uiPriority w:val="34"/>
    <w:rsid w:val="00F1462E"/>
  </w:style>
  <w:style w:type="character" w:customStyle="1" w:styleId="EndNoteBibliographyTitleChar">
    <w:name w:val="EndNote Bibliography Title Char"/>
    <w:basedOn w:val="Char"/>
    <w:link w:val="EndNoteBibliographyTitle"/>
    <w:rsid w:val="00F1462E"/>
    <w:rPr>
      <w:rFonts w:ascii="Calibri" w:hAnsi="Calibri" w:cs="Calibri"/>
      <w:noProof/>
      <w:sz w:val="20"/>
    </w:rPr>
  </w:style>
  <w:style w:type="paragraph" w:customStyle="1" w:styleId="EndNoteBibliography">
    <w:name w:val="EndNote Bibliography"/>
    <w:basedOn w:val="a"/>
    <w:link w:val="EndNoteBibliographyChar"/>
    <w:rsid w:val="00F1462E"/>
    <w:rPr>
      <w:rFonts w:ascii="Calibri" w:hAnsi="Calibri" w:cs="Calibri"/>
      <w:noProof/>
      <w:sz w:val="20"/>
    </w:rPr>
  </w:style>
  <w:style w:type="character" w:customStyle="1" w:styleId="EndNoteBibliographyChar">
    <w:name w:val="EndNote Bibliography Char"/>
    <w:basedOn w:val="Char"/>
    <w:link w:val="EndNoteBibliography"/>
    <w:rsid w:val="00F1462E"/>
    <w:rPr>
      <w:rFonts w:ascii="Calibri" w:hAnsi="Calibri" w:cs="Calibri"/>
      <w:noProof/>
      <w:sz w:val="20"/>
    </w:rPr>
  </w:style>
  <w:style w:type="character" w:styleId="a8">
    <w:name w:val="Hyperlink"/>
    <w:basedOn w:val="a0"/>
    <w:uiPriority w:val="99"/>
    <w:unhideWhenUsed/>
    <w:rsid w:val="00F1462E"/>
    <w:rPr>
      <w:color w:val="0563C1" w:themeColor="hyperlink"/>
      <w:u w:val="single"/>
    </w:rPr>
  </w:style>
  <w:style w:type="character" w:customStyle="1" w:styleId="fontstyle11">
    <w:name w:val="fontstyle11"/>
    <w:basedOn w:val="a0"/>
    <w:rsid w:val="00F1462E"/>
    <w:rPr>
      <w:rFonts w:ascii="AdvOTfbba3ace.B+fb" w:hAnsi="AdvOTfbba3ace.B+fb" w:hint="default"/>
      <w:b w:val="0"/>
      <w:bCs w:val="0"/>
      <w:i w:val="0"/>
      <w:iCs w:val="0"/>
      <w:color w:val="231F20"/>
      <w:sz w:val="40"/>
      <w:szCs w:val="40"/>
    </w:rPr>
  </w:style>
  <w:style w:type="character" w:styleId="a9">
    <w:name w:val="annotation reference"/>
    <w:basedOn w:val="a0"/>
    <w:uiPriority w:val="99"/>
    <w:semiHidden/>
    <w:unhideWhenUsed/>
    <w:rsid w:val="00F1462E"/>
    <w:rPr>
      <w:sz w:val="21"/>
      <w:szCs w:val="21"/>
    </w:rPr>
  </w:style>
  <w:style w:type="paragraph" w:styleId="aa">
    <w:name w:val="annotation text"/>
    <w:basedOn w:val="a"/>
    <w:link w:val="Char2"/>
    <w:uiPriority w:val="99"/>
    <w:semiHidden/>
    <w:unhideWhenUsed/>
    <w:rsid w:val="00F1462E"/>
    <w:pPr>
      <w:jc w:val="left"/>
    </w:pPr>
  </w:style>
  <w:style w:type="character" w:customStyle="1" w:styleId="Char2">
    <w:name w:val="批注文字 Char"/>
    <w:basedOn w:val="a0"/>
    <w:link w:val="aa"/>
    <w:uiPriority w:val="99"/>
    <w:semiHidden/>
    <w:rsid w:val="00F1462E"/>
  </w:style>
  <w:style w:type="paragraph" w:styleId="ab">
    <w:name w:val="annotation subject"/>
    <w:basedOn w:val="aa"/>
    <w:next w:val="aa"/>
    <w:link w:val="Char3"/>
    <w:uiPriority w:val="99"/>
    <w:semiHidden/>
    <w:unhideWhenUsed/>
    <w:rsid w:val="00F1462E"/>
    <w:rPr>
      <w:b/>
      <w:bCs/>
    </w:rPr>
  </w:style>
  <w:style w:type="character" w:customStyle="1" w:styleId="Char3">
    <w:name w:val="批注主题 Char"/>
    <w:basedOn w:val="Char2"/>
    <w:link w:val="ab"/>
    <w:uiPriority w:val="99"/>
    <w:semiHidden/>
    <w:rsid w:val="00F1462E"/>
    <w:rPr>
      <w:b/>
      <w:bCs/>
    </w:rPr>
  </w:style>
  <w:style w:type="paragraph" w:styleId="ac">
    <w:name w:val="Balloon Text"/>
    <w:basedOn w:val="a"/>
    <w:link w:val="Char4"/>
    <w:uiPriority w:val="99"/>
    <w:semiHidden/>
    <w:unhideWhenUsed/>
    <w:rsid w:val="00F1462E"/>
    <w:rPr>
      <w:sz w:val="18"/>
      <w:szCs w:val="18"/>
    </w:rPr>
  </w:style>
  <w:style w:type="character" w:customStyle="1" w:styleId="Char4">
    <w:name w:val="批注框文本 Char"/>
    <w:basedOn w:val="a0"/>
    <w:link w:val="ac"/>
    <w:uiPriority w:val="99"/>
    <w:semiHidden/>
    <w:rsid w:val="00F1462E"/>
    <w:rPr>
      <w:sz w:val="18"/>
      <w:szCs w:val="18"/>
    </w:rPr>
  </w:style>
  <w:style w:type="paragraph" w:styleId="ad">
    <w:name w:val="Revision"/>
    <w:hidden/>
    <w:uiPriority w:val="99"/>
    <w:semiHidden/>
    <w:rsid w:val="00F1462E"/>
  </w:style>
  <w:style w:type="table" w:customStyle="1" w:styleId="1">
    <w:name w:val="网格型1"/>
    <w:basedOn w:val="a1"/>
    <w:next w:val="a4"/>
    <w:uiPriority w:val="59"/>
    <w:rsid w:val="00F1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F1462E"/>
    <w:rPr>
      <w:b/>
      <w:bCs/>
    </w:rPr>
  </w:style>
  <w:style w:type="character" w:styleId="af">
    <w:name w:val="Emphasis"/>
    <w:basedOn w:val="a0"/>
    <w:uiPriority w:val="20"/>
    <w:qFormat/>
    <w:rsid w:val="00605F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1462E"/>
    <w:rPr>
      <w:i/>
      <w:iCs/>
      <w:color w:val="404040" w:themeColor="text1" w:themeTint="BF"/>
    </w:rPr>
  </w:style>
  <w:style w:type="table" w:styleId="a4">
    <w:name w:val="Table Grid"/>
    <w:basedOn w:val="a1"/>
    <w:uiPriority w:val="59"/>
    <w:rsid w:val="00F1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Char"/>
    <w:uiPriority w:val="34"/>
    <w:qFormat/>
    <w:rsid w:val="00F1462E"/>
    <w:pPr>
      <w:ind w:firstLineChars="200" w:firstLine="420"/>
    </w:pPr>
  </w:style>
  <w:style w:type="paragraph" w:styleId="a6">
    <w:name w:val="header"/>
    <w:basedOn w:val="a"/>
    <w:link w:val="Char0"/>
    <w:uiPriority w:val="99"/>
    <w:unhideWhenUsed/>
    <w:rsid w:val="00F146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1462E"/>
    <w:rPr>
      <w:sz w:val="18"/>
      <w:szCs w:val="18"/>
    </w:rPr>
  </w:style>
  <w:style w:type="paragraph" w:styleId="a7">
    <w:name w:val="footer"/>
    <w:basedOn w:val="a"/>
    <w:link w:val="Char1"/>
    <w:uiPriority w:val="99"/>
    <w:unhideWhenUsed/>
    <w:rsid w:val="00F1462E"/>
    <w:pPr>
      <w:tabs>
        <w:tab w:val="center" w:pos="4153"/>
        <w:tab w:val="right" w:pos="8306"/>
      </w:tabs>
      <w:snapToGrid w:val="0"/>
      <w:jc w:val="left"/>
    </w:pPr>
    <w:rPr>
      <w:sz w:val="18"/>
      <w:szCs w:val="18"/>
    </w:rPr>
  </w:style>
  <w:style w:type="character" w:customStyle="1" w:styleId="Char1">
    <w:name w:val="页脚 Char"/>
    <w:basedOn w:val="a0"/>
    <w:link w:val="a7"/>
    <w:uiPriority w:val="99"/>
    <w:rsid w:val="00F1462E"/>
    <w:rPr>
      <w:sz w:val="18"/>
      <w:szCs w:val="18"/>
    </w:rPr>
  </w:style>
  <w:style w:type="character" w:customStyle="1" w:styleId="fontstyle01">
    <w:name w:val="fontstyle01"/>
    <w:basedOn w:val="a0"/>
    <w:rsid w:val="00F1462E"/>
    <w:rPr>
      <w:rFonts w:ascii="STIX-Regular" w:hAnsi="STIX-Regular" w:hint="default"/>
      <w:b w:val="0"/>
      <w:bCs w:val="0"/>
      <w:i w:val="0"/>
      <w:iCs w:val="0"/>
      <w:color w:val="000000"/>
      <w:sz w:val="20"/>
      <w:szCs w:val="20"/>
    </w:rPr>
  </w:style>
  <w:style w:type="character" w:customStyle="1" w:styleId="fontstyle21">
    <w:name w:val="fontstyle21"/>
    <w:basedOn w:val="a0"/>
    <w:rsid w:val="00F1462E"/>
    <w:rPr>
      <w:rFonts w:ascii="Lato-Italic" w:hAnsi="Lato-Italic" w:hint="default"/>
      <w:b w:val="0"/>
      <w:bCs w:val="0"/>
      <w:i/>
      <w:iCs/>
      <w:color w:val="231F20"/>
      <w:sz w:val="16"/>
      <w:szCs w:val="16"/>
    </w:rPr>
  </w:style>
  <w:style w:type="paragraph" w:customStyle="1" w:styleId="EndNoteBibliographyTitle">
    <w:name w:val="EndNote Bibliography Title"/>
    <w:basedOn w:val="a"/>
    <w:link w:val="EndNoteBibliographyTitleChar"/>
    <w:rsid w:val="00F1462E"/>
    <w:pPr>
      <w:jc w:val="center"/>
    </w:pPr>
    <w:rPr>
      <w:rFonts w:ascii="Calibri" w:hAnsi="Calibri" w:cs="Calibri"/>
      <w:noProof/>
      <w:sz w:val="20"/>
    </w:rPr>
  </w:style>
  <w:style w:type="character" w:customStyle="1" w:styleId="Char">
    <w:name w:val="列出段落 Char"/>
    <w:basedOn w:val="a0"/>
    <w:link w:val="a5"/>
    <w:uiPriority w:val="34"/>
    <w:rsid w:val="00F1462E"/>
  </w:style>
  <w:style w:type="character" w:customStyle="1" w:styleId="EndNoteBibliographyTitleChar">
    <w:name w:val="EndNote Bibliography Title Char"/>
    <w:basedOn w:val="Char"/>
    <w:link w:val="EndNoteBibliographyTitle"/>
    <w:rsid w:val="00F1462E"/>
    <w:rPr>
      <w:rFonts w:ascii="Calibri" w:hAnsi="Calibri" w:cs="Calibri"/>
      <w:noProof/>
      <w:sz w:val="20"/>
    </w:rPr>
  </w:style>
  <w:style w:type="paragraph" w:customStyle="1" w:styleId="EndNoteBibliography">
    <w:name w:val="EndNote Bibliography"/>
    <w:basedOn w:val="a"/>
    <w:link w:val="EndNoteBibliographyChar"/>
    <w:rsid w:val="00F1462E"/>
    <w:rPr>
      <w:rFonts w:ascii="Calibri" w:hAnsi="Calibri" w:cs="Calibri"/>
      <w:noProof/>
      <w:sz w:val="20"/>
    </w:rPr>
  </w:style>
  <w:style w:type="character" w:customStyle="1" w:styleId="EndNoteBibliographyChar">
    <w:name w:val="EndNote Bibliography Char"/>
    <w:basedOn w:val="Char"/>
    <w:link w:val="EndNoteBibliography"/>
    <w:rsid w:val="00F1462E"/>
    <w:rPr>
      <w:rFonts w:ascii="Calibri" w:hAnsi="Calibri" w:cs="Calibri"/>
      <w:noProof/>
      <w:sz w:val="20"/>
    </w:rPr>
  </w:style>
  <w:style w:type="character" w:styleId="a8">
    <w:name w:val="Hyperlink"/>
    <w:basedOn w:val="a0"/>
    <w:uiPriority w:val="99"/>
    <w:unhideWhenUsed/>
    <w:rsid w:val="00F1462E"/>
    <w:rPr>
      <w:color w:val="0563C1" w:themeColor="hyperlink"/>
      <w:u w:val="single"/>
    </w:rPr>
  </w:style>
  <w:style w:type="character" w:customStyle="1" w:styleId="fontstyle11">
    <w:name w:val="fontstyle11"/>
    <w:basedOn w:val="a0"/>
    <w:rsid w:val="00F1462E"/>
    <w:rPr>
      <w:rFonts w:ascii="AdvOTfbba3ace.B+fb" w:hAnsi="AdvOTfbba3ace.B+fb" w:hint="default"/>
      <w:b w:val="0"/>
      <w:bCs w:val="0"/>
      <w:i w:val="0"/>
      <w:iCs w:val="0"/>
      <w:color w:val="231F20"/>
      <w:sz w:val="40"/>
      <w:szCs w:val="40"/>
    </w:rPr>
  </w:style>
  <w:style w:type="character" w:styleId="a9">
    <w:name w:val="annotation reference"/>
    <w:basedOn w:val="a0"/>
    <w:uiPriority w:val="99"/>
    <w:semiHidden/>
    <w:unhideWhenUsed/>
    <w:rsid w:val="00F1462E"/>
    <w:rPr>
      <w:sz w:val="21"/>
      <w:szCs w:val="21"/>
    </w:rPr>
  </w:style>
  <w:style w:type="paragraph" w:styleId="aa">
    <w:name w:val="annotation text"/>
    <w:basedOn w:val="a"/>
    <w:link w:val="Char2"/>
    <w:uiPriority w:val="99"/>
    <w:semiHidden/>
    <w:unhideWhenUsed/>
    <w:rsid w:val="00F1462E"/>
    <w:pPr>
      <w:jc w:val="left"/>
    </w:pPr>
  </w:style>
  <w:style w:type="character" w:customStyle="1" w:styleId="Char2">
    <w:name w:val="批注文字 Char"/>
    <w:basedOn w:val="a0"/>
    <w:link w:val="aa"/>
    <w:uiPriority w:val="99"/>
    <w:semiHidden/>
    <w:rsid w:val="00F1462E"/>
  </w:style>
  <w:style w:type="paragraph" w:styleId="ab">
    <w:name w:val="annotation subject"/>
    <w:basedOn w:val="aa"/>
    <w:next w:val="aa"/>
    <w:link w:val="Char3"/>
    <w:uiPriority w:val="99"/>
    <w:semiHidden/>
    <w:unhideWhenUsed/>
    <w:rsid w:val="00F1462E"/>
    <w:rPr>
      <w:b/>
      <w:bCs/>
    </w:rPr>
  </w:style>
  <w:style w:type="character" w:customStyle="1" w:styleId="Char3">
    <w:name w:val="批注主题 Char"/>
    <w:basedOn w:val="Char2"/>
    <w:link w:val="ab"/>
    <w:uiPriority w:val="99"/>
    <w:semiHidden/>
    <w:rsid w:val="00F1462E"/>
    <w:rPr>
      <w:b/>
      <w:bCs/>
    </w:rPr>
  </w:style>
  <w:style w:type="paragraph" w:styleId="ac">
    <w:name w:val="Balloon Text"/>
    <w:basedOn w:val="a"/>
    <w:link w:val="Char4"/>
    <w:uiPriority w:val="99"/>
    <w:semiHidden/>
    <w:unhideWhenUsed/>
    <w:rsid w:val="00F1462E"/>
    <w:rPr>
      <w:sz w:val="18"/>
      <w:szCs w:val="18"/>
    </w:rPr>
  </w:style>
  <w:style w:type="character" w:customStyle="1" w:styleId="Char4">
    <w:name w:val="批注框文本 Char"/>
    <w:basedOn w:val="a0"/>
    <w:link w:val="ac"/>
    <w:uiPriority w:val="99"/>
    <w:semiHidden/>
    <w:rsid w:val="00F1462E"/>
    <w:rPr>
      <w:sz w:val="18"/>
      <w:szCs w:val="18"/>
    </w:rPr>
  </w:style>
  <w:style w:type="paragraph" w:styleId="ad">
    <w:name w:val="Revision"/>
    <w:hidden/>
    <w:uiPriority w:val="99"/>
    <w:semiHidden/>
    <w:rsid w:val="00F1462E"/>
  </w:style>
  <w:style w:type="table" w:customStyle="1" w:styleId="1">
    <w:name w:val="网格型1"/>
    <w:basedOn w:val="a1"/>
    <w:next w:val="a4"/>
    <w:uiPriority w:val="59"/>
    <w:rsid w:val="00F1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F1462E"/>
    <w:rPr>
      <w:b/>
      <w:bCs/>
    </w:rPr>
  </w:style>
  <w:style w:type="character" w:styleId="af">
    <w:name w:val="Emphasis"/>
    <w:basedOn w:val="a0"/>
    <w:uiPriority w:val="20"/>
    <w:qFormat/>
    <w:rsid w:val="00605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5796</Words>
  <Characters>33041</Characters>
  <Application>Microsoft Office Word</Application>
  <DocSecurity>0</DocSecurity>
  <Lines>275</Lines>
  <Paragraphs>77</Paragraphs>
  <ScaleCrop>false</ScaleCrop>
  <Company/>
  <LinksUpToDate>false</LinksUpToDate>
  <CharactersWithSpaces>38760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Jin-Lei Wang</cp:lastModifiedBy>
  <cp:revision>5</cp:revision>
  <dcterms:created xsi:type="dcterms:W3CDTF">2020-08-10T07:24:00Z</dcterms:created>
  <dcterms:modified xsi:type="dcterms:W3CDTF">2020-08-11T10:34:00Z</dcterms:modified>
</cp:coreProperties>
</file>