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8B5FC" w14:textId="77777777" w:rsidR="00A77B3E" w:rsidRDefault="00E76E9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33A6C54" w14:textId="77777777" w:rsidR="00A77B3E" w:rsidRDefault="00E76E9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56294</w:t>
      </w:r>
    </w:p>
    <w:p w14:paraId="735A7594" w14:textId="77777777" w:rsidR="00A77B3E" w:rsidRDefault="00E76E9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05DAF44" w14:textId="77777777" w:rsidR="00A77B3E" w:rsidRDefault="00A77B3E">
      <w:pPr>
        <w:spacing w:line="360" w:lineRule="auto"/>
        <w:jc w:val="both"/>
      </w:pPr>
    </w:p>
    <w:p w14:paraId="5519C840" w14:textId="77777777" w:rsidR="00A77B3E" w:rsidRDefault="00E76E9F">
      <w:pPr>
        <w:spacing w:line="360" w:lineRule="auto"/>
        <w:jc w:val="both"/>
      </w:pPr>
      <w:r>
        <w:rPr>
          <w:rFonts w:ascii="Book Antiqua" w:eastAsia="Book Antiqua" w:hAnsi="Book Antiqua" w:cs="Book Antiqua"/>
          <w:b/>
          <w:i/>
          <w:color w:val="000000"/>
        </w:rPr>
        <w:t>Retrospective Study</w:t>
      </w:r>
    </w:p>
    <w:p w14:paraId="59242587" w14:textId="654F4ECE" w:rsidR="00A77B3E" w:rsidRDefault="004A7C7C">
      <w:pPr>
        <w:spacing w:line="360" w:lineRule="auto"/>
        <w:jc w:val="both"/>
      </w:pPr>
      <w:r w:rsidRPr="004A7C7C">
        <w:rPr>
          <w:rFonts w:ascii="Book Antiqua" w:eastAsia="Book Antiqua" w:hAnsi="Book Antiqua" w:cs="Book Antiqua"/>
          <w:b/>
          <w:bCs/>
          <w:color w:val="000000"/>
        </w:rPr>
        <w:t>Golgi protein-73</w:t>
      </w:r>
      <w:r>
        <w:rPr>
          <w:rFonts w:ascii="Book Antiqua" w:eastAsia="Book Antiqua" w:hAnsi="Book Antiqua" w:cs="Book Antiqua"/>
          <w:b/>
          <w:bCs/>
          <w:color w:val="000000"/>
        </w:rPr>
        <w:t xml:space="preserve">: </w:t>
      </w:r>
      <w:r w:rsidR="00E76E9F">
        <w:rPr>
          <w:rFonts w:ascii="Book Antiqua" w:eastAsia="Book Antiqua" w:hAnsi="Book Antiqua" w:cs="Book Antiqua"/>
          <w:b/>
          <w:bCs/>
          <w:color w:val="000000"/>
        </w:rPr>
        <w:t>A biomarker for assessing cirrhosis and prognosis of liver disease patients</w:t>
      </w:r>
    </w:p>
    <w:p w14:paraId="5AC0838F" w14:textId="77777777" w:rsidR="00A77B3E" w:rsidRDefault="00A77B3E">
      <w:pPr>
        <w:spacing w:line="360" w:lineRule="auto"/>
        <w:jc w:val="both"/>
      </w:pPr>
    </w:p>
    <w:p w14:paraId="2683E4C9" w14:textId="4901E712" w:rsidR="00A77B3E" w:rsidRDefault="00FF521E">
      <w:pPr>
        <w:spacing w:line="360" w:lineRule="auto"/>
        <w:jc w:val="both"/>
      </w:pP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w:t>
      </w:r>
      <w:r w:rsidRPr="00FF521E">
        <w:rPr>
          <w:rFonts w:ascii="Book Antiqua" w:eastAsia="Book Antiqua" w:hAnsi="Book Antiqua" w:cs="Book Antiqua"/>
          <w:i/>
          <w:iCs/>
          <w:color w:val="000000"/>
        </w:rPr>
        <w:t xml:space="preserve"> et al. </w:t>
      </w:r>
      <w:r w:rsidR="00E76E9F">
        <w:rPr>
          <w:rFonts w:ascii="Book Antiqua" w:eastAsia="Book Antiqua" w:hAnsi="Book Antiqua" w:cs="Book Antiqua"/>
          <w:color w:val="000000"/>
        </w:rPr>
        <w:t>GP73 in liver cirrhosis and outcome</w:t>
      </w:r>
    </w:p>
    <w:p w14:paraId="2CECB2B6" w14:textId="77777777" w:rsidR="00A77B3E" w:rsidRDefault="00A77B3E">
      <w:pPr>
        <w:spacing w:line="360" w:lineRule="auto"/>
        <w:jc w:val="both"/>
      </w:pPr>
    </w:p>
    <w:p w14:paraId="0F90B2BB" w14:textId="34965BBE" w:rsidR="00A77B3E" w:rsidRDefault="00E76E9F">
      <w:pPr>
        <w:spacing w:line="360" w:lineRule="auto"/>
        <w:jc w:val="both"/>
      </w:pPr>
      <w:r>
        <w:rPr>
          <w:rFonts w:ascii="Book Antiqua" w:eastAsia="Book Antiqua" w:hAnsi="Book Antiqua" w:cs="Book Antiqua"/>
          <w:color w:val="000000"/>
        </w:rPr>
        <w:t xml:space="preserve">Nikolaos K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Tamás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Tornai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Zakera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Shums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Kalliopi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Zachou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Asterios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Saitis</w:t>
      </w:r>
      <w:proofErr w:type="spellEnd"/>
      <w:r>
        <w:rPr>
          <w:rFonts w:ascii="Book Antiqua" w:eastAsia="Book Antiqua" w:hAnsi="Book Antiqua" w:cs="Book Antiqua"/>
          <w:color w:val="000000"/>
        </w:rPr>
        <w:t xml:space="preserve">, Stella </w:t>
      </w:r>
      <w:proofErr w:type="spellStart"/>
      <w:r>
        <w:rPr>
          <w:rFonts w:ascii="Book Antiqua" w:eastAsia="Book Antiqua" w:hAnsi="Book Antiqua" w:cs="Book Antiqua"/>
          <w:color w:val="000000"/>
        </w:rPr>
        <w:t>Gabeta</w:t>
      </w:r>
      <w:proofErr w:type="spellEnd"/>
      <w:r>
        <w:rPr>
          <w:rFonts w:ascii="Book Antiqua" w:eastAsia="Book Antiqua" w:hAnsi="Book Antiqua" w:cs="Book Antiqua"/>
          <w:color w:val="000000"/>
        </w:rPr>
        <w:t xml:space="preserve">, Roger </w:t>
      </w:r>
      <w:proofErr w:type="spellStart"/>
      <w:r>
        <w:rPr>
          <w:rFonts w:ascii="Book Antiqua" w:eastAsia="Book Antiqua" w:hAnsi="Book Antiqua" w:cs="Book Antiqua"/>
          <w:color w:val="000000"/>
        </w:rPr>
        <w:t>Albesa</w:t>
      </w:r>
      <w:proofErr w:type="spellEnd"/>
      <w:r>
        <w:rPr>
          <w:rFonts w:ascii="Book Antiqua" w:eastAsia="Book Antiqua" w:hAnsi="Book Antiqua" w:cs="Book Antiqua"/>
          <w:color w:val="000000"/>
        </w:rPr>
        <w:t xml:space="preserve">, Gary L Norman, </w:t>
      </w:r>
      <w:proofErr w:type="spellStart"/>
      <w:r>
        <w:rPr>
          <w:rFonts w:ascii="Book Antiqua" w:eastAsia="Book Antiqua" w:hAnsi="Book Antiqua" w:cs="Book Antiqua"/>
          <w:color w:val="000000"/>
        </w:rPr>
        <w:t>Mária</w:t>
      </w:r>
      <w:proofErr w:type="spellEnd"/>
      <w:r>
        <w:rPr>
          <w:rFonts w:ascii="Book Antiqua" w:eastAsia="Book Antiqua" w:hAnsi="Book Antiqua" w:cs="Book Antiqua"/>
          <w:color w:val="000000"/>
        </w:rPr>
        <w:t xml:space="preserve"> Papp, George N</w:t>
      </w:r>
      <w:r w:rsidR="0047722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Dalekos</w:t>
      </w:r>
      <w:proofErr w:type="spellEnd"/>
    </w:p>
    <w:p w14:paraId="3D2575C4" w14:textId="77777777" w:rsidR="00A77B3E" w:rsidRDefault="00A77B3E">
      <w:pPr>
        <w:spacing w:line="360" w:lineRule="auto"/>
        <w:jc w:val="both"/>
      </w:pPr>
    </w:p>
    <w:p w14:paraId="6123C521" w14:textId="4D295EDA" w:rsidR="00A77B3E" w:rsidRDefault="00E76E9F">
      <w:pPr>
        <w:spacing w:line="360" w:lineRule="auto"/>
        <w:jc w:val="both"/>
      </w:pPr>
      <w:r>
        <w:rPr>
          <w:rFonts w:ascii="Book Antiqua" w:eastAsia="Book Antiqua" w:hAnsi="Book Antiqua" w:cs="Book Antiqua"/>
          <w:b/>
          <w:bCs/>
          <w:color w:val="000000"/>
        </w:rPr>
        <w:t xml:space="preserve">Nikolaos K </w:t>
      </w:r>
      <w:proofErr w:type="spellStart"/>
      <w:r>
        <w:rPr>
          <w:rFonts w:ascii="Book Antiqua" w:eastAsia="Book Antiqua" w:hAnsi="Book Antiqua" w:cs="Book Antiqua"/>
          <w:b/>
          <w:bCs/>
          <w:color w:val="000000"/>
        </w:rPr>
        <w:t>Gatselis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Kalliopi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Zachou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Asterios</w:t>
      </w:r>
      <w:proofErr w:type="spellEnd"/>
      <w:r>
        <w:rPr>
          <w:rFonts w:ascii="Book Antiqua" w:eastAsia="Book Antiqua" w:hAnsi="Book Antiqua" w:cs="Book Antiqua"/>
          <w:b/>
          <w:bCs/>
          <w:color w:val="000000"/>
        </w:rPr>
        <w:t xml:space="preserve"> </w:t>
      </w:r>
      <w:proofErr w:type="spellStart"/>
      <w:r w:rsidR="009D2401">
        <w:rPr>
          <w:rFonts w:ascii="Book Antiqua" w:eastAsia="Book Antiqua" w:hAnsi="Book Antiqua" w:cs="Book Antiqua"/>
          <w:b/>
          <w:bCs/>
          <w:color w:val="000000"/>
        </w:rPr>
        <w:t>Saitis</w:t>
      </w:r>
      <w:proofErr w:type="spellEnd"/>
      <w:r w:rsidR="009D2401">
        <w:rPr>
          <w:rFonts w:ascii="Book Antiqua" w:eastAsia="Book Antiqua" w:hAnsi="Book Antiqua" w:cs="Book Antiqua"/>
          <w:b/>
          <w:bCs/>
          <w:color w:val="000000"/>
        </w:rPr>
        <w:t xml:space="preserve">, Stella </w:t>
      </w:r>
      <w:proofErr w:type="spellStart"/>
      <w:r w:rsidR="009D2401">
        <w:rPr>
          <w:rFonts w:ascii="Book Antiqua" w:eastAsia="Book Antiqua" w:hAnsi="Book Antiqua" w:cs="Book Antiqua"/>
          <w:b/>
          <w:bCs/>
          <w:color w:val="000000"/>
        </w:rPr>
        <w:t>Gabeta</w:t>
      </w:r>
      <w:proofErr w:type="spellEnd"/>
      <w:r w:rsidR="009D2401">
        <w:rPr>
          <w:rFonts w:ascii="Book Antiqua" w:eastAsia="Book Antiqua" w:hAnsi="Book Antiqua" w:cs="Book Antiqua"/>
          <w:b/>
          <w:bCs/>
          <w:color w:val="000000"/>
        </w:rPr>
        <w:t xml:space="preserve">, George N </w:t>
      </w:r>
      <w:proofErr w:type="spellStart"/>
      <w:r>
        <w:rPr>
          <w:rFonts w:ascii="Book Antiqua" w:eastAsia="Book Antiqua" w:hAnsi="Book Antiqua" w:cs="Book Antiqua"/>
          <w:b/>
          <w:bCs/>
          <w:color w:val="000000"/>
        </w:rPr>
        <w:t>Dalekos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and Research Laboratory of Internal Medicine, National Expertise Center of Greece in Autoimmune Liver Diseases, General University Hospital of Larissa, Larissa 41110, Greece</w:t>
      </w:r>
    </w:p>
    <w:p w14:paraId="344E7687" w14:textId="77777777" w:rsidR="00A77B3E" w:rsidRDefault="00A77B3E">
      <w:pPr>
        <w:spacing w:line="360" w:lineRule="auto"/>
        <w:jc w:val="both"/>
      </w:pPr>
    </w:p>
    <w:p w14:paraId="4125F654" w14:textId="77777777" w:rsidR="00A77B3E" w:rsidRDefault="00E76E9F">
      <w:pPr>
        <w:spacing w:line="360" w:lineRule="auto"/>
        <w:jc w:val="both"/>
      </w:pPr>
      <w:proofErr w:type="spellStart"/>
      <w:r>
        <w:rPr>
          <w:rFonts w:ascii="Book Antiqua" w:eastAsia="Book Antiqua" w:hAnsi="Book Antiqua" w:cs="Book Antiqua"/>
          <w:b/>
          <w:bCs/>
          <w:color w:val="000000"/>
        </w:rPr>
        <w:t>Tamás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Tornai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Mária</w:t>
      </w:r>
      <w:proofErr w:type="spellEnd"/>
      <w:r>
        <w:rPr>
          <w:rFonts w:ascii="Book Antiqua" w:eastAsia="Book Antiqua" w:hAnsi="Book Antiqua" w:cs="Book Antiqua"/>
          <w:b/>
          <w:bCs/>
          <w:color w:val="000000"/>
        </w:rPr>
        <w:t xml:space="preserve"> Papp, </w:t>
      </w:r>
      <w:r>
        <w:rPr>
          <w:rFonts w:ascii="Book Antiqua" w:eastAsia="Book Antiqua" w:hAnsi="Book Antiqua" w:cs="Book Antiqua"/>
          <w:color w:val="000000"/>
        </w:rPr>
        <w:t>Department of Internal Medicine, Division of Gastroenterology, University of Debrecen, Faculty of Medicine, Debrecen H-4032, Hungary</w:t>
      </w:r>
    </w:p>
    <w:p w14:paraId="6867D3D3" w14:textId="77777777" w:rsidR="00A77B3E" w:rsidRDefault="00A77B3E">
      <w:pPr>
        <w:spacing w:line="360" w:lineRule="auto"/>
        <w:jc w:val="both"/>
      </w:pPr>
    </w:p>
    <w:p w14:paraId="72362149" w14:textId="5EBD170C" w:rsidR="00A77B3E" w:rsidRDefault="00E76E9F">
      <w:pPr>
        <w:spacing w:line="360" w:lineRule="auto"/>
        <w:jc w:val="both"/>
      </w:pPr>
      <w:proofErr w:type="spellStart"/>
      <w:r>
        <w:rPr>
          <w:rFonts w:ascii="Book Antiqua" w:eastAsia="Book Antiqua" w:hAnsi="Book Antiqua" w:cs="Book Antiqua"/>
          <w:b/>
          <w:bCs/>
          <w:color w:val="000000"/>
        </w:rPr>
        <w:t>Zakera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Shums</w:t>
      </w:r>
      <w:proofErr w:type="spellEnd"/>
      <w:r>
        <w:rPr>
          <w:rFonts w:ascii="Book Antiqua" w:eastAsia="Book Antiqua" w:hAnsi="Book Antiqua" w:cs="Book Antiqua"/>
          <w:b/>
          <w:bCs/>
          <w:color w:val="000000"/>
        </w:rPr>
        <w:t xml:space="preserve">, Roger </w:t>
      </w:r>
      <w:proofErr w:type="spellStart"/>
      <w:r>
        <w:rPr>
          <w:rFonts w:ascii="Book Antiqua" w:eastAsia="Book Antiqua" w:hAnsi="Book Antiqua" w:cs="Book Antiqua"/>
          <w:b/>
          <w:bCs/>
          <w:color w:val="000000"/>
        </w:rPr>
        <w:t>Albesa</w:t>
      </w:r>
      <w:proofErr w:type="spellEnd"/>
      <w:r>
        <w:rPr>
          <w:rFonts w:ascii="Book Antiqua" w:eastAsia="Book Antiqua" w:hAnsi="Book Antiqua" w:cs="Book Antiqua"/>
          <w:b/>
          <w:bCs/>
          <w:color w:val="000000"/>
        </w:rPr>
        <w:t xml:space="preserve">, Gary L Norman, </w:t>
      </w:r>
      <w:r>
        <w:rPr>
          <w:rFonts w:ascii="Book Antiqua" w:eastAsia="Book Antiqua" w:hAnsi="Book Antiqua" w:cs="Book Antiqua"/>
          <w:color w:val="000000"/>
        </w:rPr>
        <w:t xml:space="preserve">Department of </w:t>
      </w:r>
      <w:r w:rsidR="003324DE" w:rsidRPr="00725161">
        <w:rPr>
          <w:rFonts w:ascii="Book Antiqua" w:eastAsia="Book Antiqua" w:hAnsi="Book Antiqua" w:cs="Book Antiqua"/>
          <w:color w:val="000000"/>
        </w:rPr>
        <w:t>Research and Development</w:t>
      </w:r>
      <w:r w:rsidR="004A7C7C">
        <w:rPr>
          <w:rFonts w:ascii="Book Antiqua" w:eastAsia="Book Antiqua" w:hAnsi="Book Antiqua" w:cs="Book Antiqua"/>
          <w:color w:val="000000"/>
        </w:rPr>
        <w:t xml:space="preserve">, </w:t>
      </w:r>
      <w:r>
        <w:rPr>
          <w:rFonts w:ascii="Book Antiqua" w:eastAsia="Book Antiqua" w:hAnsi="Book Antiqua" w:cs="Book Antiqua"/>
          <w:color w:val="000000"/>
        </w:rPr>
        <w:t>Inova Diagnostics, Inc., San Diego, CA 92131, United States</w:t>
      </w:r>
    </w:p>
    <w:p w14:paraId="21A7F358" w14:textId="77777777" w:rsidR="00A77B3E" w:rsidRDefault="00A77B3E">
      <w:pPr>
        <w:spacing w:line="360" w:lineRule="auto"/>
        <w:jc w:val="both"/>
      </w:pPr>
    </w:p>
    <w:p w14:paraId="432F3A54" w14:textId="2EDE0A5A" w:rsidR="00A77B3E" w:rsidRDefault="00725161">
      <w:pPr>
        <w:spacing w:line="360" w:lineRule="auto"/>
        <w:jc w:val="both"/>
      </w:pPr>
      <w:r>
        <w:rPr>
          <w:rFonts w:ascii="Book Antiqua" w:eastAsia="Book Antiqua" w:hAnsi="Book Antiqua" w:cs="Book Antiqua"/>
          <w:b/>
          <w:bCs/>
          <w:color w:val="000000"/>
        </w:rPr>
        <w:t>Nikolaos K</w:t>
      </w:r>
      <w:r w:rsidR="003F4A0E">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Gatselis</w:t>
      </w:r>
      <w:proofErr w:type="spellEnd"/>
      <w:r>
        <w:rPr>
          <w:rFonts w:ascii="Book Antiqua" w:eastAsia="Book Antiqua" w:hAnsi="Book Antiqua" w:cs="Book Antiqua"/>
          <w:b/>
          <w:bCs/>
          <w:color w:val="000000"/>
        </w:rPr>
        <w:t xml:space="preserve">, </w:t>
      </w:r>
      <w:proofErr w:type="spellStart"/>
      <w:r w:rsidR="00E76E9F">
        <w:rPr>
          <w:rFonts w:ascii="Book Antiqua" w:eastAsia="Book Antiqua" w:hAnsi="Book Antiqua" w:cs="Book Antiqua"/>
          <w:b/>
          <w:bCs/>
          <w:color w:val="000000"/>
        </w:rPr>
        <w:t>Kalliopi</w:t>
      </w:r>
      <w:proofErr w:type="spellEnd"/>
      <w:r w:rsidR="003F4A0E">
        <w:rPr>
          <w:rFonts w:ascii="Book Antiqua" w:eastAsia="Book Antiqua" w:hAnsi="Book Antiqua" w:cs="Book Antiqua"/>
          <w:b/>
          <w:bCs/>
          <w:color w:val="000000"/>
        </w:rPr>
        <w:t xml:space="preserve"> </w:t>
      </w:r>
      <w:proofErr w:type="spellStart"/>
      <w:r w:rsidR="00E76E9F">
        <w:rPr>
          <w:rFonts w:ascii="Book Antiqua" w:eastAsia="Book Antiqua" w:hAnsi="Book Antiqua" w:cs="Book Antiqua"/>
          <w:b/>
          <w:bCs/>
          <w:color w:val="000000"/>
        </w:rPr>
        <w:t>Zachou</w:t>
      </w:r>
      <w:proofErr w:type="spellEnd"/>
      <w:r w:rsidR="00E76E9F">
        <w:rPr>
          <w:rFonts w:ascii="Book Antiqua" w:eastAsia="Book Antiqua" w:hAnsi="Book Antiqua" w:cs="Book Antiqua"/>
          <w:b/>
          <w:bCs/>
          <w:color w:val="000000"/>
        </w:rPr>
        <w:t>, George N</w:t>
      </w:r>
      <w:r w:rsidR="009D2401">
        <w:rPr>
          <w:rFonts w:ascii="Book Antiqua" w:eastAsia="Book Antiqua" w:hAnsi="Book Antiqua" w:cs="Book Antiqua"/>
          <w:b/>
          <w:bCs/>
          <w:color w:val="000000"/>
        </w:rPr>
        <w:t xml:space="preserve"> </w:t>
      </w:r>
      <w:proofErr w:type="spellStart"/>
      <w:r w:rsidR="00E76E9F">
        <w:rPr>
          <w:rFonts w:ascii="Book Antiqua" w:eastAsia="Book Antiqua" w:hAnsi="Book Antiqua" w:cs="Book Antiqua"/>
          <w:b/>
          <w:bCs/>
          <w:color w:val="000000"/>
        </w:rPr>
        <w:t>Dalekos</w:t>
      </w:r>
      <w:proofErr w:type="spellEnd"/>
      <w:r w:rsidR="00E76E9F">
        <w:rPr>
          <w:rFonts w:ascii="Book Antiqua" w:eastAsia="Book Antiqua" w:hAnsi="Book Antiqua" w:cs="Book Antiqua"/>
          <w:b/>
          <w:bCs/>
          <w:color w:val="000000"/>
        </w:rPr>
        <w:t xml:space="preserve">, </w:t>
      </w:r>
      <w:r w:rsidR="00E76E9F">
        <w:rPr>
          <w:rFonts w:ascii="Book Antiqua" w:eastAsia="Book Antiqua" w:hAnsi="Book Antiqua" w:cs="Book Antiqua"/>
          <w:color w:val="000000"/>
        </w:rPr>
        <w:t>Institute of Internal Medicine and Hepatology, Larissa 41447, Greece</w:t>
      </w:r>
    </w:p>
    <w:p w14:paraId="05DD8DAC" w14:textId="77777777" w:rsidR="00A77B3E" w:rsidRDefault="00A77B3E">
      <w:pPr>
        <w:spacing w:line="360" w:lineRule="auto"/>
        <w:jc w:val="both"/>
      </w:pPr>
    </w:p>
    <w:p w14:paraId="1F90BB34" w14:textId="16DE8C4D" w:rsidR="00A77B3E" w:rsidRDefault="00E76E9F">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 Norman GL, Papp M and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had the original idea for the study and wrote the study </w:t>
      </w:r>
      <w:r w:rsidRPr="00725161">
        <w:rPr>
          <w:rFonts w:ascii="Book Antiqua" w:eastAsia="Book Antiqua" w:hAnsi="Book Antiqua" w:cs="Book Antiqua"/>
          <w:color w:val="000000"/>
        </w:rPr>
        <w:t>p</w:t>
      </w:r>
      <w:r w:rsidR="003F293C" w:rsidRPr="00725161">
        <w:rPr>
          <w:rFonts w:ascii="Book Antiqua" w:eastAsia="Book Antiqua" w:hAnsi="Book Antiqua" w:cs="Book Antiqua"/>
          <w:color w:val="000000"/>
        </w:rPr>
        <w:t>r</w:t>
      </w:r>
      <w:r w:rsidRPr="00725161">
        <w:rPr>
          <w:rFonts w:ascii="Book Antiqua" w:eastAsia="Book Antiqua" w:hAnsi="Book Antiqua" w:cs="Book Antiqua"/>
          <w:color w:val="000000"/>
        </w:rPr>
        <w:t>otocol;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Tornai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Zachou</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K, </w:t>
      </w:r>
      <w:proofErr w:type="spellStart"/>
      <w:r>
        <w:rPr>
          <w:rFonts w:ascii="Book Antiqua" w:eastAsia="Book Antiqua" w:hAnsi="Book Antiqua" w:cs="Book Antiqua"/>
          <w:color w:val="000000"/>
        </w:rPr>
        <w:t>Saitis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Gabeta</w:t>
      </w:r>
      <w:proofErr w:type="spellEnd"/>
      <w:r>
        <w:rPr>
          <w:rFonts w:ascii="Book Antiqua" w:eastAsia="Book Antiqua" w:hAnsi="Book Antiqua" w:cs="Book Antiqua"/>
          <w:color w:val="000000"/>
        </w:rPr>
        <w:t xml:space="preserve"> S, Papp M and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diagnose, treat and follow the patients;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Tornai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Shums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Zachou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Saitis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Gabeta</w:t>
      </w:r>
      <w:proofErr w:type="spellEnd"/>
      <w:r>
        <w:rPr>
          <w:rFonts w:ascii="Book Antiqua" w:eastAsia="Book Antiqua" w:hAnsi="Book Antiqua" w:cs="Book Antiqua"/>
          <w:color w:val="000000"/>
        </w:rPr>
        <w:t xml:space="preserve"> S and </w:t>
      </w:r>
      <w:proofErr w:type="spellStart"/>
      <w:r>
        <w:rPr>
          <w:rFonts w:ascii="Book Antiqua" w:eastAsia="Book Antiqua" w:hAnsi="Book Antiqua" w:cs="Book Antiqua"/>
          <w:color w:val="000000"/>
        </w:rPr>
        <w:t>Albesa</w:t>
      </w:r>
      <w:proofErr w:type="spellEnd"/>
      <w:r>
        <w:rPr>
          <w:rFonts w:ascii="Book Antiqua" w:eastAsia="Book Antiqua" w:hAnsi="Book Antiqua" w:cs="Book Antiqua"/>
          <w:color w:val="000000"/>
        </w:rPr>
        <w:t xml:space="preserve"> R made the laboratory determinations and collected the whole data from patients’ files as well as the analysis of the data;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 Norman GL and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made the statistical analysis and interpretation of the data and wrote the first draft of the manuscript;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and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 wrote the final version of the paper after critical revision of the first draft; The rest authors also contributed to the final version of the manuscript;</w:t>
      </w:r>
      <w:r w:rsidR="00EB7B1A">
        <w:rPr>
          <w:rFonts w:ascii="Book Antiqua" w:eastAsia="Book Antiqua" w:hAnsi="Book Antiqua" w:cs="Book Antiqua"/>
          <w:color w:val="000000"/>
        </w:rPr>
        <w:t xml:space="preserve"> a</w:t>
      </w:r>
      <w:r>
        <w:rPr>
          <w:rFonts w:ascii="Book Antiqua" w:eastAsia="Book Antiqua" w:hAnsi="Book Antiqua" w:cs="Book Antiqua"/>
          <w:color w:val="000000"/>
        </w:rPr>
        <w:t>ll authors have seen and approved the final draft of the paper.</w:t>
      </w:r>
    </w:p>
    <w:p w14:paraId="0E6A8AD1" w14:textId="77777777" w:rsidR="00A77B3E" w:rsidRDefault="00A77B3E">
      <w:pPr>
        <w:spacing w:line="360" w:lineRule="auto"/>
        <w:jc w:val="both"/>
      </w:pPr>
    </w:p>
    <w:p w14:paraId="285C2DFF" w14:textId="6B0FEE6D" w:rsidR="00A77B3E" w:rsidRDefault="00E76E9F">
      <w:pPr>
        <w:spacing w:line="360" w:lineRule="auto"/>
        <w:jc w:val="both"/>
      </w:pPr>
      <w:r>
        <w:rPr>
          <w:rFonts w:ascii="Book Antiqua" w:eastAsia="Book Antiqua" w:hAnsi="Book Antiqua" w:cs="Book Antiqua"/>
          <w:b/>
          <w:bCs/>
          <w:color w:val="000000"/>
        </w:rPr>
        <w:t>Corresponding author: George N</w:t>
      </w:r>
      <w:r w:rsidR="003B0A9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Dalekos</w:t>
      </w:r>
      <w:proofErr w:type="spellEnd"/>
      <w:r>
        <w:rPr>
          <w:rFonts w:ascii="Book Antiqua" w:eastAsia="Book Antiqua" w:hAnsi="Book Antiqua" w:cs="Book Antiqua"/>
          <w:b/>
          <w:bCs/>
          <w:color w:val="000000"/>
        </w:rPr>
        <w:t xml:space="preserve">, MD, PhD, Full Professor, </w:t>
      </w:r>
      <w:r w:rsidR="00725161" w:rsidRPr="0023139E">
        <w:rPr>
          <w:rFonts w:ascii="Book Antiqua" w:eastAsia="Book Antiqua" w:hAnsi="Book Antiqua" w:cs="Book Antiqua"/>
          <w:b/>
          <w:bCs/>
          <w:color w:val="000000"/>
        </w:rPr>
        <w:t xml:space="preserve">Head, </w:t>
      </w:r>
      <w:r>
        <w:rPr>
          <w:rFonts w:ascii="Book Antiqua" w:eastAsia="Book Antiqua" w:hAnsi="Book Antiqua" w:cs="Book Antiqua"/>
          <w:color w:val="000000"/>
        </w:rPr>
        <w:t xml:space="preserve">Department of Medicine and Research Laboratory of Internal Medicine, National Expertise Center of Greece in Autoimmune Liver Diseases, General University Hospital of Larissa, </w:t>
      </w:r>
      <w:proofErr w:type="spellStart"/>
      <w:r>
        <w:rPr>
          <w:rFonts w:ascii="Book Antiqua" w:eastAsia="Book Antiqua" w:hAnsi="Book Antiqua" w:cs="Book Antiqua"/>
          <w:color w:val="000000"/>
        </w:rPr>
        <w:t>Mezourlo</w:t>
      </w:r>
      <w:proofErr w:type="spellEnd"/>
      <w:r>
        <w:rPr>
          <w:rFonts w:ascii="Book Antiqua" w:eastAsia="Book Antiqua" w:hAnsi="Book Antiqua" w:cs="Book Antiqua"/>
          <w:color w:val="000000"/>
        </w:rPr>
        <w:t>, Larissa 41110, Greece. georgedalekos@gmail.com</w:t>
      </w:r>
    </w:p>
    <w:p w14:paraId="735D60B5" w14:textId="77777777" w:rsidR="00A77B3E" w:rsidRDefault="00A77B3E">
      <w:pPr>
        <w:spacing w:line="360" w:lineRule="auto"/>
        <w:jc w:val="both"/>
      </w:pPr>
    </w:p>
    <w:p w14:paraId="6053EE1F" w14:textId="77777777" w:rsidR="00A77B3E" w:rsidRDefault="00E76E9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24, 2020</w:t>
      </w:r>
    </w:p>
    <w:p w14:paraId="0EE30A89" w14:textId="77777777" w:rsidR="00A77B3E" w:rsidRDefault="00E76E9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19, 2020</w:t>
      </w:r>
    </w:p>
    <w:p w14:paraId="3717D321" w14:textId="1A78453C" w:rsidR="00A77B3E" w:rsidRPr="008B4F1F" w:rsidRDefault="00E76E9F" w:rsidP="008B4F1F">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r w:rsidR="008B4F1F">
        <w:rPr>
          <w:rFonts w:ascii="Book Antiqua" w:hAnsi="Book Antiqua" w:cs="Arial"/>
          <w:color w:val="000000" w:themeColor="text1"/>
          <w:shd w:val="clear" w:color="auto" w:fill="FFFFFF"/>
        </w:rPr>
        <w:t>August 20, 2020</w:t>
      </w:r>
    </w:p>
    <w:p w14:paraId="280B7D05" w14:textId="77777777" w:rsidR="00A77B3E" w:rsidRDefault="00E76E9F">
      <w:pPr>
        <w:spacing w:line="360" w:lineRule="auto"/>
        <w:jc w:val="both"/>
      </w:pPr>
      <w:r>
        <w:rPr>
          <w:rFonts w:ascii="Book Antiqua" w:eastAsia="Book Antiqua" w:hAnsi="Book Antiqua" w:cs="Book Antiqua"/>
          <w:b/>
          <w:bCs/>
          <w:color w:val="000000"/>
        </w:rPr>
        <w:t xml:space="preserve">Published online: </w:t>
      </w:r>
    </w:p>
    <w:p w14:paraId="5BC7EF19" w14:textId="77777777" w:rsidR="00A77B3E" w:rsidRDefault="00A77B3E">
      <w:pPr>
        <w:spacing w:line="360" w:lineRule="auto"/>
        <w:jc w:val="both"/>
        <w:sectPr w:rsidR="00A77B3E">
          <w:footerReference w:type="default" r:id="rId10"/>
          <w:pgSz w:w="12240" w:h="15840"/>
          <w:pgMar w:top="1440" w:right="1440" w:bottom="1440" w:left="1440" w:header="720" w:footer="720" w:gutter="0"/>
          <w:cols w:space="720"/>
          <w:docGrid w:linePitch="360"/>
        </w:sectPr>
      </w:pPr>
    </w:p>
    <w:p w14:paraId="202C7A76" w14:textId="77777777" w:rsidR="00A77B3E" w:rsidRDefault="00E76E9F">
      <w:pPr>
        <w:spacing w:line="360" w:lineRule="auto"/>
        <w:jc w:val="both"/>
      </w:pPr>
      <w:r>
        <w:rPr>
          <w:rFonts w:ascii="Book Antiqua" w:eastAsia="Book Antiqua" w:hAnsi="Book Antiqua" w:cs="Book Antiqua"/>
          <w:b/>
          <w:color w:val="000000"/>
        </w:rPr>
        <w:lastRenderedPageBreak/>
        <w:t>Abstract</w:t>
      </w:r>
    </w:p>
    <w:p w14:paraId="6562B551" w14:textId="77777777" w:rsidR="00A77B3E" w:rsidRDefault="00E76E9F">
      <w:pPr>
        <w:spacing w:line="360" w:lineRule="auto"/>
        <w:jc w:val="both"/>
      </w:pPr>
      <w:r>
        <w:rPr>
          <w:rFonts w:ascii="Book Antiqua" w:eastAsia="Book Antiqua" w:hAnsi="Book Antiqua" w:cs="Book Antiqua"/>
          <w:color w:val="000000"/>
        </w:rPr>
        <w:t>BACKGROUND</w:t>
      </w:r>
    </w:p>
    <w:p w14:paraId="16D2C3F6" w14:textId="77777777" w:rsidR="00A77B3E" w:rsidRDefault="00E76E9F">
      <w:pPr>
        <w:spacing w:line="360" w:lineRule="auto"/>
        <w:jc w:val="both"/>
      </w:pPr>
      <w:r>
        <w:rPr>
          <w:rFonts w:ascii="Book Antiqua" w:eastAsia="Book Antiqua" w:hAnsi="Book Antiqua" w:cs="Book Antiqua"/>
          <w:color w:val="000000"/>
        </w:rPr>
        <w:t>Reliable biomarkers of cirrhosis, hepatocellular carcinoma (HCC), or progression of chronic liver diseases are missing. In this context, Golgi protein-73 (GP73) also called Golgi phosphoprotein-2, was originally defined as a resident Golgi type II transmembrane protein expressed in epithelial cells. As a result, GP73 expression was found primarily in biliary epithelial cells, with only slight detection in hepatocytes. However, in patients with acute or chronic liver diseases and especially in HCC, the expression of GP73 is significantly up-regulated in hepatocytes. So far, few studies have assessed GP73 as a diagnostic or prognostic marker of liver fibrosis and disease progression.</w:t>
      </w:r>
    </w:p>
    <w:p w14:paraId="2EB47E8C" w14:textId="77777777" w:rsidR="00A77B3E" w:rsidRDefault="00A77B3E">
      <w:pPr>
        <w:spacing w:line="360" w:lineRule="auto"/>
        <w:jc w:val="both"/>
      </w:pPr>
    </w:p>
    <w:p w14:paraId="5D6793F4" w14:textId="77777777" w:rsidR="00A77B3E" w:rsidRDefault="00E76E9F">
      <w:pPr>
        <w:spacing w:line="360" w:lineRule="auto"/>
        <w:jc w:val="both"/>
      </w:pPr>
      <w:r>
        <w:rPr>
          <w:rFonts w:ascii="Book Antiqua" w:eastAsia="Book Antiqua" w:hAnsi="Book Antiqua" w:cs="Book Antiqua"/>
          <w:color w:val="000000"/>
        </w:rPr>
        <w:t>AIM</w:t>
      </w:r>
    </w:p>
    <w:p w14:paraId="69A3E256" w14:textId="77777777" w:rsidR="00A77B3E" w:rsidRDefault="00E76E9F">
      <w:pPr>
        <w:spacing w:line="360" w:lineRule="auto"/>
        <w:jc w:val="both"/>
      </w:pPr>
      <w:r>
        <w:rPr>
          <w:rFonts w:ascii="Book Antiqua" w:eastAsia="Book Antiqua" w:hAnsi="Book Antiqua" w:cs="Book Antiqua"/>
          <w:color w:val="000000"/>
        </w:rPr>
        <w:t>To assess serum GP73 efficacy as a diagnostic marker of cirrhosis and/or HCC or as predictor of liver disease progression.</w:t>
      </w:r>
    </w:p>
    <w:p w14:paraId="4F2EF042" w14:textId="77777777" w:rsidR="00A77B3E" w:rsidRDefault="00A77B3E">
      <w:pPr>
        <w:spacing w:line="360" w:lineRule="auto"/>
        <w:jc w:val="both"/>
      </w:pPr>
    </w:p>
    <w:p w14:paraId="56C3E6D9" w14:textId="77777777" w:rsidR="00A77B3E" w:rsidRDefault="00E76E9F">
      <w:pPr>
        <w:spacing w:line="360" w:lineRule="auto"/>
        <w:jc w:val="both"/>
      </w:pPr>
      <w:r>
        <w:rPr>
          <w:rFonts w:ascii="Book Antiqua" w:eastAsia="Book Antiqua" w:hAnsi="Book Antiqua" w:cs="Book Antiqua"/>
          <w:color w:val="000000"/>
        </w:rPr>
        <w:t>METHODS</w:t>
      </w:r>
    </w:p>
    <w:p w14:paraId="347BE8A0" w14:textId="5C283678" w:rsidR="00A77B3E" w:rsidRDefault="00E76E9F">
      <w:pPr>
        <w:spacing w:line="360" w:lineRule="auto"/>
        <w:jc w:val="both"/>
      </w:pPr>
      <w:r>
        <w:rPr>
          <w:rFonts w:ascii="Book Antiqua" w:eastAsia="Book Antiqua" w:hAnsi="Book Antiqua" w:cs="Book Antiqua"/>
          <w:color w:val="000000"/>
        </w:rPr>
        <w:t>GP73 serum levels were retrospectively determined by a novel GP73 ELISA (QUANTA Lite® GP73, Inova Diagnostics, Inc., Research Use Only) in a large cohort of 632 consecutive patients with chronic viral and non-viral liver diseases collected from two tertiary Academic centers in Larissa, Greece (</w:t>
      </w:r>
      <w:r>
        <w:rPr>
          <w:rFonts w:ascii="Book Antiqua" w:eastAsia="Book Antiqua" w:hAnsi="Book Antiqua" w:cs="Book Antiqua"/>
          <w:i/>
          <w:iCs/>
          <w:color w:val="000000"/>
        </w:rPr>
        <w:t>n</w:t>
      </w:r>
      <w:r w:rsidR="000961E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961E0">
        <w:rPr>
          <w:rFonts w:ascii="Book Antiqua" w:eastAsia="Book Antiqua" w:hAnsi="Book Antiqua" w:cs="Book Antiqua"/>
          <w:color w:val="000000"/>
        </w:rPr>
        <w:t xml:space="preserve"> </w:t>
      </w:r>
      <w:r>
        <w:rPr>
          <w:rFonts w:ascii="Book Antiqua" w:eastAsia="Book Antiqua" w:hAnsi="Book Antiqua" w:cs="Book Antiqua"/>
          <w:color w:val="000000"/>
        </w:rPr>
        <w:t>366) and Debrecen, Hungary (</w:t>
      </w:r>
      <w:r>
        <w:rPr>
          <w:rFonts w:ascii="Book Antiqua" w:eastAsia="Book Antiqua" w:hAnsi="Book Antiqua" w:cs="Book Antiqua"/>
          <w:i/>
          <w:iCs/>
          <w:color w:val="000000"/>
        </w:rPr>
        <w:t>n</w:t>
      </w:r>
      <w:r>
        <w:rPr>
          <w:rFonts w:ascii="Book Antiqua" w:eastAsia="Book Antiqua" w:hAnsi="Book Antiqua" w:cs="Book Antiqua"/>
          <w:color w:val="000000"/>
        </w:rPr>
        <w:t xml:space="preserve">=266). Aspartate aminotransferase (AST)/Platelets (PLT) ratio index (APRI) was also calculated at the relevant time points in all patients. Two hundred and three patients had chronic hepatitis B, 183 chronic hepatitis C, 198 alcoholic liver disease, 28 autoimmune cholestatic liver diseases, 15 autoimmune hepatitis, and 5 with other liver-related disorders. The duration of follow-up was 50 (57)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[median (interquartile range)]. The development of cirrhosis, liver decompensation and/or HCC during follow-up were assessed according to internationally accepted guidelines. In particular, the surveillance for the development </w:t>
      </w:r>
      <w:r>
        <w:rPr>
          <w:rFonts w:ascii="Book Antiqua" w:eastAsia="Book Antiqua" w:hAnsi="Book Antiqua" w:cs="Book Antiqua"/>
          <w:color w:val="000000"/>
        </w:rPr>
        <w:lastRenderedPageBreak/>
        <w:t xml:space="preserve">of HCC was performed regularly with ultrasound imaging and alpha-fetoprotein (AFP) determination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cirrhotic and every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non-cirrhotic patients.</w:t>
      </w:r>
    </w:p>
    <w:p w14:paraId="10981B25" w14:textId="77777777" w:rsidR="00A77B3E" w:rsidRDefault="00A77B3E">
      <w:pPr>
        <w:spacing w:line="360" w:lineRule="auto"/>
        <w:jc w:val="both"/>
      </w:pPr>
    </w:p>
    <w:p w14:paraId="365605D3" w14:textId="77777777" w:rsidR="00A77B3E" w:rsidRDefault="00E76E9F">
      <w:pPr>
        <w:spacing w:line="360" w:lineRule="auto"/>
        <w:jc w:val="both"/>
      </w:pPr>
      <w:r>
        <w:rPr>
          <w:rFonts w:ascii="Book Antiqua" w:eastAsia="Book Antiqua" w:hAnsi="Book Antiqua" w:cs="Book Antiqua"/>
          <w:color w:val="000000"/>
        </w:rPr>
        <w:t>RESULTS</w:t>
      </w:r>
    </w:p>
    <w:p w14:paraId="1D2A5003" w14:textId="1F08009A" w:rsidR="00A77B3E" w:rsidRDefault="00E76E9F">
      <w:pPr>
        <w:spacing w:line="360" w:lineRule="auto"/>
        <w:jc w:val="both"/>
      </w:pPr>
      <w:r>
        <w:rPr>
          <w:rFonts w:ascii="Book Antiqua" w:eastAsia="Book Antiqua" w:hAnsi="Book Antiqua" w:cs="Book Antiqua"/>
          <w:color w:val="000000"/>
        </w:rPr>
        <w:t xml:space="preserve">Increased serum levels of GP73 (&gt; 20 units) were detected at initial evaluation in 277 out of 632 patients (43.8%). GP73-seropositivity correlated at baseline with the presence of cirrhosis (96.4%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51.5%,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decompensation of cirrhosis (60.3%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35.5%,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presence of HCC (18.4%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7.9%,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advanced HCC stage (52.9%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14.8%,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0.002). GP73 had higher diagnostic accuracy for the presence of cirrhosis compared to APRI score [Area under the curve (AUC) (95%CI): 0.909 (0.885-0.934) </w:t>
      </w:r>
      <w:r>
        <w:rPr>
          <w:rFonts w:ascii="Book Antiqua" w:eastAsia="Book Antiqua" w:hAnsi="Book Antiqua" w:cs="Book Antiqua"/>
          <w:i/>
          <w:iCs/>
          <w:color w:val="000000"/>
        </w:rPr>
        <w:t>vs</w:t>
      </w:r>
      <w:r>
        <w:rPr>
          <w:rFonts w:ascii="Book Antiqua" w:eastAsia="Book Antiqua" w:hAnsi="Book Antiqua" w:cs="Book Antiqua"/>
          <w:color w:val="000000"/>
        </w:rPr>
        <w:t xml:space="preserve"> 0.849 (0.813-0.886),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0.003]. Combination of GP73 with APRI improved further the accuracy (AUC: 0.925) compared to GP73 (AUC: 0.909,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or APRI alone (AUC: 0.849,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GP73 levels were significantly higher in HCC patients compared to non-HCC [22.5 (29.2) </w:t>
      </w:r>
      <w:r>
        <w:rPr>
          <w:rFonts w:ascii="Book Antiqua" w:eastAsia="Book Antiqua" w:hAnsi="Book Antiqua" w:cs="Book Antiqua"/>
          <w:i/>
          <w:iCs/>
          <w:color w:val="000000"/>
        </w:rPr>
        <w:t>vs</w:t>
      </w:r>
      <w:r>
        <w:rPr>
          <w:rFonts w:ascii="Book Antiqua" w:eastAsia="Book Antiqua" w:hAnsi="Book Antiqua" w:cs="Book Antiqua"/>
          <w:color w:val="000000"/>
        </w:rPr>
        <w:t xml:space="preserve"> 16 (20.3)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positively associated with BCLC stage [stage 0: 13.9 (10.8); stage A: 17.1 (16.8); stage B: 19.6 (22.3); </w:t>
      </w:r>
      <w:r w:rsidRPr="00725161">
        <w:rPr>
          <w:rFonts w:ascii="Book Antiqua" w:eastAsia="Book Antiqua" w:hAnsi="Book Antiqua" w:cs="Book Antiqua"/>
          <w:color w:val="000000"/>
        </w:rPr>
        <w:t>stage</w:t>
      </w:r>
      <w:r w:rsidR="00725161">
        <w:rPr>
          <w:rFonts w:ascii="Book Antiqua" w:eastAsia="Book Antiqua" w:hAnsi="Book Antiqua" w:cs="Book Antiqua"/>
          <w:color w:val="000000"/>
        </w:rPr>
        <w:t xml:space="preserve"> C: 32.2 (30.8); </w:t>
      </w:r>
      <w:r w:rsidR="00725161" w:rsidRPr="00A133F7">
        <w:rPr>
          <w:rFonts w:ascii="Book Antiqua" w:hAnsi="Book Antiqua" w:cs="Calibri"/>
        </w:rPr>
        <w:t>stage D</w:t>
      </w:r>
      <w:r w:rsidR="00725161" w:rsidRPr="00A133F7">
        <w:rPr>
          <w:rFonts w:ascii="Book Antiqua" w:hAnsi="Book Antiqua" w:cs="Calibri"/>
          <w:rtl/>
        </w:rPr>
        <w:t>:</w:t>
      </w:r>
      <w:r w:rsidR="00725161" w:rsidRPr="00A133F7">
        <w:rPr>
          <w:rFonts w:ascii="Book Antiqua" w:hAnsi="Book Antiqua" w:cs="Calibri"/>
        </w:rPr>
        <w:t xml:space="preserve"> 45.3 (86.6)</w:t>
      </w:r>
      <w:r>
        <w:rPr>
          <w:rFonts w:ascii="Book Antiqua" w:eastAsia="Book Antiqua" w:hAnsi="Book Antiqua" w:cs="Book Antiqua"/>
          <w:color w:val="000000"/>
        </w:rPr>
        <w:t xml:space="preserve"> units,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tumor dimensions [very early: 13.9 (10.8); </w:t>
      </w:r>
      <w:r w:rsidR="0076164D" w:rsidRPr="00A133F7">
        <w:rPr>
          <w:rFonts w:ascii="Book Antiqua" w:hAnsi="Book Antiqua" w:cs="Calibri"/>
        </w:rPr>
        <w:t>intermediate</w:t>
      </w:r>
      <w:r w:rsidR="0076164D" w:rsidRPr="00A133F7">
        <w:rPr>
          <w:rFonts w:ascii="Book Antiqua" w:hAnsi="Book Antiqua" w:cs="Calibri"/>
          <w:rtl/>
        </w:rPr>
        <w:t>:</w:t>
      </w:r>
      <w:r w:rsidR="0076164D" w:rsidRPr="00A133F7">
        <w:rPr>
          <w:rFonts w:ascii="Book Antiqua" w:hAnsi="Book Antiqua" w:cs="Calibri"/>
        </w:rPr>
        <w:t xml:space="preserve"> 19.6 (18.4)</w:t>
      </w:r>
      <w:r w:rsidR="0076164D" w:rsidRPr="00A133F7">
        <w:rPr>
          <w:rFonts w:ascii="Book Antiqua" w:hAnsi="Book Antiqua" w:cs="Calibri"/>
          <w:rtl/>
        </w:rPr>
        <w:t>;</w:t>
      </w:r>
      <w:r w:rsidR="0076164D" w:rsidRPr="00A133F7">
        <w:rPr>
          <w:rFonts w:ascii="Book Antiqua" w:hAnsi="Book Antiqua" w:cs="Calibri"/>
        </w:rPr>
        <w:t xml:space="preserve"> advanced</w:t>
      </w:r>
      <w:r w:rsidR="0076164D" w:rsidRPr="00A133F7">
        <w:rPr>
          <w:rFonts w:ascii="Book Antiqua" w:hAnsi="Book Antiqua" w:cs="Calibri"/>
          <w:rtl/>
        </w:rPr>
        <w:t>:</w:t>
      </w:r>
      <w:r w:rsidR="0076164D" w:rsidRPr="00A133F7">
        <w:rPr>
          <w:rFonts w:ascii="Book Antiqua" w:hAnsi="Book Antiqua" w:cs="Calibri"/>
        </w:rPr>
        <w:t xml:space="preserve"> 29.1 (33.6)</w:t>
      </w:r>
      <w:r>
        <w:rPr>
          <w:rFonts w:ascii="Book Antiqua" w:eastAsia="Book Antiqua" w:hAnsi="Book Antiqua" w:cs="Book Antiqua"/>
          <w:color w:val="000000"/>
        </w:rPr>
        <w:t xml:space="preserve">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However, the discriminative ability for HCC diagnosis was relatively low [AUC (95%CI): 0.623 (0.570-0.675)]. Kaplan-Meier analysis showed that the detection of GP73 in patients with compensated cirrhosis at baseline, was prognostic of higher rates of decompensation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HCC development (</w:t>
      </w:r>
      <w:r>
        <w:rPr>
          <w:rFonts w:ascii="Book Antiqua" w:eastAsia="Book Antiqua" w:hAnsi="Book Antiqua" w:cs="Book Antiqua"/>
          <w:i/>
          <w:iCs/>
          <w:color w:val="000000"/>
        </w:rPr>
        <w:t>P</w:t>
      </w:r>
      <w:r>
        <w:rPr>
          <w:rFonts w:ascii="Book Antiqua" w:eastAsia="Book Antiqua" w:hAnsi="Book Antiqua" w:cs="Book Antiqua"/>
          <w:color w:val="000000"/>
        </w:rPr>
        <w:t xml:space="preserve"> = 0.08), and liver-related deaths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during follow-up.</w:t>
      </w:r>
    </w:p>
    <w:p w14:paraId="7B4C4D31" w14:textId="77777777" w:rsidR="00A77B3E" w:rsidRDefault="00A77B3E">
      <w:pPr>
        <w:spacing w:line="360" w:lineRule="auto"/>
        <w:jc w:val="both"/>
      </w:pPr>
    </w:p>
    <w:p w14:paraId="393A434B" w14:textId="77777777" w:rsidR="00A77B3E" w:rsidRDefault="00E76E9F">
      <w:pPr>
        <w:spacing w:line="360" w:lineRule="auto"/>
        <w:jc w:val="both"/>
      </w:pPr>
      <w:r>
        <w:rPr>
          <w:rFonts w:ascii="Book Antiqua" w:eastAsia="Book Antiqua" w:hAnsi="Book Antiqua" w:cs="Book Antiqua"/>
          <w:color w:val="000000"/>
        </w:rPr>
        <w:t>CONCLUSION</w:t>
      </w:r>
    </w:p>
    <w:p w14:paraId="0B345CB5" w14:textId="77777777" w:rsidR="00A77B3E" w:rsidRDefault="00E76E9F">
      <w:pPr>
        <w:spacing w:line="360" w:lineRule="auto"/>
        <w:jc w:val="both"/>
      </w:pPr>
      <w:r>
        <w:rPr>
          <w:rFonts w:ascii="Book Antiqua" w:eastAsia="Book Antiqua" w:hAnsi="Book Antiqua" w:cs="Book Antiqua"/>
          <w:color w:val="000000"/>
        </w:rPr>
        <w:t>GP73 alone appears efficient for detecting cirrhosis and superior to APRI determination. In combination with APRI, its diagnostic performance can be further improved.  Most importantly, the simple GP73 measurement proved promising for predicting a worse outcome of patients with both viral and non-viral chronic liver diseases.</w:t>
      </w:r>
    </w:p>
    <w:p w14:paraId="72D531AA" w14:textId="77777777" w:rsidR="00A77B3E" w:rsidRDefault="00A77B3E">
      <w:pPr>
        <w:spacing w:line="360" w:lineRule="auto"/>
        <w:jc w:val="both"/>
      </w:pPr>
    </w:p>
    <w:p w14:paraId="77DF4383" w14:textId="5DF8620B" w:rsidR="00A77B3E" w:rsidRDefault="00E76E9F">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Biomarker; Golgi protein-73; Hepatic fibrosis; Cirrhosis; Hepatocellular carcinoma; Hepatitis B; Hepatitis C; Aspartate aminotransferase/Platelets ratio index score</w:t>
      </w:r>
    </w:p>
    <w:p w14:paraId="4B2DE310" w14:textId="77777777" w:rsidR="00A77B3E" w:rsidRDefault="00A77B3E">
      <w:pPr>
        <w:spacing w:line="360" w:lineRule="auto"/>
        <w:jc w:val="both"/>
      </w:pPr>
    </w:p>
    <w:p w14:paraId="3A6CBAFF" w14:textId="3D0EA606" w:rsidR="00A77B3E" w:rsidRDefault="00E76E9F">
      <w:pPr>
        <w:spacing w:line="360" w:lineRule="auto"/>
        <w:jc w:val="both"/>
      </w:pP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Tornai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Shums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Zachou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Saitis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Gabeta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Albesa</w:t>
      </w:r>
      <w:proofErr w:type="spellEnd"/>
      <w:r>
        <w:rPr>
          <w:rFonts w:ascii="Book Antiqua" w:eastAsia="Book Antiqua" w:hAnsi="Book Antiqua" w:cs="Book Antiqua"/>
          <w:color w:val="000000"/>
        </w:rPr>
        <w:t xml:space="preserve"> R, Norman GL, Papp M,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w:t>
      </w:r>
      <w:r w:rsidR="003B4F2A" w:rsidRPr="003B4F2A">
        <w:rPr>
          <w:rFonts w:ascii="Book Antiqua" w:eastAsia="Book Antiqua" w:hAnsi="Book Antiqua" w:cs="Book Antiqua"/>
          <w:color w:val="000000"/>
        </w:rPr>
        <w:t>Golgi protein-73: A biomarker for assessing cirrhosis and prognosis of liver disease patients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784EAED6" w14:textId="77777777" w:rsidR="00A77B3E" w:rsidRDefault="00A77B3E">
      <w:pPr>
        <w:spacing w:line="360" w:lineRule="auto"/>
        <w:jc w:val="both"/>
      </w:pPr>
    </w:p>
    <w:p w14:paraId="7D963EA6" w14:textId="77777777" w:rsidR="00A77B3E" w:rsidRDefault="00E76E9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retrospective study evaluated the utility of serum Golgi protein-73 (GP73) determination as a diagnostic marker of cirrhosis and/or hepatocellular carcinoma (HCC) or as a predictor of liver disease progression in a large cohort of 632 consecutive patients suffering from diverse liver diseases diagnosed and followed in two tertiary care hospitals in Greece and Hungary. We found that GP73 was quite efficient for detecting cirrhosis and superior to Aspartate aminotransferase (AST)/Platelets (PLT) ratio index (APRI) determination. In combination with APRI score, its diagnostic performance can be further improved. Most importantly, however, the simple GP73 measurement proved promising for predicting a worse outcome during follow-up in patients with both viral and non-viral chronic liver diseases.</w:t>
      </w:r>
    </w:p>
    <w:p w14:paraId="07EE70B3" w14:textId="77777777" w:rsidR="00A77B3E" w:rsidRDefault="00A77B3E">
      <w:pPr>
        <w:spacing w:line="360" w:lineRule="auto"/>
        <w:jc w:val="both"/>
      </w:pPr>
    </w:p>
    <w:p w14:paraId="61664962" w14:textId="77777777" w:rsidR="00A77B3E" w:rsidRDefault="00E76E9F">
      <w:pPr>
        <w:spacing w:line="360" w:lineRule="auto"/>
        <w:jc w:val="both"/>
      </w:pPr>
      <w:r>
        <w:rPr>
          <w:rFonts w:ascii="Book Antiqua" w:eastAsia="Book Antiqua" w:hAnsi="Book Antiqua" w:cs="Book Antiqua"/>
          <w:b/>
          <w:caps/>
          <w:color w:val="000000"/>
          <w:u w:val="single"/>
        </w:rPr>
        <w:t>INTRODUCTION</w:t>
      </w:r>
    </w:p>
    <w:p w14:paraId="2C1A23F2" w14:textId="77777777" w:rsidR="00A77B3E" w:rsidRDefault="00E76E9F">
      <w:pPr>
        <w:spacing w:line="360" w:lineRule="auto"/>
        <w:jc w:val="both"/>
      </w:pPr>
      <w:r>
        <w:rPr>
          <w:rFonts w:ascii="Book Antiqua" w:eastAsia="Book Antiqua" w:hAnsi="Book Antiqua" w:cs="Book Antiqua"/>
          <w:color w:val="000000"/>
        </w:rPr>
        <w:t xml:space="preserve">Hepatocellular carcinoma (HCC) is the second leading cause of cancer-associated mortality and the fifth most common cancer globally. However, its early detection is difficult as confounding factors such as the coexistence of inflammation and cirrhosis, may lead to limited predictive values of the existing serological and radiological methods of </w:t>
      </w:r>
      <w:proofErr w:type="gramStart"/>
      <w:r>
        <w:rPr>
          <w:rFonts w:ascii="Book Antiqua" w:eastAsia="Book Antiqua" w:hAnsi="Book Antiqua" w:cs="Book Antiqua"/>
          <w:color w:val="000000"/>
        </w:rPr>
        <w:t>surveillance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Since the 1970s, alpha-fetoprotein (AFP) has been widely applied as a primary biomarker for HCC screening in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However, its value as a primary screening tool for HCC has been questioned due to its low sensitivity and specificity, especially for early HCC </w:t>
      </w:r>
      <w:proofErr w:type="gramStart"/>
      <w:r>
        <w:rPr>
          <w:rFonts w:ascii="Book Antiqua" w:eastAsia="Book Antiqua" w:hAnsi="Book Antiqua" w:cs="Book Antiqua"/>
          <w:color w:val="000000"/>
        </w:rPr>
        <w:t>detection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Therefore, novel serum biomarkers for assessing </w:t>
      </w:r>
      <w:r>
        <w:rPr>
          <w:rFonts w:ascii="Book Antiqua" w:eastAsia="Book Antiqua" w:hAnsi="Book Antiqua" w:cs="Book Antiqua"/>
          <w:color w:val="000000"/>
        </w:rPr>
        <w:lastRenderedPageBreak/>
        <w:t xml:space="preserve">cirrhosis and HCC risk with higher diagnostic accuracy and reasonable costs are still urgently </w:t>
      </w:r>
      <w:proofErr w:type="gramStart"/>
      <w:r>
        <w:rPr>
          <w:rFonts w:ascii="Book Antiqua" w:eastAsia="Book Antiqua" w:hAnsi="Book Antiqua" w:cs="Book Antiqua"/>
          <w:color w:val="000000"/>
        </w:rPr>
        <w:t>required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
    <w:p w14:paraId="01E1D19C" w14:textId="22C1AF8A"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In this context, Golgi </w:t>
      </w:r>
      <w:r w:rsidR="00C13E01">
        <w:rPr>
          <w:rFonts w:ascii="Book Antiqua" w:eastAsia="Book Antiqua" w:hAnsi="Book Antiqua" w:cs="Book Antiqua"/>
          <w:color w:val="000000"/>
        </w:rPr>
        <w:t>p</w:t>
      </w:r>
      <w:r>
        <w:rPr>
          <w:rFonts w:ascii="Book Antiqua" w:eastAsia="Book Antiqua" w:hAnsi="Book Antiqua" w:cs="Book Antiqua"/>
          <w:color w:val="000000"/>
        </w:rPr>
        <w:t xml:space="preserve">rotein-73 (GP73), also called Golgi phosphoprotein-2 (GOLPH2), was originally defined as a resident Golgi type II transmembrane protein expressed in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N-terminal region of GP73 contains a transmembrane domain that can be cleaved by a proprotein convertase, resulting in the release of GP73 into the extracellular space, which may then be detected in serum and utilized as a novel </w:t>
      </w:r>
      <w:proofErr w:type="gramStart"/>
      <w:r>
        <w:rPr>
          <w:rFonts w:ascii="Book Antiqua" w:eastAsia="Book Antiqua" w:hAnsi="Book Antiqua" w:cs="Book Antiqua"/>
          <w:color w:val="000000"/>
        </w:rPr>
        <w:t>biomarker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normal human liver, GP73 expression was found primarily in biliary epithelial cells, with only slight detection in hepatocytes. However, in patients with acute or chronic liver diseases and especially in HCC, the expression of GP73 was significantly up-regulated in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
    <w:p w14:paraId="4F330737" w14:textId="77777777"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So far, there have been several studies examining serum GP73 as a tumor marker for HCC with conflicting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Moreover, few studies have assessed GP73 as a diagnostic marker for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4,10-12]</w:t>
      </w:r>
      <w:r>
        <w:rPr>
          <w:rFonts w:ascii="Book Antiqua" w:eastAsia="Book Antiqua" w:hAnsi="Book Antiqua" w:cs="Book Antiqua"/>
          <w:color w:val="000000"/>
        </w:rPr>
        <w:t xml:space="preserve"> or as a prognostic factor of disease progression from chronic hepatitis to cirrhosis and subsequent development of liver decompensation and/or HCC development</w:t>
      </w:r>
      <w:r>
        <w:rPr>
          <w:rFonts w:ascii="Book Antiqua" w:eastAsia="Book Antiqua" w:hAnsi="Book Antiqua" w:cs="Book Antiqua"/>
          <w:color w:val="000000"/>
          <w:szCs w:val="30"/>
          <w:vertAlign w:val="superscript"/>
        </w:rPr>
        <w:t xml:space="preserve"> [8,10,13]</w:t>
      </w:r>
      <w:r>
        <w:rPr>
          <w:rFonts w:ascii="Book Antiqua" w:eastAsia="Book Antiqua" w:hAnsi="Book Antiqua" w:cs="Book Antiqua"/>
          <w:color w:val="000000"/>
        </w:rPr>
        <w:t>. Therefore, we designed the present study in order to specifically assess the efficacy of GP73 as a potential diagnostic biomarker for detecting liver cirrhosis and HCC development, and also to evaluate its performance for predicting the progression of chronic liver disease by investigating a large cohort of 632 consecutive patients with chronic viral and non-viral liver diseases collected from two Academic centers in Greece and Hungary.</w:t>
      </w:r>
    </w:p>
    <w:p w14:paraId="73A8B600" w14:textId="77777777" w:rsidR="00A77B3E" w:rsidRDefault="00A77B3E">
      <w:pPr>
        <w:spacing w:line="360" w:lineRule="auto"/>
        <w:jc w:val="both"/>
      </w:pPr>
    </w:p>
    <w:p w14:paraId="2A5B19DC" w14:textId="77777777" w:rsidR="00A77B3E" w:rsidRDefault="00E76E9F">
      <w:pPr>
        <w:spacing w:line="360" w:lineRule="auto"/>
        <w:jc w:val="both"/>
      </w:pPr>
      <w:r>
        <w:rPr>
          <w:rFonts w:ascii="Book Antiqua" w:eastAsia="Book Antiqua" w:hAnsi="Book Antiqua" w:cs="Book Antiqua"/>
          <w:b/>
          <w:caps/>
          <w:color w:val="000000"/>
          <w:u w:val="single"/>
        </w:rPr>
        <w:t>MATERIALS AND METHODS</w:t>
      </w:r>
    </w:p>
    <w:p w14:paraId="03FBCA24" w14:textId="0DBE7190" w:rsidR="00A77B3E" w:rsidRDefault="00E76E9F">
      <w:pPr>
        <w:spacing w:line="360" w:lineRule="auto"/>
        <w:jc w:val="both"/>
      </w:pPr>
      <w:r>
        <w:rPr>
          <w:rFonts w:ascii="Book Antiqua" w:eastAsia="Book Antiqua" w:hAnsi="Book Antiqua" w:cs="Book Antiqua"/>
          <w:color w:val="000000"/>
        </w:rPr>
        <w:t>Stored serum samples at -20</w:t>
      </w:r>
      <w:r w:rsidR="000961E0">
        <w:rPr>
          <w:rFonts w:ascii="Book Antiqua" w:eastAsia="Book Antiqua" w:hAnsi="Book Antiqua" w:cs="Book Antiqua"/>
          <w:color w:val="000000"/>
        </w:rPr>
        <w:t xml:space="preserve"> </w:t>
      </w:r>
      <w:proofErr w:type="spellStart"/>
      <w:r>
        <w:rPr>
          <w:rFonts w:ascii="Book Antiqua" w:eastAsia="Book Antiqua" w:hAnsi="Book Antiqua" w:cs="Book Antiqua"/>
          <w:color w:val="000000"/>
          <w:szCs w:val="30"/>
          <w:vertAlign w:val="superscript"/>
        </w:rPr>
        <w:t>o</w:t>
      </w:r>
      <w:r>
        <w:rPr>
          <w:rFonts w:ascii="Book Antiqua" w:eastAsia="Book Antiqua" w:hAnsi="Book Antiqua" w:cs="Book Antiqua"/>
          <w:color w:val="000000"/>
        </w:rPr>
        <w:t>C</w:t>
      </w:r>
      <w:proofErr w:type="spellEnd"/>
      <w:r>
        <w:rPr>
          <w:rFonts w:ascii="Book Antiqua" w:eastAsia="Book Antiqua" w:hAnsi="Book Antiqua" w:cs="Book Antiqua"/>
          <w:color w:val="000000"/>
        </w:rPr>
        <w:t xml:space="preserve"> from 632 consecutive Greek and Hungarian patients with chronic liver diseases who were prospectively diagnosed and followed at the Department of Medicine and Research Laboratory of Internal Medicine, National Expertise Center of Greece in Autoimmune Liver Diseases, General University Hospital of Larissa, Larissa, Greece (</w:t>
      </w:r>
      <w:r>
        <w:rPr>
          <w:rFonts w:ascii="Book Antiqua" w:eastAsia="Book Antiqua" w:hAnsi="Book Antiqua" w:cs="Book Antiqua"/>
          <w:i/>
          <w:iCs/>
          <w:color w:val="000000"/>
        </w:rPr>
        <w:t>n</w:t>
      </w:r>
      <w:r>
        <w:rPr>
          <w:rFonts w:ascii="Book Antiqua" w:eastAsia="Book Antiqua" w:hAnsi="Book Antiqua" w:cs="Book Antiqua"/>
          <w:color w:val="000000"/>
        </w:rPr>
        <w:t xml:space="preserve"> = 366) and the Department of Internal Medicine, Division of Gastroenterology, University of Debrecen, Debrecen, Hungary (</w:t>
      </w:r>
      <w:r>
        <w:rPr>
          <w:rFonts w:ascii="Book Antiqua" w:eastAsia="Book Antiqua" w:hAnsi="Book Antiqua" w:cs="Book Antiqua"/>
          <w:i/>
          <w:iCs/>
          <w:color w:val="000000"/>
        </w:rPr>
        <w:t>n</w:t>
      </w:r>
      <w:r>
        <w:rPr>
          <w:rFonts w:ascii="Book Antiqua" w:eastAsia="Book Antiqua" w:hAnsi="Book Antiqua" w:cs="Book Antiqua"/>
          <w:color w:val="000000"/>
        </w:rPr>
        <w:t xml:space="preserve"> = 266) were analyzed retrospectively at </w:t>
      </w:r>
      <w:r>
        <w:rPr>
          <w:rFonts w:ascii="Book Antiqua" w:eastAsia="Book Antiqua" w:hAnsi="Book Antiqua" w:cs="Book Antiqua"/>
          <w:color w:val="000000"/>
        </w:rPr>
        <w:lastRenderedPageBreak/>
        <w:t>the time point of initial evaluation. Two hundred and three patients had chronic hepatitis B (CHB), 183 chronic hepatitis C (CHC), 198 alcoholic liver disease, 28 autoimmune cholestatic liver diseases [(26 primary biliary cholangitis (PBC) and 2 primary sclerosing cholangitis (PSC)], 15 autoimmune hepatitis (AIH), and 5 with other liver-related disorders. The baseline demographic, clinical, biochemical, and histological characteristics of the patients are shown in Table 1.</w:t>
      </w:r>
    </w:p>
    <w:p w14:paraId="6D8689E9" w14:textId="4186CAC3"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At baseline, 450 out of 632 patients (71.2%) had </w:t>
      </w:r>
      <w:r w:rsidR="001E786E" w:rsidRPr="0076164D">
        <w:rPr>
          <w:rFonts w:ascii="Book Antiqua" w:eastAsia="Book Antiqua" w:hAnsi="Book Antiqua" w:cs="Book Antiqua"/>
          <w:color w:val="000000"/>
        </w:rPr>
        <w:t>cirrhosis</w:t>
      </w:r>
      <w:r>
        <w:rPr>
          <w:rFonts w:ascii="Book Antiqua" w:eastAsia="Book Antiqua" w:hAnsi="Book Antiqua" w:cs="Book Antiqua"/>
          <w:color w:val="000000"/>
        </w:rPr>
        <w:t xml:space="preserve"> according to our previous published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2,3,14-19]</w:t>
      </w:r>
      <w:r>
        <w:rPr>
          <w:rFonts w:ascii="Book Antiqua" w:eastAsia="Book Antiqua" w:hAnsi="Book Antiqua" w:cs="Book Antiqua"/>
          <w:color w:val="000000"/>
        </w:rPr>
        <w:t>. Briefly, for patients without available biopsy, the diagnosis of cirrhosis was based on either ultrasonography (nodules in liver, spleen &gt;</w:t>
      </w:r>
      <w:r w:rsidR="000961E0">
        <w:rPr>
          <w:rFonts w:ascii="Book Antiqua" w:eastAsia="Book Antiqua" w:hAnsi="Book Antiqua" w:cs="Book Antiqua"/>
          <w:color w:val="000000"/>
        </w:rPr>
        <w:t xml:space="preserve"> </w:t>
      </w:r>
      <w:r>
        <w:rPr>
          <w:rFonts w:ascii="Book Antiqua" w:eastAsia="Book Antiqua" w:hAnsi="Book Antiqua" w:cs="Book Antiqua"/>
          <w:color w:val="000000"/>
        </w:rPr>
        <w:t>12 cm, portal vein &gt;16 mm), or elastography (liver stiffness &gt;</w:t>
      </w:r>
      <w:r w:rsidR="000961E0">
        <w:rPr>
          <w:rFonts w:ascii="Book Antiqua" w:eastAsia="Book Antiqua" w:hAnsi="Book Antiqua" w:cs="Book Antiqua"/>
          <w:color w:val="000000"/>
        </w:rPr>
        <w:t xml:space="preserve"> </w:t>
      </w:r>
      <w:r>
        <w:rPr>
          <w:rFonts w:ascii="Book Antiqua" w:eastAsia="Book Antiqua" w:hAnsi="Book Antiqua" w:cs="Book Antiqua"/>
          <w:color w:val="000000"/>
        </w:rPr>
        <w:t>12 kPa), or endoscopic findings of cirrhosis (varices, portal gastropathy), and/or clinical findings of decompensation (ascites, variceal bleeding, encephalopathy)</w:t>
      </w:r>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xml:space="preserve">. HCC diagnosis was based on standard histological and/or radiological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At initial evaluation, 226 out of 450 cirrhotic patients (50.2%) had already experienced at least one episode of decompensation in the past. Liver biopsy was available for 196 Greek patients and fibrosis was assessed using the METAVIR scoring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5D65B0BF" w14:textId="77777777"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Four hundred and seventy-nine patients were followed ≥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a median [interquartile range (IQR)] 50 (57)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(Figure 1). HCC surveillance was performed regularly with ultrasound imaging and AFP determination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cirrhotic and every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non-cirrhotic patients. Development of cirrhosis, liver decompensation and HCC was assessed according to international criteria and in case of death, the cause was </w:t>
      </w:r>
      <w:proofErr w:type="gramStart"/>
      <w:r>
        <w:rPr>
          <w:rFonts w:ascii="Book Antiqua" w:eastAsia="Book Antiqua" w:hAnsi="Book Antiqua" w:cs="Book Antiqua"/>
          <w:color w:val="000000"/>
        </w:rPr>
        <w:t>recorded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Three hundred and twenty-six out of the 479 patients were cirrhotic at baseline, while 14 out of the remaining 153 non-cirrhotic patients developed cirrhosis during follow-up. One hundred and forty-two out of the 326 cirrhotic patients at baseline, had already experienced an event of decompensation prior to initial evaluation, while 66 out of 198 patients (patients with baseline cirrhosis </w:t>
      </w:r>
      <w:r>
        <w:rPr>
          <w:rFonts w:ascii="Book Antiqua" w:eastAsia="Book Antiqua" w:hAnsi="Book Antiqua" w:cs="Book Antiqua"/>
          <w:i/>
          <w:iCs/>
          <w:color w:val="000000"/>
        </w:rPr>
        <w:t>n</w:t>
      </w:r>
      <w:r>
        <w:rPr>
          <w:rFonts w:ascii="Book Antiqua" w:eastAsia="Book Antiqua" w:hAnsi="Book Antiqua" w:cs="Book Antiqua"/>
          <w:color w:val="000000"/>
        </w:rPr>
        <w:t xml:space="preserve"> = 184 and patients who developed cirrhosis during follow-up </w:t>
      </w:r>
      <w:r>
        <w:rPr>
          <w:rFonts w:ascii="Book Antiqua" w:eastAsia="Book Antiqua" w:hAnsi="Book Antiqua" w:cs="Book Antiqua"/>
          <w:i/>
          <w:iCs/>
          <w:color w:val="000000"/>
        </w:rPr>
        <w:t>n</w:t>
      </w:r>
      <w:r>
        <w:rPr>
          <w:rFonts w:ascii="Book Antiqua" w:eastAsia="Book Antiqua" w:hAnsi="Book Antiqua" w:cs="Book Antiqua"/>
          <w:color w:val="000000"/>
        </w:rPr>
        <w:t xml:space="preserve"> = 14) suffered from at least one episode of decompensation during follow-up for the first time (Figure 1).</w:t>
      </w:r>
    </w:p>
    <w:p w14:paraId="213A6807" w14:textId="659AD3C9" w:rsidR="00A77B3E" w:rsidRDefault="00E76E9F" w:rsidP="00FF521E">
      <w:pPr>
        <w:spacing w:line="360" w:lineRule="auto"/>
        <w:ind w:firstLineChars="200" w:firstLine="480"/>
        <w:jc w:val="both"/>
      </w:pPr>
      <w:r>
        <w:rPr>
          <w:rFonts w:ascii="Book Antiqua" w:eastAsia="Book Antiqua" w:hAnsi="Book Antiqua" w:cs="Book Antiqua"/>
          <w:color w:val="000000"/>
        </w:rPr>
        <w:lastRenderedPageBreak/>
        <w:t xml:space="preserve">In total, the diagnosis of HCC was established in 157 subjects; 79 were diagnosed at baseline and 78 during follow-up (Figure 1). Serum samples at the time of HCC diagnosis were available in 130 patients (79 at baseline and 51 at follow-up). Patients with available serum sample at the time of HCC diagnosis were classified according to the Barcelona Clinic Liver Cancer (BCLC) staging system as very early (stage 0, </w:t>
      </w:r>
      <w:r>
        <w:rPr>
          <w:rFonts w:ascii="Book Antiqua" w:eastAsia="Book Antiqua" w:hAnsi="Book Antiqua" w:cs="Book Antiqua"/>
          <w:i/>
          <w:iCs/>
          <w:color w:val="000000"/>
        </w:rPr>
        <w:t>n</w:t>
      </w:r>
      <w:r>
        <w:rPr>
          <w:rFonts w:ascii="Book Antiqua" w:eastAsia="Book Antiqua" w:hAnsi="Book Antiqua" w:cs="Book Antiqua"/>
          <w:color w:val="000000"/>
        </w:rPr>
        <w:t xml:space="preserve"> = 8), early (stage A, </w:t>
      </w:r>
      <w:r>
        <w:rPr>
          <w:rFonts w:ascii="Book Antiqua" w:eastAsia="Book Antiqua" w:hAnsi="Book Antiqua" w:cs="Book Antiqua"/>
          <w:i/>
          <w:iCs/>
          <w:color w:val="000000"/>
        </w:rPr>
        <w:t>n</w:t>
      </w:r>
      <w:r>
        <w:rPr>
          <w:rFonts w:ascii="Book Antiqua" w:eastAsia="Book Antiqua" w:hAnsi="Book Antiqua" w:cs="Book Antiqua"/>
          <w:color w:val="000000"/>
        </w:rPr>
        <w:t xml:space="preserve"> = 41), intermediate (stage B, </w:t>
      </w:r>
      <w:r>
        <w:rPr>
          <w:rFonts w:ascii="Book Antiqua" w:eastAsia="Book Antiqua" w:hAnsi="Book Antiqua" w:cs="Book Antiqua"/>
          <w:i/>
          <w:iCs/>
          <w:color w:val="000000"/>
        </w:rPr>
        <w:t>n</w:t>
      </w:r>
      <w:r>
        <w:rPr>
          <w:rFonts w:ascii="Book Antiqua" w:eastAsia="Book Antiqua" w:hAnsi="Book Antiqua" w:cs="Book Antiqua"/>
          <w:color w:val="000000"/>
        </w:rPr>
        <w:t xml:space="preserve"> = 35), advanced (stage C, </w:t>
      </w:r>
      <w:r>
        <w:rPr>
          <w:rFonts w:ascii="Book Antiqua" w:eastAsia="Book Antiqua" w:hAnsi="Book Antiqua" w:cs="Book Antiqua"/>
          <w:i/>
          <w:iCs/>
          <w:color w:val="000000"/>
        </w:rPr>
        <w:t>n</w:t>
      </w:r>
      <w:r>
        <w:rPr>
          <w:rFonts w:ascii="Book Antiqua" w:eastAsia="Book Antiqua" w:hAnsi="Book Antiqua" w:cs="Book Antiqua"/>
          <w:color w:val="000000"/>
        </w:rPr>
        <w:t xml:space="preserve"> = 34) or terminal stage (stage D, </w:t>
      </w:r>
      <w:r>
        <w:rPr>
          <w:rFonts w:ascii="Book Antiqua" w:eastAsia="Book Antiqua" w:hAnsi="Book Antiqua" w:cs="Book Antiqua"/>
          <w:i/>
          <w:iCs/>
          <w:color w:val="000000"/>
        </w:rPr>
        <w:t>n</w:t>
      </w:r>
      <w:r>
        <w:rPr>
          <w:rFonts w:ascii="Book Antiqua" w:eastAsia="Book Antiqua" w:hAnsi="Book Antiqua" w:cs="Book Antiqua"/>
          <w:color w:val="000000"/>
        </w:rPr>
        <w:t xml:space="preserve"> = 11)</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They were also classified according to the tumor dimensions as very early (one single lesion &lt; 2 cm in diameter, </w:t>
      </w:r>
      <w:r>
        <w:rPr>
          <w:rFonts w:ascii="Book Antiqua" w:eastAsia="Book Antiqua" w:hAnsi="Book Antiqua" w:cs="Book Antiqua"/>
          <w:i/>
          <w:iCs/>
          <w:color w:val="000000"/>
        </w:rPr>
        <w:t>n</w:t>
      </w:r>
      <w:r>
        <w:rPr>
          <w:rFonts w:ascii="Book Antiqua" w:eastAsia="Book Antiqua" w:hAnsi="Book Antiqua" w:cs="Book Antiqua"/>
          <w:color w:val="000000"/>
        </w:rPr>
        <w:t xml:space="preserve"> = 8), intermediate (one single lesion 2-5 cm or less than three lesions with diameter &lt; 3 cm each, </w:t>
      </w:r>
      <w:r>
        <w:rPr>
          <w:rFonts w:ascii="Book Antiqua" w:eastAsia="Book Antiqua" w:hAnsi="Book Antiqua" w:cs="Book Antiqua"/>
          <w:i/>
          <w:iCs/>
          <w:color w:val="000000"/>
        </w:rPr>
        <w:t>n</w:t>
      </w:r>
      <w:r>
        <w:rPr>
          <w:rFonts w:ascii="Book Antiqua" w:eastAsia="Book Antiqua" w:hAnsi="Book Antiqua" w:cs="Book Antiqua"/>
          <w:color w:val="000000"/>
        </w:rPr>
        <w:t xml:space="preserve"> = 56), and advanced (</w:t>
      </w:r>
      <w:r>
        <w:rPr>
          <w:rFonts w:ascii="Book Antiqua" w:eastAsia="Book Antiqua" w:hAnsi="Book Antiqua" w:cs="Book Antiqua"/>
          <w:i/>
          <w:iCs/>
          <w:color w:val="000000"/>
        </w:rPr>
        <w:t>n</w:t>
      </w:r>
      <w:r>
        <w:rPr>
          <w:rFonts w:ascii="Book Antiqua" w:eastAsia="Book Antiqua" w:hAnsi="Book Antiqua" w:cs="Book Antiqua"/>
          <w:color w:val="000000"/>
        </w:rPr>
        <w:t xml:space="preserve"> = 65). One patient could not be classified, as HCC diagnosis was established at autopsy. Paired samples for the estimation of GP73 alterations before and after the diagnosis of the tumor were available for 51 patients. Two </w:t>
      </w:r>
      <w:r w:rsidRPr="001C61B7">
        <w:rPr>
          <w:rFonts w:ascii="Book Antiqua" w:eastAsia="Book Antiqua" w:hAnsi="Book Antiqua" w:cs="Book Antiqua"/>
          <w:color w:val="000000"/>
        </w:rPr>
        <w:t>hund</w:t>
      </w:r>
      <w:r w:rsidR="00A15E10" w:rsidRPr="001C61B7">
        <w:rPr>
          <w:rFonts w:ascii="Book Antiqua" w:eastAsia="Book Antiqua" w:hAnsi="Book Antiqua" w:cs="Book Antiqua"/>
          <w:color w:val="000000"/>
        </w:rPr>
        <w:t>r</w:t>
      </w:r>
      <w:r w:rsidRPr="001C61B7">
        <w:rPr>
          <w:rFonts w:ascii="Book Antiqua" w:eastAsia="Book Antiqua" w:hAnsi="Book Antiqua" w:cs="Book Antiqua"/>
          <w:color w:val="000000"/>
        </w:rPr>
        <w:t>ed</w:t>
      </w:r>
      <w:r>
        <w:rPr>
          <w:rFonts w:ascii="Book Antiqua" w:eastAsia="Book Antiqua" w:hAnsi="Book Antiqua" w:cs="Book Antiqua"/>
          <w:color w:val="000000"/>
        </w:rPr>
        <w:t xml:space="preserve"> and twenty-two out of 632 patients (35.1%) died because of liver-related causes (65 patients during the first 6-mo from the initial presentation).</w:t>
      </w:r>
    </w:p>
    <w:p w14:paraId="58B5A9CF" w14:textId="12DF810B" w:rsidR="00A77B3E" w:rsidRDefault="00E76E9F" w:rsidP="00FF521E">
      <w:pPr>
        <w:spacing w:line="360" w:lineRule="auto"/>
        <w:ind w:firstLineChars="200" w:firstLine="480"/>
        <w:jc w:val="both"/>
      </w:pPr>
      <w:r>
        <w:rPr>
          <w:rFonts w:ascii="Book Antiqua" w:eastAsia="Book Antiqua" w:hAnsi="Book Antiqua" w:cs="Book Antiqua"/>
          <w:color w:val="000000"/>
        </w:rPr>
        <w:t>The ethical committee</w:t>
      </w:r>
      <w:r w:rsidR="00A45FAB">
        <w:rPr>
          <w:rFonts w:ascii="Book Antiqua" w:eastAsia="Book Antiqua" w:hAnsi="Book Antiqua" w:cs="Book Antiqua"/>
          <w:color w:val="000000"/>
        </w:rPr>
        <w:t>s of the two Universities Hospitals</w:t>
      </w:r>
      <w:r>
        <w:rPr>
          <w:rFonts w:ascii="Book Antiqua" w:eastAsia="Book Antiqua" w:hAnsi="Book Antiqua" w:cs="Book Antiqua"/>
          <w:color w:val="000000"/>
        </w:rPr>
        <w:t xml:space="preserve"> approved the protocol which conforms to the ethical guidelines of the 1975 Declaration of Helsinki as reflected in </w:t>
      </w:r>
      <w:r w:rsidRPr="004A7C7C">
        <w:rPr>
          <w:rFonts w:ascii="Book Antiqua" w:eastAsia="Book Antiqua" w:hAnsi="Book Antiqua" w:cs="Book Antiqua"/>
          <w:i/>
          <w:color w:val="000000"/>
        </w:rPr>
        <w:t>a priori</w:t>
      </w:r>
      <w:r>
        <w:rPr>
          <w:rFonts w:ascii="Book Antiqua" w:eastAsia="Book Antiqua" w:hAnsi="Book Antiqua" w:cs="Book Antiqua"/>
          <w:color w:val="000000"/>
        </w:rPr>
        <w:t xml:space="preserve"> approval by the institution's human research committee. Patients agreed to the use of their data and serum samples for anonymous retrospective analysis by written consent at the time of initial evaluation. In case patients were not able to give consent, a first-degree relative authorized to give consent.</w:t>
      </w:r>
    </w:p>
    <w:p w14:paraId="4C405F29" w14:textId="77777777" w:rsidR="00A77B3E" w:rsidRDefault="00A77B3E">
      <w:pPr>
        <w:spacing w:line="360" w:lineRule="auto"/>
        <w:jc w:val="both"/>
      </w:pPr>
    </w:p>
    <w:p w14:paraId="5C8F967D" w14:textId="77777777" w:rsidR="00A77B3E" w:rsidRDefault="00E76E9F">
      <w:pPr>
        <w:spacing w:line="360" w:lineRule="auto"/>
        <w:jc w:val="both"/>
      </w:pPr>
      <w:r>
        <w:rPr>
          <w:rFonts w:ascii="Book Antiqua" w:eastAsia="Book Antiqua" w:hAnsi="Book Antiqua" w:cs="Book Antiqua"/>
          <w:b/>
          <w:bCs/>
          <w:i/>
          <w:iCs/>
          <w:color w:val="000000"/>
        </w:rPr>
        <w:t>GP73 determination</w:t>
      </w:r>
    </w:p>
    <w:p w14:paraId="0B8D1726" w14:textId="77777777" w:rsidR="00A77B3E" w:rsidRDefault="00E76E9F">
      <w:pPr>
        <w:spacing w:line="360" w:lineRule="auto"/>
        <w:jc w:val="both"/>
      </w:pPr>
      <w:r>
        <w:rPr>
          <w:rFonts w:ascii="Book Antiqua" w:eastAsia="Book Antiqua" w:hAnsi="Book Antiqua" w:cs="Book Antiqua"/>
          <w:color w:val="000000"/>
        </w:rPr>
        <w:t xml:space="preserve">GP73 antigen was measured using a novel GP73 ELISA (QUANTA Lite® GP73, Inova Diagnostics, Inc., Research Use Only) according to the manufacturer’s instructions. The assay was constructed using proprietary anti-GP73 monoclonal and rabbit polyclonal antibodies developed specifically against a highly purified proprietary full-length GP73 antigen engineered to maintain glycosylation and conformational integrity.  Arbitrary units were calculated using a low positive control as a calibrator. In brief, samples were diluted 1:101 in proprietary diluent and incubated for 1 h at room temperature. Wells </w:t>
      </w:r>
      <w:r>
        <w:rPr>
          <w:rFonts w:ascii="Book Antiqua" w:eastAsia="Book Antiqua" w:hAnsi="Book Antiqua" w:cs="Book Antiqua"/>
          <w:color w:val="000000"/>
        </w:rPr>
        <w:lastRenderedPageBreak/>
        <w:t xml:space="preserve">were aspirated and washed 3 times with wash buffer followed by addition of 100 ul of horseradish peroxidase conjugated rabbit anti-GP73 antibody. Samples were incubated for 30 min, aspirated, and 100 ul of tetramethyl-benzidine was then added. After 30 min of incubation the reaction was terminated by addition of 100 ul of stop solution and plates were then read at 450 nm. Arbitrary units were calculated using a low positive control as a calibrator. According to the manufacturer’s instructions, levels above 20 units were considered positive for GP73. This cut-off was established using a cohort of 518 healthy and disease controls (anti-phospholipid syndrome, </w:t>
      </w:r>
      <w:r>
        <w:rPr>
          <w:rFonts w:ascii="Book Antiqua" w:eastAsia="Book Antiqua" w:hAnsi="Book Antiqua" w:cs="Book Antiqua"/>
          <w:i/>
          <w:iCs/>
          <w:color w:val="000000"/>
        </w:rPr>
        <w:t>n</w:t>
      </w:r>
      <w:r>
        <w:rPr>
          <w:rFonts w:ascii="Book Antiqua" w:eastAsia="Book Antiqua" w:hAnsi="Book Antiqua" w:cs="Book Antiqua"/>
          <w:color w:val="000000"/>
        </w:rPr>
        <w:t xml:space="preserve"> = 25; rheumatoid arthritis, </w:t>
      </w:r>
      <w:r>
        <w:rPr>
          <w:rFonts w:ascii="Book Antiqua" w:eastAsia="Book Antiqua" w:hAnsi="Book Antiqua" w:cs="Book Antiqua"/>
          <w:i/>
          <w:iCs/>
          <w:color w:val="000000"/>
        </w:rPr>
        <w:t>n</w:t>
      </w:r>
      <w:r>
        <w:rPr>
          <w:rFonts w:ascii="Book Antiqua" w:eastAsia="Book Antiqua" w:hAnsi="Book Antiqua" w:cs="Book Antiqua"/>
          <w:color w:val="000000"/>
        </w:rPr>
        <w:t xml:space="preserve"> = 55; scleroderma, </w:t>
      </w:r>
      <w:r>
        <w:rPr>
          <w:rFonts w:ascii="Book Antiqua" w:eastAsia="Book Antiqua" w:hAnsi="Book Antiqua" w:cs="Book Antiqua"/>
          <w:i/>
          <w:iCs/>
          <w:color w:val="000000"/>
        </w:rPr>
        <w:t>n</w:t>
      </w:r>
      <w:r>
        <w:rPr>
          <w:rFonts w:ascii="Book Antiqua" w:eastAsia="Book Antiqua" w:hAnsi="Book Antiqua" w:cs="Book Antiqua"/>
          <w:color w:val="000000"/>
        </w:rPr>
        <w:t xml:space="preserve"> = 25; inflammatory bowel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10; breast cancer, </w:t>
      </w:r>
      <w:r>
        <w:rPr>
          <w:rFonts w:ascii="Book Antiqua" w:eastAsia="Book Antiqua" w:hAnsi="Book Antiqua" w:cs="Book Antiqua"/>
          <w:i/>
          <w:iCs/>
          <w:color w:val="000000"/>
        </w:rPr>
        <w:t>n</w:t>
      </w:r>
      <w:r>
        <w:rPr>
          <w:rFonts w:ascii="Book Antiqua" w:eastAsia="Book Antiqua" w:hAnsi="Book Antiqua" w:cs="Book Antiqua"/>
          <w:color w:val="000000"/>
        </w:rPr>
        <w:t xml:space="preserve"> = 46; colorectal cancer, </w:t>
      </w:r>
      <w:r>
        <w:rPr>
          <w:rFonts w:ascii="Book Antiqua" w:eastAsia="Book Antiqua" w:hAnsi="Book Antiqua" w:cs="Book Antiqua"/>
          <w:i/>
          <w:iCs/>
          <w:color w:val="000000"/>
        </w:rPr>
        <w:t>n</w:t>
      </w:r>
      <w:r>
        <w:rPr>
          <w:rFonts w:ascii="Book Antiqua" w:eastAsia="Book Antiqua" w:hAnsi="Book Antiqua" w:cs="Book Antiqua"/>
          <w:color w:val="000000"/>
        </w:rPr>
        <w:t xml:space="preserve"> = 50; prostate cancer, </w:t>
      </w:r>
      <w:r>
        <w:rPr>
          <w:rFonts w:ascii="Book Antiqua" w:eastAsia="Book Antiqua" w:hAnsi="Book Antiqua" w:cs="Book Antiqua"/>
          <w:i/>
          <w:iCs/>
          <w:color w:val="000000"/>
        </w:rPr>
        <w:t>n</w:t>
      </w:r>
      <w:r>
        <w:rPr>
          <w:rFonts w:ascii="Book Antiqua" w:eastAsia="Book Antiqua" w:hAnsi="Book Antiqua" w:cs="Book Antiqua"/>
          <w:color w:val="000000"/>
        </w:rPr>
        <w:t xml:space="preserve"> = 45; non-cirrhotic CHC, </w:t>
      </w:r>
      <w:r>
        <w:rPr>
          <w:rFonts w:ascii="Book Antiqua" w:eastAsia="Book Antiqua" w:hAnsi="Book Antiqua" w:cs="Book Antiqua"/>
          <w:i/>
          <w:iCs/>
          <w:color w:val="000000"/>
        </w:rPr>
        <w:t>n</w:t>
      </w:r>
      <w:r>
        <w:rPr>
          <w:rFonts w:ascii="Book Antiqua" w:eastAsia="Book Antiqua" w:hAnsi="Book Antiqua" w:cs="Book Antiqua"/>
          <w:color w:val="000000"/>
        </w:rPr>
        <w:t xml:space="preserve"> = 14; non-cirrhotic CHB, </w:t>
      </w:r>
      <w:r>
        <w:rPr>
          <w:rFonts w:ascii="Book Antiqua" w:eastAsia="Book Antiqua" w:hAnsi="Book Antiqua" w:cs="Book Antiqua"/>
          <w:i/>
          <w:iCs/>
          <w:color w:val="000000"/>
        </w:rPr>
        <w:t>n</w:t>
      </w:r>
      <w:r>
        <w:rPr>
          <w:rFonts w:ascii="Book Antiqua" w:eastAsia="Book Antiqua" w:hAnsi="Book Antiqua" w:cs="Book Antiqua"/>
          <w:color w:val="000000"/>
        </w:rPr>
        <w:t xml:space="preserve"> = 25; human immunodeficiency virus infection,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8; syphilis, </w:t>
      </w:r>
      <w:r>
        <w:rPr>
          <w:rFonts w:ascii="Book Antiqua" w:eastAsia="Book Antiqua" w:hAnsi="Book Antiqua" w:cs="Book Antiqua"/>
          <w:i/>
          <w:iCs/>
          <w:color w:val="000000"/>
        </w:rPr>
        <w:t>n</w:t>
      </w:r>
      <w:r>
        <w:rPr>
          <w:rFonts w:ascii="Book Antiqua" w:eastAsia="Book Antiqua" w:hAnsi="Book Antiqua" w:cs="Book Antiqua"/>
          <w:color w:val="000000"/>
        </w:rPr>
        <w:t xml:space="preserve"> = 40, healthy controls, </w:t>
      </w:r>
      <w:r>
        <w:rPr>
          <w:rFonts w:ascii="Book Antiqua" w:eastAsia="Book Antiqua" w:hAnsi="Book Antiqua" w:cs="Book Antiqua"/>
          <w:i/>
          <w:iCs/>
          <w:color w:val="000000"/>
        </w:rPr>
        <w:t>n</w:t>
      </w:r>
      <w:r>
        <w:rPr>
          <w:rFonts w:ascii="Book Antiqua" w:eastAsia="Book Antiqua" w:hAnsi="Book Antiqua" w:cs="Book Antiqua"/>
          <w:color w:val="000000"/>
        </w:rPr>
        <w:t xml:space="preserve"> = 175) along with 719 cirrhotic and 254 HCC patients (Supplementary Figure 1).</w:t>
      </w:r>
    </w:p>
    <w:p w14:paraId="3EBDC933" w14:textId="77777777" w:rsidR="00A77B3E" w:rsidRDefault="00A77B3E">
      <w:pPr>
        <w:spacing w:line="360" w:lineRule="auto"/>
        <w:jc w:val="both"/>
      </w:pPr>
    </w:p>
    <w:p w14:paraId="11DC6C71" w14:textId="6F1B3676" w:rsidR="00A77B3E" w:rsidRDefault="00E76E9F">
      <w:pPr>
        <w:spacing w:line="360" w:lineRule="auto"/>
        <w:jc w:val="both"/>
      </w:pPr>
      <w:r>
        <w:rPr>
          <w:rFonts w:ascii="Book Antiqua" w:eastAsia="Book Antiqua" w:hAnsi="Book Antiqua" w:cs="Book Antiqua"/>
          <w:b/>
          <w:bCs/>
          <w:i/>
          <w:iCs/>
          <w:color w:val="000000"/>
        </w:rPr>
        <w:t xml:space="preserve">Biochemical </w:t>
      </w:r>
      <w:r w:rsidR="00F74777">
        <w:rPr>
          <w:rFonts w:ascii="Book Antiqua" w:eastAsia="Book Antiqua" w:hAnsi="Book Antiqua" w:cs="Book Antiqua"/>
          <w:b/>
          <w:bCs/>
          <w:i/>
          <w:iCs/>
          <w:color w:val="000000"/>
        </w:rPr>
        <w:t>p</w:t>
      </w:r>
      <w:r>
        <w:rPr>
          <w:rFonts w:ascii="Book Antiqua" w:eastAsia="Book Antiqua" w:hAnsi="Book Antiqua" w:cs="Book Antiqua"/>
          <w:b/>
          <w:bCs/>
          <w:i/>
          <w:iCs/>
          <w:color w:val="000000"/>
        </w:rPr>
        <w:t>arameters</w:t>
      </w:r>
    </w:p>
    <w:p w14:paraId="5038E665" w14:textId="77777777" w:rsidR="00A77B3E" w:rsidRDefault="00E76E9F">
      <w:pPr>
        <w:spacing w:line="360" w:lineRule="auto"/>
        <w:jc w:val="both"/>
      </w:pPr>
      <w:r>
        <w:rPr>
          <w:rFonts w:ascii="Book Antiqua" w:eastAsia="Book Antiqua" w:hAnsi="Book Antiqua" w:cs="Book Antiqua"/>
          <w:color w:val="000000"/>
        </w:rPr>
        <w:t xml:space="preserve">Aspartate aminotransferase (AST), alanine aminotransferase (ALT), γ-glutamyl transpeptidase (γ-GT), alkaline phosphatase (ALP), bilirubin, albumin, platelets (PLT), international normalized ratio (INR), and AFP levels were determined using standard techniques. AST/PLT ratio index (APRI) was assessed at the relevant time </w:t>
      </w:r>
      <w:proofErr w:type="gramStart"/>
      <w:r>
        <w:rPr>
          <w:rFonts w:ascii="Book Antiqua" w:eastAsia="Book Antiqua" w:hAnsi="Book Antiqua" w:cs="Book Antiqua"/>
          <w:color w:val="000000"/>
        </w:rPr>
        <w:t>points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31EB8523" w14:textId="77777777" w:rsidR="00A77B3E" w:rsidRDefault="00A77B3E">
      <w:pPr>
        <w:spacing w:line="360" w:lineRule="auto"/>
        <w:jc w:val="both"/>
      </w:pPr>
    </w:p>
    <w:p w14:paraId="335F5E64" w14:textId="77777777" w:rsidR="00A77B3E" w:rsidRDefault="00E76E9F">
      <w:pPr>
        <w:spacing w:line="360" w:lineRule="auto"/>
        <w:jc w:val="both"/>
      </w:pPr>
      <w:r>
        <w:rPr>
          <w:rFonts w:ascii="Book Antiqua" w:eastAsia="Book Antiqua" w:hAnsi="Book Antiqua" w:cs="Book Antiqua"/>
          <w:b/>
          <w:bCs/>
          <w:i/>
          <w:iCs/>
          <w:color w:val="000000"/>
        </w:rPr>
        <w:t>Statistical analysis</w:t>
      </w:r>
    </w:p>
    <w:p w14:paraId="6CB4F186" w14:textId="05E7CE42" w:rsidR="00A77B3E" w:rsidRDefault="00E76E9F">
      <w:pPr>
        <w:spacing w:line="360" w:lineRule="auto"/>
        <w:jc w:val="both"/>
      </w:pPr>
      <w:r>
        <w:rPr>
          <w:rFonts w:ascii="Book Antiqua" w:eastAsia="Book Antiqua" w:hAnsi="Book Antiqua" w:cs="Book Antiqua"/>
          <w:color w:val="000000"/>
        </w:rPr>
        <w:t xml:space="preserve">Normality of the distribution of variables was assessed by Kolmogorov-Smirnov test. Quantitative values are expressed as median (IQR). Data were analyzed by Mann-Whitney U, </w:t>
      </w:r>
      <w:r w:rsidR="000961E0" w:rsidRPr="000961E0">
        <w:rPr>
          <w:rFonts w:ascii="Book Antiqua" w:eastAsia="Book Antiqua" w:hAnsi="Book Antiqua" w:cs="Book Antiqua"/>
          <w:i/>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Kruskal-Wallis, Wilcoxon signed ranks, Spearman correlation and binary logistic regression analysis, where applicable. Significant interactions and multicollinearity between independent variables were examined using variance inflation factors. Logistic regression predicted value probability was used to calculate the combined effect of two diagnostic markers. Receiver operating characteristic (ROC) curves were constructed, and comparisons were done by the log-rank test. Youden indexes (sensitivity+specificity-1) were calculated to establish optimal cut-offs for GP73. </w:t>
      </w:r>
      <w:r>
        <w:rPr>
          <w:rFonts w:ascii="Book Antiqua" w:eastAsia="Book Antiqua" w:hAnsi="Book Antiqua" w:cs="Book Antiqua"/>
          <w:color w:val="000000"/>
        </w:rPr>
        <w:lastRenderedPageBreak/>
        <w:t xml:space="preserve">Survival was evaluated with Kaplan-Meier plots for GP73-positive or GP73-negative patients up to the end of follow-up or when patients reached one of the end-points (development of cirrhosis, liver decompensation, development of HCC, liver-related death). Two-sided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less than 0.05 were considered statistically significant. The statistical review of the study was performed by NKG and KZ who have MSc in biostatistics. All data analyses were performed using the statistical software SPSS version 20.0.</w:t>
      </w:r>
    </w:p>
    <w:p w14:paraId="74A2A1A8" w14:textId="77777777" w:rsidR="00A77B3E" w:rsidRDefault="00A77B3E">
      <w:pPr>
        <w:spacing w:line="360" w:lineRule="auto"/>
        <w:jc w:val="both"/>
      </w:pPr>
    </w:p>
    <w:p w14:paraId="1E208D2A" w14:textId="77777777" w:rsidR="00A77B3E" w:rsidRDefault="00E76E9F">
      <w:pPr>
        <w:spacing w:line="360" w:lineRule="auto"/>
        <w:jc w:val="both"/>
      </w:pPr>
      <w:r>
        <w:rPr>
          <w:rFonts w:ascii="Book Antiqua" w:eastAsia="Book Antiqua" w:hAnsi="Book Antiqua" w:cs="Book Antiqua"/>
          <w:b/>
          <w:caps/>
          <w:color w:val="000000"/>
          <w:u w:val="single"/>
        </w:rPr>
        <w:t>RESULTS</w:t>
      </w:r>
    </w:p>
    <w:p w14:paraId="61D443B8" w14:textId="4E298DB2" w:rsidR="00A77B3E" w:rsidRDefault="00E76E9F">
      <w:pPr>
        <w:spacing w:line="360" w:lineRule="auto"/>
        <w:jc w:val="both"/>
      </w:pPr>
      <w:r>
        <w:rPr>
          <w:rFonts w:ascii="Book Antiqua" w:eastAsia="Book Antiqua" w:hAnsi="Book Antiqua" w:cs="Book Antiqua"/>
          <w:b/>
          <w:bCs/>
          <w:i/>
          <w:iCs/>
          <w:color w:val="000000"/>
        </w:rPr>
        <w:t xml:space="preserve">Significance of serum </w:t>
      </w:r>
      <w:r w:rsidR="00C13E01" w:rsidRPr="00C13E01">
        <w:rPr>
          <w:rFonts w:ascii="Book Antiqua" w:eastAsia="Book Antiqua" w:hAnsi="Book Antiqua" w:cs="Book Antiqua"/>
          <w:b/>
          <w:bCs/>
          <w:i/>
          <w:iCs/>
          <w:color w:val="000000"/>
        </w:rPr>
        <w:t>GP73</w:t>
      </w:r>
      <w:r>
        <w:rPr>
          <w:rFonts w:ascii="Book Antiqua" w:eastAsia="Book Antiqua" w:hAnsi="Book Antiqua" w:cs="Book Antiqua"/>
          <w:b/>
          <w:bCs/>
          <w:i/>
          <w:iCs/>
          <w:color w:val="000000"/>
        </w:rPr>
        <w:t xml:space="preserve"> in relation to the baseline characteristics of patients</w:t>
      </w:r>
    </w:p>
    <w:p w14:paraId="2736E447" w14:textId="77777777" w:rsidR="00A77B3E" w:rsidRDefault="00E76E9F">
      <w:pPr>
        <w:spacing w:line="360" w:lineRule="auto"/>
        <w:jc w:val="both"/>
      </w:pPr>
      <w:r>
        <w:rPr>
          <w:rFonts w:ascii="Book Antiqua" w:eastAsia="Book Antiqua" w:hAnsi="Book Antiqua" w:cs="Book Antiqua"/>
          <w:color w:val="000000"/>
        </w:rPr>
        <w:t>GP73-positive levels (&gt; 20 units) were found in 277/632 (43.8%) patients. GP73-positivity was significantly related to older age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increased AST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γ-GT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ALP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bilirubin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lower PLT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albumin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(Table 2). Moreover, GP73 positivity correlated with higher AFP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APRI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advanced fibrosis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presence of cirrhosis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liver decompensation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HCC presence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advanced HCC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(Table 2).</w:t>
      </w:r>
    </w:p>
    <w:p w14:paraId="7FE049FC" w14:textId="15931B86" w:rsidR="00A77B3E" w:rsidRDefault="00E76E9F" w:rsidP="00FF521E">
      <w:pPr>
        <w:spacing w:line="360" w:lineRule="auto"/>
        <w:ind w:firstLineChars="200" w:firstLine="480"/>
        <w:jc w:val="both"/>
      </w:pPr>
      <w:r>
        <w:rPr>
          <w:rFonts w:ascii="Book Antiqua" w:eastAsia="Book Antiqua" w:hAnsi="Book Antiqua" w:cs="Book Antiqua"/>
          <w:color w:val="000000"/>
        </w:rPr>
        <w:t>Multivariate analysis revealed that GP73-positivity was independently associated with lower albumin (OR = 0.540, 95%CI:</w:t>
      </w:r>
      <w:r w:rsidR="00F74777">
        <w:rPr>
          <w:rFonts w:ascii="Book Antiqua" w:eastAsia="Book Antiqua" w:hAnsi="Book Antiqua" w:cs="Book Antiqua"/>
          <w:color w:val="000000"/>
        </w:rPr>
        <w:t xml:space="preserve"> </w:t>
      </w:r>
      <w:r>
        <w:rPr>
          <w:rFonts w:ascii="Book Antiqua" w:eastAsia="Book Antiqua" w:hAnsi="Book Antiqua" w:cs="Book Antiqua"/>
          <w:color w:val="000000"/>
        </w:rPr>
        <w:t xml:space="preserve">0.375-0.778,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presence of cirrhosis at baseline (OR = 7.608, 95%CI:</w:t>
      </w:r>
      <w:r w:rsidR="00F74777">
        <w:rPr>
          <w:rFonts w:ascii="Book Antiqua" w:eastAsia="Book Antiqua" w:hAnsi="Book Antiqua" w:cs="Book Antiqua"/>
          <w:color w:val="000000"/>
        </w:rPr>
        <w:t xml:space="preserve"> </w:t>
      </w:r>
      <w:r>
        <w:rPr>
          <w:rFonts w:ascii="Book Antiqua" w:eastAsia="Book Antiqua" w:hAnsi="Book Antiqua" w:cs="Book Antiqua"/>
          <w:color w:val="000000"/>
        </w:rPr>
        <w:t xml:space="preserve">3.310-17.488;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Book Antiqua" w:hAnsi="Book Antiqua" w:cs="Book Antiqua"/>
          <w:i/>
          <w:iCs/>
          <w:color w:val="000000"/>
        </w:rPr>
        <w:t xml:space="preserve"> </w:t>
      </w:r>
      <w:r>
        <w:rPr>
          <w:rFonts w:ascii="Book Antiqua" w:eastAsia="Book Antiqua" w:hAnsi="Book Antiqua" w:cs="Book Antiqua"/>
          <w:color w:val="000000"/>
        </w:rPr>
        <w:t>0.001; Table 3). A second multivariate model including only cirrhotic patients, revealed that GP73-positivity was associated with decompensation of liver disease at baseline (OR = 1.812, 95%CI:</w:t>
      </w:r>
      <w:r w:rsidR="00F74777">
        <w:rPr>
          <w:rFonts w:ascii="Book Antiqua" w:eastAsia="Book Antiqua" w:hAnsi="Book Antiqua" w:cs="Book Antiqua"/>
          <w:color w:val="000000"/>
        </w:rPr>
        <w:t xml:space="preserve"> </w:t>
      </w:r>
      <w:r>
        <w:rPr>
          <w:rFonts w:ascii="Book Antiqua" w:eastAsia="Book Antiqua" w:hAnsi="Book Antiqua" w:cs="Book Antiqua"/>
          <w:color w:val="000000"/>
        </w:rPr>
        <w:t xml:space="preserve">1.059-3.101;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but not to the presence of HCC (OR = 1.302, 95%CI:</w:t>
      </w:r>
      <w:r w:rsidR="00F74777">
        <w:rPr>
          <w:rFonts w:ascii="Book Antiqua" w:eastAsia="Book Antiqua" w:hAnsi="Book Antiqua" w:cs="Book Antiqua"/>
          <w:color w:val="000000"/>
        </w:rPr>
        <w:t xml:space="preserve"> </w:t>
      </w:r>
      <w:r>
        <w:rPr>
          <w:rFonts w:ascii="Book Antiqua" w:eastAsia="Book Antiqua" w:hAnsi="Book Antiqua" w:cs="Book Antiqua"/>
          <w:color w:val="000000"/>
        </w:rPr>
        <w:t xml:space="preserve">0.687-2.467; </w:t>
      </w:r>
      <w:r>
        <w:rPr>
          <w:rFonts w:ascii="Book Antiqua" w:eastAsia="Book Antiqua" w:hAnsi="Book Antiqua" w:cs="Book Antiqua"/>
          <w:i/>
          <w:iCs/>
          <w:color w:val="000000"/>
        </w:rPr>
        <w:t>P</w:t>
      </w:r>
      <w:r>
        <w:rPr>
          <w:rFonts w:ascii="Book Antiqua" w:eastAsia="Book Antiqua" w:hAnsi="Book Antiqua" w:cs="Book Antiqua"/>
          <w:color w:val="000000"/>
        </w:rPr>
        <w:t xml:space="preserve"> = 0.419; Table 4). No significant multicollinearity was found between the independent variables.</w:t>
      </w:r>
    </w:p>
    <w:p w14:paraId="5A8352B7" w14:textId="77777777"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Of note, GP73 levels progressively increased from non-cirrhotic patients to patients with compensated cirrhosis and finally to patients with decompensated cirrhosis and/or HCC [8.4 (4.6) </w:t>
      </w:r>
      <w:r>
        <w:rPr>
          <w:rFonts w:ascii="Book Antiqua" w:eastAsia="Book Antiqua" w:hAnsi="Book Antiqua" w:cs="Book Antiqua"/>
          <w:i/>
          <w:iCs/>
          <w:color w:val="000000"/>
        </w:rPr>
        <w:t>vs</w:t>
      </w:r>
      <w:r>
        <w:rPr>
          <w:rFonts w:ascii="Book Antiqua" w:eastAsia="Book Antiqua" w:hAnsi="Book Antiqua" w:cs="Book Antiqua"/>
          <w:color w:val="000000"/>
        </w:rPr>
        <w:t xml:space="preserve"> 18.7 (15.3) </w:t>
      </w:r>
      <w:r>
        <w:rPr>
          <w:rFonts w:ascii="Book Antiqua" w:eastAsia="Book Antiqua" w:hAnsi="Book Antiqua" w:cs="Book Antiqua"/>
          <w:i/>
          <w:iCs/>
          <w:color w:val="000000"/>
        </w:rPr>
        <w:t>vs</w:t>
      </w:r>
      <w:r>
        <w:rPr>
          <w:rFonts w:ascii="Book Antiqua" w:eastAsia="Book Antiqua" w:hAnsi="Book Antiqua" w:cs="Book Antiqua"/>
          <w:color w:val="000000"/>
        </w:rPr>
        <w:t xml:space="preserve"> 29.5 (27.6)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as well as between the total number of cirrhotic patients (compensated and decompensated) and HCC patients [22.8 </w:t>
      </w:r>
      <w:r>
        <w:rPr>
          <w:rFonts w:ascii="Book Antiqua" w:eastAsia="Book Antiqua" w:hAnsi="Book Antiqua" w:cs="Book Antiqua"/>
          <w:color w:val="000000"/>
        </w:rPr>
        <w:lastRenderedPageBreak/>
        <w:t xml:space="preserve">(22.9) </w:t>
      </w:r>
      <w:r>
        <w:rPr>
          <w:rFonts w:ascii="Book Antiqua" w:eastAsia="Book Antiqua" w:hAnsi="Book Antiqua" w:cs="Book Antiqua"/>
          <w:i/>
          <w:iCs/>
          <w:color w:val="000000"/>
        </w:rPr>
        <w:t>vs</w:t>
      </w:r>
      <w:r>
        <w:rPr>
          <w:rFonts w:ascii="Book Antiqua" w:eastAsia="Book Antiqua" w:hAnsi="Book Antiqua" w:cs="Book Antiqua"/>
          <w:color w:val="000000"/>
        </w:rPr>
        <w:t xml:space="preserve"> 25 (33.7)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 0.06] (Figure 2). This pattern remained constant among the different groups of liver diseases analyzed (Supplementary Figure 2).</w:t>
      </w:r>
    </w:p>
    <w:p w14:paraId="7B090E38" w14:textId="77777777" w:rsidR="00A77B3E" w:rsidRDefault="00A77B3E">
      <w:pPr>
        <w:spacing w:line="360" w:lineRule="auto"/>
        <w:jc w:val="both"/>
      </w:pPr>
    </w:p>
    <w:p w14:paraId="25736F16" w14:textId="0F729A87" w:rsidR="00A77B3E" w:rsidRDefault="00C13E01">
      <w:pPr>
        <w:spacing w:line="360" w:lineRule="auto"/>
        <w:jc w:val="both"/>
      </w:pPr>
      <w:r w:rsidRPr="00C13E01">
        <w:rPr>
          <w:rFonts w:ascii="Book Antiqua" w:eastAsia="Book Antiqua" w:hAnsi="Book Antiqua" w:cs="Book Antiqua"/>
          <w:b/>
          <w:bCs/>
          <w:i/>
          <w:iCs/>
          <w:color w:val="000000"/>
        </w:rPr>
        <w:t>GP73</w:t>
      </w:r>
      <w:r>
        <w:rPr>
          <w:rFonts w:ascii="Book Antiqua" w:eastAsia="Book Antiqua" w:hAnsi="Book Antiqua" w:cs="Book Antiqua"/>
          <w:b/>
          <w:bCs/>
          <w:i/>
          <w:iCs/>
          <w:color w:val="000000"/>
        </w:rPr>
        <w:t xml:space="preserve"> </w:t>
      </w:r>
      <w:r w:rsidR="00E76E9F">
        <w:rPr>
          <w:rFonts w:ascii="Book Antiqua" w:eastAsia="Book Antiqua" w:hAnsi="Book Antiqua" w:cs="Book Antiqua"/>
          <w:b/>
          <w:bCs/>
          <w:i/>
          <w:iCs/>
          <w:color w:val="000000"/>
        </w:rPr>
        <w:t>as a diagnostic marker of cirrhosis</w:t>
      </w:r>
    </w:p>
    <w:p w14:paraId="58795277" w14:textId="77777777" w:rsidR="00A77B3E" w:rsidRDefault="00E76E9F">
      <w:pPr>
        <w:spacing w:line="360" w:lineRule="auto"/>
        <w:jc w:val="both"/>
      </w:pPr>
      <w:r>
        <w:rPr>
          <w:rFonts w:ascii="Book Antiqua" w:eastAsia="Book Antiqua" w:hAnsi="Book Antiqua" w:cs="Book Antiqua"/>
          <w:color w:val="000000"/>
        </w:rPr>
        <w:t xml:space="preserve">GP73 levels were significantly higher in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than in non-</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[23.3 (23.9) </w:t>
      </w:r>
      <w:r>
        <w:rPr>
          <w:rFonts w:ascii="Book Antiqua" w:eastAsia="Book Antiqua" w:hAnsi="Book Antiqua" w:cs="Book Antiqua"/>
          <w:i/>
          <w:iCs/>
          <w:color w:val="000000"/>
        </w:rPr>
        <w:t>vs</w:t>
      </w:r>
      <w:r>
        <w:rPr>
          <w:rFonts w:ascii="Book Antiqua" w:eastAsia="Book Antiqua" w:hAnsi="Book Antiqua" w:cs="Book Antiqua"/>
          <w:color w:val="000000"/>
        </w:rPr>
        <w:t xml:space="preserve"> 8.4 (4.6)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GP73 had a high discriminative ability for detecting cirrhosis [AUC (95%CI): 0.909 (0.885-0.934)], which was superior to the APRI score [0.849 (0.813-0.886);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The cut-off of 20 units had 59% sensitivity and 95% specificity for diagnosing cirrhosis (PPV: 96%, NPV: 48%). Youden index revealed an optimal cut-off for detecting cirrhosis at 12.7 units with sensitivity and specificity of 85% for both (PPV: 93%, NPV: 70%). The AUC (95%CI) of GP73 for detecting cirrhosis was 0.873 (0.838-0.908) for patients with viral liver diseases and 0.965 (0.929-1.000) for non-viral liver diseases. The AUC (95%) for the diagnosis of cirrhosis in a sub-analysis of patients with available liver biopsy (</w:t>
      </w:r>
      <w:r>
        <w:rPr>
          <w:rFonts w:ascii="Book Antiqua" w:eastAsia="Book Antiqua" w:hAnsi="Book Antiqua" w:cs="Book Antiqua"/>
          <w:i/>
          <w:iCs/>
          <w:color w:val="000000"/>
        </w:rPr>
        <w:t>n</w:t>
      </w:r>
      <w:r>
        <w:rPr>
          <w:rFonts w:ascii="Book Antiqua" w:eastAsia="Book Antiqua" w:hAnsi="Book Antiqua" w:cs="Book Antiqua"/>
          <w:color w:val="000000"/>
        </w:rPr>
        <w:t xml:space="preserve"> = 196; F4 = 66; F3 = 34; F0-F2 = 96) was 0.850 (0.793-0.908) for GP73 and 0.806 (0.745-0.868) for APRI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 0.276).</w:t>
      </w:r>
    </w:p>
    <w:p w14:paraId="415D9744" w14:textId="77777777" w:rsidR="00A77B3E" w:rsidRDefault="00E76E9F" w:rsidP="00FF521E">
      <w:pPr>
        <w:spacing w:line="360" w:lineRule="auto"/>
        <w:ind w:firstLineChars="200" w:firstLine="480"/>
        <w:jc w:val="both"/>
      </w:pPr>
      <w:r>
        <w:rPr>
          <w:rFonts w:ascii="Book Antiqua" w:eastAsia="Book Antiqua" w:hAnsi="Book Antiqua" w:cs="Book Antiqua"/>
          <w:color w:val="000000"/>
        </w:rPr>
        <w:t>The combination of GP73 and APRI, further improved the diagnostic accuracy for detecting cirrhosis [AUC (95%): 0.925 (0.903-0.948), compared to the respective AUCs of GP73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or APRI alone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3). In a minority of 118 patients (64 with CHB, 46 CHC, 1 AIH, 7 PBC) with available liver stiffness measurements at the same time point with serum samples, a positive correlation was found between liver stiffness and GP73 values (r = 0.433;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3E80E518" w14:textId="77777777" w:rsidR="00A77B3E" w:rsidRDefault="00A77B3E">
      <w:pPr>
        <w:spacing w:line="360" w:lineRule="auto"/>
        <w:jc w:val="both"/>
      </w:pPr>
    </w:p>
    <w:p w14:paraId="71E197F1" w14:textId="521A4B26" w:rsidR="00A77B3E" w:rsidRDefault="00026BDC">
      <w:pPr>
        <w:spacing w:line="360" w:lineRule="auto"/>
        <w:jc w:val="both"/>
      </w:pPr>
      <w:r w:rsidRPr="00026BDC">
        <w:rPr>
          <w:rFonts w:ascii="Book Antiqua" w:eastAsia="Book Antiqua" w:hAnsi="Book Antiqua" w:cs="Book Antiqua"/>
          <w:b/>
          <w:bCs/>
          <w:i/>
          <w:iCs/>
          <w:color w:val="000000"/>
        </w:rPr>
        <w:t>GP73</w:t>
      </w:r>
      <w:r>
        <w:rPr>
          <w:rFonts w:ascii="Book Antiqua" w:eastAsia="Book Antiqua" w:hAnsi="Book Antiqua" w:cs="Book Antiqua"/>
          <w:b/>
          <w:bCs/>
          <w:i/>
          <w:iCs/>
          <w:color w:val="000000"/>
        </w:rPr>
        <w:t xml:space="preserve"> </w:t>
      </w:r>
      <w:r w:rsidR="00E76E9F">
        <w:rPr>
          <w:rFonts w:ascii="Book Antiqua" w:eastAsia="Book Antiqua" w:hAnsi="Book Antiqua" w:cs="Book Antiqua"/>
          <w:b/>
          <w:bCs/>
          <w:i/>
          <w:iCs/>
          <w:color w:val="000000"/>
        </w:rPr>
        <w:t>as a diagnostic marker of hepatocellular carcinoma</w:t>
      </w:r>
    </w:p>
    <w:p w14:paraId="768EEAAA" w14:textId="36305EFC" w:rsidR="00A77B3E" w:rsidRDefault="00E76E9F">
      <w:pPr>
        <w:spacing w:line="360" w:lineRule="auto"/>
        <w:jc w:val="both"/>
      </w:pPr>
      <w:r>
        <w:rPr>
          <w:rFonts w:ascii="Book Antiqua" w:eastAsia="Book Antiqua" w:hAnsi="Book Antiqua" w:cs="Book Antiqua"/>
          <w:color w:val="000000"/>
        </w:rPr>
        <w:t xml:space="preserve">One </w:t>
      </w:r>
      <w:r w:rsidRPr="001C61B7">
        <w:rPr>
          <w:rFonts w:ascii="Book Antiqua" w:eastAsia="Book Antiqua" w:hAnsi="Book Antiqua" w:cs="Book Antiqua"/>
          <w:color w:val="000000"/>
        </w:rPr>
        <w:t>hundred</w:t>
      </w:r>
      <w:r>
        <w:rPr>
          <w:rFonts w:ascii="Book Antiqua" w:eastAsia="Book Antiqua" w:hAnsi="Book Antiqua" w:cs="Book Antiqua"/>
          <w:color w:val="000000"/>
        </w:rPr>
        <w:t xml:space="preserve"> and thirty patients had available samples at HCC diagnosis (79 from patients who were diagnosed at presentation and 51 from those who were diagnosed at follow-up visits). GP73 levels were higher in HCC patients compared to non-HCC (</w:t>
      </w:r>
      <w:r>
        <w:rPr>
          <w:rFonts w:ascii="Book Antiqua" w:eastAsia="Book Antiqua" w:hAnsi="Book Antiqua" w:cs="Book Antiqua"/>
          <w:i/>
          <w:iCs/>
          <w:color w:val="000000"/>
        </w:rPr>
        <w:t>n</w:t>
      </w:r>
      <w:r>
        <w:rPr>
          <w:rFonts w:ascii="Book Antiqua" w:eastAsia="Book Antiqua" w:hAnsi="Book Antiqua" w:cs="Book Antiqua"/>
          <w:color w:val="000000"/>
        </w:rPr>
        <w:t xml:space="preserve"> = 502) [22.5 (29.2) </w:t>
      </w:r>
      <w:r>
        <w:rPr>
          <w:rFonts w:ascii="Book Antiqua" w:eastAsia="Book Antiqua" w:hAnsi="Book Antiqua" w:cs="Book Antiqua"/>
          <w:i/>
          <w:iCs/>
          <w:color w:val="000000"/>
        </w:rPr>
        <w:t>vs</w:t>
      </w:r>
      <w:r>
        <w:rPr>
          <w:rFonts w:ascii="Book Antiqua" w:eastAsia="Book Antiqua" w:hAnsi="Book Antiqua" w:cs="Book Antiqua"/>
          <w:color w:val="000000"/>
        </w:rPr>
        <w:t xml:space="preserve"> 16 (20.3)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Furthermore, GP73 levels were positively associated with the Barcelona Clinic Liver Cancer (BCLC)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tumor dimensions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Figure 4). HCC patients with underlying cirrhosis (</w:t>
      </w:r>
      <w:r>
        <w:rPr>
          <w:rFonts w:ascii="Book Antiqua" w:eastAsia="Book Antiqua" w:hAnsi="Book Antiqua" w:cs="Book Antiqua"/>
          <w:i/>
          <w:iCs/>
          <w:color w:val="000000"/>
        </w:rPr>
        <w:t>n</w:t>
      </w:r>
      <w:r>
        <w:rPr>
          <w:rFonts w:ascii="Book Antiqua" w:eastAsia="Book Antiqua" w:hAnsi="Book Antiqua" w:cs="Book Antiqua"/>
          <w:color w:val="000000"/>
        </w:rPr>
        <w:t xml:space="preserve"> = 124) had </w:t>
      </w:r>
      <w:r>
        <w:rPr>
          <w:rFonts w:ascii="Book Antiqua" w:eastAsia="Book Antiqua" w:hAnsi="Book Antiqua" w:cs="Book Antiqua"/>
          <w:color w:val="000000"/>
        </w:rPr>
        <w:lastRenderedPageBreak/>
        <w:t>also higher GP73 levels compared to HCC without cirrhosis (</w:t>
      </w:r>
      <w:r>
        <w:rPr>
          <w:rFonts w:ascii="Book Antiqua" w:eastAsia="Book Antiqua" w:hAnsi="Book Antiqua" w:cs="Book Antiqua"/>
          <w:i/>
          <w:iCs/>
          <w:color w:val="000000"/>
        </w:rPr>
        <w:t>n</w:t>
      </w:r>
      <w:r>
        <w:rPr>
          <w:rFonts w:ascii="Book Antiqua" w:eastAsia="Book Antiqua" w:hAnsi="Book Antiqua" w:cs="Book Antiqua"/>
          <w:color w:val="000000"/>
        </w:rPr>
        <w:t xml:space="preserve"> = 6) [23.8 (29.9) </w:t>
      </w:r>
      <w:r>
        <w:rPr>
          <w:rFonts w:ascii="Book Antiqua" w:eastAsia="Book Antiqua" w:hAnsi="Book Antiqua" w:cs="Book Antiqua"/>
          <w:i/>
          <w:iCs/>
          <w:color w:val="000000"/>
        </w:rPr>
        <w:t>vs</w:t>
      </w:r>
      <w:r>
        <w:rPr>
          <w:rFonts w:ascii="Book Antiqua" w:eastAsia="Book Antiqua" w:hAnsi="Book Antiqua" w:cs="Book Antiqua"/>
          <w:color w:val="000000"/>
        </w:rPr>
        <w:t xml:space="preserve"> 15.5 (16.2)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 0.08].</w:t>
      </w:r>
    </w:p>
    <w:p w14:paraId="63CD6E2C" w14:textId="77777777"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However, the discriminative ability of GP73 for detecting HCC was relatively low [AUC (95%CI): 0.623 (0.570-0.675)] and significantly lower than that of AFP [AUC (95%CI): 0.767 (0.714-0.821);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The cut-off of 20 units for GP73 had a sensitivity of 56% and specificity of 59% for diagnosing HCC, with a PPV of 26% and NPV of 83%. According to Youden Index, the optimal cut-off of GP73 for diagnosing HCC was calculated at 12.7 units with a sensitivity of 84% and specificity of 40% (PPV: 27% and NPV: 90%).</w:t>
      </w:r>
    </w:p>
    <w:p w14:paraId="5B0875E9" w14:textId="77777777"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The combination of GP73 and AFP did not improve the diagnostic accuracy for detecting HCC in the total population [AUC (95%CI): 0.759 (0.709-0.808)] (Supplementary Figure 3). Superiority of AFP compared to GP73 for detecting HCC remained stable after exclusion of non-cirrhotic patients [AUC (95%CI): 0.738 (0.678-0.798) </w:t>
      </w:r>
      <w:r>
        <w:rPr>
          <w:rFonts w:ascii="Book Antiqua" w:eastAsia="Book Antiqua" w:hAnsi="Book Antiqua" w:cs="Book Antiqua"/>
          <w:i/>
          <w:iCs/>
          <w:color w:val="000000"/>
        </w:rPr>
        <w:t>vs</w:t>
      </w:r>
      <w:r>
        <w:rPr>
          <w:rFonts w:ascii="Book Antiqua" w:eastAsia="Book Antiqua" w:hAnsi="Book Antiqua" w:cs="Book Antiqua"/>
          <w:color w:val="000000"/>
        </w:rPr>
        <w:t xml:space="preserve"> 0.500 (0.438-0.562);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patients with advanced stages of HCC (BCLC stages B, C and D) [AUC (95%CI): 0.644 (0.544-0.744) </w:t>
      </w:r>
      <w:r>
        <w:rPr>
          <w:rFonts w:ascii="Book Antiqua" w:eastAsia="Book Antiqua" w:hAnsi="Book Antiqua" w:cs="Book Antiqua"/>
          <w:i/>
          <w:iCs/>
          <w:color w:val="000000"/>
        </w:rPr>
        <w:t>vs</w:t>
      </w:r>
      <w:r>
        <w:rPr>
          <w:rFonts w:ascii="Book Antiqua" w:eastAsia="Book Antiqua" w:hAnsi="Book Antiqua" w:cs="Book Antiqua"/>
          <w:color w:val="000000"/>
        </w:rPr>
        <w:t xml:space="preserve"> 0.376 (0.284-0.468);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No significant difference was found in GP73 levels before [17.3 (15.6) units] and after HCC development [17.5 (20.7) units] in the 51 patients with available paired samples during follow-up (median: 53; range 8-163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Supplementary Figure 4).</w:t>
      </w:r>
    </w:p>
    <w:p w14:paraId="6EA04302" w14:textId="77777777" w:rsidR="00A77B3E" w:rsidRDefault="00A77B3E">
      <w:pPr>
        <w:spacing w:line="360" w:lineRule="auto"/>
        <w:jc w:val="both"/>
      </w:pPr>
    </w:p>
    <w:p w14:paraId="15379BFD" w14:textId="495B44AA" w:rsidR="00A77B3E" w:rsidRDefault="00026BDC">
      <w:pPr>
        <w:spacing w:line="360" w:lineRule="auto"/>
        <w:jc w:val="both"/>
      </w:pPr>
      <w:r w:rsidRPr="00026BDC">
        <w:rPr>
          <w:rFonts w:ascii="Book Antiqua" w:eastAsia="Book Antiqua" w:hAnsi="Book Antiqua" w:cs="Book Antiqua"/>
          <w:b/>
          <w:bCs/>
          <w:i/>
          <w:iCs/>
          <w:color w:val="000000"/>
        </w:rPr>
        <w:t>GP73</w:t>
      </w:r>
      <w:r w:rsidR="00E76E9F">
        <w:rPr>
          <w:rFonts w:ascii="Book Antiqua" w:eastAsia="Book Antiqua" w:hAnsi="Book Antiqua" w:cs="Book Antiqua"/>
          <w:b/>
          <w:bCs/>
          <w:i/>
          <w:iCs/>
          <w:color w:val="000000"/>
        </w:rPr>
        <w:t xml:space="preserve"> as a predictive marker of outcome</w:t>
      </w:r>
    </w:p>
    <w:p w14:paraId="116800EB" w14:textId="77777777" w:rsidR="00A77B3E" w:rsidRDefault="00E76E9F">
      <w:pPr>
        <w:spacing w:line="360" w:lineRule="auto"/>
        <w:jc w:val="both"/>
      </w:pPr>
      <w:r>
        <w:rPr>
          <w:rFonts w:ascii="Book Antiqua" w:eastAsia="Book Antiqua" w:hAnsi="Book Antiqua" w:cs="Book Antiqua"/>
          <w:color w:val="000000"/>
        </w:rPr>
        <w:t xml:space="preserve">Kaplan-Meier analysis in patients with available follow-up ≥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showed no differences regarding the development of cirrhosis between GP73-positive and –negative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0.432; Figure 5a). In contrast, GP73-positive patients with compensated cirrhosis at baseline and without any previous episode of decompensation had higher rates of liver decompensation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Figure 5b) and HCC development (total group of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0.08; Figure 5c). Of note, liver-related deaths were more common in GP73-positive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5d) either in the subgroup with available long-term follow-up (≥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or in the group with follow-up of any duration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data not shown).</w:t>
      </w:r>
    </w:p>
    <w:p w14:paraId="5DF80033" w14:textId="77777777" w:rsidR="00A77B3E" w:rsidRDefault="00A77B3E">
      <w:pPr>
        <w:spacing w:line="360" w:lineRule="auto"/>
        <w:jc w:val="both"/>
      </w:pPr>
    </w:p>
    <w:p w14:paraId="0E2C93A6" w14:textId="77777777" w:rsidR="00A77B3E" w:rsidRDefault="00E76E9F">
      <w:pPr>
        <w:spacing w:line="360" w:lineRule="auto"/>
        <w:jc w:val="both"/>
      </w:pPr>
      <w:r>
        <w:rPr>
          <w:rFonts w:ascii="Book Antiqua" w:eastAsia="Book Antiqua" w:hAnsi="Book Antiqua" w:cs="Book Antiqua"/>
          <w:b/>
          <w:caps/>
          <w:color w:val="000000"/>
          <w:u w:val="single"/>
        </w:rPr>
        <w:lastRenderedPageBreak/>
        <w:t>DISCUSSION</w:t>
      </w:r>
    </w:p>
    <w:p w14:paraId="5F290917" w14:textId="77777777" w:rsidR="00A77B3E" w:rsidRDefault="00E76E9F">
      <w:pPr>
        <w:spacing w:line="360" w:lineRule="auto"/>
        <w:jc w:val="both"/>
      </w:pPr>
      <w:r>
        <w:rPr>
          <w:rFonts w:ascii="Book Antiqua" w:eastAsia="Book Antiqua" w:hAnsi="Book Antiqua" w:cs="Book Antiqua"/>
          <w:color w:val="000000"/>
        </w:rPr>
        <w:t>In the current study, we showed that GP73-positivity is strongly associated with the presence of cirrhosis, while increased GP73 appear to identify patients at high risk of disease progression to liver decompensation, HCC development, and liver-related mortality. Importantly, multivariate analysis revealed that GP73-positivity was independently associated only with the presence of cirrhosis irrespective of the levels of aminotransferases. Furthermore, the ROC curves confirmed the high diagnostic accuracy of GP73 for detecting cirrhosis and its superiority to the APRI score. In addition, GP73 was associated with the presence of HCC, BCLC stage, and tumor dimensions, although its diagnostic accuracy for HCC was lower than that of AFP.</w:t>
      </w:r>
    </w:p>
    <w:p w14:paraId="444EA3A0" w14:textId="77777777"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GP73 is a 73-kDa transmembrane glycoprotein that resides in epithelial cells of many human tissues, within the cis-Golgi </w:t>
      </w:r>
      <w:proofErr w:type="gramStart"/>
      <w:r>
        <w:rPr>
          <w:rFonts w:ascii="Book Antiqua" w:eastAsia="Book Antiqua" w:hAnsi="Book Antiqua" w:cs="Book Antiqua"/>
          <w:color w:val="000000"/>
        </w:rPr>
        <w:t>complex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Wright </w:t>
      </w:r>
      <w:r w:rsidRPr="00F74777">
        <w:rPr>
          <w:rFonts w:ascii="Book Antiqua" w:eastAsia="Book Antiqua" w:hAnsi="Book Antiqua" w:cs="Book Antiqua"/>
          <w:i/>
          <w:color w:val="000000"/>
        </w:rPr>
        <w:t xml:space="preserve">et </w:t>
      </w:r>
      <w:proofErr w:type="gramStart"/>
      <w:r w:rsidRPr="00F74777">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described significant hepatocellular injury, including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hepatic steatosis, hepatocyte nuclear membrane irregularities and intranuclear inclusions in a transgenic mice model of GP73 deficiency, indicating that GP73 is essential for normal survival. Recent knock-down genetic studies in HepG2.2.15 cell lines provide further support as they proved that GP73 inhibition is related to a reduction of the inside surface area of the Golgi complex</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Additionally, previous reports showed that GP73 promotes HCC cell migration</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and invasion</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while GP73 N-glycosylation reduces HCC cell functions like motility and invasiveness</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suggesting GP73 as a potential target of novel therapies for the inhibition of tumor proliferation and metastasis.</w:t>
      </w:r>
    </w:p>
    <w:p w14:paraId="17E81D06" w14:textId="78B8CB40" w:rsidR="00A77B3E" w:rsidRDefault="00E76E9F" w:rsidP="00FF521E">
      <w:pPr>
        <w:spacing w:line="360" w:lineRule="auto"/>
        <w:ind w:firstLineChars="200" w:firstLine="480"/>
        <w:jc w:val="both"/>
      </w:pPr>
      <w:r>
        <w:rPr>
          <w:rFonts w:ascii="Book Antiqua" w:eastAsia="Book Antiqua" w:hAnsi="Book Antiqua" w:cs="Book Antiqua"/>
          <w:color w:val="000000"/>
        </w:rPr>
        <w:t>Our finding of a strong association of GP73-positivity with cirrhosis is in line with the initial manufacturer’s performance data which showed a sensitivity of 50.2% with a high specificity (96.9%) and also with previous studies which showed that GP73 is not overexpressed only in hepatocytes and liver cancer cells, but also in activated hepatic stellate cells which are the primary drivers of hepatic fibrosis</w:t>
      </w:r>
      <w:r>
        <w:rPr>
          <w:rFonts w:ascii="Book Antiqua" w:eastAsia="Book Antiqua" w:hAnsi="Book Antiqua" w:cs="Book Antiqua"/>
          <w:color w:val="000000"/>
          <w:szCs w:val="30"/>
          <w:vertAlign w:val="superscript"/>
        </w:rPr>
        <w:t>[4,31,32]</w:t>
      </w:r>
      <w:r>
        <w:rPr>
          <w:rFonts w:ascii="Book Antiqua" w:eastAsia="Book Antiqua" w:hAnsi="Book Antiqua" w:cs="Book Antiqua"/>
          <w:color w:val="000000"/>
        </w:rPr>
        <w:t xml:space="preserve">. In addition, previous studies have shown greater GP73 concentrations in cirrhosis rather than in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Our results provide strong support indicating that GP73 could be used as a tool to evaluate the presence of cirrhosis irrespective of the etiology of liver disease and very importantly, </w:t>
      </w:r>
      <w:r>
        <w:rPr>
          <w:rFonts w:ascii="Book Antiqua" w:eastAsia="Book Antiqua" w:hAnsi="Book Antiqua" w:cs="Book Antiqua"/>
          <w:color w:val="000000"/>
        </w:rPr>
        <w:lastRenderedPageBreak/>
        <w:t xml:space="preserve">in contrast to other complex and more expensive models for staging fibrosis such as </w:t>
      </w:r>
      <w:proofErr w:type="spellStart"/>
      <w:r>
        <w:rPr>
          <w:rFonts w:ascii="Book Antiqua" w:eastAsia="Book Antiqua" w:hAnsi="Book Antiqua" w:cs="Book Antiqua"/>
          <w:color w:val="000000"/>
        </w:rPr>
        <w:t>FibroMeter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FibroTest</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HepaScore</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it is a single marker which can be rapidly determined by a simple ELISA, using equipment found in every clinical laboratory worldwide. Moreover, GP73 could also be combined with other novel </w:t>
      </w:r>
      <w:r>
        <w:rPr>
          <w:rFonts w:ascii="Book Antiqua" w:eastAsia="Book Antiqua" w:hAnsi="Book Antiqua" w:cs="Book Antiqua"/>
          <w:i/>
          <w:iCs/>
          <w:color w:val="000000"/>
        </w:rPr>
        <w:t>"easy-to-use"</w:t>
      </w:r>
      <w:r>
        <w:rPr>
          <w:rFonts w:ascii="Book Antiqua" w:eastAsia="Book Antiqua" w:hAnsi="Book Antiqua" w:cs="Book Antiqua"/>
          <w:color w:val="000000"/>
        </w:rPr>
        <w:t xml:space="preserve"> markers of fibrosis like cartilage oligomeric matrix protein (COMP) already published by our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2,3,35]</w:t>
      </w:r>
      <w:r>
        <w:rPr>
          <w:rFonts w:ascii="Book Antiqua" w:eastAsia="Book Antiqua" w:hAnsi="Book Antiqua" w:cs="Book Antiqua"/>
          <w:color w:val="000000"/>
        </w:rPr>
        <w:t xml:space="preserve">. Indeed, in a subgroup of 288 patients with available measurements of both GP73 and COMP, the combination of GP73 with COMP had the higher discriminative ability to detect cirrhosis [AUC (95%CI): 0.881 (0.840-0.922)] compared to GP73 [AUC (95%CI): 0.846 (0.799-0.893)], APRI [AUC (95%CI): 0.834 (0.788-0.880) or COMP [AUC (95%CI): 0.767 (0.710-0.823)] alone, while the addition of APRI did not change the diagnostic performance of detecting cirrhosis [GP73 + COMP + APRI AUC (95%CI): 0.886 (0.846-0.926);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data in preparation]. </w:t>
      </w:r>
    </w:p>
    <w:p w14:paraId="3EAE383C" w14:textId="77777777"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Recently, Cao </w:t>
      </w:r>
      <w:r w:rsidRPr="00F95859">
        <w:rPr>
          <w:rFonts w:ascii="Book Antiqua" w:eastAsia="Book Antiqua" w:hAnsi="Book Antiqua" w:cs="Book Antiqua"/>
          <w:i/>
          <w:color w:val="000000"/>
        </w:rPr>
        <w:t xml:space="preserve">et </w:t>
      </w:r>
      <w:proofErr w:type="gramStart"/>
      <w:r w:rsidRPr="00F9585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found a gradual increase of GP73 through liver fibrosis stages and proposed that serum GP73 might be a complementary tool to transient elastography in an attempt to estimate significant fibrosis in CHB patients. In this context, a proposed algorithm including GP73 values and liver stiffness has been recently suggested to have better diagnostic accuracy than currently available </w:t>
      </w:r>
      <w:proofErr w:type="gramStart"/>
      <w:r>
        <w:rPr>
          <w:rFonts w:ascii="Book Antiqua" w:eastAsia="Book Antiqua" w:hAnsi="Book Antiqua" w:cs="Book Antiqua"/>
          <w:color w:val="000000"/>
        </w:rPr>
        <w:t>approaches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Our study verified a positive correlation between liver stiffness and GP73 values in a subset of patients with available measurements, although the retrospective nature of the study did not allow us for further statistical analysis due to the low number of patients with simultaneous elastography determinations and liver biopsy. Our findings of a gradual increase of GP73 levels from chronic hepatitis to cirrhosis and finally to decompensation of liver disease along with the predictive ability of GP73-positivity for a worse outcome, suggest that GP73 might be implicated in a central cellular pathway of liver diseases and not only in HCC development.</w:t>
      </w:r>
    </w:p>
    <w:p w14:paraId="3CB03375" w14:textId="22028E0A"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Indeed, recently Yao </w:t>
      </w:r>
      <w:r w:rsidRPr="00F95859">
        <w:rPr>
          <w:rFonts w:ascii="Book Antiqua" w:eastAsia="Book Antiqua" w:hAnsi="Book Antiqua" w:cs="Book Antiqua"/>
          <w:i/>
          <w:color w:val="000000"/>
        </w:rPr>
        <w:t xml:space="preserve">et </w:t>
      </w:r>
      <w:proofErr w:type="gramStart"/>
      <w:r w:rsidRPr="00F9585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found that GP73 can be induced by interleukin-6 through the STAT3 signal pathway, implicating a positive role of GP73 in liver regeneration and that enhanced GP73 expression may reflect the proliferative potential for hepatic parenchymal cells. In line with our findings, Xu </w:t>
      </w:r>
      <w:r w:rsidRPr="00F95859">
        <w:rPr>
          <w:rFonts w:ascii="Book Antiqua" w:eastAsia="Book Antiqua" w:hAnsi="Book Antiqua" w:cs="Book Antiqua"/>
          <w:i/>
          <w:color w:val="000000"/>
        </w:rPr>
        <w:t xml:space="preserve">et </w:t>
      </w:r>
      <w:proofErr w:type="gramStart"/>
      <w:r w:rsidRPr="00F9585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demonstrated that changes in </w:t>
      </w:r>
      <w:r>
        <w:rPr>
          <w:rFonts w:ascii="Book Antiqua" w:eastAsia="Book Antiqua" w:hAnsi="Book Antiqua" w:cs="Book Antiqua"/>
          <w:color w:val="000000"/>
        </w:rPr>
        <w:lastRenderedPageBreak/>
        <w:t xml:space="preserve">serum GP73 levels were closely associated with changes in liver injury severity, and therefore, GP73 may be an effective biomarker for the evaluation of disease progression. Further support of the role of GP73 as an important promoter of HCC progression was just published by Wei </w:t>
      </w:r>
      <w:r w:rsidRPr="00F95859">
        <w:rPr>
          <w:rFonts w:ascii="Book Antiqua" w:eastAsia="Book Antiqua" w:hAnsi="Book Antiqua" w:cs="Book Antiqua"/>
          <w:i/>
          <w:color w:val="000000"/>
        </w:rPr>
        <w:t xml:space="preserve">et </w:t>
      </w:r>
      <w:proofErr w:type="gramStart"/>
      <w:r w:rsidRPr="00F9585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where they suggest that increased serum GP73 contributes to HCC development in a mouse model. The induction of GP73 expression in cell lines transfected by adenovirus, HBV and HCV, and a high-level of GP73 expression in a variety of acute and chronic liver diseases has also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4,29,32,38]</w:t>
      </w:r>
      <w:r>
        <w:rPr>
          <w:rFonts w:ascii="Book Antiqua" w:eastAsia="Book Antiqua" w:hAnsi="Book Antiqua" w:cs="Book Antiqua"/>
          <w:color w:val="000000"/>
        </w:rPr>
        <w:t xml:space="preserve">. Sai </w:t>
      </w:r>
      <w:r w:rsidRPr="00F95859">
        <w:rPr>
          <w:rFonts w:ascii="Book Antiqua" w:eastAsia="Book Antiqua" w:hAnsi="Book Antiqua" w:cs="Book Antiqua"/>
          <w:i/>
          <w:color w:val="000000"/>
        </w:rPr>
        <w:t xml:space="preserve">et </w:t>
      </w:r>
      <w:proofErr w:type="gramStart"/>
      <w:r w:rsidRPr="00F9585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showed a shorter survival in HCC patients with higher GP73 levels than that of patients with low GP73 expression and proposed that an increased GP73 level in liver cancer cells might be associated with cell survival by protecting them from apoptosis. Furthermore, other studies have evaluated the utility of GP73 for monitoring the efficacy of several therapeutic procedures in HCC or disease recurrence such as, the radiofrequency ablation, surgical resection or transcatheter arterial </w:t>
      </w:r>
      <w:proofErr w:type="gramStart"/>
      <w:r>
        <w:rPr>
          <w:rFonts w:ascii="Book Antiqua" w:eastAsia="Book Antiqua" w:hAnsi="Book Antiqua" w:cs="Book Antiqua"/>
          <w:color w:val="000000"/>
        </w:rPr>
        <w:t>chemoembolization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7,40,41]</w:t>
      </w:r>
      <w:r>
        <w:rPr>
          <w:rFonts w:ascii="Book Antiqua" w:eastAsia="Book Antiqua" w:hAnsi="Book Antiqua" w:cs="Book Antiqua"/>
          <w:color w:val="000000"/>
        </w:rPr>
        <w:t xml:space="preserve">. Indeed, </w:t>
      </w:r>
      <w:r w:rsidRPr="001C61B7">
        <w:rPr>
          <w:rFonts w:ascii="Book Antiqua" w:eastAsia="Book Antiqua" w:hAnsi="Book Antiqua" w:cs="Book Antiqua"/>
          <w:color w:val="000000"/>
        </w:rPr>
        <w:t>fu</w:t>
      </w:r>
      <w:r w:rsidR="004F4650" w:rsidRPr="001C61B7">
        <w:rPr>
          <w:rFonts w:ascii="Book Antiqua" w:eastAsia="Book Antiqua" w:hAnsi="Book Antiqua" w:cs="Book Antiqua"/>
          <w:color w:val="000000"/>
        </w:rPr>
        <w:t>r</w:t>
      </w:r>
      <w:r w:rsidRPr="001C61B7">
        <w:rPr>
          <w:rFonts w:ascii="Book Antiqua" w:eastAsia="Book Antiqua" w:hAnsi="Book Antiqua" w:cs="Book Antiqua"/>
          <w:color w:val="000000"/>
        </w:rPr>
        <w:t>ther</w:t>
      </w:r>
      <w:r>
        <w:rPr>
          <w:rFonts w:ascii="Book Antiqua" w:eastAsia="Book Antiqua" w:hAnsi="Book Antiqua" w:cs="Book Antiqua"/>
          <w:color w:val="000000"/>
        </w:rPr>
        <w:t xml:space="preserve"> research is needed to define the diagnostic value of GP73 in cirrhosis, including also patients with non-alcoholic fatty liver disease.</w:t>
      </w:r>
    </w:p>
    <w:p w14:paraId="4EB2EB4A" w14:textId="570FD2A0"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In our patients, we failed to detect any advantage of GP73 in HCC diagnosis over AFP, even when both markers were combined. Moreover, we did not manage to detect any benefit regarding the efficacy of GP73 at early detection of HCC, although GP73 levels were positively associated with BCLC stage and the tumor dimensions. Our findings are in accordance with a recent study from China which showed that AFP remained the best biomarker for the very early diagnosis of HBV-associated HCC, and the combination of one or more markers including GP73 did not significantly improve the diagnostic accuracy for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In this context, multiple studies have investigated the utility of GP73 for detecting HCC with conflicting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13,33,43-47]</w:t>
      </w:r>
      <w:r>
        <w:rPr>
          <w:rFonts w:ascii="Book Antiqua" w:eastAsia="Book Antiqua" w:hAnsi="Book Antiqua" w:cs="Book Antiqua"/>
          <w:color w:val="000000"/>
        </w:rPr>
        <w:t xml:space="preserve">. A recent meta-analysis reviewed the high heterogeneity of the studies with opposing or ambiguous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Of interest, Liu </w:t>
      </w:r>
      <w:r w:rsidRPr="00F95859">
        <w:rPr>
          <w:rFonts w:ascii="Book Antiqua" w:eastAsia="Book Antiqua" w:hAnsi="Book Antiqua" w:cs="Book Antiqua"/>
          <w:i/>
          <w:color w:val="000000"/>
        </w:rPr>
        <w:t xml:space="preserve">et </w:t>
      </w:r>
      <w:proofErr w:type="gramStart"/>
      <w:r w:rsidRPr="00F9585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demonstrated that serum GP73 increased in cirrhotic HCC patients, but not in those without cirrhosis, suggesting that the underlying cirrhosis, but not HCC </w:t>
      </w:r>
      <w:r>
        <w:rPr>
          <w:rFonts w:ascii="Book Antiqua" w:eastAsia="Book Antiqua" w:hAnsi="Book Antiqua" w:cs="Book Antiqua"/>
          <w:i/>
          <w:iCs/>
          <w:color w:val="000000"/>
        </w:rPr>
        <w:t xml:space="preserve">per </w:t>
      </w:r>
      <w:r>
        <w:rPr>
          <w:rFonts w:ascii="Book Antiqua" w:eastAsia="Book Antiqua" w:hAnsi="Book Antiqua" w:cs="Book Antiqua"/>
          <w:color w:val="000000"/>
        </w:rPr>
        <w:t xml:space="preserve">se, was related to the GP73 upregulation. Further support to this assumption raised from another study which showed that serum GP73 did not change </w:t>
      </w:r>
      <w:r>
        <w:rPr>
          <w:rFonts w:ascii="Book Antiqua" w:eastAsia="Book Antiqua" w:hAnsi="Book Antiqua" w:cs="Book Antiqua"/>
          <w:color w:val="000000"/>
        </w:rPr>
        <w:lastRenderedPageBreak/>
        <w:t xml:space="preserve">after tumor resection in contrast to AFP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In support of these findings, we failed to detect any difference before and after HCC development, while GP73 levels in our HCC patients were higher in cirrhotic HCC patients compared to non-cirrhotic. Furthermore, other studies found elevated GP73 levels or protein expression in liver tumor samples from patients with benign liver lesions such as, hepatocellular adenoma, focal nodal hyperplasia and hepatic </w:t>
      </w:r>
      <w:proofErr w:type="gramStart"/>
      <w:r>
        <w:rPr>
          <w:rFonts w:ascii="Book Antiqua" w:eastAsia="Book Antiqua" w:hAnsi="Book Antiqua" w:cs="Book Antiqua"/>
          <w:color w:val="000000"/>
        </w:rPr>
        <w:t>cysts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Taken together, these findings indicate that while GP73 is unlikely to be useful as a specific marker for HCC diagnosis, it may be of significant value to identify patients with cirrhosis and those potentially </w:t>
      </w:r>
      <w:r w:rsidRPr="001C61B7">
        <w:rPr>
          <w:rFonts w:ascii="Book Antiqua" w:eastAsia="Book Antiqua" w:hAnsi="Book Antiqua" w:cs="Book Antiqua"/>
          <w:color w:val="000000"/>
        </w:rPr>
        <w:t>prog</w:t>
      </w:r>
      <w:r w:rsidR="004F4650" w:rsidRPr="001C61B7">
        <w:rPr>
          <w:rFonts w:ascii="Book Antiqua" w:eastAsia="Book Antiqua" w:hAnsi="Book Antiqua" w:cs="Book Antiqua"/>
          <w:color w:val="000000"/>
        </w:rPr>
        <w:t>r</w:t>
      </w:r>
      <w:r w:rsidRPr="001C61B7">
        <w:rPr>
          <w:rFonts w:ascii="Book Antiqua" w:eastAsia="Book Antiqua" w:hAnsi="Book Antiqua" w:cs="Book Antiqua"/>
          <w:color w:val="000000"/>
        </w:rPr>
        <w:t>essing</w:t>
      </w:r>
      <w:r>
        <w:rPr>
          <w:rFonts w:ascii="Book Antiqua" w:eastAsia="Book Antiqua" w:hAnsi="Book Antiqua" w:cs="Book Antiqua"/>
          <w:color w:val="000000"/>
        </w:rPr>
        <w:t xml:space="preserve"> towards HCC.</w:t>
      </w:r>
    </w:p>
    <w:p w14:paraId="40F96347" w14:textId="645A510E"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It is likely that technical issues contribute significantly to the conflicting results reported by various studies, as different detection methods and importantly, different antigens and monoclonal reagents have been used in various studies. Methodological approaches followed in each study may also differ, especially the patient inclusion criteria. Since our results suggest the importance of GP73 in disease progression, differences in the time of specimen collection in relation to the patient’s disease course may also impact the strength of the observed results. Importantly, many studies used healthy subjects as the control group, rather than patients with chronic hepatitis or liver cirrhosis. Discordances between studies may also be due to variant differentiation of HCC cells with different capacity to produce and secrete GP73 protein. In addition, different regulatory mechanisms of GP73 between benign and malignant liver diseases may be </w:t>
      </w:r>
      <w:proofErr w:type="gramStart"/>
      <w:r>
        <w:rPr>
          <w:rFonts w:ascii="Book Antiqua" w:eastAsia="Book Antiqua" w:hAnsi="Book Antiqua" w:cs="Book Antiqua"/>
          <w:color w:val="000000"/>
        </w:rPr>
        <w:t>implicated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Sun </w:t>
      </w:r>
      <w:r w:rsidRPr="00F95859">
        <w:rPr>
          <w:rFonts w:ascii="Book Antiqua" w:eastAsia="Book Antiqua" w:hAnsi="Book Antiqua" w:cs="Book Antiqua"/>
          <w:i/>
          <w:color w:val="000000"/>
        </w:rPr>
        <w:t xml:space="preserve">et </w:t>
      </w:r>
      <w:proofErr w:type="gramStart"/>
      <w:r w:rsidRPr="00F9585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showed that only tissue GP73 protein levels and not serum levels were positively associated with aggressive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of HCC, while Wang </w:t>
      </w:r>
      <w:r w:rsidRPr="00F95859">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and Mao </w:t>
      </w:r>
      <w:r w:rsidRPr="00F95859">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found that serum levels of GP73 in HCC patients were not </w:t>
      </w:r>
      <w:r w:rsidRPr="001C61B7">
        <w:rPr>
          <w:rFonts w:ascii="Book Antiqua" w:eastAsia="Book Antiqua" w:hAnsi="Book Antiqua" w:cs="Book Antiqua"/>
          <w:color w:val="000000"/>
        </w:rPr>
        <w:t>consist</w:t>
      </w:r>
      <w:r w:rsidR="00C169B2">
        <w:rPr>
          <w:rFonts w:ascii="Book Antiqua" w:eastAsia="Book Antiqua" w:hAnsi="Book Antiqua" w:cs="Book Antiqua"/>
          <w:color w:val="000000"/>
        </w:rPr>
        <w:t>e</w:t>
      </w:r>
      <w:r w:rsidRPr="001C61B7">
        <w:rPr>
          <w:rFonts w:ascii="Book Antiqua" w:eastAsia="Book Antiqua" w:hAnsi="Book Antiqua" w:cs="Book Antiqua"/>
          <w:color w:val="000000"/>
        </w:rPr>
        <w:t>n</w:t>
      </w:r>
      <w:r w:rsidR="006C466C" w:rsidRPr="001C61B7">
        <w:rPr>
          <w:rFonts w:ascii="Book Antiqua" w:eastAsia="Book Antiqua" w:hAnsi="Book Antiqua" w:cs="Book Antiqua"/>
          <w:color w:val="000000"/>
        </w:rPr>
        <w:t>t</w:t>
      </w:r>
      <w:r w:rsidRPr="001C61B7">
        <w:rPr>
          <w:rFonts w:ascii="Book Antiqua" w:eastAsia="Book Antiqua" w:hAnsi="Book Antiqua" w:cs="Book Antiqua"/>
          <w:color w:val="000000"/>
        </w:rPr>
        <w:t>ly</w:t>
      </w:r>
      <w:r>
        <w:rPr>
          <w:rFonts w:ascii="Book Antiqua" w:eastAsia="Book Antiqua" w:hAnsi="Book Antiqua" w:cs="Book Antiqua"/>
          <w:color w:val="000000"/>
        </w:rPr>
        <w:t xml:space="preserve"> influenced by tumor size and differentiation. On the other hand, Shan </w:t>
      </w:r>
      <w:r w:rsidRPr="00F95859">
        <w:rPr>
          <w:rFonts w:ascii="Book Antiqua" w:eastAsia="Book Antiqua" w:hAnsi="Book Antiqua" w:cs="Book Antiqua"/>
          <w:i/>
          <w:color w:val="000000"/>
        </w:rPr>
        <w:t xml:space="preserve">et </w:t>
      </w:r>
      <w:proofErr w:type="gramStart"/>
      <w:r w:rsidRPr="00F9585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found that both tissue and serum GP73 levels in HCC patients were lower than that in patients with cirrhosis and negatively associated with tumor size and tumor-node-metastasis stage, while tissue GP73 levels were positively correlated with tumor differentiation. In addition, they observed that serum GP73 levels contribute little to the </w:t>
      </w:r>
      <w:r>
        <w:rPr>
          <w:rFonts w:ascii="Book Antiqua" w:eastAsia="Book Antiqua" w:hAnsi="Book Antiqua" w:cs="Book Antiqua"/>
          <w:color w:val="000000"/>
        </w:rPr>
        <w:lastRenderedPageBreak/>
        <w:t>prognosis of HCC, because the majority of HCC patients are already cirrhotic, resulting in simultaneous secretion of GP73 from both tumorous and cirrhotic tissue.</w:t>
      </w:r>
    </w:p>
    <w:p w14:paraId="354E5CE9" w14:textId="77777777" w:rsidR="00174B86" w:rsidRDefault="00174B86" w:rsidP="00174B86">
      <w:pPr>
        <w:spacing w:line="360" w:lineRule="auto"/>
        <w:jc w:val="both"/>
        <w:rPr>
          <w:rFonts w:ascii="Book Antiqua" w:eastAsia="Book Antiqua" w:hAnsi="Book Antiqua" w:cs="Book Antiqua"/>
          <w:color w:val="000000"/>
        </w:rPr>
      </w:pPr>
    </w:p>
    <w:p w14:paraId="1A4F3701" w14:textId="6BFDEB77" w:rsidR="00174B86" w:rsidRPr="00174B86" w:rsidRDefault="00174B86" w:rsidP="00174B86">
      <w:pPr>
        <w:spacing w:line="360" w:lineRule="auto"/>
        <w:jc w:val="both"/>
        <w:rPr>
          <w:rFonts w:ascii="Book Antiqua" w:eastAsia="Book Antiqua" w:hAnsi="Book Antiqua" w:cs="Book Antiqua"/>
          <w:b/>
          <w:caps/>
          <w:color w:val="000000"/>
          <w:u w:val="single"/>
        </w:rPr>
      </w:pPr>
      <w:r w:rsidRPr="00174B86">
        <w:rPr>
          <w:rFonts w:ascii="Book Antiqua" w:eastAsia="Book Antiqua" w:hAnsi="Book Antiqua" w:cs="Book Antiqua"/>
          <w:b/>
          <w:caps/>
          <w:color w:val="000000"/>
          <w:u w:val="single"/>
        </w:rPr>
        <w:t>conclusion</w:t>
      </w:r>
    </w:p>
    <w:p w14:paraId="3A627C20" w14:textId="77777777" w:rsidR="00A77B3E" w:rsidRDefault="00E76E9F" w:rsidP="00174B86">
      <w:pPr>
        <w:spacing w:line="360" w:lineRule="auto"/>
        <w:jc w:val="both"/>
      </w:pPr>
      <w:r>
        <w:rPr>
          <w:rFonts w:ascii="Book Antiqua" w:eastAsia="Book Antiqua" w:hAnsi="Book Antiqua" w:cs="Book Antiqua"/>
          <w:color w:val="000000"/>
        </w:rPr>
        <w:t>In conclusion, although GP73 does not appear to be a specific marker of HCC, its determination by a low cost, easy to perform, non-invasive blood test method that can be done in any clinical laboratory, appears to offer better diagnostic accuracy than the APRI score for detecting liver cirrhosis in patients with both viral and non-viral chronic liver diseases. Unlike APRI, GP73 is not affected by transaminase levels and very importantly, unlike transient elastography, the assay needs no specialized equipment. This is a critically important point as special equipment may not be available in regions where testing is most needed. Of note, GP73 in combination with APRI score further improved the diagnostic accuracy for diagnosing cirrhosis compared to GP73 or APRI alone. Most importantly however, GP73 proved efficient to predict a worse outcome of patients with chronic liver diseases as attested by the increased risk of progression to decompensated liver disease, HCC development and liver-related mortality. While our results, indicate a potential role of GP73 testing in patient management, future large-scale studies with prospectively collected serum samples will be needed to validate these findings.</w:t>
      </w:r>
    </w:p>
    <w:p w14:paraId="6F40AF97" w14:textId="77777777" w:rsidR="00A77B3E" w:rsidRDefault="00A77B3E">
      <w:pPr>
        <w:spacing w:line="360" w:lineRule="auto"/>
        <w:jc w:val="both"/>
      </w:pPr>
    </w:p>
    <w:p w14:paraId="1F9D1723" w14:textId="77777777" w:rsidR="00A77B3E" w:rsidRDefault="00E76E9F">
      <w:pPr>
        <w:spacing w:line="360" w:lineRule="auto"/>
        <w:jc w:val="both"/>
      </w:pPr>
      <w:r>
        <w:rPr>
          <w:rFonts w:ascii="Book Antiqua" w:eastAsia="Book Antiqua" w:hAnsi="Book Antiqua" w:cs="Book Antiqua"/>
          <w:b/>
          <w:caps/>
          <w:color w:val="000000"/>
          <w:u w:val="single"/>
        </w:rPr>
        <w:t>ARTICLE HIGHLIGHTS</w:t>
      </w:r>
    </w:p>
    <w:p w14:paraId="688D671D" w14:textId="77777777" w:rsidR="00A77B3E" w:rsidRDefault="00E76E9F">
      <w:pPr>
        <w:spacing w:line="360" w:lineRule="auto"/>
        <w:jc w:val="both"/>
      </w:pPr>
      <w:r>
        <w:rPr>
          <w:rFonts w:ascii="Book Antiqua" w:eastAsia="Book Antiqua" w:hAnsi="Book Antiqua" w:cs="Book Antiqua"/>
          <w:b/>
          <w:i/>
          <w:color w:val="000000"/>
        </w:rPr>
        <w:t>Research background</w:t>
      </w:r>
    </w:p>
    <w:p w14:paraId="13B9B5BB" w14:textId="5C94DD65" w:rsidR="00A77B3E" w:rsidRDefault="00E76E9F">
      <w:pPr>
        <w:spacing w:line="360" w:lineRule="auto"/>
        <w:jc w:val="both"/>
      </w:pPr>
      <w:r>
        <w:rPr>
          <w:rFonts w:ascii="Book Antiqua" w:eastAsia="Book Antiqua" w:hAnsi="Book Antiqua" w:cs="Book Antiqua"/>
          <w:color w:val="000000"/>
        </w:rPr>
        <w:t xml:space="preserve">Golgi </w:t>
      </w:r>
      <w:r w:rsidR="00026BDC">
        <w:rPr>
          <w:rFonts w:ascii="Book Antiqua" w:eastAsia="Book Antiqua" w:hAnsi="Book Antiqua" w:cs="Book Antiqua"/>
          <w:color w:val="000000"/>
        </w:rPr>
        <w:t>p</w:t>
      </w:r>
      <w:r>
        <w:rPr>
          <w:rFonts w:ascii="Book Antiqua" w:eastAsia="Book Antiqua" w:hAnsi="Book Antiqua" w:cs="Book Antiqua"/>
          <w:color w:val="000000"/>
        </w:rPr>
        <w:t>rotein-73 (GP73) is a resident Golgi type II transmembrane protein expressed in epithelial cells. Regarding liver, GP73 is expressed mainly in biliary epithelial cells, and to a lesser extent in hepatocytes. Nevertheless, its expression is significantly up-regulated in hepatocytes in patients with liver diseases and particularly in those with hepatocellular carcinoma (HCC).</w:t>
      </w:r>
    </w:p>
    <w:p w14:paraId="567D7384" w14:textId="77777777" w:rsidR="00A77B3E" w:rsidRDefault="00A77B3E">
      <w:pPr>
        <w:spacing w:line="360" w:lineRule="auto"/>
        <w:jc w:val="both"/>
      </w:pPr>
    </w:p>
    <w:p w14:paraId="25C56BB7" w14:textId="77777777" w:rsidR="00A77B3E" w:rsidRDefault="00E76E9F">
      <w:pPr>
        <w:spacing w:line="360" w:lineRule="auto"/>
        <w:jc w:val="both"/>
      </w:pPr>
      <w:r>
        <w:rPr>
          <w:rFonts w:ascii="Book Antiqua" w:eastAsia="Book Antiqua" w:hAnsi="Book Antiqua" w:cs="Book Antiqua"/>
          <w:b/>
          <w:i/>
          <w:color w:val="000000"/>
        </w:rPr>
        <w:t>Research motivation</w:t>
      </w:r>
    </w:p>
    <w:p w14:paraId="21C22060" w14:textId="77777777" w:rsidR="00A77B3E" w:rsidRDefault="00E76E9F">
      <w:pPr>
        <w:spacing w:line="360" w:lineRule="auto"/>
        <w:jc w:val="both"/>
      </w:pPr>
      <w:r>
        <w:rPr>
          <w:rFonts w:ascii="Book Antiqua" w:eastAsia="Book Antiqua" w:hAnsi="Book Antiqua" w:cs="Book Antiqua"/>
          <w:color w:val="000000"/>
        </w:rPr>
        <w:lastRenderedPageBreak/>
        <w:t>Although a considerable number of studies with conflicting results have assessed the importance of GP73 in HCC patients, very few have investigated whether serum GP73 levels can be used as reliable diagnostic markers of liver fibrosis and disease progression from chronic hepatitis to cirrhosis, liver decompensation and HCC development.</w:t>
      </w:r>
    </w:p>
    <w:p w14:paraId="2F60D4FF" w14:textId="77777777" w:rsidR="00A77B3E" w:rsidRDefault="00A77B3E">
      <w:pPr>
        <w:spacing w:line="360" w:lineRule="auto"/>
        <w:jc w:val="both"/>
      </w:pPr>
    </w:p>
    <w:p w14:paraId="30D81779" w14:textId="77777777" w:rsidR="00A77B3E" w:rsidRDefault="00E76E9F">
      <w:pPr>
        <w:spacing w:line="360" w:lineRule="auto"/>
        <w:jc w:val="both"/>
      </w:pPr>
      <w:r>
        <w:rPr>
          <w:rFonts w:ascii="Book Antiqua" w:eastAsia="Book Antiqua" w:hAnsi="Book Antiqua" w:cs="Book Antiqua"/>
          <w:b/>
          <w:i/>
          <w:color w:val="000000"/>
        </w:rPr>
        <w:t>Research objectives</w:t>
      </w:r>
    </w:p>
    <w:p w14:paraId="6D0958D1" w14:textId="77777777" w:rsidR="00A77B3E" w:rsidRDefault="00E76E9F">
      <w:pPr>
        <w:spacing w:line="360" w:lineRule="auto"/>
        <w:jc w:val="both"/>
      </w:pPr>
      <w:r>
        <w:rPr>
          <w:rFonts w:ascii="Book Antiqua" w:eastAsia="Book Antiqua" w:hAnsi="Book Antiqua" w:cs="Book Antiqua"/>
          <w:color w:val="000000"/>
        </w:rPr>
        <w:t>To specifically evaluate GP73 efficacy as a biomarker for detecting cirrhosis and HCC development, and also to assess its performance in predicting liver disease progression.</w:t>
      </w:r>
    </w:p>
    <w:p w14:paraId="1AA13E4B" w14:textId="77777777" w:rsidR="00A77B3E" w:rsidRDefault="00A77B3E">
      <w:pPr>
        <w:spacing w:line="360" w:lineRule="auto"/>
        <w:jc w:val="both"/>
      </w:pPr>
    </w:p>
    <w:p w14:paraId="36DF7A2B" w14:textId="77777777" w:rsidR="00A77B3E" w:rsidRDefault="00E76E9F">
      <w:pPr>
        <w:spacing w:line="360" w:lineRule="auto"/>
        <w:jc w:val="both"/>
      </w:pPr>
      <w:r>
        <w:rPr>
          <w:rFonts w:ascii="Book Antiqua" w:eastAsia="Book Antiqua" w:hAnsi="Book Antiqua" w:cs="Book Antiqua"/>
          <w:b/>
          <w:i/>
          <w:color w:val="000000"/>
        </w:rPr>
        <w:t>Research methods</w:t>
      </w:r>
    </w:p>
    <w:p w14:paraId="365EA2EE" w14:textId="77E47B32" w:rsidR="00A77B3E" w:rsidRDefault="00E76E9F">
      <w:pPr>
        <w:spacing w:line="360" w:lineRule="auto"/>
        <w:jc w:val="both"/>
      </w:pPr>
      <w:r>
        <w:rPr>
          <w:rFonts w:ascii="Book Antiqua" w:eastAsia="Book Antiqua" w:hAnsi="Book Antiqua" w:cs="Book Antiqua"/>
          <w:color w:val="000000"/>
        </w:rPr>
        <w:t xml:space="preserve">Six hundred and thirty-two consecutive patients with chronic viral and non-viral liver diseases who were diagnosed, treated and followed for 50 (57)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two Academic centers in Greece (</w:t>
      </w:r>
      <w:r>
        <w:rPr>
          <w:rFonts w:ascii="Book Antiqua" w:eastAsia="Book Antiqua" w:hAnsi="Book Antiqua" w:cs="Book Antiqua"/>
          <w:i/>
          <w:iCs/>
          <w:color w:val="000000"/>
        </w:rPr>
        <w:t>n</w:t>
      </w:r>
      <w:r>
        <w:rPr>
          <w:rFonts w:ascii="Book Antiqua" w:eastAsia="Book Antiqua" w:hAnsi="Book Antiqua" w:cs="Book Antiqua"/>
          <w:color w:val="000000"/>
        </w:rPr>
        <w:t xml:space="preserve"> = 366) and Hungary (</w:t>
      </w:r>
      <w:r>
        <w:rPr>
          <w:rFonts w:ascii="Book Antiqua" w:eastAsia="Book Antiqua" w:hAnsi="Book Antiqua" w:cs="Book Antiqua"/>
          <w:i/>
          <w:iCs/>
          <w:color w:val="000000"/>
        </w:rPr>
        <w:t>n</w:t>
      </w:r>
      <w:r>
        <w:rPr>
          <w:rFonts w:ascii="Book Antiqua" w:eastAsia="Book Antiqua" w:hAnsi="Book Antiqua" w:cs="Book Antiqua"/>
          <w:color w:val="000000"/>
        </w:rPr>
        <w:t xml:space="preserve"> = 266) were retrospectively investigated for GP73 serum levels by a novel GP73 ELISA. APRI score was also determined in all patients. The development of cirrhosis, decompensation of liver disease and/or HCC development during follow-up were evaluated according to well</w:t>
      </w:r>
      <w:r w:rsidR="006C466C" w:rsidRPr="00C169B2">
        <w:rPr>
          <w:rFonts w:ascii="Book Antiqua" w:eastAsia="Book Antiqua" w:hAnsi="Book Antiqua" w:cs="Book Antiqua"/>
          <w:color w:val="000000"/>
        </w:rPr>
        <w:t>-</w:t>
      </w:r>
      <w:r>
        <w:rPr>
          <w:rFonts w:ascii="Book Antiqua" w:eastAsia="Book Antiqua" w:hAnsi="Book Antiqua" w:cs="Book Antiqua"/>
          <w:color w:val="000000"/>
        </w:rPr>
        <w:t>known international guidelines.</w:t>
      </w:r>
    </w:p>
    <w:p w14:paraId="679D6019" w14:textId="77777777" w:rsidR="00A77B3E" w:rsidRDefault="00A77B3E">
      <w:pPr>
        <w:spacing w:line="360" w:lineRule="auto"/>
        <w:jc w:val="both"/>
      </w:pPr>
    </w:p>
    <w:p w14:paraId="1B7C7E8B" w14:textId="77777777" w:rsidR="00A77B3E" w:rsidRDefault="00E76E9F">
      <w:pPr>
        <w:spacing w:line="360" w:lineRule="auto"/>
        <w:jc w:val="both"/>
      </w:pPr>
      <w:r>
        <w:rPr>
          <w:rFonts w:ascii="Book Antiqua" w:eastAsia="Book Antiqua" w:hAnsi="Book Antiqua" w:cs="Book Antiqua"/>
          <w:b/>
          <w:i/>
          <w:color w:val="000000"/>
        </w:rPr>
        <w:t>Research results</w:t>
      </w:r>
    </w:p>
    <w:p w14:paraId="120F5DB6" w14:textId="77777777" w:rsidR="00A77B3E" w:rsidRDefault="00E76E9F">
      <w:pPr>
        <w:spacing w:line="360" w:lineRule="auto"/>
        <w:jc w:val="both"/>
      </w:pPr>
      <w:r>
        <w:rPr>
          <w:rFonts w:ascii="Book Antiqua" w:eastAsia="Book Antiqua" w:hAnsi="Book Antiqua" w:cs="Book Antiqua"/>
          <w:color w:val="000000"/>
        </w:rPr>
        <w:t>At baseline, 43.8% of patients had high GP73 levels (&gt; 20 units) which were significantly associated with the presence of cirrhosis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decompensated liver disease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HCC presence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advanced stage of HCC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Interestingly, GP73 had higher diagnostic accuracy for detecting cirrhosis [AUC, 95%CI: 0.909 (0.885-0.934)] compared to APRI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Combination of GP73 with APRI improved further the accuracy compared to GP73 or APRI alone. GP73 was significantly higher in HCC patients compared to non-HCC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correlated positively with HCC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tumor dimensions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However, the discriminative ability for detecting HCC was relatively low. Kaplan-Meier analysis showed that the group of patients with compensated cirrhosis at baseline having GP73 values above the cut-off, </w:t>
      </w:r>
      <w:r>
        <w:rPr>
          <w:rFonts w:ascii="Book Antiqua" w:eastAsia="Book Antiqua" w:hAnsi="Book Antiqua" w:cs="Book Antiqua"/>
          <w:color w:val="000000"/>
        </w:rPr>
        <w:lastRenderedPageBreak/>
        <w:t>had significantly higher rates of decompensation, HCC development, and liver-related deaths compared to those with normal levels.</w:t>
      </w:r>
    </w:p>
    <w:p w14:paraId="728ABFF8" w14:textId="77777777" w:rsidR="00A77B3E" w:rsidRDefault="00A77B3E">
      <w:pPr>
        <w:spacing w:line="360" w:lineRule="auto"/>
        <w:jc w:val="both"/>
      </w:pPr>
    </w:p>
    <w:p w14:paraId="4FF3776B" w14:textId="77777777" w:rsidR="00A77B3E" w:rsidRDefault="00E76E9F">
      <w:pPr>
        <w:spacing w:line="360" w:lineRule="auto"/>
        <w:jc w:val="both"/>
      </w:pPr>
      <w:r>
        <w:rPr>
          <w:rFonts w:ascii="Book Antiqua" w:eastAsia="Book Antiqua" w:hAnsi="Book Antiqua" w:cs="Book Antiqua"/>
          <w:b/>
          <w:i/>
          <w:color w:val="000000"/>
        </w:rPr>
        <w:t>Research conclusions</w:t>
      </w:r>
    </w:p>
    <w:p w14:paraId="4A39141E" w14:textId="77777777" w:rsidR="00A77B3E" w:rsidRDefault="00E76E9F">
      <w:pPr>
        <w:spacing w:line="360" w:lineRule="auto"/>
        <w:jc w:val="both"/>
      </w:pPr>
      <w:r>
        <w:rPr>
          <w:rFonts w:ascii="Book Antiqua" w:eastAsia="Book Antiqua" w:hAnsi="Book Antiqua" w:cs="Book Antiqua"/>
          <w:color w:val="000000"/>
        </w:rPr>
        <w:t>Although serum GP73 does not seem to be a specific marker for detecting HCC, we showed that its determination by an easy to perform, non-invasive blood test assay which can be performed in any laboratory, is efficient for detecting liver cirrhosis and superior to APRI score. Most importantly however, GP73 proved promising in predicting a worse outcome of patients with both viral and non-viral liver diseases.</w:t>
      </w:r>
    </w:p>
    <w:p w14:paraId="0AC5B159" w14:textId="77777777" w:rsidR="00A77B3E" w:rsidRDefault="00A77B3E">
      <w:pPr>
        <w:spacing w:line="360" w:lineRule="auto"/>
        <w:jc w:val="both"/>
      </w:pPr>
    </w:p>
    <w:p w14:paraId="5D314CC4" w14:textId="77777777" w:rsidR="00A77B3E" w:rsidRDefault="00E76E9F">
      <w:pPr>
        <w:spacing w:line="360" w:lineRule="auto"/>
        <w:jc w:val="both"/>
      </w:pPr>
      <w:r>
        <w:rPr>
          <w:rFonts w:ascii="Book Antiqua" w:eastAsia="Book Antiqua" w:hAnsi="Book Antiqua" w:cs="Book Antiqua"/>
          <w:b/>
          <w:i/>
          <w:color w:val="000000"/>
        </w:rPr>
        <w:t>Research perspectives</w:t>
      </w:r>
    </w:p>
    <w:p w14:paraId="475AE633" w14:textId="135729B3" w:rsidR="00A77B3E" w:rsidRDefault="00392E56">
      <w:pPr>
        <w:spacing w:line="360" w:lineRule="auto"/>
        <w:jc w:val="both"/>
      </w:pPr>
      <w:r>
        <w:rPr>
          <w:rFonts w:ascii="Book Antiqua" w:eastAsia="Book Antiqua" w:hAnsi="Book Antiqua" w:cs="Book Antiqua"/>
          <w:color w:val="000000"/>
        </w:rPr>
        <w:t xml:space="preserve">As GP73 proved efficient to predict prognosis of patients with chronic liver diseases, GP73 testing </w:t>
      </w:r>
      <w:r w:rsidR="00105288">
        <w:rPr>
          <w:rFonts w:ascii="Book Antiqua" w:eastAsia="Book Antiqua" w:hAnsi="Book Antiqua" w:cs="Book Antiqua"/>
          <w:color w:val="000000"/>
        </w:rPr>
        <w:t xml:space="preserve">by using a simple assay </w:t>
      </w:r>
      <w:r>
        <w:rPr>
          <w:rFonts w:ascii="Book Antiqua" w:eastAsia="Book Antiqua" w:hAnsi="Book Antiqua" w:cs="Book Antiqua"/>
          <w:color w:val="000000"/>
        </w:rPr>
        <w:t xml:space="preserve">could be used </w:t>
      </w:r>
      <w:r w:rsidR="00F645AB">
        <w:rPr>
          <w:rFonts w:ascii="Book Antiqua" w:eastAsia="Book Antiqua" w:hAnsi="Book Antiqua" w:cs="Book Antiqua"/>
          <w:color w:val="000000"/>
        </w:rPr>
        <w:t xml:space="preserve">in clinical practice </w:t>
      </w:r>
      <w:r w:rsidR="00A45FAB">
        <w:rPr>
          <w:rFonts w:ascii="Book Antiqua" w:eastAsia="Book Antiqua" w:hAnsi="Book Antiqua" w:cs="Book Antiqua"/>
          <w:color w:val="000000"/>
        </w:rPr>
        <w:t xml:space="preserve">as an additional and very important </w:t>
      </w:r>
      <w:r w:rsidR="00F645AB">
        <w:rPr>
          <w:rFonts w:ascii="Book Antiqua" w:eastAsia="Book Antiqua" w:hAnsi="Book Antiqua" w:cs="Book Antiqua"/>
          <w:color w:val="000000"/>
        </w:rPr>
        <w:t>tool for the initial evaluation and</w:t>
      </w:r>
      <w:r w:rsidR="00A45FAB">
        <w:rPr>
          <w:rFonts w:ascii="Book Antiqua" w:eastAsia="Book Antiqua" w:hAnsi="Book Antiqua" w:cs="Book Antiqua"/>
          <w:color w:val="000000"/>
        </w:rPr>
        <w:t xml:space="preserve"> follow-up of</w:t>
      </w:r>
      <w:r>
        <w:rPr>
          <w:rFonts w:ascii="Book Antiqua" w:eastAsia="Book Antiqua" w:hAnsi="Book Antiqua" w:cs="Book Antiqua"/>
          <w:color w:val="000000"/>
        </w:rPr>
        <w:t xml:space="preserve"> </w:t>
      </w:r>
      <w:r w:rsidR="00A45FAB">
        <w:rPr>
          <w:rFonts w:ascii="Book Antiqua" w:eastAsia="Book Antiqua" w:hAnsi="Book Antiqua" w:cs="Book Antiqua"/>
          <w:color w:val="000000"/>
        </w:rPr>
        <w:t xml:space="preserve">these </w:t>
      </w:r>
      <w:r>
        <w:rPr>
          <w:rFonts w:ascii="Book Antiqua" w:eastAsia="Book Antiqua" w:hAnsi="Book Antiqua" w:cs="Book Antiqua"/>
          <w:color w:val="000000"/>
        </w:rPr>
        <w:t>patient</w:t>
      </w:r>
      <w:r w:rsidR="00A45FAB">
        <w:rPr>
          <w:rFonts w:ascii="Book Antiqua" w:eastAsia="Book Antiqua" w:hAnsi="Book Antiqua" w:cs="Book Antiqua"/>
          <w:color w:val="000000"/>
        </w:rPr>
        <w:t>s.</w:t>
      </w:r>
      <w:r>
        <w:rPr>
          <w:rFonts w:ascii="Book Antiqua" w:eastAsia="Book Antiqua" w:hAnsi="Book Antiqua" w:cs="Book Antiqua"/>
          <w:color w:val="000000"/>
        </w:rPr>
        <w:t xml:space="preserve"> </w:t>
      </w:r>
      <w:r w:rsidR="00A45FAB">
        <w:rPr>
          <w:rFonts w:ascii="Book Antiqua" w:eastAsia="Book Antiqua" w:hAnsi="Book Antiqua" w:cs="Book Antiqua"/>
          <w:color w:val="000000"/>
        </w:rPr>
        <w:t xml:space="preserve">However, </w:t>
      </w:r>
      <w:r>
        <w:rPr>
          <w:rFonts w:ascii="Book Antiqua" w:eastAsia="Book Antiqua" w:hAnsi="Book Antiqua" w:cs="Book Antiqua"/>
          <w:color w:val="000000"/>
        </w:rPr>
        <w:t xml:space="preserve">future large-scale </w:t>
      </w:r>
      <w:r w:rsidR="00A45FAB">
        <w:rPr>
          <w:rFonts w:ascii="Book Antiqua" w:eastAsia="Book Antiqua" w:hAnsi="Book Antiqua" w:cs="Book Antiqua"/>
          <w:color w:val="000000"/>
        </w:rPr>
        <w:t xml:space="preserve">multicenter </w:t>
      </w:r>
      <w:r>
        <w:rPr>
          <w:rFonts w:ascii="Book Antiqua" w:eastAsia="Book Antiqua" w:hAnsi="Book Antiqua" w:cs="Book Antiqua"/>
          <w:color w:val="000000"/>
        </w:rPr>
        <w:t>studies with prospectively</w:t>
      </w:r>
      <w:r w:rsidR="00F645AB">
        <w:rPr>
          <w:rFonts w:ascii="Book Antiqua" w:eastAsia="Book Antiqua" w:hAnsi="Book Antiqua" w:cs="Book Antiqua"/>
          <w:color w:val="000000"/>
        </w:rPr>
        <w:t xml:space="preserve"> collected serum samples are</w:t>
      </w:r>
      <w:r>
        <w:rPr>
          <w:rFonts w:ascii="Book Antiqua" w:eastAsia="Book Antiqua" w:hAnsi="Book Antiqua" w:cs="Book Antiqua"/>
          <w:color w:val="000000"/>
        </w:rPr>
        <w:t xml:space="preserve"> needed </w:t>
      </w:r>
      <w:r w:rsidR="00F645AB">
        <w:rPr>
          <w:rFonts w:ascii="Book Antiqua" w:eastAsia="Book Antiqua" w:hAnsi="Book Antiqua" w:cs="Book Antiqua"/>
          <w:color w:val="000000"/>
        </w:rPr>
        <w:t xml:space="preserve">in an attempt </w:t>
      </w:r>
      <w:r>
        <w:rPr>
          <w:rFonts w:ascii="Book Antiqua" w:eastAsia="Book Antiqua" w:hAnsi="Book Antiqua" w:cs="Book Antiqua"/>
          <w:color w:val="000000"/>
        </w:rPr>
        <w:t xml:space="preserve">to </w:t>
      </w:r>
      <w:r w:rsidR="00F645AB">
        <w:rPr>
          <w:rFonts w:ascii="Book Antiqua" w:eastAsia="Book Antiqua" w:hAnsi="Book Antiqua" w:cs="Book Antiqua"/>
          <w:color w:val="000000"/>
        </w:rPr>
        <w:t xml:space="preserve">definitely </w:t>
      </w:r>
      <w:r>
        <w:rPr>
          <w:rFonts w:ascii="Book Antiqua" w:eastAsia="Book Antiqua" w:hAnsi="Book Antiqua" w:cs="Book Antiqua"/>
          <w:color w:val="000000"/>
        </w:rPr>
        <w:t>validate our findings.</w:t>
      </w:r>
    </w:p>
    <w:p w14:paraId="053E1B0E" w14:textId="77777777" w:rsidR="00A77B3E" w:rsidRDefault="00A77B3E">
      <w:pPr>
        <w:spacing w:line="360" w:lineRule="auto"/>
        <w:jc w:val="both"/>
      </w:pPr>
    </w:p>
    <w:p w14:paraId="3AA0AA79" w14:textId="77777777" w:rsidR="00A77B3E" w:rsidRDefault="00E76E9F">
      <w:pPr>
        <w:spacing w:line="360" w:lineRule="auto"/>
        <w:jc w:val="both"/>
      </w:pPr>
      <w:r>
        <w:rPr>
          <w:rFonts w:ascii="Book Antiqua" w:eastAsia="Book Antiqua" w:hAnsi="Book Antiqua" w:cs="Book Antiqua"/>
          <w:b/>
          <w:color w:val="000000"/>
        </w:rPr>
        <w:t>REFERENCES</w:t>
      </w:r>
    </w:p>
    <w:p w14:paraId="40B8BB40" w14:textId="435A8165" w:rsidR="00A77B3E" w:rsidRDefault="00E76E9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 xml:space="preserve">European Association for the Study of the Liver. </w:t>
      </w:r>
      <w:r>
        <w:rPr>
          <w:rFonts w:ascii="Book Antiqua" w:eastAsia="Book Antiqua" w:hAnsi="Book Antiqua" w:cs="Book Antiqua"/>
          <w:color w:val="000000"/>
        </w:rPr>
        <w:t xml:space="preserve">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r w:rsidR="004A7C7C">
        <w:rPr>
          <w:rFonts w:ascii="Book Antiqua" w:eastAsia="Book Antiqua" w:hAnsi="Book Antiqua" w:cs="Book Antiqua"/>
          <w:color w:val="000000"/>
        </w:rPr>
        <w:t>]</w:t>
      </w:r>
    </w:p>
    <w:p w14:paraId="09F4512F" w14:textId="13554405" w:rsidR="00A77B3E" w:rsidRDefault="00E76E9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Norman GL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Shums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Liaskos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Bogdanos</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Koukoulis</w:t>
      </w:r>
      <w:proofErr w:type="spellEnd"/>
      <w:r>
        <w:rPr>
          <w:rFonts w:ascii="Book Antiqua" w:eastAsia="Book Antiqua" w:hAnsi="Book Antiqua" w:cs="Book Antiqua"/>
          <w:color w:val="000000"/>
        </w:rPr>
        <w:t xml:space="preserve"> GK,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Cartilage oligomeric matrix protein: A novel non-invasive marker for assessing cirrhosis and risk of hepatocellular carcinoma.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1875-1883 [PMID: 26207169 DOI: 10.4254/wjh.v7.i14.1875</w:t>
      </w:r>
      <w:r w:rsidR="004A7C7C">
        <w:rPr>
          <w:rFonts w:ascii="Book Antiqua" w:eastAsia="Book Antiqua" w:hAnsi="Book Antiqua" w:cs="Book Antiqua"/>
          <w:color w:val="000000"/>
        </w:rPr>
        <w:t>]</w:t>
      </w:r>
    </w:p>
    <w:p w14:paraId="7CDB1DC3" w14:textId="4CF0C5DF" w:rsidR="00A77B3E" w:rsidRDefault="00E76E9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Zachou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Gabeta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Shums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Koukoulis</w:t>
      </w:r>
      <w:proofErr w:type="spellEnd"/>
      <w:r>
        <w:rPr>
          <w:rFonts w:ascii="Book Antiqua" w:eastAsia="Book Antiqua" w:hAnsi="Book Antiqua" w:cs="Book Antiqua"/>
          <w:color w:val="000000"/>
        </w:rPr>
        <w:t xml:space="preserve"> GK, Norman GL,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COMP serum levels: A new non-invasive biomarker of liver fibrosis in patients with chronic viral hepatitis.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83-88 [PMID: 28100410 DOI: 10.1016/j.ejim.2017.01.007</w:t>
      </w:r>
      <w:r w:rsidR="004A7C7C">
        <w:rPr>
          <w:rFonts w:ascii="Book Antiqua" w:eastAsia="Book Antiqua" w:hAnsi="Book Antiqua" w:cs="Book Antiqua"/>
          <w:color w:val="000000"/>
        </w:rPr>
        <w:t>]</w:t>
      </w:r>
    </w:p>
    <w:p w14:paraId="7D11A9B0" w14:textId="0081277F" w:rsidR="00A77B3E" w:rsidRDefault="00E76E9F">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Kladney</w:t>
      </w:r>
      <w:proofErr w:type="spellEnd"/>
      <w:r>
        <w:rPr>
          <w:rFonts w:ascii="Book Antiqua" w:eastAsia="Book Antiqua" w:hAnsi="Book Antiqua" w:cs="Book Antiqua"/>
          <w:b/>
          <w:bCs/>
          <w:color w:val="000000"/>
        </w:rPr>
        <w:t xml:space="preserve"> RD</w:t>
      </w:r>
      <w:r>
        <w:rPr>
          <w:rFonts w:ascii="Book Antiqua" w:eastAsia="Book Antiqua" w:hAnsi="Book Antiqua" w:cs="Book Antiqua"/>
          <w:color w:val="000000"/>
        </w:rPr>
        <w:t xml:space="preserve">, Bulla GA, Guo L, Mason AL, Tollefson AE, Simon DJ, </w:t>
      </w:r>
      <w:proofErr w:type="spellStart"/>
      <w:r>
        <w:rPr>
          <w:rFonts w:ascii="Book Antiqua" w:eastAsia="Book Antiqua" w:hAnsi="Book Antiqua" w:cs="Book Antiqua"/>
          <w:color w:val="000000"/>
        </w:rPr>
        <w:t>Koutoubi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Fimmel</w:t>
      </w:r>
      <w:proofErr w:type="spellEnd"/>
      <w:r>
        <w:rPr>
          <w:rFonts w:ascii="Book Antiqua" w:eastAsia="Book Antiqua" w:hAnsi="Book Antiqua" w:cs="Book Antiqua"/>
          <w:color w:val="000000"/>
        </w:rPr>
        <w:t xml:space="preserve"> CJ. GP73, a novel Golgi-localized protein upregulated by viral infection. </w:t>
      </w:r>
      <w:r>
        <w:rPr>
          <w:rFonts w:ascii="Book Antiqua" w:eastAsia="Book Antiqua" w:hAnsi="Book Antiqua" w:cs="Book Antiqua"/>
          <w:i/>
          <w:iCs/>
          <w:color w:val="000000"/>
        </w:rPr>
        <w:t>Gene</w:t>
      </w:r>
      <w:r>
        <w:rPr>
          <w:rFonts w:ascii="Book Antiqua" w:eastAsia="Book Antiqua" w:hAnsi="Book Antiqua" w:cs="Book Antiqua"/>
          <w:color w:val="000000"/>
        </w:rPr>
        <w:t xml:space="preserve"> 2000; </w:t>
      </w:r>
      <w:r>
        <w:rPr>
          <w:rFonts w:ascii="Book Antiqua" w:eastAsia="Book Antiqua" w:hAnsi="Book Antiqua" w:cs="Book Antiqua"/>
          <w:b/>
          <w:bCs/>
          <w:color w:val="000000"/>
        </w:rPr>
        <w:t>249</w:t>
      </w:r>
      <w:r>
        <w:rPr>
          <w:rFonts w:ascii="Book Antiqua" w:eastAsia="Book Antiqua" w:hAnsi="Book Antiqua" w:cs="Book Antiqua"/>
          <w:color w:val="000000"/>
        </w:rPr>
        <w:t>: 53-65 [PMID: 10831838 DOI: 10.1016/s0378-1119(00)00136-0</w:t>
      </w:r>
      <w:r w:rsidR="004A7C7C">
        <w:rPr>
          <w:rFonts w:ascii="Book Antiqua" w:eastAsia="Book Antiqua" w:hAnsi="Book Antiqua" w:cs="Book Antiqua"/>
          <w:color w:val="000000"/>
        </w:rPr>
        <w:t>]</w:t>
      </w:r>
    </w:p>
    <w:p w14:paraId="29A7BBDA" w14:textId="05F2EBF1" w:rsidR="00A77B3E" w:rsidRDefault="00E76E9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Kim HJ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D, Zhang Y, Peng T, Ma X. Golgi phosphoprotein 2 in physiology and in diseases.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31 [PMID: 22958594 DOI: 10.1186/2045-3701-2-31</w:t>
      </w:r>
      <w:r w:rsidR="004A7C7C">
        <w:rPr>
          <w:rFonts w:ascii="Book Antiqua" w:eastAsia="Book Antiqua" w:hAnsi="Book Antiqua" w:cs="Book Antiqua"/>
          <w:color w:val="000000"/>
        </w:rPr>
        <w:t>]</w:t>
      </w:r>
    </w:p>
    <w:p w14:paraId="22DE57DD" w14:textId="1359CA99" w:rsidR="00A77B3E" w:rsidRDefault="00E76E9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Sun Y</w:t>
      </w:r>
      <w:r>
        <w:rPr>
          <w:rFonts w:ascii="Book Antiqua" w:eastAsia="Book Antiqua" w:hAnsi="Book Antiqua" w:cs="Book Antiqua"/>
          <w:color w:val="000000"/>
        </w:rPr>
        <w:t xml:space="preserve">, Yang H, Mao Y, Xu H, Zhang J, Li G, Lu X, Sang X, Zhao H, Zhong S, Huang J, Zhang H. Increased Golgi protein 73 expression in hepatocellular carcinoma tissue correlates with tumor aggression but not survival.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1207-1212 [PMID: 21443671 DOI: 10.1111/j.1440-1746.2011.06733.x</w:t>
      </w:r>
      <w:r w:rsidR="004A7C7C">
        <w:rPr>
          <w:rFonts w:ascii="Book Antiqua" w:eastAsia="Book Antiqua" w:hAnsi="Book Antiqua" w:cs="Book Antiqua"/>
          <w:color w:val="000000"/>
        </w:rPr>
        <w:t>]</w:t>
      </w:r>
    </w:p>
    <w:p w14:paraId="46DD7F91" w14:textId="726B6969" w:rsidR="00A77B3E" w:rsidRDefault="00E76E9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Mao Y</w:t>
      </w:r>
      <w:r>
        <w:rPr>
          <w:rFonts w:ascii="Book Antiqua" w:eastAsia="Book Antiqua" w:hAnsi="Book Antiqua" w:cs="Book Antiqua"/>
          <w:color w:val="000000"/>
        </w:rPr>
        <w:t xml:space="preserve">, Yang H, Xu H, Lu X, Sang X, Du S, Zhao H, Chen W, Xu Y, Chi T, Yang Z, Cai J, Li H, Chen J, Zhong S, </w:t>
      </w:r>
      <w:proofErr w:type="spellStart"/>
      <w:r>
        <w:rPr>
          <w:rFonts w:ascii="Book Antiqua" w:eastAsia="Book Antiqua" w:hAnsi="Book Antiqua" w:cs="Book Antiqua"/>
          <w:color w:val="000000"/>
        </w:rPr>
        <w:t>Mohanti</w:t>
      </w:r>
      <w:proofErr w:type="spellEnd"/>
      <w:r>
        <w:rPr>
          <w:rFonts w:ascii="Book Antiqua" w:eastAsia="Book Antiqua" w:hAnsi="Book Antiqua" w:cs="Book Antiqua"/>
          <w:color w:val="000000"/>
        </w:rPr>
        <w:t xml:space="preserve"> SR, Lopez-Soler R, Millis JM, Huang J, Zhang H. Golgi protein 73 (GOLPH2) is a valuable serum marker for hepatocellular 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1687-1693 [PMID: 20876776 DOI: 10.1136/gut.2010.214916</w:t>
      </w:r>
      <w:r w:rsidR="004A7C7C">
        <w:rPr>
          <w:rFonts w:ascii="Book Antiqua" w:eastAsia="Book Antiqua" w:hAnsi="Book Antiqua" w:cs="Book Antiqua"/>
          <w:color w:val="000000"/>
        </w:rPr>
        <w:t>]</w:t>
      </w:r>
    </w:p>
    <w:p w14:paraId="3A73C60D" w14:textId="32A8E0F1" w:rsidR="00A77B3E" w:rsidRDefault="00E76E9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Bröker</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Witjes</w:t>
      </w:r>
      <w:proofErr w:type="spellEnd"/>
      <w:r>
        <w:rPr>
          <w:rFonts w:ascii="Book Antiqua" w:eastAsia="Book Antiqua" w:hAnsi="Book Antiqua" w:cs="Book Antiqua"/>
          <w:color w:val="000000"/>
        </w:rPr>
        <w:t xml:space="preserve"> CD, van Vuuren HJ, de Man RA. The predictive value of Golgi protein 73 in differentiating benign from malignant liver tumors.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e100187 [PMID: 25033446 DOI: 10.1371/journal.pone.0100187</w:t>
      </w:r>
      <w:r w:rsidR="004A7C7C">
        <w:rPr>
          <w:rFonts w:ascii="Book Antiqua" w:eastAsia="Book Antiqua" w:hAnsi="Book Antiqua" w:cs="Book Antiqua"/>
          <w:color w:val="000000"/>
        </w:rPr>
        <w:t>]</w:t>
      </w:r>
    </w:p>
    <w:p w14:paraId="0681BB8A" w14:textId="52FD9AB7" w:rsidR="00A77B3E" w:rsidRDefault="00E76E9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Dai M</w:t>
      </w:r>
      <w:r>
        <w:rPr>
          <w:rFonts w:ascii="Book Antiqua" w:eastAsia="Book Antiqua" w:hAnsi="Book Antiqua" w:cs="Book Antiqua"/>
          <w:color w:val="000000"/>
        </w:rPr>
        <w:t xml:space="preserve">, Chen X, Liu X, Peng Z, Meng J, Dai S. Diagnostic Value of the Combination of Golgi Protein 73 and Alpha-Fetoprotein in Hepatocellular Carcinoma: A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e0140067 [PMID: 26441340 DOI: 10.1371/journal.pone.0140067</w:t>
      </w:r>
      <w:r w:rsidR="004A7C7C">
        <w:rPr>
          <w:rFonts w:ascii="Book Antiqua" w:eastAsia="Book Antiqua" w:hAnsi="Book Antiqua" w:cs="Book Antiqua"/>
          <w:color w:val="000000"/>
        </w:rPr>
        <w:t>]</w:t>
      </w:r>
    </w:p>
    <w:p w14:paraId="3A04564E" w14:textId="40FC24C6" w:rsidR="00A77B3E" w:rsidRDefault="00E76E9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Xu Z</w:t>
      </w:r>
      <w:r>
        <w:rPr>
          <w:rFonts w:ascii="Book Antiqua" w:eastAsia="Book Antiqua" w:hAnsi="Book Antiqua" w:cs="Book Antiqua"/>
          <w:color w:val="000000"/>
        </w:rPr>
        <w:t xml:space="preserve">, Pan X, Wei K, Ding H, Wei M, Yang H, Liu Q. Serum Golgi protein 73 levels and liver pathological grading in cases of chronic hepatitis B.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2644-2652 [PMID: 25524053 DOI: 10.3892/mmr.2014.3114</w:t>
      </w:r>
      <w:r w:rsidR="004A7C7C">
        <w:rPr>
          <w:rFonts w:ascii="Book Antiqua" w:eastAsia="Book Antiqua" w:hAnsi="Book Antiqua" w:cs="Book Antiqua"/>
          <w:color w:val="000000"/>
        </w:rPr>
        <w:t>]</w:t>
      </w:r>
    </w:p>
    <w:p w14:paraId="536FB884" w14:textId="531A7E66" w:rsidR="00A77B3E" w:rsidRDefault="00E76E9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Cao Z</w:t>
      </w:r>
      <w:r>
        <w:rPr>
          <w:rFonts w:ascii="Book Antiqua" w:eastAsia="Book Antiqua" w:hAnsi="Book Antiqua" w:cs="Book Antiqua"/>
          <w:color w:val="000000"/>
        </w:rPr>
        <w:t xml:space="preserve">, Li Z, Wang Y, Liu Y, Mo R, Ren P, Chen L, Lu J, Li H, Zhuang Y, Liu Y, Wang X, Zhao G, Tang W, Xiang X, Wang H, Cai W, Liu L, Zhu C, Bao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Assessment of serum Golgi protein 73 as a biomarker for the diagnosis of significant fibrosis in patients with chronic HBV infection.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 Suppl 1</w:t>
      </w:r>
      <w:r>
        <w:rPr>
          <w:rFonts w:ascii="Book Antiqua" w:eastAsia="Book Antiqua" w:hAnsi="Book Antiqua" w:cs="Book Antiqua"/>
          <w:color w:val="000000"/>
        </w:rPr>
        <w:t>: 57-65 [PMID: 29082644 DOI: 10.1111/jvh.12786</w:t>
      </w:r>
      <w:r w:rsidR="004A7C7C">
        <w:rPr>
          <w:rFonts w:ascii="Book Antiqua" w:eastAsia="Book Antiqua" w:hAnsi="Book Antiqua" w:cs="Book Antiqua"/>
          <w:color w:val="000000"/>
        </w:rPr>
        <w:t>]</w:t>
      </w:r>
    </w:p>
    <w:p w14:paraId="0006730E" w14:textId="751DAA24" w:rsidR="00A77B3E" w:rsidRDefault="00E76E9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Cao Z</w:t>
      </w:r>
      <w:r>
        <w:rPr>
          <w:rFonts w:ascii="Book Antiqua" w:eastAsia="Book Antiqua" w:hAnsi="Book Antiqua" w:cs="Book Antiqua"/>
          <w:color w:val="000000"/>
        </w:rPr>
        <w:t xml:space="preserve">, Li Z, Wang H, Liu Y, Xu Y, Mo R, Ren P, Chen L, Lu J, Li H, Zhuang Y, Liu Y, Wang X, Zhao G, Tang W, Xiang X, Cai W, Liu L, Bao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Algorithm of Golgi protein </w:t>
      </w:r>
      <w:r>
        <w:rPr>
          <w:rFonts w:ascii="Book Antiqua" w:eastAsia="Book Antiqua" w:hAnsi="Book Antiqua" w:cs="Book Antiqua"/>
          <w:color w:val="000000"/>
        </w:rPr>
        <w:lastRenderedPageBreak/>
        <w:t xml:space="preserve">73 and liver stiffness accurately diagnoses significant fibrosis in chronic HBV infection.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1612-1621 [PMID: 28772348 DOI: 10.1111/liv.13536</w:t>
      </w:r>
      <w:r w:rsidR="004A7C7C">
        <w:rPr>
          <w:rFonts w:ascii="Book Antiqua" w:eastAsia="Book Antiqua" w:hAnsi="Book Antiqua" w:cs="Book Antiqua"/>
          <w:color w:val="000000"/>
        </w:rPr>
        <w:t>]</w:t>
      </w:r>
    </w:p>
    <w:p w14:paraId="12787E0F" w14:textId="5B79F385" w:rsidR="00A77B3E" w:rsidRDefault="00E76E9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Shan SG</w:t>
      </w:r>
      <w:r>
        <w:rPr>
          <w:rFonts w:ascii="Book Antiqua" w:eastAsia="Book Antiqua" w:hAnsi="Book Antiqua" w:cs="Book Antiqua"/>
          <w:color w:val="000000"/>
        </w:rPr>
        <w:t xml:space="preserve">, Gao YT, Xu YJ, Huang Y, Zhang Q,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DK, Li JB, Wang FM, Jing X, Du Z, Wang YJ. Gradually increased Golgi protein 73 expression in the progression of benign liver diseases to precancerous lesions and hepatocellular carcinoma correlates with prognosis of patients.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1199-1210 [PMID: 23607749 DOI: 10.1111/hepr.12078</w:t>
      </w:r>
      <w:r w:rsidR="004A7C7C">
        <w:rPr>
          <w:rFonts w:ascii="Book Antiqua" w:eastAsia="Book Antiqua" w:hAnsi="Book Antiqua" w:cs="Book Antiqua"/>
          <w:color w:val="000000"/>
        </w:rPr>
        <w:t>]</w:t>
      </w:r>
    </w:p>
    <w:p w14:paraId="3388D21A" w14:textId="0041B020" w:rsidR="00A77B3E" w:rsidRDefault="00E76E9F">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Gatselis</w:t>
      </w:r>
      <w:proofErr w:type="spellEnd"/>
      <w:r>
        <w:rPr>
          <w:rFonts w:ascii="Book Antiqua" w:eastAsia="Book Antiqua" w:hAnsi="Book Antiqua" w:cs="Book Antiqua"/>
          <w:b/>
          <w:bCs/>
          <w:color w:val="000000"/>
        </w:rPr>
        <w:t xml:space="preserve"> NK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Georgiadou</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Tassopoulos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Zachou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Liaskos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Hatzakis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Impact of parietal cell autoantibodies and non-organ-specific autoantibodies on the treatment outcome of patients with hepatitis C virus infection: a pilot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482-487 [PMID: 15641130 DOI: 10.3748/wjg.v11.i4.482</w:t>
      </w:r>
      <w:r w:rsidR="004A7C7C">
        <w:rPr>
          <w:rFonts w:ascii="Book Antiqua" w:eastAsia="Book Antiqua" w:hAnsi="Book Antiqua" w:cs="Book Antiqua"/>
          <w:color w:val="000000"/>
        </w:rPr>
        <w:t>]</w:t>
      </w:r>
    </w:p>
    <w:p w14:paraId="22F10FF9" w14:textId="093F675A" w:rsidR="00A77B3E" w:rsidRDefault="00E76E9F">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Gatselis</w:t>
      </w:r>
      <w:proofErr w:type="spellEnd"/>
      <w:r>
        <w:rPr>
          <w:rFonts w:ascii="Book Antiqua" w:eastAsia="Book Antiqua" w:hAnsi="Book Antiqua" w:cs="Book Antiqua"/>
          <w:b/>
          <w:bCs/>
          <w:color w:val="000000"/>
        </w:rPr>
        <w:t xml:space="preserve"> NK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Rigopoulou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Stefos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Kardasi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Risk factors associated with HCV infection in semi-rural areas of central Greece.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18</w:t>
      </w:r>
      <w:r>
        <w:rPr>
          <w:rFonts w:ascii="Book Antiqua" w:eastAsia="Book Antiqua" w:hAnsi="Book Antiqua" w:cs="Book Antiqua"/>
          <w:color w:val="000000"/>
        </w:rPr>
        <w:t>: 48-55 [PMID: 17223043 DOI: 10.1016/j.ejim.2006.09.008</w:t>
      </w:r>
      <w:r w:rsidR="004A7C7C">
        <w:rPr>
          <w:rFonts w:ascii="Book Antiqua" w:eastAsia="Book Antiqua" w:hAnsi="Book Antiqua" w:cs="Book Antiqua"/>
          <w:color w:val="000000"/>
        </w:rPr>
        <w:t>]</w:t>
      </w:r>
    </w:p>
    <w:p w14:paraId="14FE93A2" w14:textId="3F78D074" w:rsidR="00A77B3E" w:rsidRDefault="00E76E9F">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Stefos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Zachou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Rigopoulou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Hadjichristodoulou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Descriptive epidemiology of chronic hepatitis B by using data from a hepatitis registry in Central Greece.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35-43 [PMID: 19237090 DOI: 10.1016/j.ejim.2008.04.023</w:t>
      </w:r>
      <w:r w:rsidR="004A7C7C">
        <w:rPr>
          <w:rFonts w:ascii="Book Antiqua" w:eastAsia="Book Antiqua" w:hAnsi="Book Antiqua" w:cs="Book Antiqua"/>
          <w:color w:val="000000"/>
        </w:rPr>
        <w:t>]</w:t>
      </w:r>
    </w:p>
    <w:p w14:paraId="05726EF8" w14:textId="27F0FE27" w:rsidR="00A77B3E" w:rsidRDefault="00E76E9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Papatheodoridis</w:t>
      </w:r>
      <w:proofErr w:type="spellEnd"/>
      <w:r>
        <w:rPr>
          <w:rFonts w:ascii="Book Antiqua" w:eastAsia="Book Antiqua" w:hAnsi="Book Antiqua" w:cs="Book Antiqua"/>
          <w:b/>
          <w:bCs/>
          <w:color w:val="000000"/>
        </w:rPr>
        <w:t xml:space="preserve"> GV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Touloumi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Nikolopoulou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Raptopoulou</w:t>
      </w:r>
      <w:proofErr w:type="spellEnd"/>
      <w:r>
        <w:rPr>
          <w:rFonts w:ascii="Book Antiqua" w:eastAsia="Book Antiqua" w:hAnsi="Book Antiqua" w:cs="Book Antiqua"/>
          <w:color w:val="000000"/>
        </w:rPr>
        <w:t xml:space="preserve">-Gigi M, </w:t>
      </w:r>
      <w:proofErr w:type="spellStart"/>
      <w:r>
        <w:rPr>
          <w:rFonts w:ascii="Book Antiqua" w:eastAsia="Book Antiqua" w:hAnsi="Book Antiqua" w:cs="Book Antiqua"/>
          <w:color w:val="000000"/>
        </w:rPr>
        <w:t>Gogos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Vafiadis-Zouboulis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Karamanolis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Chouta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Ilias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Drakoulis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Mimidis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Ketikoglou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Manesis</w:t>
      </w:r>
      <w:proofErr w:type="spellEnd"/>
      <w:r>
        <w:rPr>
          <w:rFonts w:ascii="Book Antiqua" w:eastAsia="Book Antiqua" w:hAnsi="Book Antiqua" w:cs="Book Antiqua"/>
          <w:color w:val="000000"/>
        </w:rPr>
        <w:t xml:space="preserve"> E, Mela M, Hatzis G,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HepNet.Greece</w:t>
      </w:r>
      <w:proofErr w:type="spellEnd"/>
      <w:r>
        <w:rPr>
          <w:rFonts w:ascii="Book Antiqua" w:eastAsia="Book Antiqua" w:hAnsi="Book Antiqua" w:cs="Book Antiqua"/>
          <w:color w:val="000000"/>
        </w:rPr>
        <w:t xml:space="preserve"> Study Group. Hepatocellular carcinoma risk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chronic hepatitis B patients with or without cirrhosis treated with entecavir: </w:t>
      </w:r>
      <w:proofErr w:type="spellStart"/>
      <w:r>
        <w:rPr>
          <w:rFonts w:ascii="Book Antiqua" w:eastAsia="Book Antiqua" w:hAnsi="Book Antiqua" w:cs="Book Antiqua"/>
          <w:color w:val="000000"/>
        </w:rPr>
        <w:t>HepNet.Greece</w:t>
      </w:r>
      <w:proofErr w:type="spellEnd"/>
      <w:r>
        <w:rPr>
          <w:rFonts w:ascii="Book Antiqua" w:eastAsia="Book Antiqua" w:hAnsi="Book Antiqua" w:cs="Book Antiqua"/>
          <w:color w:val="000000"/>
        </w:rPr>
        <w:t xml:space="preserve"> cohort.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120-127 [PMID: 25040685 DOI: 10.1111/jvh.12283</w:t>
      </w:r>
      <w:r w:rsidR="004A7C7C">
        <w:rPr>
          <w:rFonts w:ascii="Book Antiqua" w:eastAsia="Book Antiqua" w:hAnsi="Book Antiqua" w:cs="Book Antiqua"/>
          <w:color w:val="000000"/>
        </w:rPr>
        <w:t>]</w:t>
      </w:r>
    </w:p>
    <w:p w14:paraId="1217CDA7" w14:textId="7E43D5F3" w:rsidR="00A77B3E" w:rsidRDefault="00E76E9F">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Papatheodoridis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Sypsa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Buti M, </w:t>
      </w:r>
      <w:proofErr w:type="spellStart"/>
      <w:r>
        <w:rPr>
          <w:rFonts w:ascii="Book Antiqua" w:eastAsia="Book Antiqua" w:hAnsi="Book Antiqua" w:cs="Book Antiqua"/>
          <w:color w:val="000000"/>
        </w:rPr>
        <w:t>Goulis</w:t>
      </w:r>
      <w:proofErr w:type="spellEnd"/>
      <w:r>
        <w:rPr>
          <w:rFonts w:ascii="Book Antiqua" w:eastAsia="Book Antiqua" w:hAnsi="Book Antiqua" w:cs="Book Antiqua"/>
          <w:color w:val="000000"/>
        </w:rPr>
        <w:t xml:space="preserve"> J, Calleja JL, Chi H,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Mangia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Keskin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Savvidou</w:t>
      </w:r>
      <w:proofErr w:type="spellEnd"/>
      <w:r>
        <w:rPr>
          <w:rFonts w:ascii="Book Antiqua" w:eastAsia="Book Antiqua" w:hAnsi="Book Antiqua" w:cs="Book Antiqua"/>
          <w:color w:val="000000"/>
        </w:rPr>
        <w:t xml:space="preserve"> S, de la Revilla J, Hansen BE, </w:t>
      </w:r>
      <w:proofErr w:type="spellStart"/>
      <w:r>
        <w:rPr>
          <w:rFonts w:ascii="Book Antiqua" w:eastAsia="Book Antiqua" w:hAnsi="Book Antiqua" w:cs="Book Antiqua"/>
          <w:color w:val="000000"/>
        </w:rPr>
        <w:t>Vlachogiannakos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Galanis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R, Colombo M, Esteban R, Janssen HL,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PAGE-B predicts the risk of developing hepatocellular carcinoma in </w:t>
      </w:r>
      <w:r>
        <w:rPr>
          <w:rFonts w:ascii="Book Antiqua" w:eastAsia="Book Antiqua" w:hAnsi="Book Antiqua" w:cs="Book Antiqua"/>
          <w:color w:val="000000"/>
        </w:rPr>
        <w:lastRenderedPageBreak/>
        <w:t xml:space="preserve">Caucasians with chronic hepatitis B on 5-year antiviral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800-806 [PMID: 26678008 DOI: 10.1016/j.jhep.2015.11.035</w:t>
      </w:r>
      <w:r w:rsidR="004A7C7C">
        <w:rPr>
          <w:rFonts w:ascii="Book Antiqua" w:eastAsia="Book Antiqua" w:hAnsi="Book Antiqua" w:cs="Book Antiqua"/>
          <w:color w:val="000000"/>
        </w:rPr>
        <w:t>]</w:t>
      </w:r>
    </w:p>
    <w:p w14:paraId="363943EE" w14:textId="7577323C" w:rsidR="00A77B3E" w:rsidRDefault="00E76E9F">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Papatheodoridis</w:t>
      </w:r>
      <w:proofErr w:type="spellEnd"/>
      <w:r>
        <w:rPr>
          <w:rFonts w:ascii="Book Antiqua" w:eastAsia="Book Antiqua" w:hAnsi="Book Antiqua" w:cs="Book Antiqua"/>
          <w:b/>
          <w:bCs/>
          <w:color w:val="000000"/>
        </w:rPr>
        <w:t xml:space="preserve"> GV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Sypsa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Van </w:t>
      </w:r>
      <w:proofErr w:type="spellStart"/>
      <w:r>
        <w:rPr>
          <w:rFonts w:ascii="Book Antiqua" w:eastAsia="Book Antiqua" w:hAnsi="Book Antiqua" w:cs="Book Antiqua"/>
          <w:color w:val="000000"/>
        </w:rPr>
        <w:t>Boemmel</w:t>
      </w:r>
      <w:proofErr w:type="spellEnd"/>
      <w:r>
        <w:rPr>
          <w:rFonts w:ascii="Book Antiqua" w:eastAsia="Book Antiqua" w:hAnsi="Book Antiqua" w:cs="Book Antiqua"/>
          <w:color w:val="000000"/>
        </w:rPr>
        <w:t xml:space="preserve"> F, Buti M, Calleja JL, Chi H, </w:t>
      </w:r>
      <w:proofErr w:type="spellStart"/>
      <w:r>
        <w:rPr>
          <w:rFonts w:ascii="Book Antiqua" w:eastAsia="Book Antiqua" w:hAnsi="Book Antiqua" w:cs="Book Antiqua"/>
          <w:color w:val="000000"/>
        </w:rPr>
        <w:t>Goulis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Loglio</w:t>
      </w:r>
      <w:proofErr w:type="spellEnd"/>
      <w:r>
        <w:rPr>
          <w:rFonts w:ascii="Book Antiqua" w:eastAsia="Book Antiqua" w:hAnsi="Book Antiqua" w:cs="Book Antiqua"/>
          <w:color w:val="000000"/>
        </w:rPr>
        <w:t xml:space="preserve"> A, Voulgaris T,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Keskin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Veelken</w:t>
      </w:r>
      <w:proofErr w:type="spellEnd"/>
      <w:r>
        <w:rPr>
          <w:rFonts w:ascii="Book Antiqua" w:eastAsia="Book Antiqua" w:hAnsi="Book Antiqua" w:cs="Book Antiqua"/>
          <w:color w:val="000000"/>
        </w:rPr>
        <w:t xml:space="preserve"> R, Lopez-Gomez M, Hansen BE, </w:t>
      </w:r>
      <w:proofErr w:type="spellStart"/>
      <w:r>
        <w:rPr>
          <w:rFonts w:ascii="Book Antiqua" w:eastAsia="Book Antiqua" w:hAnsi="Book Antiqua" w:cs="Book Antiqua"/>
          <w:color w:val="000000"/>
        </w:rPr>
        <w:t>Savvidou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Kourikou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Vlachogiannakos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Galanis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R, Esteban R, Janssen HLA, Berg T,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Hepatocellular carcinoma prediction beyond year 5 of oral therapy in a large cohort of Caucasian patients with chronic hepatitis B.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1088-1096 [PMID: 31981727 DOI: 10.1016/j.jhep.2020.01.007</w:t>
      </w:r>
      <w:r w:rsidR="004A7C7C">
        <w:rPr>
          <w:rFonts w:ascii="Book Antiqua" w:eastAsia="Book Antiqua" w:hAnsi="Book Antiqua" w:cs="Book Antiqua"/>
          <w:color w:val="000000"/>
        </w:rPr>
        <w:t>]</w:t>
      </w:r>
    </w:p>
    <w:p w14:paraId="4DEFC725" w14:textId="3F77AB93" w:rsidR="00A77B3E" w:rsidRDefault="00E76E9F">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Boozari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Potthoff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Mederacke</w:t>
      </w:r>
      <w:proofErr w:type="spellEnd"/>
      <w:r>
        <w:rPr>
          <w:rFonts w:ascii="Book Antiqua" w:eastAsia="Book Antiqua" w:hAnsi="Book Antiqua" w:cs="Book Antiqua"/>
          <w:color w:val="000000"/>
        </w:rPr>
        <w:t xml:space="preserve"> I, Hahn A, </w:t>
      </w:r>
      <w:proofErr w:type="spellStart"/>
      <w:r>
        <w:rPr>
          <w:rFonts w:ascii="Book Antiqua" w:eastAsia="Book Antiqua" w:hAnsi="Book Antiqua" w:cs="Book Antiqua"/>
          <w:color w:val="000000"/>
        </w:rPr>
        <w:t>Reising</w:t>
      </w:r>
      <w:proofErr w:type="spellEnd"/>
      <w:r>
        <w:rPr>
          <w:rFonts w:ascii="Book Antiqua" w:eastAsia="Book Antiqua" w:hAnsi="Book Antiqua" w:cs="Book Antiqua"/>
          <w:color w:val="000000"/>
        </w:rPr>
        <w:t xml:space="preserve"> A, Rifai K,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Bahr M, </w:t>
      </w:r>
      <w:proofErr w:type="spellStart"/>
      <w:r>
        <w:rPr>
          <w:rFonts w:ascii="Book Antiqua" w:eastAsia="Book Antiqua" w:hAnsi="Book Antiqua" w:cs="Book Antiqua"/>
          <w:color w:val="000000"/>
        </w:rPr>
        <w:t>Kubicka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 Gebel M. Evaluation of sound speed for detection of liver fibrosis: prospective comparison with transient dynamic elastography and histology.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1581-1588 [PMID: 20966469 DOI: 10.7863/jum.2010.29.11.1581</w:t>
      </w:r>
      <w:r w:rsidR="004A7C7C">
        <w:rPr>
          <w:rFonts w:ascii="Book Antiqua" w:eastAsia="Book Antiqua" w:hAnsi="Book Antiqua" w:cs="Book Antiqua"/>
          <w:color w:val="000000"/>
        </w:rPr>
        <w:t>]</w:t>
      </w:r>
    </w:p>
    <w:p w14:paraId="02B7AD70" w14:textId="68FA0992" w:rsidR="00A77B3E" w:rsidRDefault="00E76E9F">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Heimbach</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Kulik LM, Finn RS,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Roberts LR, Zhu AX, Murad MH, Marrero JA. AASLD guidelines for the treatment of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358-380 [PMID: 28130846 DOI: 10.1002/hep.29086</w:t>
      </w:r>
      <w:r w:rsidR="004A7C7C">
        <w:rPr>
          <w:rFonts w:ascii="Book Antiqua" w:eastAsia="Book Antiqua" w:hAnsi="Book Antiqua" w:cs="Book Antiqua"/>
          <w:color w:val="000000"/>
        </w:rPr>
        <w:t>]</w:t>
      </w:r>
    </w:p>
    <w:p w14:paraId="5B8550BE" w14:textId="5D6089C0" w:rsidR="00A77B3E" w:rsidRDefault="00E76E9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Brú</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Prognosis of hepatocellular carcinoma: the BCLC staging classification.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1999; </w:t>
      </w:r>
      <w:r>
        <w:rPr>
          <w:rFonts w:ascii="Book Antiqua" w:eastAsia="Book Antiqua" w:hAnsi="Book Antiqua" w:cs="Book Antiqua"/>
          <w:b/>
          <w:bCs/>
          <w:color w:val="000000"/>
        </w:rPr>
        <w:t>19</w:t>
      </w:r>
      <w:r>
        <w:rPr>
          <w:rFonts w:ascii="Book Antiqua" w:eastAsia="Book Antiqua" w:hAnsi="Book Antiqua" w:cs="Book Antiqua"/>
          <w:color w:val="000000"/>
        </w:rPr>
        <w:t>: 329-338 [PMID: 10518312 DOI: 10.1055/s-2007-1007122</w:t>
      </w:r>
      <w:r w:rsidR="004A7C7C">
        <w:rPr>
          <w:rFonts w:ascii="Book Antiqua" w:eastAsia="Book Antiqua" w:hAnsi="Book Antiqua" w:cs="Book Antiqua"/>
          <w:color w:val="000000"/>
        </w:rPr>
        <w:t>]</w:t>
      </w:r>
    </w:p>
    <w:p w14:paraId="24776590" w14:textId="74F1F955" w:rsidR="00A77B3E" w:rsidRDefault="00E76E9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Wai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Greenson</w:t>
      </w:r>
      <w:proofErr w:type="spellEnd"/>
      <w:r>
        <w:rPr>
          <w:rFonts w:ascii="Book Antiqua" w:eastAsia="Book Antiqua" w:hAnsi="Book Antiqua" w:cs="Book Antiqua"/>
          <w:color w:val="000000"/>
        </w:rPr>
        <w:t xml:space="preserve"> JK, Fontana RJ, </w:t>
      </w:r>
      <w:proofErr w:type="spellStart"/>
      <w:r>
        <w:rPr>
          <w:rFonts w:ascii="Book Antiqua" w:eastAsia="Book Antiqua" w:hAnsi="Book Antiqua" w:cs="Book Antiqua"/>
          <w:color w:val="000000"/>
        </w:rPr>
        <w:t>Kalbfleisch</w:t>
      </w:r>
      <w:proofErr w:type="spellEnd"/>
      <w:r>
        <w:rPr>
          <w:rFonts w:ascii="Book Antiqua" w:eastAsia="Book Antiqua" w:hAnsi="Book Antiqua" w:cs="Book Antiqua"/>
          <w:color w:val="000000"/>
        </w:rPr>
        <w:t xml:space="preserve"> JD, Marrero JA, </w:t>
      </w:r>
      <w:proofErr w:type="spellStart"/>
      <w:r>
        <w:rPr>
          <w:rFonts w:ascii="Book Antiqua" w:eastAsia="Book Antiqua" w:hAnsi="Book Antiqua" w:cs="Book Antiqua"/>
          <w:color w:val="000000"/>
        </w:rPr>
        <w:t>Conjeevaram</w:t>
      </w:r>
      <w:proofErr w:type="spellEnd"/>
      <w:r>
        <w:rPr>
          <w:rFonts w:ascii="Book Antiqua" w:eastAsia="Book Antiqua" w:hAnsi="Book Antiqua" w:cs="Book Antiqua"/>
          <w:color w:val="000000"/>
        </w:rPr>
        <w:t xml:space="preserve"> HS, Lok AS. A simple noninvasive index can predict both significant fibrosis and cirrhosis in patients with chronic hepatitis 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518-526 [PMID: 12883497 DOI: 10.1053/jhep.2003.50346</w:t>
      </w:r>
      <w:r w:rsidR="004A7C7C">
        <w:rPr>
          <w:rFonts w:ascii="Book Antiqua" w:eastAsia="Book Antiqua" w:hAnsi="Book Antiqua" w:cs="Book Antiqua"/>
          <w:color w:val="000000"/>
        </w:rPr>
        <w:t>]</w:t>
      </w:r>
    </w:p>
    <w:p w14:paraId="13801C4F" w14:textId="77777777" w:rsidR="00A77B3E" w:rsidRDefault="00E76E9F">
      <w:pPr>
        <w:spacing w:line="360" w:lineRule="auto"/>
        <w:jc w:val="both"/>
      </w:pPr>
      <w:r w:rsidRPr="00BD32BE">
        <w:rPr>
          <w:rFonts w:ascii="Book Antiqua" w:eastAsia="Book Antiqua" w:hAnsi="Book Antiqua" w:cs="Book Antiqua"/>
          <w:color w:val="000000"/>
        </w:rPr>
        <w:t xml:space="preserve">24 </w:t>
      </w:r>
      <w:r w:rsidRPr="00BD32BE">
        <w:rPr>
          <w:rFonts w:ascii="Book Antiqua" w:eastAsia="Book Antiqua" w:hAnsi="Book Antiqua" w:cs="Book Antiqua"/>
          <w:b/>
          <w:bCs/>
          <w:color w:val="000000"/>
        </w:rPr>
        <w:t>Wright LM</w:t>
      </w:r>
      <w:r w:rsidRPr="00BD32BE">
        <w:rPr>
          <w:rFonts w:ascii="Book Antiqua" w:eastAsia="Book Antiqua" w:hAnsi="Book Antiqua" w:cs="Book Antiqua"/>
          <w:color w:val="000000"/>
        </w:rPr>
        <w:t xml:space="preserve">, Yong S, </w:t>
      </w:r>
      <w:proofErr w:type="spellStart"/>
      <w:r w:rsidRPr="00BD32BE">
        <w:rPr>
          <w:rFonts w:ascii="Book Antiqua" w:eastAsia="Book Antiqua" w:hAnsi="Book Antiqua" w:cs="Book Antiqua"/>
          <w:color w:val="000000"/>
        </w:rPr>
        <w:t>Picken</w:t>
      </w:r>
      <w:proofErr w:type="spellEnd"/>
      <w:r w:rsidRPr="00BD32BE">
        <w:rPr>
          <w:rFonts w:ascii="Book Antiqua" w:eastAsia="Book Antiqua" w:hAnsi="Book Antiqua" w:cs="Book Antiqua"/>
          <w:color w:val="000000"/>
        </w:rPr>
        <w:t xml:space="preserve"> MM, </w:t>
      </w:r>
      <w:proofErr w:type="spellStart"/>
      <w:r w:rsidRPr="00BD32BE">
        <w:rPr>
          <w:rFonts w:ascii="Book Antiqua" w:eastAsia="Book Antiqua" w:hAnsi="Book Antiqua" w:cs="Book Antiqua"/>
          <w:color w:val="000000"/>
        </w:rPr>
        <w:t>Rockey</w:t>
      </w:r>
      <w:proofErr w:type="spellEnd"/>
      <w:r w:rsidRPr="00BD32BE">
        <w:rPr>
          <w:rFonts w:ascii="Book Antiqua" w:eastAsia="Book Antiqua" w:hAnsi="Book Antiqua" w:cs="Book Antiqua"/>
          <w:color w:val="000000"/>
        </w:rPr>
        <w:t xml:space="preserve"> D, </w:t>
      </w:r>
      <w:proofErr w:type="spellStart"/>
      <w:r w:rsidRPr="00BD32BE">
        <w:rPr>
          <w:rFonts w:ascii="Book Antiqua" w:eastAsia="Book Antiqua" w:hAnsi="Book Antiqua" w:cs="Book Antiqua"/>
          <w:color w:val="000000"/>
        </w:rPr>
        <w:t>Fimmel</w:t>
      </w:r>
      <w:proofErr w:type="spellEnd"/>
      <w:r w:rsidRPr="00BD32BE">
        <w:rPr>
          <w:rFonts w:ascii="Book Antiqua" w:eastAsia="Book Antiqua" w:hAnsi="Book Antiqua" w:cs="Book Antiqua"/>
          <w:color w:val="000000"/>
        </w:rPr>
        <w:t xml:space="preserve"> CJ. Decreased survival and hepato-renal pathology in mice with C-terminally truncated GP73 (GOLPH2). </w:t>
      </w:r>
      <w:r w:rsidRPr="00BD32BE">
        <w:rPr>
          <w:rFonts w:ascii="Book Antiqua" w:eastAsia="Book Antiqua" w:hAnsi="Book Antiqua" w:cs="Book Antiqua"/>
          <w:i/>
          <w:iCs/>
          <w:color w:val="000000"/>
        </w:rPr>
        <w:t xml:space="preserve">Int J Clin Exp </w:t>
      </w:r>
      <w:proofErr w:type="spellStart"/>
      <w:r w:rsidRPr="00BD32BE">
        <w:rPr>
          <w:rFonts w:ascii="Book Antiqua" w:eastAsia="Book Antiqua" w:hAnsi="Book Antiqua" w:cs="Book Antiqua"/>
          <w:i/>
          <w:iCs/>
          <w:color w:val="000000"/>
        </w:rPr>
        <w:t>Pathol</w:t>
      </w:r>
      <w:proofErr w:type="spellEnd"/>
      <w:r w:rsidRPr="00BD32BE">
        <w:rPr>
          <w:rFonts w:ascii="Book Antiqua" w:eastAsia="Book Antiqua" w:hAnsi="Book Antiqua" w:cs="Book Antiqua"/>
          <w:color w:val="000000"/>
        </w:rPr>
        <w:t xml:space="preserve"> 2009; </w:t>
      </w:r>
      <w:r w:rsidRPr="00BD32BE">
        <w:rPr>
          <w:rFonts w:ascii="Book Antiqua" w:eastAsia="Book Antiqua" w:hAnsi="Book Antiqua" w:cs="Book Antiqua"/>
          <w:b/>
          <w:bCs/>
          <w:color w:val="000000"/>
        </w:rPr>
        <w:t>2</w:t>
      </w:r>
      <w:r w:rsidRPr="00BD32BE">
        <w:rPr>
          <w:rFonts w:ascii="Book Antiqua" w:eastAsia="Book Antiqua" w:hAnsi="Book Antiqua" w:cs="Book Antiqua"/>
          <w:color w:val="000000"/>
        </w:rPr>
        <w:t>: 34-47 [PMID: 18830387]</w:t>
      </w:r>
    </w:p>
    <w:p w14:paraId="34CAB1C1" w14:textId="77777777" w:rsidR="00A77B3E" w:rsidRDefault="00E76E9F">
      <w:pPr>
        <w:spacing w:line="360" w:lineRule="auto"/>
        <w:jc w:val="both"/>
      </w:pPr>
      <w:r w:rsidRPr="004A7C7C">
        <w:rPr>
          <w:rFonts w:ascii="Book Antiqua" w:eastAsia="Book Antiqua" w:hAnsi="Book Antiqua" w:cs="Book Antiqua"/>
          <w:color w:val="000000"/>
        </w:rPr>
        <w:t xml:space="preserve">25 </w:t>
      </w:r>
      <w:r w:rsidRPr="004A7C7C">
        <w:rPr>
          <w:rFonts w:ascii="Book Antiqua" w:eastAsia="Book Antiqua" w:hAnsi="Book Antiqua" w:cs="Book Antiqua"/>
          <w:b/>
          <w:bCs/>
          <w:color w:val="000000"/>
        </w:rPr>
        <w:t>Ba MC</w:t>
      </w:r>
      <w:r w:rsidRPr="004A7C7C">
        <w:rPr>
          <w:rFonts w:ascii="Book Antiqua" w:eastAsia="Book Antiqua" w:hAnsi="Book Antiqua" w:cs="Book Antiqua"/>
          <w:color w:val="000000"/>
        </w:rPr>
        <w:t xml:space="preserve">, Long H, Tang YQ, Cui SZ. GP73 expression and its significance in the diagnosis of hepatocellular carcinoma: a review. </w:t>
      </w:r>
      <w:r w:rsidRPr="004A7C7C">
        <w:rPr>
          <w:rFonts w:ascii="Book Antiqua" w:eastAsia="Book Antiqua" w:hAnsi="Book Antiqua" w:cs="Book Antiqua"/>
          <w:i/>
          <w:iCs/>
          <w:color w:val="000000"/>
        </w:rPr>
        <w:t xml:space="preserve">Int J Clin Exp </w:t>
      </w:r>
      <w:proofErr w:type="spellStart"/>
      <w:r w:rsidRPr="004A7C7C">
        <w:rPr>
          <w:rFonts w:ascii="Book Antiqua" w:eastAsia="Book Antiqua" w:hAnsi="Book Antiqua" w:cs="Book Antiqua"/>
          <w:i/>
          <w:iCs/>
          <w:color w:val="000000"/>
        </w:rPr>
        <w:t>Pathol</w:t>
      </w:r>
      <w:proofErr w:type="spellEnd"/>
      <w:r w:rsidRPr="004A7C7C">
        <w:rPr>
          <w:rFonts w:ascii="Book Antiqua" w:eastAsia="Book Antiqua" w:hAnsi="Book Antiqua" w:cs="Book Antiqua"/>
          <w:color w:val="000000"/>
        </w:rPr>
        <w:t xml:space="preserve"> 2012; </w:t>
      </w:r>
      <w:r w:rsidRPr="004A7C7C">
        <w:rPr>
          <w:rFonts w:ascii="Book Antiqua" w:eastAsia="Book Antiqua" w:hAnsi="Book Antiqua" w:cs="Book Antiqua"/>
          <w:b/>
          <w:bCs/>
          <w:color w:val="000000"/>
        </w:rPr>
        <w:t>5</w:t>
      </w:r>
      <w:r w:rsidRPr="004A7C7C">
        <w:rPr>
          <w:rFonts w:ascii="Book Antiqua" w:eastAsia="Book Antiqua" w:hAnsi="Book Antiqua" w:cs="Book Antiqua"/>
          <w:color w:val="000000"/>
        </w:rPr>
        <w:t>: 874-881 [PMID: 23119104]</w:t>
      </w:r>
    </w:p>
    <w:p w14:paraId="5F1215A6" w14:textId="03771F4F" w:rsidR="00A77B3E" w:rsidRDefault="00E76E9F">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Zhang YL</w:t>
      </w:r>
      <w:r>
        <w:rPr>
          <w:rFonts w:ascii="Book Antiqua" w:eastAsia="Book Antiqua" w:hAnsi="Book Antiqua" w:cs="Book Antiqua"/>
          <w:color w:val="000000"/>
        </w:rPr>
        <w:t xml:space="preserve">, Zhang YC, Han W, Li YM, Wang GN, Yuan S, Wei FX, Wang JF, Jiang JJ, Zhang YW. Effect of GP73 silencing on proliferation and apoptosis in hepatocellular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11287-11296 [PMID: 25170213 DOI: 10.3748/wjg.v20.i32.11287</w:t>
      </w:r>
      <w:r w:rsidR="004A7C7C">
        <w:rPr>
          <w:rFonts w:ascii="Book Antiqua" w:eastAsia="Book Antiqua" w:hAnsi="Book Antiqua" w:cs="Book Antiqua"/>
          <w:color w:val="000000"/>
        </w:rPr>
        <w:t>]</w:t>
      </w:r>
    </w:p>
    <w:p w14:paraId="53D567A8" w14:textId="657C2223" w:rsidR="00A77B3E" w:rsidRDefault="00E76E9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Chen X</w:t>
      </w:r>
      <w:r>
        <w:rPr>
          <w:rFonts w:ascii="Book Antiqua" w:eastAsia="Book Antiqua" w:hAnsi="Book Antiqua" w:cs="Book Antiqua"/>
          <w:color w:val="000000"/>
        </w:rPr>
        <w:t xml:space="preserve">, Wang Y, Tao J, Shi Y, Gai X, Huang F, Ma Q, Zhou Z, Chen H, Zhang H, Liu Z, Sun Q, Peng H, Chen R, Jing Y, Yang H, Mao Y, Zhang H. mTORC1 Up-Regulates GP73 to Promote Proliferation and Migration of Hepatocellular Carcinoma Cells and Growth of Xenograft Tumors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741-52.</w:t>
      </w:r>
      <w:r w:rsidR="004A7C7C">
        <w:rPr>
          <w:rFonts w:ascii="Book Antiqua" w:eastAsia="Book Antiqua" w:hAnsi="Book Antiqua" w:cs="Book Antiqua"/>
          <w:color w:val="000000"/>
        </w:rPr>
        <w:t xml:space="preserve"> </w:t>
      </w:r>
      <w:r>
        <w:rPr>
          <w:rFonts w:ascii="Book Antiqua" w:eastAsia="Book Antiqua" w:hAnsi="Book Antiqua" w:cs="Book Antiqua"/>
          <w:color w:val="000000"/>
        </w:rPr>
        <w:t>e14 [PMID: 25980751 DOI: 10.1053/j.gastro.2015.05.005</w:t>
      </w:r>
      <w:r w:rsidR="004A7C7C">
        <w:rPr>
          <w:rFonts w:ascii="Book Antiqua" w:eastAsia="Book Antiqua" w:hAnsi="Book Antiqua" w:cs="Book Antiqua"/>
          <w:color w:val="000000"/>
        </w:rPr>
        <w:t>]</w:t>
      </w:r>
    </w:p>
    <w:p w14:paraId="3CF67684" w14:textId="54EFF386" w:rsidR="00A77B3E" w:rsidRDefault="00E76E9F">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Tao J, Li D, Wang Y, Li L, Hu Z, Zhou Z, Chang X, Qu C, Zhang H. Golgi protein 73 activation of MMP-13 promotes hepatocellular carcinoma cell invasion.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33523-33533 [PMID: 26378022 DOI: 10.18632/oncotarget.5590</w:t>
      </w:r>
      <w:r w:rsidR="004A7C7C">
        <w:rPr>
          <w:rFonts w:ascii="Book Antiqua" w:eastAsia="Book Antiqua" w:hAnsi="Book Antiqua" w:cs="Book Antiqua"/>
          <w:color w:val="000000"/>
        </w:rPr>
        <w:t>]</w:t>
      </w:r>
    </w:p>
    <w:p w14:paraId="562D81AA" w14:textId="7F124BA5" w:rsidR="00A77B3E" w:rsidRDefault="00E76E9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Jiang K</w:t>
      </w:r>
      <w:r>
        <w:rPr>
          <w:rFonts w:ascii="Book Antiqua" w:eastAsia="Book Antiqua" w:hAnsi="Book Antiqua" w:cs="Book Antiqua"/>
          <w:color w:val="000000"/>
        </w:rPr>
        <w:t xml:space="preserve">, Li W, Zhang Q, Yan G, Guo K, Zhang S, Liu Y. GP73 N-glycosylation at Asn144 reduces hepatocellular carcinoma cell motility and invasiveness.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23530-23541 [PMID: 26993603 DOI: 10.18632/oncotarget.8120</w:t>
      </w:r>
      <w:r w:rsidR="004A7C7C">
        <w:rPr>
          <w:rFonts w:ascii="Book Antiqua" w:eastAsia="Book Antiqua" w:hAnsi="Book Antiqua" w:cs="Book Antiqua"/>
          <w:color w:val="000000"/>
        </w:rPr>
        <w:t>]</w:t>
      </w:r>
    </w:p>
    <w:p w14:paraId="2AD43D30" w14:textId="4EA2E0CE" w:rsidR="00A77B3E" w:rsidRDefault="00E76E9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Liu Y</w:t>
      </w:r>
      <w:r>
        <w:rPr>
          <w:rFonts w:ascii="Book Antiqua" w:eastAsia="Book Antiqua" w:hAnsi="Book Antiqua" w:cs="Book Antiqua"/>
          <w:color w:val="000000"/>
        </w:rPr>
        <w:t xml:space="preserve">, Zhang X, Sun T, Jiang J, Li Y, Chen M, Wei Z, Jiang W, Zhou L. Knockdown of Golgi phosphoprotein 2 inhibits hepatocellular carcinoma cell proliferation and motility.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21404-21415 [PMID: 26870893 DOI: 10.18632/oncotarget.7271</w:t>
      </w:r>
      <w:r w:rsidR="004A7C7C">
        <w:rPr>
          <w:rFonts w:ascii="Book Antiqua" w:eastAsia="Book Antiqua" w:hAnsi="Book Antiqua" w:cs="Book Antiqua"/>
          <w:color w:val="000000"/>
        </w:rPr>
        <w:t>]</w:t>
      </w:r>
    </w:p>
    <w:p w14:paraId="2B3C1987" w14:textId="1D7063FC" w:rsidR="00A77B3E" w:rsidRDefault="00E76E9F">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Kladney</w:t>
      </w:r>
      <w:proofErr w:type="spellEnd"/>
      <w:r>
        <w:rPr>
          <w:rFonts w:ascii="Book Antiqua" w:eastAsia="Book Antiqua" w:hAnsi="Book Antiqua" w:cs="Book Antiqua"/>
          <w:b/>
          <w:bCs/>
          <w:color w:val="000000"/>
        </w:rPr>
        <w:t xml:space="preserve"> RD</w:t>
      </w:r>
      <w:r>
        <w:rPr>
          <w:rFonts w:ascii="Book Antiqua" w:eastAsia="Book Antiqua" w:hAnsi="Book Antiqua" w:cs="Book Antiqua"/>
          <w:color w:val="000000"/>
        </w:rPr>
        <w:t xml:space="preserve">, Cui X, Bulla GA, Brunt EM, </w:t>
      </w:r>
      <w:proofErr w:type="spellStart"/>
      <w:r>
        <w:rPr>
          <w:rFonts w:ascii="Book Antiqua" w:eastAsia="Book Antiqua" w:hAnsi="Book Antiqua" w:cs="Book Antiqua"/>
          <w:color w:val="000000"/>
        </w:rPr>
        <w:t>Fimmel</w:t>
      </w:r>
      <w:proofErr w:type="spellEnd"/>
      <w:r>
        <w:rPr>
          <w:rFonts w:ascii="Book Antiqua" w:eastAsia="Book Antiqua" w:hAnsi="Book Antiqua" w:cs="Book Antiqua"/>
          <w:color w:val="000000"/>
        </w:rPr>
        <w:t xml:space="preserve"> CJ. Expression of GP73, a resident Golgi membrane protein, in viral and </w:t>
      </w:r>
      <w:proofErr w:type="spellStart"/>
      <w:r>
        <w:rPr>
          <w:rFonts w:ascii="Book Antiqua" w:eastAsia="Book Antiqua" w:hAnsi="Book Antiqua" w:cs="Book Antiqua"/>
          <w:color w:val="000000"/>
        </w:rPr>
        <w:t>nonviral</w:t>
      </w:r>
      <w:proofErr w:type="spellEnd"/>
      <w:r>
        <w:rPr>
          <w:rFonts w:ascii="Book Antiqua" w:eastAsia="Book Antiqua" w:hAnsi="Book Antiqua" w:cs="Book Antiqua"/>
          <w:color w:val="000000"/>
        </w:rPr>
        <w:t xml:space="preserve">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35</w:t>
      </w:r>
      <w:r>
        <w:rPr>
          <w:rFonts w:ascii="Book Antiqua" w:eastAsia="Book Antiqua" w:hAnsi="Book Antiqua" w:cs="Book Antiqua"/>
          <w:color w:val="000000"/>
        </w:rPr>
        <w:t>: 1431-1440 [PMID: 12029628 DOI: 10.1053/jhep.2002.32525]</w:t>
      </w:r>
    </w:p>
    <w:p w14:paraId="3BAC27A2" w14:textId="13C0005A" w:rsidR="00A77B3E" w:rsidRDefault="00E76E9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Iftikhar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Kladney</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Havlioglu</w:t>
      </w:r>
      <w:proofErr w:type="spellEnd"/>
      <w:r>
        <w:rPr>
          <w:rFonts w:ascii="Book Antiqua" w:eastAsia="Book Antiqua" w:hAnsi="Book Antiqua" w:cs="Book Antiqua"/>
          <w:color w:val="000000"/>
        </w:rPr>
        <w:t xml:space="preserve"> N, Schmitt-</w:t>
      </w:r>
      <w:proofErr w:type="spellStart"/>
      <w:r>
        <w:rPr>
          <w:rFonts w:ascii="Book Antiqua" w:eastAsia="Book Antiqua" w:hAnsi="Book Antiqua" w:cs="Book Antiqua"/>
          <w:color w:val="000000"/>
        </w:rPr>
        <w:t>Gräff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Gusmirovic</w:t>
      </w:r>
      <w:proofErr w:type="spellEnd"/>
      <w:r>
        <w:rPr>
          <w:rFonts w:ascii="Book Antiqua" w:eastAsia="Book Antiqua" w:hAnsi="Book Antiqua" w:cs="Book Antiqua"/>
          <w:color w:val="000000"/>
        </w:rPr>
        <w:t xml:space="preserve"> I, Solomon H, </w:t>
      </w:r>
      <w:proofErr w:type="spellStart"/>
      <w:r>
        <w:rPr>
          <w:rFonts w:ascii="Book Antiqua" w:eastAsia="Book Antiqua" w:hAnsi="Book Antiqua" w:cs="Book Antiqua"/>
          <w:color w:val="000000"/>
        </w:rPr>
        <w:t>Luxon</w:t>
      </w:r>
      <w:proofErr w:type="spellEnd"/>
      <w:r>
        <w:rPr>
          <w:rFonts w:ascii="Book Antiqua" w:eastAsia="Book Antiqua" w:hAnsi="Book Antiqua" w:cs="Book Antiqua"/>
          <w:color w:val="000000"/>
        </w:rPr>
        <w:t xml:space="preserve"> BA, Bacon BR, </w:t>
      </w:r>
      <w:proofErr w:type="spellStart"/>
      <w:r>
        <w:rPr>
          <w:rFonts w:ascii="Book Antiqua" w:eastAsia="Book Antiqua" w:hAnsi="Book Antiqua" w:cs="Book Antiqua"/>
          <w:color w:val="000000"/>
        </w:rPr>
        <w:t>Fimmel</w:t>
      </w:r>
      <w:proofErr w:type="spellEnd"/>
      <w:r>
        <w:rPr>
          <w:rFonts w:ascii="Book Antiqua" w:eastAsia="Book Antiqua" w:hAnsi="Book Antiqua" w:cs="Book Antiqua"/>
          <w:color w:val="000000"/>
        </w:rPr>
        <w:t xml:space="preserve"> CJ. Disease- and cell-specific expression of GP73 in human liver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99</w:t>
      </w:r>
      <w:r>
        <w:rPr>
          <w:rFonts w:ascii="Book Antiqua" w:eastAsia="Book Antiqua" w:hAnsi="Book Antiqua" w:cs="Book Antiqua"/>
          <w:color w:val="000000"/>
        </w:rPr>
        <w:t>: 1087-1095 [PMID: 15180730 DOI: 10.1111/j.1572-0241.2004.30572.x</w:t>
      </w:r>
      <w:r w:rsidR="004A7C7C">
        <w:rPr>
          <w:rFonts w:ascii="Book Antiqua" w:eastAsia="Book Antiqua" w:hAnsi="Book Antiqua" w:cs="Book Antiqua"/>
          <w:color w:val="000000"/>
        </w:rPr>
        <w:t>]</w:t>
      </w:r>
    </w:p>
    <w:p w14:paraId="567958A7" w14:textId="19570F92" w:rsidR="00A77B3E" w:rsidRDefault="00E76E9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 B</w:t>
      </w:r>
      <w:r>
        <w:rPr>
          <w:rFonts w:ascii="Book Antiqua" w:eastAsia="Book Antiqua" w:hAnsi="Book Antiqua" w:cs="Book Antiqua"/>
          <w:color w:val="000000"/>
        </w:rPr>
        <w:t xml:space="preserve">, Li B, Guo T, Sun Z, Li X, Li X, Chen L, Zhao J, Mao Y. Artificial neural network models for early diagnosis of hepatocellular carcinoma using serum levels of α-fetoprotein, α-fetoprotein-L3, des-γ-carboxy prothrombin, and Golgi protein 73.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80521-80530 [PMID: 29113322 DOI: 10.18632/oncotarget.19298</w:t>
      </w:r>
      <w:r w:rsidR="004A7C7C">
        <w:rPr>
          <w:rFonts w:ascii="Book Antiqua" w:eastAsia="Book Antiqua" w:hAnsi="Book Antiqua" w:cs="Book Antiqua"/>
          <w:color w:val="000000"/>
        </w:rPr>
        <w:t>]</w:t>
      </w:r>
    </w:p>
    <w:p w14:paraId="084AE09A" w14:textId="19D6C042" w:rsidR="00A77B3E" w:rsidRDefault="00E76E9F">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Leroy V</w:t>
      </w:r>
      <w:r>
        <w:rPr>
          <w:rFonts w:ascii="Book Antiqua" w:eastAsia="Book Antiqua" w:hAnsi="Book Antiqua" w:cs="Book Antiqua"/>
          <w:color w:val="000000"/>
        </w:rPr>
        <w:t xml:space="preserve">, Sturm N, Faure P, </w:t>
      </w:r>
      <w:proofErr w:type="spellStart"/>
      <w:r>
        <w:rPr>
          <w:rFonts w:ascii="Book Antiqua" w:eastAsia="Book Antiqua" w:hAnsi="Book Antiqua" w:cs="Book Antiqua"/>
          <w:color w:val="000000"/>
        </w:rPr>
        <w:t>Trocme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Hilleret</w:t>
      </w:r>
      <w:proofErr w:type="spellEnd"/>
      <w:r>
        <w:rPr>
          <w:rFonts w:ascii="Book Antiqua" w:eastAsia="Book Antiqua" w:hAnsi="Book Antiqua" w:cs="Book Antiqua"/>
          <w:color w:val="000000"/>
        </w:rPr>
        <w:t xml:space="preserve"> MN, Morel F, </w:t>
      </w:r>
      <w:proofErr w:type="spellStart"/>
      <w:r>
        <w:rPr>
          <w:rFonts w:ascii="Book Antiqua" w:eastAsia="Book Antiqua" w:hAnsi="Book Antiqua" w:cs="Book Antiqua"/>
          <w:color w:val="000000"/>
        </w:rPr>
        <w:t>Zarski</w:t>
      </w:r>
      <w:proofErr w:type="spellEnd"/>
      <w:r>
        <w:rPr>
          <w:rFonts w:ascii="Book Antiqua" w:eastAsia="Book Antiqua" w:hAnsi="Book Antiqua" w:cs="Book Antiqua"/>
          <w:color w:val="000000"/>
        </w:rPr>
        <w:t xml:space="preserve"> JP. Prospective evaluation of </w:t>
      </w:r>
      <w:proofErr w:type="spellStart"/>
      <w:r>
        <w:rPr>
          <w:rFonts w:ascii="Book Antiqua" w:eastAsia="Book Antiqua" w:hAnsi="Book Antiqua" w:cs="Book Antiqua"/>
          <w:color w:val="000000"/>
        </w:rPr>
        <w:t>FibroTest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FibroMeter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HepaScore</w:t>
      </w:r>
      <w:proofErr w:type="spellEnd"/>
      <w:r>
        <w:rPr>
          <w:rFonts w:ascii="Book Antiqua" w:eastAsia="Book Antiqua" w:hAnsi="Book Antiqua" w:cs="Book Antiqua"/>
          <w:color w:val="000000"/>
        </w:rPr>
        <w:t xml:space="preserve">® for staging liver fibrosis in chronic hepatitis B: comparison with hepatitis C.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28-34 [PMID: 24631902 DOI: 10.1016/j.jhep.2014.02.029]</w:t>
      </w:r>
    </w:p>
    <w:p w14:paraId="3B9736EF" w14:textId="7896FC46" w:rsidR="00A77B3E" w:rsidRDefault="00E76E9F">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Zachou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Gabeta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 Norman GL,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Cartilage oligomeric matrix protein on the spot for liver fibrosis evaluation: Too early or too late?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e48-e49 [PMID: 28502865 DOI: 10.1016/j.ejim.2017.05.003</w:t>
      </w:r>
      <w:r w:rsidR="004A7C7C">
        <w:rPr>
          <w:rFonts w:ascii="Book Antiqua" w:eastAsia="Book Antiqua" w:hAnsi="Book Antiqua" w:cs="Book Antiqua"/>
          <w:color w:val="000000"/>
        </w:rPr>
        <w:t>]</w:t>
      </w:r>
    </w:p>
    <w:p w14:paraId="33233123" w14:textId="16CB4085" w:rsidR="00A77B3E" w:rsidRDefault="00E76E9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Yao M</w:t>
      </w:r>
      <w:r>
        <w:rPr>
          <w:rFonts w:ascii="Book Antiqua" w:eastAsia="Book Antiqua" w:hAnsi="Book Antiqua" w:cs="Book Antiqua"/>
          <w:color w:val="000000"/>
        </w:rPr>
        <w:t xml:space="preserve">, Wang L, Leung PSC, Li Y, Liu S, Wang L, Guo X, Zhou G, Yan Y, Guan G, Chen X, </w:t>
      </w:r>
      <w:proofErr w:type="spellStart"/>
      <w:r>
        <w:rPr>
          <w:rFonts w:ascii="Book Antiqua" w:eastAsia="Book Antiqua" w:hAnsi="Book Antiqua" w:cs="Book Antiqua"/>
          <w:color w:val="000000"/>
        </w:rPr>
        <w:t>Bowlus</w:t>
      </w:r>
      <w:proofErr w:type="spellEnd"/>
      <w:r>
        <w:rPr>
          <w:rFonts w:ascii="Book Antiqua" w:eastAsia="Book Antiqua" w:hAnsi="Book Antiqua" w:cs="Book Antiqua"/>
          <w:color w:val="000000"/>
        </w:rPr>
        <w:t xml:space="preserve"> CL, Liu T, Jia J, Gershwin ME, Ma X, Zhao J, Lu F. The Clinical Significance of GP73 in Immunologically Mediated Chronic Liver Diseases: Experimental Data and Literature Review. </w:t>
      </w:r>
      <w:r>
        <w:rPr>
          <w:rFonts w:ascii="Book Antiqua" w:eastAsia="Book Antiqua" w:hAnsi="Book Antiqua" w:cs="Book Antiqua"/>
          <w:i/>
          <w:iCs/>
          <w:color w:val="000000"/>
        </w:rPr>
        <w:t>Clin Rev Allergy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54</w:t>
      </w:r>
      <w:r>
        <w:rPr>
          <w:rFonts w:ascii="Book Antiqua" w:eastAsia="Book Antiqua" w:hAnsi="Book Antiqua" w:cs="Book Antiqua"/>
          <w:color w:val="000000"/>
        </w:rPr>
        <w:t>: 282-294 [PMID: 29256057 DOI: 10.1007/s12016-017-8655-y</w:t>
      </w:r>
      <w:r w:rsidR="004A7C7C">
        <w:rPr>
          <w:rFonts w:ascii="Book Antiqua" w:eastAsia="Book Antiqua" w:hAnsi="Book Antiqua" w:cs="Book Antiqua"/>
          <w:color w:val="000000"/>
        </w:rPr>
        <w:t>]</w:t>
      </w:r>
    </w:p>
    <w:p w14:paraId="6820DC09" w14:textId="02C0CEE9" w:rsidR="00A77B3E" w:rsidRDefault="00E76E9F">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Wei C</w:t>
      </w:r>
      <w:r>
        <w:rPr>
          <w:rFonts w:ascii="Book Antiqua" w:eastAsia="Book Antiqua" w:hAnsi="Book Antiqua" w:cs="Book Antiqua"/>
          <w:color w:val="000000"/>
        </w:rPr>
        <w:t xml:space="preserve">, Yang X, Liu N,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J, Tai Y, Sun Z, Mei G, Zhou P, Peng Y, Wang C, Zhang X, Zhang P,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Wang Y, Zhang X, Liu X, Zhang Y, Wu F, He X, Zhong H. Tumor Microenvironment Regulation by the Endoplasmic Reticulum Stress Transmission Mediator Golgi Protein 73 in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851-870 [PMID: 30723919 DOI: 10.1002/hep.30549</w:t>
      </w:r>
      <w:r w:rsidR="004A7C7C">
        <w:rPr>
          <w:rFonts w:ascii="Book Antiqua" w:eastAsia="Book Antiqua" w:hAnsi="Book Antiqua" w:cs="Book Antiqua"/>
          <w:color w:val="000000"/>
        </w:rPr>
        <w:t>]</w:t>
      </w:r>
    </w:p>
    <w:p w14:paraId="4FA63AAE" w14:textId="42BF1E9D" w:rsidR="00A77B3E" w:rsidRDefault="00E76E9F">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Hu L</w:t>
      </w:r>
      <w:r>
        <w:rPr>
          <w:rFonts w:ascii="Book Antiqua" w:eastAsia="Book Antiqua" w:hAnsi="Book Antiqua" w:cs="Book Antiqua"/>
          <w:color w:val="000000"/>
        </w:rPr>
        <w:t xml:space="preserve">, Yao W, Wang F, Rong X, Peng T. GP73 is upregulated by hepatitis C virus (HCV) infection and enhances HCV secretion.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e90553 [PMID: 24608522 DOI: 10.1371/journal.pone.0090553</w:t>
      </w:r>
      <w:r w:rsidR="004A7C7C">
        <w:rPr>
          <w:rFonts w:ascii="Book Antiqua" w:eastAsia="Book Antiqua" w:hAnsi="Book Antiqua" w:cs="Book Antiqua"/>
          <w:color w:val="000000"/>
        </w:rPr>
        <w:t>]</w:t>
      </w:r>
    </w:p>
    <w:p w14:paraId="37261741" w14:textId="4135CCE9" w:rsidR="00A77B3E" w:rsidRDefault="00E76E9F">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Sai W</w:t>
      </w:r>
      <w:r>
        <w:rPr>
          <w:rFonts w:ascii="Book Antiqua" w:eastAsia="Book Antiqua" w:hAnsi="Book Antiqua" w:cs="Book Antiqua"/>
          <w:color w:val="000000"/>
        </w:rPr>
        <w:t xml:space="preserve">, Wang L, Zheng W, Yang J, Pan L, Cai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L, Zhang H, Wu W, Yao D. Abnormal Expression of Golgi Protein 73 in Clinical Values and Their Role in HBV-Related Hepatocellular Carcinoma Diagnosis and Prognosis.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i/>
          <w:iCs/>
          <w:color w:val="000000"/>
        </w:rPr>
        <w:t xml:space="preserve"> Mon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e32918 [PMID: 26977166 DOI: 10.5812/hepatmon.32918</w:t>
      </w:r>
      <w:r w:rsidR="004A7C7C">
        <w:rPr>
          <w:rFonts w:ascii="Book Antiqua" w:eastAsia="Book Antiqua" w:hAnsi="Book Antiqua" w:cs="Book Antiqua"/>
          <w:color w:val="000000"/>
        </w:rPr>
        <w:t>]</w:t>
      </w:r>
    </w:p>
    <w:p w14:paraId="4B56DD9F" w14:textId="2ED5A477" w:rsidR="00A77B3E" w:rsidRDefault="00E76E9F">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Wang NY</w:t>
      </w:r>
      <w:r>
        <w:rPr>
          <w:rFonts w:ascii="Book Antiqua" w:eastAsia="Book Antiqua" w:hAnsi="Book Antiqua" w:cs="Book Antiqua"/>
          <w:color w:val="000000"/>
        </w:rPr>
        <w:t xml:space="preserve">, Wang C, Li W, Wang GJ, Cui GZ, He H, Zhao HJ. Prognostic value of serum AFP, AFP-L3, and GP73 in monitoring short-term treatment response and recurrence of hepatocellular carcinoma after radiofrequency ablation.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1539-1544 [PMID: 24641364 DOI: 10.7314/apjcp.2014.15.4.1539</w:t>
      </w:r>
      <w:r w:rsidR="004A7C7C">
        <w:rPr>
          <w:rFonts w:ascii="Book Antiqua" w:eastAsia="Book Antiqua" w:hAnsi="Book Antiqua" w:cs="Book Antiqua"/>
          <w:color w:val="000000"/>
        </w:rPr>
        <w:t>]</w:t>
      </w:r>
    </w:p>
    <w:p w14:paraId="5E8101C3" w14:textId="5D406F62" w:rsidR="00A77B3E" w:rsidRDefault="00E76E9F">
      <w:pPr>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Ai N</w:t>
      </w:r>
      <w:r>
        <w:rPr>
          <w:rFonts w:ascii="Book Antiqua" w:eastAsia="Book Antiqua" w:hAnsi="Book Antiqua" w:cs="Book Antiqua"/>
          <w:color w:val="000000"/>
        </w:rPr>
        <w:t xml:space="preserve">, Liu W, Li ZG, Ji H, Li B, Yang G. High expression of GP73 in primary hepatocellular carcinoma and its function in the assessment of transcatheter arterial chemoembolization.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3953-3958 [PMID: 28943903 DOI: 10.3892/ol.2017.6697</w:t>
      </w:r>
      <w:r w:rsidR="004A7C7C">
        <w:rPr>
          <w:rFonts w:ascii="Book Antiqua" w:eastAsia="Book Antiqua" w:hAnsi="Book Antiqua" w:cs="Book Antiqua"/>
          <w:color w:val="000000"/>
        </w:rPr>
        <w:t>]</w:t>
      </w:r>
    </w:p>
    <w:p w14:paraId="162D905A" w14:textId="2948BB52" w:rsidR="00A77B3E" w:rsidRDefault="00E76E9F">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Wu M</w:t>
      </w:r>
      <w:r>
        <w:rPr>
          <w:rFonts w:ascii="Book Antiqua" w:eastAsia="Book Antiqua" w:hAnsi="Book Antiqua" w:cs="Book Antiqua"/>
          <w:color w:val="000000"/>
        </w:rPr>
        <w:t xml:space="preserve">, Liu Z, Li X, Zhang A, Li N. Dynamic Changes in Serum Markers and Their Utility in the Early Diagnosis of All Stages of Hepatitis B-Associated Hepatocellular Carcinoma.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827-840 [PMID: 32095079 DOI: 10.2147/OTT.S229835</w:t>
      </w:r>
      <w:r w:rsidR="004A7C7C">
        <w:rPr>
          <w:rFonts w:ascii="Book Antiqua" w:eastAsia="Book Antiqua" w:hAnsi="Book Antiqua" w:cs="Book Antiqua"/>
          <w:color w:val="000000"/>
        </w:rPr>
        <w:t>]</w:t>
      </w:r>
    </w:p>
    <w:p w14:paraId="6D077F7F" w14:textId="4F5D7F43" w:rsidR="00A77B3E" w:rsidRDefault="00E76E9F">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Zhou Y</w:t>
      </w:r>
      <w:r>
        <w:rPr>
          <w:rFonts w:ascii="Book Antiqua" w:eastAsia="Book Antiqua" w:hAnsi="Book Antiqua" w:cs="Book Antiqua"/>
          <w:color w:val="000000"/>
        </w:rPr>
        <w:t xml:space="preserve">, Yin X, Ying J, Zhang B. Golgi protein 73 versus alpha-fetoprotein as a biomarker for hepatocellular carcinoma: a diagnostic meta-analysis.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17 [PMID: 22244200 DOI: 10.1186/1471-2407-12-17</w:t>
      </w:r>
      <w:r w:rsidR="004A7C7C">
        <w:rPr>
          <w:rFonts w:ascii="Book Antiqua" w:eastAsia="Book Antiqua" w:hAnsi="Book Antiqua" w:cs="Book Antiqua"/>
          <w:color w:val="000000"/>
        </w:rPr>
        <w:t>]</w:t>
      </w:r>
    </w:p>
    <w:p w14:paraId="53B30AD2" w14:textId="73A9DBE0" w:rsidR="00A77B3E" w:rsidRDefault="00E76E9F">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Witjes</w:t>
      </w:r>
      <w:proofErr w:type="spellEnd"/>
      <w:r>
        <w:rPr>
          <w:rFonts w:ascii="Book Antiqua" w:eastAsia="Book Antiqua" w:hAnsi="Book Antiqua" w:cs="Book Antiqua"/>
          <w:b/>
          <w:bCs/>
          <w:color w:val="000000"/>
        </w:rPr>
        <w:t xml:space="preserve"> CD</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Aalten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Steyerberg</w:t>
      </w:r>
      <w:proofErr w:type="spellEnd"/>
      <w:r>
        <w:rPr>
          <w:rFonts w:ascii="Book Antiqua" w:eastAsia="Book Antiqua" w:hAnsi="Book Antiqua" w:cs="Book Antiqua"/>
          <w:color w:val="000000"/>
        </w:rPr>
        <w:t xml:space="preserve"> EW, </w:t>
      </w:r>
      <w:proofErr w:type="spellStart"/>
      <w:r>
        <w:rPr>
          <w:rFonts w:ascii="Book Antiqua" w:eastAsia="Book Antiqua" w:hAnsi="Book Antiqua" w:cs="Book Antiqua"/>
          <w:color w:val="000000"/>
        </w:rPr>
        <w:t>Borsboom</w:t>
      </w:r>
      <w:proofErr w:type="spellEnd"/>
      <w:r>
        <w:rPr>
          <w:rFonts w:ascii="Book Antiqua" w:eastAsia="Book Antiqua" w:hAnsi="Book Antiqua" w:cs="Book Antiqua"/>
          <w:color w:val="000000"/>
        </w:rPr>
        <w:t xml:space="preserve"> GJ, de Man RA, Verhoef C,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 Recently introduced biomarkers for screening of hepatocellular carcinoma: a systematic review and meta-analysis.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59-64 [PMID: 23519638 DOI: 10.1007/s12072-012-9374-3</w:t>
      </w:r>
      <w:r w:rsidR="004A7C7C">
        <w:rPr>
          <w:rFonts w:ascii="Book Antiqua" w:eastAsia="Book Antiqua" w:hAnsi="Book Antiqua" w:cs="Book Antiqua"/>
          <w:color w:val="000000"/>
        </w:rPr>
        <w:t>]</w:t>
      </w:r>
    </w:p>
    <w:p w14:paraId="16B2F27C" w14:textId="77777777" w:rsidR="00A77B3E" w:rsidRDefault="00E76E9F">
      <w:pPr>
        <w:spacing w:line="360" w:lineRule="auto"/>
        <w:jc w:val="both"/>
      </w:pPr>
      <w:r w:rsidRPr="004A7C7C">
        <w:rPr>
          <w:rFonts w:ascii="Book Antiqua" w:eastAsia="Book Antiqua" w:hAnsi="Book Antiqua" w:cs="Book Antiqua"/>
          <w:color w:val="000000"/>
        </w:rPr>
        <w:t xml:space="preserve">45 </w:t>
      </w:r>
      <w:r w:rsidRPr="004A7C7C">
        <w:rPr>
          <w:rFonts w:ascii="Book Antiqua" w:eastAsia="Book Antiqua" w:hAnsi="Book Antiqua" w:cs="Book Antiqua"/>
          <w:b/>
          <w:bCs/>
          <w:color w:val="000000"/>
        </w:rPr>
        <w:t>Gao G</w:t>
      </w:r>
      <w:r w:rsidRPr="004A7C7C">
        <w:rPr>
          <w:rFonts w:ascii="Book Antiqua" w:eastAsia="Book Antiqua" w:hAnsi="Book Antiqua" w:cs="Book Antiqua"/>
          <w:color w:val="000000"/>
        </w:rPr>
        <w:t xml:space="preserve">, Dong F, Xu X, Hu A, Hu Y. Diagnostic value of serum Golgi protein 73 for HBV-related primary hepatic carcinoma. </w:t>
      </w:r>
      <w:r w:rsidRPr="004A7C7C">
        <w:rPr>
          <w:rFonts w:ascii="Book Antiqua" w:eastAsia="Book Antiqua" w:hAnsi="Book Antiqua" w:cs="Book Antiqua"/>
          <w:i/>
          <w:iCs/>
          <w:color w:val="000000"/>
        </w:rPr>
        <w:t xml:space="preserve">Int J Clin Exp </w:t>
      </w:r>
      <w:proofErr w:type="spellStart"/>
      <w:r w:rsidRPr="004A7C7C">
        <w:rPr>
          <w:rFonts w:ascii="Book Antiqua" w:eastAsia="Book Antiqua" w:hAnsi="Book Antiqua" w:cs="Book Antiqua"/>
          <w:i/>
          <w:iCs/>
          <w:color w:val="000000"/>
        </w:rPr>
        <w:t>Pathol</w:t>
      </w:r>
      <w:proofErr w:type="spellEnd"/>
      <w:r w:rsidRPr="004A7C7C">
        <w:rPr>
          <w:rFonts w:ascii="Book Antiqua" w:eastAsia="Book Antiqua" w:hAnsi="Book Antiqua" w:cs="Book Antiqua"/>
          <w:color w:val="000000"/>
        </w:rPr>
        <w:t xml:space="preserve"> 2015; </w:t>
      </w:r>
      <w:r w:rsidRPr="004A7C7C">
        <w:rPr>
          <w:rFonts w:ascii="Book Antiqua" w:eastAsia="Book Antiqua" w:hAnsi="Book Antiqua" w:cs="Book Antiqua"/>
          <w:b/>
          <w:bCs/>
          <w:color w:val="000000"/>
        </w:rPr>
        <w:t>8</w:t>
      </w:r>
      <w:r w:rsidRPr="004A7C7C">
        <w:rPr>
          <w:rFonts w:ascii="Book Antiqua" w:eastAsia="Book Antiqua" w:hAnsi="Book Antiqua" w:cs="Book Antiqua"/>
          <w:color w:val="000000"/>
        </w:rPr>
        <w:t>: 11379-11385 [PMID: 26617863]</w:t>
      </w:r>
    </w:p>
    <w:p w14:paraId="6A0D2A81" w14:textId="7FAE2A5F" w:rsidR="00A77B3E" w:rsidRDefault="00E76E9F">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Jing JS</w:t>
      </w:r>
      <w:r>
        <w:rPr>
          <w:rFonts w:ascii="Book Antiqua" w:eastAsia="Book Antiqua" w:hAnsi="Book Antiqua" w:cs="Book Antiqua"/>
          <w:color w:val="000000"/>
        </w:rPr>
        <w:t xml:space="preserve">, Ye W, Jiang YK, Ma J, Zhu MQ, Ma JM, Zhou H, Yu LQ, Yang YF, Wang SC. The Value of GPC3 and GP73 in Clinical Diagnosis of Hepatocellular Carcinoma. </w:t>
      </w:r>
      <w:r>
        <w:rPr>
          <w:rFonts w:ascii="Book Antiqua" w:eastAsia="Book Antiqua" w:hAnsi="Book Antiqua" w:cs="Book Antiqua"/>
          <w:i/>
          <w:iCs/>
          <w:color w:val="000000"/>
        </w:rPr>
        <w:t>Clin Lab</w:t>
      </w:r>
      <w:r>
        <w:rPr>
          <w:rFonts w:ascii="Book Antiqua" w:eastAsia="Book Antiqua" w:hAnsi="Book Antiqua" w:cs="Book Antiqua"/>
          <w:color w:val="000000"/>
        </w:rPr>
        <w:t xml:space="preserve"> 2017; </w:t>
      </w:r>
      <w:r>
        <w:rPr>
          <w:rFonts w:ascii="Book Antiqua" w:eastAsia="Book Antiqua" w:hAnsi="Book Antiqua" w:cs="Book Antiqua"/>
          <w:b/>
          <w:bCs/>
          <w:color w:val="000000"/>
        </w:rPr>
        <w:t>63</w:t>
      </w:r>
      <w:r>
        <w:rPr>
          <w:rFonts w:ascii="Book Antiqua" w:eastAsia="Book Antiqua" w:hAnsi="Book Antiqua" w:cs="Book Antiqua"/>
          <w:color w:val="000000"/>
        </w:rPr>
        <w:t>: 1903-1909 [PMID: 29226636 DOI: 10.7754/Clin.Lab.2017.170712</w:t>
      </w:r>
      <w:r w:rsidR="004A7C7C">
        <w:rPr>
          <w:rFonts w:ascii="Book Antiqua" w:eastAsia="Book Antiqua" w:hAnsi="Book Antiqua" w:cs="Book Antiqua"/>
          <w:color w:val="000000"/>
        </w:rPr>
        <w:t>]</w:t>
      </w:r>
    </w:p>
    <w:p w14:paraId="16247E31" w14:textId="2AD29780" w:rsidR="00A77B3E" w:rsidRDefault="00E76E9F">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Chen J, Li X, Wei H, Xiao F, Chang L, Zhang R, Hao X, Wei H. Serum gp73 is also a biomarker for diagnosing cirrhosis in population with chronic HBV infection.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216-222 [PMID: 25168922 DOI: 10.1016/j.clinbiochem.2014.08.010</w:t>
      </w:r>
      <w:r w:rsidR="004A7C7C">
        <w:rPr>
          <w:rFonts w:ascii="Book Antiqua" w:eastAsia="Book Antiqua" w:hAnsi="Book Antiqua" w:cs="Book Antiqua"/>
          <w:color w:val="000000"/>
        </w:rPr>
        <w:t>]</w:t>
      </w:r>
    </w:p>
    <w:p w14:paraId="1109E3C9" w14:textId="771F8507" w:rsidR="00A77B3E" w:rsidRDefault="00E76E9F">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Liu T</w:t>
      </w:r>
      <w:r>
        <w:rPr>
          <w:rFonts w:ascii="Book Antiqua" w:eastAsia="Book Antiqua" w:hAnsi="Book Antiqua" w:cs="Book Antiqua"/>
          <w:color w:val="000000"/>
        </w:rPr>
        <w:t xml:space="preserve">, Yao M, Liu S, Wang L, Wang L, Hou J, Ma X, Jia J, Zhao J, Zhuang H, Lu F. Serum Golgi protein 73 is not a suitable diagnostic marker for hepatocellular carcinoma.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16498-16506 [PMID: 28157705 DOI: 10.18632/oncotarget.14954</w:t>
      </w:r>
      <w:r w:rsidR="004A7C7C">
        <w:rPr>
          <w:rFonts w:ascii="Book Antiqua" w:eastAsia="Book Antiqua" w:hAnsi="Book Antiqua" w:cs="Book Antiqua"/>
          <w:color w:val="000000"/>
        </w:rPr>
        <w:t>]</w:t>
      </w:r>
    </w:p>
    <w:p w14:paraId="3654CC2A" w14:textId="77777777" w:rsidR="00FA35BE" w:rsidRDefault="00E76E9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49 </w:t>
      </w:r>
      <w:r>
        <w:rPr>
          <w:rFonts w:ascii="Book Antiqua" w:eastAsia="Book Antiqua" w:hAnsi="Book Antiqua" w:cs="Book Antiqua"/>
          <w:b/>
          <w:bCs/>
          <w:color w:val="000000"/>
        </w:rPr>
        <w:t>Yamamoto K</w:t>
      </w:r>
      <w:r>
        <w:rPr>
          <w:rFonts w:ascii="Book Antiqua" w:eastAsia="Book Antiqua" w:hAnsi="Book Antiqua" w:cs="Book Antiqua"/>
          <w:color w:val="000000"/>
        </w:rPr>
        <w:t xml:space="preserve">, Imamura H, Matsuyama Y, </w:t>
      </w:r>
      <w:proofErr w:type="spellStart"/>
      <w:r>
        <w:rPr>
          <w:rFonts w:ascii="Book Antiqua" w:eastAsia="Book Antiqua" w:hAnsi="Book Antiqua" w:cs="Book Antiqua"/>
          <w:color w:val="000000"/>
        </w:rPr>
        <w:t>Kume</w:t>
      </w:r>
      <w:proofErr w:type="spellEnd"/>
      <w:r>
        <w:rPr>
          <w:rFonts w:ascii="Book Antiqua" w:eastAsia="Book Antiqua" w:hAnsi="Book Antiqua" w:cs="Book Antiqua"/>
          <w:color w:val="000000"/>
        </w:rPr>
        <w:t xml:space="preserve"> Y, Ikeda H, Norman GL, </w:t>
      </w:r>
      <w:proofErr w:type="spellStart"/>
      <w:r>
        <w:rPr>
          <w:rFonts w:ascii="Book Antiqua" w:eastAsia="Book Antiqua" w:hAnsi="Book Antiqua" w:cs="Book Antiqua"/>
          <w:color w:val="000000"/>
        </w:rPr>
        <w:t>Shums</w:t>
      </w:r>
      <w:proofErr w:type="spellEnd"/>
      <w:r>
        <w:rPr>
          <w:rFonts w:ascii="Book Antiqua" w:eastAsia="Book Antiqua" w:hAnsi="Book Antiqua" w:cs="Book Antiqua"/>
          <w:color w:val="000000"/>
        </w:rPr>
        <w:t xml:space="preserve"> Z, Aoki T, Hasegawa K, Beck Y, Sugawara Y,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AFP, AFP-L3, DCP, and GP73 as </w:t>
      </w:r>
      <w:r>
        <w:rPr>
          <w:rFonts w:ascii="Book Antiqua" w:eastAsia="Book Antiqua" w:hAnsi="Book Antiqua" w:cs="Book Antiqua"/>
          <w:color w:val="000000"/>
        </w:rPr>
        <w:lastRenderedPageBreak/>
        <w:t xml:space="preserve">markers for monitoring treatment response and recurrence and as surrogate markers of clinicopathological variables of HCC.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1272-1282 [PMID: 20625772 DOI: 10.1007/s00535-010-0278-5</w:t>
      </w:r>
      <w:r w:rsidR="004A7C7C">
        <w:rPr>
          <w:rFonts w:ascii="Book Antiqua" w:eastAsia="Book Antiqua" w:hAnsi="Book Antiqua" w:cs="Book Antiqua"/>
          <w:color w:val="000000"/>
        </w:rPr>
        <w:t>]</w:t>
      </w:r>
    </w:p>
    <w:p w14:paraId="3F0C7541" w14:textId="77777777" w:rsidR="00FA35BE" w:rsidRDefault="00FA35BE">
      <w:pPr>
        <w:spacing w:line="360" w:lineRule="auto"/>
        <w:jc w:val="both"/>
        <w:rPr>
          <w:rFonts w:ascii="Book Antiqua" w:eastAsia="Book Antiqua" w:hAnsi="Book Antiqua" w:cs="Book Antiqua"/>
          <w:color w:val="000000"/>
        </w:rPr>
      </w:pPr>
    </w:p>
    <w:p w14:paraId="4C27DD54" w14:textId="77777777" w:rsidR="00FA35BE" w:rsidRDefault="00FA35BE">
      <w:pPr>
        <w:spacing w:line="360" w:lineRule="auto"/>
        <w:jc w:val="both"/>
        <w:rPr>
          <w:rFonts w:ascii="Book Antiqua" w:eastAsia="Book Antiqua" w:hAnsi="Book Antiqua" w:cs="Book Antiqua"/>
          <w:color w:val="000000"/>
        </w:rPr>
      </w:pPr>
    </w:p>
    <w:p w14:paraId="57042C12" w14:textId="5BFB20D8" w:rsidR="00A77B3E" w:rsidRDefault="00E76E9F">
      <w:pPr>
        <w:spacing w:line="360" w:lineRule="auto"/>
        <w:jc w:val="both"/>
      </w:pPr>
      <w:r>
        <w:rPr>
          <w:rFonts w:ascii="Book Antiqua" w:eastAsia="Book Antiqua" w:hAnsi="Book Antiqua" w:cs="Book Antiqua"/>
          <w:b/>
          <w:color w:val="000000"/>
        </w:rPr>
        <w:t>Footnotes</w:t>
      </w:r>
    </w:p>
    <w:p w14:paraId="561B86CE" w14:textId="11E7674F" w:rsidR="00A77B3E" w:rsidRDefault="00E76E9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reviewed and approved </w:t>
      </w:r>
      <w:r w:rsidR="00C169B2">
        <w:rPr>
          <w:rFonts w:ascii="Book Antiqua" w:eastAsia="Book Antiqua" w:hAnsi="Book Antiqua" w:cs="Book Antiqua"/>
          <w:color w:val="000000"/>
        </w:rPr>
        <w:t xml:space="preserve">by the Ethics Committee of the </w:t>
      </w:r>
      <w:r w:rsidR="000360BE">
        <w:rPr>
          <w:rFonts w:ascii="Book Antiqua" w:eastAsia="Book Antiqua" w:hAnsi="Book Antiqua" w:cs="Book Antiqua"/>
          <w:color w:val="000000"/>
        </w:rPr>
        <w:t>two University Hospitals (</w:t>
      </w:r>
      <w:r w:rsidR="00C169B2">
        <w:rPr>
          <w:rFonts w:ascii="Book Antiqua" w:eastAsia="Book Antiqua" w:hAnsi="Book Antiqua" w:cs="Book Antiqua"/>
          <w:color w:val="000000"/>
        </w:rPr>
        <w:t>General Universi</w:t>
      </w:r>
      <w:r w:rsidR="000360BE">
        <w:rPr>
          <w:rFonts w:ascii="Book Antiqua" w:eastAsia="Book Antiqua" w:hAnsi="Book Antiqua" w:cs="Book Antiqua"/>
          <w:color w:val="000000"/>
        </w:rPr>
        <w:t>ty Hospital of Larissa,</w:t>
      </w:r>
      <w:r w:rsidR="00C169B2">
        <w:rPr>
          <w:rFonts w:ascii="Book Antiqua" w:eastAsia="Book Antiqua" w:hAnsi="Book Antiqua" w:cs="Book Antiqua"/>
          <w:color w:val="000000"/>
        </w:rPr>
        <w:t xml:space="preserve"> G</w:t>
      </w:r>
      <w:r w:rsidR="000360BE">
        <w:rPr>
          <w:rFonts w:ascii="Book Antiqua" w:eastAsia="Book Antiqua" w:hAnsi="Book Antiqua" w:cs="Book Antiqua"/>
          <w:color w:val="000000"/>
        </w:rPr>
        <w:t>reece and University Hospital of Debrecen, Hungary).</w:t>
      </w:r>
    </w:p>
    <w:p w14:paraId="790F659F" w14:textId="77777777" w:rsidR="00A77B3E" w:rsidRDefault="00A77B3E">
      <w:pPr>
        <w:spacing w:line="360" w:lineRule="auto"/>
        <w:jc w:val="both"/>
      </w:pPr>
    </w:p>
    <w:p w14:paraId="5EBA8E54" w14:textId="77777777" w:rsidR="00A77B3E" w:rsidRDefault="00E76E9F">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This research did not receive any specific grant from funding agencies in the public, commercial, or not -for-profit sectors. However, Inova Diagnostics Inc. provided funds to Norman GL, </w:t>
      </w:r>
      <w:proofErr w:type="spellStart"/>
      <w:r>
        <w:rPr>
          <w:rFonts w:ascii="Book Antiqua" w:eastAsia="Book Antiqua" w:hAnsi="Book Antiqua" w:cs="Book Antiqua"/>
          <w:color w:val="000000"/>
        </w:rPr>
        <w:t>Shums</w:t>
      </w:r>
      <w:proofErr w:type="spellEnd"/>
      <w:r>
        <w:rPr>
          <w:rFonts w:ascii="Book Antiqua" w:eastAsia="Book Antiqua" w:hAnsi="Book Antiqua" w:cs="Book Antiqua"/>
          <w:color w:val="000000"/>
        </w:rPr>
        <w:t xml:space="preserve"> Z and </w:t>
      </w:r>
      <w:proofErr w:type="spellStart"/>
      <w:r>
        <w:rPr>
          <w:rFonts w:ascii="Book Antiqua" w:eastAsia="Book Antiqua" w:hAnsi="Book Antiqua" w:cs="Book Antiqua"/>
          <w:color w:val="000000"/>
        </w:rPr>
        <w:t>Albesa</w:t>
      </w:r>
      <w:proofErr w:type="spellEnd"/>
      <w:r>
        <w:rPr>
          <w:rFonts w:ascii="Book Antiqua" w:eastAsia="Book Antiqua" w:hAnsi="Book Antiqua" w:cs="Book Antiqua"/>
          <w:color w:val="000000"/>
        </w:rPr>
        <w:t xml:space="preserve"> R who are employees of Inova (ELISA kits), for the support of this study. All other authors have no disclosures relevant to this manuscript. Other authors have declared that no competing interest exists.</w:t>
      </w:r>
    </w:p>
    <w:p w14:paraId="35F3193D" w14:textId="77777777" w:rsidR="00A77B3E" w:rsidRDefault="00A77B3E">
      <w:pPr>
        <w:spacing w:line="360" w:lineRule="auto"/>
        <w:jc w:val="both"/>
      </w:pPr>
    </w:p>
    <w:p w14:paraId="4A1C0224" w14:textId="77777777" w:rsidR="00A77B3E" w:rsidRDefault="00E76E9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2F8AF5C6" w14:textId="77777777" w:rsidR="00A77B3E" w:rsidRDefault="00A77B3E">
      <w:pPr>
        <w:spacing w:line="360" w:lineRule="auto"/>
        <w:jc w:val="both"/>
      </w:pPr>
    </w:p>
    <w:p w14:paraId="0103667B" w14:textId="75730CC6" w:rsidR="00A77B3E" w:rsidRDefault="00E76E9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r w:rsidRPr="000360BE">
        <w:rPr>
          <w:rFonts w:ascii="Book Antiqua" w:eastAsia="Book Antiqua" w:hAnsi="Book Antiqua" w:cs="Book Antiqua"/>
          <w:color w:val="000000"/>
        </w:rPr>
        <w:t>Non</w:t>
      </w:r>
      <w:r w:rsidR="00FB7B5E" w:rsidRPr="000360BE">
        <w:rPr>
          <w:rFonts w:ascii="Book Antiqua" w:eastAsia="Book Antiqua" w:hAnsi="Book Antiqua" w:cs="Book Antiqua"/>
          <w:color w:val="000000"/>
        </w:rPr>
        <w:t>-c</w:t>
      </w:r>
      <w:r w:rsidRPr="000360BE">
        <w:rPr>
          <w:rFonts w:ascii="Book Antiqua" w:eastAsia="Book Antiqua" w:hAnsi="Book Antiqua" w:cs="Book Antiqua"/>
          <w:color w:val="000000"/>
        </w:rPr>
        <w:t>ommercial</w:t>
      </w:r>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7F1CF9" w14:textId="77777777" w:rsidR="00A77B3E" w:rsidRDefault="00A77B3E">
      <w:pPr>
        <w:spacing w:line="360" w:lineRule="auto"/>
        <w:jc w:val="both"/>
      </w:pPr>
    </w:p>
    <w:p w14:paraId="798787AC" w14:textId="2F3DF0A8" w:rsidR="00A77B3E" w:rsidRDefault="00E76E9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287A7F">
        <w:rPr>
          <w:rFonts w:ascii="Book Antiqua" w:eastAsia="Book Antiqua" w:hAnsi="Book Antiqua" w:cs="Book Antiqua"/>
          <w:color w:val="000000"/>
        </w:rPr>
        <w:t>m</w:t>
      </w:r>
      <w:r>
        <w:rPr>
          <w:rFonts w:ascii="Book Antiqua" w:eastAsia="Book Antiqua" w:hAnsi="Book Antiqua" w:cs="Book Antiqua"/>
          <w:color w:val="000000"/>
        </w:rPr>
        <w:t>anuscript</w:t>
      </w:r>
    </w:p>
    <w:p w14:paraId="5F6CC998" w14:textId="77777777" w:rsidR="00A77B3E" w:rsidRDefault="00A77B3E">
      <w:pPr>
        <w:spacing w:line="360" w:lineRule="auto"/>
        <w:jc w:val="both"/>
      </w:pPr>
    </w:p>
    <w:p w14:paraId="6B7EACA6" w14:textId="77777777" w:rsidR="00A77B3E" w:rsidRDefault="00E76E9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24, 2020</w:t>
      </w:r>
    </w:p>
    <w:p w14:paraId="75B253BD" w14:textId="77777777" w:rsidR="00A77B3E" w:rsidRDefault="00E76E9F">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May 15, 2020</w:t>
      </w:r>
    </w:p>
    <w:p w14:paraId="5543682E" w14:textId="77777777" w:rsidR="00A77B3E" w:rsidRDefault="00E76E9F">
      <w:pPr>
        <w:spacing w:line="360" w:lineRule="auto"/>
        <w:jc w:val="both"/>
      </w:pPr>
      <w:r>
        <w:rPr>
          <w:rFonts w:ascii="Book Antiqua" w:eastAsia="Book Antiqua" w:hAnsi="Book Antiqua" w:cs="Book Antiqua"/>
          <w:b/>
          <w:color w:val="000000"/>
        </w:rPr>
        <w:t xml:space="preserve">Article in press: </w:t>
      </w:r>
    </w:p>
    <w:p w14:paraId="1600838E" w14:textId="77777777" w:rsidR="00A77B3E" w:rsidRDefault="00A77B3E">
      <w:pPr>
        <w:spacing w:line="360" w:lineRule="auto"/>
        <w:jc w:val="both"/>
      </w:pPr>
    </w:p>
    <w:p w14:paraId="2CC3A612" w14:textId="6BD4674F" w:rsidR="00A77B3E" w:rsidRDefault="00E76E9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345C2D">
        <w:rPr>
          <w:rFonts w:ascii="Book Antiqua" w:eastAsia="Book Antiqua" w:hAnsi="Book Antiqua" w:cs="Book Antiqua"/>
          <w:color w:val="000000"/>
        </w:rPr>
        <w:t xml:space="preserve"> h</w:t>
      </w:r>
      <w:r>
        <w:rPr>
          <w:rFonts w:ascii="Book Antiqua" w:eastAsia="Book Antiqua" w:hAnsi="Book Antiqua" w:cs="Book Antiqua"/>
          <w:color w:val="000000"/>
        </w:rPr>
        <w:t>epatology</w:t>
      </w:r>
    </w:p>
    <w:p w14:paraId="68C6BEF4" w14:textId="26920BEF" w:rsidR="00A77B3E" w:rsidRDefault="00E76E9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2B987C3F" w14:textId="77777777" w:rsidR="00A77B3E" w:rsidRDefault="00E76E9F">
      <w:pPr>
        <w:spacing w:line="360" w:lineRule="auto"/>
        <w:jc w:val="both"/>
      </w:pPr>
      <w:r>
        <w:rPr>
          <w:rFonts w:ascii="Book Antiqua" w:eastAsia="Book Antiqua" w:hAnsi="Book Antiqua" w:cs="Book Antiqua"/>
          <w:b/>
          <w:color w:val="000000"/>
        </w:rPr>
        <w:t>Peer-review report’s scientific quality classification</w:t>
      </w:r>
    </w:p>
    <w:p w14:paraId="13E33C0E" w14:textId="77777777" w:rsidR="00A77B3E" w:rsidRDefault="00E76E9F">
      <w:pPr>
        <w:spacing w:line="360" w:lineRule="auto"/>
        <w:jc w:val="both"/>
      </w:pPr>
      <w:r>
        <w:rPr>
          <w:rFonts w:ascii="Book Antiqua" w:eastAsia="Book Antiqua" w:hAnsi="Book Antiqua" w:cs="Book Antiqua"/>
          <w:color w:val="000000"/>
        </w:rPr>
        <w:t>Grade A (Excellent): 0</w:t>
      </w:r>
    </w:p>
    <w:p w14:paraId="0F839D49" w14:textId="77777777" w:rsidR="00A77B3E" w:rsidRDefault="00E76E9F">
      <w:pPr>
        <w:spacing w:line="360" w:lineRule="auto"/>
        <w:jc w:val="both"/>
      </w:pPr>
      <w:r>
        <w:rPr>
          <w:rFonts w:ascii="Book Antiqua" w:eastAsia="Book Antiqua" w:hAnsi="Book Antiqua" w:cs="Book Antiqua"/>
          <w:color w:val="000000"/>
        </w:rPr>
        <w:t>Grade B (Very good): B</w:t>
      </w:r>
    </w:p>
    <w:p w14:paraId="4735B5D6" w14:textId="77777777" w:rsidR="00A77B3E" w:rsidRDefault="00E76E9F">
      <w:pPr>
        <w:spacing w:line="360" w:lineRule="auto"/>
        <w:jc w:val="both"/>
      </w:pPr>
      <w:r>
        <w:rPr>
          <w:rFonts w:ascii="Book Antiqua" w:eastAsia="Book Antiqua" w:hAnsi="Book Antiqua" w:cs="Book Antiqua"/>
          <w:color w:val="000000"/>
        </w:rPr>
        <w:t>Grade C (Good): 0</w:t>
      </w:r>
    </w:p>
    <w:p w14:paraId="728DB50C" w14:textId="77777777" w:rsidR="00A77B3E" w:rsidRDefault="00E76E9F">
      <w:pPr>
        <w:spacing w:line="360" w:lineRule="auto"/>
        <w:jc w:val="both"/>
      </w:pPr>
      <w:r>
        <w:rPr>
          <w:rFonts w:ascii="Book Antiqua" w:eastAsia="Book Antiqua" w:hAnsi="Book Antiqua" w:cs="Book Antiqua"/>
          <w:color w:val="000000"/>
        </w:rPr>
        <w:t>Grade D (Fair): 0</w:t>
      </w:r>
    </w:p>
    <w:p w14:paraId="41677330" w14:textId="77777777" w:rsidR="00A77B3E" w:rsidRDefault="00E76E9F">
      <w:pPr>
        <w:spacing w:line="360" w:lineRule="auto"/>
        <w:jc w:val="both"/>
      </w:pPr>
      <w:r>
        <w:rPr>
          <w:rFonts w:ascii="Book Antiqua" w:eastAsia="Book Antiqua" w:hAnsi="Book Antiqua" w:cs="Book Antiqua"/>
          <w:color w:val="000000"/>
        </w:rPr>
        <w:t>Grade E (Poor): 0</w:t>
      </w:r>
    </w:p>
    <w:p w14:paraId="38BACC95" w14:textId="77777777" w:rsidR="00A77B3E" w:rsidRDefault="00A77B3E">
      <w:pPr>
        <w:spacing w:line="360" w:lineRule="auto"/>
        <w:jc w:val="both"/>
      </w:pPr>
    </w:p>
    <w:p w14:paraId="7147494A" w14:textId="7156BFE0" w:rsidR="00A77B3E" w:rsidRDefault="00E76E9F">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Norton PA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w:t>
      </w:r>
      <w:r w:rsidR="00345C2D">
        <w:rPr>
          <w:rFonts w:ascii="Book Antiqua" w:hAnsi="Book Antiqua" w:cs="Book Antiqua"/>
          <w:b/>
          <w:color w:val="000000"/>
          <w:lang w:eastAsia="zh-CN"/>
        </w:rPr>
        <w:t>P</w:t>
      </w:r>
      <w:r>
        <w:rPr>
          <w:rFonts w:ascii="Book Antiqua" w:eastAsia="Book Antiqua" w:hAnsi="Book Antiqua" w:cs="Book Antiqua"/>
          <w:b/>
          <w:color w:val="000000"/>
        </w:rPr>
        <w:t xml:space="preserve">-Editor: </w:t>
      </w:r>
    </w:p>
    <w:p w14:paraId="56D3A1EE" w14:textId="50A3B85F" w:rsidR="00A77B3E" w:rsidRDefault="00E76E9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FF7BD39" w14:textId="3B23E2C5" w:rsidR="004A7C7C" w:rsidRDefault="004A7C7C">
      <w:pPr>
        <w:spacing w:line="360" w:lineRule="auto"/>
        <w:jc w:val="both"/>
      </w:pPr>
      <w:r>
        <w:rPr>
          <w:noProof/>
          <w:lang w:eastAsia="zh-CN"/>
        </w:rPr>
        <w:drawing>
          <wp:inline distT="0" distB="0" distL="0" distR="0" wp14:anchorId="40CBD1AA" wp14:editId="7C4ED2A1">
            <wp:extent cx="5943600" cy="4457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FF7FFA8" w14:textId="76F3637F" w:rsidR="00A77B3E" w:rsidRDefault="00E76E9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Flow-sheet of the 632 patients participated in the study and liver-related events (development of cirrhosis, liver decompensation, </w:t>
      </w:r>
      <w:r w:rsidR="00FF521E" w:rsidRPr="00FF521E">
        <w:rPr>
          <w:rFonts w:ascii="Book Antiqua" w:eastAsia="Book Antiqua" w:hAnsi="Book Antiqua" w:cs="Book Antiqua"/>
          <w:b/>
          <w:bCs/>
          <w:color w:val="000000"/>
        </w:rPr>
        <w:t>hepatocellular carcinoma</w:t>
      </w:r>
      <w:r>
        <w:rPr>
          <w:rFonts w:ascii="Book Antiqua" w:eastAsia="Book Antiqua" w:hAnsi="Book Antiqua" w:cs="Book Antiqua"/>
          <w:b/>
          <w:bCs/>
          <w:color w:val="000000"/>
        </w:rPr>
        <w:t xml:space="preserve"> development) observed during follow up.</w:t>
      </w:r>
    </w:p>
    <w:p w14:paraId="723CE676" w14:textId="073F3E72" w:rsidR="004A7C7C" w:rsidRDefault="00CB7EC6">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204B5616" wp14:editId="75595943">
            <wp:extent cx="5721685" cy="4301656"/>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2845" cy="4302528"/>
                    </a:xfrm>
                    <a:prstGeom prst="rect">
                      <a:avLst/>
                    </a:prstGeom>
                  </pic:spPr>
                </pic:pic>
              </a:graphicData>
            </a:graphic>
          </wp:inline>
        </w:drawing>
      </w:r>
    </w:p>
    <w:p w14:paraId="5B89F289" w14:textId="1326FBC1" w:rsidR="00FF521E" w:rsidRDefault="00E76E9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Golgi protein 73 values distribution in different stages of chronic liver diseases</w:t>
      </w:r>
      <w:r>
        <w:rPr>
          <w:rFonts w:ascii="Book Antiqua" w:eastAsia="Book Antiqua" w:hAnsi="Book Antiqua" w:cs="Book Antiqua"/>
          <w:color w:val="000000"/>
        </w:rPr>
        <w:t xml:space="preserve">. (a) non-cirrhotic patients, 8.4 (4.6) units </w:t>
      </w:r>
      <w:r>
        <w:rPr>
          <w:rFonts w:ascii="Book Antiqua" w:eastAsia="Book Antiqua" w:hAnsi="Book Antiqua" w:cs="Book Antiqua"/>
          <w:i/>
          <w:iCs/>
          <w:color w:val="000000"/>
        </w:rPr>
        <w:t>vs</w:t>
      </w:r>
      <w:r>
        <w:rPr>
          <w:rFonts w:ascii="Book Antiqua" w:eastAsia="Book Antiqua" w:hAnsi="Book Antiqua" w:cs="Book Antiqua"/>
          <w:color w:val="000000"/>
        </w:rPr>
        <w:t xml:space="preserve"> compensated cirrhotic patients, 18.7 (15.3) units </w:t>
      </w:r>
      <w:r>
        <w:rPr>
          <w:rFonts w:ascii="Book Antiqua" w:eastAsia="Book Antiqua" w:hAnsi="Book Antiqua" w:cs="Book Antiqua"/>
          <w:i/>
          <w:iCs/>
          <w:color w:val="000000"/>
        </w:rPr>
        <w:t>vs</w:t>
      </w:r>
      <w:r>
        <w:rPr>
          <w:rFonts w:ascii="Book Antiqua" w:eastAsia="Book Antiqua" w:hAnsi="Book Antiqua" w:cs="Book Antiqua"/>
          <w:color w:val="000000"/>
        </w:rPr>
        <w:t xml:space="preserve"> decompensated cirrhotic or patients with </w:t>
      </w:r>
      <w:r w:rsidR="005C6F90" w:rsidRPr="00FF521E">
        <w:rPr>
          <w:rFonts w:ascii="Book Antiqua" w:hAnsi="Book Antiqua" w:cs="Book Antiqua"/>
          <w:color w:val="000000"/>
          <w:lang w:eastAsia="zh-CN"/>
        </w:rPr>
        <w:t>h</w:t>
      </w:r>
      <w:r w:rsidR="005C6F90" w:rsidRPr="00FF521E">
        <w:rPr>
          <w:rFonts w:ascii="Book Antiqua" w:eastAsia="Book Antiqua" w:hAnsi="Book Antiqua" w:cs="Book Antiqua"/>
          <w:color w:val="000000"/>
        </w:rPr>
        <w:t>epatocellular carcinoma</w:t>
      </w:r>
      <w:r w:rsidR="005C6F90">
        <w:rPr>
          <w:rFonts w:ascii="Book Antiqua" w:eastAsia="Book Antiqua" w:hAnsi="Book Antiqua" w:cs="Book Antiqua"/>
          <w:color w:val="000000"/>
        </w:rPr>
        <w:t xml:space="preserve"> (</w:t>
      </w:r>
      <w:r>
        <w:rPr>
          <w:rFonts w:ascii="Book Antiqua" w:eastAsia="Book Antiqua" w:hAnsi="Book Antiqua" w:cs="Book Antiqua"/>
          <w:color w:val="000000"/>
        </w:rPr>
        <w:t>HCC</w:t>
      </w:r>
      <w:r w:rsidR="005C6F90">
        <w:rPr>
          <w:rFonts w:ascii="Book Antiqua" w:eastAsia="Book Antiqua" w:hAnsi="Book Antiqua" w:cs="Book Antiqua"/>
          <w:color w:val="000000"/>
        </w:rPr>
        <w:t>)</w:t>
      </w:r>
      <w:r>
        <w:rPr>
          <w:rFonts w:ascii="Book Antiqua" w:eastAsia="Book Antiqua" w:hAnsi="Book Antiqua" w:cs="Book Antiqua"/>
          <w:color w:val="000000"/>
        </w:rPr>
        <w:t xml:space="preserve">, 29.5 (27.6)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(b) cirrhotic (compensated and decompensated), 22.8 (22.9) units </w:t>
      </w:r>
      <w:r>
        <w:rPr>
          <w:rFonts w:ascii="Book Antiqua" w:eastAsia="Book Antiqua" w:hAnsi="Book Antiqua" w:cs="Book Antiqua"/>
          <w:i/>
          <w:iCs/>
          <w:color w:val="000000"/>
        </w:rPr>
        <w:t>vs</w:t>
      </w:r>
      <w:r>
        <w:rPr>
          <w:rFonts w:ascii="Book Antiqua" w:eastAsia="Book Antiqua" w:hAnsi="Book Antiqua" w:cs="Book Antiqua"/>
          <w:color w:val="000000"/>
        </w:rPr>
        <w:t xml:space="preserve"> HCC patients, 25 (33.7)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 0.07 (Tukey box-and-whisker plots; y-axis is presented in log scale).</w:t>
      </w:r>
      <w:r w:rsidR="00F27729">
        <w:rPr>
          <w:rFonts w:ascii="Book Antiqua" w:hAnsi="Book Antiqua" w:cs="Book Antiqua" w:hint="eastAsia"/>
          <w:color w:val="000000"/>
          <w:lang w:eastAsia="zh-CN"/>
        </w:rPr>
        <w:t xml:space="preserve"> </w:t>
      </w:r>
      <w:r w:rsidR="00FF521E" w:rsidRPr="00FF521E">
        <w:rPr>
          <w:rFonts w:ascii="Book Antiqua" w:hAnsi="Book Antiqua" w:cs="Book Antiqua"/>
          <w:color w:val="000000"/>
          <w:lang w:eastAsia="zh-CN"/>
        </w:rPr>
        <w:t>GP73</w:t>
      </w:r>
      <w:r w:rsidR="00FF521E" w:rsidRPr="00FF521E">
        <w:rPr>
          <w:rFonts w:ascii="Book Antiqua" w:eastAsia="Book Antiqua" w:hAnsi="Book Antiqua" w:cs="Book Antiqua"/>
          <w:color w:val="000000"/>
        </w:rPr>
        <w:t>: Golgi protein 73; HCC</w:t>
      </w:r>
      <w:r w:rsidR="00FF521E" w:rsidRPr="00FF521E">
        <w:rPr>
          <w:rFonts w:ascii="Book Antiqua" w:eastAsia="宋体" w:hAnsi="Book Antiqua" w:cs="宋体"/>
          <w:color w:val="000000"/>
          <w:lang w:eastAsia="zh-CN"/>
        </w:rPr>
        <w:t xml:space="preserve">: </w:t>
      </w:r>
      <w:r w:rsidR="00FF521E" w:rsidRPr="00FF521E">
        <w:rPr>
          <w:rFonts w:ascii="Book Antiqua" w:hAnsi="Book Antiqua" w:cs="Book Antiqua"/>
          <w:color w:val="000000"/>
          <w:lang w:eastAsia="zh-CN"/>
        </w:rPr>
        <w:t>H</w:t>
      </w:r>
      <w:r w:rsidR="00FF521E" w:rsidRPr="00FF521E">
        <w:rPr>
          <w:rFonts w:ascii="Book Antiqua" w:eastAsia="Book Antiqua" w:hAnsi="Book Antiqua" w:cs="Book Antiqua"/>
          <w:color w:val="000000"/>
        </w:rPr>
        <w:t>epatocellular carcinoma.</w:t>
      </w:r>
    </w:p>
    <w:p w14:paraId="081B1B93" w14:textId="598247E3" w:rsidR="004A7C7C" w:rsidRPr="00FF521E" w:rsidRDefault="00DD1C7B">
      <w:pPr>
        <w:spacing w:line="360" w:lineRule="auto"/>
        <w:jc w:val="both"/>
        <w:rPr>
          <w:rFonts w:ascii="Book Antiqua" w:eastAsia="Book Antiqua" w:hAnsi="Book Antiqua" w:cs="Book Antiqua"/>
          <w:color w:val="000000"/>
        </w:rPr>
      </w:pPr>
      <w:r>
        <w:rPr>
          <w:noProof/>
          <w:lang w:eastAsia="zh-CN"/>
        </w:rPr>
        <w:lastRenderedPageBreak/>
        <w:drawing>
          <wp:inline distT="0" distB="0" distL="0" distR="0" wp14:anchorId="760CC0C1" wp14:editId="4276A5C4">
            <wp:extent cx="5943600" cy="40074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007485"/>
                    </a:xfrm>
                    <a:prstGeom prst="rect">
                      <a:avLst/>
                    </a:prstGeom>
                  </pic:spPr>
                </pic:pic>
              </a:graphicData>
            </a:graphic>
          </wp:inline>
        </w:drawing>
      </w:r>
    </w:p>
    <w:p w14:paraId="05DAED83" w14:textId="7BAF671D" w:rsidR="00FF521E" w:rsidRDefault="00E76E9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Golgi protein 73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aspartate aminotransferase to platelets index as diagnostic markers of cirrhosis. </w:t>
      </w:r>
      <w:r>
        <w:rPr>
          <w:rFonts w:ascii="Book Antiqua" w:eastAsia="Book Antiqua" w:hAnsi="Book Antiqua" w:cs="Book Antiqua"/>
          <w:color w:val="000000"/>
        </w:rPr>
        <w:t xml:space="preserve">Receiver operating characteristic curves for the prediction of cirrhosis according to Golgi protein 73 (GP73) levels and </w:t>
      </w:r>
      <w:r w:rsidR="004110C5">
        <w:rPr>
          <w:rFonts w:ascii="Book Antiqua" w:eastAsia="Book Antiqua" w:hAnsi="Book Antiqua" w:cs="Book Antiqua"/>
          <w:color w:val="000000"/>
        </w:rPr>
        <w:t>aspartate aminotransferase to platelets index (</w:t>
      </w:r>
      <w:r>
        <w:rPr>
          <w:rFonts w:ascii="Book Antiqua" w:eastAsia="Book Antiqua" w:hAnsi="Book Antiqua" w:cs="Book Antiqua"/>
          <w:color w:val="000000"/>
        </w:rPr>
        <w:t>APRI</w:t>
      </w:r>
      <w:r w:rsidR="004110C5">
        <w:rPr>
          <w:rFonts w:ascii="Book Antiqua" w:eastAsia="Book Antiqua" w:hAnsi="Book Antiqua" w:cs="Book Antiqua"/>
          <w:color w:val="000000"/>
        </w:rPr>
        <w:t>)</w:t>
      </w:r>
      <w:r>
        <w:rPr>
          <w:rFonts w:ascii="Book Antiqua" w:eastAsia="Book Antiqua" w:hAnsi="Book Antiqua" w:cs="Book Antiqua"/>
          <w:color w:val="000000"/>
        </w:rPr>
        <w:t xml:space="preserve"> score. Combination of GP73 and APRI had a higher diagnostic accuracy for cirrhosis), compared to GP73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or APRI score alone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F27729">
        <w:rPr>
          <w:rFonts w:ascii="Book Antiqua" w:hAnsi="Book Antiqua" w:cs="Book Antiqua" w:hint="eastAsia"/>
          <w:color w:val="000000"/>
          <w:lang w:eastAsia="zh-CN"/>
        </w:rPr>
        <w:t xml:space="preserve"> </w:t>
      </w:r>
      <w:r w:rsidR="00FF521E" w:rsidRPr="00FF521E">
        <w:rPr>
          <w:rFonts w:ascii="Book Antiqua" w:hAnsi="Book Antiqua" w:cs="Book Antiqua"/>
          <w:color w:val="000000"/>
          <w:lang w:eastAsia="zh-CN"/>
        </w:rPr>
        <w:t>GP73</w:t>
      </w:r>
      <w:r w:rsidR="00FF521E" w:rsidRPr="00FF521E">
        <w:rPr>
          <w:rFonts w:ascii="Book Antiqua" w:eastAsia="Book Antiqua" w:hAnsi="Book Antiqua" w:cs="Book Antiqua"/>
          <w:color w:val="000000"/>
        </w:rPr>
        <w:t>: Golgi protein 73;</w:t>
      </w:r>
      <w:r w:rsidR="00FF521E">
        <w:rPr>
          <w:rFonts w:ascii="Book Antiqua" w:eastAsia="Book Antiqua" w:hAnsi="Book Antiqua" w:cs="Book Antiqua"/>
          <w:color w:val="000000"/>
        </w:rPr>
        <w:t xml:space="preserve"> APRI: Aspartate aminotransferase to platelets index; AUC: Area under the curve.</w:t>
      </w:r>
    </w:p>
    <w:p w14:paraId="62CF01BC" w14:textId="58EE86B7" w:rsidR="00FF521E" w:rsidRDefault="005451CC">
      <w:pPr>
        <w:spacing w:line="360" w:lineRule="auto"/>
        <w:jc w:val="both"/>
      </w:pPr>
      <w:r>
        <w:rPr>
          <w:noProof/>
          <w:lang w:eastAsia="zh-CN"/>
        </w:rPr>
        <w:lastRenderedPageBreak/>
        <w:drawing>
          <wp:inline distT="0" distB="0" distL="0" distR="0" wp14:anchorId="51B2F717" wp14:editId="0F39DB82">
            <wp:extent cx="4579951" cy="5136787"/>
            <wp:effectExtent l="0" t="0" r="0"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85419" cy="5142920"/>
                    </a:xfrm>
                    <a:prstGeom prst="rect">
                      <a:avLst/>
                    </a:prstGeom>
                  </pic:spPr>
                </pic:pic>
              </a:graphicData>
            </a:graphic>
          </wp:inline>
        </w:drawing>
      </w:r>
    </w:p>
    <w:p w14:paraId="1E67DA96" w14:textId="2BC7642B" w:rsidR="00FF521E" w:rsidRDefault="00E76E9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Golgi protein values distribution among hepatocellular carcinoma stages according to.</w:t>
      </w:r>
      <w:r w:rsidR="00A5676F">
        <w:rPr>
          <w:rFonts w:ascii="Book Antiqua" w:eastAsia="Book Antiqua" w:hAnsi="Book Antiqua" w:cs="Book Antiqua"/>
          <w:color w:val="000000"/>
        </w:rPr>
        <w:t xml:space="preserve"> </w:t>
      </w:r>
      <w:r w:rsidRPr="00A5676F">
        <w:rPr>
          <w:rFonts w:ascii="Book Antiqua" w:eastAsia="Book Antiqua" w:hAnsi="Book Antiqua" w:cs="Book Antiqua"/>
          <w:caps/>
          <w:color w:val="000000"/>
        </w:rPr>
        <w:t>a</w:t>
      </w:r>
      <w:r w:rsidR="00A5676F">
        <w:rPr>
          <w:rFonts w:ascii="Book Antiqua" w:eastAsia="Book Antiqua" w:hAnsi="Book Antiqua" w:cs="Book Antiqua"/>
          <w:color w:val="000000"/>
        </w:rPr>
        <w:t xml:space="preserve">: </w:t>
      </w:r>
      <w:r>
        <w:rPr>
          <w:rFonts w:ascii="Book Antiqua" w:eastAsia="Book Antiqua" w:hAnsi="Book Antiqua" w:cs="Book Antiqua"/>
          <w:color w:val="000000"/>
        </w:rPr>
        <w:t xml:space="preserve">BCLC staging system [stage 0, 13.9 (10.8) units; stage A, 17.1 (16.8) units; stage B, 19.6 (22.3) units; stage C, 32.2 (30.8) units; stage D, 45.3 (86.6)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4D0E73">
        <w:rPr>
          <w:rFonts w:ascii="Book Antiqua" w:eastAsia="Book Antiqua" w:hAnsi="Book Antiqua" w:cs="Book Antiqua"/>
          <w:color w:val="000000"/>
        </w:rPr>
        <w:t>.</w:t>
      </w:r>
      <w:r w:rsidR="00D17BEB">
        <w:rPr>
          <w:rFonts w:ascii="Book Antiqua" w:eastAsia="Book Antiqua" w:hAnsi="Book Antiqua" w:cs="Book Antiqua"/>
          <w:caps/>
          <w:color w:val="000000"/>
        </w:rPr>
        <w:t xml:space="preserve"> </w:t>
      </w:r>
      <w:r w:rsidRPr="00552022">
        <w:rPr>
          <w:rFonts w:ascii="Book Antiqua" w:eastAsia="Book Antiqua" w:hAnsi="Book Antiqua" w:cs="Book Antiqua"/>
          <w:caps/>
          <w:color w:val="000000"/>
        </w:rPr>
        <w:t>b</w:t>
      </w:r>
      <w:r w:rsidR="004D0E73">
        <w:rPr>
          <w:rFonts w:ascii="Book Antiqua" w:eastAsia="Book Antiqua" w:hAnsi="Book Antiqua" w:cs="Book Antiqua"/>
          <w:color w:val="000000"/>
        </w:rPr>
        <w:t>:</w:t>
      </w:r>
      <w:r>
        <w:rPr>
          <w:rFonts w:ascii="Book Antiqua" w:eastAsia="Book Antiqua" w:hAnsi="Book Antiqua" w:cs="Book Antiqua"/>
          <w:color w:val="000000"/>
        </w:rPr>
        <w:t xml:space="preserve"> </w:t>
      </w:r>
      <w:r w:rsidRPr="004D0E73">
        <w:rPr>
          <w:rFonts w:ascii="Book Antiqua" w:eastAsia="Book Antiqua" w:hAnsi="Book Antiqua" w:cs="Book Antiqua"/>
          <w:caps/>
          <w:color w:val="000000"/>
        </w:rPr>
        <w:t>t</w:t>
      </w:r>
      <w:r>
        <w:rPr>
          <w:rFonts w:ascii="Book Antiqua" w:eastAsia="Book Antiqua" w:hAnsi="Book Antiqua" w:cs="Book Antiqua"/>
          <w:color w:val="000000"/>
        </w:rPr>
        <w:t xml:space="preserve">umor dimensions [very early, 13.9 (10.8) units; intermediate, 19.6 (18.4) units; advanced, 29.1 (33.6)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(Tukey box-and-whisker plots).</w:t>
      </w:r>
      <w:r w:rsidR="00167B94">
        <w:rPr>
          <w:rFonts w:ascii="Book Antiqua" w:hAnsi="Book Antiqua" w:cs="Book Antiqua" w:hint="eastAsia"/>
          <w:color w:val="000000"/>
          <w:lang w:eastAsia="zh-CN"/>
        </w:rPr>
        <w:t xml:space="preserve"> </w:t>
      </w:r>
      <w:r w:rsidR="00FF521E" w:rsidRPr="00FF521E">
        <w:rPr>
          <w:rFonts w:ascii="Book Antiqua" w:hAnsi="Book Antiqua" w:cs="Book Antiqua"/>
          <w:color w:val="000000"/>
          <w:lang w:eastAsia="zh-CN"/>
        </w:rPr>
        <w:t>GP73</w:t>
      </w:r>
      <w:r w:rsidR="00FF521E" w:rsidRPr="00FF521E">
        <w:rPr>
          <w:rFonts w:ascii="Book Antiqua" w:eastAsia="Book Antiqua" w:hAnsi="Book Antiqua" w:cs="Book Antiqua"/>
          <w:color w:val="000000"/>
        </w:rPr>
        <w:t>: Golgi protein 73;</w:t>
      </w:r>
      <w:r w:rsidR="00FF521E">
        <w:rPr>
          <w:rFonts w:ascii="Book Antiqua" w:eastAsia="Book Antiqua" w:hAnsi="Book Antiqua" w:cs="Book Antiqua"/>
          <w:color w:val="000000"/>
        </w:rPr>
        <w:t xml:space="preserve"> BCLC: Barcelona clinic liver cancer.</w:t>
      </w:r>
    </w:p>
    <w:p w14:paraId="28727458" w14:textId="4BDD599A" w:rsidR="00FF521E" w:rsidRDefault="00B209C0">
      <w:pPr>
        <w:spacing w:line="360" w:lineRule="auto"/>
        <w:jc w:val="both"/>
      </w:pPr>
      <w:r>
        <w:rPr>
          <w:noProof/>
          <w:lang w:eastAsia="zh-CN"/>
        </w:rPr>
        <w:lastRenderedPageBreak/>
        <w:drawing>
          <wp:inline distT="0" distB="0" distL="0" distR="0" wp14:anchorId="05C33E38" wp14:editId="65E9625C">
            <wp:extent cx="5943600" cy="472567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725670"/>
                    </a:xfrm>
                    <a:prstGeom prst="rect">
                      <a:avLst/>
                    </a:prstGeom>
                  </pic:spPr>
                </pic:pic>
              </a:graphicData>
            </a:graphic>
          </wp:inline>
        </w:drawing>
      </w:r>
    </w:p>
    <w:p w14:paraId="7D7BB516" w14:textId="0D08527F" w:rsidR="00A77B3E" w:rsidRDefault="00E76E9F">
      <w:pPr>
        <w:spacing w:line="360" w:lineRule="auto"/>
        <w:jc w:val="both"/>
      </w:pPr>
      <w:r>
        <w:rPr>
          <w:rFonts w:ascii="Book Antiqua" w:eastAsia="Book Antiqua" w:hAnsi="Book Antiqua" w:cs="Book Antiqua"/>
          <w:b/>
          <w:bCs/>
          <w:color w:val="000000"/>
        </w:rPr>
        <w:t xml:space="preserve">Figure 5 Kaplan-Meier analysis of patients according to Golgi protein 73 detection. </w:t>
      </w:r>
      <w:r>
        <w:rPr>
          <w:rFonts w:ascii="Book Antiqua" w:eastAsia="Book Antiqua" w:hAnsi="Book Antiqua" w:cs="Book Antiqua"/>
          <w:color w:val="000000"/>
        </w:rPr>
        <w:t>Only 14 patients (one GP73 positive and 13 GP73 negative) developed cirrhosis during follow-up A. GP73 positive patients were characterized by higher decompensation B, HCC development C and liver-related mortality rates D.</w:t>
      </w:r>
      <w:r w:rsidR="008B0350">
        <w:rPr>
          <w:rFonts w:hint="eastAsia"/>
          <w:lang w:eastAsia="zh-CN"/>
        </w:rPr>
        <w:t xml:space="preserve"> </w:t>
      </w:r>
      <w:r>
        <w:rPr>
          <w:rFonts w:ascii="Book Antiqua" w:eastAsia="Book Antiqua" w:hAnsi="Book Antiqua" w:cs="Book Antiqua"/>
          <w:color w:val="000000"/>
        </w:rPr>
        <w:t>GP73: Golgi protein 73 detection; HCC: hepatocellular carcinoma.</w:t>
      </w:r>
      <w:r w:rsidR="00E93EC3">
        <w:rPr>
          <w:rFonts w:ascii="Book Antiqua" w:eastAsia="Book Antiqua" w:hAnsi="Book Antiqua" w:cs="Book Antiqua"/>
          <w:color w:val="000000"/>
        </w:rPr>
        <w:t xml:space="preserve"> </w:t>
      </w:r>
    </w:p>
    <w:p w14:paraId="683300FE" w14:textId="77777777" w:rsidR="007A7AC9" w:rsidRDefault="007A7AC9">
      <w:bookmarkStart w:id="0" w:name="_Hlk48201022"/>
      <w:r>
        <w:br w:type="page"/>
      </w:r>
    </w:p>
    <w:p w14:paraId="7E5982E1" w14:textId="4AE9035E" w:rsidR="004A7C7C" w:rsidRDefault="004A7C7C" w:rsidP="004A7C7C">
      <w:pPr>
        <w:adjustRightInd w:val="0"/>
        <w:snapToGrid w:val="0"/>
        <w:spacing w:line="360" w:lineRule="auto"/>
        <w:jc w:val="both"/>
        <w:rPr>
          <w:rFonts w:ascii="Book Antiqua" w:eastAsia="Helvetica" w:hAnsi="Book Antiqua" w:cs="Helvetica"/>
          <w:b/>
          <w:color w:val="000000"/>
          <w:lang w:eastAsia="en-GB"/>
        </w:rPr>
      </w:pPr>
      <w:r>
        <w:rPr>
          <w:rFonts w:ascii="Book Antiqua" w:eastAsia="Helvetica" w:hAnsi="Book Antiqua" w:cs="Helvetica"/>
          <w:b/>
          <w:color w:val="000000"/>
          <w:lang w:eastAsia="en-GB"/>
        </w:rPr>
        <w:lastRenderedPageBreak/>
        <w:t>Table 1 Baseline demographic, biochemical, histological and clinical characteristics of patients</w:t>
      </w:r>
    </w:p>
    <w:tbl>
      <w:tblPr>
        <w:tblStyle w:val="ae"/>
        <w:tblW w:w="9412" w:type="dxa"/>
        <w:tblInd w:w="-142" w:type="dxa"/>
        <w:tblLook w:val="04A0" w:firstRow="1" w:lastRow="0" w:firstColumn="1" w:lastColumn="0" w:noHBand="0" w:noVBand="1"/>
      </w:tblPr>
      <w:tblGrid>
        <w:gridCol w:w="6018"/>
        <w:gridCol w:w="3394"/>
      </w:tblGrid>
      <w:tr w:rsidR="004A7C7C" w14:paraId="0D16286F" w14:textId="77777777" w:rsidTr="00E37988">
        <w:trPr>
          <w:trHeight w:val="384"/>
        </w:trPr>
        <w:tc>
          <w:tcPr>
            <w:tcW w:w="6018" w:type="dxa"/>
            <w:tcBorders>
              <w:top w:val="single" w:sz="4" w:space="0" w:color="auto"/>
              <w:left w:val="nil"/>
              <w:bottom w:val="single" w:sz="4" w:space="0" w:color="auto"/>
              <w:right w:val="nil"/>
            </w:tcBorders>
          </w:tcPr>
          <w:p w14:paraId="4AFEE966" w14:textId="77777777" w:rsidR="004A7C7C" w:rsidRDefault="004A7C7C">
            <w:pPr>
              <w:adjustRightInd w:val="0"/>
              <w:snapToGrid w:val="0"/>
              <w:spacing w:line="360" w:lineRule="auto"/>
              <w:jc w:val="both"/>
              <w:rPr>
                <w:rFonts w:ascii="Book Antiqua" w:hAnsi="Book Antiqua"/>
                <w:b/>
                <w:bCs/>
                <w:lang w:val="en-US"/>
              </w:rPr>
            </w:pPr>
          </w:p>
        </w:tc>
        <w:tc>
          <w:tcPr>
            <w:tcW w:w="3394" w:type="dxa"/>
            <w:tcBorders>
              <w:top w:val="single" w:sz="4" w:space="0" w:color="auto"/>
              <w:left w:val="nil"/>
              <w:bottom w:val="single" w:sz="4" w:space="0" w:color="auto"/>
              <w:right w:val="nil"/>
            </w:tcBorders>
            <w:hideMark/>
          </w:tcPr>
          <w:p w14:paraId="304CCB0B" w14:textId="77777777" w:rsidR="004A7C7C" w:rsidRDefault="004A7C7C">
            <w:pPr>
              <w:adjustRightInd w:val="0"/>
              <w:snapToGrid w:val="0"/>
              <w:spacing w:line="360" w:lineRule="auto"/>
              <w:jc w:val="both"/>
              <w:rPr>
                <w:rFonts w:ascii="Book Antiqua" w:hAnsi="Book Antiqua"/>
                <w:b/>
                <w:lang w:val="en-US"/>
              </w:rPr>
            </w:pPr>
            <w:r>
              <w:rPr>
                <w:rFonts w:ascii="Book Antiqua" w:hAnsi="Book Antiqua"/>
                <w:b/>
              </w:rPr>
              <w:t>Total cohort (</w:t>
            </w:r>
            <w:r>
              <w:rPr>
                <w:rFonts w:ascii="Book Antiqua" w:hAnsi="Book Antiqua"/>
                <w:b/>
                <w:i/>
                <w:iCs/>
              </w:rPr>
              <w:t>n</w:t>
            </w:r>
            <w:r>
              <w:rPr>
                <w:rFonts w:ascii="Book Antiqua" w:hAnsi="Book Antiqua"/>
                <w:b/>
              </w:rPr>
              <w:t xml:space="preserve"> = 632)</w:t>
            </w:r>
          </w:p>
        </w:tc>
      </w:tr>
      <w:tr w:rsidR="004A7C7C" w14:paraId="70F3F926" w14:textId="77777777" w:rsidTr="00E37988">
        <w:trPr>
          <w:trHeight w:val="384"/>
        </w:trPr>
        <w:tc>
          <w:tcPr>
            <w:tcW w:w="6018" w:type="dxa"/>
            <w:tcBorders>
              <w:top w:val="single" w:sz="4" w:space="0" w:color="auto"/>
              <w:left w:val="nil"/>
              <w:bottom w:val="nil"/>
              <w:right w:val="nil"/>
            </w:tcBorders>
            <w:hideMark/>
          </w:tcPr>
          <w:p w14:paraId="2619F016"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 xml:space="preserve">Greek/Hungarian, </w:t>
            </w:r>
            <w:r>
              <w:rPr>
                <w:rFonts w:ascii="Book Antiqua" w:hAnsi="Book Antiqua"/>
                <w:bCs/>
                <w:i/>
                <w:iCs/>
              </w:rPr>
              <w:t>n</w:t>
            </w:r>
            <w:r>
              <w:rPr>
                <w:rFonts w:ascii="Book Antiqua" w:hAnsi="Book Antiqua"/>
                <w:bCs/>
              </w:rPr>
              <w:t xml:space="preserve"> (%)</w:t>
            </w:r>
          </w:p>
        </w:tc>
        <w:tc>
          <w:tcPr>
            <w:tcW w:w="3394" w:type="dxa"/>
            <w:tcBorders>
              <w:top w:val="single" w:sz="4" w:space="0" w:color="auto"/>
              <w:left w:val="nil"/>
              <w:bottom w:val="nil"/>
              <w:right w:val="nil"/>
            </w:tcBorders>
            <w:hideMark/>
          </w:tcPr>
          <w:p w14:paraId="4C1C3397"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366/266 (57.9/42.1)</w:t>
            </w:r>
          </w:p>
        </w:tc>
      </w:tr>
      <w:tr w:rsidR="004A7C7C" w14:paraId="71FE9CF5" w14:textId="77777777" w:rsidTr="00E37988">
        <w:trPr>
          <w:trHeight w:val="384"/>
        </w:trPr>
        <w:tc>
          <w:tcPr>
            <w:tcW w:w="6018" w:type="dxa"/>
            <w:tcBorders>
              <w:top w:val="nil"/>
              <w:left w:val="nil"/>
              <w:bottom w:val="nil"/>
              <w:right w:val="nil"/>
            </w:tcBorders>
            <w:hideMark/>
          </w:tcPr>
          <w:p w14:paraId="5AAA2A14"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 xml:space="preserve">Age, median (IQR), </w:t>
            </w:r>
            <w:proofErr w:type="spellStart"/>
            <w:r>
              <w:rPr>
                <w:rFonts w:ascii="Book Antiqua" w:hAnsi="Book Antiqua"/>
                <w:bCs/>
              </w:rPr>
              <w:t>yr</w:t>
            </w:r>
            <w:proofErr w:type="spellEnd"/>
          </w:p>
        </w:tc>
        <w:tc>
          <w:tcPr>
            <w:tcW w:w="3394" w:type="dxa"/>
            <w:tcBorders>
              <w:top w:val="nil"/>
              <w:left w:val="nil"/>
              <w:bottom w:val="nil"/>
              <w:right w:val="nil"/>
            </w:tcBorders>
            <w:hideMark/>
          </w:tcPr>
          <w:p w14:paraId="4D1D2418"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56.5 (17)</w:t>
            </w:r>
          </w:p>
        </w:tc>
      </w:tr>
      <w:tr w:rsidR="004A7C7C" w14:paraId="5F4720E4" w14:textId="77777777" w:rsidTr="00E37988">
        <w:trPr>
          <w:trHeight w:val="384"/>
        </w:trPr>
        <w:tc>
          <w:tcPr>
            <w:tcW w:w="6018" w:type="dxa"/>
            <w:tcBorders>
              <w:top w:val="nil"/>
              <w:left w:val="nil"/>
              <w:bottom w:val="nil"/>
              <w:right w:val="nil"/>
            </w:tcBorders>
            <w:hideMark/>
          </w:tcPr>
          <w:p w14:paraId="4FD866F4"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 xml:space="preserve">Sex, male/female, </w:t>
            </w:r>
            <w:r>
              <w:rPr>
                <w:rFonts w:ascii="Book Antiqua" w:hAnsi="Book Antiqua"/>
                <w:bCs/>
                <w:i/>
                <w:iCs/>
              </w:rPr>
              <w:t>n</w:t>
            </w:r>
            <w:r>
              <w:rPr>
                <w:rFonts w:ascii="Book Antiqua" w:hAnsi="Book Antiqua"/>
                <w:bCs/>
              </w:rPr>
              <w:t xml:space="preserve"> (%)</w:t>
            </w:r>
          </w:p>
        </w:tc>
        <w:tc>
          <w:tcPr>
            <w:tcW w:w="3394" w:type="dxa"/>
            <w:tcBorders>
              <w:top w:val="nil"/>
              <w:left w:val="nil"/>
              <w:bottom w:val="nil"/>
              <w:right w:val="nil"/>
            </w:tcBorders>
            <w:hideMark/>
          </w:tcPr>
          <w:p w14:paraId="3BF27389"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376/256 (59.5/40.5)</w:t>
            </w:r>
          </w:p>
        </w:tc>
      </w:tr>
      <w:tr w:rsidR="004A7C7C" w14:paraId="3F2AA1C3" w14:textId="77777777" w:rsidTr="00E37988">
        <w:trPr>
          <w:trHeight w:val="384"/>
        </w:trPr>
        <w:tc>
          <w:tcPr>
            <w:tcW w:w="6018" w:type="dxa"/>
            <w:tcBorders>
              <w:top w:val="nil"/>
              <w:left w:val="nil"/>
              <w:bottom w:val="nil"/>
              <w:right w:val="nil"/>
            </w:tcBorders>
            <w:hideMark/>
          </w:tcPr>
          <w:p w14:paraId="46C5A7AA"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 xml:space="preserve">CHB/CHC/Alcoholic/PBC+PSC/AIH/other, </w:t>
            </w:r>
            <w:r>
              <w:rPr>
                <w:rFonts w:ascii="Book Antiqua" w:hAnsi="Book Antiqua"/>
                <w:bCs/>
                <w:i/>
                <w:iCs/>
              </w:rPr>
              <w:t>n</w:t>
            </w:r>
          </w:p>
        </w:tc>
        <w:tc>
          <w:tcPr>
            <w:tcW w:w="3394" w:type="dxa"/>
            <w:tcBorders>
              <w:top w:val="nil"/>
              <w:left w:val="nil"/>
              <w:bottom w:val="nil"/>
              <w:right w:val="nil"/>
            </w:tcBorders>
            <w:hideMark/>
          </w:tcPr>
          <w:p w14:paraId="27BE009F"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203/183/198/28/15/5</w:t>
            </w:r>
          </w:p>
        </w:tc>
      </w:tr>
      <w:tr w:rsidR="004A7C7C" w14:paraId="2E776F92" w14:textId="77777777" w:rsidTr="00E37988">
        <w:trPr>
          <w:trHeight w:val="384"/>
        </w:trPr>
        <w:tc>
          <w:tcPr>
            <w:tcW w:w="6018" w:type="dxa"/>
            <w:tcBorders>
              <w:top w:val="nil"/>
              <w:left w:val="nil"/>
              <w:bottom w:val="nil"/>
              <w:right w:val="nil"/>
            </w:tcBorders>
            <w:hideMark/>
          </w:tcPr>
          <w:p w14:paraId="618C930D"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GP73, median (IQR), units, (ULN: 20 units)</w:t>
            </w:r>
          </w:p>
        </w:tc>
        <w:tc>
          <w:tcPr>
            <w:tcW w:w="3394" w:type="dxa"/>
            <w:tcBorders>
              <w:top w:val="nil"/>
              <w:left w:val="nil"/>
              <w:bottom w:val="nil"/>
              <w:right w:val="nil"/>
            </w:tcBorders>
            <w:hideMark/>
          </w:tcPr>
          <w:p w14:paraId="68F23210"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17.3 (20.4)</w:t>
            </w:r>
          </w:p>
        </w:tc>
      </w:tr>
      <w:tr w:rsidR="004A7C7C" w14:paraId="763E83E1" w14:textId="77777777" w:rsidTr="00E37988">
        <w:trPr>
          <w:trHeight w:val="384"/>
        </w:trPr>
        <w:tc>
          <w:tcPr>
            <w:tcW w:w="6018" w:type="dxa"/>
            <w:tcBorders>
              <w:top w:val="nil"/>
              <w:left w:val="nil"/>
              <w:bottom w:val="nil"/>
              <w:right w:val="nil"/>
            </w:tcBorders>
            <w:hideMark/>
          </w:tcPr>
          <w:p w14:paraId="37001320"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 xml:space="preserve">GP73, </w:t>
            </w:r>
            <w:proofErr w:type="spellStart"/>
            <w:r>
              <w:rPr>
                <w:rFonts w:ascii="Book Antiqua" w:hAnsi="Book Antiqua"/>
                <w:bCs/>
              </w:rPr>
              <w:t>pos</w:t>
            </w:r>
            <w:proofErr w:type="spellEnd"/>
            <w:r>
              <w:rPr>
                <w:rFonts w:ascii="Book Antiqua" w:hAnsi="Book Antiqua"/>
                <w:bCs/>
              </w:rPr>
              <w:t xml:space="preserve">/neg, </w:t>
            </w:r>
            <w:r>
              <w:rPr>
                <w:rFonts w:ascii="Book Antiqua" w:hAnsi="Book Antiqua"/>
                <w:bCs/>
                <w:i/>
                <w:iCs/>
              </w:rPr>
              <w:t>n</w:t>
            </w:r>
            <w:r>
              <w:rPr>
                <w:rFonts w:ascii="Book Antiqua" w:hAnsi="Book Antiqua"/>
                <w:bCs/>
              </w:rPr>
              <w:t xml:space="preserve"> (%)</w:t>
            </w:r>
          </w:p>
        </w:tc>
        <w:tc>
          <w:tcPr>
            <w:tcW w:w="3394" w:type="dxa"/>
            <w:tcBorders>
              <w:top w:val="nil"/>
              <w:left w:val="nil"/>
              <w:bottom w:val="nil"/>
              <w:right w:val="nil"/>
            </w:tcBorders>
            <w:hideMark/>
          </w:tcPr>
          <w:p w14:paraId="18EA795C"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277/355 (43.8/56.2)</w:t>
            </w:r>
          </w:p>
        </w:tc>
      </w:tr>
      <w:tr w:rsidR="004A7C7C" w14:paraId="2E841580" w14:textId="77777777" w:rsidTr="00E37988">
        <w:trPr>
          <w:trHeight w:val="384"/>
        </w:trPr>
        <w:tc>
          <w:tcPr>
            <w:tcW w:w="6018" w:type="dxa"/>
            <w:tcBorders>
              <w:top w:val="nil"/>
              <w:left w:val="nil"/>
              <w:bottom w:val="nil"/>
              <w:right w:val="nil"/>
            </w:tcBorders>
            <w:hideMark/>
          </w:tcPr>
          <w:p w14:paraId="57563730"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INR, median (IQR), (normal: 0.85-1.15)</w:t>
            </w:r>
          </w:p>
        </w:tc>
        <w:tc>
          <w:tcPr>
            <w:tcW w:w="3394" w:type="dxa"/>
            <w:tcBorders>
              <w:top w:val="nil"/>
              <w:left w:val="nil"/>
              <w:bottom w:val="nil"/>
              <w:right w:val="nil"/>
            </w:tcBorders>
            <w:hideMark/>
          </w:tcPr>
          <w:p w14:paraId="21900E5F"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1.15 (0.33)</w:t>
            </w:r>
          </w:p>
        </w:tc>
      </w:tr>
      <w:tr w:rsidR="004A7C7C" w14:paraId="59AADB83" w14:textId="77777777" w:rsidTr="00E37988">
        <w:trPr>
          <w:trHeight w:val="384"/>
        </w:trPr>
        <w:tc>
          <w:tcPr>
            <w:tcW w:w="6018" w:type="dxa"/>
            <w:tcBorders>
              <w:top w:val="nil"/>
              <w:left w:val="nil"/>
              <w:bottom w:val="nil"/>
              <w:right w:val="nil"/>
            </w:tcBorders>
            <w:hideMark/>
          </w:tcPr>
          <w:p w14:paraId="1C3991D0"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Platelets, median (IQR), x10</w:t>
            </w:r>
            <w:r>
              <w:rPr>
                <w:rFonts w:ascii="Book Antiqua" w:hAnsi="Book Antiqua"/>
                <w:bCs/>
                <w:vertAlign w:val="superscript"/>
              </w:rPr>
              <w:t>3</w:t>
            </w:r>
            <w:r>
              <w:rPr>
                <w:rFonts w:ascii="Book Antiqua" w:hAnsi="Book Antiqua"/>
                <w:bCs/>
              </w:rPr>
              <w:t>/</w:t>
            </w:r>
            <w:proofErr w:type="spellStart"/>
            <w:r>
              <w:rPr>
                <w:rFonts w:ascii="Book Antiqua" w:hAnsi="Book Antiqua"/>
                <w:bCs/>
              </w:rPr>
              <w:t>μL</w:t>
            </w:r>
            <w:proofErr w:type="spellEnd"/>
          </w:p>
        </w:tc>
        <w:tc>
          <w:tcPr>
            <w:tcW w:w="3394" w:type="dxa"/>
            <w:tcBorders>
              <w:top w:val="nil"/>
              <w:left w:val="nil"/>
              <w:bottom w:val="nil"/>
              <w:right w:val="nil"/>
            </w:tcBorders>
            <w:hideMark/>
          </w:tcPr>
          <w:p w14:paraId="679BA8E2"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153 (114)</w:t>
            </w:r>
          </w:p>
        </w:tc>
      </w:tr>
      <w:tr w:rsidR="004A7C7C" w14:paraId="39CD8DED" w14:textId="77777777" w:rsidTr="00E37988">
        <w:trPr>
          <w:trHeight w:val="384"/>
        </w:trPr>
        <w:tc>
          <w:tcPr>
            <w:tcW w:w="6018" w:type="dxa"/>
            <w:tcBorders>
              <w:top w:val="nil"/>
              <w:left w:val="nil"/>
              <w:bottom w:val="nil"/>
              <w:right w:val="nil"/>
            </w:tcBorders>
            <w:hideMark/>
          </w:tcPr>
          <w:p w14:paraId="0AB422A2"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AST, median (IQR), (ULN: 40 U/L)</w:t>
            </w:r>
          </w:p>
        </w:tc>
        <w:tc>
          <w:tcPr>
            <w:tcW w:w="3394" w:type="dxa"/>
            <w:tcBorders>
              <w:top w:val="nil"/>
              <w:left w:val="nil"/>
              <w:bottom w:val="nil"/>
              <w:right w:val="nil"/>
            </w:tcBorders>
            <w:hideMark/>
          </w:tcPr>
          <w:p w14:paraId="3BA165DC"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50 (54)</w:t>
            </w:r>
          </w:p>
        </w:tc>
      </w:tr>
      <w:tr w:rsidR="004A7C7C" w14:paraId="5B7CCF9F" w14:textId="77777777" w:rsidTr="00E37988">
        <w:trPr>
          <w:trHeight w:val="384"/>
        </w:trPr>
        <w:tc>
          <w:tcPr>
            <w:tcW w:w="6018" w:type="dxa"/>
            <w:tcBorders>
              <w:top w:val="nil"/>
              <w:left w:val="nil"/>
              <w:bottom w:val="nil"/>
              <w:right w:val="nil"/>
            </w:tcBorders>
            <w:hideMark/>
          </w:tcPr>
          <w:p w14:paraId="1DCA913F"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ALT, median (IQR), (ULN: 40 U/L)</w:t>
            </w:r>
          </w:p>
        </w:tc>
        <w:tc>
          <w:tcPr>
            <w:tcW w:w="3394" w:type="dxa"/>
            <w:tcBorders>
              <w:top w:val="nil"/>
              <w:left w:val="nil"/>
              <w:bottom w:val="nil"/>
              <w:right w:val="nil"/>
            </w:tcBorders>
            <w:hideMark/>
          </w:tcPr>
          <w:p w14:paraId="7F32D0AF"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40 (44)</w:t>
            </w:r>
          </w:p>
        </w:tc>
      </w:tr>
      <w:tr w:rsidR="004A7C7C" w14:paraId="2FCC7E32" w14:textId="77777777" w:rsidTr="00E37988">
        <w:trPr>
          <w:trHeight w:val="384"/>
        </w:trPr>
        <w:tc>
          <w:tcPr>
            <w:tcW w:w="6018" w:type="dxa"/>
            <w:tcBorders>
              <w:top w:val="nil"/>
              <w:left w:val="nil"/>
              <w:bottom w:val="nil"/>
              <w:right w:val="nil"/>
            </w:tcBorders>
            <w:hideMark/>
          </w:tcPr>
          <w:p w14:paraId="5E35DEF3"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γ-GT, median (IQR), (ULN: 37 U/L)</w:t>
            </w:r>
          </w:p>
        </w:tc>
        <w:tc>
          <w:tcPr>
            <w:tcW w:w="3394" w:type="dxa"/>
            <w:tcBorders>
              <w:top w:val="nil"/>
              <w:left w:val="nil"/>
              <w:bottom w:val="nil"/>
              <w:right w:val="nil"/>
            </w:tcBorders>
            <w:hideMark/>
          </w:tcPr>
          <w:p w14:paraId="53B70876"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62 (113)</w:t>
            </w:r>
          </w:p>
        </w:tc>
      </w:tr>
      <w:tr w:rsidR="004A7C7C" w14:paraId="30103BA2" w14:textId="77777777" w:rsidTr="00E37988">
        <w:trPr>
          <w:trHeight w:val="384"/>
        </w:trPr>
        <w:tc>
          <w:tcPr>
            <w:tcW w:w="6018" w:type="dxa"/>
            <w:tcBorders>
              <w:top w:val="nil"/>
              <w:left w:val="nil"/>
              <w:bottom w:val="nil"/>
              <w:right w:val="nil"/>
            </w:tcBorders>
            <w:hideMark/>
          </w:tcPr>
          <w:p w14:paraId="53120A25"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ALP, median (IQR), (ULN: 104 U/L)</w:t>
            </w:r>
          </w:p>
        </w:tc>
        <w:tc>
          <w:tcPr>
            <w:tcW w:w="3394" w:type="dxa"/>
            <w:tcBorders>
              <w:top w:val="nil"/>
              <w:left w:val="nil"/>
              <w:bottom w:val="nil"/>
              <w:right w:val="nil"/>
            </w:tcBorders>
            <w:hideMark/>
          </w:tcPr>
          <w:p w14:paraId="761C204E"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95 (77)</w:t>
            </w:r>
          </w:p>
        </w:tc>
      </w:tr>
      <w:tr w:rsidR="004A7C7C" w14:paraId="46FD35E0" w14:textId="77777777" w:rsidTr="00E37988">
        <w:trPr>
          <w:trHeight w:val="384"/>
        </w:trPr>
        <w:tc>
          <w:tcPr>
            <w:tcW w:w="6018" w:type="dxa"/>
            <w:tcBorders>
              <w:top w:val="nil"/>
              <w:left w:val="nil"/>
              <w:bottom w:val="nil"/>
              <w:right w:val="nil"/>
            </w:tcBorders>
            <w:hideMark/>
          </w:tcPr>
          <w:p w14:paraId="79CC93E2"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Bilirubin, median (IQR), (ULN: 1.1 mg/dL)</w:t>
            </w:r>
          </w:p>
        </w:tc>
        <w:tc>
          <w:tcPr>
            <w:tcW w:w="3394" w:type="dxa"/>
            <w:tcBorders>
              <w:top w:val="nil"/>
              <w:left w:val="nil"/>
              <w:bottom w:val="nil"/>
              <w:right w:val="nil"/>
            </w:tcBorders>
            <w:hideMark/>
          </w:tcPr>
          <w:p w14:paraId="385243BB"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1.2 (1.7)</w:t>
            </w:r>
          </w:p>
        </w:tc>
      </w:tr>
      <w:tr w:rsidR="004A7C7C" w14:paraId="51883B1C" w14:textId="77777777" w:rsidTr="00E37988">
        <w:trPr>
          <w:trHeight w:val="384"/>
        </w:trPr>
        <w:tc>
          <w:tcPr>
            <w:tcW w:w="6018" w:type="dxa"/>
            <w:tcBorders>
              <w:top w:val="nil"/>
              <w:left w:val="nil"/>
              <w:bottom w:val="nil"/>
              <w:right w:val="nil"/>
            </w:tcBorders>
            <w:hideMark/>
          </w:tcPr>
          <w:p w14:paraId="7B089D26"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Albumin, median (IQR), (normal: 3.5-5.2 g/dL)</w:t>
            </w:r>
          </w:p>
        </w:tc>
        <w:tc>
          <w:tcPr>
            <w:tcW w:w="3394" w:type="dxa"/>
            <w:tcBorders>
              <w:top w:val="nil"/>
              <w:left w:val="nil"/>
              <w:bottom w:val="nil"/>
              <w:right w:val="nil"/>
            </w:tcBorders>
            <w:hideMark/>
          </w:tcPr>
          <w:p w14:paraId="1481C5A6"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3.9 (1.3)</w:t>
            </w:r>
          </w:p>
        </w:tc>
      </w:tr>
      <w:tr w:rsidR="004A7C7C" w14:paraId="523F9001" w14:textId="77777777" w:rsidTr="00E37988">
        <w:trPr>
          <w:trHeight w:val="384"/>
        </w:trPr>
        <w:tc>
          <w:tcPr>
            <w:tcW w:w="6018" w:type="dxa"/>
            <w:tcBorders>
              <w:top w:val="nil"/>
              <w:left w:val="nil"/>
              <w:bottom w:val="nil"/>
              <w:right w:val="nil"/>
            </w:tcBorders>
            <w:hideMark/>
          </w:tcPr>
          <w:p w14:paraId="725077C9"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AFP, median (IQR), (ULN: 10 ng/ml)</w:t>
            </w:r>
          </w:p>
        </w:tc>
        <w:tc>
          <w:tcPr>
            <w:tcW w:w="3394" w:type="dxa"/>
            <w:tcBorders>
              <w:top w:val="nil"/>
              <w:left w:val="nil"/>
              <w:bottom w:val="nil"/>
              <w:right w:val="nil"/>
            </w:tcBorders>
            <w:hideMark/>
          </w:tcPr>
          <w:p w14:paraId="14105953"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4 (6.1)</w:t>
            </w:r>
          </w:p>
        </w:tc>
      </w:tr>
      <w:tr w:rsidR="004A7C7C" w14:paraId="055D1E16" w14:textId="77777777" w:rsidTr="00E37988">
        <w:trPr>
          <w:trHeight w:val="384"/>
        </w:trPr>
        <w:tc>
          <w:tcPr>
            <w:tcW w:w="6018" w:type="dxa"/>
            <w:tcBorders>
              <w:top w:val="nil"/>
              <w:left w:val="nil"/>
              <w:bottom w:val="nil"/>
              <w:right w:val="nil"/>
            </w:tcBorders>
            <w:hideMark/>
          </w:tcPr>
          <w:p w14:paraId="6B8461CF" w14:textId="00EC72AC" w:rsidR="004A7C7C" w:rsidRDefault="00A663DA">
            <w:pPr>
              <w:adjustRightInd w:val="0"/>
              <w:snapToGrid w:val="0"/>
              <w:spacing w:line="360" w:lineRule="auto"/>
              <w:jc w:val="both"/>
              <w:rPr>
                <w:rFonts w:ascii="Book Antiqua" w:hAnsi="Book Antiqua"/>
                <w:bCs/>
                <w:lang w:val="en-US"/>
              </w:rPr>
            </w:pPr>
            <w:r>
              <w:rPr>
                <w:rFonts w:ascii="Book Antiqua" w:hAnsi="Book Antiqua"/>
                <w:bCs/>
              </w:rPr>
              <w:t>Fibrosis METAVIR stage, (F0, F1</w:t>
            </w:r>
            <w:r w:rsidR="004A7C7C">
              <w:rPr>
                <w:rFonts w:ascii="Book Antiqua" w:hAnsi="Book Antiqua"/>
                <w:bCs/>
              </w:rPr>
              <w:t>/≥</w:t>
            </w:r>
            <w:r>
              <w:rPr>
                <w:rFonts w:ascii="Book Antiqua" w:hAnsi="Book Antiqua"/>
                <w:bCs/>
              </w:rPr>
              <w:t xml:space="preserve"> </w:t>
            </w:r>
            <w:r w:rsidR="004A7C7C">
              <w:rPr>
                <w:rFonts w:ascii="Book Antiqua" w:hAnsi="Book Antiqua"/>
                <w:bCs/>
              </w:rPr>
              <w:t xml:space="preserve">F2, </w:t>
            </w:r>
            <w:r w:rsidR="004A7C7C">
              <w:rPr>
                <w:rFonts w:ascii="Book Antiqua" w:hAnsi="Book Antiqua"/>
                <w:bCs/>
                <w:i/>
                <w:iCs/>
              </w:rPr>
              <w:t>n</w:t>
            </w:r>
            <w:r w:rsidR="004A7C7C">
              <w:rPr>
                <w:rFonts w:ascii="Book Antiqua" w:hAnsi="Book Antiqua"/>
                <w:bCs/>
              </w:rPr>
              <w:t xml:space="preserve"> (%)</w:t>
            </w:r>
          </w:p>
        </w:tc>
        <w:tc>
          <w:tcPr>
            <w:tcW w:w="3394" w:type="dxa"/>
            <w:tcBorders>
              <w:top w:val="nil"/>
              <w:left w:val="nil"/>
              <w:bottom w:val="nil"/>
              <w:right w:val="nil"/>
            </w:tcBorders>
            <w:hideMark/>
          </w:tcPr>
          <w:p w14:paraId="50A92E2C"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96/100 (49/51)</w:t>
            </w:r>
          </w:p>
        </w:tc>
      </w:tr>
      <w:tr w:rsidR="004A7C7C" w14:paraId="4244205D" w14:textId="77777777" w:rsidTr="00E37988">
        <w:trPr>
          <w:trHeight w:val="384"/>
        </w:trPr>
        <w:tc>
          <w:tcPr>
            <w:tcW w:w="6018" w:type="dxa"/>
            <w:tcBorders>
              <w:top w:val="nil"/>
              <w:left w:val="nil"/>
              <w:bottom w:val="nil"/>
              <w:right w:val="nil"/>
            </w:tcBorders>
            <w:hideMark/>
          </w:tcPr>
          <w:p w14:paraId="6057EC23"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 xml:space="preserve">Cirrhosis, yes/no, </w:t>
            </w:r>
            <w:r>
              <w:rPr>
                <w:rFonts w:ascii="Book Antiqua" w:hAnsi="Book Antiqua"/>
                <w:bCs/>
                <w:i/>
                <w:iCs/>
              </w:rPr>
              <w:t>n</w:t>
            </w:r>
            <w:r>
              <w:rPr>
                <w:rFonts w:ascii="Book Antiqua" w:hAnsi="Book Antiqua"/>
                <w:bCs/>
              </w:rPr>
              <w:t xml:space="preserve"> (%)</w:t>
            </w:r>
          </w:p>
        </w:tc>
        <w:tc>
          <w:tcPr>
            <w:tcW w:w="3394" w:type="dxa"/>
            <w:tcBorders>
              <w:top w:val="nil"/>
              <w:left w:val="nil"/>
              <w:bottom w:val="nil"/>
              <w:right w:val="nil"/>
            </w:tcBorders>
            <w:hideMark/>
          </w:tcPr>
          <w:p w14:paraId="280AD2C2"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450/182 (71.2/28.8)</w:t>
            </w:r>
          </w:p>
        </w:tc>
      </w:tr>
      <w:tr w:rsidR="004A7C7C" w14:paraId="365CC7C6" w14:textId="77777777" w:rsidTr="00E37988">
        <w:trPr>
          <w:trHeight w:val="384"/>
        </w:trPr>
        <w:tc>
          <w:tcPr>
            <w:tcW w:w="6018" w:type="dxa"/>
            <w:tcBorders>
              <w:top w:val="nil"/>
              <w:left w:val="nil"/>
              <w:bottom w:val="nil"/>
              <w:right w:val="nil"/>
            </w:tcBorders>
            <w:hideMark/>
          </w:tcPr>
          <w:p w14:paraId="4A9A58FD"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 xml:space="preserve">Decompensation of cirrhosis, yes/no, </w:t>
            </w:r>
            <w:r>
              <w:rPr>
                <w:rFonts w:ascii="Book Antiqua" w:hAnsi="Book Antiqua"/>
                <w:bCs/>
                <w:i/>
                <w:iCs/>
              </w:rPr>
              <w:t>n</w:t>
            </w:r>
            <w:r>
              <w:rPr>
                <w:rFonts w:ascii="Book Antiqua" w:hAnsi="Book Antiqua"/>
                <w:bCs/>
              </w:rPr>
              <w:t xml:space="preserve"> (%)</w:t>
            </w:r>
          </w:p>
        </w:tc>
        <w:tc>
          <w:tcPr>
            <w:tcW w:w="3394" w:type="dxa"/>
            <w:tcBorders>
              <w:top w:val="nil"/>
              <w:left w:val="nil"/>
              <w:bottom w:val="nil"/>
              <w:right w:val="nil"/>
            </w:tcBorders>
            <w:hideMark/>
          </w:tcPr>
          <w:p w14:paraId="1E54CD82"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226/224 (50.2/49.8)</w:t>
            </w:r>
          </w:p>
        </w:tc>
      </w:tr>
      <w:tr w:rsidR="004A7C7C" w14:paraId="75F338E6" w14:textId="77777777" w:rsidTr="00E37988">
        <w:trPr>
          <w:trHeight w:val="384"/>
        </w:trPr>
        <w:tc>
          <w:tcPr>
            <w:tcW w:w="6018" w:type="dxa"/>
            <w:tcBorders>
              <w:top w:val="nil"/>
              <w:left w:val="nil"/>
              <w:bottom w:val="nil"/>
              <w:right w:val="nil"/>
            </w:tcBorders>
            <w:hideMark/>
          </w:tcPr>
          <w:p w14:paraId="2068BEB7"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 xml:space="preserve">HCC, yes/no, </w:t>
            </w:r>
            <w:r>
              <w:rPr>
                <w:rFonts w:ascii="Book Antiqua" w:hAnsi="Book Antiqua"/>
                <w:bCs/>
                <w:i/>
                <w:iCs/>
              </w:rPr>
              <w:t>n</w:t>
            </w:r>
            <w:r>
              <w:rPr>
                <w:rFonts w:ascii="Book Antiqua" w:hAnsi="Book Antiqua"/>
                <w:bCs/>
              </w:rPr>
              <w:t xml:space="preserve"> (%)</w:t>
            </w:r>
          </w:p>
        </w:tc>
        <w:tc>
          <w:tcPr>
            <w:tcW w:w="3394" w:type="dxa"/>
            <w:tcBorders>
              <w:top w:val="nil"/>
              <w:left w:val="nil"/>
              <w:bottom w:val="nil"/>
              <w:right w:val="nil"/>
            </w:tcBorders>
            <w:hideMark/>
          </w:tcPr>
          <w:p w14:paraId="6D692667"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79/553 (12.5/87.5)</w:t>
            </w:r>
          </w:p>
        </w:tc>
      </w:tr>
      <w:tr w:rsidR="004A7C7C" w14:paraId="1A59CACE" w14:textId="77777777" w:rsidTr="00E37988">
        <w:trPr>
          <w:trHeight w:val="384"/>
        </w:trPr>
        <w:tc>
          <w:tcPr>
            <w:tcW w:w="6018" w:type="dxa"/>
            <w:tcBorders>
              <w:top w:val="nil"/>
              <w:left w:val="nil"/>
              <w:bottom w:val="nil"/>
              <w:right w:val="nil"/>
            </w:tcBorders>
            <w:hideMark/>
          </w:tcPr>
          <w:p w14:paraId="0EDAB696"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HCC BCLC stage, 0/A/B/C/D</w:t>
            </w:r>
            <w:r>
              <w:rPr>
                <w:rFonts w:ascii="Book Antiqua" w:hAnsi="Book Antiqua"/>
                <w:bCs/>
                <w:vertAlign w:val="superscript"/>
              </w:rPr>
              <w:t>†</w:t>
            </w:r>
            <w:r>
              <w:rPr>
                <w:rFonts w:ascii="Book Antiqua" w:hAnsi="Book Antiqua"/>
                <w:bCs/>
              </w:rPr>
              <w:t xml:space="preserve">, </w:t>
            </w:r>
            <w:r>
              <w:rPr>
                <w:rFonts w:ascii="Book Antiqua" w:hAnsi="Book Antiqua"/>
                <w:bCs/>
                <w:i/>
                <w:iCs/>
              </w:rPr>
              <w:t>n</w:t>
            </w:r>
            <w:r>
              <w:rPr>
                <w:rFonts w:ascii="Book Antiqua" w:hAnsi="Book Antiqua"/>
                <w:bCs/>
              </w:rPr>
              <w:t xml:space="preserve"> (%)</w:t>
            </w:r>
          </w:p>
        </w:tc>
        <w:tc>
          <w:tcPr>
            <w:tcW w:w="3394" w:type="dxa"/>
            <w:tcBorders>
              <w:top w:val="nil"/>
              <w:left w:val="nil"/>
              <w:bottom w:val="nil"/>
              <w:right w:val="nil"/>
            </w:tcBorders>
            <w:hideMark/>
          </w:tcPr>
          <w:p w14:paraId="779B42AC"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2/23/22/21/10 (2.6/29.5/28.2/26.9/12.8)</w:t>
            </w:r>
          </w:p>
        </w:tc>
      </w:tr>
      <w:tr w:rsidR="004A7C7C" w14:paraId="23529E32" w14:textId="77777777" w:rsidTr="00E37988">
        <w:trPr>
          <w:trHeight w:val="384"/>
        </w:trPr>
        <w:tc>
          <w:tcPr>
            <w:tcW w:w="6018" w:type="dxa"/>
            <w:tcBorders>
              <w:top w:val="nil"/>
              <w:left w:val="nil"/>
              <w:bottom w:val="nil"/>
              <w:right w:val="nil"/>
            </w:tcBorders>
            <w:hideMark/>
          </w:tcPr>
          <w:p w14:paraId="01C6004E"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HCC BCLC stage, 0-A-B / C-D</w:t>
            </w:r>
            <w:r>
              <w:rPr>
                <w:rFonts w:ascii="Book Antiqua" w:hAnsi="Book Antiqua"/>
                <w:bCs/>
                <w:vertAlign w:val="superscript"/>
              </w:rPr>
              <w:t>†</w:t>
            </w:r>
            <w:r>
              <w:rPr>
                <w:rFonts w:ascii="Book Antiqua" w:hAnsi="Book Antiqua"/>
                <w:bCs/>
              </w:rPr>
              <w:t xml:space="preserve">, </w:t>
            </w:r>
            <w:r>
              <w:rPr>
                <w:rFonts w:ascii="Book Antiqua" w:hAnsi="Book Antiqua"/>
                <w:bCs/>
                <w:i/>
                <w:iCs/>
              </w:rPr>
              <w:t>n</w:t>
            </w:r>
            <w:r>
              <w:rPr>
                <w:rFonts w:ascii="Book Antiqua" w:hAnsi="Book Antiqua"/>
                <w:bCs/>
              </w:rPr>
              <w:t xml:space="preserve"> (%)</w:t>
            </w:r>
          </w:p>
        </w:tc>
        <w:tc>
          <w:tcPr>
            <w:tcW w:w="3394" w:type="dxa"/>
            <w:tcBorders>
              <w:top w:val="nil"/>
              <w:left w:val="nil"/>
              <w:bottom w:val="nil"/>
              <w:right w:val="nil"/>
            </w:tcBorders>
            <w:hideMark/>
          </w:tcPr>
          <w:p w14:paraId="24065E0B"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47/31 (60.3/39.7)</w:t>
            </w:r>
          </w:p>
        </w:tc>
      </w:tr>
      <w:tr w:rsidR="004A7C7C" w14:paraId="3DC4B088" w14:textId="77777777" w:rsidTr="00E37988">
        <w:trPr>
          <w:trHeight w:val="384"/>
        </w:trPr>
        <w:tc>
          <w:tcPr>
            <w:tcW w:w="6018" w:type="dxa"/>
            <w:tcBorders>
              <w:top w:val="nil"/>
              <w:left w:val="nil"/>
              <w:bottom w:val="nil"/>
              <w:right w:val="nil"/>
            </w:tcBorders>
            <w:hideMark/>
          </w:tcPr>
          <w:p w14:paraId="338BB89C"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HCC dimensions (very early/intermediate/advanced)</w:t>
            </w:r>
          </w:p>
        </w:tc>
        <w:tc>
          <w:tcPr>
            <w:tcW w:w="3394" w:type="dxa"/>
            <w:tcBorders>
              <w:top w:val="nil"/>
              <w:left w:val="nil"/>
              <w:bottom w:val="nil"/>
              <w:right w:val="nil"/>
            </w:tcBorders>
            <w:hideMark/>
          </w:tcPr>
          <w:p w14:paraId="1236075A"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2/32/44 (2.6/41/56.4)</w:t>
            </w:r>
          </w:p>
        </w:tc>
      </w:tr>
      <w:tr w:rsidR="004A7C7C" w14:paraId="3E2EC6AB" w14:textId="77777777" w:rsidTr="00E37988">
        <w:trPr>
          <w:trHeight w:val="384"/>
        </w:trPr>
        <w:tc>
          <w:tcPr>
            <w:tcW w:w="6018" w:type="dxa"/>
            <w:tcBorders>
              <w:top w:val="nil"/>
              <w:left w:val="nil"/>
              <w:bottom w:val="nil"/>
              <w:right w:val="nil"/>
            </w:tcBorders>
            <w:hideMark/>
          </w:tcPr>
          <w:p w14:paraId="3DB52B05" w14:textId="09F7DCB2" w:rsidR="004A7C7C" w:rsidRDefault="004A7C7C">
            <w:pPr>
              <w:adjustRightInd w:val="0"/>
              <w:snapToGrid w:val="0"/>
              <w:spacing w:line="360" w:lineRule="auto"/>
              <w:jc w:val="both"/>
              <w:rPr>
                <w:rFonts w:ascii="Book Antiqua" w:hAnsi="Book Antiqua"/>
                <w:lang w:val="en-US"/>
              </w:rPr>
            </w:pPr>
            <w:r>
              <w:rPr>
                <w:rFonts w:ascii="Book Antiqua" w:hAnsi="Book Antiqua"/>
                <w:bCs/>
              </w:rPr>
              <w:t>Follow-up ≥</w:t>
            </w:r>
            <w:r w:rsidR="00A663DA">
              <w:rPr>
                <w:rFonts w:ascii="Book Antiqua" w:hAnsi="Book Antiqua"/>
                <w:bCs/>
              </w:rPr>
              <w:t xml:space="preserve"> </w:t>
            </w:r>
            <w:r>
              <w:rPr>
                <w:rFonts w:ascii="Book Antiqua" w:hAnsi="Book Antiqua"/>
                <w:bCs/>
              </w:rPr>
              <w:t xml:space="preserve">6 </w:t>
            </w:r>
            <w:proofErr w:type="spellStart"/>
            <w:r>
              <w:rPr>
                <w:rFonts w:ascii="Book Antiqua" w:hAnsi="Book Antiqua"/>
                <w:bCs/>
              </w:rPr>
              <w:t>mo</w:t>
            </w:r>
            <w:proofErr w:type="spellEnd"/>
            <w:r>
              <w:rPr>
                <w:rFonts w:ascii="Book Antiqua" w:hAnsi="Book Antiqua"/>
                <w:bCs/>
              </w:rPr>
              <w:t xml:space="preserve">, yes/no, </w:t>
            </w:r>
            <w:r>
              <w:rPr>
                <w:rFonts w:ascii="Book Antiqua" w:hAnsi="Book Antiqua"/>
                <w:bCs/>
                <w:i/>
                <w:iCs/>
              </w:rPr>
              <w:t>n</w:t>
            </w:r>
            <w:r>
              <w:rPr>
                <w:rFonts w:ascii="Book Antiqua" w:hAnsi="Book Antiqua"/>
                <w:bCs/>
              </w:rPr>
              <w:t xml:space="preserve"> (%)</w:t>
            </w:r>
          </w:p>
        </w:tc>
        <w:tc>
          <w:tcPr>
            <w:tcW w:w="3394" w:type="dxa"/>
            <w:tcBorders>
              <w:top w:val="nil"/>
              <w:left w:val="nil"/>
              <w:bottom w:val="nil"/>
              <w:right w:val="nil"/>
            </w:tcBorders>
            <w:hideMark/>
          </w:tcPr>
          <w:p w14:paraId="6A4041F2"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479/153 (75.8/24.2)</w:t>
            </w:r>
          </w:p>
        </w:tc>
      </w:tr>
      <w:tr w:rsidR="004A7C7C" w14:paraId="1476799D" w14:textId="77777777" w:rsidTr="00E37988">
        <w:trPr>
          <w:trHeight w:val="384"/>
        </w:trPr>
        <w:tc>
          <w:tcPr>
            <w:tcW w:w="6018" w:type="dxa"/>
            <w:tcBorders>
              <w:top w:val="nil"/>
              <w:left w:val="nil"/>
              <w:bottom w:val="single" w:sz="4" w:space="0" w:color="auto"/>
              <w:right w:val="nil"/>
            </w:tcBorders>
            <w:hideMark/>
          </w:tcPr>
          <w:p w14:paraId="23885B39"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 xml:space="preserve">Duration of follow-up, median (IQR), </w:t>
            </w:r>
            <w:proofErr w:type="spellStart"/>
            <w:r>
              <w:rPr>
                <w:rFonts w:ascii="Book Antiqua" w:hAnsi="Book Antiqua"/>
                <w:bCs/>
              </w:rPr>
              <w:t>mo</w:t>
            </w:r>
            <w:proofErr w:type="spellEnd"/>
          </w:p>
        </w:tc>
        <w:tc>
          <w:tcPr>
            <w:tcW w:w="3394" w:type="dxa"/>
            <w:tcBorders>
              <w:top w:val="nil"/>
              <w:left w:val="nil"/>
              <w:bottom w:val="single" w:sz="4" w:space="0" w:color="auto"/>
              <w:right w:val="nil"/>
            </w:tcBorders>
            <w:hideMark/>
          </w:tcPr>
          <w:p w14:paraId="41207006"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50 (57)</w:t>
            </w:r>
          </w:p>
        </w:tc>
      </w:tr>
    </w:tbl>
    <w:p w14:paraId="202430F0" w14:textId="77777777" w:rsidR="004A7C7C" w:rsidRDefault="004A7C7C" w:rsidP="004A7C7C">
      <w:pPr>
        <w:adjustRightInd w:val="0"/>
        <w:snapToGrid w:val="0"/>
        <w:spacing w:line="360" w:lineRule="auto"/>
        <w:jc w:val="both"/>
        <w:rPr>
          <w:rFonts w:ascii="Calibri" w:eastAsia="Arial Unicode MS" w:hAnsi="Calibri"/>
          <w:sz w:val="22"/>
          <w:szCs w:val="22"/>
        </w:rPr>
      </w:pPr>
      <w:r>
        <w:rPr>
          <w:rFonts w:ascii="Book Antiqua" w:hAnsi="Book Antiqua"/>
          <w:bCs/>
        </w:rPr>
        <w:lastRenderedPageBreak/>
        <w:t xml:space="preserve">One missing case because diagnosis </w:t>
      </w:r>
      <w:r>
        <w:rPr>
          <w:rFonts w:ascii="Book Antiqua" w:hAnsi="Book Antiqua"/>
        </w:rPr>
        <w:t>set on autopsy. IQR: Interquartile range; GP73: Golgi protein 73; ULN: Upper limit of normal; CHB: Chronic hepatitis B; CHC: Chronic hepatitis C; PBC: Primary biliary cholangitis; PSC: Primary sclerosing cholangitis; AIH: Autoimmune hepatitis; INR: International normalized ratio; AST: Aspartate aminotransferase; ALT: Alanine aminotransferase; γ-GT: γ-glutamyl transpeptidase; ALP: Alkaline phosphatase; AFP: Alpha-fetoprotein; HCC: Hepatocellular carcinoma; BCLC: Barcelona clinic liver cancer.</w:t>
      </w:r>
      <w:bookmarkEnd w:id="0"/>
    </w:p>
    <w:p w14:paraId="6F069A29" w14:textId="277623CE" w:rsidR="004A7C7C" w:rsidRDefault="004A7C7C">
      <w:pPr>
        <w:spacing w:line="360" w:lineRule="auto"/>
        <w:jc w:val="both"/>
      </w:pPr>
    </w:p>
    <w:p w14:paraId="469F1321" w14:textId="77777777" w:rsidR="00A663DA" w:rsidRDefault="00A663DA">
      <w:pPr>
        <w:rPr>
          <w:rFonts w:ascii="Book Antiqua" w:hAnsi="Book Antiqua"/>
          <w:b/>
          <w:bCs/>
        </w:rPr>
      </w:pPr>
      <w:bookmarkStart w:id="1" w:name="_Hlk48201082"/>
      <w:r>
        <w:rPr>
          <w:rFonts w:ascii="Book Antiqua" w:hAnsi="Book Antiqua"/>
          <w:b/>
          <w:bCs/>
        </w:rPr>
        <w:br w:type="page"/>
      </w:r>
    </w:p>
    <w:p w14:paraId="5E7FBE2A" w14:textId="04DA5297" w:rsidR="004A7C7C" w:rsidRDefault="004A7C7C" w:rsidP="004A7C7C">
      <w:pPr>
        <w:adjustRightInd w:val="0"/>
        <w:snapToGrid w:val="0"/>
        <w:spacing w:line="360" w:lineRule="auto"/>
        <w:jc w:val="both"/>
        <w:rPr>
          <w:rFonts w:ascii="Calibri" w:hAnsi="Calibri"/>
          <w:b/>
          <w:bCs/>
        </w:rPr>
      </w:pPr>
      <w:r>
        <w:rPr>
          <w:rFonts w:ascii="Book Antiqua" w:hAnsi="Book Antiqua"/>
          <w:b/>
          <w:bCs/>
        </w:rPr>
        <w:lastRenderedPageBreak/>
        <w:t xml:space="preserve">Table 2 Baseline demographic, clinical and laboratory characteristics of patients according to </w:t>
      </w:r>
      <w:proofErr w:type="spellStart"/>
      <w:r>
        <w:rPr>
          <w:rFonts w:ascii="Book Antiqua" w:hAnsi="Book Antiqua" w:cs="Calibri"/>
          <w:b/>
          <w:bCs/>
        </w:rPr>
        <w:t>golgi</w:t>
      </w:r>
      <w:proofErr w:type="spellEnd"/>
      <w:r>
        <w:rPr>
          <w:rFonts w:ascii="Book Antiqua" w:hAnsi="Book Antiqua" w:cs="Calibri"/>
          <w:b/>
          <w:bCs/>
        </w:rPr>
        <w:t xml:space="preserve"> protein 73</w:t>
      </w:r>
      <w:r>
        <w:rPr>
          <w:rFonts w:ascii="Book Antiqua" w:hAnsi="Book Antiqua"/>
          <w:b/>
          <w:bCs/>
        </w:rPr>
        <w:t>positivity</w:t>
      </w:r>
    </w:p>
    <w:tbl>
      <w:tblPr>
        <w:tblW w:w="4850" w:type="pct"/>
        <w:tblBorders>
          <w:top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789"/>
        <w:gridCol w:w="2045"/>
        <w:gridCol w:w="2195"/>
        <w:gridCol w:w="1050"/>
      </w:tblGrid>
      <w:tr w:rsidR="004A7C7C" w14:paraId="58ACC23B" w14:textId="77777777" w:rsidTr="004A7C7C">
        <w:trPr>
          <w:trHeight w:val="473"/>
        </w:trPr>
        <w:tc>
          <w:tcPr>
            <w:tcW w:w="2087" w:type="pct"/>
            <w:tcBorders>
              <w:top w:val="single" w:sz="8" w:space="0" w:color="000000"/>
              <w:left w:val="nil"/>
              <w:bottom w:val="single" w:sz="8" w:space="0" w:color="000000"/>
              <w:right w:val="nil"/>
            </w:tcBorders>
            <w:tcMar>
              <w:top w:w="15" w:type="dxa"/>
              <w:left w:w="108" w:type="dxa"/>
              <w:bottom w:w="0" w:type="dxa"/>
              <w:right w:w="108" w:type="dxa"/>
            </w:tcMar>
            <w:hideMark/>
          </w:tcPr>
          <w:p w14:paraId="65AF3FDA" w14:textId="77777777" w:rsidR="004A7C7C" w:rsidRDefault="004A7C7C">
            <w:pPr>
              <w:rPr>
                <w:rFonts w:ascii="Calibri" w:hAnsi="Calibri"/>
                <w:b/>
                <w:bCs/>
              </w:rPr>
            </w:pPr>
          </w:p>
        </w:tc>
        <w:tc>
          <w:tcPr>
            <w:tcW w:w="1126" w:type="pct"/>
            <w:tcBorders>
              <w:top w:val="single" w:sz="8" w:space="0" w:color="000000"/>
              <w:left w:val="nil"/>
              <w:bottom w:val="single" w:sz="8" w:space="0" w:color="000000"/>
              <w:right w:val="nil"/>
            </w:tcBorders>
            <w:tcMar>
              <w:top w:w="15" w:type="dxa"/>
              <w:left w:w="108" w:type="dxa"/>
              <w:bottom w:w="0" w:type="dxa"/>
              <w:right w:w="108" w:type="dxa"/>
            </w:tcMar>
            <w:hideMark/>
          </w:tcPr>
          <w:p w14:paraId="0F316BEF" w14:textId="77777777" w:rsidR="004A7C7C" w:rsidRDefault="004A7C7C">
            <w:pPr>
              <w:pStyle w:val="Default"/>
              <w:adjustRightInd w:val="0"/>
              <w:snapToGrid w:val="0"/>
              <w:spacing w:line="360" w:lineRule="auto"/>
              <w:jc w:val="both"/>
              <w:rPr>
                <w:rFonts w:ascii="Book Antiqua" w:hAnsi="Book Antiqua"/>
                <w:b/>
                <w:bCs/>
                <w:sz w:val="24"/>
                <w:szCs w:val="24"/>
                <w:lang w:val="en-US"/>
              </w:rPr>
            </w:pPr>
            <w:r>
              <w:rPr>
                <w:rFonts w:ascii="Book Antiqua" w:hAnsi="Book Antiqua"/>
                <w:b/>
                <w:bCs/>
                <w:sz w:val="24"/>
                <w:szCs w:val="24"/>
                <w:lang w:val="en-US"/>
              </w:rPr>
              <w:t>GP73-positive</w:t>
            </w:r>
          </w:p>
          <w:p w14:paraId="76066C37"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
                <w:bCs/>
                <w:sz w:val="24"/>
                <w:szCs w:val="24"/>
                <w:lang w:val="en-US"/>
              </w:rPr>
              <w:t>(</w:t>
            </w:r>
            <w:r>
              <w:rPr>
                <w:rFonts w:ascii="Book Antiqua" w:hAnsi="Book Antiqua"/>
                <w:b/>
                <w:bCs/>
                <w:i/>
                <w:iCs/>
                <w:sz w:val="24"/>
                <w:szCs w:val="24"/>
                <w:lang w:val="en-US"/>
              </w:rPr>
              <w:t>n</w:t>
            </w:r>
            <w:r>
              <w:rPr>
                <w:rFonts w:ascii="Book Antiqua" w:hAnsi="Book Antiqua"/>
                <w:b/>
                <w:bCs/>
                <w:sz w:val="24"/>
                <w:szCs w:val="24"/>
                <w:lang w:val="en-US"/>
              </w:rPr>
              <w:t xml:space="preserve"> = 277)</w:t>
            </w:r>
          </w:p>
        </w:tc>
        <w:tc>
          <w:tcPr>
            <w:tcW w:w="1209" w:type="pct"/>
            <w:tcBorders>
              <w:top w:val="single" w:sz="8" w:space="0" w:color="000000"/>
              <w:left w:val="nil"/>
              <w:bottom w:val="single" w:sz="8" w:space="0" w:color="000000"/>
              <w:right w:val="nil"/>
            </w:tcBorders>
            <w:tcMar>
              <w:top w:w="15" w:type="dxa"/>
              <w:left w:w="108" w:type="dxa"/>
              <w:bottom w:w="0" w:type="dxa"/>
              <w:right w:w="108" w:type="dxa"/>
            </w:tcMar>
            <w:hideMark/>
          </w:tcPr>
          <w:p w14:paraId="6F726341" w14:textId="77777777" w:rsidR="004A7C7C" w:rsidRDefault="004A7C7C">
            <w:pPr>
              <w:pStyle w:val="Default"/>
              <w:adjustRightInd w:val="0"/>
              <w:snapToGrid w:val="0"/>
              <w:spacing w:line="360" w:lineRule="auto"/>
              <w:jc w:val="both"/>
              <w:rPr>
                <w:rFonts w:ascii="Book Antiqua" w:hAnsi="Book Antiqua"/>
                <w:b/>
                <w:bCs/>
                <w:sz w:val="24"/>
                <w:szCs w:val="24"/>
                <w:lang w:val="en-US"/>
              </w:rPr>
            </w:pPr>
            <w:r>
              <w:rPr>
                <w:rFonts w:ascii="Book Antiqua" w:hAnsi="Book Antiqua"/>
                <w:b/>
                <w:bCs/>
                <w:sz w:val="24"/>
                <w:szCs w:val="24"/>
                <w:lang w:val="en-US"/>
              </w:rPr>
              <w:t>GP73-negative</w:t>
            </w:r>
          </w:p>
          <w:p w14:paraId="12569666"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
                <w:bCs/>
                <w:sz w:val="24"/>
                <w:szCs w:val="24"/>
                <w:lang w:val="en-US"/>
              </w:rPr>
              <w:t>(</w:t>
            </w:r>
            <w:r>
              <w:rPr>
                <w:rFonts w:ascii="Book Antiqua" w:hAnsi="Book Antiqua"/>
                <w:b/>
                <w:bCs/>
                <w:i/>
                <w:iCs/>
                <w:sz w:val="24"/>
                <w:szCs w:val="24"/>
                <w:lang w:val="en-US"/>
              </w:rPr>
              <w:t>n</w:t>
            </w:r>
            <w:r>
              <w:rPr>
                <w:rFonts w:ascii="Book Antiqua" w:hAnsi="Book Antiqua"/>
                <w:b/>
                <w:bCs/>
                <w:sz w:val="24"/>
                <w:szCs w:val="24"/>
                <w:lang w:val="en-US"/>
              </w:rPr>
              <w:t xml:space="preserve"> = 355)</w:t>
            </w:r>
          </w:p>
        </w:tc>
        <w:tc>
          <w:tcPr>
            <w:tcW w:w="578" w:type="pct"/>
            <w:tcBorders>
              <w:top w:val="single" w:sz="8" w:space="0" w:color="000000"/>
              <w:left w:val="nil"/>
              <w:bottom w:val="single" w:sz="8" w:space="0" w:color="000000"/>
              <w:right w:val="nil"/>
            </w:tcBorders>
            <w:tcMar>
              <w:top w:w="15" w:type="dxa"/>
              <w:left w:w="108" w:type="dxa"/>
              <w:bottom w:w="0" w:type="dxa"/>
              <w:right w:w="108" w:type="dxa"/>
            </w:tcMar>
            <w:hideMark/>
          </w:tcPr>
          <w:p w14:paraId="1ED47C2E"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
                <w:bCs/>
                <w:i/>
                <w:iCs/>
                <w:sz w:val="24"/>
                <w:szCs w:val="24"/>
                <w:lang w:val="en-US"/>
              </w:rPr>
              <w:t>P</w:t>
            </w:r>
            <w:r>
              <w:rPr>
                <w:rFonts w:ascii="Book Antiqua" w:hAnsi="Book Antiqua"/>
                <w:b/>
                <w:bCs/>
                <w:sz w:val="24"/>
                <w:szCs w:val="24"/>
                <w:lang w:val="en-US"/>
              </w:rPr>
              <w:t>-value</w:t>
            </w:r>
          </w:p>
        </w:tc>
      </w:tr>
      <w:tr w:rsidR="004A7C7C" w14:paraId="4B1ED6B5" w14:textId="77777777" w:rsidTr="004A7C7C">
        <w:trPr>
          <w:trHeight w:val="473"/>
        </w:trPr>
        <w:tc>
          <w:tcPr>
            <w:tcW w:w="2087" w:type="pct"/>
            <w:tcBorders>
              <w:top w:val="single" w:sz="8" w:space="0" w:color="000000"/>
              <w:left w:val="nil"/>
              <w:bottom w:val="nil"/>
              <w:right w:val="nil"/>
            </w:tcBorders>
            <w:tcMar>
              <w:top w:w="15" w:type="dxa"/>
              <w:left w:w="108" w:type="dxa"/>
              <w:bottom w:w="0" w:type="dxa"/>
              <w:right w:w="108" w:type="dxa"/>
            </w:tcMar>
            <w:hideMark/>
          </w:tcPr>
          <w:p w14:paraId="76A4433F"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 xml:space="preserve">Age, median (IQR), </w:t>
            </w:r>
            <w:proofErr w:type="spellStart"/>
            <w:r>
              <w:rPr>
                <w:rFonts w:ascii="Book Antiqua" w:hAnsi="Book Antiqua"/>
                <w:bCs/>
                <w:sz w:val="24"/>
                <w:szCs w:val="24"/>
                <w:lang w:val="en-US"/>
              </w:rPr>
              <w:t>yr</w:t>
            </w:r>
            <w:proofErr w:type="spellEnd"/>
          </w:p>
        </w:tc>
        <w:tc>
          <w:tcPr>
            <w:tcW w:w="1126" w:type="pct"/>
            <w:tcBorders>
              <w:top w:val="single" w:sz="8" w:space="0" w:color="000000"/>
              <w:left w:val="nil"/>
              <w:bottom w:val="nil"/>
              <w:right w:val="nil"/>
            </w:tcBorders>
            <w:tcMar>
              <w:top w:w="15" w:type="dxa"/>
              <w:left w:w="108" w:type="dxa"/>
              <w:bottom w:w="0" w:type="dxa"/>
              <w:right w:w="108" w:type="dxa"/>
            </w:tcMar>
            <w:hideMark/>
          </w:tcPr>
          <w:p w14:paraId="16B4C4B8"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59 (15)</w:t>
            </w:r>
          </w:p>
        </w:tc>
        <w:tc>
          <w:tcPr>
            <w:tcW w:w="1209" w:type="pct"/>
            <w:tcBorders>
              <w:top w:val="single" w:sz="8" w:space="0" w:color="000000"/>
              <w:left w:val="nil"/>
              <w:bottom w:val="nil"/>
              <w:right w:val="nil"/>
            </w:tcBorders>
            <w:tcMar>
              <w:top w:w="15" w:type="dxa"/>
              <w:left w:w="108" w:type="dxa"/>
              <w:bottom w:w="0" w:type="dxa"/>
              <w:right w:w="108" w:type="dxa"/>
            </w:tcMar>
            <w:hideMark/>
          </w:tcPr>
          <w:p w14:paraId="2FEB9200"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55 (22)</w:t>
            </w:r>
          </w:p>
        </w:tc>
        <w:tc>
          <w:tcPr>
            <w:tcW w:w="578" w:type="pct"/>
            <w:tcBorders>
              <w:top w:val="single" w:sz="8" w:space="0" w:color="000000"/>
              <w:left w:val="nil"/>
              <w:bottom w:val="nil"/>
              <w:right w:val="nil"/>
            </w:tcBorders>
            <w:tcMar>
              <w:top w:w="15" w:type="dxa"/>
              <w:left w:w="108" w:type="dxa"/>
              <w:bottom w:w="0" w:type="dxa"/>
              <w:right w:w="108" w:type="dxa"/>
            </w:tcMar>
            <w:hideMark/>
          </w:tcPr>
          <w:p w14:paraId="7B4CC497"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0FEBCD05"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791FAF59"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 xml:space="preserve">Sex, male/female, </w:t>
            </w:r>
            <w:r>
              <w:rPr>
                <w:rFonts w:ascii="Book Antiqua" w:hAnsi="Book Antiqua"/>
                <w:bCs/>
                <w:i/>
                <w:iCs/>
                <w:sz w:val="24"/>
                <w:szCs w:val="24"/>
                <w:lang w:val="en-US"/>
              </w:rPr>
              <w:t>n</w:t>
            </w:r>
            <w:r>
              <w:rPr>
                <w:rFonts w:ascii="Book Antiqua" w:hAnsi="Book Antiqua"/>
                <w:bCs/>
                <w:sz w:val="24"/>
                <w:szCs w:val="24"/>
                <w:lang w:val="en-US"/>
              </w:rPr>
              <w:t xml:space="preserve"> (%)</w:t>
            </w:r>
          </w:p>
        </w:tc>
        <w:tc>
          <w:tcPr>
            <w:tcW w:w="1126" w:type="pct"/>
            <w:tcBorders>
              <w:top w:val="nil"/>
              <w:left w:val="nil"/>
              <w:bottom w:val="nil"/>
              <w:right w:val="nil"/>
            </w:tcBorders>
            <w:tcMar>
              <w:top w:w="15" w:type="dxa"/>
              <w:left w:w="108" w:type="dxa"/>
              <w:bottom w:w="0" w:type="dxa"/>
              <w:right w:w="108" w:type="dxa"/>
            </w:tcMar>
            <w:hideMark/>
          </w:tcPr>
          <w:p w14:paraId="4F96E21E"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169/108</w:t>
            </w:r>
          </w:p>
          <w:p w14:paraId="6A6D6B3E"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(61/39)</w:t>
            </w:r>
          </w:p>
        </w:tc>
        <w:tc>
          <w:tcPr>
            <w:tcW w:w="1209" w:type="pct"/>
            <w:tcBorders>
              <w:top w:val="nil"/>
              <w:left w:val="nil"/>
              <w:bottom w:val="nil"/>
              <w:right w:val="nil"/>
            </w:tcBorders>
            <w:tcMar>
              <w:top w:w="15" w:type="dxa"/>
              <w:left w:w="108" w:type="dxa"/>
              <w:bottom w:w="0" w:type="dxa"/>
              <w:right w:w="108" w:type="dxa"/>
            </w:tcMar>
            <w:hideMark/>
          </w:tcPr>
          <w:p w14:paraId="02B81B45"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207/148 (58.3/41.7)</w:t>
            </w:r>
          </w:p>
        </w:tc>
        <w:tc>
          <w:tcPr>
            <w:tcW w:w="578" w:type="pct"/>
            <w:tcBorders>
              <w:top w:val="nil"/>
              <w:left w:val="nil"/>
              <w:bottom w:val="nil"/>
              <w:right w:val="nil"/>
            </w:tcBorders>
            <w:tcMar>
              <w:top w:w="15" w:type="dxa"/>
              <w:left w:w="108" w:type="dxa"/>
              <w:bottom w:w="0" w:type="dxa"/>
              <w:right w:w="108" w:type="dxa"/>
            </w:tcMar>
            <w:hideMark/>
          </w:tcPr>
          <w:p w14:paraId="6BFACF33"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0.545</w:t>
            </w:r>
          </w:p>
        </w:tc>
      </w:tr>
      <w:tr w:rsidR="004A7C7C" w14:paraId="71A09F06"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6424FC2D"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INR, median (IQR)</w:t>
            </w:r>
          </w:p>
        </w:tc>
        <w:tc>
          <w:tcPr>
            <w:tcW w:w="1126" w:type="pct"/>
            <w:tcBorders>
              <w:top w:val="nil"/>
              <w:left w:val="nil"/>
              <w:bottom w:val="nil"/>
              <w:right w:val="nil"/>
            </w:tcBorders>
            <w:tcMar>
              <w:top w:w="15" w:type="dxa"/>
              <w:left w:w="108" w:type="dxa"/>
              <w:bottom w:w="0" w:type="dxa"/>
              <w:right w:w="108" w:type="dxa"/>
            </w:tcMar>
            <w:hideMark/>
          </w:tcPr>
          <w:p w14:paraId="79EB2F7F"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1.28 (0.36)</w:t>
            </w:r>
          </w:p>
        </w:tc>
        <w:tc>
          <w:tcPr>
            <w:tcW w:w="1209" w:type="pct"/>
            <w:tcBorders>
              <w:top w:val="nil"/>
              <w:left w:val="nil"/>
              <w:bottom w:val="nil"/>
              <w:right w:val="nil"/>
            </w:tcBorders>
            <w:tcMar>
              <w:top w:w="15" w:type="dxa"/>
              <w:left w:w="108" w:type="dxa"/>
              <w:bottom w:w="0" w:type="dxa"/>
              <w:right w:w="108" w:type="dxa"/>
            </w:tcMar>
            <w:hideMark/>
          </w:tcPr>
          <w:p w14:paraId="4E8A2395"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1.09 (0.23)</w:t>
            </w:r>
          </w:p>
        </w:tc>
        <w:tc>
          <w:tcPr>
            <w:tcW w:w="578" w:type="pct"/>
            <w:tcBorders>
              <w:top w:val="nil"/>
              <w:left w:val="nil"/>
              <w:bottom w:val="nil"/>
              <w:right w:val="nil"/>
            </w:tcBorders>
            <w:tcMar>
              <w:top w:w="15" w:type="dxa"/>
              <w:left w:w="108" w:type="dxa"/>
              <w:bottom w:w="0" w:type="dxa"/>
              <w:right w:w="108" w:type="dxa"/>
            </w:tcMar>
            <w:hideMark/>
          </w:tcPr>
          <w:p w14:paraId="2483DC21"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4357622F"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3A019C7F"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Platelets, median (IQR), x10</w:t>
            </w:r>
            <w:r>
              <w:rPr>
                <w:rFonts w:ascii="Book Antiqua" w:hAnsi="Book Antiqua"/>
                <w:bCs/>
                <w:sz w:val="24"/>
                <w:szCs w:val="24"/>
                <w:vertAlign w:val="superscript"/>
                <w:lang w:val="en-US"/>
              </w:rPr>
              <w:t>3</w:t>
            </w:r>
            <w:r>
              <w:rPr>
                <w:rFonts w:ascii="Book Antiqua" w:hAnsi="Book Antiqua"/>
                <w:bCs/>
                <w:sz w:val="24"/>
                <w:szCs w:val="24"/>
                <w:lang w:val="en-US"/>
              </w:rPr>
              <w:t>/</w:t>
            </w:r>
            <w:proofErr w:type="spellStart"/>
            <w:r>
              <w:rPr>
                <w:rFonts w:ascii="Book Antiqua" w:hAnsi="Book Antiqua"/>
                <w:bCs/>
                <w:sz w:val="24"/>
                <w:szCs w:val="24"/>
                <w:lang w:val="en-US"/>
              </w:rPr>
              <w:t>μL</w:t>
            </w:r>
            <w:proofErr w:type="spellEnd"/>
          </w:p>
        </w:tc>
        <w:tc>
          <w:tcPr>
            <w:tcW w:w="1126" w:type="pct"/>
            <w:tcBorders>
              <w:top w:val="nil"/>
              <w:left w:val="nil"/>
              <w:bottom w:val="nil"/>
              <w:right w:val="nil"/>
            </w:tcBorders>
            <w:tcMar>
              <w:top w:w="15" w:type="dxa"/>
              <w:left w:w="108" w:type="dxa"/>
              <w:bottom w:w="0" w:type="dxa"/>
              <w:right w:w="108" w:type="dxa"/>
            </w:tcMar>
            <w:hideMark/>
          </w:tcPr>
          <w:p w14:paraId="6ADD7C97"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125 (99.3)</w:t>
            </w:r>
          </w:p>
        </w:tc>
        <w:tc>
          <w:tcPr>
            <w:tcW w:w="1209" w:type="pct"/>
            <w:tcBorders>
              <w:top w:val="nil"/>
              <w:left w:val="nil"/>
              <w:bottom w:val="nil"/>
              <w:right w:val="nil"/>
            </w:tcBorders>
            <w:tcMar>
              <w:top w:w="15" w:type="dxa"/>
              <w:left w:w="108" w:type="dxa"/>
              <w:bottom w:w="0" w:type="dxa"/>
              <w:right w:w="108" w:type="dxa"/>
            </w:tcMar>
            <w:hideMark/>
          </w:tcPr>
          <w:p w14:paraId="4E019F7F"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180 (113.7)</w:t>
            </w:r>
          </w:p>
        </w:tc>
        <w:tc>
          <w:tcPr>
            <w:tcW w:w="578" w:type="pct"/>
            <w:tcBorders>
              <w:top w:val="nil"/>
              <w:left w:val="nil"/>
              <w:bottom w:val="nil"/>
              <w:right w:val="nil"/>
            </w:tcBorders>
            <w:tcMar>
              <w:top w:w="15" w:type="dxa"/>
              <w:left w:w="108" w:type="dxa"/>
              <w:bottom w:w="0" w:type="dxa"/>
              <w:right w:w="108" w:type="dxa"/>
            </w:tcMar>
            <w:hideMark/>
          </w:tcPr>
          <w:p w14:paraId="2F50A1AE"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170F3DDE"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0A5E73FA"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AST, median (IQR), U/L</w:t>
            </w:r>
          </w:p>
        </w:tc>
        <w:tc>
          <w:tcPr>
            <w:tcW w:w="1126" w:type="pct"/>
            <w:tcBorders>
              <w:top w:val="nil"/>
              <w:left w:val="nil"/>
              <w:bottom w:val="nil"/>
              <w:right w:val="nil"/>
            </w:tcBorders>
            <w:tcMar>
              <w:top w:w="15" w:type="dxa"/>
              <w:left w:w="108" w:type="dxa"/>
              <w:bottom w:w="0" w:type="dxa"/>
              <w:right w:w="108" w:type="dxa"/>
            </w:tcMar>
            <w:hideMark/>
          </w:tcPr>
          <w:p w14:paraId="6493FB8F"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59 (67)</w:t>
            </w:r>
          </w:p>
        </w:tc>
        <w:tc>
          <w:tcPr>
            <w:tcW w:w="1209" w:type="pct"/>
            <w:tcBorders>
              <w:top w:val="nil"/>
              <w:left w:val="nil"/>
              <w:bottom w:val="nil"/>
              <w:right w:val="nil"/>
            </w:tcBorders>
            <w:tcMar>
              <w:top w:w="15" w:type="dxa"/>
              <w:left w:w="108" w:type="dxa"/>
              <w:bottom w:w="0" w:type="dxa"/>
              <w:right w:w="108" w:type="dxa"/>
            </w:tcMar>
            <w:hideMark/>
          </w:tcPr>
          <w:p w14:paraId="1C269091"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40 (44)</w:t>
            </w:r>
          </w:p>
        </w:tc>
        <w:tc>
          <w:tcPr>
            <w:tcW w:w="578" w:type="pct"/>
            <w:tcBorders>
              <w:top w:val="nil"/>
              <w:left w:val="nil"/>
              <w:bottom w:val="nil"/>
              <w:right w:val="nil"/>
            </w:tcBorders>
            <w:tcMar>
              <w:top w:w="15" w:type="dxa"/>
              <w:left w:w="108" w:type="dxa"/>
              <w:bottom w:w="0" w:type="dxa"/>
              <w:right w:w="108" w:type="dxa"/>
            </w:tcMar>
            <w:hideMark/>
          </w:tcPr>
          <w:p w14:paraId="0E84C892"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23D09F9A"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3EC5234C"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ALT, median (IQR), U/L</w:t>
            </w:r>
          </w:p>
        </w:tc>
        <w:tc>
          <w:tcPr>
            <w:tcW w:w="1126" w:type="pct"/>
            <w:tcBorders>
              <w:top w:val="nil"/>
              <w:left w:val="nil"/>
              <w:bottom w:val="nil"/>
              <w:right w:val="nil"/>
            </w:tcBorders>
            <w:tcMar>
              <w:top w:w="15" w:type="dxa"/>
              <w:left w:w="108" w:type="dxa"/>
              <w:bottom w:w="0" w:type="dxa"/>
              <w:right w:w="108" w:type="dxa"/>
            </w:tcMar>
            <w:hideMark/>
          </w:tcPr>
          <w:p w14:paraId="2BE7F68C"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43 (45)</w:t>
            </w:r>
          </w:p>
        </w:tc>
        <w:tc>
          <w:tcPr>
            <w:tcW w:w="1209" w:type="pct"/>
            <w:tcBorders>
              <w:top w:val="nil"/>
              <w:left w:val="nil"/>
              <w:bottom w:val="nil"/>
              <w:right w:val="nil"/>
            </w:tcBorders>
            <w:tcMar>
              <w:top w:w="15" w:type="dxa"/>
              <w:left w:w="108" w:type="dxa"/>
              <w:bottom w:w="0" w:type="dxa"/>
              <w:right w:w="108" w:type="dxa"/>
            </w:tcMar>
            <w:hideMark/>
          </w:tcPr>
          <w:p w14:paraId="7CEA2DD3"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39 (43)</w:t>
            </w:r>
          </w:p>
        </w:tc>
        <w:tc>
          <w:tcPr>
            <w:tcW w:w="578" w:type="pct"/>
            <w:tcBorders>
              <w:top w:val="nil"/>
              <w:left w:val="nil"/>
              <w:bottom w:val="nil"/>
              <w:right w:val="nil"/>
            </w:tcBorders>
            <w:tcMar>
              <w:top w:w="15" w:type="dxa"/>
              <w:left w:w="108" w:type="dxa"/>
              <w:bottom w:w="0" w:type="dxa"/>
              <w:right w:w="108" w:type="dxa"/>
            </w:tcMar>
            <w:hideMark/>
          </w:tcPr>
          <w:p w14:paraId="3EECF71B"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0.127</w:t>
            </w:r>
          </w:p>
        </w:tc>
      </w:tr>
      <w:tr w:rsidR="004A7C7C" w14:paraId="1CB6EDFF"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158793CA"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γ-GT, median (IQR), U/L</w:t>
            </w:r>
          </w:p>
        </w:tc>
        <w:tc>
          <w:tcPr>
            <w:tcW w:w="1126" w:type="pct"/>
            <w:tcBorders>
              <w:top w:val="nil"/>
              <w:left w:val="nil"/>
              <w:bottom w:val="nil"/>
              <w:right w:val="nil"/>
            </w:tcBorders>
            <w:tcMar>
              <w:top w:w="15" w:type="dxa"/>
              <w:left w:w="108" w:type="dxa"/>
              <w:bottom w:w="0" w:type="dxa"/>
              <w:right w:w="108" w:type="dxa"/>
            </w:tcMar>
            <w:hideMark/>
          </w:tcPr>
          <w:p w14:paraId="0D3D72BE"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105 (171)</w:t>
            </w:r>
          </w:p>
        </w:tc>
        <w:tc>
          <w:tcPr>
            <w:tcW w:w="1209" w:type="pct"/>
            <w:tcBorders>
              <w:top w:val="nil"/>
              <w:left w:val="nil"/>
              <w:bottom w:val="nil"/>
              <w:right w:val="nil"/>
            </w:tcBorders>
            <w:tcMar>
              <w:top w:w="15" w:type="dxa"/>
              <w:left w:w="108" w:type="dxa"/>
              <w:bottom w:w="0" w:type="dxa"/>
              <w:right w:w="108" w:type="dxa"/>
            </w:tcMar>
            <w:hideMark/>
          </w:tcPr>
          <w:p w14:paraId="0967AC02"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45 (79)</w:t>
            </w:r>
          </w:p>
        </w:tc>
        <w:tc>
          <w:tcPr>
            <w:tcW w:w="578" w:type="pct"/>
            <w:tcBorders>
              <w:top w:val="nil"/>
              <w:left w:val="nil"/>
              <w:bottom w:val="nil"/>
              <w:right w:val="nil"/>
            </w:tcBorders>
            <w:tcMar>
              <w:top w:w="15" w:type="dxa"/>
              <w:left w:w="108" w:type="dxa"/>
              <w:bottom w:w="0" w:type="dxa"/>
              <w:right w:w="108" w:type="dxa"/>
            </w:tcMar>
            <w:hideMark/>
          </w:tcPr>
          <w:p w14:paraId="693E790E"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7D76C2B4"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30D5164C"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ALP, median (IQR), U/L</w:t>
            </w:r>
          </w:p>
        </w:tc>
        <w:tc>
          <w:tcPr>
            <w:tcW w:w="1126" w:type="pct"/>
            <w:tcBorders>
              <w:top w:val="nil"/>
              <w:left w:val="nil"/>
              <w:bottom w:val="nil"/>
              <w:right w:val="nil"/>
            </w:tcBorders>
            <w:tcMar>
              <w:top w:w="15" w:type="dxa"/>
              <w:left w:w="108" w:type="dxa"/>
              <w:bottom w:w="0" w:type="dxa"/>
              <w:right w:w="108" w:type="dxa"/>
            </w:tcMar>
            <w:hideMark/>
          </w:tcPr>
          <w:p w14:paraId="79C52019"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111 (80)</w:t>
            </w:r>
          </w:p>
        </w:tc>
        <w:tc>
          <w:tcPr>
            <w:tcW w:w="1209" w:type="pct"/>
            <w:tcBorders>
              <w:top w:val="nil"/>
              <w:left w:val="nil"/>
              <w:bottom w:val="nil"/>
              <w:right w:val="nil"/>
            </w:tcBorders>
            <w:tcMar>
              <w:top w:w="15" w:type="dxa"/>
              <w:left w:w="108" w:type="dxa"/>
              <w:bottom w:w="0" w:type="dxa"/>
              <w:right w:w="108" w:type="dxa"/>
            </w:tcMar>
            <w:hideMark/>
          </w:tcPr>
          <w:p w14:paraId="1A6D4BA8"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85 (66)</w:t>
            </w:r>
          </w:p>
        </w:tc>
        <w:tc>
          <w:tcPr>
            <w:tcW w:w="578" w:type="pct"/>
            <w:tcBorders>
              <w:top w:val="nil"/>
              <w:left w:val="nil"/>
              <w:bottom w:val="nil"/>
              <w:right w:val="nil"/>
            </w:tcBorders>
            <w:tcMar>
              <w:top w:w="15" w:type="dxa"/>
              <w:left w:w="108" w:type="dxa"/>
              <w:bottom w:w="0" w:type="dxa"/>
              <w:right w:w="108" w:type="dxa"/>
            </w:tcMar>
            <w:hideMark/>
          </w:tcPr>
          <w:p w14:paraId="6DFC2726"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47269BE6"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501874CB"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Bilirubin, median (IQR), mg/dL</w:t>
            </w:r>
          </w:p>
        </w:tc>
        <w:tc>
          <w:tcPr>
            <w:tcW w:w="1126" w:type="pct"/>
            <w:tcBorders>
              <w:top w:val="nil"/>
              <w:left w:val="nil"/>
              <w:bottom w:val="nil"/>
              <w:right w:val="nil"/>
            </w:tcBorders>
            <w:tcMar>
              <w:top w:w="15" w:type="dxa"/>
              <w:left w:w="108" w:type="dxa"/>
              <w:bottom w:w="0" w:type="dxa"/>
              <w:right w:w="108" w:type="dxa"/>
            </w:tcMar>
            <w:hideMark/>
          </w:tcPr>
          <w:p w14:paraId="55455DE5"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1.9 (3.1)</w:t>
            </w:r>
          </w:p>
        </w:tc>
        <w:tc>
          <w:tcPr>
            <w:tcW w:w="1209" w:type="pct"/>
            <w:tcBorders>
              <w:top w:val="nil"/>
              <w:left w:val="nil"/>
              <w:bottom w:val="nil"/>
              <w:right w:val="nil"/>
            </w:tcBorders>
            <w:tcMar>
              <w:top w:w="15" w:type="dxa"/>
              <w:left w:w="108" w:type="dxa"/>
              <w:bottom w:w="0" w:type="dxa"/>
              <w:right w:w="108" w:type="dxa"/>
            </w:tcMar>
            <w:hideMark/>
          </w:tcPr>
          <w:p w14:paraId="61300556"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0.9 (0.9)</w:t>
            </w:r>
          </w:p>
        </w:tc>
        <w:tc>
          <w:tcPr>
            <w:tcW w:w="578" w:type="pct"/>
            <w:tcBorders>
              <w:top w:val="nil"/>
              <w:left w:val="nil"/>
              <w:bottom w:val="nil"/>
              <w:right w:val="nil"/>
            </w:tcBorders>
            <w:tcMar>
              <w:top w:w="15" w:type="dxa"/>
              <w:left w:w="108" w:type="dxa"/>
              <w:bottom w:w="0" w:type="dxa"/>
              <w:right w:w="108" w:type="dxa"/>
            </w:tcMar>
            <w:hideMark/>
          </w:tcPr>
          <w:p w14:paraId="0A49AAB5"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2652B34D"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2F379E99"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Albumin, median (IQR), g/dL</w:t>
            </w:r>
          </w:p>
        </w:tc>
        <w:tc>
          <w:tcPr>
            <w:tcW w:w="1126" w:type="pct"/>
            <w:tcBorders>
              <w:top w:val="nil"/>
              <w:left w:val="nil"/>
              <w:bottom w:val="nil"/>
              <w:right w:val="nil"/>
            </w:tcBorders>
            <w:tcMar>
              <w:top w:w="15" w:type="dxa"/>
              <w:left w:w="108" w:type="dxa"/>
              <w:bottom w:w="0" w:type="dxa"/>
              <w:right w:w="108" w:type="dxa"/>
            </w:tcMar>
            <w:hideMark/>
          </w:tcPr>
          <w:p w14:paraId="03CC1779"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3.4 (1.1)</w:t>
            </w:r>
          </w:p>
        </w:tc>
        <w:tc>
          <w:tcPr>
            <w:tcW w:w="1209" w:type="pct"/>
            <w:tcBorders>
              <w:top w:val="nil"/>
              <w:left w:val="nil"/>
              <w:bottom w:val="nil"/>
              <w:right w:val="nil"/>
            </w:tcBorders>
            <w:tcMar>
              <w:top w:w="15" w:type="dxa"/>
              <w:left w:w="108" w:type="dxa"/>
              <w:bottom w:w="0" w:type="dxa"/>
              <w:right w:w="108" w:type="dxa"/>
            </w:tcMar>
            <w:hideMark/>
          </w:tcPr>
          <w:p w14:paraId="47AD1FCC"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4.3 (0.9)</w:t>
            </w:r>
          </w:p>
        </w:tc>
        <w:tc>
          <w:tcPr>
            <w:tcW w:w="578" w:type="pct"/>
            <w:tcBorders>
              <w:top w:val="nil"/>
              <w:left w:val="nil"/>
              <w:bottom w:val="nil"/>
              <w:right w:val="nil"/>
            </w:tcBorders>
            <w:tcMar>
              <w:top w:w="15" w:type="dxa"/>
              <w:left w:w="108" w:type="dxa"/>
              <w:bottom w:w="0" w:type="dxa"/>
              <w:right w:w="108" w:type="dxa"/>
            </w:tcMar>
            <w:hideMark/>
          </w:tcPr>
          <w:p w14:paraId="57A9C0B5"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13FF7296"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4DB558C1"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AFP, median (IQR), ng/mL</w:t>
            </w:r>
          </w:p>
        </w:tc>
        <w:tc>
          <w:tcPr>
            <w:tcW w:w="1126" w:type="pct"/>
            <w:tcBorders>
              <w:top w:val="nil"/>
              <w:left w:val="nil"/>
              <w:bottom w:val="nil"/>
              <w:right w:val="nil"/>
            </w:tcBorders>
            <w:tcMar>
              <w:top w:w="15" w:type="dxa"/>
              <w:left w:w="108" w:type="dxa"/>
              <w:bottom w:w="0" w:type="dxa"/>
              <w:right w:w="108" w:type="dxa"/>
            </w:tcMar>
            <w:hideMark/>
          </w:tcPr>
          <w:p w14:paraId="411ABE67"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5 (14.4)</w:t>
            </w:r>
          </w:p>
        </w:tc>
        <w:tc>
          <w:tcPr>
            <w:tcW w:w="1209" w:type="pct"/>
            <w:tcBorders>
              <w:top w:val="nil"/>
              <w:left w:val="nil"/>
              <w:bottom w:val="nil"/>
              <w:right w:val="nil"/>
            </w:tcBorders>
            <w:tcMar>
              <w:top w:w="15" w:type="dxa"/>
              <w:left w:w="108" w:type="dxa"/>
              <w:bottom w:w="0" w:type="dxa"/>
              <w:right w:w="108" w:type="dxa"/>
            </w:tcMar>
            <w:hideMark/>
          </w:tcPr>
          <w:p w14:paraId="3A074A8A"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3.5 (5)</w:t>
            </w:r>
          </w:p>
        </w:tc>
        <w:tc>
          <w:tcPr>
            <w:tcW w:w="578" w:type="pct"/>
            <w:tcBorders>
              <w:top w:val="nil"/>
              <w:left w:val="nil"/>
              <w:bottom w:val="nil"/>
              <w:right w:val="nil"/>
            </w:tcBorders>
            <w:tcMar>
              <w:top w:w="15" w:type="dxa"/>
              <w:left w:w="108" w:type="dxa"/>
              <w:bottom w:w="0" w:type="dxa"/>
              <w:right w:w="108" w:type="dxa"/>
            </w:tcMar>
            <w:hideMark/>
          </w:tcPr>
          <w:p w14:paraId="44C350CC"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18237DAB"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49DB9B1D"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APRI score, median (IQR)</w:t>
            </w:r>
          </w:p>
        </w:tc>
        <w:tc>
          <w:tcPr>
            <w:tcW w:w="1126" w:type="pct"/>
            <w:tcBorders>
              <w:top w:val="nil"/>
              <w:left w:val="nil"/>
              <w:bottom w:val="nil"/>
              <w:right w:val="nil"/>
            </w:tcBorders>
            <w:tcMar>
              <w:top w:w="15" w:type="dxa"/>
              <w:left w:w="108" w:type="dxa"/>
              <w:bottom w:w="0" w:type="dxa"/>
              <w:right w:w="108" w:type="dxa"/>
            </w:tcMar>
            <w:hideMark/>
          </w:tcPr>
          <w:p w14:paraId="08DA9156"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1.4 (2.1)</w:t>
            </w:r>
          </w:p>
        </w:tc>
        <w:tc>
          <w:tcPr>
            <w:tcW w:w="1209" w:type="pct"/>
            <w:tcBorders>
              <w:top w:val="nil"/>
              <w:left w:val="nil"/>
              <w:bottom w:val="nil"/>
              <w:right w:val="nil"/>
            </w:tcBorders>
            <w:tcMar>
              <w:top w:w="15" w:type="dxa"/>
              <w:left w:w="108" w:type="dxa"/>
              <w:bottom w:w="0" w:type="dxa"/>
              <w:right w:w="108" w:type="dxa"/>
            </w:tcMar>
            <w:hideMark/>
          </w:tcPr>
          <w:p w14:paraId="44065600"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0.6 (1)</w:t>
            </w:r>
          </w:p>
        </w:tc>
        <w:tc>
          <w:tcPr>
            <w:tcW w:w="578" w:type="pct"/>
            <w:tcBorders>
              <w:top w:val="nil"/>
              <w:left w:val="nil"/>
              <w:bottom w:val="nil"/>
              <w:right w:val="nil"/>
            </w:tcBorders>
            <w:tcMar>
              <w:top w:w="15" w:type="dxa"/>
              <w:left w:w="108" w:type="dxa"/>
              <w:bottom w:w="0" w:type="dxa"/>
              <w:right w:w="108" w:type="dxa"/>
            </w:tcMar>
            <w:hideMark/>
          </w:tcPr>
          <w:p w14:paraId="421E1BF6"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3C4A54BD"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2498BFAC" w14:textId="77777777" w:rsidR="004A7C7C" w:rsidRDefault="004A7C7C">
            <w:pPr>
              <w:pStyle w:val="Default"/>
              <w:adjustRightInd w:val="0"/>
              <w:snapToGrid w:val="0"/>
              <w:spacing w:line="360" w:lineRule="auto"/>
              <w:jc w:val="both"/>
              <w:rPr>
                <w:rFonts w:ascii="Book Antiqua" w:hAnsi="Book Antiqua"/>
                <w:bCs/>
                <w:sz w:val="24"/>
                <w:szCs w:val="24"/>
                <w:lang w:val="en-US"/>
              </w:rPr>
            </w:pPr>
            <w:r>
              <w:rPr>
                <w:rFonts w:ascii="Book Antiqua" w:hAnsi="Book Antiqua"/>
                <w:bCs/>
                <w:sz w:val="24"/>
                <w:szCs w:val="24"/>
                <w:lang w:val="en-US"/>
              </w:rPr>
              <w:t xml:space="preserve">Fibrosis stage (METAVIR) F0, F1 / ≥ F2, </w:t>
            </w:r>
            <w:r>
              <w:rPr>
                <w:rFonts w:ascii="Book Antiqua" w:hAnsi="Book Antiqua"/>
                <w:bCs/>
                <w:i/>
                <w:iCs/>
                <w:sz w:val="24"/>
                <w:szCs w:val="24"/>
                <w:lang w:val="en-US"/>
              </w:rPr>
              <w:t>n</w:t>
            </w:r>
            <w:r>
              <w:rPr>
                <w:rFonts w:ascii="Book Antiqua" w:hAnsi="Book Antiqua"/>
                <w:bCs/>
                <w:sz w:val="24"/>
                <w:szCs w:val="24"/>
                <w:lang w:val="en-US"/>
              </w:rPr>
              <w:t xml:space="preserve"> (%)</w:t>
            </w:r>
          </w:p>
        </w:tc>
        <w:tc>
          <w:tcPr>
            <w:tcW w:w="1126" w:type="pct"/>
            <w:tcBorders>
              <w:top w:val="nil"/>
              <w:left w:val="nil"/>
              <w:bottom w:val="nil"/>
              <w:right w:val="nil"/>
            </w:tcBorders>
            <w:tcMar>
              <w:top w:w="15" w:type="dxa"/>
              <w:left w:w="108" w:type="dxa"/>
              <w:bottom w:w="0" w:type="dxa"/>
              <w:right w:w="108" w:type="dxa"/>
            </w:tcMar>
            <w:hideMark/>
          </w:tcPr>
          <w:p w14:paraId="12FDE5F4"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4/28 (12.5/87.5)</w:t>
            </w:r>
          </w:p>
        </w:tc>
        <w:tc>
          <w:tcPr>
            <w:tcW w:w="1209" w:type="pct"/>
            <w:tcBorders>
              <w:top w:val="nil"/>
              <w:left w:val="nil"/>
              <w:bottom w:val="nil"/>
              <w:right w:val="nil"/>
            </w:tcBorders>
            <w:tcMar>
              <w:top w:w="15" w:type="dxa"/>
              <w:left w:w="108" w:type="dxa"/>
              <w:bottom w:w="0" w:type="dxa"/>
              <w:right w:w="108" w:type="dxa"/>
            </w:tcMar>
            <w:hideMark/>
          </w:tcPr>
          <w:p w14:paraId="316B8B85"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92/72 (56.1/43.9)</w:t>
            </w:r>
          </w:p>
        </w:tc>
        <w:tc>
          <w:tcPr>
            <w:tcW w:w="578" w:type="pct"/>
            <w:tcBorders>
              <w:top w:val="nil"/>
              <w:left w:val="nil"/>
              <w:bottom w:val="nil"/>
              <w:right w:val="nil"/>
            </w:tcBorders>
            <w:tcMar>
              <w:top w:w="15" w:type="dxa"/>
              <w:left w:w="108" w:type="dxa"/>
              <w:bottom w:w="0" w:type="dxa"/>
              <w:right w:w="108" w:type="dxa"/>
            </w:tcMar>
            <w:hideMark/>
          </w:tcPr>
          <w:p w14:paraId="05D44AE8"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0EEE76AE"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0AA1A1D1"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 xml:space="preserve">Cirrhosis, yes/no, </w:t>
            </w:r>
            <w:r>
              <w:rPr>
                <w:rFonts w:ascii="Book Antiqua" w:hAnsi="Book Antiqua"/>
                <w:bCs/>
                <w:i/>
                <w:iCs/>
                <w:sz w:val="24"/>
                <w:szCs w:val="24"/>
                <w:lang w:val="en-US"/>
              </w:rPr>
              <w:t>n</w:t>
            </w:r>
            <w:r>
              <w:rPr>
                <w:rFonts w:ascii="Book Antiqua" w:hAnsi="Book Antiqua"/>
                <w:bCs/>
                <w:sz w:val="24"/>
                <w:szCs w:val="24"/>
                <w:lang w:val="en-US"/>
              </w:rPr>
              <w:t xml:space="preserve"> (%)</w:t>
            </w:r>
          </w:p>
        </w:tc>
        <w:tc>
          <w:tcPr>
            <w:tcW w:w="1126" w:type="pct"/>
            <w:tcBorders>
              <w:top w:val="nil"/>
              <w:left w:val="nil"/>
              <w:bottom w:val="nil"/>
              <w:right w:val="nil"/>
            </w:tcBorders>
            <w:tcMar>
              <w:top w:w="15" w:type="dxa"/>
              <w:left w:w="108" w:type="dxa"/>
              <w:bottom w:w="0" w:type="dxa"/>
              <w:right w:w="108" w:type="dxa"/>
            </w:tcMar>
            <w:hideMark/>
          </w:tcPr>
          <w:p w14:paraId="75C98984"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267/10</w:t>
            </w:r>
          </w:p>
          <w:p w14:paraId="4FAD8ECE"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(96.4/3.6)</w:t>
            </w:r>
          </w:p>
        </w:tc>
        <w:tc>
          <w:tcPr>
            <w:tcW w:w="1209" w:type="pct"/>
            <w:tcBorders>
              <w:top w:val="nil"/>
              <w:left w:val="nil"/>
              <w:bottom w:val="nil"/>
              <w:right w:val="nil"/>
            </w:tcBorders>
            <w:tcMar>
              <w:top w:w="15" w:type="dxa"/>
              <w:left w:w="108" w:type="dxa"/>
              <w:bottom w:w="0" w:type="dxa"/>
              <w:right w:w="108" w:type="dxa"/>
            </w:tcMar>
            <w:hideMark/>
          </w:tcPr>
          <w:p w14:paraId="504C466F"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183/172 (51.5/48.5)</w:t>
            </w:r>
          </w:p>
        </w:tc>
        <w:tc>
          <w:tcPr>
            <w:tcW w:w="578" w:type="pct"/>
            <w:tcBorders>
              <w:top w:val="nil"/>
              <w:left w:val="nil"/>
              <w:bottom w:val="nil"/>
              <w:right w:val="nil"/>
            </w:tcBorders>
            <w:tcMar>
              <w:top w:w="15" w:type="dxa"/>
              <w:left w:w="108" w:type="dxa"/>
              <w:bottom w:w="0" w:type="dxa"/>
              <w:right w:w="108" w:type="dxa"/>
            </w:tcMar>
          </w:tcPr>
          <w:p w14:paraId="1936E2BF" w14:textId="77777777" w:rsidR="004A7C7C" w:rsidRDefault="004A7C7C">
            <w:pPr>
              <w:pStyle w:val="Default"/>
              <w:adjustRightInd w:val="0"/>
              <w:snapToGrid w:val="0"/>
              <w:spacing w:line="360" w:lineRule="auto"/>
              <w:jc w:val="both"/>
              <w:rPr>
                <w:rFonts w:ascii="Book Antiqua" w:hAnsi="Book Antiqua"/>
                <w:sz w:val="24"/>
                <w:szCs w:val="24"/>
                <w:lang w:val="en-US"/>
              </w:rPr>
            </w:pPr>
          </w:p>
          <w:p w14:paraId="69A58BBB"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&lt;0.001</w:t>
            </w:r>
          </w:p>
        </w:tc>
      </w:tr>
      <w:tr w:rsidR="004A7C7C" w14:paraId="4445881E" w14:textId="77777777" w:rsidTr="004A7C7C">
        <w:trPr>
          <w:trHeight w:val="619"/>
        </w:trPr>
        <w:tc>
          <w:tcPr>
            <w:tcW w:w="2087" w:type="pct"/>
            <w:tcBorders>
              <w:top w:val="nil"/>
              <w:left w:val="nil"/>
              <w:bottom w:val="nil"/>
              <w:right w:val="nil"/>
            </w:tcBorders>
            <w:tcMar>
              <w:top w:w="15" w:type="dxa"/>
              <w:left w:w="108" w:type="dxa"/>
              <w:bottom w:w="0" w:type="dxa"/>
              <w:right w:w="108" w:type="dxa"/>
            </w:tcMar>
            <w:hideMark/>
          </w:tcPr>
          <w:p w14:paraId="6D4B9A58"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 xml:space="preserve">Decompensation of cirrhosis, yes/no, </w:t>
            </w:r>
            <w:r>
              <w:rPr>
                <w:rFonts w:ascii="Book Antiqua" w:hAnsi="Book Antiqua"/>
                <w:bCs/>
                <w:i/>
                <w:iCs/>
                <w:sz w:val="24"/>
                <w:szCs w:val="24"/>
                <w:lang w:val="en-US"/>
              </w:rPr>
              <w:t>n</w:t>
            </w:r>
            <w:r>
              <w:rPr>
                <w:rFonts w:ascii="Book Antiqua" w:hAnsi="Book Antiqua"/>
                <w:bCs/>
                <w:sz w:val="24"/>
                <w:szCs w:val="24"/>
                <w:lang w:val="en-US"/>
              </w:rPr>
              <w:t xml:space="preserve"> (%)</w:t>
            </w:r>
          </w:p>
        </w:tc>
        <w:tc>
          <w:tcPr>
            <w:tcW w:w="1126" w:type="pct"/>
            <w:tcBorders>
              <w:top w:val="nil"/>
              <w:left w:val="nil"/>
              <w:bottom w:val="nil"/>
              <w:right w:val="nil"/>
            </w:tcBorders>
            <w:tcMar>
              <w:top w:w="15" w:type="dxa"/>
              <w:left w:w="108" w:type="dxa"/>
              <w:bottom w:w="0" w:type="dxa"/>
              <w:right w:w="108" w:type="dxa"/>
            </w:tcMar>
            <w:hideMark/>
          </w:tcPr>
          <w:p w14:paraId="086D1776"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161/106 (60.3/39.7)</w:t>
            </w:r>
          </w:p>
        </w:tc>
        <w:tc>
          <w:tcPr>
            <w:tcW w:w="1209" w:type="pct"/>
            <w:tcBorders>
              <w:top w:val="nil"/>
              <w:left w:val="nil"/>
              <w:bottom w:val="nil"/>
              <w:right w:val="nil"/>
            </w:tcBorders>
            <w:tcMar>
              <w:top w:w="15" w:type="dxa"/>
              <w:left w:w="108" w:type="dxa"/>
              <w:bottom w:w="0" w:type="dxa"/>
              <w:right w:w="108" w:type="dxa"/>
            </w:tcMar>
            <w:hideMark/>
          </w:tcPr>
          <w:p w14:paraId="5C29B626"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65/118</w:t>
            </w:r>
          </w:p>
          <w:p w14:paraId="473DB70E"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(35.5/64.5)</w:t>
            </w:r>
          </w:p>
        </w:tc>
        <w:tc>
          <w:tcPr>
            <w:tcW w:w="578" w:type="pct"/>
            <w:tcBorders>
              <w:top w:val="nil"/>
              <w:left w:val="nil"/>
              <w:bottom w:val="nil"/>
              <w:right w:val="nil"/>
            </w:tcBorders>
            <w:tcMar>
              <w:top w:w="15" w:type="dxa"/>
              <w:left w:w="108" w:type="dxa"/>
              <w:bottom w:w="0" w:type="dxa"/>
              <w:right w:w="108" w:type="dxa"/>
            </w:tcMar>
          </w:tcPr>
          <w:p w14:paraId="25A47977" w14:textId="77777777" w:rsidR="004A7C7C" w:rsidRDefault="004A7C7C">
            <w:pPr>
              <w:pStyle w:val="Default"/>
              <w:adjustRightInd w:val="0"/>
              <w:snapToGrid w:val="0"/>
              <w:spacing w:line="360" w:lineRule="auto"/>
              <w:jc w:val="both"/>
              <w:rPr>
                <w:rFonts w:ascii="Book Antiqua" w:hAnsi="Book Antiqua"/>
                <w:sz w:val="24"/>
                <w:szCs w:val="24"/>
                <w:lang w:val="en-US"/>
              </w:rPr>
            </w:pPr>
          </w:p>
          <w:p w14:paraId="31D49ADB"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&lt;0.001</w:t>
            </w:r>
          </w:p>
        </w:tc>
      </w:tr>
      <w:tr w:rsidR="004A7C7C" w14:paraId="0294B6C6"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3A83C875"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 xml:space="preserve">HCC, yes/no, </w:t>
            </w:r>
            <w:r>
              <w:rPr>
                <w:rFonts w:ascii="Book Antiqua" w:hAnsi="Book Antiqua"/>
                <w:bCs/>
                <w:i/>
                <w:iCs/>
                <w:sz w:val="24"/>
                <w:szCs w:val="24"/>
                <w:lang w:val="en-US"/>
              </w:rPr>
              <w:t>n</w:t>
            </w:r>
            <w:r>
              <w:rPr>
                <w:rFonts w:ascii="Book Antiqua" w:hAnsi="Book Antiqua"/>
                <w:bCs/>
                <w:sz w:val="24"/>
                <w:szCs w:val="24"/>
                <w:lang w:val="en-US"/>
              </w:rPr>
              <w:t xml:space="preserve"> (%)</w:t>
            </w:r>
          </w:p>
        </w:tc>
        <w:tc>
          <w:tcPr>
            <w:tcW w:w="1126" w:type="pct"/>
            <w:tcBorders>
              <w:top w:val="nil"/>
              <w:left w:val="nil"/>
              <w:bottom w:val="nil"/>
              <w:right w:val="nil"/>
            </w:tcBorders>
            <w:tcMar>
              <w:top w:w="15" w:type="dxa"/>
              <w:left w:w="108" w:type="dxa"/>
              <w:bottom w:w="0" w:type="dxa"/>
              <w:right w:w="108" w:type="dxa"/>
            </w:tcMar>
            <w:hideMark/>
          </w:tcPr>
          <w:p w14:paraId="6CADF702"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51/226</w:t>
            </w:r>
          </w:p>
          <w:p w14:paraId="68EA0501"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(18.4/81.6)</w:t>
            </w:r>
          </w:p>
        </w:tc>
        <w:tc>
          <w:tcPr>
            <w:tcW w:w="1209" w:type="pct"/>
            <w:tcBorders>
              <w:top w:val="nil"/>
              <w:left w:val="nil"/>
              <w:bottom w:val="nil"/>
              <w:right w:val="nil"/>
            </w:tcBorders>
            <w:tcMar>
              <w:top w:w="15" w:type="dxa"/>
              <w:left w:w="108" w:type="dxa"/>
              <w:bottom w:w="0" w:type="dxa"/>
              <w:right w:w="108" w:type="dxa"/>
            </w:tcMar>
            <w:hideMark/>
          </w:tcPr>
          <w:p w14:paraId="74CEEC2C"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28/327</w:t>
            </w:r>
          </w:p>
          <w:p w14:paraId="41475B01"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(7.9/92.1)</w:t>
            </w:r>
          </w:p>
        </w:tc>
        <w:tc>
          <w:tcPr>
            <w:tcW w:w="578" w:type="pct"/>
            <w:tcBorders>
              <w:top w:val="nil"/>
              <w:left w:val="nil"/>
              <w:bottom w:val="nil"/>
              <w:right w:val="nil"/>
            </w:tcBorders>
            <w:tcMar>
              <w:top w:w="15" w:type="dxa"/>
              <w:left w:w="108" w:type="dxa"/>
              <w:bottom w:w="0" w:type="dxa"/>
              <w:right w:w="108" w:type="dxa"/>
            </w:tcMar>
          </w:tcPr>
          <w:p w14:paraId="697B1B7D" w14:textId="77777777" w:rsidR="004A7C7C" w:rsidRDefault="004A7C7C">
            <w:pPr>
              <w:pStyle w:val="Default"/>
              <w:adjustRightInd w:val="0"/>
              <w:snapToGrid w:val="0"/>
              <w:spacing w:line="360" w:lineRule="auto"/>
              <w:jc w:val="both"/>
              <w:rPr>
                <w:rFonts w:ascii="Book Antiqua" w:hAnsi="Book Antiqua"/>
                <w:sz w:val="24"/>
                <w:szCs w:val="24"/>
                <w:lang w:val="en-US"/>
              </w:rPr>
            </w:pPr>
          </w:p>
          <w:p w14:paraId="32DA7A5B"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&lt;0.001</w:t>
            </w:r>
          </w:p>
        </w:tc>
      </w:tr>
      <w:tr w:rsidR="004A7C7C" w14:paraId="116D2952" w14:textId="77777777" w:rsidTr="004A7C7C">
        <w:trPr>
          <w:trHeight w:val="619"/>
        </w:trPr>
        <w:tc>
          <w:tcPr>
            <w:tcW w:w="2087" w:type="pct"/>
            <w:tcBorders>
              <w:top w:val="nil"/>
              <w:left w:val="nil"/>
              <w:bottom w:val="nil"/>
              <w:right w:val="nil"/>
            </w:tcBorders>
            <w:tcMar>
              <w:top w:w="15" w:type="dxa"/>
              <w:left w:w="108" w:type="dxa"/>
              <w:bottom w:w="0" w:type="dxa"/>
              <w:right w:w="108" w:type="dxa"/>
            </w:tcMar>
            <w:hideMark/>
          </w:tcPr>
          <w:p w14:paraId="1E3488DF" w14:textId="77777777" w:rsidR="004A7C7C" w:rsidRDefault="004A7C7C">
            <w:pPr>
              <w:pStyle w:val="Default"/>
              <w:adjustRightInd w:val="0"/>
              <w:snapToGrid w:val="0"/>
              <w:spacing w:line="360" w:lineRule="auto"/>
              <w:jc w:val="both"/>
              <w:rPr>
                <w:rFonts w:ascii="Book Antiqua" w:hAnsi="Book Antiqua"/>
                <w:bCs/>
                <w:sz w:val="24"/>
                <w:szCs w:val="24"/>
                <w:lang w:val="en-US"/>
              </w:rPr>
            </w:pPr>
            <w:r>
              <w:rPr>
                <w:rFonts w:ascii="Book Antiqua" w:hAnsi="Book Antiqua"/>
                <w:bCs/>
                <w:sz w:val="24"/>
                <w:szCs w:val="24"/>
                <w:lang w:val="en-US"/>
              </w:rPr>
              <w:t>HCC BCLC stage,</w:t>
            </w:r>
          </w:p>
          <w:p w14:paraId="60739CAB"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 xml:space="preserve">0/A/B/C/D, </w:t>
            </w:r>
            <w:r>
              <w:rPr>
                <w:rFonts w:ascii="Book Antiqua" w:hAnsi="Book Antiqua"/>
                <w:bCs/>
                <w:i/>
                <w:iCs/>
                <w:sz w:val="24"/>
                <w:szCs w:val="24"/>
                <w:lang w:val="en-US"/>
              </w:rPr>
              <w:t>n</w:t>
            </w:r>
            <w:r>
              <w:rPr>
                <w:rFonts w:ascii="Book Antiqua" w:hAnsi="Book Antiqua"/>
                <w:bCs/>
                <w:sz w:val="24"/>
                <w:szCs w:val="24"/>
                <w:lang w:val="en-US"/>
              </w:rPr>
              <w:t xml:space="preserve"> (%)</w:t>
            </w:r>
          </w:p>
        </w:tc>
        <w:tc>
          <w:tcPr>
            <w:tcW w:w="1126" w:type="pct"/>
            <w:tcBorders>
              <w:top w:val="nil"/>
              <w:left w:val="nil"/>
              <w:bottom w:val="nil"/>
              <w:right w:val="nil"/>
            </w:tcBorders>
            <w:tcMar>
              <w:top w:w="15" w:type="dxa"/>
              <w:left w:w="108" w:type="dxa"/>
              <w:bottom w:w="0" w:type="dxa"/>
              <w:right w:w="108" w:type="dxa"/>
            </w:tcMar>
            <w:hideMark/>
          </w:tcPr>
          <w:p w14:paraId="4E4E2BCE"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1/12/11/18/9 (2/23.5/21.6</w:t>
            </w:r>
          </w:p>
          <w:p w14:paraId="27F355F4"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lastRenderedPageBreak/>
              <w:t>/35.3/17.6)</w:t>
            </w:r>
          </w:p>
        </w:tc>
        <w:tc>
          <w:tcPr>
            <w:tcW w:w="1209" w:type="pct"/>
            <w:tcBorders>
              <w:top w:val="nil"/>
              <w:left w:val="nil"/>
              <w:bottom w:val="nil"/>
              <w:right w:val="nil"/>
            </w:tcBorders>
            <w:tcMar>
              <w:top w:w="15" w:type="dxa"/>
              <w:left w:w="108" w:type="dxa"/>
              <w:bottom w:w="0" w:type="dxa"/>
              <w:right w:w="108" w:type="dxa"/>
            </w:tcMar>
            <w:hideMark/>
          </w:tcPr>
          <w:p w14:paraId="3D353C7F"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lastRenderedPageBreak/>
              <w:t>1/11/11/3/1</w:t>
            </w:r>
            <w:r>
              <w:rPr>
                <w:rFonts w:ascii="Book Antiqua" w:hAnsi="Book Antiqua"/>
                <w:sz w:val="24"/>
                <w:szCs w:val="24"/>
                <w:vertAlign w:val="superscript"/>
                <w:lang w:val="en-US"/>
              </w:rPr>
              <w:t>†</w:t>
            </w:r>
            <w:r>
              <w:rPr>
                <w:rFonts w:ascii="Book Antiqua" w:hAnsi="Book Antiqua"/>
                <w:sz w:val="24"/>
                <w:szCs w:val="24"/>
                <w:lang w:val="en-US"/>
              </w:rPr>
              <w:t xml:space="preserve"> (3.7/40.7/40.7</w:t>
            </w:r>
          </w:p>
          <w:p w14:paraId="3E5E9939"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lastRenderedPageBreak/>
              <w:t>/11.1/3.7)</w:t>
            </w:r>
          </w:p>
        </w:tc>
        <w:tc>
          <w:tcPr>
            <w:tcW w:w="578" w:type="pct"/>
            <w:tcBorders>
              <w:top w:val="nil"/>
              <w:left w:val="nil"/>
              <w:bottom w:val="nil"/>
              <w:right w:val="nil"/>
            </w:tcBorders>
            <w:tcMar>
              <w:top w:w="15" w:type="dxa"/>
              <w:left w:w="108" w:type="dxa"/>
              <w:bottom w:w="0" w:type="dxa"/>
              <w:right w:w="108" w:type="dxa"/>
            </w:tcMar>
          </w:tcPr>
          <w:p w14:paraId="4E28E551" w14:textId="77777777" w:rsidR="004A7C7C" w:rsidRDefault="004A7C7C">
            <w:pPr>
              <w:pStyle w:val="Default"/>
              <w:adjustRightInd w:val="0"/>
              <w:snapToGrid w:val="0"/>
              <w:spacing w:line="360" w:lineRule="auto"/>
              <w:jc w:val="both"/>
              <w:rPr>
                <w:rFonts w:ascii="Book Antiqua" w:hAnsi="Book Antiqua"/>
                <w:sz w:val="24"/>
                <w:szCs w:val="24"/>
                <w:lang w:val="en-US"/>
              </w:rPr>
            </w:pPr>
          </w:p>
          <w:p w14:paraId="11F22474"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0.029</w:t>
            </w:r>
          </w:p>
        </w:tc>
      </w:tr>
      <w:tr w:rsidR="004A7C7C" w14:paraId="13D95D41" w14:textId="77777777" w:rsidTr="004A7C7C">
        <w:trPr>
          <w:trHeight w:val="619"/>
        </w:trPr>
        <w:tc>
          <w:tcPr>
            <w:tcW w:w="2087" w:type="pct"/>
            <w:tcBorders>
              <w:top w:val="nil"/>
              <w:left w:val="nil"/>
              <w:bottom w:val="nil"/>
              <w:right w:val="nil"/>
            </w:tcBorders>
            <w:tcMar>
              <w:top w:w="15" w:type="dxa"/>
              <w:left w:w="108" w:type="dxa"/>
              <w:bottom w:w="0" w:type="dxa"/>
              <w:right w:w="108" w:type="dxa"/>
            </w:tcMar>
            <w:hideMark/>
          </w:tcPr>
          <w:p w14:paraId="23D6E497"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 xml:space="preserve">HCC BCLC stage, 0-A-B/ C-D, </w:t>
            </w:r>
            <w:r>
              <w:rPr>
                <w:rFonts w:ascii="Book Antiqua" w:hAnsi="Book Antiqua"/>
                <w:bCs/>
                <w:i/>
                <w:iCs/>
                <w:sz w:val="24"/>
                <w:szCs w:val="24"/>
                <w:lang w:val="en-US"/>
              </w:rPr>
              <w:t>n</w:t>
            </w:r>
            <w:r>
              <w:rPr>
                <w:rFonts w:ascii="Book Antiqua" w:hAnsi="Book Antiqua"/>
                <w:bCs/>
                <w:sz w:val="24"/>
                <w:szCs w:val="24"/>
                <w:lang w:val="en-US"/>
              </w:rPr>
              <w:t xml:space="preserve"> (%)</w:t>
            </w:r>
          </w:p>
        </w:tc>
        <w:tc>
          <w:tcPr>
            <w:tcW w:w="1126" w:type="pct"/>
            <w:tcBorders>
              <w:top w:val="nil"/>
              <w:left w:val="nil"/>
              <w:bottom w:val="nil"/>
              <w:right w:val="nil"/>
            </w:tcBorders>
            <w:tcMar>
              <w:top w:w="15" w:type="dxa"/>
              <w:left w:w="108" w:type="dxa"/>
              <w:bottom w:w="0" w:type="dxa"/>
              <w:right w:w="108" w:type="dxa"/>
            </w:tcMar>
            <w:hideMark/>
          </w:tcPr>
          <w:p w14:paraId="060C385F"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24/27</w:t>
            </w:r>
          </w:p>
          <w:p w14:paraId="1DDB3AE1"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(47.1/52.9)</w:t>
            </w:r>
          </w:p>
        </w:tc>
        <w:tc>
          <w:tcPr>
            <w:tcW w:w="1209" w:type="pct"/>
            <w:tcBorders>
              <w:top w:val="nil"/>
              <w:left w:val="nil"/>
              <w:bottom w:val="nil"/>
              <w:right w:val="nil"/>
            </w:tcBorders>
            <w:tcMar>
              <w:top w:w="15" w:type="dxa"/>
              <w:left w:w="108" w:type="dxa"/>
              <w:bottom w:w="0" w:type="dxa"/>
              <w:right w:w="108" w:type="dxa"/>
            </w:tcMar>
            <w:hideMark/>
          </w:tcPr>
          <w:p w14:paraId="7E6E7D36"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23/4</w:t>
            </w:r>
            <w:r>
              <w:rPr>
                <w:rFonts w:ascii="Book Antiqua" w:hAnsi="Book Antiqua"/>
                <w:sz w:val="24"/>
                <w:szCs w:val="24"/>
                <w:vertAlign w:val="superscript"/>
                <w:lang w:val="en-US"/>
              </w:rPr>
              <w:t>†</w:t>
            </w:r>
          </w:p>
          <w:p w14:paraId="6FC678A6"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(85.2/14.8)</w:t>
            </w:r>
          </w:p>
        </w:tc>
        <w:tc>
          <w:tcPr>
            <w:tcW w:w="578" w:type="pct"/>
            <w:tcBorders>
              <w:top w:val="nil"/>
              <w:left w:val="nil"/>
              <w:bottom w:val="nil"/>
              <w:right w:val="nil"/>
            </w:tcBorders>
            <w:tcMar>
              <w:top w:w="15" w:type="dxa"/>
              <w:left w:w="108" w:type="dxa"/>
              <w:bottom w:w="0" w:type="dxa"/>
              <w:right w:w="108" w:type="dxa"/>
            </w:tcMar>
          </w:tcPr>
          <w:p w14:paraId="2C0F7835" w14:textId="77777777" w:rsidR="004A7C7C" w:rsidRDefault="004A7C7C">
            <w:pPr>
              <w:pStyle w:val="Default"/>
              <w:adjustRightInd w:val="0"/>
              <w:snapToGrid w:val="0"/>
              <w:spacing w:line="360" w:lineRule="auto"/>
              <w:jc w:val="both"/>
              <w:rPr>
                <w:rFonts w:ascii="Book Antiqua" w:hAnsi="Book Antiqua"/>
                <w:sz w:val="24"/>
                <w:szCs w:val="24"/>
                <w:lang w:val="en-US"/>
              </w:rPr>
            </w:pPr>
          </w:p>
          <w:p w14:paraId="6883657D"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0.002</w:t>
            </w:r>
          </w:p>
        </w:tc>
      </w:tr>
      <w:tr w:rsidR="004A7C7C" w14:paraId="3E4153EA" w14:textId="77777777" w:rsidTr="004A7C7C">
        <w:trPr>
          <w:trHeight w:val="619"/>
        </w:trPr>
        <w:tc>
          <w:tcPr>
            <w:tcW w:w="2087" w:type="pct"/>
            <w:tcBorders>
              <w:top w:val="nil"/>
              <w:left w:val="nil"/>
              <w:bottom w:val="single" w:sz="8" w:space="0" w:color="000000"/>
              <w:right w:val="nil"/>
            </w:tcBorders>
            <w:tcMar>
              <w:top w:w="15" w:type="dxa"/>
              <w:left w:w="108" w:type="dxa"/>
              <w:bottom w:w="0" w:type="dxa"/>
              <w:right w:w="108" w:type="dxa"/>
            </w:tcMar>
            <w:hideMark/>
          </w:tcPr>
          <w:p w14:paraId="14DB4F39"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 xml:space="preserve">HCC dimensions (very early/intermediate/advanced), </w:t>
            </w:r>
            <w:r>
              <w:rPr>
                <w:rFonts w:ascii="Book Antiqua" w:hAnsi="Book Antiqua"/>
                <w:bCs/>
                <w:i/>
                <w:iCs/>
                <w:sz w:val="24"/>
                <w:szCs w:val="24"/>
                <w:lang w:val="en-US"/>
              </w:rPr>
              <w:t>n</w:t>
            </w:r>
            <w:r>
              <w:rPr>
                <w:rFonts w:ascii="Book Antiqua" w:hAnsi="Book Antiqua"/>
                <w:bCs/>
                <w:sz w:val="24"/>
                <w:szCs w:val="24"/>
                <w:lang w:val="en-US"/>
              </w:rPr>
              <w:t xml:space="preserve"> (%)</w:t>
            </w:r>
          </w:p>
        </w:tc>
        <w:tc>
          <w:tcPr>
            <w:tcW w:w="1126" w:type="pct"/>
            <w:tcBorders>
              <w:top w:val="nil"/>
              <w:left w:val="nil"/>
              <w:bottom w:val="single" w:sz="8" w:space="0" w:color="000000"/>
              <w:right w:val="nil"/>
            </w:tcBorders>
            <w:tcMar>
              <w:top w:w="15" w:type="dxa"/>
              <w:left w:w="108" w:type="dxa"/>
              <w:bottom w:w="0" w:type="dxa"/>
              <w:right w:w="108" w:type="dxa"/>
            </w:tcMar>
            <w:hideMark/>
          </w:tcPr>
          <w:p w14:paraId="3C7AF18F"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1/19/31 (2/37.3/60.8)</w:t>
            </w:r>
          </w:p>
        </w:tc>
        <w:tc>
          <w:tcPr>
            <w:tcW w:w="1209" w:type="pct"/>
            <w:tcBorders>
              <w:top w:val="nil"/>
              <w:left w:val="nil"/>
              <w:bottom w:val="single" w:sz="8" w:space="0" w:color="000000"/>
              <w:right w:val="nil"/>
            </w:tcBorders>
            <w:tcMar>
              <w:top w:w="15" w:type="dxa"/>
              <w:left w:w="108" w:type="dxa"/>
              <w:bottom w:w="0" w:type="dxa"/>
              <w:right w:w="108" w:type="dxa"/>
            </w:tcMar>
            <w:hideMark/>
          </w:tcPr>
          <w:p w14:paraId="5391C919"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1/13/13</w:t>
            </w:r>
            <w:r>
              <w:rPr>
                <w:rFonts w:ascii="Book Antiqua" w:hAnsi="Book Antiqua"/>
                <w:sz w:val="24"/>
                <w:szCs w:val="24"/>
                <w:vertAlign w:val="superscript"/>
                <w:lang w:val="en-US"/>
              </w:rPr>
              <w:t>†</w:t>
            </w:r>
            <w:r>
              <w:rPr>
                <w:rFonts w:ascii="Book Antiqua" w:hAnsi="Book Antiqua"/>
                <w:sz w:val="24"/>
                <w:szCs w:val="24"/>
                <w:lang w:val="en-US"/>
              </w:rPr>
              <w:t xml:space="preserve"> (3.7/48.1/48.1)</w:t>
            </w:r>
          </w:p>
        </w:tc>
        <w:tc>
          <w:tcPr>
            <w:tcW w:w="578" w:type="pct"/>
            <w:tcBorders>
              <w:top w:val="nil"/>
              <w:left w:val="nil"/>
              <w:bottom w:val="single" w:sz="8" w:space="0" w:color="000000"/>
              <w:right w:val="nil"/>
            </w:tcBorders>
            <w:tcMar>
              <w:top w:w="15" w:type="dxa"/>
              <w:left w:w="108" w:type="dxa"/>
              <w:bottom w:w="0" w:type="dxa"/>
              <w:right w:w="108" w:type="dxa"/>
            </w:tcMar>
          </w:tcPr>
          <w:p w14:paraId="1ADCAF3B" w14:textId="77777777" w:rsidR="004A7C7C" w:rsidRDefault="004A7C7C">
            <w:pPr>
              <w:pStyle w:val="Default"/>
              <w:adjustRightInd w:val="0"/>
              <w:snapToGrid w:val="0"/>
              <w:spacing w:line="360" w:lineRule="auto"/>
              <w:jc w:val="both"/>
              <w:rPr>
                <w:rFonts w:ascii="Book Antiqua" w:hAnsi="Book Antiqua"/>
                <w:sz w:val="24"/>
                <w:szCs w:val="24"/>
                <w:lang w:val="en-US"/>
              </w:rPr>
            </w:pPr>
          </w:p>
          <w:p w14:paraId="1F3B3A89"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0.543</w:t>
            </w:r>
          </w:p>
        </w:tc>
      </w:tr>
    </w:tbl>
    <w:p w14:paraId="6B3D100C" w14:textId="77777777" w:rsidR="004A7C7C" w:rsidRDefault="004A7C7C" w:rsidP="004A7C7C">
      <w:pPr>
        <w:adjustRightInd w:val="0"/>
        <w:snapToGrid w:val="0"/>
        <w:spacing w:line="360" w:lineRule="auto"/>
        <w:jc w:val="both"/>
        <w:rPr>
          <w:rFonts w:ascii="Book Antiqua" w:eastAsia="Arial Unicode MS" w:hAnsi="Book Antiqua"/>
          <w:bCs/>
        </w:rPr>
      </w:pPr>
      <w:r>
        <w:rPr>
          <w:rFonts w:ascii="Book Antiqua" w:hAnsi="Book Antiqua"/>
          <w:bCs/>
        </w:rPr>
        <w:t>One missing case because diagnosis set on autopsy. GP73</w:t>
      </w:r>
      <w:r>
        <w:rPr>
          <w:rFonts w:ascii="Book Antiqua" w:hAnsi="Book Antiqua"/>
          <w:bCs/>
          <w:lang w:eastAsia="zh-CN"/>
        </w:rPr>
        <w:t>:</w:t>
      </w:r>
      <w:r>
        <w:rPr>
          <w:rFonts w:ascii="Book Antiqua" w:hAnsi="Book Antiqua"/>
          <w:bCs/>
        </w:rPr>
        <w:t xml:space="preserve"> Golgi protein 73; IQR: Interquartile range; INR: International normalized ratio; AST: Aspartate aminotransferase; ALT: Alanine aminotransferase; γ-GT: γ-glutamyl transpeptidase; ALP: Alkaline phosphatase; AFP: Alpha-fetoprotein; APRI: AST to platelet ratio index; HCC: Hepatocellular carcinoma; BCLC: Barcelona clinic liver cancer.</w:t>
      </w:r>
      <w:bookmarkEnd w:id="1"/>
    </w:p>
    <w:p w14:paraId="7A486DA6" w14:textId="209D869C" w:rsidR="004A7C7C" w:rsidRDefault="004A7C7C">
      <w:pPr>
        <w:spacing w:line="360" w:lineRule="auto"/>
        <w:jc w:val="both"/>
      </w:pPr>
    </w:p>
    <w:p w14:paraId="267447FF" w14:textId="77777777" w:rsidR="00A663DA" w:rsidRDefault="00A663DA">
      <w:pPr>
        <w:rPr>
          <w:rFonts w:ascii="Book Antiqua" w:eastAsia="Helvetica" w:hAnsi="Book Antiqua" w:cs="Calibri"/>
          <w:b/>
          <w:color w:val="000000"/>
          <w:lang w:eastAsia="en-GB"/>
        </w:rPr>
      </w:pPr>
      <w:bookmarkStart w:id="2" w:name="_Hlk48201120"/>
      <w:r>
        <w:rPr>
          <w:rFonts w:ascii="Book Antiqua" w:hAnsi="Book Antiqua" w:cs="Calibri"/>
          <w:b/>
        </w:rPr>
        <w:br w:type="page"/>
      </w:r>
    </w:p>
    <w:p w14:paraId="76759070" w14:textId="5FADB7E2" w:rsidR="004A7C7C" w:rsidRDefault="004A7C7C" w:rsidP="004A7C7C">
      <w:pPr>
        <w:pStyle w:val="Default"/>
        <w:adjustRightInd w:val="0"/>
        <w:snapToGrid w:val="0"/>
        <w:spacing w:line="360" w:lineRule="auto"/>
        <w:jc w:val="both"/>
        <w:rPr>
          <w:rFonts w:ascii="Book Antiqua" w:hAnsi="Book Antiqua" w:cs="Calibri"/>
          <w:b/>
          <w:sz w:val="24"/>
          <w:szCs w:val="24"/>
          <w:lang w:val="en-US"/>
        </w:rPr>
      </w:pPr>
      <w:r>
        <w:rPr>
          <w:rFonts w:ascii="Book Antiqua" w:hAnsi="Book Antiqua" w:cs="Calibri"/>
          <w:b/>
          <w:sz w:val="24"/>
          <w:szCs w:val="24"/>
          <w:lang w:val="en-US"/>
        </w:rPr>
        <w:lastRenderedPageBreak/>
        <w:t xml:space="preserve">Table 3 Binary logistic regression analysis of baseline factors associated with </w:t>
      </w:r>
      <w:proofErr w:type="spellStart"/>
      <w:r>
        <w:rPr>
          <w:rFonts w:ascii="Book Antiqua" w:hAnsi="Book Antiqua" w:cs="Calibri"/>
          <w:b/>
          <w:bCs/>
          <w:sz w:val="24"/>
          <w:szCs w:val="24"/>
        </w:rPr>
        <w:t>golgi</w:t>
      </w:r>
      <w:proofErr w:type="spellEnd"/>
      <w:r>
        <w:rPr>
          <w:rFonts w:ascii="Book Antiqua" w:hAnsi="Book Antiqua" w:cs="Calibri"/>
          <w:b/>
          <w:bCs/>
          <w:sz w:val="24"/>
          <w:szCs w:val="24"/>
        </w:rPr>
        <w:t xml:space="preserve"> protein 73</w:t>
      </w:r>
      <w:r>
        <w:rPr>
          <w:rFonts w:ascii="Book Antiqua" w:hAnsi="Book Antiqua" w:cs="Calibri"/>
          <w:b/>
          <w:sz w:val="24"/>
          <w:szCs w:val="24"/>
          <w:lang w:val="en-US"/>
        </w:rPr>
        <w:t xml:space="preserve"> positivity at initial evaluation of patients</w:t>
      </w:r>
    </w:p>
    <w:tbl>
      <w:tblPr>
        <w:tblW w:w="9322" w:type="dxa"/>
        <w:tblInd w:w="-142" w:type="dxa"/>
        <w:tblCellMar>
          <w:left w:w="0" w:type="dxa"/>
          <w:right w:w="0" w:type="dxa"/>
        </w:tblCellMar>
        <w:tblLook w:val="04A0" w:firstRow="1" w:lastRow="0" w:firstColumn="1" w:lastColumn="0" w:noHBand="0" w:noVBand="1"/>
      </w:tblPr>
      <w:tblGrid>
        <w:gridCol w:w="2011"/>
        <w:gridCol w:w="2437"/>
        <w:gridCol w:w="2437"/>
        <w:gridCol w:w="2437"/>
      </w:tblGrid>
      <w:tr w:rsidR="004A7C7C" w14:paraId="2BEE3F1E" w14:textId="77777777" w:rsidTr="007227D1">
        <w:trPr>
          <w:trHeight w:val="518"/>
        </w:trPr>
        <w:tc>
          <w:tcPr>
            <w:tcW w:w="2011"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173314D9"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
                <w:bCs/>
                <w:iCs/>
                <w:sz w:val="24"/>
                <w:szCs w:val="24"/>
                <w:lang w:val="en-US"/>
              </w:rPr>
              <w:t>Variables</w:t>
            </w:r>
          </w:p>
        </w:tc>
        <w:tc>
          <w:tcPr>
            <w:tcW w:w="2437"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1DB37B90"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
                <w:bCs/>
                <w:iCs/>
                <w:sz w:val="24"/>
                <w:szCs w:val="24"/>
                <w:lang w:val="en-US"/>
              </w:rPr>
              <w:t>Adjusted OR</w:t>
            </w:r>
          </w:p>
        </w:tc>
        <w:tc>
          <w:tcPr>
            <w:tcW w:w="2437"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0997F5AB"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
                <w:bCs/>
                <w:iCs/>
                <w:sz w:val="24"/>
                <w:szCs w:val="24"/>
                <w:lang w:val="en-US"/>
              </w:rPr>
              <w:t>95%CI</w:t>
            </w:r>
          </w:p>
        </w:tc>
        <w:tc>
          <w:tcPr>
            <w:tcW w:w="2437"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25B856FF"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
                <w:bCs/>
                <w:iCs/>
                <w:sz w:val="24"/>
                <w:szCs w:val="24"/>
                <w:lang w:val="en-US"/>
              </w:rPr>
              <w:t>Adjusted P-value</w:t>
            </w:r>
          </w:p>
        </w:tc>
      </w:tr>
      <w:tr w:rsidR="004A7C7C" w14:paraId="61A4A021" w14:textId="77777777" w:rsidTr="007227D1">
        <w:trPr>
          <w:trHeight w:val="518"/>
        </w:trPr>
        <w:tc>
          <w:tcPr>
            <w:tcW w:w="2011" w:type="dxa"/>
            <w:tcBorders>
              <w:top w:val="single" w:sz="8" w:space="0" w:color="000000"/>
              <w:left w:val="nil"/>
              <w:bottom w:val="nil"/>
              <w:right w:val="nil"/>
            </w:tcBorders>
            <w:tcMar>
              <w:top w:w="15" w:type="dxa"/>
              <w:left w:w="108" w:type="dxa"/>
              <w:bottom w:w="0" w:type="dxa"/>
              <w:right w:w="108" w:type="dxa"/>
            </w:tcMar>
            <w:vAlign w:val="center"/>
            <w:hideMark/>
          </w:tcPr>
          <w:p w14:paraId="6DF82A80"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Age</w:t>
            </w:r>
          </w:p>
        </w:tc>
        <w:tc>
          <w:tcPr>
            <w:tcW w:w="2437" w:type="dxa"/>
            <w:tcBorders>
              <w:top w:val="single" w:sz="8" w:space="0" w:color="000000"/>
              <w:left w:val="nil"/>
              <w:bottom w:val="nil"/>
              <w:right w:val="nil"/>
            </w:tcBorders>
            <w:tcMar>
              <w:top w:w="15" w:type="dxa"/>
              <w:left w:w="108" w:type="dxa"/>
              <w:bottom w:w="0" w:type="dxa"/>
              <w:right w:w="108" w:type="dxa"/>
            </w:tcMar>
            <w:vAlign w:val="center"/>
            <w:hideMark/>
          </w:tcPr>
          <w:p w14:paraId="64837113"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0.990</w:t>
            </w:r>
          </w:p>
        </w:tc>
        <w:tc>
          <w:tcPr>
            <w:tcW w:w="2437" w:type="dxa"/>
            <w:tcBorders>
              <w:top w:val="single" w:sz="8" w:space="0" w:color="000000"/>
              <w:left w:val="nil"/>
              <w:bottom w:val="nil"/>
              <w:right w:val="nil"/>
            </w:tcBorders>
            <w:tcMar>
              <w:top w:w="15" w:type="dxa"/>
              <w:left w:w="108" w:type="dxa"/>
              <w:bottom w:w="0" w:type="dxa"/>
              <w:right w:w="108" w:type="dxa"/>
            </w:tcMar>
            <w:vAlign w:val="center"/>
            <w:hideMark/>
          </w:tcPr>
          <w:p w14:paraId="2195DA6B"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0.971-1.010</w:t>
            </w:r>
          </w:p>
        </w:tc>
        <w:tc>
          <w:tcPr>
            <w:tcW w:w="2437" w:type="dxa"/>
            <w:tcBorders>
              <w:top w:val="single" w:sz="8" w:space="0" w:color="000000"/>
              <w:left w:val="nil"/>
              <w:bottom w:val="nil"/>
              <w:right w:val="nil"/>
            </w:tcBorders>
            <w:tcMar>
              <w:top w:w="15" w:type="dxa"/>
              <w:left w:w="108" w:type="dxa"/>
              <w:bottom w:w="0" w:type="dxa"/>
              <w:right w:w="108" w:type="dxa"/>
            </w:tcMar>
            <w:vAlign w:val="center"/>
            <w:hideMark/>
          </w:tcPr>
          <w:p w14:paraId="0CE8FFA9"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0.336</w:t>
            </w:r>
          </w:p>
        </w:tc>
      </w:tr>
      <w:tr w:rsidR="004A7C7C" w14:paraId="0031029F" w14:textId="77777777" w:rsidTr="007227D1">
        <w:trPr>
          <w:trHeight w:val="518"/>
        </w:trPr>
        <w:tc>
          <w:tcPr>
            <w:tcW w:w="2011" w:type="dxa"/>
            <w:tcMar>
              <w:top w:w="15" w:type="dxa"/>
              <w:left w:w="108" w:type="dxa"/>
              <w:bottom w:w="0" w:type="dxa"/>
              <w:right w:w="108" w:type="dxa"/>
            </w:tcMar>
            <w:vAlign w:val="center"/>
            <w:hideMark/>
          </w:tcPr>
          <w:p w14:paraId="039FF280"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INR</w:t>
            </w:r>
          </w:p>
        </w:tc>
        <w:tc>
          <w:tcPr>
            <w:tcW w:w="2437" w:type="dxa"/>
            <w:tcMar>
              <w:top w:w="15" w:type="dxa"/>
              <w:left w:w="108" w:type="dxa"/>
              <w:bottom w:w="0" w:type="dxa"/>
              <w:right w:w="108" w:type="dxa"/>
            </w:tcMar>
            <w:vAlign w:val="center"/>
            <w:hideMark/>
          </w:tcPr>
          <w:p w14:paraId="2A26CA2E"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2.122</w:t>
            </w:r>
          </w:p>
        </w:tc>
        <w:tc>
          <w:tcPr>
            <w:tcW w:w="2437" w:type="dxa"/>
            <w:tcMar>
              <w:top w:w="15" w:type="dxa"/>
              <w:left w:w="108" w:type="dxa"/>
              <w:bottom w:w="0" w:type="dxa"/>
              <w:right w:w="108" w:type="dxa"/>
            </w:tcMar>
            <w:vAlign w:val="center"/>
            <w:hideMark/>
          </w:tcPr>
          <w:p w14:paraId="2D270A99"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0.824-5.467</w:t>
            </w:r>
          </w:p>
        </w:tc>
        <w:tc>
          <w:tcPr>
            <w:tcW w:w="2437" w:type="dxa"/>
            <w:tcMar>
              <w:top w:w="15" w:type="dxa"/>
              <w:left w:w="108" w:type="dxa"/>
              <w:bottom w:w="0" w:type="dxa"/>
              <w:right w:w="108" w:type="dxa"/>
            </w:tcMar>
            <w:vAlign w:val="center"/>
            <w:hideMark/>
          </w:tcPr>
          <w:p w14:paraId="4DCE58C9"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0.119</w:t>
            </w:r>
          </w:p>
        </w:tc>
      </w:tr>
      <w:tr w:rsidR="004A7C7C" w14:paraId="488FDC83" w14:textId="77777777" w:rsidTr="007227D1">
        <w:trPr>
          <w:trHeight w:val="518"/>
        </w:trPr>
        <w:tc>
          <w:tcPr>
            <w:tcW w:w="2011" w:type="dxa"/>
            <w:tcMar>
              <w:top w:w="15" w:type="dxa"/>
              <w:left w:w="108" w:type="dxa"/>
              <w:bottom w:w="0" w:type="dxa"/>
              <w:right w:w="108" w:type="dxa"/>
            </w:tcMar>
            <w:vAlign w:val="center"/>
            <w:hideMark/>
          </w:tcPr>
          <w:p w14:paraId="733E3AF1"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Platelets</w:t>
            </w:r>
          </w:p>
        </w:tc>
        <w:tc>
          <w:tcPr>
            <w:tcW w:w="2437" w:type="dxa"/>
            <w:tcMar>
              <w:top w:w="15" w:type="dxa"/>
              <w:left w:w="108" w:type="dxa"/>
              <w:bottom w:w="0" w:type="dxa"/>
              <w:right w:w="108" w:type="dxa"/>
            </w:tcMar>
            <w:vAlign w:val="center"/>
            <w:hideMark/>
          </w:tcPr>
          <w:p w14:paraId="35681DB3"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1.000</w:t>
            </w:r>
          </w:p>
        </w:tc>
        <w:tc>
          <w:tcPr>
            <w:tcW w:w="2437" w:type="dxa"/>
            <w:tcMar>
              <w:top w:w="15" w:type="dxa"/>
              <w:left w:w="108" w:type="dxa"/>
              <w:bottom w:w="0" w:type="dxa"/>
              <w:right w:w="108" w:type="dxa"/>
            </w:tcMar>
            <w:vAlign w:val="center"/>
            <w:hideMark/>
          </w:tcPr>
          <w:p w14:paraId="76481E56"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1.000-1.000</w:t>
            </w:r>
          </w:p>
        </w:tc>
        <w:tc>
          <w:tcPr>
            <w:tcW w:w="2437" w:type="dxa"/>
            <w:tcMar>
              <w:top w:w="15" w:type="dxa"/>
              <w:left w:w="108" w:type="dxa"/>
              <w:bottom w:w="0" w:type="dxa"/>
              <w:right w:w="108" w:type="dxa"/>
            </w:tcMar>
            <w:vAlign w:val="center"/>
            <w:hideMark/>
          </w:tcPr>
          <w:p w14:paraId="47C0BFEE"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0.160</w:t>
            </w:r>
          </w:p>
        </w:tc>
      </w:tr>
      <w:tr w:rsidR="004A7C7C" w14:paraId="424200C3" w14:textId="77777777" w:rsidTr="007227D1">
        <w:trPr>
          <w:trHeight w:val="518"/>
        </w:trPr>
        <w:tc>
          <w:tcPr>
            <w:tcW w:w="2011" w:type="dxa"/>
            <w:tcMar>
              <w:top w:w="15" w:type="dxa"/>
              <w:left w:w="108" w:type="dxa"/>
              <w:bottom w:w="0" w:type="dxa"/>
              <w:right w:w="108" w:type="dxa"/>
            </w:tcMar>
            <w:vAlign w:val="center"/>
            <w:hideMark/>
          </w:tcPr>
          <w:p w14:paraId="520B5944"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AST</w:t>
            </w:r>
          </w:p>
        </w:tc>
        <w:tc>
          <w:tcPr>
            <w:tcW w:w="2437" w:type="dxa"/>
            <w:tcMar>
              <w:top w:w="15" w:type="dxa"/>
              <w:left w:w="108" w:type="dxa"/>
              <w:bottom w:w="0" w:type="dxa"/>
              <w:right w:w="108" w:type="dxa"/>
            </w:tcMar>
            <w:vAlign w:val="center"/>
            <w:hideMark/>
          </w:tcPr>
          <w:p w14:paraId="186C7114"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1.002</w:t>
            </w:r>
          </w:p>
        </w:tc>
        <w:tc>
          <w:tcPr>
            <w:tcW w:w="2437" w:type="dxa"/>
            <w:tcMar>
              <w:top w:w="15" w:type="dxa"/>
              <w:left w:w="108" w:type="dxa"/>
              <w:bottom w:w="0" w:type="dxa"/>
              <w:right w:w="108" w:type="dxa"/>
            </w:tcMar>
            <w:vAlign w:val="center"/>
            <w:hideMark/>
          </w:tcPr>
          <w:p w14:paraId="133ACAE9"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0.998-1.006</w:t>
            </w:r>
          </w:p>
        </w:tc>
        <w:tc>
          <w:tcPr>
            <w:tcW w:w="2437" w:type="dxa"/>
            <w:tcMar>
              <w:top w:w="15" w:type="dxa"/>
              <w:left w:w="108" w:type="dxa"/>
              <w:bottom w:w="0" w:type="dxa"/>
              <w:right w:w="108" w:type="dxa"/>
            </w:tcMar>
            <w:vAlign w:val="center"/>
            <w:hideMark/>
          </w:tcPr>
          <w:p w14:paraId="5186FA6D"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0.322</w:t>
            </w:r>
          </w:p>
        </w:tc>
      </w:tr>
      <w:tr w:rsidR="004A7C7C" w14:paraId="0C100F69" w14:textId="77777777" w:rsidTr="007227D1">
        <w:trPr>
          <w:trHeight w:val="518"/>
        </w:trPr>
        <w:tc>
          <w:tcPr>
            <w:tcW w:w="2011" w:type="dxa"/>
            <w:tcMar>
              <w:top w:w="15" w:type="dxa"/>
              <w:left w:w="108" w:type="dxa"/>
              <w:bottom w:w="0" w:type="dxa"/>
              <w:right w:w="108" w:type="dxa"/>
            </w:tcMar>
            <w:vAlign w:val="center"/>
            <w:hideMark/>
          </w:tcPr>
          <w:p w14:paraId="79241885"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γ-GT</w:t>
            </w:r>
          </w:p>
        </w:tc>
        <w:tc>
          <w:tcPr>
            <w:tcW w:w="2437" w:type="dxa"/>
            <w:tcMar>
              <w:top w:w="15" w:type="dxa"/>
              <w:left w:w="108" w:type="dxa"/>
              <w:bottom w:w="0" w:type="dxa"/>
              <w:right w:w="108" w:type="dxa"/>
            </w:tcMar>
            <w:vAlign w:val="center"/>
            <w:hideMark/>
          </w:tcPr>
          <w:p w14:paraId="78CDA4CB"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1.001</w:t>
            </w:r>
          </w:p>
        </w:tc>
        <w:tc>
          <w:tcPr>
            <w:tcW w:w="2437" w:type="dxa"/>
            <w:tcMar>
              <w:top w:w="15" w:type="dxa"/>
              <w:left w:w="108" w:type="dxa"/>
              <w:bottom w:w="0" w:type="dxa"/>
              <w:right w:w="108" w:type="dxa"/>
            </w:tcMar>
            <w:vAlign w:val="center"/>
            <w:hideMark/>
          </w:tcPr>
          <w:p w14:paraId="0437F0F7"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0.999-1.002</w:t>
            </w:r>
          </w:p>
        </w:tc>
        <w:tc>
          <w:tcPr>
            <w:tcW w:w="2437" w:type="dxa"/>
            <w:tcMar>
              <w:top w:w="15" w:type="dxa"/>
              <w:left w:w="108" w:type="dxa"/>
              <w:bottom w:w="0" w:type="dxa"/>
              <w:right w:w="108" w:type="dxa"/>
            </w:tcMar>
            <w:vAlign w:val="center"/>
            <w:hideMark/>
          </w:tcPr>
          <w:p w14:paraId="7123F8E3"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0.229</w:t>
            </w:r>
          </w:p>
        </w:tc>
      </w:tr>
      <w:tr w:rsidR="004A7C7C" w14:paraId="431B7F9D" w14:textId="77777777" w:rsidTr="007227D1">
        <w:trPr>
          <w:trHeight w:val="518"/>
        </w:trPr>
        <w:tc>
          <w:tcPr>
            <w:tcW w:w="2011" w:type="dxa"/>
            <w:tcMar>
              <w:top w:w="15" w:type="dxa"/>
              <w:left w:w="108" w:type="dxa"/>
              <w:bottom w:w="0" w:type="dxa"/>
              <w:right w:w="108" w:type="dxa"/>
            </w:tcMar>
            <w:vAlign w:val="center"/>
            <w:hideMark/>
          </w:tcPr>
          <w:p w14:paraId="5F2BD4D5"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ALP</w:t>
            </w:r>
          </w:p>
        </w:tc>
        <w:tc>
          <w:tcPr>
            <w:tcW w:w="2437" w:type="dxa"/>
            <w:tcMar>
              <w:top w:w="15" w:type="dxa"/>
              <w:left w:w="108" w:type="dxa"/>
              <w:bottom w:w="0" w:type="dxa"/>
              <w:right w:w="108" w:type="dxa"/>
            </w:tcMar>
            <w:vAlign w:val="center"/>
            <w:hideMark/>
          </w:tcPr>
          <w:p w14:paraId="2F90D73B"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1.000</w:t>
            </w:r>
          </w:p>
        </w:tc>
        <w:tc>
          <w:tcPr>
            <w:tcW w:w="2437" w:type="dxa"/>
            <w:tcMar>
              <w:top w:w="15" w:type="dxa"/>
              <w:left w:w="108" w:type="dxa"/>
              <w:bottom w:w="0" w:type="dxa"/>
              <w:right w:w="108" w:type="dxa"/>
            </w:tcMar>
            <w:vAlign w:val="center"/>
            <w:hideMark/>
          </w:tcPr>
          <w:p w14:paraId="629DC2D4"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0.997-1.003</w:t>
            </w:r>
          </w:p>
        </w:tc>
        <w:tc>
          <w:tcPr>
            <w:tcW w:w="2437" w:type="dxa"/>
            <w:tcMar>
              <w:top w:w="15" w:type="dxa"/>
              <w:left w:w="108" w:type="dxa"/>
              <w:bottom w:w="0" w:type="dxa"/>
              <w:right w:w="108" w:type="dxa"/>
            </w:tcMar>
            <w:vAlign w:val="center"/>
            <w:hideMark/>
          </w:tcPr>
          <w:p w14:paraId="59483B65"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0.960</w:t>
            </w:r>
          </w:p>
        </w:tc>
      </w:tr>
      <w:tr w:rsidR="004A7C7C" w14:paraId="0A346CD7" w14:textId="77777777" w:rsidTr="007227D1">
        <w:trPr>
          <w:trHeight w:val="518"/>
        </w:trPr>
        <w:tc>
          <w:tcPr>
            <w:tcW w:w="2011" w:type="dxa"/>
            <w:tcMar>
              <w:top w:w="15" w:type="dxa"/>
              <w:left w:w="108" w:type="dxa"/>
              <w:bottom w:w="0" w:type="dxa"/>
              <w:right w:w="108" w:type="dxa"/>
            </w:tcMar>
            <w:vAlign w:val="center"/>
            <w:hideMark/>
          </w:tcPr>
          <w:p w14:paraId="10FB6F6C"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Bilirubin</w:t>
            </w:r>
          </w:p>
        </w:tc>
        <w:tc>
          <w:tcPr>
            <w:tcW w:w="2437" w:type="dxa"/>
            <w:tcMar>
              <w:top w:w="15" w:type="dxa"/>
              <w:left w:w="108" w:type="dxa"/>
              <w:bottom w:w="0" w:type="dxa"/>
              <w:right w:w="108" w:type="dxa"/>
            </w:tcMar>
            <w:vAlign w:val="center"/>
            <w:hideMark/>
          </w:tcPr>
          <w:p w14:paraId="18EE3D5B"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0.999</w:t>
            </w:r>
          </w:p>
        </w:tc>
        <w:tc>
          <w:tcPr>
            <w:tcW w:w="2437" w:type="dxa"/>
            <w:tcMar>
              <w:top w:w="15" w:type="dxa"/>
              <w:left w:w="108" w:type="dxa"/>
              <w:bottom w:w="0" w:type="dxa"/>
              <w:right w:w="108" w:type="dxa"/>
            </w:tcMar>
            <w:vAlign w:val="center"/>
            <w:hideMark/>
          </w:tcPr>
          <w:p w14:paraId="06B48B9A"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0.926-1.078</w:t>
            </w:r>
          </w:p>
        </w:tc>
        <w:tc>
          <w:tcPr>
            <w:tcW w:w="2437" w:type="dxa"/>
            <w:tcMar>
              <w:top w:w="15" w:type="dxa"/>
              <w:left w:w="108" w:type="dxa"/>
              <w:bottom w:w="0" w:type="dxa"/>
              <w:right w:w="108" w:type="dxa"/>
            </w:tcMar>
            <w:vAlign w:val="center"/>
            <w:hideMark/>
          </w:tcPr>
          <w:p w14:paraId="575C479E"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0.978</w:t>
            </w:r>
          </w:p>
        </w:tc>
      </w:tr>
      <w:tr w:rsidR="004A7C7C" w14:paraId="04788B23" w14:textId="77777777" w:rsidTr="007227D1">
        <w:trPr>
          <w:trHeight w:val="518"/>
        </w:trPr>
        <w:tc>
          <w:tcPr>
            <w:tcW w:w="2011" w:type="dxa"/>
            <w:tcMar>
              <w:top w:w="15" w:type="dxa"/>
              <w:left w:w="108" w:type="dxa"/>
              <w:bottom w:w="0" w:type="dxa"/>
              <w:right w:w="108" w:type="dxa"/>
            </w:tcMar>
            <w:vAlign w:val="center"/>
            <w:hideMark/>
          </w:tcPr>
          <w:p w14:paraId="184031ED"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Albumin</w:t>
            </w:r>
          </w:p>
        </w:tc>
        <w:tc>
          <w:tcPr>
            <w:tcW w:w="2437" w:type="dxa"/>
            <w:tcMar>
              <w:top w:w="15" w:type="dxa"/>
              <w:left w:w="108" w:type="dxa"/>
              <w:bottom w:w="0" w:type="dxa"/>
              <w:right w:w="108" w:type="dxa"/>
            </w:tcMar>
            <w:vAlign w:val="center"/>
            <w:hideMark/>
          </w:tcPr>
          <w:p w14:paraId="71C7FEF3"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0.540</w:t>
            </w:r>
          </w:p>
        </w:tc>
        <w:tc>
          <w:tcPr>
            <w:tcW w:w="2437" w:type="dxa"/>
            <w:tcMar>
              <w:top w:w="15" w:type="dxa"/>
              <w:left w:w="108" w:type="dxa"/>
              <w:bottom w:w="0" w:type="dxa"/>
              <w:right w:w="108" w:type="dxa"/>
            </w:tcMar>
            <w:vAlign w:val="center"/>
            <w:hideMark/>
          </w:tcPr>
          <w:p w14:paraId="208CB6C7"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0.375-0.778</w:t>
            </w:r>
          </w:p>
        </w:tc>
        <w:tc>
          <w:tcPr>
            <w:tcW w:w="2437" w:type="dxa"/>
            <w:tcMar>
              <w:top w:w="15" w:type="dxa"/>
              <w:left w:w="108" w:type="dxa"/>
              <w:bottom w:w="0" w:type="dxa"/>
              <w:right w:w="108" w:type="dxa"/>
            </w:tcMar>
            <w:vAlign w:val="center"/>
            <w:hideMark/>
          </w:tcPr>
          <w:p w14:paraId="514CA591"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0.001</w:t>
            </w:r>
          </w:p>
        </w:tc>
      </w:tr>
      <w:tr w:rsidR="004A7C7C" w14:paraId="7CAA1A30" w14:textId="77777777" w:rsidTr="007227D1">
        <w:trPr>
          <w:trHeight w:val="518"/>
        </w:trPr>
        <w:tc>
          <w:tcPr>
            <w:tcW w:w="2011" w:type="dxa"/>
            <w:tcMar>
              <w:top w:w="15" w:type="dxa"/>
              <w:left w:w="108" w:type="dxa"/>
              <w:bottom w:w="0" w:type="dxa"/>
              <w:right w:w="108" w:type="dxa"/>
            </w:tcMar>
            <w:vAlign w:val="center"/>
            <w:hideMark/>
          </w:tcPr>
          <w:p w14:paraId="1F7E80EE"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AFP</w:t>
            </w:r>
          </w:p>
        </w:tc>
        <w:tc>
          <w:tcPr>
            <w:tcW w:w="2437" w:type="dxa"/>
            <w:tcMar>
              <w:top w:w="15" w:type="dxa"/>
              <w:left w:w="108" w:type="dxa"/>
              <w:bottom w:w="0" w:type="dxa"/>
              <w:right w:w="108" w:type="dxa"/>
            </w:tcMar>
            <w:vAlign w:val="center"/>
            <w:hideMark/>
          </w:tcPr>
          <w:p w14:paraId="5324DB50"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1.000</w:t>
            </w:r>
          </w:p>
        </w:tc>
        <w:tc>
          <w:tcPr>
            <w:tcW w:w="2437" w:type="dxa"/>
            <w:tcMar>
              <w:top w:w="15" w:type="dxa"/>
              <w:left w:w="108" w:type="dxa"/>
              <w:bottom w:w="0" w:type="dxa"/>
              <w:right w:w="108" w:type="dxa"/>
            </w:tcMar>
            <w:vAlign w:val="center"/>
            <w:hideMark/>
          </w:tcPr>
          <w:p w14:paraId="47FE7663"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1.000-1.000</w:t>
            </w:r>
          </w:p>
        </w:tc>
        <w:tc>
          <w:tcPr>
            <w:tcW w:w="2437" w:type="dxa"/>
            <w:tcMar>
              <w:top w:w="15" w:type="dxa"/>
              <w:left w:w="108" w:type="dxa"/>
              <w:bottom w:w="0" w:type="dxa"/>
              <w:right w:w="108" w:type="dxa"/>
            </w:tcMar>
            <w:vAlign w:val="center"/>
            <w:hideMark/>
          </w:tcPr>
          <w:p w14:paraId="08108424"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0.187</w:t>
            </w:r>
          </w:p>
        </w:tc>
      </w:tr>
      <w:tr w:rsidR="004A7C7C" w14:paraId="37396D83" w14:textId="77777777" w:rsidTr="007227D1">
        <w:trPr>
          <w:trHeight w:val="518"/>
        </w:trPr>
        <w:tc>
          <w:tcPr>
            <w:tcW w:w="2011" w:type="dxa"/>
            <w:tcMar>
              <w:top w:w="15" w:type="dxa"/>
              <w:left w:w="108" w:type="dxa"/>
              <w:bottom w:w="0" w:type="dxa"/>
              <w:right w:w="108" w:type="dxa"/>
            </w:tcMar>
            <w:vAlign w:val="center"/>
            <w:hideMark/>
          </w:tcPr>
          <w:p w14:paraId="24BB9DB9"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Presence of cirrhosis</w:t>
            </w:r>
          </w:p>
        </w:tc>
        <w:tc>
          <w:tcPr>
            <w:tcW w:w="2437" w:type="dxa"/>
            <w:tcMar>
              <w:top w:w="15" w:type="dxa"/>
              <w:left w:w="108" w:type="dxa"/>
              <w:bottom w:w="0" w:type="dxa"/>
              <w:right w:w="108" w:type="dxa"/>
            </w:tcMar>
            <w:vAlign w:val="center"/>
            <w:hideMark/>
          </w:tcPr>
          <w:p w14:paraId="4C9E8677"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7.608</w:t>
            </w:r>
          </w:p>
        </w:tc>
        <w:tc>
          <w:tcPr>
            <w:tcW w:w="2437" w:type="dxa"/>
            <w:tcMar>
              <w:top w:w="15" w:type="dxa"/>
              <w:left w:w="108" w:type="dxa"/>
              <w:bottom w:w="0" w:type="dxa"/>
              <w:right w:w="108" w:type="dxa"/>
            </w:tcMar>
            <w:vAlign w:val="center"/>
            <w:hideMark/>
          </w:tcPr>
          <w:p w14:paraId="78996F46"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3.310-17.488</w:t>
            </w:r>
          </w:p>
        </w:tc>
        <w:tc>
          <w:tcPr>
            <w:tcW w:w="2437" w:type="dxa"/>
            <w:tcMar>
              <w:top w:w="15" w:type="dxa"/>
              <w:left w:w="108" w:type="dxa"/>
              <w:bottom w:w="0" w:type="dxa"/>
              <w:right w:w="108" w:type="dxa"/>
            </w:tcMar>
            <w:vAlign w:val="center"/>
            <w:hideMark/>
          </w:tcPr>
          <w:p w14:paraId="314ECDC9"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&lt; 0.001</w:t>
            </w:r>
          </w:p>
        </w:tc>
      </w:tr>
      <w:tr w:rsidR="004A7C7C" w14:paraId="0584C51B" w14:textId="77777777" w:rsidTr="007227D1">
        <w:trPr>
          <w:trHeight w:val="518"/>
        </w:trPr>
        <w:tc>
          <w:tcPr>
            <w:tcW w:w="2011" w:type="dxa"/>
            <w:tcBorders>
              <w:top w:val="nil"/>
              <w:left w:val="nil"/>
              <w:bottom w:val="single" w:sz="8" w:space="0" w:color="000000"/>
              <w:right w:val="nil"/>
            </w:tcBorders>
            <w:tcMar>
              <w:top w:w="15" w:type="dxa"/>
              <w:left w:w="108" w:type="dxa"/>
              <w:bottom w:w="0" w:type="dxa"/>
              <w:right w:w="108" w:type="dxa"/>
            </w:tcMar>
            <w:vAlign w:val="center"/>
            <w:hideMark/>
          </w:tcPr>
          <w:p w14:paraId="312B1E19"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Presence of HCC</w:t>
            </w:r>
          </w:p>
        </w:tc>
        <w:tc>
          <w:tcPr>
            <w:tcW w:w="2437" w:type="dxa"/>
            <w:tcBorders>
              <w:top w:val="nil"/>
              <w:left w:val="nil"/>
              <w:bottom w:val="single" w:sz="8" w:space="0" w:color="000000"/>
              <w:right w:val="nil"/>
            </w:tcBorders>
            <w:tcMar>
              <w:top w:w="15" w:type="dxa"/>
              <w:left w:w="108" w:type="dxa"/>
              <w:bottom w:w="0" w:type="dxa"/>
              <w:right w:w="108" w:type="dxa"/>
            </w:tcMar>
            <w:vAlign w:val="center"/>
            <w:hideMark/>
          </w:tcPr>
          <w:p w14:paraId="5E2E60F3"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1.329</w:t>
            </w:r>
          </w:p>
        </w:tc>
        <w:tc>
          <w:tcPr>
            <w:tcW w:w="2437" w:type="dxa"/>
            <w:tcBorders>
              <w:top w:val="nil"/>
              <w:left w:val="nil"/>
              <w:bottom w:val="single" w:sz="8" w:space="0" w:color="000000"/>
              <w:right w:val="nil"/>
            </w:tcBorders>
            <w:tcMar>
              <w:top w:w="15" w:type="dxa"/>
              <w:left w:w="108" w:type="dxa"/>
              <w:bottom w:w="0" w:type="dxa"/>
              <w:right w:w="108" w:type="dxa"/>
            </w:tcMar>
            <w:vAlign w:val="center"/>
            <w:hideMark/>
          </w:tcPr>
          <w:p w14:paraId="344A2923"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0.704-2.510</w:t>
            </w:r>
          </w:p>
        </w:tc>
        <w:tc>
          <w:tcPr>
            <w:tcW w:w="2437" w:type="dxa"/>
            <w:tcBorders>
              <w:top w:val="nil"/>
              <w:left w:val="nil"/>
              <w:bottom w:val="single" w:sz="8" w:space="0" w:color="000000"/>
              <w:right w:val="nil"/>
            </w:tcBorders>
            <w:tcMar>
              <w:top w:w="15" w:type="dxa"/>
              <w:left w:w="108" w:type="dxa"/>
              <w:bottom w:w="0" w:type="dxa"/>
              <w:right w:w="108" w:type="dxa"/>
            </w:tcMar>
            <w:vAlign w:val="center"/>
            <w:hideMark/>
          </w:tcPr>
          <w:p w14:paraId="1C18FBE8"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0.381</w:t>
            </w:r>
          </w:p>
        </w:tc>
      </w:tr>
    </w:tbl>
    <w:p w14:paraId="5641D807" w14:textId="666D3986" w:rsidR="004A7C7C" w:rsidRDefault="004A7C7C">
      <w:pPr>
        <w:spacing w:line="360" w:lineRule="auto"/>
        <w:jc w:val="both"/>
        <w:rPr>
          <w:rFonts w:ascii="Book Antiqua" w:hAnsi="Book Antiqua" w:cs="Calibri"/>
          <w:bdr w:val="none" w:sz="0" w:space="0" w:color="auto" w:frame="1"/>
        </w:rPr>
      </w:pPr>
      <w:r>
        <w:rPr>
          <w:rFonts w:ascii="Book Antiqua" w:hAnsi="Book Antiqua" w:cs="Calibri"/>
          <w:bdr w:val="none" w:sz="0" w:space="0" w:color="auto" w:frame="1"/>
        </w:rPr>
        <w:t>GP73: Golgi protein 73; INR: International normalized ratio; AST: Aspartate aminotransferase; ALT: Alanine aminotransferase; γ-GT: γ-glutamyl transpeptidase; ALP: Alkaline phosphatase; AFP: Alpha-fetoprotein; HCC: Hepatocellular carcinoma. No multi-collinearity was found between the independent variables in regression analysis and the variance inflation factors ranged from 1.147 to 1.600.</w:t>
      </w:r>
      <w:bookmarkEnd w:id="2"/>
    </w:p>
    <w:p w14:paraId="0744A7B8" w14:textId="2E0AEFA8" w:rsidR="004A7C7C" w:rsidRDefault="004A7C7C">
      <w:pPr>
        <w:spacing w:line="360" w:lineRule="auto"/>
        <w:jc w:val="both"/>
        <w:rPr>
          <w:rFonts w:ascii="Book Antiqua" w:hAnsi="Book Antiqua" w:cs="Calibri"/>
          <w:bdr w:val="none" w:sz="0" w:space="0" w:color="auto" w:frame="1"/>
        </w:rPr>
      </w:pPr>
    </w:p>
    <w:p w14:paraId="12C5B460" w14:textId="77777777" w:rsidR="00A663DA" w:rsidRDefault="00A663DA">
      <w:pPr>
        <w:rPr>
          <w:rFonts w:ascii="Book Antiqua" w:eastAsia="Helvetica" w:hAnsi="Book Antiqua" w:cs="Calibri"/>
          <w:b/>
          <w:color w:val="000000"/>
          <w:lang w:eastAsia="en-GB"/>
        </w:rPr>
      </w:pPr>
      <w:r>
        <w:rPr>
          <w:rFonts w:ascii="Book Antiqua" w:eastAsia="Helvetica" w:hAnsi="Book Antiqua" w:cs="Calibri"/>
          <w:b/>
          <w:color w:val="000000"/>
          <w:lang w:eastAsia="en-GB"/>
        </w:rPr>
        <w:br w:type="page"/>
      </w:r>
    </w:p>
    <w:p w14:paraId="40C316A4" w14:textId="55FAD4E2" w:rsidR="004A7C7C" w:rsidRDefault="004A7C7C" w:rsidP="004A7C7C">
      <w:pPr>
        <w:adjustRightInd w:val="0"/>
        <w:snapToGrid w:val="0"/>
        <w:spacing w:line="360" w:lineRule="auto"/>
        <w:jc w:val="both"/>
        <w:rPr>
          <w:rFonts w:ascii="Book Antiqua" w:eastAsia="Helvetica" w:hAnsi="Book Antiqua" w:cs="Calibri"/>
          <w:b/>
          <w:color w:val="000000"/>
          <w:lang w:eastAsia="en-GB"/>
        </w:rPr>
      </w:pPr>
      <w:r>
        <w:rPr>
          <w:rFonts w:ascii="Book Antiqua" w:eastAsia="Helvetica" w:hAnsi="Book Antiqua" w:cs="Calibri"/>
          <w:b/>
          <w:color w:val="000000"/>
          <w:lang w:eastAsia="en-GB"/>
        </w:rPr>
        <w:lastRenderedPageBreak/>
        <w:t xml:space="preserve">Table 4 Binary logistic regression analysis of baseline factors associated with </w:t>
      </w:r>
      <w:proofErr w:type="spellStart"/>
      <w:r>
        <w:rPr>
          <w:rFonts w:ascii="Book Antiqua" w:hAnsi="Book Antiqua" w:cs="Calibri"/>
          <w:b/>
          <w:bCs/>
        </w:rPr>
        <w:t>golgi</w:t>
      </w:r>
      <w:proofErr w:type="spellEnd"/>
      <w:r>
        <w:rPr>
          <w:rFonts w:ascii="Book Antiqua" w:hAnsi="Book Antiqua" w:cs="Calibri"/>
          <w:b/>
          <w:bCs/>
        </w:rPr>
        <w:t xml:space="preserve"> protein 73</w:t>
      </w:r>
      <w:r>
        <w:rPr>
          <w:rFonts w:ascii="Book Antiqua" w:eastAsia="Helvetica" w:hAnsi="Book Antiqua" w:cs="Calibri"/>
          <w:b/>
          <w:color w:val="000000"/>
          <w:lang w:eastAsia="en-GB"/>
        </w:rPr>
        <w:t xml:space="preserve"> positivity at initial evaluation of the cirrhotic patients</w:t>
      </w:r>
    </w:p>
    <w:tbl>
      <w:tblPr>
        <w:tblW w:w="9038" w:type="dxa"/>
        <w:tblCellMar>
          <w:left w:w="0" w:type="dxa"/>
          <w:right w:w="0" w:type="dxa"/>
        </w:tblCellMar>
        <w:tblLook w:val="04A0" w:firstRow="1" w:lastRow="0" w:firstColumn="1" w:lastColumn="0" w:noHBand="0" w:noVBand="1"/>
      </w:tblPr>
      <w:tblGrid>
        <w:gridCol w:w="2659"/>
        <w:gridCol w:w="2220"/>
        <w:gridCol w:w="2221"/>
        <w:gridCol w:w="1938"/>
      </w:tblGrid>
      <w:tr w:rsidR="004A7C7C" w14:paraId="33334C72" w14:textId="77777777" w:rsidTr="003F4442">
        <w:trPr>
          <w:trHeight w:val="374"/>
        </w:trPr>
        <w:tc>
          <w:tcPr>
            <w:tcW w:w="2659"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17486D85"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
                <w:bCs/>
                <w:iCs/>
                <w:color w:val="000000"/>
                <w:lang w:eastAsia="en-GB"/>
              </w:rPr>
              <w:t>Variables</w:t>
            </w:r>
          </w:p>
        </w:tc>
        <w:tc>
          <w:tcPr>
            <w:tcW w:w="2220"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509E35EC"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b/>
                <w:bCs/>
                <w:iCs/>
                <w:color w:val="000000"/>
                <w:lang w:eastAsia="en-GB"/>
              </w:rPr>
              <w:t>Adjusted OR</w:t>
            </w:r>
          </w:p>
        </w:tc>
        <w:tc>
          <w:tcPr>
            <w:tcW w:w="2221"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608777D3"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b/>
                <w:bCs/>
                <w:iCs/>
                <w:color w:val="000000"/>
                <w:lang w:eastAsia="en-GB"/>
              </w:rPr>
              <w:t>95%CI</w:t>
            </w:r>
          </w:p>
        </w:tc>
        <w:tc>
          <w:tcPr>
            <w:tcW w:w="1938"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2A239C63" w14:textId="360D268D" w:rsidR="004A7C7C" w:rsidRPr="00287CAA" w:rsidRDefault="004A7C7C" w:rsidP="00287CAA">
            <w:pPr>
              <w:spacing w:line="360" w:lineRule="auto"/>
              <w:jc w:val="center"/>
              <w:rPr>
                <w:rFonts w:ascii="Book Antiqua" w:eastAsia="Helvetica" w:hAnsi="Book Antiqua" w:cs="Calibri"/>
                <w:b/>
                <w:bCs/>
                <w:iCs/>
                <w:color w:val="000000"/>
                <w:lang w:eastAsia="en-GB"/>
              </w:rPr>
            </w:pPr>
            <w:r>
              <w:rPr>
                <w:rFonts w:ascii="Book Antiqua" w:eastAsia="Helvetica" w:hAnsi="Book Antiqua" w:cs="Calibri"/>
                <w:b/>
                <w:bCs/>
                <w:iCs/>
                <w:color w:val="000000"/>
                <w:lang w:eastAsia="en-GB"/>
              </w:rPr>
              <w:t>Adjusted</w:t>
            </w:r>
            <w:r w:rsidR="00287CAA">
              <w:rPr>
                <w:rFonts w:ascii="Book Antiqua" w:hAnsi="Book Antiqua" w:cs="Calibri" w:hint="eastAsia"/>
                <w:b/>
                <w:bCs/>
                <w:iCs/>
                <w:color w:val="000000"/>
                <w:lang w:eastAsia="zh-CN"/>
              </w:rPr>
              <w:t xml:space="preserve"> </w:t>
            </w:r>
            <w:r w:rsidRPr="00287CAA">
              <w:rPr>
                <w:rFonts w:ascii="Book Antiqua" w:eastAsia="Helvetica" w:hAnsi="Book Antiqua" w:cs="Calibri"/>
                <w:b/>
                <w:bCs/>
                <w:i/>
                <w:iCs/>
                <w:color w:val="000000"/>
                <w:lang w:eastAsia="en-GB"/>
              </w:rPr>
              <w:t>P</w:t>
            </w:r>
            <w:r w:rsidR="00287CAA">
              <w:rPr>
                <w:rFonts w:ascii="Book Antiqua" w:eastAsia="Helvetica" w:hAnsi="Book Antiqua" w:cs="Calibri"/>
                <w:b/>
                <w:bCs/>
                <w:iCs/>
                <w:color w:val="000000"/>
                <w:lang w:eastAsia="en-GB"/>
              </w:rPr>
              <w:t xml:space="preserve"> </w:t>
            </w:r>
            <w:r>
              <w:rPr>
                <w:rFonts w:ascii="Book Antiqua" w:eastAsia="Helvetica" w:hAnsi="Book Antiqua" w:cs="Calibri"/>
                <w:b/>
                <w:bCs/>
                <w:iCs/>
                <w:color w:val="000000"/>
                <w:lang w:eastAsia="en-GB"/>
              </w:rPr>
              <w:t>value</w:t>
            </w:r>
          </w:p>
        </w:tc>
      </w:tr>
      <w:tr w:rsidR="004A7C7C" w14:paraId="3573A6E5" w14:textId="77777777" w:rsidTr="003F4442">
        <w:trPr>
          <w:trHeight w:val="518"/>
        </w:trPr>
        <w:tc>
          <w:tcPr>
            <w:tcW w:w="2659" w:type="dxa"/>
            <w:tcBorders>
              <w:top w:val="single" w:sz="8" w:space="0" w:color="000000"/>
              <w:left w:val="nil"/>
              <w:bottom w:val="nil"/>
              <w:right w:val="nil"/>
            </w:tcBorders>
            <w:tcMar>
              <w:top w:w="15" w:type="dxa"/>
              <w:left w:w="108" w:type="dxa"/>
              <w:bottom w:w="0" w:type="dxa"/>
              <w:right w:w="108" w:type="dxa"/>
            </w:tcMar>
            <w:vAlign w:val="center"/>
            <w:hideMark/>
          </w:tcPr>
          <w:p w14:paraId="52087A05"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Age</w:t>
            </w:r>
          </w:p>
        </w:tc>
        <w:tc>
          <w:tcPr>
            <w:tcW w:w="2220" w:type="dxa"/>
            <w:tcBorders>
              <w:top w:val="single" w:sz="8" w:space="0" w:color="000000"/>
              <w:left w:val="nil"/>
              <w:bottom w:val="nil"/>
              <w:right w:val="nil"/>
            </w:tcBorders>
            <w:tcMar>
              <w:top w:w="15" w:type="dxa"/>
              <w:left w:w="108" w:type="dxa"/>
              <w:bottom w:w="0" w:type="dxa"/>
              <w:right w:w="108" w:type="dxa"/>
            </w:tcMar>
            <w:vAlign w:val="center"/>
            <w:hideMark/>
          </w:tcPr>
          <w:p w14:paraId="2A3DEC08"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0.996</w:t>
            </w:r>
          </w:p>
        </w:tc>
        <w:tc>
          <w:tcPr>
            <w:tcW w:w="2221" w:type="dxa"/>
            <w:tcBorders>
              <w:top w:val="single" w:sz="8" w:space="0" w:color="000000"/>
              <w:left w:val="nil"/>
              <w:bottom w:val="nil"/>
              <w:right w:val="nil"/>
            </w:tcBorders>
            <w:tcMar>
              <w:top w:w="15" w:type="dxa"/>
              <w:left w:w="108" w:type="dxa"/>
              <w:bottom w:w="0" w:type="dxa"/>
              <w:right w:w="108" w:type="dxa"/>
            </w:tcMar>
            <w:vAlign w:val="center"/>
            <w:hideMark/>
          </w:tcPr>
          <w:p w14:paraId="2494BD0F"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0.975-1.018</w:t>
            </w:r>
          </w:p>
        </w:tc>
        <w:tc>
          <w:tcPr>
            <w:tcW w:w="1938" w:type="dxa"/>
            <w:tcBorders>
              <w:top w:val="single" w:sz="8" w:space="0" w:color="000000"/>
              <w:left w:val="nil"/>
              <w:bottom w:val="nil"/>
              <w:right w:val="nil"/>
            </w:tcBorders>
            <w:tcMar>
              <w:top w:w="15" w:type="dxa"/>
              <w:left w:w="108" w:type="dxa"/>
              <w:bottom w:w="0" w:type="dxa"/>
              <w:right w:w="108" w:type="dxa"/>
            </w:tcMar>
            <w:vAlign w:val="center"/>
            <w:hideMark/>
          </w:tcPr>
          <w:p w14:paraId="7925AD3B"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0.733</w:t>
            </w:r>
          </w:p>
        </w:tc>
      </w:tr>
      <w:tr w:rsidR="004A7C7C" w14:paraId="03AB0D71" w14:textId="77777777" w:rsidTr="003F4442">
        <w:trPr>
          <w:trHeight w:val="518"/>
        </w:trPr>
        <w:tc>
          <w:tcPr>
            <w:tcW w:w="2659" w:type="dxa"/>
            <w:tcMar>
              <w:top w:w="15" w:type="dxa"/>
              <w:left w:w="108" w:type="dxa"/>
              <w:bottom w:w="0" w:type="dxa"/>
              <w:right w:w="108" w:type="dxa"/>
            </w:tcMar>
            <w:vAlign w:val="center"/>
            <w:hideMark/>
          </w:tcPr>
          <w:p w14:paraId="30D67FC6"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INR</w:t>
            </w:r>
          </w:p>
        </w:tc>
        <w:tc>
          <w:tcPr>
            <w:tcW w:w="2220" w:type="dxa"/>
            <w:tcMar>
              <w:top w:w="15" w:type="dxa"/>
              <w:left w:w="108" w:type="dxa"/>
              <w:bottom w:w="0" w:type="dxa"/>
              <w:right w:w="108" w:type="dxa"/>
            </w:tcMar>
            <w:vAlign w:val="center"/>
            <w:hideMark/>
          </w:tcPr>
          <w:p w14:paraId="2FF0ADF1"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2.242</w:t>
            </w:r>
          </w:p>
        </w:tc>
        <w:tc>
          <w:tcPr>
            <w:tcW w:w="2221" w:type="dxa"/>
            <w:tcMar>
              <w:top w:w="15" w:type="dxa"/>
              <w:left w:w="108" w:type="dxa"/>
              <w:bottom w:w="0" w:type="dxa"/>
              <w:right w:w="108" w:type="dxa"/>
            </w:tcMar>
            <w:vAlign w:val="center"/>
            <w:hideMark/>
          </w:tcPr>
          <w:p w14:paraId="3F4DB651"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0.820-6.128</w:t>
            </w:r>
          </w:p>
        </w:tc>
        <w:tc>
          <w:tcPr>
            <w:tcW w:w="1938" w:type="dxa"/>
            <w:tcMar>
              <w:top w:w="15" w:type="dxa"/>
              <w:left w:w="108" w:type="dxa"/>
              <w:bottom w:w="0" w:type="dxa"/>
              <w:right w:w="108" w:type="dxa"/>
            </w:tcMar>
            <w:vAlign w:val="center"/>
            <w:hideMark/>
          </w:tcPr>
          <w:p w14:paraId="23580B02"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0.116</w:t>
            </w:r>
          </w:p>
        </w:tc>
      </w:tr>
      <w:tr w:rsidR="004A7C7C" w14:paraId="3B52105F" w14:textId="77777777" w:rsidTr="003F4442">
        <w:trPr>
          <w:trHeight w:val="518"/>
        </w:trPr>
        <w:tc>
          <w:tcPr>
            <w:tcW w:w="2659" w:type="dxa"/>
            <w:tcMar>
              <w:top w:w="15" w:type="dxa"/>
              <w:left w:w="108" w:type="dxa"/>
              <w:bottom w:w="0" w:type="dxa"/>
              <w:right w:w="108" w:type="dxa"/>
            </w:tcMar>
            <w:vAlign w:val="center"/>
            <w:hideMark/>
          </w:tcPr>
          <w:p w14:paraId="542F66FD"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Platelets</w:t>
            </w:r>
          </w:p>
        </w:tc>
        <w:tc>
          <w:tcPr>
            <w:tcW w:w="2220" w:type="dxa"/>
            <w:tcMar>
              <w:top w:w="15" w:type="dxa"/>
              <w:left w:w="108" w:type="dxa"/>
              <w:bottom w:w="0" w:type="dxa"/>
              <w:right w:w="108" w:type="dxa"/>
            </w:tcMar>
            <w:vAlign w:val="center"/>
            <w:hideMark/>
          </w:tcPr>
          <w:p w14:paraId="398EE7EE"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1.000</w:t>
            </w:r>
          </w:p>
        </w:tc>
        <w:tc>
          <w:tcPr>
            <w:tcW w:w="2221" w:type="dxa"/>
            <w:tcMar>
              <w:top w:w="15" w:type="dxa"/>
              <w:left w:w="108" w:type="dxa"/>
              <w:bottom w:w="0" w:type="dxa"/>
              <w:right w:w="108" w:type="dxa"/>
            </w:tcMar>
            <w:vAlign w:val="center"/>
            <w:hideMark/>
          </w:tcPr>
          <w:p w14:paraId="3A645E24"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1.000-1.000</w:t>
            </w:r>
          </w:p>
        </w:tc>
        <w:tc>
          <w:tcPr>
            <w:tcW w:w="1938" w:type="dxa"/>
            <w:tcMar>
              <w:top w:w="15" w:type="dxa"/>
              <w:left w:w="108" w:type="dxa"/>
              <w:bottom w:w="0" w:type="dxa"/>
              <w:right w:w="108" w:type="dxa"/>
            </w:tcMar>
            <w:vAlign w:val="center"/>
            <w:hideMark/>
          </w:tcPr>
          <w:p w14:paraId="377C6C43"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0.719</w:t>
            </w:r>
          </w:p>
        </w:tc>
      </w:tr>
      <w:tr w:rsidR="004A7C7C" w14:paraId="79006254" w14:textId="77777777" w:rsidTr="003F4442">
        <w:trPr>
          <w:trHeight w:val="518"/>
        </w:trPr>
        <w:tc>
          <w:tcPr>
            <w:tcW w:w="2659" w:type="dxa"/>
            <w:tcMar>
              <w:top w:w="15" w:type="dxa"/>
              <w:left w:w="108" w:type="dxa"/>
              <w:bottom w:w="0" w:type="dxa"/>
              <w:right w:w="108" w:type="dxa"/>
            </w:tcMar>
            <w:vAlign w:val="center"/>
            <w:hideMark/>
          </w:tcPr>
          <w:p w14:paraId="564AD1AB"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AST</w:t>
            </w:r>
          </w:p>
        </w:tc>
        <w:tc>
          <w:tcPr>
            <w:tcW w:w="2220" w:type="dxa"/>
            <w:tcMar>
              <w:top w:w="15" w:type="dxa"/>
              <w:left w:w="108" w:type="dxa"/>
              <w:bottom w:w="0" w:type="dxa"/>
              <w:right w:w="108" w:type="dxa"/>
            </w:tcMar>
            <w:vAlign w:val="center"/>
            <w:hideMark/>
          </w:tcPr>
          <w:p w14:paraId="0F5A8010"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1.002</w:t>
            </w:r>
          </w:p>
        </w:tc>
        <w:tc>
          <w:tcPr>
            <w:tcW w:w="2221" w:type="dxa"/>
            <w:tcMar>
              <w:top w:w="15" w:type="dxa"/>
              <w:left w:w="108" w:type="dxa"/>
              <w:bottom w:w="0" w:type="dxa"/>
              <w:right w:w="108" w:type="dxa"/>
            </w:tcMar>
            <w:vAlign w:val="center"/>
            <w:hideMark/>
          </w:tcPr>
          <w:p w14:paraId="1DEFB1B8"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0.997-1.006</w:t>
            </w:r>
          </w:p>
        </w:tc>
        <w:tc>
          <w:tcPr>
            <w:tcW w:w="1938" w:type="dxa"/>
            <w:tcMar>
              <w:top w:w="15" w:type="dxa"/>
              <w:left w:w="108" w:type="dxa"/>
              <w:bottom w:w="0" w:type="dxa"/>
              <w:right w:w="108" w:type="dxa"/>
            </w:tcMar>
            <w:vAlign w:val="center"/>
            <w:hideMark/>
          </w:tcPr>
          <w:p w14:paraId="0F819366"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0.405</w:t>
            </w:r>
          </w:p>
        </w:tc>
      </w:tr>
      <w:tr w:rsidR="004A7C7C" w14:paraId="5A746BD0" w14:textId="77777777" w:rsidTr="003F4442">
        <w:trPr>
          <w:trHeight w:val="518"/>
        </w:trPr>
        <w:tc>
          <w:tcPr>
            <w:tcW w:w="2659" w:type="dxa"/>
            <w:tcMar>
              <w:top w:w="15" w:type="dxa"/>
              <w:left w:w="108" w:type="dxa"/>
              <w:bottom w:w="0" w:type="dxa"/>
              <w:right w:w="108" w:type="dxa"/>
            </w:tcMar>
            <w:vAlign w:val="center"/>
            <w:hideMark/>
          </w:tcPr>
          <w:p w14:paraId="1EC92C26"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γ-GT</w:t>
            </w:r>
          </w:p>
        </w:tc>
        <w:tc>
          <w:tcPr>
            <w:tcW w:w="2220" w:type="dxa"/>
            <w:tcMar>
              <w:top w:w="15" w:type="dxa"/>
              <w:left w:w="108" w:type="dxa"/>
              <w:bottom w:w="0" w:type="dxa"/>
              <w:right w:w="108" w:type="dxa"/>
            </w:tcMar>
            <w:vAlign w:val="center"/>
            <w:hideMark/>
          </w:tcPr>
          <w:p w14:paraId="26AF7C8E"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1.001</w:t>
            </w:r>
          </w:p>
        </w:tc>
        <w:tc>
          <w:tcPr>
            <w:tcW w:w="2221" w:type="dxa"/>
            <w:tcMar>
              <w:top w:w="15" w:type="dxa"/>
              <w:left w:w="108" w:type="dxa"/>
              <w:bottom w:w="0" w:type="dxa"/>
              <w:right w:w="108" w:type="dxa"/>
            </w:tcMar>
            <w:vAlign w:val="center"/>
            <w:hideMark/>
          </w:tcPr>
          <w:p w14:paraId="354A29C1"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0.999-1.002</w:t>
            </w:r>
          </w:p>
        </w:tc>
        <w:tc>
          <w:tcPr>
            <w:tcW w:w="1938" w:type="dxa"/>
            <w:tcMar>
              <w:top w:w="15" w:type="dxa"/>
              <w:left w:w="108" w:type="dxa"/>
              <w:bottom w:w="0" w:type="dxa"/>
              <w:right w:w="108" w:type="dxa"/>
            </w:tcMar>
            <w:vAlign w:val="center"/>
            <w:hideMark/>
          </w:tcPr>
          <w:p w14:paraId="7930A69A"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0.278</w:t>
            </w:r>
          </w:p>
        </w:tc>
      </w:tr>
      <w:tr w:rsidR="004A7C7C" w14:paraId="6A8A711D" w14:textId="77777777" w:rsidTr="003F4442">
        <w:trPr>
          <w:trHeight w:val="518"/>
        </w:trPr>
        <w:tc>
          <w:tcPr>
            <w:tcW w:w="2659" w:type="dxa"/>
            <w:tcMar>
              <w:top w:w="15" w:type="dxa"/>
              <w:left w:w="108" w:type="dxa"/>
              <w:bottom w:w="0" w:type="dxa"/>
              <w:right w:w="108" w:type="dxa"/>
            </w:tcMar>
            <w:vAlign w:val="center"/>
            <w:hideMark/>
          </w:tcPr>
          <w:p w14:paraId="3F58ECCB"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ALP</w:t>
            </w:r>
          </w:p>
        </w:tc>
        <w:tc>
          <w:tcPr>
            <w:tcW w:w="2220" w:type="dxa"/>
            <w:tcMar>
              <w:top w:w="15" w:type="dxa"/>
              <w:left w:w="108" w:type="dxa"/>
              <w:bottom w:w="0" w:type="dxa"/>
              <w:right w:w="108" w:type="dxa"/>
            </w:tcMar>
            <w:vAlign w:val="center"/>
            <w:hideMark/>
          </w:tcPr>
          <w:p w14:paraId="5181069B"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1.000</w:t>
            </w:r>
          </w:p>
        </w:tc>
        <w:tc>
          <w:tcPr>
            <w:tcW w:w="2221" w:type="dxa"/>
            <w:tcMar>
              <w:top w:w="15" w:type="dxa"/>
              <w:left w:w="108" w:type="dxa"/>
              <w:bottom w:w="0" w:type="dxa"/>
              <w:right w:w="108" w:type="dxa"/>
            </w:tcMar>
            <w:vAlign w:val="center"/>
            <w:hideMark/>
          </w:tcPr>
          <w:p w14:paraId="5DE7407F"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0.997-1.003</w:t>
            </w:r>
          </w:p>
        </w:tc>
        <w:tc>
          <w:tcPr>
            <w:tcW w:w="1938" w:type="dxa"/>
            <w:tcMar>
              <w:top w:w="15" w:type="dxa"/>
              <w:left w:w="108" w:type="dxa"/>
              <w:bottom w:w="0" w:type="dxa"/>
              <w:right w:w="108" w:type="dxa"/>
            </w:tcMar>
            <w:vAlign w:val="center"/>
            <w:hideMark/>
          </w:tcPr>
          <w:p w14:paraId="0BA24053"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0.959</w:t>
            </w:r>
          </w:p>
        </w:tc>
      </w:tr>
      <w:tr w:rsidR="004A7C7C" w14:paraId="20F97838" w14:textId="77777777" w:rsidTr="003F4442">
        <w:trPr>
          <w:trHeight w:val="518"/>
        </w:trPr>
        <w:tc>
          <w:tcPr>
            <w:tcW w:w="2659" w:type="dxa"/>
            <w:tcMar>
              <w:top w:w="15" w:type="dxa"/>
              <w:left w:w="108" w:type="dxa"/>
              <w:bottom w:w="0" w:type="dxa"/>
              <w:right w:w="108" w:type="dxa"/>
            </w:tcMar>
            <w:vAlign w:val="center"/>
            <w:hideMark/>
          </w:tcPr>
          <w:p w14:paraId="5C2251E1"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Bilirubin</w:t>
            </w:r>
          </w:p>
        </w:tc>
        <w:tc>
          <w:tcPr>
            <w:tcW w:w="2220" w:type="dxa"/>
            <w:tcMar>
              <w:top w:w="15" w:type="dxa"/>
              <w:left w:w="108" w:type="dxa"/>
              <w:bottom w:w="0" w:type="dxa"/>
              <w:right w:w="108" w:type="dxa"/>
            </w:tcMar>
            <w:vAlign w:val="center"/>
            <w:hideMark/>
          </w:tcPr>
          <w:p w14:paraId="2BAC179B"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1.002</w:t>
            </w:r>
          </w:p>
        </w:tc>
        <w:tc>
          <w:tcPr>
            <w:tcW w:w="2221" w:type="dxa"/>
            <w:tcMar>
              <w:top w:w="15" w:type="dxa"/>
              <w:left w:w="108" w:type="dxa"/>
              <w:bottom w:w="0" w:type="dxa"/>
              <w:right w:w="108" w:type="dxa"/>
            </w:tcMar>
            <w:vAlign w:val="center"/>
            <w:hideMark/>
          </w:tcPr>
          <w:p w14:paraId="04125A3F"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0.929-1.081</w:t>
            </w:r>
          </w:p>
        </w:tc>
        <w:tc>
          <w:tcPr>
            <w:tcW w:w="1938" w:type="dxa"/>
            <w:tcMar>
              <w:top w:w="15" w:type="dxa"/>
              <w:left w:w="108" w:type="dxa"/>
              <w:bottom w:w="0" w:type="dxa"/>
              <w:right w:w="108" w:type="dxa"/>
            </w:tcMar>
            <w:vAlign w:val="center"/>
            <w:hideMark/>
          </w:tcPr>
          <w:p w14:paraId="4F1CDA8F"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1.002</w:t>
            </w:r>
          </w:p>
        </w:tc>
      </w:tr>
      <w:tr w:rsidR="004A7C7C" w14:paraId="3AAA9021" w14:textId="77777777" w:rsidTr="003F4442">
        <w:trPr>
          <w:trHeight w:val="518"/>
        </w:trPr>
        <w:tc>
          <w:tcPr>
            <w:tcW w:w="2659" w:type="dxa"/>
            <w:tcMar>
              <w:top w:w="15" w:type="dxa"/>
              <w:left w:w="108" w:type="dxa"/>
              <w:bottom w:w="0" w:type="dxa"/>
              <w:right w:w="108" w:type="dxa"/>
            </w:tcMar>
            <w:vAlign w:val="center"/>
            <w:hideMark/>
          </w:tcPr>
          <w:p w14:paraId="1D85AEC6"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Albumin</w:t>
            </w:r>
          </w:p>
        </w:tc>
        <w:tc>
          <w:tcPr>
            <w:tcW w:w="2220" w:type="dxa"/>
            <w:tcMar>
              <w:top w:w="15" w:type="dxa"/>
              <w:left w:w="108" w:type="dxa"/>
              <w:bottom w:w="0" w:type="dxa"/>
              <w:right w:w="108" w:type="dxa"/>
            </w:tcMar>
            <w:vAlign w:val="center"/>
            <w:hideMark/>
          </w:tcPr>
          <w:p w14:paraId="2C8E9EC6"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0.713</w:t>
            </w:r>
          </w:p>
        </w:tc>
        <w:tc>
          <w:tcPr>
            <w:tcW w:w="2221" w:type="dxa"/>
            <w:tcMar>
              <w:top w:w="15" w:type="dxa"/>
              <w:left w:w="108" w:type="dxa"/>
              <w:bottom w:w="0" w:type="dxa"/>
              <w:right w:w="108" w:type="dxa"/>
            </w:tcMar>
            <w:vAlign w:val="center"/>
            <w:hideMark/>
          </w:tcPr>
          <w:p w14:paraId="766DD849"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0.478-1.064</w:t>
            </w:r>
          </w:p>
        </w:tc>
        <w:tc>
          <w:tcPr>
            <w:tcW w:w="1938" w:type="dxa"/>
            <w:tcMar>
              <w:top w:w="15" w:type="dxa"/>
              <w:left w:w="108" w:type="dxa"/>
              <w:bottom w:w="0" w:type="dxa"/>
              <w:right w:w="108" w:type="dxa"/>
            </w:tcMar>
            <w:vAlign w:val="center"/>
            <w:hideMark/>
          </w:tcPr>
          <w:p w14:paraId="6F0F57DC"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0.098</w:t>
            </w:r>
          </w:p>
        </w:tc>
      </w:tr>
      <w:tr w:rsidR="004A7C7C" w14:paraId="47BAECB0" w14:textId="77777777" w:rsidTr="003F4442">
        <w:trPr>
          <w:trHeight w:val="518"/>
        </w:trPr>
        <w:tc>
          <w:tcPr>
            <w:tcW w:w="2659" w:type="dxa"/>
            <w:tcMar>
              <w:top w:w="15" w:type="dxa"/>
              <w:left w:w="108" w:type="dxa"/>
              <w:bottom w:w="0" w:type="dxa"/>
              <w:right w:w="108" w:type="dxa"/>
            </w:tcMar>
            <w:vAlign w:val="center"/>
            <w:hideMark/>
          </w:tcPr>
          <w:p w14:paraId="3C68098C"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AFP</w:t>
            </w:r>
          </w:p>
        </w:tc>
        <w:tc>
          <w:tcPr>
            <w:tcW w:w="2220" w:type="dxa"/>
            <w:tcMar>
              <w:top w:w="15" w:type="dxa"/>
              <w:left w:w="108" w:type="dxa"/>
              <w:bottom w:w="0" w:type="dxa"/>
              <w:right w:w="108" w:type="dxa"/>
            </w:tcMar>
            <w:vAlign w:val="center"/>
            <w:hideMark/>
          </w:tcPr>
          <w:p w14:paraId="7E43053D"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1.000</w:t>
            </w:r>
          </w:p>
        </w:tc>
        <w:tc>
          <w:tcPr>
            <w:tcW w:w="2221" w:type="dxa"/>
            <w:tcMar>
              <w:top w:w="15" w:type="dxa"/>
              <w:left w:w="108" w:type="dxa"/>
              <w:bottom w:w="0" w:type="dxa"/>
              <w:right w:w="108" w:type="dxa"/>
            </w:tcMar>
            <w:vAlign w:val="center"/>
            <w:hideMark/>
          </w:tcPr>
          <w:p w14:paraId="6C2CFD01"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1.000-1.000</w:t>
            </w:r>
          </w:p>
        </w:tc>
        <w:tc>
          <w:tcPr>
            <w:tcW w:w="1938" w:type="dxa"/>
            <w:tcMar>
              <w:top w:w="15" w:type="dxa"/>
              <w:left w:w="108" w:type="dxa"/>
              <w:bottom w:w="0" w:type="dxa"/>
              <w:right w:w="108" w:type="dxa"/>
            </w:tcMar>
            <w:vAlign w:val="center"/>
            <w:hideMark/>
          </w:tcPr>
          <w:p w14:paraId="14F2F558"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0.282</w:t>
            </w:r>
          </w:p>
        </w:tc>
      </w:tr>
      <w:tr w:rsidR="004A7C7C" w14:paraId="5891EA40" w14:textId="77777777" w:rsidTr="003F4442">
        <w:trPr>
          <w:trHeight w:val="518"/>
        </w:trPr>
        <w:tc>
          <w:tcPr>
            <w:tcW w:w="2659" w:type="dxa"/>
            <w:tcMar>
              <w:top w:w="15" w:type="dxa"/>
              <w:left w:w="108" w:type="dxa"/>
              <w:bottom w:w="0" w:type="dxa"/>
              <w:right w:w="108" w:type="dxa"/>
            </w:tcMar>
            <w:vAlign w:val="center"/>
            <w:hideMark/>
          </w:tcPr>
          <w:p w14:paraId="6916ECDC"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Presence of decompensation</w:t>
            </w:r>
          </w:p>
        </w:tc>
        <w:tc>
          <w:tcPr>
            <w:tcW w:w="2220" w:type="dxa"/>
            <w:tcMar>
              <w:top w:w="15" w:type="dxa"/>
              <w:left w:w="108" w:type="dxa"/>
              <w:bottom w:w="0" w:type="dxa"/>
              <w:right w:w="108" w:type="dxa"/>
            </w:tcMar>
            <w:vAlign w:val="center"/>
            <w:hideMark/>
          </w:tcPr>
          <w:p w14:paraId="2F89945B"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1.812</w:t>
            </w:r>
          </w:p>
        </w:tc>
        <w:tc>
          <w:tcPr>
            <w:tcW w:w="2221" w:type="dxa"/>
            <w:tcMar>
              <w:top w:w="15" w:type="dxa"/>
              <w:left w:w="108" w:type="dxa"/>
              <w:bottom w:w="0" w:type="dxa"/>
              <w:right w:w="108" w:type="dxa"/>
            </w:tcMar>
            <w:vAlign w:val="center"/>
            <w:hideMark/>
          </w:tcPr>
          <w:p w14:paraId="4C0D3821"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1.059-3.101</w:t>
            </w:r>
          </w:p>
        </w:tc>
        <w:tc>
          <w:tcPr>
            <w:tcW w:w="1938" w:type="dxa"/>
            <w:tcMar>
              <w:top w:w="15" w:type="dxa"/>
              <w:left w:w="108" w:type="dxa"/>
              <w:bottom w:w="0" w:type="dxa"/>
              <w:right w:w="108" w:type="dxa"/>
            </w:tcMar>
            <w:vAlign w:val="center"/>
            <w:hideMark/>
          </w:tcPr>
          <w:p w14:paraId="322F385C"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0.030</w:t>
            </w:r>
          </w:p>
        </w:tc>
      </w:tr>
      <w:tr w:rsidR="004A7C7C" w14:paraId="05704634" w14:textId="77777777" w:rsidTr="003F4442">
        <w:trPr>
          <w:trHeight w:val="518"/>
        </w:trPr>
        <w:tc>
          <w:tcPr>
            <w:tcW w:w="2659" w:type="dxa"/>
            <w:tcBorders>
              <w:top w:val="nil"/>
              <w:left w:val="nil"/>
              <w:bottom w:val="single" w:sz="8" w:space="0" w:color="000000"/>
              <w:right w:val="nil"/>
            </w:tcBorders>
            <w:tcMar>
              <w:top w:w="15" w:type="dxa"/>
              <w:left w:w="108" w:type="dxa"/>
              <w:bottom w:w="0" w:type="dxa"/>
              <w:right w:w="108" w:type="dxa"/>
            </w:tcMar>
            <w:vAlign w:val="center"/>
            <w:hideMark/>
          </w:tcPr>
          <w:p w14:paraId="70D4885E"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Presence of HCC</w:t>
            </w:r>
          </w:p>
        </w:tc>
        <w:tc>
          <w:tcPr>
            <w:tcW w:w="2220" w:type="dxa"/>
            <w:tcBorders>
              <w:top w:val="nil"/>
              <w:left w:val="nil"/>
              <w:bottom w:val="single" w:sz="8" w:space="0" w:color="000000"/>
              <w:right w:val="nil"/>
            </w:tcBorders>
            <w:tcMar>
              <w:top w:w="15" w:type="dxa"/>
              <w:left w:w="108" w:type="dxa"/>
              <w:bottom w:w="0" w:type="dxa"/>
              <w:right w:w="108" w:type="dxa"/>
            </w:tcMar>
            <w:vAlign w:val="center"/>
            <w:hideMark/>
          </w:tcPr>
          <w:p w14:paraId="2480664D"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1.302</w:t>
            </w:r>
          </w:p>
        </w:tc>
        <w:tc>
          <w:tcPr>
            <w:tcW w:w="2221" w:type="dxa"/>
            <w:tcBorders>
              <w:top w:val="nil"/>
              <w:left w:val="nil"/>
              <w:bottom w:val="single" w:sz="8" w:space="0" w:color="000000"/>
              <w:right w:val="nil"/>
            </w:tcBorders>
            <w:tcMar>
              <w:top w:w="15" w:type="dxa"/>
              <w:left w:w="108" w:type="dxa"/>
              <w:bottom w:w="0" w:type="dxa"/>
              <w:right w:w="108" w:type="dxa"/>
            </w:tcMar>
            <w:vAlign w:val="center"/>
            <w:hideMark/>
          </w:tcPr>
          <w:p w14:paraId="6CE15E07"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0.687-2.467</w:t>
            </w:r>
          </w:p>
        </w:tc>
        <w:tc>
          <w:tcPr>
            <w:tcW w:w="1938" w:type="dxa"/>
            <w:tcBorders>
              <w:top w:val="nil"/>
              <w:left w:val="nil"/>
              <w:bottom w:val="single" w:sz="8" w:space="0" w:color="000000"/>
              <w:right w:val="nil"/>
            </w:tcBorders>
            <w:tcMar>
              <w:top w:w="15" w:type="dxa"/>
              <w:left w:w="108" w:type="dxa"/>
              <w:bottom w:w="0" w:type="dxa"/>
              <w:right w:w="108" w:type="dxa"/>
            </w:tcMar>
            <w:vAlign w:val="center"/>
            <w:hideMark/>
          </w:tcPr>
          <w:p w14:paraId="1CE12C61"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0.419</w:t>
            </w:r>
          </w:p>
        </w:tc>
      </w:tr>
    </w:tbl>
    <w:p w14:paraId="7498D2F9" w14:textId="63592290" w:rsidR="004A7C7C" w:rsidRDefault="004A7C7C">
      <w:pPr>
        <w:spacing w:line="360" w:lineRule="auto"/>
        <w:jc w:val="both"/>
      </w:pPr>
      <w:r>
        <w:rPr>
          <w:rFonts w:ascii="Book Antiqua" w:hAnsi="Book Antiqua" w:cs="Calibri"/>
          <w:bdr w:val="none" w:sz="0" w:space="0" w:color="auto" w:frame="1"/>
        </w:rPr>
        <w:t>No multi-collinearity was found between the independent variables in regression analysis and the variance inflation factors ranged from 1.067 to 1.583.</w:t>
      </w:r>
      <w:r w:rsidR="006826EA">
        <w:rPr>
          <w:rFonts w:ascii="Book Antiqua" w:hAnsi="Book Antiqua" w:cs="Calibri"/>
          <w:bdr w:val="none" w:sz="0" w:space="0" w:color="auto" w:frame="1"/>
        </w:rPr>
        <w:t xml:space="preserve"> GP73</w:t>
      </w:r>
      <w:r w:rsidR="006826EA">
        <w:rPr>
          <w:rFonts w:ascii="Book Antiqua" w:hAnsi="Book Antiqua" w:cs="Calibri"/>
          <w:bdr w:val="none" w:sz="0" w:space="0" w:color="auto" w:frame="1"/>
          <w:lang w:eastAsia="zh-CN"/>
        </w:rPr>
        <w:t>:</w:t>
      </w:r>
      <w:r w:rsidR="006826EA">
        <w:rPr>
          <w:rFonts w:ascii="Book Antiqua" w:hAnsi="Book Antiqua" w:cs="Calibri"/>
          <w:bdr w:val="none" w:sz="0" w:space="0" w:color="auto" w:frame="1"/>
        </w:rPr>
        <w:t xml:space="preserve"> Golgi protein 73; INR: International normalized ratio; AST</w:t>
      </w:r>
      <w:r w:rsidR="006826EA">
        <w:rPr>
          <w:rFonts w:ascii="Book Antiqua" w:hAnsi="Book Antiqua" w:cs="Calibri"/>
          <w:bdr w:val="none" w:sz="0" w:space="0" w:color="auto" w:frame="1"/>
          <w:lang w:eastAsia="zh-CN"/>
        </w:rPr>
        <w:t>:</w:t>
      </w:r>
      <w:r w:rsidR="006826EA">
        <w:rPr>
          <w:rFonts w:ascii="Book Antiqua" w:hAnsi="Book Antiqua" w:cs="Calibri"/>
          <w:bdr w:val="none" w:sz="0" w:space="0" w:color="auto" w:frame="1"/>
        </w:rPr>
        <w:t xml:space="preserve"> Aspartate aminotransferase; ALT: Alanine aminotransferase; γ-GT: γ-glutamyl transpeptidase; ALP: Alkaline phosphatase; AFP: Alpha fetoprotein; HCC: Hepatocellular carcinoma.</w:t>
      </w:r>
    </w:p>
    <w:sectPr w:rsidR="004A7C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EE2FF" w14:textId="77777777" w:rsidR="00900F17" w:rsidRDefault="00900F17" w:rsidP="004A7C7C">
      <w:r>
        <w:separator/>
      </w:r>
    </w:p>
  </w:endnote>
  <w:endnote w:type="continuationSeparator" w:id="0">
    <w:p w14:paraId="44E3A68A" w14:textId="77777777" w:rsidR="00900F17" w:rsidRDefault="00900F17" w:rsidP="004A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940217681"/>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C8E9EB0" w14:textId="263A226E" w:rsidR="00FA35BE" w:rsidRPr="004A7C7C" w:rsidRDefault="00FA35BE">
            <w:pPr>
              <w:pStyle w:val="ac"/>
              <w:jc w:val="right"/>
              <w:rPr>
                <w:rFonts w:ascii="Book Antiqua" w:hAnsi="Book Antiqua"/>
                <w:sz w:val="24"/>
                <w:szCs w:val="24"/>
              </w:rPr>
            </w:pPr>
            <w:r w:rsidRPr="004A7C7C">
              <w:rPr>
                <w:rFonts w:ascii="Book Antiqua" w:hAnsi="Book Antiqua"/>
                <w:sz w:val="24"/>
                <w:szCs w:val="24"/>
              </w:rPr>
              <w:fldChar w:fldCharType="begin"/>
            </w:r>
            <w:r w:rsidRPr="004A7C7C">
              <w:rPr>
                <w:rFonts w:ascii="Book Antiqua" w:hAnsi="Book Antiqua"/>
                <w:sz w:val="24"/>
                <w:szCs w:val="24"/>
              </w:rPr>
              <w:instrText>PAGE</w:instrText>
            </w:r>
            <w:r w:rsidRPr="004A7C7C">
              <w:rPr>
                <w:rFonts w:ascii="Book Antiqua" w:hAnsi="Book Antiqua"/>
                <w:sz w:val="24"/>
                <w:szCs w:val="24"/>
              </w:rPr>
              <w:fldChar w:fldCharType="separate"/>
            </w:r>
            <w:r w:rsidR="007227D1">
              <w:rPr>
                <w:rFonts w:ascii="Book Antiqua" w:hAnsi="Book Antiqua"/>
                <w:noProof/>
                <w:sz w:val="24"/>
                <w:szCs w:val="24"/>
              </w:rPr>
              <w:t>38</w:t>
            </w:r>
            <w:r w:rsidRPr="004A7C7C">
              <w:rPr>
                <w:rFonts w:ascii="Book Antiqua" w:hAnsi="Book Antiqua"/>
                <w:sz w:val="24"/>
                <w:szCs w:val="24"/>
              </w:rPr>
              <w:fldChar w:fldCharType="end"/>
            </w:r>
            <w:r w:rsidRPr="004A7C7C">
              <w:rPr>
                <w:rFonts w:ascii="Book Antiqua" w:hAnsi="Book Antiqua"/>
                <w:sz w:val="24"/>
                <w:szCs w:val="24"/>
                <w:lang w:val="zh-CN" w:eastAsia="zh-CN"/>
              </w:rPr>
              <w:t>/</w:t>
            </w:r>
            <w:r w:rsidRPr="004A7C7C">
              <w:rPr>
                <w:rFonts w:ascii="Book Antiqua" w:hAnsi="Book Antiqua"/>
                <w:sz w:val="24"/>
                <w:szCs w:val="24"/>
              </w:rPr>
              <w:fldChar w:fldCharType="begin"/>
            </w:r>
            <w:r w:rsidRPr="004A7C7C">
              <w:rPr>
                <w:rFonts w:ascii="Book Antiqua" w:hAnsi="Book Antiqua"/>
                <w:sz w:val="24"/>
                <w:szCs w:val="24"/>
              </w:rPr>
              <w:instrText>NUMPAGES</w:instrText>
            </w:r>
            <w:r w:rsidRPr="004A7C7C">
              <w:rPr>
                <w:rFonts w:ascii="Book Antiqua" w:hAnsi="Book Antiqua"/>
                <w:sz w:val="24"/>
                <w:szCs w:val="24"/>
              </w:rPr>
              <w:fldChar w:fldCharType="separate"/>
            </w:r>
            <w:r w:rsidR="007227D1">
              <w:rPr>
                <w:rFonts w:ascii="Book Antiqua" w:hAnsi="Book Antiqua"/>
                <w:noProof/>
                <w:sz w:val="24"/>
                <w:szCs w:val="24"/>
              </w:rPr>
              <w:t>38</w:t>
            </w:r>
            <w:r w:rsidRPr="004A7C7C">
              <w:rPr>
                <w:rFonts w:ascii="Book Antiqua" w:hAnsi="Book Antiqua"/>
                <w:sz w:val="24"/>
                <w:szCs w:val="24"/>
              </w:rPr>
              <w:fldChar w:fldCharType="end"/>
            </w:r>
          </w:p>
        </w:sdtContent>
      </w:sdt>
    </w:sdtContent>
  </w:sdt>
  <w:p w14:paraId="6860C595" w14:textId="77777777" w:rsidR="00FA35BE" w:rsidRPr="004A7C7C" w:rsidRDefault="00FA35BE">
    <w:pPr>
      <w:pStyle w:val="ac"/>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13DF2" w14:textId="77777777" w:rsidR="00900F17" w:rsidRDefault="00900F17" w:rsidP="004A7C7C">
      <w:r>
        <w:separator/>
      </w:r>
    </w:p>
  </w:footnote>
  <w:footnote w:type="continuationSeparator" w:id="0">
    <w:p w14:paraId="7C1F406B" w14:textId="77777777" w:rsidR="00900F17" w:rsidRDefault="00900F17" w:rsidP="004A7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A68"/>
    <w:rsid w:val="00026BDC"/>
    <w:rsid w:val="000314C7"/>
    <w:rsid w:val="000360BE"/>
    <w:rsid w:val="0004508A"/>
    <w:rsid w:val="0008357B"/>
    <w:rsid w:val="000961E0"/>
    <w:rsid w:val="000C20BB"/>
    <w:rsid w:val="00105288"/>
    <w:rsid w:val="0011640F"/>
    <w:rsid w:val="00167B94"/>
    <w:rsid w:val="00174B86"/>
    <w:rsid w:val="001C61B7"/>
    <w:rsid w:val="001E786E"/>
    <w:rsid w:val="0023139E"/>
    <w:rsid w:val="00287A7F"/>
    <w:rsid w:val="00287CAA"/>
    <w:rsid w:val="002F1D6B"/>
    <w:rsid w:val="003324DE"/>
    <w:rsid w:val="00345C2D"/>
    <w:rsid w:val="00392E56"/>
    <w:rsid w:val="003B0A97"/>
    <w:rsid w:val="003B4F2A"/>
    <w:rsid w:val="003F293C"/>
    <w:rsid w:val="003F4442"/>
    <w:rsid w:val="003F4A0E"/>
    <w:rsid w:val="004110C5"/>
    <w:rsid w:val="004340D5"/>
    <w:rsid w:val="00477223"/>
    <w:rsid w:val="0049227C"/>
    <w:rsid w:val="004A7C7C"/>
    <w:rsid w:val="004B4015"/>
    <w:rsid w:val="004D0E73"/>
    <w:rsid w:val="004F4650"/>
    <w:rsid w:val="005451CC"/>
    <w:rsid w:val="00552022"/>
    <w:rsid w:val="005C6F90"/>
    <w:rsid w:val="006431D9"/>
    <w:rsid w:val="0066328C"/>
    <w:rsid w:val="006826EA"/>
    <w:rsid w:val="006C466C"/>
    <w:rsid w:val="007227D1"/>
    <w:rsid w:val="00725161"/>
    <w:rsid w:val="0076164D"/>
    <w:rsid w:val="00795E17"/>
    <w:rsid w:val="007A7AC9"/>
    <w:rsid w:val="00844556"/>
    <w:rsid w:val="00894908"/>
    <w:rsid w:val="008B0350"/>
    <w:rsid w:val="008B4F1F"/>
    <w:rsid w:val="008E7A5B"/>
    <w:rsid w:val="008F0833"/>
    <w:rsid w:val="00900F17"/>
    <w:rsid w:val="00912F2D"/>
    <w:rsid w:val="0095630C"/>
    <w:rsid w:val="009D2401"/>
    <w:rsid w:val="00A15E10"/>
    <w:rsid w:val="00A45FAB"/>
    <w:rsid w:val="00A5676F"/>
    <w:rsid w:val="00A663DA"/>
    <w:rsid w:val="00A77B3E"/>
    <w:rsid w:val="00A94BE9"/>
    <w:rsid w:val="00AB0A9C"/>
    <w:rsid w:val="00AC3AAF"/>
    <w:rsid w:val="00AC6D54"/>
    <w:rsid w:val="00AD47B2"/>
    <w:rsid w:val="00B209C0"/>
    <w:rsid w:val="00B35091"/>
    <w:rsid w:val="00B37756"/>
    <w:rsid w:val="00B40FF3"/>
    <w:rsid w:val="00B520E2"/>
    <w:rsid w:val="00BD32BE"/>
    <w:rsid w:val="00C13E01"/>
    <w:rsid w:val="00C169B2"/>
    <w:rsid w:val="00C36E62"/>
    <w:rsid w:val="00CA2A55"/>
    <w:rsid w:val="00CB7EC6"/>
    <w:rsid w:val="00CD4893"/>
    <w:rsid w:val="00D17BEB"/>
    <w:rsid w:val="00D5032E"/>
    <w:rsid w:val="00D83AC0"/>
    <w:rsid w:val="00D85E7F"/>
    <w:rsid w:val="00DA485A"/>
    <w:rsid w:val="00DB1499"/>
    <w:rsid w:val="00DD1C7B"/>
    <w:rsid w:val="00DF5D73"/>
    <w:rsid w:val="00E37988"/>
    <w:rsid w:val="00E55992"/>
    <w:rsid w:val="00E76E9F"/>
    <w:rsid w:val="00E93EC3"/>
    <w:rsid w:val="00EB7B1A"/>
    <w:rsid w:val="00F27729"/>
    <w:rsid w:val="00F645AB"/>
    <w:rsid w:val="00F74777"/>
    <w:rsid w:val="00F943D1"/>
    <w:rsid w:val="00F95859"/>
    <w:rsid w:val="00FA35BE"/>
    <w:rsid w:val="00FB7B5E"/>
    <w:rsid w:val="00FF5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98B61"/>
  <w15:docId w15:val="{430ADDE6-6FF6-4D9D-A960-0ADC971F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F521E"/>
    <w:rPr>
      <w:sz w:val="21"/>
      <w:szCs w:val="21"/>
    </w:rPr>
  </w:style>
  <w:style w:type="paragraph" w:styleId="a4">
    <w:name w:val="annotation text"/>
    <w:basedOn w:val="a"/>
    <w:link w:val="a5"/>
    <w:semiHidden/>
    <w:unhideWhenUsed/>
    <w:rsid w:val="00FF521E"/>
  </w:style>
  <w:style w:type="character" w:customStyle="1" w:styleId="a5">
    <w:name w:val="批注文字 字符"/>
    <w:basedOn w:val="a0"/>
    <w:link w:val="a4"/>
    <w:semiHidden/>
    <w:rsid w:val="00FF521E"/>
    <w:rPr>
      <w:sz w:val="24"/>
      <w:szCs w:val="24"/>
    </w:rPr>
  </w:style>
  <w:style w:type="paragraph" w:styleId="a6">
    <w:name w:val="annotation subject"/>
    <w:basedOn w:val="a4"/>
    <w:next w:val="a4"/>
    <w:link w:val="a7"/>
    <w:semiHidden/>
    <w:unhideWhenUsed/>
    <w:rsid w:val="00FF521E"/>
    <w:rPr>
      <w:b/>
      <w:bCs/>
    </w:rPr>
  </w:style>
  <w:style w:type="character" w:customStyle="1" w:styleId="a7">
    <w:name w:val="批注主题 字符"/>
    <w:basedOn w:val="a5"/>
    <w:link w:val="a6"/>
    <w:semiHidden/>
    <w:rsid w:val="00FF521E"/>
    <w:rPr>
      <w:b/>
      <w:bCs/>
      <w:sz w:val="24"/>
      <w:szCs w:val="24"/>
    </w:rPr>
  </w:style>
  <w:style w:type="paragraph" w:styleId="a8">
    <w:name w:val="Balloon Text"/>
    <w:basedOn w:val="a"/>
    <w:link w:val="a9"/>
    <w:rsid w:val="00FF521E"/>
    <w:rPr>
      <w:sz w:val="18"/>
      <w:szCs w:val="18"/>
    </w:rPr>
  </w:style>
  <w:style w:type="character" w:customStyle="1" w:styleId="a9">
    <w:name w:val="批注框文本 字符"/>
    <w:basedOn w:val="a0"/>
    <w:link w:val="a8"/>
    <w:rsid w:val="00FF521E"/>
    <w:rPr>
      <w:sz w:val="18"/>
      <w:szCs w:val="18"/>
    </w:rPr>
  </w:style>
  <w:style w:type="paragraph" w:styleId="aa">
    <w:name w:val="header"/>
    <w:basedOn w:val="a"/>
    <w:link w:val="ab"/>
    <w:unhideWhenUsed/>
    <w:rsid w:val="004A7C7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4A7C7C"/>
    <w:rPr>
      <w:sz w:val="18"/>
      <w:szCs w:val="18"/>
    </w:rPr>
  </w:style>
  <w:style w:type="paragraph" w:styleId="ac">
    <w:name w:val="footer"/>
    <w:basedOn w:val="a"/>
    <w:link w:val="ad"/>
    <w:uiPriority w:val="99"/>
    <w:unhideWhenUsed/>
    <w:rsid w:val="004A7C7C"/>
    <w:pPr>
      <w:tabs>
        <w:tab w:val="center" w:pos="4153"/>
        <w:tab w:val="right" w:pos="8306"/>
      </w:tabs>
      <w:snapToGrid w:val="0"/>
    </w:pPr>
    <w:rPr>
      <w:sz w:val="18"/>
      <w:szCs w:val="18"/>
    </w:rPr>
  </w:style>
  <w:style w:type="character" w:customStyle="1" w:styleId="ad">
    <w:name w:val="页脚 字符"/>
    <w:basedOn w:val="a0"/>
    <w:link w:val="ac"/>
    <w:uiPriority w:val="99"/>
    <w:rsid w:val="004A7C7C"/>
    <w:rPr>
      <w:sz w:val="18"/>
      <w:szCs w:val="18"/>
    </w:rPr>
  </w:style>
  <w:style w:type="table" w:styleId="ae">
    <w:name w:val="Table Grid"/>
    <w:basedOn w:val="a1"/>
    <w:uiPriority w:val="39"/>
    <w:rsid w:val="004A7C7C"/>
    <w:rPr>
      <w:rFonts w:eastAsia="Arial Unicode M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7C7C"/>
    <w:rPr>
      <w:rFonts w:ascii="Helvetica" w:eastAsia="Helvetica" w:hAnsi="Helvetica" w:cs="Helvetica"/>
      <w:color w:val="0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3569">
      <w:bodyDiv w:val="1"/>
      <w:marLeft w:val="0"/>
      <w:marRight w:val="0"/>
      <w:marTop w:val="0"/>
      <w:marBottom w:val="0"/>
      <w:divBdr>
        <w:top w:val="none" w:sz="0" w:space="0" w:color="auto"/>
        <w:left w:val="none" w:sz="0" w:space="0" w:color="auto"/>
        <w:bottom w:val="none" w:sz="0" w:space="0" w:color="auto"/>
        <w:right w:val="none" w:sz="0" w:space="0" w:color="auto"/>
      </w:divBdr>
    </w:div>
    <w:div w:id="369839555">
      <w:bodyDiv w:val="1"/>
      <w:marLeft w:val="0"/>
      <w:marRight w:val="0"/>
      <w:marTop w:val="0"/>
      <w:marBottom w:val="0"/>
      <w:divBdr>
        <w:top w:val="none" w:sz="0" w:space="0" w:color="auto"/>
        <w:left w:val="none" w:sz="0" w:space="0" w:color="auto"/>
        <w:bottom w:val="none" w:sz="0" w:space="0" w:color="auto"/>
        <w:right w:val="none" w:sz="0" w:space="0" w:color="auto"/>
      </w:divBdr>
    </w:div>
    <w:div w:id="694043958">
      <w:bodyDiv w:val="1"/>
      <w:marLeft w:val="0"/>
      <w:marRight w:val="0"/>
      <w:marTop w:val="0"/>
      <w:marBottom w:val="0"/>
      <w:divBdr>
        <w:top w:val="none" w:sz="0" w:space="0" w:color="auto"/>
        <w:left w:val="none" w:sz="0" w:space="0" w:color="auto"/>
        <w:bottom w:val="none" w:sz="0" w:space="0" w:color="auto"/>
        <w:right w:val="none" w:sz="0" w:space="0" w:color="auto"/>
      </w:divBdr>
    </w:div>
    <w:div w:id="1948465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36ED3ED6CE9984AB71DE8E2A7FDBFBC" ma:contentTypeVersion="10" ma:contentTypeDescription="Crear nuevo documento." ma:contentTypeScope="" ma:versionID="b5617ac5c85daba9c1a2bc2fd89d83ac">
  <xsd:schema xmlns:xsd="http://www.w3.org/2001/XMLSchema" xmlns:xs="http://www.w3.org/2001/XMLSchema" xmlns:p="http://schemas.microsoft.com/office/2006/metadata/properties" xmlns:ns3="5cec56f3-518b-4de9-ac2c-a47f378ba4f8" targetNamespace="http://schemas.microsoft.com/office/2006/metadata/properties" ma:root="true" ma:fieldsID="5bed39818d84c469f0238065d9138cb4" ns3:_="">
    <xsd:import namespace="5cec56f3-518b-4de9-ac2c-a47f378ba4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56f3-518b-4de9-ac2c-a47f378b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2BC3-E187-42DB-AA62-7D62FE185D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043FF5-4ACE-4460-918F-7ED67AAE4682}">
  <ds:schemaRefs>
    <ds:schemaRef ds:uri="http://schemas.microsoft.com/sharepoint/v3/contenttype/forms"/>
  </ds:schemaRefs>
</ds:datastoreItem>
</file>

<file path=customXml/itemProps3.xml><?xml version="1.0" encoding="utf-8"?>
<ds:datastoreItem xmlns:ds="http://schemas.openxmlformats.org/officeDocument/2006/customXml" ds:itemID="{B31B0434-9D57-4282-9DD0-3F15E5CB9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56f3-518b-4de9-ac2c-a47f378ba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FA7B8-5195-44D1-A6A1-1C43E14C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9137</Words>
  <Characters>52086</Characters>
  <Application>Microsoft Office Word</Application>
  <DocSecurity>0</DocSecurity>
  <Lines>434</Lines>
  <Paragraphs>122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Norman</dc:creator>
  <cp:lastModifiedBy>Liansheng Ma</cp:lastModifiedBy>
  <cp:revision>2</cp:revision>
  <dcterms:created xsi:type="dcterms:W3CDTF">2020-08-19T17:23:00Z</dcterms:created>
  <dcterms:modified xsi:type="dcterms:W3CDTF">2020-08-19T17:23:00Z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0x010100A36ED3ED6CE9984AB71DE8E2A7FDBFBC</vt:lpwstr>
  </property>
</Properties>
</file>