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8734E" w14:textId="77777777" w:rsidR="00A77B3E" w:rsidRPr="00245598" w:rsidRDefault="00D20A34" w:rsidP="00DE6AEC">
      <w:pPr>
        <w:spacing w:line="360" w:lineRule="auto"/>
        <w:jc w:val="both"/>
        <w:rPr>
          <w:rFonts w:ascii="Book Antiqua" w:hAnsi="Book Antiqua"/>
          <w:color w:val="000000" w:themeColor="text1"/>
        </w:rPr>
      </w:pPr>
      <w:r w:rsidRPr="00245598">
        <w:rPr>
          <w:rFonts w:ascii="Book Antiqua" w:eastAsia="Book Antiqua" w:hAnsi="Book Antiqua" w:cs="Book Antiqua"/>
          <w:b/>
          <w:color w:val="000000" w:themeColor="text1"/>
        </w:rPr>
        <w:t xml:space="preserve">Name of Journal: </w:t>
      </w:r>
      <w:r w:rsidRPr="00245598">
        <w:rPr>
          <w:rFonts w:ascii="Book Antiqua" w:eastAsia="Book Antiqua" w:hAnsi="Book Antiqua" w:cs="Book Antiqua"/>
          <w:i/>
          <w:color w:val="000000" w:themeColor="text1"/>
        </w:rPr>
        <w:t>World Journal of Hepatology</w:t>
      </w:r>
    </w:p>
    <w:p w14:paraId="760C6A6C" w14:textId="77777777" w:rsidR="00A77B3E" w:rsidRPr="00245598" w:rsidRDefault="00D20A34" w:rsidP="00DE6AEC">
      <w:pPr>
        <w:spacing w:line="360" w:lineRule="auto"/>
        <w:jc w:val="both"/>
        <w:rPr>
          <w:rFonts w:ascii="Book Antiqua" w:hAnsi="Book Antiqua"/>
          <w:color w:val="000000" w:themeColor="text1"/>
        </w:rPr>
      </w:pPr>
      <w:r w:rsidRPr="00245598">
        <w:rPr>
          <w:rFonts w:ascii="Book Antiqua" w:eastAsia="Book Antiqua" w:hAnsi="Book Antiqua" w:cs="Book Antiqua"/>
          <w:b/>
          <w:color w:val="000000" w:themeColor="text1"/>
        </w:rPr>
        <w:t xml:space="preserve">Manuscript NO: </w:t>
      </w:r>
      <w:r w:rsidRPr="00245598">
        <w:rPr>
          <w:rFonts w:ascii="Book Antiqua" w:eastAsia="Book Antiqua" w:hAnsi="Book Antiqua" w:cs="Book Antiqua"/>
          <w:color w:val="000000" w:themeColor="text1"/>
        </w:rPr>
        <w:t>56366</w:t>
      </w:r>
    </w:p>
    <w:p w14:paraId="555BB170" w14:textId="77777777" w:rsidR="00A77B3E" w:rsidRPr="00245598" w:rsidRDefault="00D20A34" w:rsidP="00DE6AEC">
      <w:pPr>
        <w:spacing w:line="360" w:lineRule="auto"/>
        <w:jc w:val="both"/>
        <w:rPr>
          <w:rFonts w:ascii="Book Antiqua" w:hAnsi="Book Antiqua"/>
          <w:color w:val="000000" w:themeColor="text1"/>
        </w:rPr>
      </w:pPr>
      <w:r w:rsidRPr="00245598">
        <w:rPr>
          <w:rFonts w:ascii="Book Antiqua" w:eastAsia="Book Antiqua" w:hAnsi="Book Antiqua" w:cs="Book Antiqua"/>
          <w:b/>
          <w:color w:val="000000" w:themeColor="text1"/>
        </w:rPr>
        <w:t xml:space="preserve">Manuscript Type: </w:t>
      </w:r>
      <w:r w:rsidRPr="00245598">
        <w:rPr>
          <w:rFonts w:ascii="Book Antiqua" w:eastAsia="Book Antiqua" w:hAnsi="Book Antiqua" w:cs="Book Antiqua"/>
          <w:color w:val="000000" w:themeColor="text1"/>
        </w:rPr>
        <w:t>ORIGINAL ARTICLE</w:t>
      </w:r>
    </w:p>
    <w:p w14:paraId="39B2E76F" w14:textId="77777777" w:rsidR="00A77B3E" w:rsidRPr="00245598" w:rsidRDefault="00A77B3E" w:rsidP="00102F07">
      <w:pPr>
        <w:spacing w:line="360" w:lineRule="auto"/>
        <w:jc w:val="both"/>
        <w:rPr>
          <w:rFonts w:ascii="Book Antiqua" w:hAnsi="Book Antiqua"/>
          <w:color w:val="000000" w:themeColor="text1"/>
        </w:rPr>
      </w:pPr>
    </w:p>
    <w:p w14:paraId="1F656DAF" w14:textId="77777777" w:rsidR="00A77B3E" w:rsidRPr="00245598" w:rsidRDefault="00D20A34" w:rsidP="00234908">
      <w:pPr>
        <w:spacing w:line="360" w:lineRule="auto"/>
        <w:jc w:val="both"/>
        <w:rPr>
          <w:rFonts w:ascii="Book Antiqua" w:hAnsi="Book Antiqua"/>
          <w:color w:val="000000" w:themeColor="text1"/>
        </w:rPr>
      </w:pPr>
      <w:r w:rsidRPr="00245598">
        <w:rPr>
          <w:rFonts w:ascii="Book Antiqua" w:eastAsia="Book Antiqua" w:hAnsi="Book Antiqua" w:cs="Book Antiqua"/>
          <w:b/>
          <w:i/>
          <w:color w:val="000000" w:themeColor="text1"/>
        </w:rPr>
        <w:t>Prospective Study</w:t>
      </w:r>
    </w:p>
    <w:p w14:paraId="112D9CAE" w14:textId="45500585" w:rsidR="00A77B3E" w:rsidRPr="00245598" w:rsidRDefault="00D20A34" w:rsidP="00234908">
      <w:pPr>
        <w:spacing w:line="360" w:lineRule="auto"/>
        <w:jc w:val="both"/>
        <w:rPr>
          <w:rFonts w:ascii="Book Antiqua" w:hAnsi="Book Antiqua"/>
          <w:color w:val="000000" w:themeColor="text1"/>
        </w:rPr>
      </w:pPr>
      <w:bookmarkStart w:id="0" w:name="OLE_LINK37"/>
      <w:bookmarkStart w:id="1" w:name="OLE_LINK38"/>
      <w:r w:rsidRPr="00245598">
        <w:rPr>
          <w:rFonts w:ascii="Book Antiqua" w:eastAsia="Book Antiqua" w:hAnsi="Book Antiqua" w:cs="Book Antiqua"/>
          <w:b/>
          <w:bCs/>
          <w:color w:val="000000" w:themeColor="text1"/>
        </w:rPr>
        <w:t xml:space="preserve">Subclinical proximal tubulopathy in hepatitis B: </w:t>
      </w:r>
      <w:r w:rsidR="001509AA" w:rsidRPr="00245598">
        <w:rPr>
          <w:rFonts w:ascii="Book Antiqua" w:eastAsia="Book Antiqua" w:hAnsi="Book Antiqua" w:cs="Book Antiqua"/>
          <w:b/>
          <w:bCs/>
          <w:color w:val="000000" w:themeColor="text1"/>
        </w:rPr>
        <w:t>T</w:t>
      </w:r>
      <w:r w:rsidRPr="00245598">
        <w:rPr>
          <w:rFonts w:ascii="Book Antiqua" w:eastAsia="Book Antiqua" w:hAnsi="Book Antiqua" w:cs="Book Antiqua"/>
          <w:b/>
          <w:bCs/>
          <w:color w:val="000000" w:themeColor="text1"/>
        </w:rPr>
        <w:t>he roles of nucleot(s)ide analogue treatment and the hepatitis B virus</w:t>
      </w:r>
      <w:bookmarkEnd w:id="0"/>
      <w:bookmarkEnd w:id="1"/>
    </w:p>
    <w:p w14:paraId="1DE08B57" w14:textId="77777777" w:rsidR="00A77B3E" w:rsidRPr="00245598" w:rsidRDefault="00A77B3E">
      <w:pPr>
        <w:spacing w:line="360" w:lineRule="auto"/>
        <w:jc w:val="both"/>
        <w:rPr>
          <w:rFonts w:ascii="Book Antiqua" w:hAnsi="Book Antiqua"/>
          <w:color w:val="000000" w:themeColor="text1"/>
        </w:rPr>
      </w:pPr>
    </w:p>
    <w:p w14:paraId="4A4E5110" w14:textId="4349B174" w:rsidR="00A77B3E" w:rsidRPr="00245598" w:rsidRDefault="001509AA">
      <w:pPr>
        <w:spacing w:line="360" w:lineRule="auto"/>
        <w:jc w:val="both"/>
        <w:rPr>
          <w:rFonts w:ascii="Book Antiqua" w:hAnsi="Book Antiqua"/>
          <w:color w:val="000000" w:themeColor="text1"/>
        </w:rPr>
      </w:pPr>
      <w:r w:rsidRPr="00245598">
        <w:rPr>
          <w:rFonts w:ascii="Book Antiqua" w:eastAsia="Book Antiqua" w:hAnsi="Book Antiqua" w:cs="Book Antiqua"/>
          <w:color w:val="000000" w:themeColor="text1"/>
        </w:rPr>
        <w:t>Brayette</w:t>
      </w:r>
      <w:r w:rsidRPr="00245598">
        <w:rPr>
          <w:rFonts w:ascii="Book Antiqua" w:eastAsia="Book Antiqua" w:hAnsi="Book Antiqua" w:cs="Book Antiqua"/>
          <w:b/>
          <w:bCs/>
          <w:color w:val="000000" w:themeColor="text1"/>
        </w:rPr>
        <w:t xml:space="preserve"> </w:t>
      </w:r>
      <w:r w:rsidRPr="00245598">
        <w:rPr>
          <w:rFonts w:ascii="Book Antiqua" w:eastAsia="Book Antiqua" w:hAnsi="Book Antiqua" w:cs="Book Antiqua"/>
          <w:color w:val="000000" w:themeColor="text1"/>
        </w:rPr>
        <w:t xml:space="preserve">A </w:t>
      </w:r>
      <w:r w:rsidRPr="00245598">
        <w:rPr>
          <w:rFonts w:ascii="Book Antiqua" w:eastAsia="Book Antiqua" w:hAnsi="Book Antiqua" w:cs="Book Antiqua"/>
          <w:i/>
          <w:iCs/>
          <w:color w:val="000000" w:themeColor="text1"/>
        </w:rPr>
        <w:t>et al</w:t>
      </w:r>
      <w:r w:rsidRPr="00245598">
        <w:rPr>
          <w:rFonts w:ascii="Book Antiqua" w:eastAsia="Book Antiqua" w:hAnsi="Book Antiqua" w:cs="Book Antiqua"/>
          <w:color w:val="000000" w:themeColor="text1"/>
        </w:rPr>
        <w:t>.</w:t>
      </w:r>
      <w:r w:rsidRPr="00245598">
        <w:rPr>
          <w:rFonts w:ascii="Book Antiqua" w:eastAsia="Book Antiqua" w:hAnsi="Book Antiqua" w:cs="Book Antiqua"/>
          <w:b/>
          <w:bCs/>
          <w:color w:val="000000" w:themeColor="text1"/>
        </w:rPr>
        <w:t xml:space="preserve"> </w:t>
      </w:r>
      <w:r w:rsidR="00D20A34" w:rsidRPr="00245598">
        <w:rPr>
          <w:rFonts w:ascii="Book Antiqua" w:eastAsia="Book Antiqua" w:hAnsi="Book Antiqua" w:cs="Book Antiqua"/>
          <w:color w:val="000000" w:themeColor="text1"/>
        </w:rPr>
        <w:t>Subclinical proximal tubulopathy in hepatitis B</w:t>
      </w:r>
    </w:p>
    <w:p w14:paraId="39889F17" w14:textId="77777777" w:rsidR="00A77B3E" w:rsidRPr="00245598" w:rsidRDefault="00A77B3E">
      <w:pPr>
        <w:spacing w:line="360" w:lineRule="auto"/>
        <w:jc w:val="both"/>
        <w:rPr>
          <w:rFonts w:ascii="Book Antiqua" w:hAnsi="Book Antiqua"/>
          <w:color w:val="000000" w:themeColor="text1"/>
        </w:rPr>
      </w:pPr>
    </w:p>
    <w:p w14:paraId="494C0BBF" w14:textId="77777777" w:rsidR="00A77B3E" w:rsidRPr="00245598" w:rsidRDefault="00D20A34">
      <w:pPr>
        <w:spacing w:line="360" w:lineRule="auto"/>
        <w:jc w:val="both"/>
        <w:rPr>
          <w:rFonts w:ascii="Book Antiqua" w:hAnsi="Book Antiqua"/>
          <w:color w:val="000000" w:themeColor="text1"/>
        </w:rPr>
      </w:pPr>
      <w:bookmarkStart w:id="2" w:name="_Hlk54542862"/>
      <w:r w:rsidRPr="00245598">
        <w:rPr>
          <w:rFonts w:ascii="Book Antiqua" w:eastAsia="Book Antiqua" w:hAnsi="Book Antiqua" w:cs="Book Antiqua"/>
          <w:color w:val="000000" w:themeColor="text1"/>
        </w:rPr>
        <w:t>Anaïs Brayette, Marie Essig, Paul Carrier, Marilyne Debette-Gratien, Anaïs Labrunie, Sophie Alain, Marianne Maynard, Nathalie Ganne-Carrié, Eric Nguyen-Khac, Pauline Pinet, Victor De Ledinghen, Christophe Renou, Philippe Mathurin, Claire Vanlemmens, Vincent Di Martino, Anne Gervais, Juliette Foucher, Fouchard-Hubert Isabelle, Julien Vergniol, Isabelle Hourmand-Ollivier, Daniel Cohen, Xavier Duval, Thierry Poynard, Marc Bardou, Armand Abergel, Manh-Thong Dao, Thierry Thévenot, Jean-Baptiste Hiriart, Valérie Canva, Guillaume Lassailly, Christine Aurières, Nathalie Boyer, Dominique Thabut, Pierre-Henri Bernard, Matthieu Schnee, Dominique Larrey, Bertrand Hanslik, Séverine Hommel, Jérémie Jacques, Véronique Loustaud-Ratt</w:t>
      </w:r>
      <w:bookmarkEnd w:id="2"/>
      <w:r w:rsidRPr="00245598">
        <w:rPr>
          <w:rFonts w:ascii="Book Antiqua" w:eastAsia="Book Antiqua" w:hAnsi="Book Antiqua" w:cs="Book Antiqua"/>
          <w:color w:val="000000" w:themeColor="text1"/>
        </w:rPr>
        <w:t>i</w:t>
      </w:r>
    </w:p>
    <w:p w14:paraId="056B88CA" w14:textId="77777777" w:rsidR="00A77B3E" w:rsidRPr="00245598" w:rsidRDefault="00A77B3E">
      <w:pPr>
        <w:spacing w:line="360" w:lineRule="auto"/>
        <w:jc w:val="both"/>
        <w:rPr>
          <w:rFonts w:ascii="Book Antiqua" w:hAnsi="Book Antiqua"/>
          <w:color w:val="000000" w:themeColor="text1"/>
        </w:rPr>
      </w:pPr>
    </w:p>
    <w:p w14:paraId="096B5E2A" w14:textId="3818D757"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b/>
          <w:bCs/>
          <w:color w:val="000000" w:themeColor="text1"/>
        </w:rPr>
        <w:t xml:space="preserve">Anaïs Brayette, Paul Carrier, Marilyne Debette-Gratien, Jérémie Jacques, Véronique Loustaud-Ratti, </w:t>
      </w:r>
      <w:r w:rsidR="00F46B47" w:rsidRPr="00245598">
        <w:rPr>
          <w:rFonts w:ascii="Book Antiqua" w:eastAsia="Times New Roman" w:hAnsi="Book Antiqua" w:cs="Arial"/>
          <w:color w:val="000000" w:themeColor="text1"/>
          <w:lang w:eastAsia="fr-FR"/>
        </w:rPr>
        <w:t xml:space="preserve">U1248 INSERM, </w:t>
      </w:r>
      <w:r w:rsidR="00F46B47" w:rsidRPr="00245598">
        <w:rPr>
          <w:rFonts w:ascii="Book Antiqua" w:eastAsia="Book Antiqua" w:hAnsi="Book Antiqua" w:cs="Book Antiqua"/>
          <w:color w:val="000000" w:themeColor="text1"/>
        </w:rPr>
        <w:t>Department of Hepatology and Gastroenterology</w:t>
      </w:r>
      <w:r w:rsidR="00F46B47" w:rsidRPr="00245598">
        <w:rPr>
          <w:rFonts w:ascii="Book Antiqua" w:eastAsia="Times New Roman" w:hAnsi="Book Antiqua" w:cs="Arial"/>
          <w:color w:val="000000" w:themeColor="text1"/>
          <w:lang w:eastAsia="fr-FR"/>
        </w:rPr>
        <w:t xml:space="preserve">, </w:t>
      </w:r>
      <w:bookmarkStart w:id="3" w:name="OLE_LINK10"/>
      <w:bookmarkStart w:id="4" w:name="OLE_LINK11"/>
      <w:r w:rsidR="00B248B4" w:rsidRPr="00245598">
        <w:rPr>
          <w:rFonts w:ascii="Book Antiqua" w:eastAsia="Times New Roman" w:hAnsi="Book Antiqua" w:cs="Arial"/>
          <w:color w:val="000000" w:themeColor="text1"/>
          <w:lang w:eastAsia="fr-FR"/>
        </w:rPr>
        <w:t>Univ. Limoges</w:t>
      </w:r>
      <w:bookmarkEnd w:id="3"/>
      <w:bookmarkEnd w:id="4"/>
      <w:r w:rsidR="00B248B4" w:rsidRPr="00245598">
        <w:rPr>
          <w:rFonts w:ascii="Book Antiqua" w:eastAsia="Times New Roman" w:hAnsi="Book Antiqua" w:cs="Arial"/>
          <w:color w:val="000000" w:themeColor="text1"/>
          <w:lang w:eastAsia="fr-FR"/>
        </w:rPr>
        <w:t>, CHU Limoges, Limoges</w:t>
      </w:r>
      <w:r w:rsidR="001A1BC3" w:rsidRPr="00245598">
        <w:rPr>
          <w:rFonts w:ascii="Book Antiqua" w:eastAsia="Times New Roman" w:hAnsi="Book Antiqua" w:cs="Arial"/>
          <w:color w:val="000000" w:themeColor="text1"/>
          <w:lang w:eastAsia="fr-FR"/>
        </w:rPr>
        <w:t xml:space="preserve"> F-87000</w:t>
      </w:r>
      <w:r w:rsidR="00B248B4" w:rsidRPr="00245598">
        <w:rPr>
          <w:rFonts w:ascii="Book Antiqua" w:eastAsia="Times New Roman" w:hAnsi="Book Antiqua" w:cs="Arial"/>
          <w:color w:val="000000" w:themeColor="text1"/>
          <w:lang w:eastAsia="fr-FR"/>
        </w:rPr>
        <w:t>, France</w:t>
      </w:r>
    </w:p>
    <w:p w14:paraId="77082E3F" w14:textId="77777777" w:rsidR="00A77B3E" w:rsidRPr="00245598" w:rsidRDefault="00A77B3E">
      <w:pPr>
        <w:spacing w:line="360" w:lineRule="auto"/>
        <w:jc w:val="both"/>
        <w:rPr>
          <w:rFonts w:ascii="Book Antiqua" w:hAnsi="Book Antiqua"/>
          <w:color w:val="000000" w:themeColor="text1"/>
        </w:rPr>
      </w:pPr>
    </w:p>
    <w:p w14:paraId="0FE3218C" w14:textId="15483A8A"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b/>
          <w:bCs/>
          <w:color w:val="000000" w:themeColor="text1"/>
        </w:rPr>
        <w:t xml:space="preserve">Marie Essig, </w:t>
      </w:r>
      <w:r w:rsidR="00B248B4" w:rsidRPr="00245598">
        <w:rPr>
          <w:rFonts w:ascii="Book Antiqua" w:eastAsia="Book Antiqua" w:hAnsi="Book Antiqua" w:cs="Book Antiqua"/>
          <w:color w:val="000000" w:themeColor="text1"/>
        </w:rPr>
        <w:t xml:space="preserve">U1248 </w:t>
      </w:r>
      <w:r w:rsidRPr="00245598">
        <w:rPr>
          <w:rFonts w:ascii="Book Antiqua" w:eastAsia="Book Antiqua" w:hAnsi="Book Antiqua" w:cs="Book Antiqua"/>
          <w:color w:val="000000" w:themeColor="text1"/>
        </w:rPr>
        <w:t xml:space="preserve">INSERM, </w:t>
      </w:r>
      <w:r w:rsidR="007319AE" w:rsidRPr="00245598">
        <w:rPr>
          <w:rFonts w:ascii="Book Antiqua" w:eastAsia="Book Antiqua" w:hAnsi="Book Antiqua" w:cs="Book Antiqua"/>
          <w:color w:val="000000" w:themeColor="text1"/>
        </w:rPr>
        <w:t xml:space="preserve">Department of Nephrology and Transplantation, </w:t>
      </w:r>
      <w:r w:rsidR="007319AE" w:rsidRPr="00245598">
        <w:rPr>
          <w:rFonts w:ascii="Book Antiqua" w:eastAsia="Times New Roman" w:hAnsi="Book Antiqua" w:cs="Arial"/>
          <w:color w:val="000000" w:themeColor="text1"/>
          <w:lang w:eastAsia="fr-FR"/>
        </w:rPr>
        <w:t>CHU Limoges, Limoges</w:t>
      </w:r>
      <w:r w:rsidR="001A1BC3" w:rsidRPr="00245598">
        <w:rPr>
          <w:rFonts w:ascii="Book Antiqua" w:eastAsia="Times New Roman" w:hAnsi="Book Antiqua" w:cs="Arial"/>
          <w:color w:val="000000" w:themeColor="text1"/>
          <w:lang w:eastAsia="fr-FR"/>
        </w:rPr>
        <w:t xml:space="preserve"> F-87000</w:t>
      </w:r>
      <w:r w:rsidR="007319AE" w:rsidRPr="00245598">
        <w:rPr>
          <w:rFonts w:ascii="Book Antiqua" w:eastAsia="Times New Roman" w:hAnsi="Book Antiqua" w:cs="Arial"/>
          <w:color w:val="000000" w:themeColor="text1"/>
          <w:lang w:eastAsia="fr-FR"/>
        </w:rPr>
        <w:t>, France</w:t>
      </w:r>
    </w:p>
    <w:p w14:paraId="178AB8AD" w14:textId="77777777" w:rsidR="00A77B3E" w:rsidRPr="00245598" w:rsidRDefault="00A77B3E">
      <w:pPr>
        <w:spacing w:line="360" w:lineRule="auto"/>
        <w:jc w:val="both"/>
        <w:rPr>
          <w:rFonts w:ascii="Book Antiqua" w:hAnsi="Book Antiqua"/>
          <w:color w:val="000000" w:themeColor="text1"/>
        </w:rPr>
      </w:pPr>
    </w:p>
    <w:p w14:paraId="62F20E9B" w14:textId="3A1DAEBD" w:rsidR="007319A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b/>
          <w:bCs/>
          <w:color w:val="000000" w:themeColor="text1"/>
        </w:rPr>
        <w:t xml:space="preserve">Anaïs Labrunie, </w:t>
      </w:r>
      <w:r w:rsidR="007C4D57" w:rsidRPr="00245598">
        <w:rPr>
          <w:rFonts w:ascii="Book Antiqua" w:eastAsia="Book Antiqua" w:hAnsi="Book Antiqua" w:cs="Book Antiqua"/>
          <w:color w:val="000000" w:themeColor="text1"/>
        </w:rPr>
        <w:t xml:space="preserve">Department of </w:t>
      </w:r>
      <w:r w:rsidRPr="00245598">
        <w:rPr>
          <w:rFonts w:ascii="Book Antiqua" w:eastAsia="Book Antiqua" w:hAnsi="Book Antiqua" w:cs="Book Antiqua"/>
          <w:color w:val="000000" w:themeColor="text1"/>
        </w:rPr>
        <w:t xml:space="preserve">Center of Epidemiology, Biostatistics and Research Methodology, </w:t>
      </w:r>
      <w:r w:rsidR="007319AE" w:rsidRPr="00245598">
        <w:rPr>
          <w:rFonts w:ascii="Book Antiqua" w:eastAsia="Times New Roman" w:hAnsi="Book Antiqua" w:cs="Arial"/>
          <w:color w:val="000000" w:themeColor="text1"/>
          <w:lang w:eastAsia="fr-FR"/>
        </w:rPr>
        <w:t>CHU Limoges, Limoges</w:t>
      </w:r>
      <w:r w:rsidR="001A1BC3" w:rsidRPr="00245598">
        <w:rPr>
          <w:rFonts w:ascii="Book Antiqua" w:eastAsia="Times New Roman" w:hAnsi="Book Antiqua" w:cs="Arial"/>
          <w:color w:val="000000" w:themeColor="text1"/>
          <w:lang w:eastAsia="fr-FR"/>
        </w:rPr>
        <w:t xml:space="preserve"> F-87000</w:t>
      </w:r>
      <w:r w:rsidR="007319AE" w:rsidRPr="00245598">
        <w:rPr>
          <w:rFonts w:ascii="Book Antiqua" w:eastAsia="Times New Roman" w:hAnsi="Book Antiqua" w:cs="Arial"/>
          <w:color w:val="000000" w:themeColor="text1"/>
          <w:lang w:eastAsia="fr-FR"/>
        </w:rPr>
        <w:t>, France</w:t>
      </w:r>
    </w:p>
    <w:p w14:paraId="625331EF" w14:textId="77777777" w:rsidR="00A77B3E" w:rsidRPr="00245598" w:rsidRDefault="00A77B3E">
      <w:pPr>
        <w:spacing w:line="360" w:lineRule="auto"/>
        <w:jc w:val="both"/>
        <w:rPr>
          <w:rFonts w:ascii="Book Antiqua" w:hAnsi="Book Antiqua"/>
          <w:color w:val="000000" w:themeColor="text1"/>
        </w:rPr>
      </w:pPr>
    </w:p>
    <w:p w14:paraId="2CAF8860" w14:textId="01EF0F86"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b/>
          <w:bCs/>
          <w:color w:val="000000" w:themeColor="text1"/>
        </w:rPr>
        <w:t xml:space="preserve">Sophie Alain, </w:t>
      </w:r>
      <w:r w:rsidR="007319AE" w:rsidRPr="00245598">
        <w:rPr>
          <w:rFonts w:ascii="Book Antiqua" w:eastAsia="Book Antiqua" w:hAnsi="Book Antiqua" w:cs="Book Antiqua"/>
          <w:color w:val="000000" w:themeColor="text1"/>
        </w:rPr>
        <w:t xml:space="preserve">U1092 INSERM, </w:t>
      </w:r>
      <w:r w:rsidR="007C4D57" w:rsidRPr="00245598">
        <w:rPr>
          <w:rFonts w:ascii="Book Antiqua" w:eastAsia="Book Antiqua" w:hAnsi="Book Antiqua" w:cs="Book Antiqua"/>
          <w:color w:val="000000" w:themeColor="text1"/>
        </w:rPr>
        <w:t xml:space="preserve">Department of </w:t>
      </w:r>
      <w:r w:rsidRPr="00245598">
        <w:rPr>
          <w:rFonts w:ascii="Book Antiqua" w:eastAsia="Book Antiqua" w:hAnsi="Book Antiqua" w:cs="Book Antiqua"/>
          <w:color w:val="000000" w:themeColor="text1"/>
        </w:rPr>
        <w:t xml:space="preserve">Virology, </w:t>
      </w:r>
      <w:r w:rsidR="007319AE" w:rsidRPr="00245598">
        <w:rPr>
          <w:rFonts w:ascii="Book Antiqua" w:eastAsia="Times New Roman" w:hAnsi="Book Antiqua" w:cs="Arial"/>
          <w:color w:val="000000" w:themeColor="text1"/>
          <w:lang w:eastAsia="fr-FR"/>
        </w:rPr>
        <w:t>CHU Limoges, Limoges</w:t>
      </w:r>
      <w:r w:rsidR="001A1BC3" w:rsidRPr="00245598">
        <w:rPr>
          <w:rFonts w:ascii="Book Antiqua" w:eastAsia="Times New Roman" w:hAnsi="Book Antiqua" w:cs="Arial"/>
          <w:color w:val="000000" w:themeColor="text1"/>
          <w:lang w:eastAsia="fr-FR"/>
        </w:rPr>
        <w:t xml:space="preserve"> F-87000</w:t>
      </w:r>
      <w:r w:rsidR="007319AE" w:rsidRPr="00245598">
        <w:rPr>
          <w:rFonts w:ascii="Book Antiqua" w:eastAsia="Times New Roman" w:hAnsi="Book Antiqua" w:cs="Arial"/>
          <w:color w:val="000000" w:themeColor="text1"/>
          <w:lang w:eastAsia="fr-FR"/>
        </w:rPr>
        <w:t xml:space="preserve">, France </w:t>
      </w:r>
    </w:p>
    <w:p w14:paraId="650F8997" w14:textId="77777777" w:rsidR="00A77B3E" w:rsidRPr="00245598" w:rsidRDefault="00A77B3E">
      <w:pPr>
        <w:spacing w:line="360" w:lineRule="auto"/>
        <w:jc w:val="both"/>
        <w:rPr>
          <w:rFonts w:ascii="Book Antiqua" w:hAnsi="Book Antiqua"/>
          <w:color w:val="000000" w:themeColor="text1"/>
        </w:rPr>
      </w:pPr>
    </w:p>
    <w:p w14:paraId="201E40F8" w14:textId="5C6D99D2"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b/>
          <w:bCs/>
          <w:color w:val="000000" w:themeColor="text1"/>
        </w:rPr>
        <w:t xml:space="preserve">Marianne Maynard, </w:t>
      </w:r>
      <w:r w:rsidR="007C4D57" w:rsidRPr="00245598">
        <w:rPr>
          <w:rFonts w:ascii="Book Antiqua" w:eastAsia="Book Antiqua" w:hAnsi="Book Antiqua" w:cs="Book Antiqua"/>
          <w:color w:val="000000" w:themeColor="text1"/>
        </w:rPr>
        <w:t xml:space="preserve">Department of </w:t>
      </w:r>
      <w:r w:rsidRPr="00245598">
        <w:rPr>
          <w:rFonts w:ascii="Book Antiqua" w:eastAsia="Book Antiqua" w:hAnsi="Book Antiqua" w:cs="Book Antiqua"/>
          <w:color w:val="000000" w:themeColor="text1"/>
        </w:rPr>
        <w:t>Hepatology, Croix-Rousse University Hospital of Lyon, Lyon 69004, France</w:t>
      </w:r>
    </w:p>
    <w:p w14:paraId="43AF3F23" w14:textId="77777777" w:rsidR="00A77B3E" w:rsidRPr="00245598" w:rsidRDefault="00A77B3E">
      <w:pPr>
        <w:spacing w:line="360" w:lineRule="auto"/>
        <w:jc w:val="both"/>
        <w:rPr>
          <w:rFonts w:ascii="Book Antiqua" w:hAnsi="Book Antiqua"/>
          <w:color w:val="000000" w:themeColor="text1"/>
        </w:rPr>
      </w:pPr>
    </w:p>
    <w:p w14:paraId="351601C6" w14:textId="73B2ED6B"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b/>
          <w:bCs/>
          <w:color w:val="000000" w:themeColor="text1"/>
        </w:rPr>
        <w:t xml:space="preserve">Nathalie Ganne-Carrié, </w:t>
      </w:r>
      <w:r w:rsidR="007C4D57" w:rsidRPr="00245598">
        <w:rPr>
          <w:rFonts w:ascii="Book Antiqua" w:eastAsia="Book Antiqua" w:hAnsi="Book Antiqua" w:cs="Book Antiqua"/>
          <w:color w:val="000000" w:themeColor="text1"/>
        </w:rPr>
        <w:t xml:space="preserve">Department of </w:t>
      </w:r>
      <w:r w:rsidRPr="00245598">
        <w:rPr>
          <w:rFonts w:ascii="Book Antiqua" w:eastAsia="Book Antiqua" w:hAnsi="Book Antiqua" w:cs="Book Antiqua"/>
          <w:color w:val="000000" w:themeColor="text1"/>
        </w:rPr>
        <w:t>Hepatology, Jean Verdier University Hospital of Bondy, Bondy 93140, France</w:t>
      </w:r>
    </w:p>
    <w:p w14:paraId="284EDD87" w14:textId="77777777" w:rsidR="00A77B3E" w:rsidRPr="00245598" w:rsidRDefault="00A77B3E">
      <w:pPr>
        <w:spacing w:line="360" w:lineRule="auto"/>
        <w:jc w:val="both"/>
        <w:rPr>
          <w:rFonts w:ascii="Book Antiqua" w:hAnsi="Book Antiqua"/>
          <w:color w:val="000000" w:themeColor="text1"/>
        </w:rPr>
      </w:pPr>
    </w:p>
    <w:p w14:paraId="74953A4A" w14:textId="324B23CC"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b/>
          <w:bCs/>
          <w:color w:val="000000" w:themeColor="text1"/>
        </w:rPr>
        <w:t xml:space="preserve">Eric Nguyen-Khac, </w:t>
      </w:r>
      <w:r w:rsidR="007C4D57" w:rsidRPr="00245598">
        <w:rPr>
          <w:rFonts w:ascii="Book Antiqua" w:eastAsia="Book Antiqua" w:hAnsi="Book Antiqua" w:cs="Book Antiqua"/>
          <w:color w:val="000000" w:themeColor="text1"/>
        </w:rPr>
        <w:t xml:space="preserve">Department of </w:t>
      </w:r>
      <w:r w:rsidRPr="00245598">
        <w:rPr>
          <w:rFonts w:ascii="Book Antiqua" w:eastAsia="Book Antiqua" w:hAnsi="Book Antiqua" w:cs="Book Antiqua"/>
          <w:color w:val="000000" w:themeColor="text1"/>
        </w:rPr>
        <w:t>Hepato-Gastroenterology, Amiens University Hospital, Amiens 80054, France</w:t>
      </w:r>
    </w:p>
    <w:p w14:paraId="1BEA1635" w14:textId="77777777" w:rsidR="00A77B3E" w:rsidRPr="00245598" w:rsidRDefault="00A77B3E">
      <w:pPr>
        <w:spacing w:line="360" w:lineRule="auto"/>
        <w:jc w:val="both"/>
        <w:rPr>
          <w:rFonts w:ascii="Book Antiqua" w:hAnsi="Book Antiqua"/>
          <w:color w:val="000000" w:themeColor="text1"/>
        </w:rPr>
      </w:pPr>
    </w:p>
    <w:p w14:paraId="7E62A353" w14:textId="6E798A80"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b/>
          <w:bCs/>
          <w:color w:val="000000" w:themeColor="text1"/>
        </w:rPr>
        <w:t xml:space="preserve">Pauline Pinet, </w:t>
      </w:r>
      <w:r w:rsidR="007C4D57" w:rsidRPr="00245598">
        <w:rPr>
          <w:rFonts w:ascii="Book Antiqua" w:eastAsia="Book Antiqua" w:hAnsi="Book Antiqua" w:cs="Book Antiqua"/>
          <w:color w:val="000000" w:themeColor="text1"/>
        </w:rPr>
        <w:t xml:space="preserve">Department of </w:t>
      </w:r>
      <w:r w:rsidRPr="00245598">
        <w:rPr>
          <w:rFonts w:ascii="Book Antiqua" w:eastAsia="Book Antiqua" w:hAnsi="Book Antiqua" w:cs="Book Antiqua"/>
          <w:color w:val="000000" w:themeColor="text1"/>
        </w:rPr>
        <w:t xml:space="preserve">Infectious Diseases, </w:t>
      </w:r>
      <w:r w:rsidR="007319AE" w:rsidRPr="00245598">
        <w:rPr>
          <w:rFonts w:ascii="Book Antiqua" w:eastAsia="Times New Roman" w:hAnsi="Book Antiqua" w:cs="Arial"/>
          <w:color w:val="000000" w:themeColor="text1"/>
          <w:lang w:eastAsia="fr-FR"/>
        </w:rPr>
        <w:t>CHU Limoges, Limoges</w:t>
      </w:r>
      <w:r w:rsidR="001A1BC3" w:rsidRPr="00245598">
        <w:rPr>
          <w:rFonts w:ascii="Book Antiqua" w:eastAsia="Times New Roman" w:hAnsi="Book Antiqua" w:cs="Arial"/>
          <w:color w:val="000000" w:themeColor="text1"/>
          <w:lang w:eastAsia="fr-FR"/>
        </w:rPr>
        <w:t xml:space="preserve"> F-87000</w:t>
      </w:r>
      <w:r w:rsidR="007319AE" w:rsidRPr="00245598">
        <w:rPr>
          <w:rFonts w:ascii="Book Antiqua" w:eastAsia="Times New Roman" w:hAnsi="Book Antiqua" w:cs="Arial"/>
          <w:color w:val="000000" w:themeColor="text1"/>
          <w:lang w:eastAsia="fr-FR"/>
        </w:rPr>
        <w:t xml:space="preserve">, France </w:t>
      </w:r>
    </w:p>
    <w:p w14:paraId="2920B093" w14:textId="77777777" w:rsidR="00A77B3E" w:rsidRPr="00245598" w:rsidRDefault="00A77B3E">
      <w:pPr>
        <w:spacing w:line="360" w:lineRule="auto"/>
        <w:jc w:val="both"/>
        <w:rPr>
          <w:rFonts w:ascii="Book Antiqua" w:hAnsi="Book Antiqua"/>
          <w:color w:val="000000" w:themeColor="text1"/>
        </w:rPr>
      </w:pPr>
    </w:p>
    <w:p w14:paraId="6622AFF9" w14:textId="5E02320C"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b/>
          <w:bCs/>
          <w:color w:val="000000" w:themeColor="text1"/>
        </w:rPr>
        <w:t xml:space="preserve">Victor De Ledinghen, Juliette Foucher, Julien Vergniol, Jean-Baptiste Hiriart, </w:t>
      </w:r>
      <w:r w:rsidR="007C4D57" w:rsidRPr="00245598">
        <w:rPr>
          <w:rFonts w:ascii="Book Antiqua" w:eastAsia="Book Antiqua" w:hAnsi="Book Antiqua" w:cs="Book Antiqua"/>
          <w:color w:val="000000" w:themeColor="text1"/>
        </w:rPr>
        <w:t xml:space="preserve">Department of </w:t>
      </w:r>
      <w:r w:rsidRPr="00245598">
        <w:rPr>
          <w:rFonts w:ascii="Book Antiqua" w:eastAsia="Book Antiqua" w:hAnsi="Book Antiqua" w:cs="Book Antiqua"/>
          <w:color w:val="000000" w:themeColor="text1"/>
        </w:rPr>
        <w:t xml:space="preserve">Hepatology, Haut Leveque </w:t>
      </w:r>
      <w:r w:rsidR="00A671E2" w:rsidRPr="00245598">
        <w:rPr>
          <w:rFonts w:ascii="Book Antiqua" w:eastAsia="Book Antiqua" w:hAnsi="Book Antiqua" w:cs="Book Antiqua"/>
          <w:color w:val="000000" w:themeColor="text1"/>
        </w:rPr>
        <w:t>H</w:t>
      </w:r>
      <w:r w:rsidRPr="00245598">
        <w:rPr>
          <w:rFonts w:ascii="Book Antiqua" w:eastAsia="Book Antiqua" w:hAnsi="Book Antiqua" w:cs="Book Antiqua"/>
          <w:color w:val="000000" w:themeColor="text1"/>
        </w:rPr>
        <w:t>ospital, Bordeaux University Hospital, Pessac 33604, France</w:t>
      </w:r>
    </w:p>
    <w:p w14:paraId="5BC5C29D" w14:textId="77777777" w:rsidR="00A77B3E" w:rsidRPr="00245598" w:rsidRDefault="00A77B3E">
      <w:pPr>
        <w:spacing w:line="360" w:lineRule="auto"/>
        <w:jc w:val="both"/>
        <w:rPr>
          <w:rFonts w:ascii="Book Antiqua" w:hAnsi="Book Antiqua"/>
          <w:color w:val="000000" w:themeColor="text1"/>
        </w:rPr>
      </w:pPr>
    </w:p>
    <w:p w14:paraId="4CC7F519" w14:textId="2654C66B"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b/>
          <w:bCs/>
          <w:color w:val="000000" w:themeColor="text1"/>
        </w:rPr>
        <w:t xml:space="preserve">Christophe Renou, </w:t>
      </w:r>
      <w:r w:rsidR="007C4D57" w:rsidRPr="00245598">
        <w:rPr>
          <w:rFonts w:ascii="Book Antiqua" w:eastAsia="Book Antiqua" w:hAnsi="Book Antiqua" w:cs="Book Antiqua"/>
          <w:color w:val="000000" w:themeColor="text1"/>
        </w:rPr>
        <w:t xml:space="preserve">Department of </w:t>
      </w:r>
      <w:r w:rsidRPr="00245598">
        <w:rPr>
          <w:rFonts w:ascii="Book Antiqua" w:eastAsia="Book Antiqua" w:hAnsi="Book Antiqua" w:cs="Book Antiqua"/>
          <w:color w:val="000000" w:themeColor="text1"/>
        </w:rPr>
        <w:t>Gastroenterology, Hyeres Hospital, Hyeres 83407, France</w:t>
      </w:r>
    </w:p>
    <w:p w14:paraId="2E12A7C9" w14:textId="77777777" w:rsidR="00A77B3E" w:rsidRPr="00245598" w:rsidRDefault="00A77B3E">
      <w:pPr>
        <w:spacing w:line="360" w:lineRule="auto"/>
        <w:jc w:val="both"/>
        <w:rPr>
          <w:rFonts w:ascii="Book Antiqua" w:hAnsi="Book Antiqua"/>
          <w:color w:val="000000" w:themeColor="text1"/>
        </w:rPr>
      </w:pPr>
    </w:p>
    <w:p w14:paraId="1CBB8C7C" w14:textId="5D2612BA"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b/>
          <w:bCs/>
          <w:color w:val="000000" w:themeColor="text1"/>
        </w:rPr>
        <w:t xml:space="preserve">Philippe Mathurin, Valérie Canva, Guillaume Lassailly, </w:t>
      </w:r>
      <w:r w:rsidR="007C4D57" w:rsidRPr="00245598">
        <w:rPr>
          <w:rFonts w:ascii="Book Antiqua" w:eastAsia="Book Antiqua" w:hAnsi="Book Antiqua" w:cs="Book Antiqua"/>
          <w:color w:val="000000" w:themeColor="text1"/>
        </w:rPr>
        <w:t xml:space="preserve">Department of </w:t>
      </w:r>
      <w:r w:rsidRPr="00245598">
        <w:rPr>
          <w:rFonts w:ascii="Book Antiqua" w:eastAsia="Book Antiqua" w:hAnsi="Book Antiqua" w:cs="Book Antiqua"/>
          <w:color w:val="000000" w:themeColor="text1"/>
        </w:rPr>
        <w:t>Hepato-</w:t>
      </w:r>
      <w:r w:rsidR="00A671E2" w:rsidRPr="00245598">
        <w:rPr>
          <w:rFonts w:ascii="Book Antiqua" w:eastAsia="Book Antiqua" w:hAnsi="Book Antiqua" w:cs="Book Antiqua"/>
          <w:color w:val="000000" w:themeColor="text1"/>
        </w:rPr>
        <w:t>G</w:t>
      </w:r>
      <w:r w:rsidRPr="00245598">
        <w:rPr>
          <w:rFonts w:ascii="Book Antiqua" w:eastAsia="Book Antiqua" w:hAnsi="Book Antiqua" w:cs="Book Antiqua"/>
          <w:color w:val="000000" w:themeColor="text1"/>
        </w:rPr>
        <w:t>astroenterology, Claude Huriez University Hospital, Lille 59037, France</w:t>
      </w:r>
    </w:p>
    <w:p w14:paraId="620928F1" w14:textId="77777777" w:rsidR="00A77B3E" w:rsidRPr="00245598" w:rsidRDefault="00A77B3E">
      <w:pPr>
        <w:spacing w:line="360" w:lineRule="auto"/>
        <w:jc w:val="both"/>
        <w:rPr>
          <w:rFonts w:ascii="Book Antiqua" w:hAnsi="Book Antiqua"/>
          <w:color w:val="000000" w:themeColor="text1"/>
        </w:rPr>
      </w:pPr>
    </w:p>
    <w:p w14:paraId="147492B9" w14:textId="244F060E"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b/>
          <w:bCs/>
          <w:color w:val="000000" w:themeColor="text1"/>
        </w:rPr>
        <w:t xml:space="preserve">Claire Vanlemmens, Vincent Di Martino, Thierry Thévenot, </w:t>
      </w:r>
      <w:r w:rsidR="007C4D57" w:rsidRPr="00245598">
        <w:rPr>
          <w:rFonts w:ascii="Book Antiqua" w:eastAsia="Book Antiqua" w:hAnsi="Book Antiqua" w:cs="Book Antiqua"/>
          <w:color w:val="000000" w:themeColor="text1"/>
        </w:rPr>
        <w:t xml:space="preserve">Department of </w:t>
      </w:r>
      <w:r w:rsidRPr="00245598">
        <w:rPr>
          <w:rFonts w:ascii="Book Antiqua" w:eastAsia="Book Antiqua" w:hAnsi="Book Antiqua" w:cs="Book Antiqua"/>
          <w:color w:val="000000" w:themeColor="text1"/>
        </w:rPr>
        <w:t>Hepatology, Jean Minjoz University Hospital, Besançon 25030, France</w:t>
      </w:r>
    </w:p>
    <w:p w14:paraId="572D8FA2" w14:textId="77777777" w:rsidR="00A77B3E" w:rsidRPr="00245598" w:rsidRDefault="00A77B3E">
      <w:pPr>
        <w:spacing w:line="360" w:lineRule="auto"/>
        <w:jc w:val="both"/>
        <w:rPr>
          <w:rFonts w:ascii="Book Antiqua" w:hAnsi="Book Antiqua"/>
          <w:color w:val="000000" w:themeColor="text1"/>
        </w:rPr>
      </w:pPr>
    </w:p>
    <w:p w14:paraId="09EC1E2F" w14:textId="56866686"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b/>
          <w:bCs/>
          <w:color w:val="000000" w:themeColor="text1"/>
        </w:rPr>
        <w:lastRenderedPageBreak/>
        <w:t xml:space="preserve">Anne Gervais, Xavier Duval, </w:t>
      </w:r>
      <w:r w:rsidR="007C4D57" w:rsidRPr="00245598">
        <w:rPr>
          <w:rFonts w:ascii="Book Antiqua" w:eastAsia="Book Antiqua" w:hAnsi="Book Antiqua" w:cs="Book Antiqua"/>
          <w:color w:val="000000" w:themeColor="text1"/>
        </w:rPr>
        <w:t xml:space="preserve">Department of </w:t>
      </w:r>
      <w:r w:rsidRPr="00245598">
        <w:rPr>
          <w:rFonts w:ascii="Book Antiqua" w:eastAsia="Book Antiqua" w:hAnsi="Book Antiqua" w:cs="Book Antiqua"/>
          <w:color w:val="000000" w:themeColor="text1"/>
        </w:rPr>
        <w:t xml:space="preserve">Infectious </w:t>
      </w:r>
      <w:r w:rsidR="00A671E2" w:rsidRPr="00245598">
        <w:rPr>
          <w:rFonts w:ascii="Book Antiqua" w:eastAsia="Book Antiqua" w:hAnsi="Book Antiqua" w:cs="Book Antiqua"/>
          <w:color w:val="000000" w:themeColor="text1"/>
        </w:rPr>
        <w:t>D</w:t>
      </w:r>
      <w:r w:rsidRPr="00245598">
        <w:rPr>
          <w:rFonts w:ascii="Book Antiqua" w:eastAsia="Book Antiqua" w:hAnsi="Book Antiqua" w:cs="Book Antiqua"/>
          <w:color w:val="000000" w:themeColor="text1"/>
        </w:rPr>
        <w:t>iseases, Bichat University Hospital, Paris 75018, France</w:t>
      </w:r>
    </w:p>
    <w:p w14:paraId="424EACDE" w14:textId="77777777" w:rsidR="00A77B3E" w:rsidRPr="00245598" w:rsidRDefault="00A77B3E">
      <w:pPr>
        <w:spacing w:line="360" w:lineRule="auto"/>
        <w:jc w:val="both"/>
        <w:rPr>
          <w:rFonts w:ascii="Book Antiqua" w:hAnsi="Book Antiqua"/>
          <w:color w:val="000000" w:themeColor="text1"/>
        </w:rPr>
      </w:pPr>
    </w:p>
    <w:p w14:paraId="5F4A988A" w14:textId="75FC2FB4"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b/>
          <w:bCs/>
          <w:color w:val="000000" w:themeColor="text1"/>
        </w:rPr>
        <w:t xml:space="preserve">Fouchard-Hubert Isabelle, </w:t>
      </w:r>
      <w:r w:rsidR="007C4D57" w:rsidRPr="00245598">
        <w:rPr>
          <w:rFonts w:ascii="Book Antiqua" w:eastAsia="Book Antiqua" w:hAnsi="Book Antiqua" w:cs="Book Antiqua"/>
          <w:color w:val="000000" w:themeColor="text1"/>
        </w:rPr>
        <w:t xml:space="preserve">Department of </w:t>
      </w:r>
      <w:r w:rsidRPr="00245598">
        <w:rPr>
          <w:rFonts w:ascii="Book Antiqua" w:eastAsia="Book Antiqua" w:hAnsi="Book Antiqua" w:cs="Book Antiqua"/>
          <w:color w:val="000000" w:themeColor="text1"/>
        </w:rPr>
        <w:t>Hepatology, University Hospital of Angers, Angers 49933, France</w:t>
      </w:r>
    </w:p>
    <w:p w14:paraId="4BCAC272" w14:textId="77777777" w:rsidR="00A77B3E" w:rsidRPr="00245598" w:rsidRDefault="00A77B3E">
      <w:pPr>
        <w:spacing w:line="360" w:lineRule="auto"/>
        <w:jc w:val="both"/>
        <w:rPr>
          <w:rFonts w:ascii="Book Antiqua" w:hAnsi="Book Antiqua"/>
          <w:color w:val="000000" w:themeColor="text1"/>
        </w:rPr>
      </w:pPr>
    </w:p>
    <w:p w14:paraId="3C9260DD" w14:textId="2B1EE690"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b/>
          <w:bCs/>
          <w:color w:val="000000" w:themeColor="text1"/>
        </w:rPr>
        <w:t xml:space="preserve">Isabelle Hourmand-Ollivier, Manh-Thong Dao, </w:t>
      </w:r>
      <w:r w:rsidR="007C4D57" w:rsidRPr="00245598">
        <w:rPr>
          <w:rFonts w:ascii="Book Antiqua" w:eastAsia="Book Antiqua" w:hAnsi="Book Antiqua" w:cs="Book Antiqua"/>
          <w:color w:val="000000" w:themeColor="text1"/>
        </w:rPr>
        <w:t xml:space="preserve">Department of </w:t>
      </w:r>
      <w:r w:rsidRPr="00245598">
        <w:rPr>
          <w:rFonts w:ascii="Book Antiqua" w:eastAsia="Book Antiqua" w:hAnsi="Book Antiqua" w:cs="Book Antiqua"/>
          <w:color w:val="000000" w:themeColor="text1"/>
        </w:rPr>
        <w:t>Hepato-</w:t>
      </w:r>
      <w:r w:rsidR="00A671E2" w:rsidRPr="00245598">
        <w:rPr>
          <w:rFonts w:ascii="Book Antiqua" w:eastAsia="Book Antiqua" w:hAnsi="Book Antiqua" w:cs="Book Antiqua"/>
          <w:color w:val="000000" w:themeColor="text1"/>
        </w:rPr>
        <w:t>G</w:t>
      </w:r>
      <w:r w:rsidRPr="00245598">
        <w:rPr>
          <w:rFonts w:ascii="Book Antiqua" w:eastAsia="Book Antiqua" w:hAnsi="Book Antiqua" w:cs="Book Antiqua"/>
          <w:color w:val="000000" w:themeColor="text1"/>
        </w:rPr>
        <w:t xml:space="preserve">astroenterology and </w:t>
      </w:r>
      <w:r w:rsidR="00A671E2" w:rsidRPr="00245598">
        <w:rPr>
          <w:rFonts w:ascii="Book Antiqua" w:eastAsia="Book Antiqua" w:hAnsi="Book Antiqua" w:cs="Book Antiqua"/>
          <w:color w:val="000000" w:themeColor="text1"/>
        </w:rPr>
        <w:t>N</w:t>
      </w:r>
      <w:r w:rsidRPr="00245598">
        <w:rPr>
          <w:rFonts w:ascii="Book Antiqua" w:eastAsia="Book Antiqua" w:hAnsi="Book Antiqua" w:cs="Book Antiqua"/>
          <w:color w:val="000000" w:themeColor="text1"/>
        </w:rPr>
        <w:t>utrition, University Hospital of Caen, Caen 14033, France</w:t>
      </w:r>
    </w:p>
    <w:p w14:paraId="569AC2C5" w14:textId="77777777" w:rsidR="00A77B3E" w:rsidRPr="00245598" w:rsidRDefault="00A77B3E">
      <w:pPr>
        <w:spacing w:line="360" w:lineRule="auto"/>
        <w:jc w:val="both"/>
        <w:rPr>
          <w:rFonts w:ascii="Book Antiqua" w:hAnsi="Book Antiqua"/>
          <w:color w:val="000000" w:themeColor="text1"/>
        </w:rPr>
      </w:pPr>
    </w:p>
    <w:p w14:paraId="0A2EDA29" w14:textId="4AF9AD77"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b/>
          <w:bCs/>
          <w:color w:val="000000" w:themeColor="text1"/>
        </w:rPr>
        <w:t xml:space="preserve">Daniel Cohen, </w:t>
      </w:r>
      <w:r w:rsidR="007C4D57" w:rsidRPr="00245598">
        <w:rPr>
          <w:rFonts w:ascii="Book Antiqua" w:eastAsia="Book Antiqua" w:hAnsi="Book Antiqua" w:cs="Book Antiqua"/>
          <w:color w:val="000000" w:themeColor="text1"/>
        </w:rPr>
        <w:t xml:space="preserve">Department of </w:t>
      </w:r>
      <w:r w:rsidRPr="00245598">
        <w:rPr>
          <w:rFonts w:ascii="Book Antiqua" w:eastAsia="Book Antiqua" w:hAnsi="Book Antiqua" w:cs="Book Antiqua"/>
          <w:color w:val="000000" w:themeColor="text1"/>
        </w:rPr>
        <w:t>General Medecine, University Hospital of Caen, Caen 14000, France</w:t>
      </w:r>
    </w:p>
    <w:p w14:paraId="4273FB29" w14:textId="77777777" w:rsidR="00A77B3E" w:rsidRPr="00245598" w:rsidRDefault="00A77B3E">
      <w:pPr>
        <w:spacing w:line="360" w:lineRule="auto"/>
        <w:jc w:val="both"/>
        <w:rPr>
          <w:rFonts w:ascii="Book Antiqua" w:hAnsi="Book Antiqua"/>
          <w:color w:val="000000" w:themeColor="text1"/>
        </w:rPr>
      </w:pPr>
    </w:p>
    <w:p w14:paraId="76772A6F" w14:textId="678085BF"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b/>
          <w:bCs/>
          <w:color w:val="000000" w:themeColor="text1"/>
        </w:rPr>
        <w:t xml:space="preserve">Thierry Poynard, Dominique Thabut, </w:t>
      </w:r>
      <w:r w:rsidR="007C4D57" w:rsidRPr="00245598">
        <w:rPr>
          <w:rFonts w:ascii="Book Antiqua" w:eastAsia="Book Antiqua" w:hAnsi="Book Antiqua" w:cs="Book Antiqua"/>
          <w:color w:val="000000" w:themeColor="text1"/>
        </w:rPr>
        <w:t xml:space="preserve">Department of </w:t>
      </w:r>
      <w:r w:rsidRPr="00245598">
        <w:rPr>
          <w:rFonts w:ascii="Book Antiqua" w:eastAsia="Book Antiqua" w:hAnsi="Book Antiqua" w:cs="Book Antiqua"/>
          <w:color w:val="000000" w:themeColor="text1"/>
        </w:rPr>
        <w:t xml:space="preserve">Hepatology, </w:t>
      </w:r>
      <w:bookmarkStart w:id="5" w:name="OLE_LINK8"/>
      <w:bookmarkStart w:id="6" w:name="OLE_LINK9"/>
      <w:r w:rsidRPr="00245598">
        <w:rPr>
          <w:rFonts w:ascii="Book Antiqua" w:eastAsia="Book Antiqua" w:hAnsi="Book Antiqua" w:cs="Book Antiqua"/>
          <w:color w:val="000000" w:themeColor="text1"/>
        </w:rPr>
        <w:t>La Pitié-Salpêtrière University Hospital</w:t>
      </w:r>
      <w:bookmarkEnd w:id="5"/>
      <w:bookmarkEnd w:id="6"/>
      <w:r w:rsidRPr="00245598">
        <w:rPr>
          <w:rFonts w:ascii="Book Antiqua" w:eastAsia="Book Antiqua" w:hAnsi="Book Antiqua" w:cs="Book Antiqua"/>
          <w:color w:val="000000" w:themeColor="text1"/>
        </w:rPr>
        <w:t>, Paris 75651, France</w:t>
      </w:r>
    </w:p>
    <w:p w14:paraId="54A3DCA8" w14:textId="77777777" w:rsidR="00A77B3E" w:rsidRPr="00245598" w:rsidRDefault="00A77B3E">
      <w:pPr>
        <w:spacing w:line="360" w:lineRule="auto"/>
        <w:jc w:val="both"/>
        <w:rPr>
          <w:rFonts w:ascii="Book Antiqua" w:hAnsi="Book Antiqua"/>
          <w:color w:val="000000" w:themeColor="text1"/>
        </w:rPr>
      </w:pPr>
    </w:p>
    <w:p w14:paraId="2D550E72" w14:textId="4897D038"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b/>
          <w:bCs/>
          <w:color w:val="000000" w:themeColor="text1"/>
        </w:rPr>
        <w:t xml:space="preserve">Marc Bardou, </w:t>
      </w:r>
      <w:r w:rsidR="007C4D57" w:rsidRPr="00245598">
        <w:rPr>
          <w:rFonts w:ascii="Book Antiqua" w:eastAsia="Book Antiqua" w:hAnsi="Book Antiqua" w:cs="Book Antiqua"/>
          <w:color w:val="000000" w:themeColor="text1"/>
        </w:rPr>
        <w:t xml:space="preserve">Department of </w:t>
      </w:r>
      <w:r w:rsidRPr="00245598">
        <w:rPr>
          <w:rFonts w:ascii="Book Antiqua" w:eastAsia="Book Antiqua" w:hAnsi="Book Antiqua" w:cs="Book Antiqua"/>
          <w:color w:val="000000" w:themeColor="text1"/>
        </w:rPr>
        <w:t>Hepatology and Gastroenterology, Dijon University Hospital, Dijon 21079, France</w:t>
      </w:r>
    </w:p>
    <w:p w14:paraId="3317F718" w14:textId="77777777" w:rsidR="00A77B3E" w:rsidRPr="00245598" w:rsidRDefault="00A77B3E">
      <w:pPr>
        <w:spacing w:line="360" w:lineRule="auto"/>
        <w:jc w:val="both"/>
        <w:rPr>
          <w:rFonts w:ascii="Book Antiqua" w:hAnsi="Book Antiqua"/>
          <w:color w:val="000000" w:themeColor="text1"/>
        </w:rPr>
      </w:pPr>
    </w:p>
    <w:p w14:paraId="396F18BA" w14:textId="031BDA66"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b/>
          <w:bCs/>
          <w:color w:val="000000" w:themeColor="text1"/>
        </w:rPr>
        <w:t xml:space="preserve">Armand Abergel, </w:t>
      </w:r>
      <w:r w:rsidR="007C4D57" w:rsidRPr="00245598">
        <w:rPr>
          <w:rFonts w:ascii="Book Antiqua" w:eastAsia="Book Antiqua" w:hAnsi="Book Antiqua" w:cs="Book Antiqua"/>
          <w:color w:val="000000" w:themeColor="text1"/>
        </w:rPr>
        <w:t xml:space="preserve">Department of </w:t>
      </w:r>
      <w:r w:rsidRPr="00245598">
        <w:rPr>
          <w:rFonts w:ascii="Book Antiqua" w:eastAsia="Book Antiqua" w:hAnsi="Book Antiqua" w:cs="Book Antiqua"/>
          <w:color w:val="000000" w:themeColor="text1"/>
        </w:rPr>
        <w:t>Hepatology and Gastroenterology, Estaing University Hospital, Clermont Ferrand 63003, France</w:t>
      </w:r>
    </w:p>
    <w:p w14:paraId="76147C92" w14:textId="77777777" w:rsidR="00A77B3E" w:rsidRPr="00245598" w:rsidRDefault="00A77B3E">
      <w:pPr>
        <w:spacing w:line="360" w:lineRule="auto"/>
        <w:jc w:val="both"/>
        <w:rPr>
          <w:rFonts w:ascii="Book Antiqua" w:hAnsi="Book Antiqua"/>
          <w:color w:val="000000" w:themeColor="text1"/>
        </w:rPr>
      </w:pPr>
    </w:p>
    <w:p w14:paraId="0AFBE78D" w14:textId="5E963DAA"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b/>
          <w:bCs/>
          <w:color w:val="000000" w:themeColor="text1"/>
        </w:rPr>
        <w:t xml:space="preserve">Christine Aurières, Nathalie Boyer, </w:t>
      </w:r>
      <w:r w:rsidR="007C4D57" w:rsidRPr="00245598">
        <w:rPr>
          <w:rFonts w:ascii="Book Antiqua" w:eastAsia="Book Antiqua" w:hAnsi="Book Antiqua" w:cs="Book Antiqua"/>
          <w:color w:val="000000" w:themeColor="text1"/>
        </w:rPr>
        <w:t xml:space="preserve">Department of </w:t>
      </w:r>
      <w:r w:rsidRPr="00245598">
        <w:rPr>
          <w:rFonts w:ascii="Book Antiqua" w:eastAsia="Book Antiqua" w:hAnsi="Book Antiqua" w:cs="Book Antiqua"/>
          <w:color w:val="000000" w:themeColor="text1"/>
        </w:rPr>
        <w:t>Hepatology, Beaujon University Hospital, Clichy 92110, France</w:t>
      </w:r>
    </w:p>
    <w:p w14:paraId="7CEEBF18" w14:textId="77777777" w:rsidR="00A77B3E" w:rsidRPr="00245598" w:rsidRDefault="00A77B3E">
      <w:pPr>
        <w:spacing w:line="360" w:lineRule="auto"/>
        <w:jc w:val="both"/>
        <w:rPr>
          <w:rFonts w:ascii="Book Antiqua" w:hAnsi="Book Antiqua"/>
          <w:color w:val="000000" w:themeColor="text1"/>
        </w:rPr>
      </w:pPr>
    </w:p>
    <w:p w14:paraId="6E2608BB" w14:textId="44C88EF5"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b/>
          <w:bCs/>
          <w:color w:val="000000" w:themeColor="text1"/>
        </w:rPr>
        <w:t xml:space="preserve">Pierre-Henri Bernard, </w:t>
      </w:r>
      <w:r w:rsidR="007C4D57" w:rsidRPr="00245598">
        <w:rPr>
          <w:rFonts w:ascii="Book Antiqua" w:eastAsia="Book Antiqua" w:hAnsi="Book Antiqua" w:cs="Book Antiqua"/>
          <w:color w:val="000000" w:themeColor="text1"/>
        </w:rPr>
        <w:t xml:space="preserve">Department of </w:t>
      </w:r>
      <w:r w:rsidRPr="00245598">
        <w:rPr>
          <w:rFonts w:ascii="Book Antiqua" w:eastAsia="Book Antiqua" w:hAnsi="Book Antiqua" w:cs="Book Antiqua"/>
          <w:color w:val="000000" w:themeColor="text1"/>
        </w:rPr>
        <w:t>Hepatology, Saint-André University Hospital, Bordeaux 33000, France</w:t>
      </w:r>
    </w:p>
    <w:p w14:paraId="4429E871" w14:textId="77777777" w:rsidR="00A77B3E" w:rsidRPr="00245598" w:rsidRDefault="00A77B3E">
      <w:pPr>
        <w:spacing w:line="360" w:lineRule="auto"/>
        <w:jc w:val="both"/>
        <w:rPr>
          <w:rFonts w:ascii="Book Antiqua" w:hAnsi="Book Antiqua"/>
          <w:color w:val="000000" w:themeColor="text1"/>
        </w:rPr>
      </w:pPr>
    </w:p>
    <w:p w14:paraId="16C7104B" w14:textId="5D212292"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b/>
          <w:bCs/>
          <w:color w:val="000000" w:themeColor="text1"/>
        </w:rPr>
        <w:t xml:space="preserve">Matthieu Schnee, </w:t>
      </w:r>
      <w:r w:rsidR="007C4D57" w:rsidRPr="00245598">
        <w:rPr>
          <w:rFonts w:ascii="Book Antiqua" w:eastAsia="Book Antiqua" w:hAnsi="Book Antiqua" w:cs="Book Antiqua"/>
          <w:color w:val="000000" w:themeColor="text1"/>
        </w:rPr>
        <w:t xml:space="preserve">Department of </w:t>
      </w:r>
      <w:r w:rsidRPr="00245598">
        <w:rPr>
          <w:rFonts w:ascii="Book Antiqua" w:eastAsia="Book Antiqua" w:hAnsi="Book Antiqua" w:cs="Book Antiqua"/>
          <w:color w:val="000000" w:themeColor="text1"/>
        </w:rPr>
        <w:t>Hepatology and Gastroenterology, La Roche-Sur-Yon Hospital Center, La Roche-Sur-Yon 85000, France</w:t>
      </w:r>
    </w:p>
    <w:p w14:paraId="6DC8CD88" w14:textId="77777777" w:rsidR="00A77B3E" w:rsidRPr="00245598" w:rsidRDefault="00A77B3E">
      <w:pPr>
        <w:spacing w:line="360" w:lineRule="auto"/>
        <w:jc w:val="both"/>
        <w:rPr>
          <w:rFonts w:ascii="Book Antiqua" w:hAnsi="Book Antiqua"/>
          <w:color w:val="000000" w:themeColor="text1"/>
        </w:rPr>
      </w:pPr>
    </w:p>
    <w:p w14:paraId="4B81D4C4" w14:textId="5B382583"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b/>
          <w:bCs/>
          <w:color w:val="000000" w:themeColor="text1"/>
        </w:rPr>
        <w:t xml:space="preserve">Dominique Larrey, </w:t>
      </w:r>
      <w:r w:rsidR="007C4D57" w:rsidRPr="00245598">
        <w:rPr>
          <w:rFonts w:ascii="Book Antiqua" w:eastAsia="Book Antiqua" w:hAnsi="Book Antiqua" w:cs="Book Antiqua"/>
          <w:color w:val="000000" w:themeColor="text1"/>
        </w:rPr>
        <w:t xml:space="preserve">Department of </w:t>
      </w:r>
      <w:r w:rsidRPr="00245598">
        <w:rPr>
          <w:rFonts w:ascii="Book Antiqua" w:eastAsia="Book Antiqua" w:hAnsi="Book Antiqua" w:cs="Book Antiqua"/>
          <w:color w:val="000000" w:themeColor="text1"/>
        </w:rPr>
        <w:t>Hepatology and Gastroenterology, University Hospital of Montpellier, Montpellier 34295, France</w:t>
      </w:r>
    </w:p>
    <w:p w14:paraId="4ECC2E81" w14:textId="77777777" w:rsidR="00A77B3E" w:rsidRPr="00245598" w:rsidRDefault="00A77B3E">
      <w:pPr>
        <w:spacing w:line="360" w:lineRule="auto"/>
        <w:jc w:val="both"/>
        <w:rPr>
          <w:rFonts w:ascii="Book Antiqua" w:hAnsi="Book Antiqua"/>
          <w:color w:val="000000" w:themeColor="text1"/>
        </w:rPr>
      </w:pPr>
    </w:p>
    <w:p w14:paraId="0A20F9C3" w14:textId="1403F0B4"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b/>
          <w:bCs/>
          <w:color w:val="000000" w:themeColor="text1"/>
        </w:rPr>
        <w:t xml:space="preserve">Bertrand Hanslik, </w:t>
      </w:r>
      <w:r w:rsidR="007C4D57" w:rsidRPr="00245598">
        <w:rPr>
          <w:rFonts w:ascii="Book Antiqua" w:eastAsia="Book Antiqua" w:hAnsi="Book Antiqua" w:cs="Book Antiqua"/>
          <w:color w:val="000000" w:themeColor="text1"/>
        </w:rPr>
        <w:t xml:space="preserve">Department of </w:t>
      </w:r>
      <w:r w:rsidRPr="00245598">
        <w:rPr>
          <w:rFonts w:ascii="Book Antiqua" w:eastAsia="Book Antiqua" w:hAnsi="Book Antiqua" w:cs="Book Antiqua"/>
          <w:color w:val="000000" w:themeColor="text1"/>
        </w:rPr>
        <w:t>Addictology, Hospital of Montpellier, Montpellier 34295, France</w:t>
      </w:r>
    </w:p>
    <w:p w14:paraId="2E1A5AB9" w14:textId="77777777" w:rsidR="00A77B3E" w:rsidRPr="00245598" w:rsidRDefault="00A77B3E">
      <w:pPr>
        <w:spacing w:line="360" w:lineRule="auto"/>
        <w:jc w:val="both"/>
        <w:rPr>
          <w:rFonts w:ascii="Book Antiqua" w:hAnsi="Book Antiqua"/>
          <w:color w:val="000000" w:themeColor="text1"/>
        </w:rPr>
      </w:pPr>
    </w:p>
    <w:p w14:paraId="44173D7A" w14:textId="7635E242"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b/>
          <w:bCs/>
          <w:color w:val="000000" w:themeColor="text1"/>
        </w:rPr>
        <w:t xml:space="preserve">Séverine Hommel, </w:t>
      </w:r>
      <w:r w:rsidR="007C4D57" w:rsidRPr="00245598">
        <w:rPr>
          <w:rFonts w:ascii="Book Antiqua" w:eastAsia="Book Antiqua" w:hAnsi="Book Antiqua" w:cs="Book Antiqua"/>
          <w:color w:val="000000" w:themeColor="text1"/>
        </w:rPr>
        <w:t xml:space="preserve">Department of </w:t>
      </w:r>
      <w:r w:rsidRPr="00245598">
        <w:rPr>
          <w:rFonts w:ascii="Book Antiqua" w:eastAsia="Book Antiqua" w:hAnsi="Book Antiqua" w:cs="Book Antiqua"/>
          <w:color w:val="000000" w:themeColor="text1"/>
        </w:rPr>
        <w:t>Hepatology and Gastroenterology, Hospital Center of Aix en Provence, Aix-en-Provence 13100, France</w:t>
      </w:r>
    </w:p>
    <w:p w14:paraId="4A9E5C18" w14:textId="77777777" w:rsidR="00A77B3E" w:rsidRPr="00245598" w:rsidRDefault="00A77B3E">
      <w:pPr>
        <w:spacing w:line="360" w:lineRule="auto"/>
        <w:jc w:val="both"/>
        <w:rPr>
          <w:rFonts w:ascii="Book Antiqua" w:hAnsi="Book Antiqua"/>
          <w:color w:val="000000" w:themeColor="text1"/>
        </w:rPr>
      </w:pPr>
    </w:p>
    <w:p w14:paraId="1A3EB6D2" w14:textId="766DB1D4"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b/>
          <w:bCs/>
          <w:color w:val="000000" w:themeColor="text1"/>
        </w:rPr>
        <w:t xml:space="preserve">Author contributions: </w:t>
      </w:r>
      <w:r w:rsidR="00844359" w:rsidRPr="00245598">
        <w:rPr>
          <w:rFonts w:ascii="Book Antiqua" w:eastAsia="Book Antiqua" w:hAnsi="Book Antiqua" w:cs="Book Antiqua"/>
          <w:color w:val="000000" w:themeColor="text1"/>
        </w:rPr>
        <w:t>Brayette A, Essig M, Carrier P, Labrunie A</w:t>
      </w:r>
      <w:r w:rsidR="00693113" w:rsidRPr="00245598">
        <w:rPr>
          <w:rFonts w:ascii="Book Antiqua" w:eastAsia="Book Antiqua" w:hAnsi="Book Antiqua" w:cs="Book Antiqua"/>
          <w:color w:val="000000" w:themeColor="text1"/>
        </w:rPr>
        <w:t>,</w:t>
      </w:r>
      <w:r w:rsidR="00844359" w:rsidRPr="00245598">
        <w:rPr>
          <w:rFonts w:ascii="Book Antiqua" w:eastAsia="Book Antiqua" w:hAnsi="Book Antiqua" w:cs="Book Antiqua"/>
          <w:color w:val="000000" w:themeColor="text1"/>
        </w:rPr>
        <w:t xml:space="preserve"> and </w:t>
      </w:r>
      <w:proofErr w:type="spellStart"/>
      <w:r w:rsidR="00844359" w:rsidRPr="00245598">
        <w:rPr>
          <w:rFonts w:ascii="Book Antiqua" w:eastAsia="Book Antiqua" w:hAnsi="Book Antiqua" w:cs="Book Antiqua"/>
          <w:color w:val="000000" w:themeColor="text1"/>
        </w:rPr>
        <w:t>Loustaud-Ratti</w:t>
      </w:r>
      <w:proofErr w:type="spellEnd"/>
      <w:r w:rsidR="00844359" w:rsidRPr="00245598">
        <w:rPr>
          <w:rFonts w:ascii="Book Antiqua" w:eastAsia="Book Antiqua" w:hAnsi="Book Antiqua" w:cs="Book Antiqua"/>
          <w:color w:val="000000" w:themeColor="text1"/>
        </w:rPr>
        <w:t xml:space="preserve"> V </w:t>
      </w:r>
      <w:r w:rsidR="00234908" w:rsidRPr="00234908">
        <w:rPr>
          <w:rFonts w:ascii="Book Antiqua" w:eastAsia="Book Antiqua" w:hAnsi="Book Antiqua" w:cs="Book Antiqua"/>
          <w:color w:val="000000" w:themeColor="text1"/>
        </w:rPr>
        <w:t>analyzed</w:t>
      </w:r>
      <w:r w:rsidR="00844359" w:rsidRPr="00245598">
        <w:rPr>
          <w:rFonts w:ascii="Book Antiqua" w:eastAsia="Book Antiqua" w:hAnsi="Book Antiqua" w:cs="Book Antiqua"/>
          <w:color w:val="000000" w:themeColor="text1"/>
        </w:rPr>
        <w:t xml:space="preserve"> and interpreted the data;</w:t>
      </w:r>
      <w:r w:rsidR="00844359" w:rsidRPr="00245598">
        <w:rPr>
          <w:rFonts w:ascii="Book Antiqua" w:hAnsi="Book Antiqua"/>
          <w:color w:val="000000" w:themeColor="text1"/>
          <w:lang w:eastAsia="zh-CN"/>
        </w:rPr>
        <w:t xml:space="preserve"> </w:t>
      </w:r>
      <w:r w:rsidR="00844359" w:rsidRPr="00245598">
        <w:rPr>
          <w:rFonts w:ascii="Book Antiqua" w:eastAsia="Book Antiqua" w:hAnsi="Book Antiqua" w:cs="Book Antiqua"/>
          <w:color w:val="000000" w:themeColor="text1"/>
        </w:rPr>
        <w:t xml:space="preserve">Brayette A, Carrier P and Loustaud-Ratti V drafted the manuscript; </w:t>
      </w:r>
      <w:r w:rsidR="00EC5E7D" w:rsidRPr="00245598">
        <w:rPr>
          <w:rFonts w:ascii="Book Antiqua" w:eastAsia="Book Antiqua" w:hAnsi="Book Antiqua" w:cs="Book Antiqua"/>
          <w:color w:val="000000" w:themeColor="text1"/>
        </w:rPr>
        <w:t>Loustaud-Ratti</w:t>
      </w:r>
      <w:r w:rsidR="0082554F" w:rsidRPr="00245598">
        <w:rPr>
          <w:rFonts w:ascii="Book Antiqua" w:eastAsia="Book Antiqua" w:hAnsi="Book Antiqua" w:cs="Book Antiqua"/>
          <w:color w:val="000000" w:themeColor="text1"/>
        </w:rPr>
        <w:t xml:space="preserve"> V</w:t>
      </w:r>
      <w:r w:rsidR="004573FE" w:rsidRPr="00245598">
        <w:rPr>
          <w:rFonts w:ascii="Book Antiqua" w:eastAsia="Book Antiqua" w:hAnsi="Book Antiqua" w:cs="Book Antiqua"/>
          <w:color w:val="000000" w:themeColor="text1"/>
        </w:rPr>
        <w:t xml:space="preserve"> and</w:t>
      </w:r>
      <w:r w:rsidR="00EC5E7D" w:rsidRPr="00245598">
        <w:rPr>
          <w:rFonts w:ascii="Book Antiqua" w:eastAsia="Book Antiqua" w:hAnsi="Book Antiqua" w:cs="Book Antiqua"/>
          <w:color w:val="000000" w:themeColor="text1"/>
        </w:rPr>
        <w:t xml:space="preserve"> Essig </w:t>
      </w:r>
      <w:r w:rsidR="0082554F" w:rsidRPr="00245598">
        <w:rPr>
          <w:rFonts w:ascii="Book Antiqua" w:eastAsia="Book Antiqua" w:hAnsi="Book Antiqua" w:cs="Book Antiqua"/>
          <w:color w:val="000000" w:themeColor="text1"/>
        </w:rPr>
        <w:t xml:space="preserve">M </w:t>
      </w:r>
      <w:r w:rsidR="00A87FBD" w:rsidRPr="00245598">
        <w:rPr>
          <w:rFonts w:ascii="Book Antiqua" w:eastAsia="Book Antiqua" w:hAnsi="Book Antiqua" w:cs="Book Antiqua"/>
          <w:color w:val="000000" w:themeColor="text1"/>
        </w:rPr>
        <w:t>carried out s</w:t>
      </w:r>
      <w:r w:rsidRPr="00245598">
        <w:rPr>
          <w:rFonts w:ascii="Book Antiqua" w:eastAsia="Book Antiqua" w:hAnsi="Book Antiqua" w:cs="Book Antiqua"/>
          <w:color w:val="000000" w:themeColor="text1"/>
        </w:rPr>
        <w:t>tudy concept and design</w:t>
      </w:r>
      <w:r w:rsidR="00EC5E7D" w:rsidRPr="00245598">
        <w:rPr>
          <w:rFonts w:ascii="Book Antiqua" w:eastAsia="Book Antiqua" w:hAnsi="Book Antiqua" w:cs="Book Antiqua"/>
          <w:color w:val="000000" w:themeColor="text1"/>
        </w:rPr>
        <w:t>; Carrier</w:t>
      </w:r>
      <w:r w:rsidR="0082554F" w:rsidRPr="00245598">
        <w:rPr>
          <w:rFonts w:ascii="Book Antiqua" w:eastAsia="Book Antiqua" w:hAnsi="Book Antiqua" w:cs="Book Antiqua"/>
          <w:color w:val="000000" w:themeColor="text1"/>
        </w:rPr>
        <w:t xml:space="preserve"> P</w:t>
      </w:r>
      <w:r w:rsidR="00EC5E7D" w:rsidRPr="00245598">
        <w:rPr>
          <w:rFonts w:ascii="Book Antiqua" w:eastAsia="Book Antiqua" w:hAnsi="Book Antiqua" w:cs="Book Antiqua"/>
          <w:color w:val="000000" w:themeColor="text1"/>
        </w:rPr>
        <w:t>, Debette-Gratien</w:t>
      </w:r>
      <w:r w:rsidR="0082554F" w:rsidRPr="00245598">
        <w:rPr>
          <w:rFonts w:ascii="Book Antiqua" w:eastAsia="Book Antiqua" w:hAnsi="Book Antiqua" w:cs="Book Antiqua"/>
          <w:color w:val="000000" w:themeColor="text1"/>
        </w:rPr>
        <w:t xml:space="preserve"> M</w:t>
      </w:r>
      <w:r w:rsidR="00EC5E7D" w:rsidRPr="00245598">
        <w:rPr>
          <w:rFonts w:ascii="Book Antiqua" w:eastAsia="Book Antiqua" w:hAnsi="Book Antiqua" w:cs="Book Antiqua"/>
          <w:color w:val="000000" w:themeColor="text1"/>
        </w:rPr>
        <w:t>, Alain</w:t>
      </w:r>
      <w:r w:rsidR="0082554F" w:rsidRPr="00245598">
        <w:rPr>
          <w:rFonts w:ascii="Book Antiqua" w:eastAsia="Book Antiqua" w:hAnsi="Book Antiqua" w:cs="Book Antiqua"/>
          <w:color w:val="000000" w:themeColor="text1"/>
        </w:rPr>
        <w:t xml:space="preserve"> S</w:t>
      </w:r>
      <w:r w:rsidR="00EC5E7D" w:rsidRPr="00245598">
        <w:rPr>
          <w:rFonts w:ascii="Book Antiqua" w:eastAsia="Book Antiqua" w:hAnsi="Book Antiqua" w:cs="Book Antiqua"/>
          <w:color w:val="000000" w:themeColor="text1"/>
        </w:rPr>
        <w:t>, Maynard</w:t>
      </w:r>
      <w:r w:rsidR="0082554F" w:rsidRPr="00245598">
        <w:rPr>
          <w:rFonts w:ascii="Book Antiqua" w:eastAsia="Book Antiqua" w:hAnsi="Book Antiqua" w:cs="Book Antiqua"/>
          <w:color w:val="000000" w:themeColor="text1"/>
        </w:rPr>
        <w:t xml:space="preserve"> M</w:t>
      </w:r>
      <w:r w:rsidR="00EC5E7D" w:rsidRPr="00245598">
        <w:rPr>
          <w:rFonts w:ascii="Book Antiqua" w:eastAsia="Book Antiqua" w:hAnsi="Book Antiqua" w:cs="Book Antiqua"/>
          <w:color w:val="000000" w:themeColor="text1"/>
        </w:rPr>
        <w:t>, Ganne-Carrié</w:t>
      </w:r>
      <w:r w:rsidR="0082554F" w:rsidRPr="00245598">
        <w:rPr>
          <w:rFonts w:ascii="Book Antiqua" w:eastAsia="Book Antiqua" w:hAnsi="Book Antiqua" w:cs="Book Antiqua"/>
          <w:color w:val="000000" w:themeColor="text1"/>
        </w:rPr>
        <w:t xml:space="preserve"> N</w:t>
      </w:r>
      <w:r w:rsidR="00EC5E7D" w:rsidRPr="00245598">
        <w:rPr>
          <w:rFonts w:ascii="Book Antiqua" w:eastAsia="Book Antiqua" w:hAnsi="Book Antiqua" w:cs="Book Antiqua"/>
          <w:color w:val="000000" w:themeColor="text1"/>
        </w:rPr>
        <w:t>, Khac</w:t>
      </w:r>
      <w:r w:rsidR="0082554F" w:rsidRPr="00245598">
        <w:rPr>
          <w:rFonts w:ascii="Book Antiqua" w:eastAsia="Book Antiqua" w:hAnsi="Book Antiqua" w:cs="Book Antiqua"/>
          <w:color w:val="000000" w:themeColor="text1"/>
        </w:rPr>
        <w:t xml:space="preserve"> EN</w:t>
      </w:r>
      <w:r w:rsidR="00EC5E7D" w:rsidRPr="00245598">
        <w:rPr>
          <w:rFonts w:ascii="Book Antiqua" w:eastAsia="Book Antiqua" w:hAnsi="Book Antiqua" w:cs="Book Antiqua"/>
          <w:color w:val="000000" w:themeColor="text1"/>
        </w:rPr>
        <w:t>, Pinet</w:t>
      </w:r>
      <w:r w:rsidR="0082554F" w:rsidRPr="00245598">
        <w:rPr>
          <w:rFonts w:ascii="Book Antiqua" w:eastAsia="Book Antiqua" w:hAnsi="Book Antiqua" w:cs="Book Antiqua"/>
          <w:color w:val="000000" w:themeColor="text1"/>
        </w:rPr>
        <w:t xml:space="preserve"> P</w:t>
      </w:r>
      <w:r w:rsidR="00EC5E7D" w:rsidRPr="00245598">
        <w:rPr>
          <w:rFonts w:ascii="Book Antiqua" w:eastAsia="Book Antiqua" w:hAnsi="Book Antiqua" w:cs="Book Antiqua"/>
          <w:color w:val="000000" w:themeColor="text1"/>
        </w:rPr>
        <w:t xml:space="preserve">, </w:t>
      </w:r>
      <w:r w:rsidR="00A87FBD" w:rsidRPr="00245598">
        <w:rPr>
          <w:rFonts w:ascii="Book Antiqua" w:eastAsia="Book Antiqua" w:hAnsi="Book Antiqua" w:cs="Book Antiqua"/>
          <w:color w:val="000000" w:themeColor="text1"/>
        </w:rPr>
        <w:t>D</w:t>
      </w:r>
      <w:r w:rsidR="00EC5E7D" w:rsidRPr="00245598">
        <w:rPr>
          <w:rFonts w:ascii="Book Antiqua" w:eastAsia="Book Antiqua" w:hAnsi="Book Antiqua" w:cs="Book Antiqua"/>
          <w:color w:val="000000" w:themeColor="text1"/>
        </w:rPr>
        <w:t>e Ledinghen</w:t>
      </w:r>
      <w:r w:rsidR="0082554F" w:rsidRPr="00245598">
        <w:rPr>
          <w:rFonts w:ascii="Book Antiqua" w:eastAsia="Book Antiqua" w:hAnsi="Book Antiqua" w:cs="Book Antiqua"/>
          <w:color w:val="000000" w:themeColor="text1"/>
        </w:rPr>
        <w:t xml:space="preserve"> V</w:t>
      </w:r>
      <w:r w:rsidR="00EC5E7D" w:rsidRPr="00245598">
        <w:rPr>
          <w:rFonts w:ascii="Book Antiqua" w:eastAsia="Book Antiqua" w:hAnsi="Book Antiqua" w:cs="Book Antiqua"/>
          <w:color w:val="000000" w:themeColor="text1"/>
        </w:rPr>
        <w:t>, Renou</w:t>
      </w:r>
      <w:r w:rsidR="0082554F" w:rsidRPr="00245598">
        <w:rPr>
          <w:rFonts w:ascii="Book Antiqua" w:eastAsia="Book Antiqua" w:hAnsi="Book Antiqua" w:cs="Book Antiqua"/>
          <w:color w:val="000000" w:themeColor="text1"/>
        </w:rPr>
        <w:t xml:space="preserve"> C</w:t>
      </w:r>
      <w:r w:rsidR="00EC5E7D" w:rsidRPr="00245598">
        <w:rPr>
          <w:rFonts w:ascii="Book Antiqua" w:eastAsia="Book Antiqua" w:hAnsi="Book Antiqua" w:cs="Book Antiqua"/>
          <w:color w:val="000000" w:themeColor="text1"/>
        </w:rPr>
        <w:t>, Mathurin</w:t>
      </w:r>
      <w:r w:rsidR="0082554F" w:rsidRPr="00245598">
        <w:rPr>
          <w:rFonts w:ascii="Book Antiqua" w:eastAsia="Book Antiqua" w:hAnsi="Book Antiqua" w:cs="Book Antiqua"/>
          <w:color w:val="000000" w:themeColor="text1"/>
        </w:rPr>
        <w:t xml:space="preserve"> P</w:t>
      </w:r>
      <w:r w:rsidR="00EC5E7D" w:rsidRPr="00245598">
        <w:rPr>
          <w:rFonts w:ascii="Book Antiqua" w:eastAsia="Book Antiqua" w:hAnsi="Book Antiqua" w:cs="Book Antiqua"/>
          <w:color w:val="000000" w:themeColor="text1"/>
        </w:rPr>
        <w:t>, Vanlemmens</w:t>
      </w:r>
      <w:r w:rsidR="0082554F" w:rsidRPr="00245598">
        <w:rPr>
          <w:rFonts w:ascii="Book Antiqua" w:eastAsia="Book Antiqua" w:hAnsi="Book Antiqua" w:cs="Book Antiqua"/>
          <w:color w:val="000000" w:themeColor="text1"/>
        </w:rPr>
        <w:t xml:space="preserve"> C</w:t>
      </w:r>
      <w:r w:rsidR="00EC5E7D" w:rsidRPr="00245598">
        <w:rPr>
          <w:rFonts w:ascii="Book Antiqua" w:eastAsia="Book Antiqua" w:hAnsi="Book Antiqua" w:cs="Book Antiqua"/>
          <w:color w:val="000000" w:themeColor="text1"/>
        </w:rPr>
        <w:t xml:space="preserve">, </w:t>
      </w:r>
      <w:r w:rsidR="00445FB0" w:rsidRPr="00245598">
        <w:rPr>
          <w:rFonts w:ascii="Book Antiqua" w:eastAsia="Book Antiqua" w:hAnsi="Book Antiqua" w:cs="Book Antiqua"/>
          <w:color w:val="000000" w:themeColor="text1"/>
        </w:rPr>
        <w:t xml:space="preserve">Di </w:t>
      </w:r>
      <w:r w:rsidR="00EC5E7D" w:rsidRPr="00245598">
        <w:rPr>
          <w:rFonts w:ascii="Book Antiqua" w:eastAsia="Book Antiqua" w:hAnsi="Book Antiqua" w:cs="Book Antiqua"/>
          <w:color w:val="000000" w:themeColor="text1"/>
        </w:rPr>
        <w:t>Martino</w:t>
      </w:r>
      <w:r w:rsidR="0082554F" w:rsidRPr="00245598">
        <w:rPr>
          <w:rFonts w:ascii="Book Antiqua" w:eastAsia="Book Antiqua" w:hAnsi="Book Antiqua" w:cs="Book Antiqua"/>
          <w:color w:val="000000" w:themeColor="text1"/>
        </w:rPr>
        <w:t xml:space="preserve"> V</w:t>
      </w:r>
      <w:r w:rsidR="00EC5E7D" w:rsidRPr="00245598">
        <w:rPr>
          <w:rFonts w:ascii="Book Antiqua" w:eastAsia="Book Antiqua" w:hAnsi="Book Antiqua" w:cs="Book Antiqua"/>
          <w:color w:val="000000" w:themeColor="text1"/>
        </w:rPr>
        <w:t>, Gervais</w:t>
      </w:r>
      <w:r w:rsidR="0082554F" w:rsidRPr="00245598">
        <w:rPr>
          <w:rFonts w:ascii="Book Antiqua" w:eastAsia="Book Antiqua" w:hAnsi="Book Antiqua" w:cs="Book Antiqua"/>
          <w:color w:val="000000" w:themeColor="text1"/>
        </w:rPr>
        <w:t xml:space="preserve"> A</w:t>
      </w:r>
      <w:r w:rsidR="00EC5E7D" w:rsidRPr="00245598">
        <w:rPr>
          <w:rFonts w:ascii="Book Antiqua" w:eastAsia="Book Antiqua" w:hAnsi="Book Antiqua" w:cs="Book Antiqua"/>
          <w:color w:val="000000" w:themeColor="text1"/>
        </w:rPr>
        <w:t>, Foucher</w:t>
      </w:r>
      <w:r w:rsidR="0082554F" w:rsidRPr="00245598">
        <w:rPr>
          <w:rFonts w:ascii="Book Antiqua" w:eastAsia="Book Antiqua" w:hAnsi="Book Antiqua" w:cs="Book Antiqua"/>
          <w:color w:val="000000" w:themeColor="text1"/>
        </w:rPr>
        <w:t xml:space="preserve"> J</w:t>
      </w:r>
      <w:r w:rsidR="00EC5E7D" w:rsidRPr="00245598">
        <w:rPr>
          <w:rFonts w:ascii="Book Antiqua" w:eastAsia="Book Antiqua" w:hAnsi="Book Antiqua" w:cs="Book Antiqua"/>
          <w:color w:val="000000" w:themeColor="text1"/>
        </w:rPr>
        <w:t xml:space="preserve">, </w:t>
      </w:r>
      <w:r w:rsidR="00821336" w:rsidRPr="00245598">
        <w:rPr>
          <w:rFonts w:ascii="Book Antiqua" w:eastAsia="Book Antiqua" w:hAnsi="Book Antiqua" w:cs="Book Antiqua"/>
          <w:color w:val="000000" w:themeColor="text1"/>
        </w:rPr>
        <w:t xml:space="preserve">Isabelle </w:t>
      </w:r>
      <w:r w:rsidR="00EC5E7D" w:rsidRPr="00245598">
        <w:rPr>
          <w:rFonts w:ascii="Book Antiqua" w:eastAsia="Book Antiqua" w:hAnsi="Book Antiqua" w:cs="Book Antiqua"/>
          <w:color w:val="000000" w:themeColor="text1"/>
        </w:rPr>
        <w:t>F</w:t>
      </w:r>
      <w:r w:rsidR="00821336" w:rsidRPr="00245598">
        <w:rPr>
          <w:rFonts w:ascii="Book Antiqua" w:eastAsia="Book Antiqua" w:hAnsi="Book Antiqua" w:cs="Book Antiqua"/>
          <w:color w:val="000000" w:themeColor="text1"/>
        </w:rPr>
        <w:t>H</w:t>
      </w:r>
      <w:r w:rsidR="00EC5E7D" w:rsidRPr="00245598">
        <w:rPr>
          <w:rFonts w:ascii="Book Antiqua" w:eastAsia="Book Antiqua" w:hAnsi="Book Antiqua" w:cs="Book Antiqua"/>
          <w:color w:val="000000" w:themeColor="text1"/>
        </w:rPr>
        <w:t>, Vergniol</w:t>
      </w:r>
      <w:r w:rsidR="0082554F" w:rsidRPr="00245598">
        <w:rPr>
          <w:rFonts w:ascii="Book Antiqua" w:eastAsia="Book Antiqua" w:hAnsi="Book Antiqua" w:cs="Book Antiqua"/>
          <w:color w:val="000000" w:themeColor="text1"/>
        </w:rPr>
        <w:t xml:space="preserve"> J</w:t>
      </w:r>
      <w:r w:rsidR="00EC5E7D" w:rsidRPr="00245598">
        <w:rPr>
          <w:rFonts w:ascii="Book Antiqua" w:eastAsia="Book Antiqua" w:hAnsi="Book Antiqua" w:cs="Book Antiqua"/>
          <w:color w:val="000000" w:themeColor="text1"/>
        </w:rPr>
        <w:t>, Hourmand</w:t>
      </w:r>
      <w:r w:rsidR="00445FB0" w:rsidRPr="00245598">
        <w:rPr>
          <w:rFonts w:ascii="Book Antiqua" w:eastAsia="Book Antiqua" w:hAnsi="Book Antiqua" w:cs="Book Antiqua"/>
          <w:color w:val="000000" w:themeColor="text1"/>
        </w:rPr>
        <w:t>-Ollivier</w:t>
      </w:r>
      <w:r w:rsidR="0082554F" w:rsidRPr="00245598">
        <w:rPr>
          <w:rFonts w:ascii="Book Antiqua" w:eastAsia="Book Antiqua" w:hAnsi="Book Antiqua" w:cs="Book Antiqua"/>
          <w:color w:val="000000" w:themeColor="text1"/>
        </w:rPr>
        <w:t xml:space="preserve"> I</w:t>
      </w:r>
      <w:r w:rsidR="00EC5E7D" w:rsidRPr="00245598">
        <w:rPr>
          <w:rFonts w:ascii="Book Antiqua" w:eastAsia="Book Antiqua" w:hAnsi="Book Antiqua" w:cs="Book Antiqua"/>
          <w:color w:val="000000" w:themeColor="text1"/>
        </w:rPr>
        <w:t>, Cohen</w:t>
      </w:r>
      <w:r w:rsidR="0082554F" w:rsidRPr="00245598">
        <w:rPr>
          <w:rFonts w:ascii="Book Antiqua" w:eastAsia="Book Antiqua" w:hAnsi="Book Antiqua" w:cs="Book Antiqua"/>
          <w:color w:val="000000" w:themeColor="text1"/>
        </w:rPr>
        <w:t xml:space="preserve"> D</w:t>
      </w:r>
      <w:r w:rsidR="00EC5E7D" w:rsidRPr="00245598">
        <w:rPr>
          <w:rFonts w:ascii="Book Antiqua" w:eastAsia="Book Antiqua" w:hAnsi="Book Antiqua" w:cs="Book Antiqua"/>
          <w:color w:val="000000" w:themeColor="text1"/>
        </w:rPr>
        <w:t>, Duval</w:t>
      </w:r>
      <w:r w:rsidR="0082554F" w:rsidRPr="00245598">
        <w:rPr>
          <w:rFonts w:ascii="Book Antiqua" w:eastAsia="Book Antiqua" w:hAnsi="Book Antiqua" w:cs="Book Antiqua"/>
          <w:color w:val="000000" w:themeColor="text1"/>
        </w:rPr>
        <w:t xml:space="preserve"> X</w:t>
      </w:r>
      <w:r w:rsidR="00EC5E7D" w:rsidRPr="00245598">
        <w:rPr>
          <w:rFonts w:ascii="Book Antiqua" w:eastAsia="Book Antiqua" w:hAnsi="Book Antiqua" w:cs="Book Antiqua"/>
          <w:color w:val="000000" w:themeColor="text1"/>
        </w:rPr>
        <w:t>, Poynard</w:t>
      </w:r>
      <w:r w:rsidR="0082554F" w:rsidRPr="00245598">
        <w:rPr>
          <w:rFonts w:ascii="Book Antiqua" w:eastAsia="Book Antiqua" w:hAnsi="Book Antiqua" w:cs="Book Antiqua"/>
          <w:color w:val="000000" w:themeColor="text1"/>
        </w:rPr>
        <w:t xml:space="preserve"> T</w:t>
      </w:r>
      <w:r w:rsidR="00EC5E7D" w:rsidRPr="00245598">
        <w:rPr>
          <w:rFonts w:ascii="Book Antiqua" w:eastAsia="Book Antiqua" w:hAnsi="Book Antiqua" w:cs="Book Antiqua"/>
          <w:color w:val="000000" w:themeColor="text1"/>
        </w:rPr>
        <w:t>, Bardou</w:t>
      </w:r>
      <w:r w:rsidR="0082554F" w:rsidRPr="00245598">
        <w:rPr>
          <w:rFonts w:ascii="Book Antiqua" w:eastAsia="Book Antiqua" w:hAnsi="Book Antiqua" w:cs="Book Antiqua"/>
          <w:color w:val="000000" w:themeColor="text1"/>
        </w:rPr>
        <w:t xml:space="preserve"> M</w:t>
      </w:r>
      <w:r w:rsidR="00EC5E7D" w:rsidRPr="00245598">
        <w:rPr>
          <w:rFonts w:ascii="Book Antiqua" w:eastAsia="Book Antiqua" w:hAnsi="Book Antiqua" w:cs="Book Antiqua"/>
          <w:color w:val="000000" w:themeColor="text1"/>
        </w:rPr>
        <w:t>, Abergel</w:t>
      </w:r>
      <w:r w:rsidR="0082554F" w:rsidRPr="00245598">
        <w:rPr>
          <w:rFonts w:ascii="Book Antiqua" w:eastAsia="Book Antiqua" w:hAnsi="Book Antiqua" w:cs="Book Antiqua"/>
          <w:color w:val="000000" w:themeColor="text1"/>
        </w:rPr>
        <w:t xml:space="preserve"> A</w:t>
      </w:r>
      <w:r w:rsidR="00EC5E7D" w:rsidRPr="00245598">
        <w:rPr>
          <w:rFonts w:ascii="Book Antiqua" w:eastAsia="Book Antiqua" w:hAnsi="Book Antiqua" w:cs="Book Antiqua"/>
          <w:color w:val="000000" w:themeColor="text1"/>
        </w:rPr>
        <w:t>, Dao</w:t>
      </w:r>
      <w:r w:rsidR="0082554F" w:rsidRPr="00245598">
        <w:rPr>
          <w:rFonts w:ascii="Book Antiqua" w:eastAsia="Book Antiqua" w:hAnsi="Book Antiqua" w:cs="Book Antiqua"/>
          <w:color w:val="000000" w:themeColor="text1"/>
        </w:rPr>
        <w:t xml:space="preserve"> MT</w:t>
      </w:r>
      <w:r w:rsidR="00EC5E7D" w:rsidRPr="00245598">
        <w:rPr>
          <w:rFonts w:ascii="Book Antiqua" w:eastAsia="Book Antiqua" w:hAnsi="Book Antiqua" w:cs="Book Antiqua"/>
          <w:color w:val="000000" w:themeColor="text1"/>
        </w:rPr>
        <w:t>, Thevenot</w:t>
      </w:r>
      <w:r w:rsidR="0082554F" w:rsidRPr="00245598">
        <w:rPr>
          <w:rFonts w:ascii="Book Antiqua" w:eastAsia="Book Antiqua" w:hAnsi="Book Antiqua" w:cs="Book Antiqua"/>
          <w:color w:val="000000" w:themeColor="text1"/>
        </w:rPr>
        <w:t xml:space="preserve"> T</w:t>
      </w:r>
      <w:r w:rsidR="00EC5E7D" w:rsidRPr="00245598">
        <w:rPr>
          <w:rFonts w:ascii="Book Antiqua" w:eastAsia="Book Antiqua" w:hAnsi="Book Antiqua" w:cs="Book Antiqua"/>
          <w:color w:val="000000" w:themeColor="text1"/>
        </w:rPr>
        <w:t>, Hiriart</w:t>
      </w:r>
      <w:r w:rsidR="0082554F" w:rsidRPr="00245598">
        <w:rPr>
          <w:rFonts w:ascii="Book Antiqua" w:eastAsia="Book Antiqua" w:hAnsi="Book Antiqua" w:cs="Book Antiqua"/>
          <w:color w:val="000000" w:themeColor="text1"/>
        </w:rPr>
        <w:t xml:space="preserve"> JB</w:t>
      </w:r>
      <w:r w:rsidR="00EC5E7D" w:rsidRPr="00245598">
        <w:rPr>
          <w:rFonts w:ascii="Book Antiqua" w:eastAsia="Book Antiqua" w:hAnsi="Book Antiqua" w:cs="Book Antiqua"/>
          <w:color w:val="000000" w:themeColor="text1"/>
        </w:rPr>
        <w:t>, Canva</w:t>
      </w:r>
      <w:r w:rsidR="0082554F" w:rsidRPr="00245598">
        <w:rPr>
          <w:rFonts w:ascii="Book Antiqua" w:eastAsia="Book Antiqua" w:hAnsi="Book Antiqua" w:cs="Book Antiqua"/>
          <w:color w:val="000000" w:themeColor="text1"/>
        </w:rPr>
        <w:t xml:space="preserve"> V</w:t>
      </w:r>
      <w:r w:rsidR="00EC5E7D" w:rsidRPr="00245598">
        <w:rPr>
          <w:rFonts w:ascii="Book Antiqua" w:eastAsia="Book Antiqua" w:hAnsi="Book Antiqua" w:cs="Book Antiqua"/>
          <w:color w:val="000000" w:themeColor="text1"/>
        </w:rPr>
        <w:t>, Lassailly</w:t>
      </w:r>
      <w:r w:rsidR="0082554F" w:rsidRPr="00245598">
        <w:rPr>
          <w:rFonts w:ascii="Book Antiqua" w:eastAsia="Book Antiqua" w:hAnsi="Book Antiqua" w:cs="Book Antiqua"/>
          <w:color w:val="000000" w:themeColor="text1"/>
        </w:rPr>
        <w:t xml:space="preserve"> G</w:t>
      </w:r>
      <w:r w:rsidR="00EC5E7D" w:rsidRPr="00245598">
        <w:rPr>
          <w:rFonts w:ascii="Book Antiqua" w:eastAsia="Book Antiqua" w:hAnsi="Book Antiqua" w:cs="Book Antiqua"/>
          <w:color w:val="000000" w:themeColor="text1"/>
        </w:rPr>
        <w:t>, Aurières</w:t>
      </w:r>
      <w:r w:rsidR="0082554F" w:rsidRPr="00245598">
        <w:rPr>
          <w:rFonts w:ascii="Book Antiqua" w:eastAsia="Book Antiqua" w:hAnsi="Book Antiqua" w:cs="Book Antiqua"/>
          <w:color w:val="000000" w:themeColor="text1"/>
        </w:rPr>
        <w:t xml:space="preserve"> C</w:t>
      </w:r>
      <w:r w:rsidR="00EC5E7D" w:rsidRPr="00245598">
        <w:rPr>
          <w:rFonts w:ascii="Book Antiqua" w:eastAsia="Book Antiqua" w:hAnsi="Book Antiqua" w:cs="Book Antiqua"/>
          <w:color w:val="000000" w:themeColor="text1"/>
        </w:rPr>
        <w:t xml:space="preserve">, </w:t>
      </w:r>
      <w:r w:rsidR="007319AE" w:rsidRPr="00245598">
        <w:rPr>
          <w:rFonts w:ascii="Book Antiqua" w:eastAsia="Book Antiqua" w:hAnsi="Book Antiqua" w:cs="Book Antiqua"/>
          <w:color w:val="000000" w:themeColor="text1"/>
        </w:rPr>
        <w:t>B</w:t>
      </w:r>
      <w:r w:rsidR="00EC5E7D" w:rsidRPr="00245598">
        <w:rPr>
          <w:rFonts w:ascii="Book Antiqua" w:eastAsia="Book Antiqua" w:hAnsi="Book Antiqua" w:cs="Book Antiqua"/>
          <w:color w:val="000000" w:themeColor="text1"/>
        </w:rPr>
        <w:t>oyer</w:t>
      </w:r>
      <w:r w:rsidR="0082554F" w:rsidRPr="00245598">
        <w:rPr>
          <w:rFonts w:ascii="Book Antiqua" w:eastAsia="Book Antiqua" w:hAnsi="Book Antiqua" w:cs="Book Antiqua"/>
          <w:color w:val="000000" w:themeColor="text1"/>
        </w:rPr>
        <w:t xml:space="preserve"> N</w:t>
      </w:r>
      <w:r w:rsidR="00EC5E7D" w:rsidRPr="00245598">
        <w:rPr>
          <w:rFonts w:ascii="Book Antiqua" w:eastAsia="Book Antiqua" w:hAnsi="Book Antiqua" w:cs="Book Antiqua"/>
          <w:color w:val="000000" w:themeColor="text1"/>
        </w:rPr>
        <w:t>, Thabut</w:t>
      </w:r>
      <w:r w:rsidR="0082554F" w:rsidRPr="00245598">
        <w:rPr>
          <w:rFonts w:ascii="Book Antiqua" w:eastAsia="Book Antiqua" w:hAnsi="Book Antiqua" w:cs="Book Antiqua"/>
          <w:color w:val="000000" w:themeColor="text1"/>
        </w:rPr>
        <w:t xml:space="preserve"> D</w:t>
      </w:r>
      <w:r w:rsidR="00EC5E7D" w:rsidRPr="00245598">
        <w:rPr>
          <w:rFonts w:ascii="Book Antiqua" w:eastAsia="Book Antiqua" w:hAnsi="Book Antiqua" w:cs="Book Antiqua"/>
          <w:color w:val="000000" w:themeColor="text1"/>
        </w:rPr>
        <w:t>, Bernard</w:t>
      </w:r>
      <w:r w:rsidR="0082554F" w:rsidRPr="00245598">
        <w:rPr>
          <w:rFonts w:ascii="Book Antiqua" w:eastAsia="Book Antiqua" w:hAnsi="Book Antiqua" w:cs="Book Antiqua"/>
          <w:color w:val="000000" w:themeColor="text1"/>
        </w:rPr>
        <w:t xml:space="preserve"> PH</w:t>
      </w:r>
      <w:r w:rsidR="00EC5E7D" w:rsidRPr="00245598">
        <w:rPr>
          <w:rFonts w:ascii="Book Antiqua" w:eastAsia="Book Antiqua" w:hAnsi="Book Antiqua" w:cs="Book Antiqua"/>
          <w:color w:val="000000" w:themeColor="text1"/>
        </w:rPr>
        <w:t>, Schnee</w:t>
      </w:r>
      <w:r w:rsidR="0082554F" w:rsidRPr="00245598">
        <w:rPr>
          <w:rFonts w:ascii="Book Antiqua" w:eastAsia="Book Antiqua" w:hAnsi="Book Antiqua" w:cs="Book Antiqua"/>
          <w:color w:val="000000" w:themeColor="text1"/>
        </w:rPr>
        <w:t xml:space="preserve"> M</w:t>
      </w:r>
      <w:r w:rsidR="00EC5E7D" w:rsidRPr="00245598">
        <w:rPr>
          <w:rFonts w:ascii="Book Antiqua" w:eastAsia="Book Antiqua" w:hAnsi="Book Antiqua" w:cs="Book Antiqua"/>
          <w:color w:val="000000" w:themeColor="text1"/>
        </w:rPr>
        <w:t>, Larrey</w:t>
      </w:r>
      <w:r w:rsidR="0082554F" w:rsidRPr="00245598">
        <w:rPr>
          <w:rFonts w:ascii="Book Antiqua" w:eastAsia="Book Antiqua" w:hAnsi="Book Antiqua" w:cs="Book Antiqua"/>
          <w:color w:val="000000" w:themeColor="text1"/>
        </w:rPr>
        <w:t xml:space="preserve"> D</w:t>
      </w:r>
      <w:r w:rsidR="00EC5E7D" w:rsidRPr="00245598">
        <w:rPr>
          <w:rFonts w:ascii="Book Antiqua" w:eastAsia="Book Antiqua" w:hAnsi="Book Antiqua" w:cs="Book Antiqua"/>
          <w:color w:val="000000" w:themeColor="text1"/>
        </w:rPr>
        <w:t>, Hanslik</w:t>
      </w:r>
      <w:r w:rsidR="0082554F" w:rsidRPr="00245598">
        <w:rPr>
          <w:rFonts w:ascii="Book Antiqua" w:eastAsia="Book Antiqua" w:hAnsi="Book Antiqua" w:cs="Book Antiqua"/>
          <w:color w:val="000000" w:themeColor="text1"/>
        </w:rPr>
        <w:t xml:space="preserve"> B</w:t>
      </w:r>
      <w:r w:rsidR="00EC5E7D" w:rsidRPr="00245598">
        <w:rPr>
          <w:rFonts w:ascii="Book Antiqua" w:eastAsia="Book Antiqua" w:hAnsi="Book Antiqua" w:cs="Book Antiqua"/>
          <w:color w:val="000000" w:themeColor="text1"/>
        </w:rPr>
        <w:t>, Hommel</w:t>
      </w:r>
      <w:r w:rsidR="0082554F" w:rsidRPr="00245598">
        <w:rPr>
          <w:rFonts w:ascii="Book Antiqua" w:eastAsia="Book Antiqua" w:hAnsi="Book Antiqua" w:cs="Book Antiqua"/>
          <w:color w:val="000000" w:themeColor="text1"/>
        </w:rPr>
        <w:t xml:space="preserve"> S</w:t>
      </w:r>
      <w:r w:rsidR="00EC5E7D" w:rsidRPr="00245598">
        <w:rPr>
          <w:rFonts w:ascii="Book Antiqua" w:eastAsia="Book Antiqua" w:hAnsi="Book Antiqua" w:cs="Book Antiqua"/>
          <w:color w:val="000000" w:themeColor="text1"/>
        </w:rPr>
        <w:t xml:space="preserve">, Jacques </w:t>
      </w:r>
      <w:r w:rsidR="0082554F" w:rsidRPr="00245598">
        <w:rPr>
          <w:rFonts w:ascii="Book Antiqua" w:eastAsia="Book Antiqua" w:hAnsi="Book Antiqua" w:cs="Book Antiqua"/>
          <w:color w:val="000000" w:themeColor="text1"/>
        </w:rPr>
        <w:t>J</w:t>
      </w:r>
      <w:r w:rsidR="00693113" w:rsidRPr="00245598">
        <w:rPr>
          <w:rFonts w:ascii="Book Antiqua" w:eastAsia="Book Antiqua" w:hAnsi="Book Antiqua" w:cs="Book Antiqua"/>
          <w:color w:val="000000" w:themeColor="text1"/>
        </w:rPr>
        <w:t>,</w:t>
      </w:r>
      <w:r w:rsidR="0082554F" w:rsidRPr="00245598">
        <w:rPr>
          <w:rFonts w:ascii="Book Antiqua" w:eastAsia="Book Antiqua" w:hAnsi="Book Antiqua" w:cs="Book Antiqua"/>
          <w:color w:val="000000" w:themeColor="text1"/>
        </w:rPr>
        <w:t xml:space="preserve"> </w:t>
      </w:r>
      <w:r w:rsidR="00EC5E7D" w:rsidRPr="00245598">
        <w:rPr>
          <w:rFonts w:ascii="Book Antiqua" w:eastAsia="Book Antiqua" w:hAnsi="Book Antiqua" w:cs="Book Antiqua"/>
          <w:color w:val="000000" w:themeColor="text1"/>
        </w:rPr>
        <w:t>and Loustaud-Ratti</w:t>
      </w:r>
      <w:r w:rsidR="0082554F" w:rsidRPr="00245598">
        <w:rPr>
          <w:rFonts w:ascii="Book Antiqua" w:eastAsia="Book Antiqua" w:hAnsi="Book Antiqua" w:cs="Book Antiqua"/>
          <w:color w:val="000000" w:themeColor="text1"/>
        </w:rPr>
        <w:t xml:space="preserve"> V</w:t>
      </w:r>
      <w:r w:rsidR="00EC5E7D" w:rsidRPr="00245598">
        <w:rPr>
          <w:rFonts w:ascii="Book Antiqua" w:eastAsia="Book Antiqua" w:hAnsi="Book Antiqua" w:cs="Book Antiqua"/>
          <w:color w:val="000000" w:themeColor="text1"/>
        </w:rPr>
        <w:t xml:space="preserve"> collect</w:t>
      </w:r>
      <w:r w:rsidR="007319AE" w:rsidRPr="00245598">
        <w:rPr>
          <w:rFonts w:ascii="Book Antiqua" w:eastAsia="Book Antiqua" w:hAnsi="Book Antiqua" w:cs="Book Antiqua"/>
          <w:color w:val="000000" w:themeColor="text1"/>
        </w:rPr>
        <w:t>ed</w:t>
      </w:r>
      <w:r w:rsidR="00EC5E7D" w:rsidRPr="00245598">
        <w:rPr>
          <w:rFonts w:ascii="Book Antiqua" w:eastAsia="Book Antiqua" w:hAnsi="Book Antiqua" w:cs="Book Antiqua"/>
          <w:color w:val="000000" w:themeColor="text1"/>
        </w:rPr>
        <w:t xml:space="preserve"> </w:t>
      </w:r>
      <w:r w:rsidR="00655C14" w:rsidRPr="00245598">
        <w:rPr>
          <w:rFonts w:ascii="Book Antiqua" w:eastAsia="Book Antiqua" w:hAnsi="Book Antiqua" w:cs="Book Antiqua"/>
          <w:color w:val="000000" w:themeColor="text1"/>
        </w:rPr>
        <w:t xml:space="preserve">the </w:t>
      </w:r>
      <w:r w:rsidR="00EC5E7D" w:rsidRPr="00245598">
        <w:rPr>
          <w:rFonts w:ascii="Book Antiqua" w:eastAsia="Book Antiqua" w:hAnsi="Book Antiqua" w:cs="Book Antiqua"/>
          <w:color w:val="000000" w:themeColor="text1"/>
        </w:rPr>
        <w:t>data;</w:t>
      </w:r>
      <w:r w:rsidR="00F4492B" w:rsidRPr="00245598">
        <w:rPr>
          <w:rFonts w:ascii="Book Antiqua" w:eastAsia="Book Antiqua" w:hAnsi="Book Antiqua" w:cs="Book Antiqua"/>
          <w:color w:val="000000" w:themeColor="text1"/>
        </w:rPr>
        <w:t xml:space="preserve"> </w:t>
      </w:r>
      <w:proofErr w:type="spellStart"/>
      <w:r w:rsidR="009B0ABD" w:rsidRPr="00245598">
        <w:rPr>
          <w:rFonts w:ascii="Book Antiqua" w:eastAsia="Book Antiqua" w:hAnsi="Book Antiqua" w:cs="Book Antiqua"/>
          <w:color w:val="000000" w:themeColor="text1"/>
        </w:rPr>
        <w:t>Labrunie</w:t>
      </w:r>
      <w:proofErr w:type="spellEnd"/>
      <w:r w:rsidR="0000627D" w:rsidRPr="00245598">
        <w:rPr>
          <w:rFonts w:ascii="Book Antiqua" w:eastAsia="Book Antiqua" w:hAnsi="Book Antiqua" w:cs="Book Antiqua"/>
          <w:color w:val="000000" w:themeColor="text1"/>
        </w:rPr>
        <w:t xml:space="preserve"> A</w:t>
      </w:r>
      <w:r w:rsidR="009B0ABD" w:rsidRPr="00245598">
        <w:rPr>
          <w:rFonts w:ascii="Book Antiqua" w:eastAsia="Book Antiqua" w:hAnsi="Book Antiqua" w:cs="Book Antiqua"/>
          <w:color w:val="000000" w:themeColor="text1"/>
        </w:rPr>
        <w:t xml:space="preserve"> performed statistical analysis;</w:t>
      </w:r>
      <w:r w:rsidR="004573FE" w:rsidRPr="00245598">
        <w:rPr>
          <w:rFonts w:ascii="Book Antiqua" w:hAnsi="Book Antiqua"/>
          <w:color w:val="000000" w:themeColor="text1"/>
          <w:lang w:eastAsia="zh-CN"/>
        </w:rPr>
        <w:t xml:space="preserve"> </w:t>
      </w:r>
      <w:r w:rsidR="009B0ABD" w:rsidRPr="00245598">
        <w:rPr>
          <w:rFonts w:ascii="Book Antiqua" w:eastAsia="Book Antiqua" w:hAnsi="Book Antiqua" w:cs="Book Antiqua"/>
          <w:color w:val="000000" w:themeColor="text1"/>
        </w:rPr>
        <w:t xml:space="preserve">Loustaud-Ratti </w:t>
      </w:r>
      <w:r w:rsidR="0000627D" w:rsidRPr="00245598">
        <w:rPr>
          <w:rFonts w:ascii="Book Antiqua" w:eastAsia="Book Antiqua" w:hAnsi="Book Antiqua" w:cs="Book Antiqua"/>
          <w:color w:val="000000" w:themeColor="text1"/>
        </w:rPr>
        <w:t xml:space="preserve">V </w:t>
      </w:r>
      <w:r w:rsidR="009B0ABD" w:rsidRPr="00245598">
        <w:rPr>
          <w:rFonts w:ascii="Book Antiqua" w:eastAsia="Book Antiqua" w:hAnsi="Book Antiqua" w:cs="Book Antiqua"/>
          <w:color w:val="000000" w:themeColor="text1"/>
        </w:rPr>
        <w:t>obtained funding;</w:t>
      </w:r>
      <w:r w:rsidR="003055CC" w:rsidRPr="00245598">
        <w:rPr>
          <w:rFonts w:ascii="Book Antiqua" w:hAnsi="Book Antiqua"/>
          <w:color w:val="000000" w:themeColor="text1"/>
          <w:lang w:eastAsia="zh-CN"/>
        </w:rPr>
        <w:t xml:space="preserve"> </w:t>
      </w:r>
      <w:r w:rsidR="00DE6AEC" w:rsidRPr="00234908">
        <w:rPr>
          <w:rFonts w:ascii="Book Antiqua" w:eastAsia="Book Antiqua" w:hAnsi="Book Antiqua" w:cs="Book Antiqua"/>
          <w:color w:val="000000" w:themeColor="text1"/>
        </w:rPr>
        <w:t>A</w:t>
      </w:r>
      <w:r w:rsidR="009B0ABD" w:rsidRPr="00245598">
        <w:rPr>
          <w:rFonts w:ascii="Book Antiqua" w:eastAsia="Book Antiqua" w:hAnsi="Book Antiqua" w:cs="Book Antiqua"/>
          <w:color w:val="000000" w:themeColor="text1"/>
        </w:rPr>
        <w:t>ll authors</w:t>
      </w:r>
      <w:r w:rsidR="009B0ABD" w:rsidRPr="00245598">
        <w:rPr>
          <w:rFonts w:ascii="Book Antiqua" w:hAnsi="Book Antiqua"/>
          <w:color w:val="000000" w:themeColor="text1"/>
          <w:lang w:eastAsia="zh-CN"/>
        </w:rPr>
        <w:t xml:space="preserve"> </w:t>
      </w:r>
      <w:r w:rsidR="00693113" w:rsidRPr="00245598">
        <w:rPr>
          <w:rFonts w:ascii="Book Antiqua" w:hAnsi="Book Antiqua"/>
          <w:color w:val="000000" w:themeColor="text1"/>
          <w:lang w:eastAsia="zh-CN"/>
        </w:rPr>
        <w:t>critically revised</w:t>
      </w:r>
      <w:r w:rsidRPr="00245598">
        <w:rPr>
          <w:rFonts w:ascii="Book Antiqua" w:eastAsia="Book Antiqua" w:hAnsi="Book Antiqua" w:cs="Book Antiqua"/>
          <w:color w:val="000000" w:themeColor="text1"/>
        </w:rPr>
        <w:t xml:space="preserve"> the manuscript</w:t>
      </w:r>
      <w:r w:rsidR="009B0ABD" w:rsidRPr="00245598">
        <w:rPr>
          <w:rFonts w:ascii="Book Antiqua" w:eastAsia="Book Antiqua" w:hAnsi="Book Antiqua" w:cs="Book Antiqua"/>
          <w:color w:val="000000" w:themeColor="text1"/>
        </w:rPr>
        <w:t>.</w:t>
      </w:r>
    </w:p>
    <w:p w14:paraId="05467FAC" w14:textId="77777777" w:rsidR="00A77B3E" w:rsidRPr="00245598" w:rsidRDefault="00A77B3E">
      <w:pPr>
        <w:spacing w:line="360" w:lineRule="auto"/>
        <w:jc w:val="both"/>
        <w:rPr>
          <w:rFonts w:ascii="Book Antiqua" w:hAnsi="Book Antiqua"/>
          <w:color w:val="000000" w:themeColor="text1"/>
        </w:rPr>
      </w:pPr>
    </w:p>
    <w:p w14:paraId="202170D3" w14:textId="4C8900AD"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b/>
          <w:bCs/>
          <w:color w:val="000000" w:themeColor="text1"/>
        </w:rPr>
        <w:t xml:space="preserve">Supported by </w:t>
      </w:r>
      <w:r w:rsidRPr="00245598">
        <w:rPr>
          <w:rFonts w:ascii="Book Antiqua" w:eastAsia="Book Antiqua" w:hAnsi="Book Antiqua" w:cs="Book Antiqua"/>
          <w:color w:val="000000" w:themeColor="text1"/>
        </w:rPr>
        <w:t>Bristol Myers Squibb, France</w:t>
      </w:r>
      <w:r w:rsidR="004047EC" w:rsidRPr="00245598">
        <w:rPr>
          <w:rFonts w:ascii="Book Antiqua" w:eastAsia="Book Antiqua" w:hAnsi="Book Antiqua" w:cs="Book Antiqua"/>
          <w:color w:val="000000" w:themeColor="text1"/>
        </w:rPr>
        <w:t>.</w:t>
      </w:r>
    </w:p>
    <w:p w14:paraId="3DF21576" w14:textId="77777777" w:rsidR="00A77B3E" w:rsidRPr="00245598" w:rsidRDefault="00A77B3E">
      <w:pPr>
        <w:spacing w:line="360" w:lineRule="auto"/>
        <w:jc w:val="both"/>
        <w:rPr>
          <w:rFonts w:ascii="Book Antiqua" w:hAnsi="Book Antiqua"/>
          <w:color w:val="000000" w:themeColor="text1"/>
        </w:rPr>
      </w:pPr>
    </w:p>
    <w:p w14:paraId="0B2E1C4C" w14:textId="14208D1F"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b/>
          <w:bCs/>
          <w:color w:val="000000" w:themeColor="text1"/>
        </w:rPr>
        <w:t>Corresponding author: Véronique Loustaud-Ratti, MD, PhD, Professor,</w:t>
      </w:r>
      <w:r w:rsidR="00D07334" w:rsidRPr="00245598">
        <w:rPr>
          <w:rFonts w:ascii="Book Antiqua" w:eastAsia="Book Antiqua" w:hAnsi="Book Antiqua" w:cs="Book Antiqua"/>
          <w:color w:val="000000" w:themeColor="text1"/>
        </w:rPr>
        <w:t xml:space="preserve"> </w:t>
      </w:r>
      <w:r w:rsidR="004B6641" w:rsidRPr="00245598">
        <w:rPr>
          <w:rFonts w:ascii="Book Antiqua" w:eastAsia="Times New Roman" w:hAnsi="Book Antiqua" w:cs="Arial"/>
          <w:color w:val="000000" w:themeColor="text1"/>
          <w:lang w:eastAsia="fr-FR"/>
        </w:rPr>
        <w:t xml:space="preserve">U1248 INSERM, </w:t>
      </w:r>
      <w:r w:rsidR="004B6641" w:rsidRPr="00245598">
        <w:rPr>
          <w:rFonts w:ascii="Book Antiqua" w:eastAsia="Book Antiqua" w:hAnsi="Book Antiqua" w:cs="Book Antiqua"/>
          <w:color w:val="000000" w:themeColor="text1"/>
        </w:rPr>
        <w:t>Department of Hepatology and Gastroenterology</w:t>
      </w:r>
      <w:r w:rsidR="004B6641" w:rsidRPr="00245598">
        <w:rPr>
          <w:rFonts w:ascii="Book Antiqua" w:eastAsia="Times New Roman" w:hAnsi="Book Antiqua" w:cs="Arial"/>
          <w:color w:val="000000" w:themeColor="text1"/>
          <w:lang w:eastAsia="fr-FR"/>
        </w:rPr>
        <w:t>, Univ. Limoges, CHU Limoges,</w:t>
      </w:r>
      <w:r w:rsidRPr="00245598">
        <w:rPr>
          <w:rFonts w:ascii="Book Antiqua" w:eastAsia="Book Antiqua" w:hAnsi="Book Antiqua" w:cs="Book Antiqua"/>
          <w:color w:val="000000" w:themeColor="text1"/>
        </w:rPr>
        <w:t xml:space="preserve"> 2, Avenue Martin Luther King, </w:t>
      </w:r>
      <w:r w:rsidR="004B6641" w:rsidRPr="00245598">
        <w:rPr>
          <w:rFonts w:ascii="Book Antiqua" w:eastAsia="Times New Roman" w:hAnsi="Book Antiqua" w:cs="Arial"/>
          <w:color w:val="000000" w:themeColor="text1"/>
          <w:lang w:eastAsia="fr-FR"/>
        </w:rPr>
        <w:t>Limoges F-87000, France</w:t>
      </w:r>
      <w:r w:rsidRPr="00245598">
        <w:rPr>
          <w:rFonts w:ascii="Book Antiqua" w:eastAsia="Book Antiqua" w:hAnsi="Book Antiqua" w:cs="Book Antiqua"/>
          <w:color w:val="000000" w:themeColor="text1"/>
        </w:rPr>
        <w:t>. veronique.loustaud-ratti@unilim.fr</w:t>
      </w:r>
    </w:p>
    <w:p w14:paraId="03004D94" w14:textId="0E0AFBDE" w:rsidR="00A77B3E" w:rsidRPr="00245598" w:rsidRDefault="00A77B3E">
      <w:pPr>
        <w:spacing w:line="360" w:lineRule="auto"/>
        <w:jc w:val="both"/>
        <w:rPr>
          <w:rFonts w:ascii="Book Antiqua" w:hAnsi="Book Antiqua"/>
          <w:color w:val="000000" w:themeColor="text1"/>
        </w:rPr>
      </w:pPr>
    </w:p>
    <w:p w14:paraId="3DACE28F" w14:textId="77777777"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b/>
          <w:bCs/>
          <w:color w:val="000000" w:themeColor="text1"/>
        </w:rPr>
        <w:t xml:space="preserve">Received: </w:t>
      </w:r>
      <w:r w:rsidRPr="00245598">
        <w:rPr>
          <w:rFonts w:ascii="Book Antiqua" w:eastAsia="Book Antiqua" w:hAnsi="Book Antiqua" w:cs="Book Antiqua"/>
          <w:color w:val="000000" w:themeColor="text1"/>
        </w:rPr>
        <w:t>June 11, 2020</w:t>
      </w:r>
    </w:p>
    <w:p w14:paraId="2C7C5FD8" w14:textId="3A0E19E4"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b/>
          <w:bCs/>
          <w:color w:val="000000" w:themeColor="text1"/>
        </w:rPr>
        <w:lastRenderedPageBreak/>
        <w:t xml:space="preserve">Revised: </w:t>
      </w:r>
      <w:r w:rsidR="0052332F" w:rsidRPr="00245598">
        <w:rPr>
          <w:rFonts w:ascii="Book Antiqua" w:hAnsi="Book Antiqua"/>
          <w:color w:val="000000" w:themeColor="text1"/>
        </w:rPr>
        <w:t>October 7, 2020</w:t>
      </w:r>
    </w:p>
    <w:p w14:paraId="3A75AE6C" w14:textId="61AB12DF"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b/>
          <w:bCs/>
          <w:color w:val="000000" w:themeColor="text1"/>
        </w:rPr>
        <w:t xml:space="preserve">Accepted: </w:t>
      </w:r>
      <w:r w:rsidR="007838E4" w:rsidRPr="00245598">
        <w:rPr>
          <w:rFonts w:ascii="Book Antiqua" w:hAnsi="Book Antiqua"/>
          <w:color w:val="000000" w:themeColor="text1"/>
        </w:rPr>
        <w:t>October 28, 2020</w:t>
      </w:r>
    </w:p>
    <w:p w14:paraId="4FB12D9D" w14:textId="77777777"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b/>
          <w:bCs/>
          <w:color w:val="000000" w:themeColor="text1"/>
        </w:rPr>
        <w:t xml:space="preserve">Published online: </w:t>
      </w:r>
    </w:p>
    <w:p w14:paraId="5B2FCBB5" w14:textId="77777777" w:rsidR="00000000" w:rsidRPr="00245598" w:rsidRDefault="00E5411F">
      <w:pPr>
        <w:spacing w:line="360" w:lineRule="auto"/>
        <w:jc w:val="both"/>
        <w:rPr>
          <w:rFonts w:ascii="Book Antiqua" w:hAnsi="Book Antiqua"/>
          <w:color w:val="000000" w:themeColor="text1"/>
        </w:rPr>
        <w:sectPr w:rsidR="00000000" w:rsidRPr="00245598">
          <w:footerReference w:type="default" r:id="rId7"/>
          <w:pgSz w:w="12240" w:h="15840"/>
          <w:pgMar w:top="1440" w:right="1440" w:bottom="1440" w:left="1440" w:header="720" w:footer="720" w:gutter="0"/>
          <w:cols w:space="720"/>
          <w:docGrid w:linePitch="360"/>
        </w:sectPr>
      </w:pPr>
    </w:p>
    <w:p w14:paraId="53A6B944" w14:textId="77777777"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b/>
          <w:color w:val="000000" w:themeColor="text1"/>
        </w:rPr>
        <w:lastRenderedPageBreak/>
        <w:t>Abstract</w:t>
      </w:r>
    </w:p>
    <w:p w14:paraId="3E1E4FBA" w14:textId="77777777"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color w:val="000000" w:themeColor="text1"/>
        </w:rPr>
        <w:t>BACKGROUND</w:t>
      </w:r>
    </w:p>
    <w:p w14:paraId="2BE56D3C" w14:textId="77777777" w:rsidR="00A77B3E" w:rsidRPr="00245598" w:rsidRDefault="00D20A34">
      <w:pPr>
        <w:spacing w:line="360" w:lineRule="auto"/>
        <w:jc w:val="both"/>
        <w:rPr>
          <w:rFonts w:ascii="Book Antiqua" w:hAnsi="Book Antiqua"/>
          <w:color w:val="000000" w:themeColor="text1"/>
        </w:rPr>
      </w:pPr>
      <w:bookmarkStart w:id="7" w:name="OLE_LINK12"/>
      <w:bookmarkStart w:id="8" w:name="OLE_LINK13"/>
      <w:r w:rsidRPr="00245598">
        <w:rPr>
          <w:rFonts w:ascii="Book Antiqua" w:eastAsia="Book Antiqua" w:hAnsi="Book Antiqua" w:cs="Book Antiqua"/>
          <w:color w:val="000000" w:themeColor="text1"/>
        </w:rPr>
        <w:t xml:space="preserve">The recommended monitoring tools for evaluating nucleot(s)ide analogue renal toxicity, such as estimated glomerular filtration rate (eGFR) and phosphatemia, are late markers of proximal tubulopathy. Multiple early markers are available, but no consensus exists on their use. </w:t>
      </w:r>
    </w:p>
    <w:bookmarkEnd w:id="7"/>
    <w:bookmarkEnd w:id="8"/>
    <w:p w14:paraId="1B9C6865" w14:textId="77777777" w:rsidR="00A77B3E" w:rsidRPr="00245598" w:rsidRDefault="00A77B3E">
      <w:pPr>
        <w:spacing w:line="360" w:lineRule="auto"/>
        <w:jc w:val="both"/>
        <w:rPr>
          <w:rFonts w:ascii="Book Antiqua" w:hAnsi="Book Antiqua"/>
          <w:color w:val="000000" w:themeColor="text1"/>
        </w:rPr>
      </w:pPr>
    </w:p>
    <w:p w14:paraId="5A5DBD1C" w14:textId="77777777"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color w:val="000000" w:themeColor="text1"/>
        </w:rPr>
        <w:t>AIM</w:t>
      </w:r>
    </w:p>
    <w:p w14:paraId="592CD3E1" w14:textId="614315CD"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color w:val="000000" w:themeColor="text1"/>
        </w:rPr>
        <w:t>To determine the 24</w:t>
      </w:r>
      <w:r w:rsidR="004B2289" w:rsidRPr="00245598">
        <w:rPr>
          <w:rFonts w:ascii="Book Antiqua" w:eastAsia="Book Antiqua" w:hAnsi="Book Antiqua" w:cs="Book Antiqua"/>
          <w:color w:val="000000" w:themeColor="text1"/>
        </w:rPr>
        <w:t xml:space="preserve"> mo</w:t>
      </w:r>
      <w:r w:rsidRPr="00245598">
        <w:rPr>
          <w:rFonts w:ascii="Book Antiqua" w:eastAsia="Book Antiqua" w:hAnsi="Book Antiqua" w:cs="Book Antiqua"/>
          <w:color w:val="000000" w:themeColor="text1"/>
        </w:rPr>
        <w:t xml:space="preserve"> prevalence of subclinical proximal tubulopathy (SPT), as defined with early biomarkers, in treated </w:t>
      </w:r>
      <w:r w:rsidRPr="00245598">
        <w:rPr>
          <w:rFonts w:ascii="Book Antiqua" w:eastAsia="Book Antiqua" w:hAnsi="Book Antiqua" w:cs="Book Antiqua"/>
          <w:i/>
          <w:iCs/>
          <w:color w:val="000000" w:themeColor="text1"/>
        </w:rPr>
        <w:t>vs</w:t>
      </w:r>
      <w:r w:rsidRPr="00245598">
        <w:rPr>
          <w:rFonts w:ascii="Book Antiqua" w:eastAsia="Book Antiqua" w:hAnsi="Book Antiqua" w:cs="Book Antiqua"/>
          <w:color w:val="000000" w:themeColor="text1"/>
        </w:rPr>
        <w:t xml:space="preserve"> untreated hepatitis B virus (HBV)-monoinfected patients. </w:t>
      </w:r>
    </w:p>
    <w:p w14:paraId="27C9507B" w14:textId="77777777" w:rsidR="00A77B3E" w:rsidRPr="00245598" w:rsidRDefault="00A77B3E">
      <w:pPr>
        <w:spacing w:line="360" w:lineRule="auto"/>
        <w:jc w:val="both"/>
        <w:rPr>
          <w:rFonts w:ascii="Book Antiqua" w:hAnsi="Book Antiqua"/>
          <w:color w:val="000000" w:themeColor="text1"/>
        </w:rPr>
      </w:pPr>
    </w:p>
    <w:p w14:paraId="71214E2E" w14:textId="77777777"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color w:val="000000" w:themeColor="text1"/>
        </w:rPr>
        <w:t>METHODS</w:t>
      </w:r>
    </w:p>
    <w:p w14:paraId="25C13033" w14:textId="66E07C60"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color w:val="000000" w:themeColor="text1"/>
        </w:rPr>
        <w:t xml:space="preserve">A prospective, non-randomized, multicenter study of HBV-monoinfected patients with a low number of renal comorbidities was conducted. The patients were separated into three groups: </w:t>
      </w:r>
      <w:r w:rsidR="006F6B7A" w:rsidRPr="00245598">
        <w:rPr>
          <w:rFonts w:ascii="Book Antiqua" w:eastAsia="Book Antiqua" w:hAnsi="Book Antiqua" w:cs="Book Antiqua"/>
          <w:color w:val="000000" w:themeColor="text1"/>
        </w:rPr>
        <w:t>N</w:t>
      </w:r>
      <w:r w:rsidRPr="00245598">
        <w:rPr>
          <w:rFonts w:ascii="Book Antiqua" w:eastAsia="Book Antiqua" w:hAnsi="Book Antiqua" w:cs="Book Antiqua"/>
          <w:color w:val="000000" w:themeColor="text1"/>
        </w:rPr>
        <w:t>aïve</w:t>
      </w:r>
      <w:r w:rsidR="00693113" w:rsidRPr="00245598">
        <w:rPr>
          <w:rFonts w:ascii="Book Antiqua" w:eastAsia="Book Antiqua" w:hAnsi="Book Antiqua" w:cs="Book Antiqua"/>
          <w:color w:val="000000" w:themeColor="text1"/>
        </w:rPr>
        <w:t>,</w:t>
      </w:r>
      <w:r w:rsidRPr="00245598">
        <w:rPr>
          <w:rFonts w:ascii="Book Antiqua" w:eastAsia="Book Antiqua" w:hAnsi="Book Antiqua" w:cs="Book Antiqua"/>
          <w:color w:val="000000" w:themeColor="text1"/>
        </w:rPr>
        <w:t xml:space="preserve"> starting entecavir (ETV)</w:t>
      </w:r>
      <w:r w:rsidR="00693113" w:rsidRPr="00245598">
        <w:rPr>
          <w:rFonts w:ascii="Book Antiqua" w:eastAsia="Book Antiqua" w:hAnsi="Book Antiqua" w:cs="Book Antiqua"/>
          <w:color w:val="000000" w:themeColor="text1"/>
        </w:rPr>
        <w:t xml:space="preserve"> treatment,</w:t>
      </w:r>
      <w:r w:rsidRPr="00245598">
        <w:rPr>
          <w:rFonts w:ascii="Book Antiqua" w:eastAsia="Book Antiqua" w:hAnsi="Book Antiqua" w:cs="Book Antiqua"/>
          <w:color w:val="000000" w:themeColor="text1"/>
        </w:rPr>
        <w:t xml:space="preserve"> or </w:t>
      </w:r>
      <w:r w:rsidR="00693113" w:rsidRPr="00245598">
        <w:rPr>
          <w:rFonts w:ascii="Book Antiqua" w:eastAsia="Book Antiqua" w:hAnsi="Book Antiqua" w:cs="Book Antiqua"/>
          <w:color w:val="000000" w:themeColor="text1"/>
        </w:rPr>
        <w:t xml:space="preserve">starting </w:t>
      </w:r>
      <w:r w:rsidRPr="00245598">
        <w:rPr>
          <w:rFonts w:ascii="Book Antiqua" w:eastAsia="Book Antiqua" w:hAnsi="Book Antiqua" w:cs="Book Antiqua"/>
          <w:color w:val="000000" w:themeColor="text1"/>
        </w:rPr>
        <w:t xml:space="preserve">tenofovir disoproxil (TDF) treatment. Data on the early markers of SPT, the eGFR and </w:t>
      </w:r>
      <w:proofErr w:type="spellStart"/>
      <w:r w:rsidRPr="00245598">
        <w:rPr>
          <w:rFonts w:ascii="Book Antiqua" w:eastAsia="Book Antiqua" w:hAnsi="Book Antiqua" w:cs="Book Antiqua"/>
          <w:color w:val="000000" w:themeColor="text1"/>
        </w:rPr>
        <w:t>phosphatemia</w:t>
      </w:r>
      <w:proofErr w:type="spellEnd"/>
      <w:r w:rsidR="00693113" w:rsidRPr="00245598">
        <w:rPr>
          <w:rFonts w:ascii="Book Antiqua" w:eastAsia="Book Antiqua" w:hAnsi="Book Antiqua" w:cs="Book Antiqua"/>
          <w:color w:val="000000" w:themeColor="text1"/>
        </w:rPr>
        <w:t>,</w:t>
      </w:r>
      <w:r w:rsidRPr="00245598">
        <w:rPr>
          <w:rFonts w:ascii="Book Antiqua" w:eastAsia="Book Antiqua" w:hAnsi="Book Antiqua" w:cs="Book Antiqua"/>
          <w:color w:val="000000" w:themeColor="text1"/>
        </w:rPr>
        <w:t xml:space="preserve"> were collected quarterly. SPT was defined as a maximal tubular reabsorption of phosphate/eGFR below 0.8 mmo</w:t>
      </w:r>
      <w:r w:rsidR="004B2289" w:rsidRPr="00245598">
        <w:rPr>
          <w:rFonts w:ascii="Book Antiqua" w:eastAsia="Book Antiqua" w:hAnsi="Book Antiqua" w:cs="Book Antiqua"/>
          <w:color w:val="000000" w:themeColor="text1"/>
        </w:rPr>
        <w:t>L</w:t>
      </w:r>
      <w:r w:rsidRPr="00245598">
        <w:rPr>
          <w:rFonts w:ascii="Book Antiqua" w:eastAsia="Book Antiqua" w:hAnsi="Book Antiqua" w:cs="Book Antiqua"/>
          <w:color w:val="000000" w:themeColor="text1"/>
        </w:rPr>
        <w:t xml:space="preserve">/L and/or uric acid fractional excretion above 10%. The prevalence and cumulative incidence of SPT at </w:t>
      </w:r>
      <w:r w:rsidR="00A56D2B" w:rsidRPr="00245598">
        <w:rPr>
          <w:rFonts w:ascii="Book Antiqua" w:hAnsi="Book Antiqua"/>
          <w:color w:val="000000" w:themeColor="text1"/>
        </w:rPr>
        <w:t>month 24 (</w:t>
      </w:r>
      <w:r w:rsidRPr="00245598">
        <w:rPr>
          <w:rFonts w:ascii="Book Antiqua" w:eastAsia="Book Antiqua" w:hAnsi="Book Antiqua" w:cs="Book Antiqua"/>
          <w:color w:val="000000" w:themeColor="text1"/>
        </w:rPr>
        <w:t>M24</w:t>
      </w:r>
      <w:r w:rsidR="00A56D2B" w:rsidRPr="00245598">
        <w:rPr>
          <w:rFonts w:ascii="Book Antiqua" w:eastAsia="Book Antiqua" w:hAnsi="Book Antiqua" w:cs="Book Antiqua"/>
          <w:color w:val="000000" w:themeColor="text1"/>
        </w:rPr>
        <w:t>)</w:t>
      </w:r>
      <w:r w:rsidRPr="00245598">
        <w:rPr>
          <w:rFonts w:ascii="Book Antiqua" w:eastAsia="Book Antiqua" w:hAnsi="Book Antiqua" w:cs="Book Antiqua"/>
          <w:color w:val="000000" w:themeColor="text1"/>
        </w:rPr>
        <w:t xml:space="preserve"> were calculated. Quantitative data were analyzed using analyses of variance or Kruskal-Wallis tests, whereas chi-squared or Fisher’s exact tests were used to analyze qualitative data. Multivariate analyses were used to adjust for any potential confounding factors. </w:t>
      </w:r>
    </w:p>
    <w:p w14:paraId="7F62E72B" w14:textId="77777777" w:rsidR="00A77B3E" w:rsidRPr="00245598" w:rsidRDefault="00A77B3E">
      <w:pPr>
        <w:spacing w:line="360" w:lineRule="auto"/>
        <w:jc w:val="both"/>
        <w:rPr>
          <w:rFonts w:ascii="Book Antiqua" w:hAnsi="Book Antiqua"/>
          <w:color w:val="000000" w:themeColor="text1"/>
        </w:rPr>
      </w:pPr>
    </w:p>
    <w:p w14:paraId="104B6A3D" w14:textId="77777777"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color w:val="000000" w:themeColor="text1"/>
        </w:rPr>
        <w:t>RESULTS</w:t>
      </w:r>
    </w:p>
    <w:p w14:paraId="38376553" w14:textId="0C414A94"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color w:val="000000" w:themeColor="text1"/>
        </w:rPr>
        <w:t xml:space="preserve">Of the 196 patients analyzed, 138 (84 naïve, 28 starting ETV, and 26 starting TDF) had no SPT at inclusion. At M24, the prevalence of SPT was not statistically different between naïve and either treated group (21.1% </w:t>
      </w:r>
      <w:r w:rsidRPr="00245598">
        <w:rPr>
          <w:rFonts w:ascii="Book Antiqua" w:eastAsia="Book Antiqua" w:hAnsi="Book Antiqua" w:cs="Book Antiqua"/>
          <w:i/>
          <w:iCs/>
          <w:color w:val="000000" w:themeColor="text1"/>
        </w:rPr>
        <w:t>vs</w:t>
      </w:r>
      <w:r w:rsidRPr="00245598">
        <w:rPr>
          <w:rFonts w:ascii="Book Antiqua" w:eastAsia="Book Antiqua" w:hAnsi="Book Antiqua" w:cs="Book Antiqua"/>
          <w:color w:val="000000" w:themeColor="text1"/>
        </w:rPr>
        <w:t xml:space="preserve"> 30.7%, </w:t>
      </w:r>
      <w:r w:rsidRPr="00245598">
        <w:rPr>
          <w:rFonts w:ascii="Book Antiqua" w:eastAsia="Book Antiqua" w:hAnsi="Book Antiqua" w:cs="Book Antiqua"/>
          <w:i/>
          <w:iCs/>
          <w:color w:val="000000" w:themeColor="text1"/>
        </w:rPr>
        <w:t xml:space="preserve">P &lt; </w:t>
      </w:r>
      <w:r w:rsidRPr="00245598">
        <w:rPr>
          <w:rFonts w:ascii="Book Antiqua" w:eastAsia="Book Antiqua" w:hAnsi="Book Antiqua" w:cs="Book Antiqua"/>
          <w:color w:val="000000" w:themeColor="text1"/>
        </w:rPr>
        <w:t xml:space="preserve">0.42 and 50.0% </w:t>
      </w:r>
      <w:r w:rsidRPr="00245598">
        <w:rPr>
          <w:rFonts w:ascii="Book Antiqua" w:eastAsia="Book Antiqua" w:hAnsi="Book Antiqua" w:cs="Book Antiqua"/>
          <w:i/>
          <w:iCs/>
          <w:color w:val="000000" w:themeColor="text1"/>
        </w:rPr>
        <w:t>vs</w:t>
      </w:r>
      <w:r w:rsidRPr="00245598">
        <w:rPr>
          <w:rFonts w:ascii="Book Antiqua" w:eastAsia="Book Antiqua" w:hAnsi="Book Antiqua" w:cs="Book Antiqua"/>
          <w:color w:val="000000" w:themeColor="text1"/>
        </w:rPr>
        <w:t xml:space="preserve"> 30.7%, </w:t>
      </w:r>
      <w:r w:rsidRPr="00245598">
        <w:rPr>
          <w:rFonts w:ascii="Book Antiqua" w:eastAsia="Book Antiqua" w:hAnsi="Book Antiqua" w:cs="Book Antiqua"/>
          <w:i/>
          <w:iCs/>
          <w:color w:val="000000" w:themeColor="text1"/>
        </w:rPr>
        <w:t>P</w:t>
      </w:r>
      <w:r w:rsidRPr="00245598">
        <w:rPr>
          <w:rFonts w:ascii="Book Antiqua" w:eastAsia="Book Antiqua" w:hAnsi="Book Antiqua" w:cs="Book Antiqua"/>
          <w:color w:val="000000" w:themeColor="text1"/>
        </w:rPr>
        <w:t xml:space="preserve"> = 0.32 for ETV and TDF, respectively); no patient had an eGFR lower than 50 mL/min/1.73 m² or </w:t>
      </w:r>
      <w:r w:rsidRPr="00245598">
        <w:rPr>
          <w:rFonts w:ascii="Book Antiqua" w:eastAsia="Book Antiqua" w:hAnsi="Book Antiqua" w:cs="Book Antiqua"/>
          <w:color w:val="000000" w:themeColor="text1"/>
        </w:rPr>
        <w:lastRenderedPageBreak/>
        <w:t>phosphatemia less than 0.48</w:t>
      </w:r>
      <w:r w:rsidR="00063FE6" w:rsidRPr="00245598">
        <w:rPr>
          <w:rFonts w:ascii="Book Antiqua" w:eastAsia="Book Antiqua" w:hAnsi="Book Antiqua" w:cs="Book Antiqua"/>
          <w:color w:val="000000" w:themeColor="text1"/>
        </w:rPr>
        <w:t xml:space="preserve"> </w:t>
      </w:r>
      <w:r w:rsidRPr="00245598">
        <w:rPr>
          <w:rFonts w:ascii="Book Antiqua" w:eastAsia="Book Antiqua" w:hAnsi="Book Antiqua" w:cs="Book Antiqua"/>
          <w:color w:val="000000" w:themeColor="text1"/>
        </w:rPr>
        <w:t>mmo</w:t>
      </w:r>
      <w:r w:rsidR="006115F7" w:rsidRPr="00245598">
        <w:rPr>
          <w:rFonts w:ascii="Book Antiqua" w:eastAsia="Book Antiqua" w:hAnsi="Book Antiqua" w:cs="Book Antiqua"/>
          <w:color w:val="000000" w:themeColor="text1"/>
        </w:rPr>
        <w:t>L</w:t>
      </w:r>
      <w:r w:rsidRPr="00245598">
        <w:rPr>
          <w:rFonts w:ascii="Book Antiqua" w:eastAsia="Book Antiqua" w:hAnsi="Book Antiqua" w:cs="Book Antiqua"/>
          <w:color w:val="000000" w:themeColor="text1"/>
        </w:rPr>
        <w:t xml:space="preserve">/L. In the multivariate analysis, no explanatory variables were identified after adjustment. The cumulative incidence of SPT over 24 mo (25.5%, 13.3%, and 52.9% in the naïve, ETV, and TDF groups, respectively) tended to be higher in the TDF group </w:t>
      </w:r>
      <w:r w:rsidRPr="00245598">
        <w:rPr>
          <w:rFonts w:ascii="Book Antiqua" w:eastAsia="Book Antiqua" w:hAnsi="Book Antiqua" w:cs="Book Antiqua"/>
          <w:i/>
          <w:iCs/>
          <w:color w:val="000000" w:themeColor="text1"/>
        </w:rPr>
        <w:t>vs</w:t>
      </w:r>
      <w:r w:rsidRPr="00245598">
        <w:rPr>
          <w:rFonts w:ascii="Book Antiqua" w:eastAsia="Book Antiqua" w:hAnsi="Book Antiqua" w:cs="Book Antiqua"/>
          <w:color w:val="000000" w:themeColor="text1"/>
        </w:rPr>
        <w:t xml:space="preserve"> the naïve group (hazard ratio: 2.283, </w:t>
      </w:r>
      <w:r w:rsidRPr="00245598">
        <w:rPr>
          <w:rFonts w:ascii="Book Antiqua" w:eastAsia="Book Antiqua" w:hAnsi="Book Antiqua" w:cs="Book Antiqua"/>
          <w:i/>
          <w:iCs/>
          <w:color w:val="000000" w:themeColor="text1"/>
        </w:rPr>
        <w:t xml:space="preserve">P </w:t>
      </w:r>
      <w:r w:rsidRPr="00245598">
        <w:rPr>
          <w:rFonts w:ascii="Book Antiqua" w:eastAsia="Book Antiqua" w:hAnsi="Book Antiqua" w:cs="Book Antiqua"/>
          <w:color w:val="000000" w:themeColor="text1"/>
        </w:rPr>
        <w:t xml:space="preserve">= 0.05). SPT-free survival at M24 was 57.6%, 68.8%, and 23.5% for the naïve, ETV, and TDF groups, respectively. The median survival time without SPT, evaluated only in the TDF group, was 5.9 mo. </w:t>
      </w:r>
    </w:p>
    <w:p w14:paraId="4036FFB6" w14:textId="77777777" w:rsidR="00A77B3E" w:rsidRPr="00245598" w:rsidRDefault="00A77B3E">
      <w:pPr>
        <w:spacing w:line="360" w:lineRule="auto"/>
        <w:jc w:val="both"/>
        <w:rPr>
          <w:rFonts w:ascii="Book Antiqua" w:hAnsi="Book Antiqua"/>
          <w:color w:val="000000" w:themeColor="text1"/>
        </w:rPr>
      </w:pPr>
    </w:p>
    <w:p w14:paraId="18FCCBCD" w14:textId="77777777"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color w:val="000000" w:themeColor="text1"/>
        </w:rPr>
        <w:t>CONCLUSION</w:t>
      </w:r>
    </w:p>
    <w:p w14:paraId="3523336B" w14:textId="77777777"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color w:val="000000" w:themeColor="text1"/>
        </w:rPr>
        <w:t xml:space="preserve">The prevalence and incidence of SPT was higher in TDF-treated patients compared to naïve patients. SPT in the naïve population suggests that HBV can induce renal tubular toxicity. </w:t>
      </w:r>
    </w:p>
    <w:p w14:paraId="22784F56" w14:textId="77777777" w:rsidR="00A77B3E" w:rsidRPr="00245598" w:rsidRDefault="00A77B3E">
      <w:pPr>
        <w:spacing w:line="360" w:lineRule="auto"/>
        <w:jc w:val="both"/>
        <w:rPr>
          <w:rFonts w:ascii="Book Antiqua" w:hAnsi="Book Antiqua"/>
          <w:color w:val="000000" w:themeColor="text1"/>
        </w:rPr>
      </w:pPr>
    </w:p>
    <w:p w14:paraId="7C886A4F" w14:textId="7856DBCB"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b/>
          <w:bCs/>
          <w:color w:val="000000" w:themeColor="text1"/>
        </w:rPr>
        <w:t xml:space="preserve">Key Words: </w:t>
      </w:r>
      <w:r w:rsidR="009C61C9" w:rsidRPr="00245598">
        <w:rPr>
          <w:rFonts w:ascii="Book Antiqua" w:eastAsia="Book Antiqua" w:hAnsi="Book Antiqua" w:cs="Book Antiqua"/>
          <w:color w:val="000000" w:themeColor="text1"/>
        </w:rPr>
        <w:t>H</w:t>
      </w:r>
      <w:r w:rsidRPr="00245598">
        <w:rPr>
          <w:rFonts w:ascii="Book Antiqua" w:eastAsia="Book Antiqua" w:hAnsi="Book Antiqua" w:cs="Book Antiqua"/>
          <w:color w:val="000000" w:themeColor="text1"/>
        </w:rPr>
        <w:t xml:space="preserve">epatitis B virus; </w:t>
      </w:r>
      <w:r w:rsidR="009C61C9" w:rsidRPr="00245598">
        <w:rPr>
          <w:rFonts w:ascii="Book Antiqua" w:eastAsia="Book Antiqua" w:hAnsi="Book Antiqua" w:cs="Book Antiqua"/>
          <w:color w:val="000000" w:themeColor="text1"/>
        </w:rPr>
        <w:t>P</w:t>
      </w:r>
      <w:r w:rsidRPr="00245598">
        <w:rPr>
          <w:rFonts w:ascii="Book Antiqua" w:eastAsia="Book Antiqua" w:hAnsi="Book Antiqua" w:cs="Book Antiqua"/>
          <w:color w:val="000000" w:themeColor="text1"/>
        </w:rPr>
        <w:t xml:space="preserve">roximal tubulopathy; </w:t>
      </w:r>
      <w:r w:rsidR="009C61C9" w:rsidRPr="00245598">
        <w:rPr>
          <w:rFonts w:ascii="Book Antiqua" w:eastAsia="Book Antiqua" w:hAnsi="Book Antiqua" w:cs="Book Antiqua"/>
          <w:color w:val="000000" w:themeColor="text1"/>
        </w:rPr>
        <w:t>B</w:t>
      </w:r>
      <w:r w:rsidRPr="00245598">
        <w:rPr>
          <w:rFonts w:ascii="Book Antiqua" w:eastAsia="Book Antiqua" w:hAnsi="Book Antiqua" w:cs="Book Antiqua"/>
          <w:color w:val="000000" w:themeColor="text1"/>
        </w:rPr>
        <w:t xml:space="preserve">iomarkers; </w:t>
      </w:r>
      <w:r w:rsidR="009C61C9" w:rsidRPr="00245598">
        <w:rPr>
          <w:rFonts w:ascii="Book Antiqua" w:eastAsia="Book Antiqua" w:hAnsi="Book Antiqua" w:cs="Book Antiqua"/>
          <w:color w:val="000000" w:themeColor="text1"/>
        </w:rPr>
        <w:t>R</w:t>
      </w:r>
      <w:r w:rsidRPr="00245598">
        <w:rPr>
          <w:rFonts w:ascii="Book Antiqua" w:eastAsia="Book Antiqua" w:hAnsi="Book Antiqua" w:cs="Book Antiqua"/>
          <w:color w:val="000000" w:themeColor="text1"/>
        </w:rPr>
        <w:t xml:space="preserve">enal insufficiency; </w:t>
      </w:r>
      <w:r w:rsidR="009C61C9" w:rsidRPr="00245598">
        <w:rPr>
          <w:rFonts w:ascii="Book Antiqua" w:eastAsia="Book Antiqua" w:hAnsi="Book Antiqua" w:cs="Book Antiqua"/>
          <w:color w:val="000000" w:themeColor="text1"/>
        </w:rPr>
        <w:t>N</w:t>
      </w:r>
      <w:r w:rsidRPr="00245598">
        <w:rPr>
          <w:rFonts w:ascii="Book Antiqua" w:eastAsia="Book Antiqua" w:hAnsi="Book Antiqua" w:cs="Book Antiqua"/>
          <w:color w:val="000000" w:themeColor="text1"/>
        </w:rPr>
        <w:t>ucleoside analogues</w:t>
      </w:r>
    </w:p>
    <w:p w14:paraId="18635143" w14:textId="77777777" w:rsidR="00A77B3E" w:rsidRPr="00245598" w:rsidRDefault="00A77B3E">
      <w:pPr>
        <w:spacing w:line="360" w:lineRule="auto"/>
        <w:jc w:val="both"/>
        <w:rPr>
          <w:rFonts w:ascii="Book Antiqua" w:hAnsi="Book Antiqua"/>
          <w:color w:val="000000" w:themeColor="text1"/>
        </w:rPr>
      </w:pPr>
    </w:p>
    <w:p w14:paraId="353134DB" w14:textId="02D5CB08"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color w:val="000000" w:themeColor="text1"/>
        </w:rPr>
        <w:t xml:space="preserve">Brayette A, Essig M, Carrier P, Debette-Gratien M, Labrunie A, Alain S, Maynard M, Ganne-Carrié N, Nguyen-Khac E, Pinet P, De Ledinghen V, Renou C, Mathurin P, Vanlemmens C, Di Martino V, Gervais A, Foucher J, Isabelle FH, Vergniol J, Hourmand-Ollivier I, Cohen D, Duval X, Poynard T, Bardou M, Abergel A, Dao MT, Thévenot T, Hiriart JB, Canva V, Lassailly G, Aurières C, Boyer N, Thabut D, Bernard PH, Schnee M, Larrey D, Hanslik B, Hommel S, Jacques J, Loustaud-Ratti V. </w:t>
      </w:r>
      <w:r w:rsidR="006115F7" w:rsidRPr="00245598">
        <w:rPr>
          <w:rFonts w:ascii="Book Antiqua" w:eastAsia="Book Antiqua" w:hAnsi="Book Antiqua" w:cs="Book Antiqua"/>
          <w:color w:val="000000" w:themeColor="text1"/>
        </w:rPr>
        <w:t>Subclinical proximal tubulopathy in hepatitis B: The roles of nucleot(s)ide analogue treatment and the hepatitis B virus</w:t>
      </w:r>
      <w:r w:rsidR="006115F7" w:rsidRPr="00245598">
        <w:rPr>
          <w:rFonts w:ascii="Book Antiqua" w:hAnsi="Book Antiqua"/>
          <w:color w:val="000000" w:themeColor="text1"/>
          <w:lang w:eastAsia="zh-CN"/>
        </w:rPr>
        <w:t>.</w:t>
      </w:r>
      <w:r w:rsidRPr="00245598">
        <w:rPr>
          <w:rFonts w:ascii="Book Antiqua" w:eastAsia="Book Antiqua" w:hAnsi="Book Antiqua" w:cs="Book Antiqua"/>
          <w:color w:val="000000" w:themeColor="text1"/>
        </w:rPr>
        <w:t xml:space="preserve"> </w:t>
      </w:r>
      <w:r w:rsidRPr="00245598">
        <w:rPr>
          <w:rFonts w:ascii="Book Antiqua" w:eastAsia="Book Antiqua" w:hAnsi="Book Antiqua" w:cs="Book Antiqua"/>
          <w:i/>
          <w:iCs/>
          <w:color w:val="000000" w:themeColor="text1"/>
        </w:rPr>
        <w:t>World J Hepatol</w:t>
      </w:r>
      <w:r w:rsidRPr="00245598">
        <w:rPr>
          <w:rFonts w:ascii="Book Antiqua" w:eastAsia="Book Antiqua" w:hAnsi="Book Antiqua" w:cs="Book Antiqua"/>
          <w:color w:val="000000" w:themeColor="text1"/>
        </w:rPr>
        <w:t xml:space="preserve"> 2020; In press</w:t>
      </w:r>
    </w:p>
    <w:p w14:paraId="3BC59445" w14:textId="77777777" w:rsidR="00A77B3E" w:rsidRPr="00245598" w:rsidRDefault="00A77B3E">
      <w:pPr>
        <w:spacing w:line="360" w:lineRule="auto"/>
        <w:jc w:val="both"/>
        <w:rPr>
          <w:rFonts w:ascii="Book Antiqua" w:hAnsi="Book Antiqua"/>
          <w:color w:val="000000" w:themeColor="text1"/>
        </w:rPr>
      </w:pPr>
    </w:p>
    <w:p w14:paraId="25D5E553" w14:textId="4D106F3A"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b/>
          <w:bCs/>
          <w:color w:val="000000" w:themeColor="text1"/>
        </w:rPr>
        <w:t xml:space="preserve">Core Tip: </w:t>
      </w:r>
      <w:r w:rsidR="00C23B97" w:rsidRPr="00245598">
        <w:rPr>
          <w:rFonts w:ascii="Book Antiqua" w:hAnsi="Book Antiqua"/>
          <w:color w:val="000000" w:themeColor="text1"/>
        </w:rPr>
        <w:t>The objective of this prospective, multicenter study was to determine the 24</w:t>
      </w:r>
      <w:r w:rsidR="00312FCD" w:rsidRPr="00245598">
        <w:rPr>
          <w:rFonts w:ascii="Book Antiqua" w:hAnsi="Book Antiqua"/>
          <w:color w:val="000000" w:themeColor="text1"/>
        </w:rPr>
        <w:t xml:space="preserve"> </w:t>
      </w:r>
      <w:r w:rsidR="00C23B97" w:rsidRPr="00245598">
        <w:rPr>
          <w:rFonts w:ascii="Book Antiqua" w:hAnsi="Book Antiqua"/>
          <w:color w:val="000000" w:themeColor="text1"/>
        </w:rPr>
        <w:t>mo prevalence and incidence of subclinical proximal tubulopathy (SPT) in hepatitis B virus</w:t>
      </w:r>
      <w:r w:rsidR="00C23B97" w:rsidRPr="00245598">
        <w:rPr>
          <w:rFonts w:ascii="Book Antiqua" w:hAnsi="Book Antiqua"/>
        </w:rPr>
        <w:t xml:space="preserve"> (HBV)-</w:t>
      </w:r>
      <w:proofErr w:type="spellStart"/>
      <w:r w:rsidR="00C23B97" w:rsidRPr="00245598">
        <w:rPr>
          <w:rFonts w:ascii="Book Antiqua" w:hAnsi="Book Antiqua"/>
          <w:color w:val="000000" w:themeColor="text1"/>
        </w:rPr>
        <w:t>monoinfected</w:t>
      </w:r>
      <w:proofErr w:type="spellEnd"/>
      <w:r w:rsidR="00C23B97" w:rsidRPr="00245598">
        <w:rPr>
          <w:rFonts w:ascii="Book Antiqua" w:hAnsi="Book Antiqua"/>
          <w:color w:val="000000" w:themeColor="text1"/>
        </w:rPr>
        <w:t xml:space="preserve"> patients that were either treatment-naïve or treated with nucleot(s)ide analogues. Data on early SPT markers, the estimated glomerular filtration </w:t>
      </w:r>
      <w:r w:rsidR="00C23B97" w:rsidRPr="00245598">
        <w:rPr>
          <w:rFonts w:ascii="Book Antiqua" w:hAnsi="Book Antiqua"/>
          <w:color w:val="000000" w:themeColor="text1"/>
        </w:rPr>
        <w:lastRenderedPageBreak/>
        <w:t xml:space="preserve">rate and </w:t>
      </w:r>
      <w:proofErr w:type="spellStart"/>
      <w:r w:rsidR="00C23B97" w:rsidRPr="00245598">
        <w:rPr>
          <w:rFonts w:ascii="Book Antiqua" w:hAnsi="Book Antiqua"/>
          <w:color w:val="000000" w:themeColor="text1"/>
        </w:rPr>
        <w:t>phosphatemia</w:t>
      </w:r>
      <w:proofErr w:type="spellEnd"/>
      <w:r w:rsidR="00693113" w:rsidRPr="00245598">
        <w:rPr>
          <w:rFonts w:ascii="Book Antiqua" w:hAnsi="Book Antiqua"/>
          <w:color w:val="000000" w:themeColor="text1"/>
        </w:rPr>
        <w:t>,</w:t>
      </w:r>
      <w:r w:rsidR="00C23B97" w:rsidRPr="00245598">
        <w:rPr>
          <w:rFonts w:ascii="Book Antiqua" w:hAnsi="Book Antiqua"/>
          <w:color w:val="000000" w:themeColor="text1"/>
        </w:rPr>
        <w:t xml:space="preserve"> were collected quarterly from 196 patients. The prevalence and incidence of SPT was higher in tenofovir disoproxil-treated patients compared to naïve patients. The median survival time without SPT (time during which more than 50% of the patients remained SPT-free), evaluated only in the tenofovir disoproxil-treated group, was 5.9 mo. SPT was detected in the naïve population, indicating possible </w:t>
      </w:r>
      <w:r w:rsidR="00C23B97" w:rsidRPr="00245598">
        <w:rPr>
          <w:rFonts w:ascii="Book Antiqua" w:hAnsi="Book Antiqua"/>
          <w:color w:val="000000"/>
        </w:rPr>
        <w:t>HBV-</w:t>
      </w:r>
      <w:r w:rsidR="00C23B97" w:rsidRPr="00245598">
        <w:rPr>
          <w:rFonts w:ascii="Book Antiqua" w:hAnsi="Book Antiqua"/>
          <w:color w:val="000000" w:themeColor="text1"/>
        </w:rPr>
        <w:t>induced toxicity in renal tubules.</w:t>
      </w:r>
      <w:r w:rsidRPr="00245598">
        <w:rPr>
          <w:rFonts w:ascii="Book Antiqua" w:eastAsia="Book Antiqua" w:hAnsi="Book Antiqua" w:cs="Book Antiqua"/>
          <w:color w:val="000000" w:themeColor="text1"/>
        </w:rPr>
        <w:t xml:space="preserve"> </w:t>
      </w:r>
    </w:p>
    <w:p w14:paraId="19CB54DB" w14:textId="77777777" w:rsidR="00A77B3E" w:rsidRPr="00245598" w:rsidRDefault="00A77B3E">
      <w:pPr>
        <w:spacing w:line="360" w:lineRule="auto"/>
        <w:jc w:val="both"/>
        <w:rPr>
          <w:rFonts w:ascii="Book Antiqua" w:hAnsi="Book Antiqua"/>
          <w:color w:val="000000" w:themeColor="text1"/>
        </w:rPr>
      </w:pPr>
    </w:p>
    <w:p w14:paraId="288315C6" w14:textId="6E1B5B81" w:rsidR="00A77B3E" w:rsidRPr="00245598" w:rsidRDefault="00F05112">
      <w:pPr>
        <w:spacing w:line="360" w:lineRule="auto"/>
        <w:jc w:val="both"/>
        <w:rPr>
          <w:rFonts w:ascii="Book Antiqua" w:hAnsi="Book Antiqua"/>
          <w:color w:val="000000" w:themeColor="text1"/>
        </w:rPr>
      </w:pPr>
      <w:r w:rsidRPr="00245598">
        <w:rPr>
          <w:rFonts w:ascii="Book Antiqua" w:eastAsia="Book Antiqua" w:hAnsi="Book Antiqua" w:cs="Book Antiqua"/>
          <w:b/>
          <w:caps/>
          <w:color w:val="000000" w:themeColor="text1"/>
          <w:u w:val="single"/>
        </w:rPr>
        <w:br w:type="page"/>
      </w:r>
      <w:r w:rsidR="00D20A34" w:rsidRPr="00245598">
        <w:rPr>
          <w:rFonts w:ascii="Book Antiqua" w:eastAsia="Book Antiqua" w:hAnsi="Book Antiqua" w:cs="Book Antiqua"/>
          <w:b/>
          <w:caps/>
          <w:color w:val="000000" w:themeColor="text1"/>
          <w:u w:val="single"/>
        </w:rPr>
        <w:lastRenderedPageBreak/>
        <w:t>INTRODUCTION</w:t>
      </w:r>
    </w:p>
    <w:p w14:paraId="4AECA70D" w14:textId="325BA766" w:rsidR="00C23B97" w:rsidRPr="00245598" w:rsidRDefault="00C23B97">
      <w:pPr>
        <w:spacing w:line="360" w:lineRule="auto"/>
        <w:jc w:val="both"/>
        <w:rPr>
          <w:rFonts w:ascii="Book Antiqua" w:hAnsi="Book Antiqua"/>
          <w:color w:val="000000" w:themeColor="text1"/>
        </w:rPr>
      </w:pPr>
      <w:r w:rsidRPr="00245598">
        <w:rPr>
          <w:rFonts w:ascii="Book Antiqua" w:hAnsi="Book Antiqua"/>
          <w:color w:val="000000" w:themeColor="text1"/>
        </w:rPr>
        <w:t xml:space="preserve">Chronic hepatitis B virus (HBV) infection is associated with significant morbidity and mortality due to cirrhosis and hepatocellular </w:t>
      </w:r>
      <w:proofErr w:type="gramStart"/>
      <w:r w:rsidRPr="00245598">
        <w:rPr>
          <w:rFonts w:ascii="Book Antiqua" w:hAnsi="Book Antiqua"/>
          <w:color w:val="000000" w:themeColor="text1"/>
        </w:rPr>
        <w:t>carcinoma</w:t>
      </w:r>
      <w:r w:rsidRPr="00245598">
        <w:rPr>
          <w:rFonts w:ascii="Book Antiqua" w:hAnsi="Book Antiqua"/>
          <w:color w:val="000000" w:themeColor="text1"/>
          <w:vertAlign w:val="superscript"/>
        </w:rPr>
        <w:t>[</w:t>
      </w:r>
      <w:proofErr w:type="gramEnd"/>
      <w:r w:rsidRPr="00245598">
        <w:rPr>
          <w:rFonts w:ascii="Book Antiqua" w:hAnsi="Book Antiqua"/>
          <w:color w:val="000000" w:themeColor="text1"/>
          <w:vertAlign w:val="superscript"/>
        </w:rPr>
        <w:t>1,2]</w:t>
      </w:r>
      <w:r w:rsidRPr="00245598">
        <w:rPr>
          <w:rFonts w:ascii="Book Antiqua" w:hAnsi="Book Antiqua"/>
          <w:color w:val="000000" w:themeColor="text1"/>
        </w:rPr>
        <w:t xml:space="preserve">. Current second-generation antiviral agents are efficient, as they have a high barrier to resistance. They include nucleosidic </w:t>
      </w:r>
      <w:r w:rsidR="005D6F64" w:rsidRPr="00245598">
        <w:rPr>
          <w:rFonts w:ascii="Book Antiqua" w:hAnsi="Book Antiqua"/>
          <w:color w:val="000000" w:themeColor="text1"/>
        </w:rPr>
        <w:t>[</w:t>
      </w:r>
      <w:r w:rsidRPr="00245598">
        <w:rPr>
          <w:rFonts w:ascii="Book Antiqua" w:hAnsi="Book Antiqua"/>
          <w:i/>
          <w:iCs/>
          <w:color w:val="000000" w:themeColor="text1"/>
        </w:rPr>
        <w:t>e.g.</w:t>
      </w:r>
      <w:r w:rsidRPr="00245598">
        <w:rPr>
          <w:rFonts w:ascii="Book Antiqua" w:hAnsi="Book Antiqua"/>
          <w:color w:val="000000" w:themeColor="text1"/>
        </w:rPr>
        <w:t xml:space="preserve">, entecavir </w:t>
      </w:r>
      <w:r w:rsidR="005D6F64" w:rsidRPr="00245598">
        <w:rPr>
          <w:rFonts w:ascii="Book Antiqua" w:hAnsi="Book Antiqua"/>
          <w:color w:val="000000" w:themeColor="text1"/>
        </w:rPr>
        <w:t>(</w:t>
      </w:r>
      <w:r w:rsidRPr="00245598">
        <w:rPr>
          <w:rFonts w:ascii="Book Antiqua" w:hAnsi="Book Antiqua"/>
          <w:color w:val="000000" w:themeColor="text1"/>
        </w:rPr>
        <w:t>ETV</w:t>
      </w:r>
      <w:r w:rsidR="005D6F64" w:rsidRPr="00245598">
        <w:rPr>
          <w:rFonts w:ascii="Book Antiqua" w:hAnsi="Book Antiqua"/>
          <w:color w:val="000000" w:themeColor="text1"/>
        </w:rPr>
        <w:t>)]</w:t>
      </w:r>
      <w:r w:rsidR="00D54399" w:rsidRPr="00245598">
        <w:rPr>
          <w:rFonts w:ascii="Book Antiqua" w:hAnsi="Book Antiqua"/>
          <w:color w:val="000000" w:themeColor="text1"/>
        </w:rPr>
        <w:t xml:space="preserve"> and</w:t>
      </w:r>
      <w:r w:rsidRPr="00245598">
        <w:rPr>
          <w:rFonts w:ascii="Book Antiqua" w:hAnsi="Book Antiqua"/>
          <w:color w:val="000000" w:themeColor="text1"/>
        </w:rPr>
        <w:t xml:space="preserve"> </w:t>
      </w:r>
      <w:proofErr w:type="spellStart"/>
      <w:r w:rsidRPr="00245598">
        <w:rPr>
          <w:rFonts w:ascii="Book Antiqua" w:hAnsi="Book Antiqua"/>
          <w:color w:val="000000" w:themeColor="text1"/>
        </w:rPr>
        <w:t>nucleotidic</w:t>
      </w:r>
      <w:proofErr w:type="spellEnd"/>
      <w:r w:rsidRPr="00245598">
        <w:rPr>
          <w:rFonts w:ascii="Book Antiqua" w:hAnsi="Book Antiqua"/>
          <w:color w:val="000000" w:themeColor="text1"/>
        </w:rPr>
        <w:t xml:space="preserve"> </w:t>
      </w:r>
      <w:r w:rsidR="005D6F64" w:rsidRPr="00245598">
        <w:rPr>
          <w:rFonts w:ascii="Book Antiqua" w:hAnsi="Book Antiqua"/>
          <w:color w:val="000000" w:themeColor="text1"/>
        </w:rPr>
        <w:t>[</w:t>
      </w:r>
      <w:r w:rsidRPr="00245598">
        <w:rPr>
          <w:rFonts w:ascii="Book Antiqua" w:hAnsi="Book Antiqua"/>
          <w:i/>
          <w:iCs/>
          <w:color w:val="000000" w:themeColor="text1"/>
        </w:rPr>
        <w:t>e.g.</w:t>
      </w:r>
      <w:r w:rsidRPr="00245598">
        <w:rPr>
          <w:rFonts w:ascii="Book Antiqua" w:hAnsi="Book Antiqua"/>
          <w:color w:val="000000" w:themeColor="text1"/>
        </w:rPr>
        <w:t xml:space="preserve">, tenofovir disoproxil </w:t>
      </w:r>
      <w:r w:rsidR="005D6F64" w:rsidRPr="00245598">
        <w:rPr>
          <w:rFonts w:ascii="Book Antiqua" w:hAnsi="Book Antiqua"/>
          <w:color w:val="000000" w:themeColor="text1"/>
        </w:rPr>
        <w:t>(</w:t>
      </w:r>
      <w:r w:rsidRPr="00245598">
        <w:rPr>
          <w:rFonts w:ascii="Book Antiqua" w:hAnsi="Book Antiqua"/>
          <w:color w:val="000000" w:themeColor="text1"/>
        </w:rPr>
        <w:t>TDF</w:t>
      </w:r>
      <w:r w:rsidR="005D6F64" w:rsidRPr="00245598">
        <w:rPr>
          <w:rFonts w:ascii="Book Antiqua" w:hAnsi="Book Antiqua"/>
          <w:color w:val="000000" w:themeColor="text1"/>
        </w:rPr>
        <w:t>)</w:t>
      </w:r>
      <w:r w:rsidRPr="00245598">
        <w:rPr>
          <w:rFonts w:ascii="Book Antiqua" w:hAnsi="Book Antiqua"/>
          <w:color w:val="000000" w:themeColor="text1"/>
        </w:rPr>
        <w:t xml:space="preserve"> and tenofovir alafenamide (TAF)</w:t>
      </w:r>
      <w:r w:rsidR="00CA5330" w:rsidRPr="00245598">
        <w:rPr>
          <w:rFonts w:ascii="Book Antiqua" w:hAnsi="Book Antiqua"/>
          <w:color w:val="000000" w:themeColor="text1"/>
        </w:rPr>
        <w:t>]</w:t>
      </w:r>
      <w:r w:rsidRPr="00245598">
        <w:rPr>
          <w:rFonts w:ascii="Book Antiqua" w:hAnsi="Book Antiqua"/>
          <w:color w:val="000000" w:themeColor="text1"/>
        </w:rPr>
        <w:t xml:space="preserve"> analogues. Nevertheless, the persistence of HBV within hepatocytes in the form of covalently closed circular </w:t>
      </w:r>
      <w:r w:rsidR="00D54399" w:rsidRPr="00245598">
        <w:rPr>
          <w:rFonts w:ascii="Book Antiqua" w:hAnsi="Book Antiqua"/>
          <w:color w:val="000000" w:themeColor="text1"/>
        </w:rPr>
        <w:t>deoxyribonucleic acid</w:t>
      </w:r>
      <w:r w:rsidRPr="00245598">
        <w:rPr>
          <w:rFonts w:ascii="Book Antiqua" w:hAnsi="Book Antiqua"/>
          <w:color w:val="000000" w:themeColor="text1"/>
        </w:rPr>
        <w:t xml:space="preserve"> and the low probability of hepatitis B surface antigen (HBsAg) clearance necessitates long-term or even life-long treatment. Currently available antiviral agents are eliminated in an active form </w:t>
      </w:r>
      <w:r w:rsidRPr="00245598">
        <w:rPr>
          <w:rFonts w:ascii="Book Antiqua" w:hAnsi="Book Antiqua"/>
          <w:i/>
          <w:iCs/>
          <w:color w:val="000000" w:themeColor="text1"/>
        </w:rPr>
        <w:t>via</w:t>
      </w:r>
      <w:r w:rsidRPr="00245598">
        <w:rPr>
          <w:rFonts w:ascii="Book Antiqua" w:hAnsi="Book Antiqua"/>
          <w:color w:val="000000" w:themeColor="text1"/>
        </w:rPr>
        <w:t xml:space="preserve"> glomerular filtration and active tubular secretion. Their dosages must be adjusted when the estimated glomerular filtration rate (eGFR) falls under 50 mL/min/1.73 m². Therefore, long-term renal tolerance to antivirals is an important issue. </w:t>
      </w:r>
    </w:p>
    <w:p w14:paraId="73D16D98" w14:textId="120DF234" w:rsidR="00C23B97" w:rsidRPr="00245598" w:rsidRDefault="00C23B97">
      <w:pPr>
        <w:spacing w:line="360" w:lineRule="auto"/>
        <w:ind w:firstLineChars="200" w:firstLine="480"/>
        <w:jc w:val="both"/>
        <w:rPr>
          <w:rFonts w:ascii="Book Antiqua" w:hAnsi="Book Antiqua"/>
          <w:color w:val="000000" w:themeColor="text1"/>
        </w:rPr>
      </w:pPr>
      <w:r w:rsidRPr="00245598">
        <w:rPr>
          <w:rFonts w:ascii="Book Antiqua" w:hAnsi="Book Antiqua"/>
          <w:color w:val="000000" w:themeColor="text1"/>
        </w:rPr>
        <w:t xml:space="preserve">Although tubular toxicity is well-described in human immunodeficiency virus (HIV) patients treated with </w:t>
      </w:r>
      <w:proofErr w:type="gramStart"/>
      <w:r w:rsidRPr="00245598">
        <w:rPr>
          <w:rFonts w:ascii="Book Antiqua" w:hAnsi="Book Antiqua"/>
          <w:color w:val="000000" w:themeColor="text1"/>
        </w:rPr>
        <w:t>TDF</w:t>
      </w:r>
      <w:r w:rsidRPr="00245598">
        <w:rPr>
          <w:rFonts w:ascii="Book Antiqua" w:hAnsi="Book Antiqua"/>
          <w:color w:val="000000" w:themeColor="text1"/>
          <w:vertAlign w:val="superscript"/>
        </w:rPr>
        <w:t>[</w:t>
      </w:r>
      <w:proofErr w:type="gramEnd"/>
      <w:r w:rsidRPr="00245598">
        <w:rPr>
          <w:rFonts w:ascii="Book Antiqua" w:hAnsi="Book Antiqua"/>
          <w:color w:val="000000" w:themeColor="text1"/>
          <w:vertAlign w:val="superscript"/>
        </w:rPr>
        <w:t>3–5]</w:t>
      </w:r>
      <w:r w:rsidRPr="00245598">
        <w:rPr>
          <w:rFonts w:ascii="Book Antiqua" w:hAnsi="Book Antiqua"/>
          <w:color w:val="000000" w:themeColor="text1"/>
        </w:rPr>
        <w:t xml:space="preserve">, less data exist for hepatitis B monoinfection. Registration trials report good tolerance profiles, but real-life studies recount cases of lactic acidosis with ETV treatment, and impaired renal function and rare cases of Fanconi syndrome are reported with </w:t>
      </w:r>
      <w:proofErr w:type="gramStart"/>
      <w:r w:rsidRPr="00245598">
        <w:rPr>
          <w:rFonts w:ascii="Book Antiqua" w:hAnsi="Book Antiqua"/>
          <w:color w:val="000000" w:themeColor="text1"/>
        </w:rPr>
        <w:t>TDF</w:t>
      </w:r>
      <w:r w:rsidRPr="00245598">
        <w:rPr>
          <w:rFonts w:ascii="Book Antiqua" w:hAnsi="Book Antiqua"/>
          <w:color w:val="000000" w:themeColor="text1"/>
          <w:vertAlign w:val="superscript"/>
        </w:rPr>
        <w:t>[</w:t>
      </w:r>
      <w:proofErr w:type="gramEnd"/>
      <w:r w:rsidRPr="00245598">
        <w:rPr>
          <w:rFonts w:ascii="Book Antiqua" w:hAnsi="Book Antiqua"/>
          <w:color w:val="000000" w:themeColor="text1"/>
          <w:vertAlign w:val="superscript"/>
        </w:rPr>
        <w:t>6–8]</w:t>
      </w:r>
      <w:r w:rsidRPr="00245598">
        <w:rPr>
          <w:rFonts w:ascii="Book Antiqua" w:hAnsi="Book Antiqua"/>
          <w:color w:val="000000" w:themeColor="text1"/>
        </w:rPr>
        <w:t xml:space="preserve">. Indeed, these two compounds weakly inhibit host mitochondrial polymerase and may induce </w:t>
      </w:r>
      <w:proofErr w:type="gramStart"/>
      <w:r w:rsidRPr="00245598">
        <w:rPr>
          <w:rFonts w:ascii="Book Antiqua" w:hAnsi="Book Antiqua"/>
          <w:color w:val="000000" w:themeColor="text1"/>
        </w:rPr>
        <w:t>tubulopathy</w:t>
      </w:r>
      <w:r w:rsidRPr="00245598">
        <w:rPr>
          <w:rFonts w:ascii="Book Antiqua" w:hAnsi="Book Antiqua"/>
          <w:color w:val="000000" w:themeColor="text1"/>
          <w:vertAlign w:val="superscript"/>
        </w:rPr>
        <w:t>[</w:t>
      </w:r>
      <w:proofErr w:type="gramEnd"/>
      <w:r w:rsidRPr="00245598">
        <w:rPr>
          <w:rFonts w:ascii="Book Antiqua" w:hAnsi="Book Antiqua"/>
          <w:color w:val="000000" w:themeColor="text1"/>
          <w:vertAlign w:val="superscript"/>
        </w:rPr>
        <w:t>9]</w:t>
      </w:r>
      <w:r w:rsidRPr="00245598">
        <w:rPr>
          <w:rFonts w:ascii="Book Antiqua" w:hAnsi="Book Antiqua"/>
          <w:color w:val="000000" w:themeColor="text1"/>
        </w:rPr>
        <w:t xml:space="preserve">. TDF toxicity may also result from tubular secretion of its active form (tenofovir) and its potential interaction with the metabolism of tubular </w:t>
      </w:r>
      <w:proofErr w:type="gramStart"/>
      <w:r w:rsidRPr="00245598">
        <w:rPr>
          <w:rFonts w:ascii="Book Antiqua" w:hAnsi="Book Antiqua"/>
          <w:color w:val="000000" w:themeColor="text1"/>
        </w:rPr>
        <w:t>cells</w:t>
      </w:r>
      <w:r w:rsidRPr="00245598">
        <w:rPr>
          <w:rFonts w:ascii="Book Antiqua" w:hAnsi="Book Antiqua"/>
          <w:color w:val="000000" w:themeColor="text1"/>
          <w:vertAlign w:val="superscript"/>
        </w:rPr>
        <w:t>[</w:t>
      </w:r>
      <w:proofErr w:type="gramEnd"/>
      <w:r w:rsidRPr="00245598">
        <w:rPr>
          <w:rFonts w:ascii="Book Antiqua" w:hAnsi="Book Antiqua"/>
          <w:color w:val="000000" w:themeColor="text1"/>
          <w:vertAlign w:val="superscript"/>
        </w:rPr>
        <w:t>3,4,9]</w:t>
      </w:r>
      <w:r w:rsidRPr="00245598">
        <w:rPr>
          <w:rFonts w:ascii="Book Antiqua" w:hAnsi="Book Antiqua"/>
          <w:color w:val="000000" w:themeColor="text1"/>
        </w:rPr>
        <w:t xml:space="preserve">. Furthermore, transport proteins may interact with TDF, increasing its intracellular concentration and consequently, its </w:t>
      </w:r>
      <w:proofErr w:type="gramStart"/>
      <w:r w:rsidRPr="00245598">
        <w:rPr>
          <w:rFonts w:ascii="Book Antiqua" w:hAnsi="Book Antiqua"/>
          <w:color w:val="000000" w:themeColor="text1"/>
        </w:rPr>
        <w:t>toxicity</w:t>
      </w:r>
      <w:r w:rsidRPr="00245598">
        <w:rPr>
          <w:rFonts w:ascii="Book Antiqua" w:hAnsi="Book Antiqua"/>
          <w:color w:val="000000" w:themeColor="text1"/>
          <w:vertAlign w:val="superscript"/>
        </w:rPr>
        <w:t>[</w:t>
      </w:r>
      <w:proofErr w:type="gramEnd"/>
      <w:r w:rsidRPr="00245598">
        <w:rPr>
          <w:rFonts w:ascii="Book Antiqua" w:hAnsi="Book Antiqua"/>
          <w:color w:val="000000" w:themeColor="text1"/>
          <w:vertAlign w:val="superscript"/>
        </w:rPr>
        <w:t>10–12]</w:t>
      </w:r>
      <w:r w:rsidRPr="00245598">
        <w:rPr>
          <w:rFonts w:ascii="Book Antiqua" w:hAnsi="Book Antiqua"/>
          <w:color w:val="000000" w:themeColor="text1"/>
        </w:rPr>
        <w:t xml:space="preserve">. Long-term consequences of tubular dysfunction include hypophosphatemia (secondary to hyperphosphaturia), osteomalacia, osteoporosis, and renal failure. </w:t>
      </w:r>
    </w:p>
    <w:p w14:paraId="4466522F" w14:textId="77777777" w:rsidR="00C23B97" w:rsidRPr="00245598" w:rsidRDefault="00C23B97">
      <w:pPr>
        <w:spacing w:line="360" w:lineRule="auto"/>
        <w:ind w:firstLineChars="200" w:firstLine="480"/>
        <w:jc w:val="both"/>
        <w:rPr>
          <w:rFonts w:ascii="Book Antiqua" w:hAnsi="Book Antiqua"/>
          <w:color w:val="000000" w:themeColor="text1"/>
        </w:rPr>
      </w:pPr>
      <w:r w:rsidRPr="00245598">
        <w:rPr>
          <w:rFonts w:ascii="Book Antiqua" w:hAnsi="Book Antiqua"/>
          <w:color w:val="000000" w:themeColor="text1"/>
        </w:rPr>
        <w:t>Most studies on nucleot(s)ide analogue (NA) renal toxicity are based on assessments of eGFR and phosphatemia, which are late markers of proximal tubulopathy. Various early markers are available (</w:t>
      </w:r>
      <w:r w:rsidRPr="00245598">
        <w:rPr>
          <w:rFonts w:ascii="Book Antiqua" w:hAnsi="Book Antiqua"/>
          <w:i/>
          <w:iCs/>
          <w:color w:val="000000" w:themeColor="text1"/>
        </w:rPr>
        <w:t>e.g.</w:t>
      </w:r>
      <w:r w:rsidRPr="00245598">
        <w:rPr>
          <w:rFonts w:ascii="Book Antiqua" w:hAnsi="Book Antiqua"/>
          <w:color w:val="000000" w:themeColor="text1"/>
        </w:rPr>
        <w:t xml:space="preserve">, non-diabetic glycosuria, hyperaminoaciduria, β2-microglobulinuria, and cystinuria), but no consensus exists on their </w:t>
      </w:r>
      <w:proofErr w:type="gramStart"/>
      <w:r w:rsidRPr="00245598">
        <w:rPr>
          <w:rFonts w:ascii="Book Antiqua" w:hAnsi="Book Antiqua"/>
          <w:color w:val="000000" w:themeColor="text1"/>
        </w:rPr>
        <w:t>use</w:t>
      </w:r>
      <w:r w:rsidRPr="00245598">
        <w:rPr>
          <w:rFonts w:ascii="Book Antiqua" w:hAnsi="Book Antiqua"/>
          <w:color w:val="000000" w:themeColor="text1"/>
          <w:vertAlign w:val="superscript"/>
        </w:rPr>
        <w:t>[</w:t>
      </w:r>
      <w:proofErr w:type="gramEnd"/>
      <w:r w:rsidRPr="00245598">
        <w:rPr>
          <w:rFonts w:ascii="Book Antiqua" w:hAnsi="Book Antiqua"/>
          <w:color w:val="000000" w:themeColor="text1"/>
          <w:vertAlign w:val="superscript"/>
        </w:rPr>
        <w:t>3,4,13,14]</w:t>
      </w:r>
      <w:r w:rsidRPr="00245598">
        <w:rPr>
          <w:rFonts w:ascii="Book Antiqua" w:hAnsi="Book Antiqua"/>
          <w:color w:val="000000" w:themeColor="text1"/>
        </w:rPr>
        <w:t xml:space="preserve">. </w:t>
      </w:r>
    </w:p>
    <w:p w14:paraId="506052C6" w14:textId="0131B8C5" w:rsidR="00A77B3E" w:rsidRPr="00245598" w:rsidRDefault="00C23B97">
      <w:pPr>
        <w:spacing w:line="360" w:lineRule="auto"/>
        <w:ind w:firstLineChars="200" w:firstLine="480"/>
        <w:jc w:val="both"/>
        <w:rPr>
          <w:rFonts w:ascii="Book Antiqua" w:hAnsi="Book Antiqua"/>
          <w:color w:val="000000" w:themeColor="text1"/>
        </w:rPr>
      </w:pPr>
      <w:r w:rsidRPr="00245598">
        <w:rPr>
          <w:rFonts w:ascii="Book Antiqua" w:hAnsi="Book Antiqua"/>
          <w:color w:val="000000" w:themeColor="text1"/>
        </w:rPr>
        <w:t xml:space="preserve">In this study, two early, easy-to-perform, and inexpensive markers were selected: </w:t>
      </w:r>
      <w:r w:rsidR="00021AC4" w:rsidRPr="00245598">
        <w:rPr>
          <w:rFonts w:ascii="Book Antiqua" w:hAnsi="Book Antiqua"/>
          <w:color w:val="000000" w:themeColor="text1"/>
        </w:rPr>
        <w:t>M</w:t>
      </w:r>
      <w:r w:rsidRPr="00245598">
        <w:rPr>
          <w:rFonts w:ascii="Book Antiqua" w:hAnsi="Book Antiqua"/>
          <w:color w:val="000000" w:themeColor="text1"/>
        </w:rPr>
        <w:t xml:space="preserve">aximal tubular reabsorption of phosphate per unit volume of eGFR (TmPi/eGFR) and </w:t>
      </w:r>
      <w:r w:rsidRPr="00245598">
        <w:rPr>
          <w:rFonts w:ascii="Book Antiqua" w:hAnsi="Book Antiqua"/>
          <w:color w:val="000000" w:themeColor="text1"/>
        </w:rPr>
        <w:lastRenderedPageBreak/>
        <w:t xml:space="preserve">fractional excretion rate of uric acid (FEUA). The objective was to detect and monitor the evolution of subclinical proximal tubulopathy (SPT) over a </w:t>
      </w:r>
      <w:r w:rsidR="00D54399" w:rsidRPr="00245598">
        <w:rPr>
          <w:rFonts w:ascii="Book Antiqua" w:hAnsi="Book Antiqua"/>
          <w:color w:val="000000" w:themeColor="text1"/>
        </w:rPr>
        <w:t>2</w:t>
      </w:r>
      <w:r w:rsidRPr="00245598">
        <w:rPr>
          <w:rFonts w:ascii="Book Antiqua" w:hAnsi="Book Antiqua"/>
          <w:color w:val="000000" w:themeColor="text1"/>
        </w:rPr>
        <w:t>-year period in three populations of HBV-monoinfected patients. The three populations included those who were treatment naïve or those starting treatment with either ETV or TDF.</w:t>
      </w:r>
    </w:p>
    <w:p w14:paraId="1A545C6F" w14:textId="77777777" w:rsidR="00A77B3E" w:rsidRPr="00245598" w:rsidRDefault="00A77B3E">
      <w:pPr>
        <w:spacing w:line="360" w:lineRule="auto"/>
        <w:ind w:firstLine="708"/>
        <w:jc w:val="both"/>
        <w:rPr>
          <w:rFonts w:ascii="Book Antiqua" w:hAnsi="Book Antiqua"/>
          <w:color w:val="000000" w:themeColor="text1"/>
        </w:rPr>
      </w:pPr>
    </w:p>
    <w:p w14:paraId="316AD462" w14:textId="77777777"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b/>
          <w:caps/>
          <w:color w:val="000000" w:themeColor="text1"/>
          <w:u w:val="single"/>
        </w:rPr>
        <w:t>MATERIALS AND METHODS</w:t>
      </w:r>
    </w:p>
    <w:p w14:paraId="5097DC96" w14:textId="77777777" w:rsidR="00C23B97" w:rsidRPr="00245598" w:rsidRDefault="00C23B97">
      <w:pPr>
        <w:spacing w:line="360" w:lineRule="auto"/>
        <w:jc w:val="both"/>
        <w:rPr>
          <w:rFonts w:ascii="Book Antiqua" w:hAnsi="Book Antiqua"/>
          <w:b/>
          <w:bCs/>
          <w:i/>
          <w:iCs/>
          <w:color w:val="000000" w:themeColor="text1"/>
        </w:rPr>
      </w:pPr>
      <w:r w:rsidRPr="00245598">
        <w:rPr>
          <w:rFonts w:ascii="Book Antiqua" w:hAnsi="Book Antiqua"/>
          <w:b/>
          <w:bCs/>
          <w:i/>
          <w:iCs/>
          <w:color w:val="000000" w:themeColor="text1"/>
        </w:rPr>
        <w:t>Patient selection</w:t>
      </w:r>
    </w:p>
    <w:p w14:paraId="6CF65083" w14:textId="283BA183" w:rsidR="00C23B97" w:rsidRPr="00245598" w:rsidRDefault="00C23B97">
      <w:pPr>
        <w:spacing w:line="360" w:lineRule="auto"/>
        <w:jc w:val="both"/>
        <w:rPr>
          <w:rFonts w:ascii="Book Antiqua" w:hAnsi="Book Antiqua"/>
          <w:color w:val="000000" w:themeColor="text1"/>
        </w:rPr>
      </w:pPr>
      <w:r w:rsidRPr="00245598">
        <w:rPr>
          <w:rFonts w:ascii="Book Antiqua" w:hAnsi="Book Antiqua"/>
          <w:color w:val="000000" w:themeColor="text1"/>
        </w:rPr>
        <w:t xml:space="preserve">A prospective, non-randomized phase IV study involving </w:t>
      </w:r>
      <w:r w:rsidR="00D54399" w:rsidRPr="00245598">
        <w:rPr>
          <w:rFonts w:ascii="Book Antiqua" w:hAnsi="Book Antiqua"/>
          <w:color w:val="000000" w:themeColor="text1"/>
        </w:rPr>
        <w:t xml:space="preserve">20 </w:t>
      </w:r>
      <w:r w:rsidRPr="00245598">
        <w:rPr>
          <w:rFonts w:ascii="Book Antiqua" w:hAnsi="Book Antiqua"/>
          <w:color w:val="000000" w:themeColor="text1"/>
        </w:rPr>
        <w:t>French centers was conducted. Adult patients with HBV monoinfection and an eGFR above 50 mL/min/1.73 m</w:t>
      </w:r>
      <w:r w:rsidRPr="00245598">
        <w:rPr>
          <w:rFonts w:ascii="Book Antiqua" w:hAnsi="Book Antiqua"/>
          <w:color w:val="000000" w:themeColor="text1"/>
          <w:vertAlign w:val="superscript"/>
        </w:rPr>
        <w:t>2</w:t>
      </w:r>
      <w:r w:rsidRPr="00245598">
        <w:rPr>
          <w:rFonts w:ascii="Book Antiqua" w:hAnsi="Book Antiqua"/>
          <w:color w:val="000000" w:themeColor="text1"/>
        </w:rPr>
        <w:t xml:space="preserve"> were included. They were separated into three populations: </w:t>
      </w:r>
      <w:r w:rsidR="00021AC4" w:rsidRPr="00245598">
        <w:rPr>
          <w:rFonts w:ascii="Book Antiqua" w:hAnsi="Book Antiqua"/>
          <w:color w:val="000000" w:themeColor="text1"/>
        </w:rPr>
        <w:t>N</w:t>
      </w:r>
      <w:r w:rsidRPr="00245598">
        <w:rPr>
          <w:rFonts w:ascii="Book Antiqua" w:hAnsi="Book Antiqua"/>
          <w:color w:val="000000" w:themeColor="text1"/>
        </w:rPr>
        <w:t xml:space="preserve">aïve, ETV treatment, or TDF treatment, depending on the investigator’s choice. The following exclusion criteria were employed in this study: </w:t>
      </w:r>
      <w:r w:rsidR="00021AC4" w:rsidRPr="00245598">
        <w:rPr>
          <w:rFonts w:ascii="Book Antiqua" w:hAnsi="Book Antiqua"/>
          <w:color w:val="000000" w:themeColor="text1"/>
        </w:rPr>
        <w:t>P</w:t>
      </w:r>
      <w:r w:rsidRPr="00245598">
        <w:rPr>
          <w:rFonts w:ascii="Book Antiqua" w:hAnsi="Book Antiqua"/>
          <w:color w:val="000000" w:themeColor="text1"/>
        </w:rPr>
        <w:t>atients already receiving the planned treatment; those who have hepatocellular carcinoma; those coinfected with the hepatitis C virus, hepatitis D virus, or HIV; those with serum phosphate levels &lt; 0.48 mmo</w:t>
      </w:r>
      <w:r w:rsidR="001308BB" w:rsidRPr="00245598">
        <w:rPr>
          <w:rFonts w:ascii="Book Antiqua" w:hAnsi="Book Antiqua"/>
          <w:color w:val="000000" w:themeColor="text1"/>
        </w:rPr>
        <w:t>L</w:t>
      </w:r>
      <w:r w:rsidRPr="00245598">
        <w:rPr>
          <w:rFonts w:ascii="Book Antiqua" w:hAnsi="Book Antiqua"/>
          <w:color w:val="000000" w:themeColor="text1"/>
        </w:rPr>
        <w:t>/L; and pregnant or breast-feeding women.</w:t>
      </w:r>
    </w:p>
    <w:p w14:paraId="407BB29E" w14:textId="77777777" w:rsidR="00C23B97" w:rsidRPr="00245598" w:rsidRDefault="00C23B97">
      <w:pPr>
        <w:spacing w:line="360" w:lineRule="auto"/>
        <w:jc w:val="both"/>
        <w:rPr>
          <w:rFonts w:ascii="Book Antiqua" w:hAnsi="Book Antiqua"/>
          <w:color w:val="000000" w:themeColor="text1"/>
        </w:rPr>
      </w:pPr>
    </w:p>
    <w:p w14:paraId="64802925" w14:textId="77777777" w:rsidR="00C23B97" w:rsidRPr="00245598" w:rsidRDefault="00C23B97">
      <w:pPr>
        <w:spacing w:line="360" w:lineRule="auto"/>
        <w:jc w:val="both"/>
        <w:rPr>
          <w:rFonts w:ascii="Book Antiqua" w:hAnsi="Book Antiqua"/>
          <w:b/>
          <w:bCs/>
          <w:i/>
          <w:iCs/>
          <w:color w:val="000000" w:themeColor="text1"/>
        </w:rPr>
      </w:pPr>
      <w:r w:rsidRPr="00245598">
        <w:rPr>
          <w:rFonts w:ascii="Book Antiqua" w:hAnsi="Book Antiqua"/>
          <w:b/>
          <w:bCs/>
          <w:i/>
          <w:iCs/>
          <w:color w:val="000000" w:themeColor="text1"/>
        </w:rPr>
        <w:t>Data collection</w:t>
      </w:r>
    </w:p>
    <w:p w14:paraId="23B750CD" w14:textId="12AFDB82" w:rsidR="00C23B97" w:rsidRPr="00245598" w:rsidRDefault="00C23B97">
      <w:pPr>
        <w:spacing w:line="360" w:lineRule="auto"/>
        <w:jc w:val="both"/>
        <w:rPr>
          <w:rFonts w:ascii="Book Antiqua" w:hAnsi="Book Antiqua"/>
          <w:color w:val="000000" w:themeColor="text1"/>
        </w:rPr>
      </w:pPr>
      <w:r w:rsidRPr="00245598">
        <w:rPr>
          <w:rFonts w:ascii="Book Antiqua" w:hAnsi="Book Antiqua"/>
          <w:color w:val="000000" w:themeColor="text1"/>
        </w:rPr>
        <w:t xml:space="preserve">On day 0 (D0), data on the following characteristics were collected: </w:t>
      </w:r>
      <w:r w:rsidR="00137B2E" w:rsidRPr="00245598">
        <w:rPr>
          <w:rFonts w:ascii="Book Antiqua" w:hAnsi="Book Antiqua"/>
          <w:color w:val="000000" w:themeColor="text1"/>
        </w:rPr>
        <w:t>A</w:t>
      </w:r>
      <w:r w:rsidRPr="00245598">
        <w:rPr>
          <w:rFonts w:ascii="Book Antiqua" w:hAnsi="Book Antiqua"/>
          <w:color w:val="000000" w:themeColor="text1"/>
        </w:rPr>
        <w:t>ge, gender, ethnicity, body mass index (BMI), potentially nephrotoxic treatments (</w:t>
      </w:r>
      <w:r w:rsidRPr="00245598">
        <w:rPr>
          <w:rFonts w:ascii="Book Antiqua" w:hAnsi="Book Antiqua"/>
          <w:i/>
          <w:iCs/>
          <w:color w:val="000000" w:themeColor="text1"/>
        </w:rPr>
        <w:t>e.g.</w:t>
      </w:r>
      <w:r w:rsidRPr="00245598">
        <w:rPr>
          <w:rFonts w:ascii="Book Antiqua" w:hAnsi="Book Antiqua"/>
          <w:color w:val="000000" w:themeColor="text1"/>
        </w:rPr>
        <w:t xml:space="preserve">, diuretics, non-steroidal anti-inflammatory drugs), prior anti-HBV treatment, viral load, and fibrosis stage. On D0 and then every </w:t>
      </w:r>
      <w:r w:rsidR="00D54399" w:rsidRPr="00245598">
        <w:rPr>
          <w:rFonts w:ascii="Book Antiqua" w:hAnsi="Book Antiqua"/>
          <w:color w:val="000000" w:themeColor="text1"/>
        </w:rPr>
        <w:t xml:space="preserve">3 </w:t>
      </w:r>
      <w:proofErr w:type="spellStart"/>
      <w:r w:rsidR="00D54399" w:rsidRPr="00245598">
        <w:rPr>
          <w:rFonts w:ascii="Book Antiqua" w:hAnsi="Book Antiqua"/>
          <w:color w:val="000000" w:themeColor="text1"/>
        </w:rPr>
        <w:t>mo</w:t>
      </w:r>
      <w:proofErr w:type="spellEnd"/>
      <w:r w:rsidRPr="00245598">
        <w:rPr>
          <w:rFonts w:ascii="Book Antiqua" w:hAnsi="Book Antiqua"/>
          <w:color w:val="000000" w:themeColor="text1"/>
        </w:rPr>
        <w:t xml:space="preserve"> thereafter until month 24 (M24), the eGFR, phosphatemia, </w:t>
      </w:r>
      <w:r w:rsidR="00D54399" w:rsidRPr="00245598">
        <w:rPr>
          <w:rFonts w:ascii="Book Antiqua" w:hAnsi="Book Antiqua"/>
          <w:color w:val="000000" w:themeColor="text1"/>
        </w:rPr>
        <w:t>25-hydroxyvitamin D3 [</w:t>
      </w:r>
      <w:r w:rsidRPr="00245598">
        <w:rPr>
          <w:rFonts w:ascii="Book Antiqua" w:hAnsi="Book Antiqua"/>
          <w:color w:val="000000" w:themeColor="text1"/>
        </w:rPr>
        <w:t>25(OH)D3</w:t>
      </w:r>
      <w:r w:rsidR="00D54399" w:rsidRPr="00245598">
        <w:rPr>
          <w:rFonts w:ascii="Book Antiqua" w:hAnsi="Book Antiqua"/>
          <w:color w:val="000000" w:themeColor="text1"/>
        </w:rPr>
        <w:t>]</w:t>
      </w:r>
      <w:r w:rsidRPr="00245598">
        <w:rPr>
          <w:rFonts w:ascii="Book Antiqua" w:hAnsi="Book Antiqua"/>
          <w:color w:val="000000" w:themeColor="text1"/>
        </w:rPr>
        <w:t xml:space="preserve"> vitamin levels, and dipstick test levels were measured. The TmPi/eGFR and FEUA were calculated. Patients with serum 25(OH)D3 vitamin &lt; 30 ng/mL were supplemented systemically.</w:t>
      </w:r>
    </w:p>
    <w:p w14:paraId="4AA39294" w14:textId="77777777" w:rsidR="00C23B97" w:rsidRPr="00245598" w:rsidRDefault="00C23B97">
      <w:pPr>
        <w:spacing w:line="360" w:lineRule="auto"/>
        <w:ind w:firstLineChars="200" w:firstLine="480"/>
        <w:jc w:val="both"/>
        <w:rPr>
          <w:rFonts w:ascii="Book Antiqua" w:hAnsi="Book Antiqua"/>
          <w:color w:val="000000" w:themeColor="text1"/>
        </w:rPr>
      </w:pPr>
      <w:r w:rsidRPr="00245598">
        <w:rPr>
          <w:rFonts w:ascii="Book Antiqua" w:hAnsi="Book Antiqua"/>
          <w:color w:val="000000" w:themeColor="text1"/>
        </w:rPr>
        <w:t>The monitoring visits were planned according to the patients’ usual follow-up appointments. Treatment choices and any modifications made during the study complied with the recommendations made by the European Association for the Study of the Liver in 2012</w:t>
      </w:r>
      <w:r w:rsidRPr="00245598">
        <w:rPr>
          <w:rFonts w:ascii="Book Antiqua" w:hAnsi="Book Antiqua"/>
          <w:color w:val="000000" w:themeColor="text1"/>
          <w:vertAlign w:val="superscript"/>
        </w:rPr>
        <w:t>[15]</w:t>
      </w:r>
      <w:r w:rsidRPr="00245598">
        <w:rPr>
          <w:rFonts w:ascii="Book Antiqua" w:hAnsi="Book Antiqua"/>
          <w:color w:val="000000" w:themeColor="text1"/>
        </w:rPr>
        <w:t>.</w:t>
      </w:r>
    </w:p>
    <w:p w14:paraId="003B03E6" w14:textId="77777777" w:rsidR="00C23B97" w:rsidRPr="00245598" w:rsidRDefault="00C23B97">
      <w:pPr>
        <w:spacing w:line="360" w:lineRule="auto"/>
        <w:jc w:val="both"/>
        <w:rPr>
          <w:rFonts w:ascii="Book Antiqua" w:hAnsi="Book Antiqua"/>
          <w:color w:val="000000" w:themeColor="text1"/>
        </w:rPr>
      </w:pPr>
    </w:p>
    <w:p w14:paraId="731130A5" w14:textId="77777777" w:rsidR="00C23B97" w:rsidRPr="00245598" w:rsidRDefault="00C23B97">
      <w:pPr>
        <w:spacing w:line="360" w:lineRule="auto"/>
        <w:jc w:val="both"/>
        <w:rPr>
          <w:rFonts w:ascii="Book Antiqua" w:hAnsi="Book Antiqua"/>
          <w:b/>
          <w:bCs/>
          <w:i/>
          <w:iCs/>
          <w:color w:val="000000" w:themeColor="text1"/>
        </w:rPr>
      </w:pPr>
      <w:r w:rsidRPr="00245598">
        <w:rPr>
          <w:rFonts w:ascii="Book Antiqua" w:hAnsi="Book Antiqua"/>
          <w:b/>
          <w:bCs/>
          <w:i/>
          <w:iCs/>
          <w:color w:val="000000" w:themeColor="text1"/>
        </w:rPr>
        <w:lastRenderedPageBreak/>
        <w:t>TmPi/eGFR and FEUA calculations</w:t>
      </w:r>
    </w:p>
    <w:p w14:paraId="75841C95" w14:textId="1341D36C" w:rsidR="00C23B97" w:rsidRPr="00245598" w:rsidRDefault="00C23B97">
      <w:pPr>
        <w:spacing w:line="360" w:lineRule="auto"/>
        <w:jc w:val="both"/>
        <w:rPr>
          <w:rFonts w:ascii="Book Antiqua" w:hAnsi="Book Antiqua"/>
          <w:color w:val="000000" w:themeColor="text1"/>
        </w:rPr>
      </w:pPr>
      <w:r w:rsidRPr="00245598">
        <w:rPr>
          <w:rFonts w:ascii="Book Antiqua" w:hAnsi="Book Antiqua"/>
          <w:color w:val="000000" w:themeColor="text1"/>
        </w:rPr>
        <w:t xml:space="preserve">The main objective of this study was to determine </w:t>
      </w:r>
      <w:r w:rsidRPr="00245598">
        <w:rPr>
          <w:rFonts w:ascii="Book Antiqua" w:hAnsi="Book Antiqua"/>
          <w:bCs/>
          <w:color w:val="000000" w:themeColor="text1"/>
        </w:rPr>
        <w:t>the prevalence of SPT at M24</w:t>
      </w:r>
      <w:r w:rsidRPr="00245598">
        <w:rPr>
          <w:rFonts w:ascii="Book Antiqua" w:hAnsi="Book Antiqua"/>
          <w:color w:val="000000" w:themeColor="text1"/>
        </w:rPr>
        <w:t xml:space="preserve"> in the three groups. SPT was defined as a TmPi/eGFR below 0.8 mmo</w:t>
      </w:r>
      <w:r w:rsidR="001308BB" w:rsidRPr="00245598">
        <w:rPr>
          <w:rFonts w:ascii="Book Antiqua" w:hAnsi="Book Antiqua"/>
          <w:color w:val="000000" w:themeColor="text1"/>
        </w:rPr>
        <w:t>L</w:t>
      </w:r>
      <w:r w:rsidRPr="00245598">
        <w:rPr>
          <w:rFonts w:ascii="Book Antiqua" w:hAnsi="Book Antiqua"/>
          <w:color w:val="000000" w:themeColor="text1"/>
        </w:rPr>
        <w:t xml:space="preserve">/L and/or FEUA above 10%. </w:t>
      </w:r>
    </w:p>
    <w:p w14:paraId="684964E8" w14:textId="7F84D78D" w:rsidR="00C23B97" w:rsidRPr="00245598" w:rsidRDefault="00C23B97">
      <w:pPr>
        <w:spacing w:line="360" w:lineRule="auto"/>
        <w:ind w:firstLineChars="200" w:firstLine="480"/>
        <w:jc w:val="both"/>
        <w:rPr>
          <w:rFonts w:ascii="Book Antiqua" w:hAnsi="Book Antiqua"/>
          <w:color w:val="000000" w:themeColor="text1"/>
        </w:rPr>
      </w:pPr>
      <w:r w:rsidRPr="00245598">
        <w:rPr>
          <w:rFonts w:ascii="Book Antiqua" w:hAnsi="Book Antiqua"/>
          <w:color w:val="000000" w:themeColor="text1"/>
        </w:rPr>
        <w:t>TmPi/eGFR was estimated according to Bijvoet’s diagram and included serum and urine phosphate and creatinine measured from fasting morning blood and urine samples. The eGFR was estimated with a simplified Modification of Diet in Renal Disease formula. FEUA was calculated as follows: [(</w:t>
      </w:r>
      <w:r w:rsidR="00474502" w:rsidRPr="00245598">
        <w:rPr>
          <w:rFonts w:ascii="Book Antiqua" w:hAnsi="Book Antiqua"/>
          <w:color w:val="000000" w:themeColor="text1"/>
        </w:rPr>
        <w:t>u</w:t>
      </w:r>
      <w:r w:rsidRPr="00245598">
        <w:rPr>
          <w:rFonts w:ascii="Book Antiqua" w:hAnsi="Book Antiqua"/>
          <w:color w:val="000000" w:themeColor="text1"/>
        </w:rPr>
        <w:t>rine uric acid × serum creatinine)</w:t>
      </w:r>
      <w:proofErr w:type="gramStart"/>
      <w:r w:rsidR="00137B2E" w:rsidRPr="00245598">
        <w:rPr>
          <w:rFonts w:ascii="Book Antiqua" w:hAnsi="Book Antiqua"/>
          <w:color w:val="000000" w:themeColor="text1"/>
        </w:rPr>
        <w:t>/</w:t>
      </w:r>
      <w:r w:rsidRPr="00245598">
        <w:rPr>
          <w:rFonts w:ascii="Book Antiqua" w:hAnsi="Book Antiqua"/>
          <w:color w:val="000000" w:themeColor="text1"/>
        </w:rPr>
        <w:t>(</w:t>
      </w:r>
      <w:proofErr w:type="gramEnd"/>
      <w:r w:rsidRPr="00245598">
        <w:rPr>
          <w:rFonts w:ascii="Book Antiqua" w:hAnsi="Book Antiqua"/>
          <w:color w:val="000000" w:themeColor="text1"/>
        </w:rPr>
        <w:t>serum uric acid x urine creatinine)] × 100%. If data at inclusion (M0) and M24 were missing, M3 and M21 data were used, respectively.</w:t>
      </w:r>
    </w:p>
    <w:p w14:paraId="62B0FDF5" w14:textId="77777777" w:rsidR="00C23B97" w:rsidRPr="00245598" w:rsidRDefault="00C23B97">
      <w:pPr>
        <w:spacing w:line="360" w:lineRule="auto"/>
        <w:jc w:val="both"/>
        <w:rPr>
          <w:rFonts w:ascii="Book Antiqua" w:hAnsi="Book Antiqua"/>
          <w:color w:val="000000" w:themeColor="text1"/>
        </w:rPr>
      </w:pPr>
    </w:p>
    <w:p w14:paraId="3B0B8C80" w14:textId="77777777" w:rsidR="00C23B97" w:rsidRPr="00245598" w:rsidRDefault="00C23B97">
      <w:pPr>
        <w:spacing w:line="360" w:lineRule="auto"/>
        <w:jc w:val="both"/>
        <w:rPr>
          <w:rFonts w:ascii="Book Antiqua" w:hAnsi="Book Antiqua"/>
          <w:b/>
          <w:bCs/>
          <w:i/>
          <w:iCs/>
          <w:color w:val="000000" w:themeColor="text1"/>
        </w:rPr>
      </w:pPr>
      <w:r w:rsidRPr="00245598">
        <w:rPr>
          <w:rFonts w:ascii="Book Antiqua" w:hAnsi="Book Antiqua"/>
          <w:b/>
          <w:bCs/>
          <w:i/>
          <w:iCs/>
          <w:color w:val="000000" w:themeColor="text1"/>
        </w:rPr>
        <w:t xml:space="preserve">Prevalence and incidence data </w:t>
      </w:r>
    </w:p>
    <w:p w14:paraId="4519E4F0" w14:textId="77777777" w:rsidR="00C23B97" w:rsidRPr="00245598" w:rsidRDefault="00C23B97">
      <w:pPr>
        <w:spacing w:line="360" w:lineRule="auto"/>
        <w:jc w:val="both"/>
        <w:rPr>
          <w:rFonts w:ascii="Book Antiqua" w:hAnsi="Book Antiqua"/>
          <w:color w:val="000000" w:themeColor="text1"/>
        </w:rPr>
      </w:pPr>
      <w:r w:rsidRPr="00245598">
        <w:rPr>
          <w:rFonts w:ascii="Book Antiqua" w:hAnsi="Book Antiqua"/>
          <w:color w:val="000000" w:themeColor="text1"/>
        </w:rPr>
        <w:t xml:space="preserve">The prevalence of SPT resulting from anti-HBV treatment prior to inclusion, if any, was retrospectively described. </w:t>
      </w:r>
    </w:p>
    <w:p w14:paraId="0D70AE3F" w14:textId="04916A57" w:rsidR="00C23B97" w:rsidRPr="00245598" w:rsidRDefault="00C23B97">
      <w:pPr>
        <w:spacing w:line="360" w:lineRule="auto"/>
        <w:ind w:firstLineChars="200" w:firstLine="480"/>
        <w:jc w:val="both"/>
        <w:rPr>
          <w:rFonts w:ascii="Book Antiqua" w:hAnsi="Book Antiqua"/>
          <w:color w:val="000000" w:themeColor="text1"/>
        </w:rPr>
      </w:pPr>
      <w:r w:rsidRPr="00245598">
        <w:rPr>
          <w:rFonts w:ascii="Book Antiqua" w:hAnsi="Book Antiqua"/>
          <w:color w:val="000000" w:themeColor="text1"/>
        </w:rPr>
        <w:t>At M24, the prevalence of eGFR &lt; 50 mL/min/1.73 m</w:t>
      </w:r>
      <w:r w:rsidRPr="00245598">
        <w:rPr>
          <w:rFonts w:ascii="Book Antiqua" w:hAnsi="Book Antiqua"/>
          <w:color w:val="000000" w:themeColor="text1"/>
          <w:vertAlign w:val="superscript"/>
        </w:rPr>
        <w:t>2</w:t>
      </w:r>
      <w:r w:rsidRPr="00245598">
        <w:rPr>
          <w:rFonts w:ascii="Book Antiqua" w:hAnsi="Book Antiqua"/>
          <w:color w:val="000000" w:themeColor="text1"/>
        </w:rPr>
        <w:t xml:space="preserve"> or serum phosphate &lt; 0.48 mmo</w:t>
      </w:r>
      <w:r w:rsidR="001308BB" w:rsidRPr="00245598">
        <w:rPr>
          <w:rFonts w:ascii="Book Antiqua" w:hAnsi="Book Antiqua"/>
          <w:color w:val="000000" w:themeColor="text1"/>
        </w:rPr>
        <w:t>L</w:t>
      </w:r>
      <w:r w:rsidRPr="00245598">
        <w:rPr>
          <w:rFonts w:ascii="Book Antiqua" w:hAnsi="Book Antiqua"/>
          <w:color w:val="000000" w:themeColor="text1"/>
        </w:rPr>
        <w:t>/L and the cumulative incidence of SPT were calculated. High urine calcium defined by a urine calcium/blood calcium ratio above 0.5 mmo</w:t>
      </w:r>
      <w:r w:rsidR="001308BB" w:rsidRPr="00245598">
        <w:rPr>
          <w:rFonts w:ascii="Book Antiqua" w:hAnsi="Book Antiqua"/>
          <w:color w:val="000000" w:themeColor="text1"/>
        </w:rPr>
        <w:t>L</w:t>
      </w:r>
      <w:r w:rsidRPr="00245598">
        <w:rPr>
          <w:rFonts w:ascii="Book Antiqua" w:hAnsi="Book Antiqua"/>
          <w:color w:val="000000" w:themeColor="text1"/>
        </w:rPr>
        <w:t>/mmo</w:t>
      </w:r>
      <w:r w:rsidR="001308BB" w:rsidRPr="00245598">
        <w:rPr>
          <w:rFonts w:ascii="Book Antiqua" w:hAnsi="Book Antiqua"/>
          <w:color w:val="000000" w:themeColor="text1"/>
        </w:rPr>
        <w:t>L</w:t>
      </w:r>
      <w:r w:rsidRPr="00245598">
        <w:rPr>
          <w:rFonts w:ascii="Book Antiqua" w:hAnsi="Book Antiqua"/>
          <w:color w:val="000000" w:themeColor="text1"/>
        </w:rPr>
        <w:t xml:space="preserve"> was used as a marker of bone involvement at M24.</w:t>
      </w:r>
    </w:p>
    <w:p w14:paraId="36D95F4F" w14:textId="77777777" w:rsidR="00C23B97" w:rsidRPr="00245598" w:rsidRDefault="00C23B97">
      <w:pPr>
        <w:spacing w:line="360" w:lineRule="auto"/>
        <w:jc w:val="both"/>
        <w:rPr>
          <w:rFonts w:ascii="Book Antiqua" w:hAnsi="Book Antiqua"/>
          <w:color w:val="000000" w:themeColor="text1"/>
        </w:rPr>
      </w:pPr>
    </w:p>
    <w:p w14:paraId="4C2A2AEC" w14:textId="77777777" w:rsidR="00C23B97" w:rsidRPr="00245598" w:rsidRDefault="00C23B97">
      <w:pPr>
        <w:autoSpaceDE w:val="0"/>
        <w:autoSpaceDN w:val="0"/>
        <w:adjustRightInd w:val="0"/>
        <w:spacing w:line="360" w:lineRule="auto"/>
        <w:jc w:val="both"/>
        <w:rPr>
          <w:rFonts w:ascii="Book Antiqua" w:hAnsi="Book Antiqua" w:cs="AGaramond-BoldItalic"/>
          <w:b/>
          <w:i/>
          <w:iCs/>
          <w:color w:val="000000" w:themeColor="text1"/>
        </w:rPr>
      </w:pPr>
      <w:r w:rsidRPr="00245598">
        <w:rPr>
          <w:rFonts w:ascii="Book Antiqua" w:hAnsi="Book Antiqua" w:cs="AGaramond-BoldItalic"/>
          <w:b/>
          <w:i/>
          <w:iCs/>
          <w:color w:val="000000" w:themeColor="text1"/>
        </w:rPr>
        <w:t>Ethical considerations</w:t>
      </w:r>
    </w:p>
    <w:p w14:paraId="08BD75AE" w14:textId="77777777" w:rsidR="00C23B97" w:rsidRPr="00245598" w:rsidRDefault="00C23B97">
      <w:pPr>
        <w:autoSpaceDE w:val="0"/>
        <w:autoSpaceDN w:val="0"/>
        <w:adjustRightInd w:val="0"/>
        <w:spacing w:line="360" w:lineRule="auto"/>
        <w:jc w:val="both"/>
        <w:rPr>
          <w:rFonts w:ascii="Book Antiqua" w:hAnsi="Book Antiqua"/>
          <w:color w:val="000000" w:themeColor="text1"/>
        </w:rPr>
      </w:pPr>
      <w:r w:rsidRPr="00245598">
        <w:rPr>
          <w:rFonts w:ascii="Book Antiqua" w:hAnsi="Book Antiqua" w:cs="Minion-Regular"/>
          <w:color w:val="000000" w:themeColor="text1"/>
        </w:rPr>
        <w:t>The study was conducted in full compliance with the European and French guidelines of good clinical practices. It was approved by the French Institutional Review Board and the Independent Ethics Committee of Limoges. The study is registered</w:t>
      </w:r>
      <w:r w:rsidRPr="00245598">
        <w:rPr>
          <w:rFonts w:ascii="Book Antiqua" w:hAnsi="Book Antiqua" w:cs="Arial"/>
          <w:color w:val="000000" w:themeColor="text1"/>
        </w:rPr>
        <w:t xml:space="preserve"> with ClinicalTrials.gov </w:t>
      </w:r>
      <w:r w:rsidRPr="00245598">
        <w:rPr>
          <w:rFonts w:ascii="Book Antiqua" w:hAnsi="Book Antiqua" w:cs="Minion-Regular"/>
          <w:color w:val="000000" w:themeColor="text1"/>
        </w:rPr>
        <w:t>under the number</w:t>
      </w:r>
      <w:r w:rsidRPr="00245598">
        <w:rPr>
          <w:rFonts w:ascii="Book Antiqua" w:hAnsi="Book Antiqua"/>
          <w:color w:val="000000" w:themeColor="text1"/>
        </w:rPr>
        <w:t xml:space="preserve"> NCT01500265</w:t>
      </w:r>
      <w:r w:rsidRPr="00245598">
        <w:rPr>
          <w:rFonts w:ascii="Book Antiqua" w:hAnsi="Book Antiqua" w:cs="Minion-Regular"/>
          <w:color w:val="000000" w:themeColor="text1"/>
        </w:rPr>
        <w:t xml:space="preserve">. Eligible patients were given information describing the study in readily understandable language detailing the investigational nature of the study. </w:t>
      </w:r>
      <w:r w:rsidRPr="00245598">
        <w:rPr>
          <w:rFonts w:ascii="Book Antiqua" w:eastAsia="AGaramond-Regular" w:hAnsi="Book Antiqua" w:cs="AGaramond-Regular"/>
          <w:color w:val="000000" w:themeColor="text1"/>
        </w:rPr>
        <w:t>All patients gave written informed consent for study participation and blood sample conservation.</w:t>
      </w:r>
    </w:p>
    <w:p w14:paraId="675854CC" w14:textId="77777777" w:rsidR="00C23B97" w:rsidRPr="00245598" w:rsidRDefault="00C23B97">
      <w:pPr>
        <w:spacing w:line="360" w:lineRule="auto"/>
        <w:jc w:val="both"/>
        <w:rPr>
          <w:rFonts w:ascii="Book Antiqua" w:hAnsi="Book Antiqua"/>
          <w:color w:val="000000" w:themeColor="text1"/>
        </w:rPr>
      </w:pPr>
      <w:r w:rsidRPr="00245598">
        <w:rPr>
          <w:rFonts w:ascii="Book Antiqua" w:hAnsi="Book Antiqua"/>
          <w:color w:val="000000" w:themeColor="text1"/>
        </w:rPr>
        <w:t xml:space="preserve">  </w:t>
      </w:r>
    </w:p>
    <w:p w14:paraId="42BA05FA" w14:textId="77777777" w:rsidR="00C23B97" w:rsidRPr="00245598" w:rsidRDefault="00C23B97">
      <w:pPr>
        <w:spacing w:line="360" w:lineRule="auto"/>
        <w:jc w:val="both"/>
        <w:rPr>
          <w:rFonts w:ascii="Book Antiqua" w:hAnsi="Book Antiqua"/>
          <w:b/>
          <w:bCs/>
          <w:i/>
          <w:color w:val="000000" w:themeColor="text1"/>
        </w:rPr>
      </w:pPr>
      <w:r w:rsidRPr="00245598">
        <w:rPr>
          <w:rFonts w:ascii="Book Antiqua" w:hAnsi="Book Antiqua"/>
          <w:b/>
          <w:bCs/>
          <w:i/>
          <w:color w:val="000000" w:themeColor="text1"/>
        </w:rPr>
        <w:t>Statistical methods</w:t>
      </w:r>
    </w:p>
    <w:p w14:paraId="758428ED" w14:textId="50495838" w:rsidR="00C23B97" w:rsidRPr="00245598" w:rsidRDefault="00C23B97">
      <w:pPr>
        <w:spacing w:line="360" w:lineRule="auto"/>
        <w:jc w:val="both"/>
        <w:rPr>
          <w:rFonts w:ascii="Book Antiqua" w:hAnsi="Book Antiqua"/>
          <w:color w:val="000000" w:themeColor="text1"/>
        </w:rPr>
      </w:pPr>
      <w:r w:rsidRPr="00245598">
        <w:rPr>
          <w:rFonts w:ascii="Book Antiqua" w:hAnsi="Book Antiqua"/>
          <w:color w:val="000000" w:themeColor="text1"/>
        </w:rPr>
        <w:lastRenderedPageBreak/>
        <w:t>Statistical analyses were performed by the Methodological, Epidemiological, and Biostatistical Research Center of the University Hospital of Limoges, using SAS V9.3® software (SAS Institute; Cary, NC, U</w:t>
      </w:r>
      <w:r w:rsidR="00CD51C2" w:rsidRPr="00245598">
        <w:rPr>
          <w:rFonts w:ascii="Book Antiqua" w:hAnsi="Book Antiqua"/>
          <w:color w:val="000000" w:themeColor="text1"/>
        </w:rPr>
        <w:t>nited States</w:t>
      </w:r>
      <w:r w:rsidRPr="00245598">
        <w:rPr>
          <w:rFonts w:ascii="Book Antiqua" w:hAnsi="Book Antiqua"/>
          <w:color w:val="000000" w:themeColor="text1"/>
        </w:rPr>
        <w:t xml:space="preserve">). The package </w:t>
      </w:r>
      <w:r w:rsidRPr="00245598">
        <w:rPr>
          <w:rFonts w:ascii="Book Antiqua" w:hAnsi="Book Antiqua"/>
          <w:i/>
          <w:iCs/>
          <w:color w:val="000000" w:themeColor="text1"/>
        </w:rPr>
        <w:t xml:space="preserve">survival </w:t>
      </w:r>
      <w:r w:rsidRPr="00245598">
        <w:rPr>
          <w:rFonts w:ascii="Book Antiqua" w:hAnsi="Book Antiqua"/>
          <w:color w:val="000000" w:themeColor="text1"/>
        </w:rPr>
        <w:t>in R v3.2.2 software was used for survival analyses.</w:t>
      </w:r>
    </w:p>
    <w:p w14:paraId="6A22F585" w14:textId="77777777" w:rsidR="00C23B97" w:rsidRPr="00245598" w:rsidRDefault="00C23B97">
      <w:pPr>
        <w:spacing w:line="360" w:lineRule="auto"/>
        <w:ind w:firstLineChars="200" w:firstLine="480"/>
        <w:jc w:val="both"/>
        <w:rPr>
          <w:rFonts w:ascii="Book Antiqua" w:hAnsi="Book Antiqua"/>
          <w:color w:val="000000" w:themeColor="text1"/>
        </w:rPr>
      </w:pPr>
      <w:r w:rsidRPr="00245598">
        <w:rPr>
          <w:rFonts w:ascii="Book Antiqua" w:hAnsi="Book Antiqua"/>
          <w:color w:val="000000" w:themeColor="text1"/>
        </w:rPr>
        <w:t xml:space="preserve">Quantitative variables were described using means and standard deviations, medians, and interquartile ranges. Analyses of variance or Kruskal-Wallis tests were used to compare treatment-naïve patients to ETV- and TDF-treated patients. </w:t>
      </w:r>
    </w:p>
    <w:p w14:paraId="5A31DF09" w14:textId="77777777" w:rsidR="00C23B97" w:rsidRPr="00245598" w:rsidRDefault="00C23B97">
      <w:pPr>
        <w:spacing w:line="360" w:lineRule="auto"/>
        <w:ind w:firstLineChars="200" w:firstLine="480"/>
        <w:jc w:val="both"/>
        <w:rPr>
          <w:rFonts w:ascii="Book Antiqua" w:hAnsi="Book Antiqua"/>
          <w:color w:val="000000" w:themeColor="text1"/>
        </w:rPr>
      </w:pPr>
      <w:r w:rsidRPr="00245598">
        <w:rPr>
          <w:rFonts w:ascii="Book Antiqua" w:hAnsi="Book Antiqua"/>
          <w:color w:val="000000" w:themeColor="text1"/>
        </w:rPr>
        <w:t xml:space="preserve">Qualitative variables were described using the numbers and percentages associated with their 95% confidence intervals (CIs). They were compared using chi-squared or Fisher’s exact tests. These tests were also performed to compare the prevalence of SPT at inclusion between previously-treated patients and patients who had not received any antiviral treatment before inclusion, as well as the M24 prevalence of renal insufficiency, hypophosphatemia, or hypercalciura, depending on the occurrence of SPT during follow-up. </w:t>
      </w:r>
    </w:p>
    <w:p w14:paraId="46462F71" w14:textId="51A25F3C" w:rsidR="00C23B97" w:rsidRPr="00245598" w:rsidRDefault="00C23B97">
      <w:pPr>
        <w:spacing w:line="360" w:lineRule="auto"/>
        <w:ind w:firstLineChars="200" w:firstLine="480"/>
        <w:jc w:val="both"/>
        <w:rPr>
          <w:rFonts w:ascii="Book Antiqua" w:hAnsi="Book Antiqua"/>
          <w:color w:val="000000" w:themeColor="text1"/>
        </w:rPr>
      </w:pPr>
      <w:r w:rsidRPr="00245598">
        <w:rPr>
          <w:rFonts w:ascii="Book Antiqua" w:hAnsi="Book Antiqua"/>
          <w:i/>
          <w:iCs/>
          <w:color w:val="000000" w:themeColor="text1"/>
        </w:rPr>
        <w:t>P</w:t>
      </w:r>
      <w:r w:rsidR="00F30AB6" w:rsidRPr="00245598">
        <w:rPr>
          <w:rFonts w:ascii="Book Antiqua" w:hAnsi="Book Antiqua"/>
          <w:color w:val="000000" w:themeColor="text1"/>
        </w:rPr>
        <w:t xml:space="preserve"> </w:t>
      </w:r>
      <w:r w:rsidRPr="00245598">
        <w:rPr>
          <w:rFonts w:ascii="Book Antiqua" w:hAnsi="Book Antiqua"/>
          <w:color w:val="000000" w:themeColor="text1"/>
        </w:rPr>
        <w:t>values less than 0.05 were considered to denote significance except for the main objective</w:t>
      </w:r>
      <w:r w:rsidR="00ED0883" w:rsidRPr="00245598">
        <w:rPr>
          <w:rFonts w:ascii="Book Antiqua" w:hAnsi="Book Antiqua"/>
          <w:color w:val="000000" w:themeColor="text1"/>
        </w:rPr>
        <w:t xml:space="preserve"> and the d</w:t>
      </w:r>
      <w:r w:rsidRPr="00245598">
        <w:rPr>
          <w:rFonts w:ascii="Book Antiqua" w:hAnsi="Book Antiqua"/>
          <w:color w:val="000000" w:themeColor="text1"/>
        </w:rPr>
        <w:t>ifferences between the naïve group and each treatment group at inclusion</w:t>
      </w:r>
      <w:r w:rsidR="006F0783" w:rsidRPr="00245598">
        <w:rPr>
          <w:rFonts w:ascii="Book Antiqua" w:hAnsi="Book Antiqua"/>
          <w:color w:val="000000" w:themeColor="text1"/>
        </w:rPr>
        <w:t>,</w:t>
      </w:r>
      <w:r w:rsidRPr="00245598">
        <w:rPr>
          <w:rFonts w:ascii="Book Antiqua" w:hAnsi="Book Antiqua"/>
          <w:color w:val="000000" w:themeColor="text1"/>
        </w:rPr>
        <w:t xml:space="preserve"> </w:t>
      </w:r>
      <w:r w:rsidR="00ED0883" w:rsidRPr="00245598">
        <w:rPr>
          <w:rFonts w:ascii="Book Antiqua" w:hAnsi="Book Antiqua"/>
          <w:color w:val="000000" w:themeColor="text1"/>
        </w:rPr>
        <w:t xml:space="preserve">which </w:t>
      </w:r>
      <w:r w:rsidRPr="00245598">
        <w:rPr>
          <w:rFonts w:ascii="Book Antiqua" w:hAnsi="Book Antiqua"/>
          <w:color w:val="000000" w:themeColor="text1"/>
        </w:rPr>
        <w:t xml:space="preserve">were deemed significant at </w:t>
      </w:r>
      <w:r w:rsidRPr="00245598">
        <w:rPr>
          <w:rFonts w:ascii="Book Antiqua" w:hAnsi="Book Antiqua"/>
          <w:i/>
          <w:iCs/>
          <w:color w:val="000000" w:themeColor="text1"/>
        </w:rPr>
        <w:t>P</w:t>
      </w:r>
      <w:r w:rsidRPr="00245598">
        <w:rPr>
          <w:rFonts w:ascii="Book Antiqua" w:hAnsi="Book Antiqua"/>
          <w:color w:val="000000" w:themeColor="text1"/>
        </w:rPr>
        <w:t xml:space="preserve"> &lt; 0.025. </w:t>
      </w:r>
    </w:p>
    <w:p w14:paraId="0D96CD5B" w14:textId="1A15DF1E" w:rsidR="00C23B97" w:rsidRPr="00245598" w:rsidRDefault="00C23B97">
      <w:pPr>
        <w:spacing w:line="360" w:lineRule="auto"/>
        <w:ind w:firstLineChars="200" w:firstLine="480"/>
        <w:jc w:val="both"/>
        <w:rPr>
          <w:rFonts w:ascii="Book Antiqua" w:hAnsi="Book Antiqua"/>
          <w:color w:val="000000" w:themeColor="text1"/>
        </w:rPr>
      </w:pPr>
      <w:r w:rsidRPr="00245598">
        <w:rPr>
          <w:rFonts w:ascii="Book Antiqua" w:hAnsi="Book Antiqua"/>
          <w:color w:val="000000" w:themeColor="text1"/>
        </w:rPr>
        <w:t>The SPT-free survival curves of the different groups over the 24 mo were plotted using the Kaplan</w:t>
      </w:r>
      <w:r w:rsidR="00F30AB6" w:rsidRPr="00245598">
        <w:rPr>
          <w:rFonts w:ascii="Book Antiqua" w:eastAsia="宋体" w:hAnsi="Book Antiqua" w:cs="宋体"/>
          <w:color w:val="000000" w:themeColor="text1"/>
          <w:lang w:eastAsia="zh-CN"/>
        </w:rPr>
        <w:t>-</w:t>
      </w:r>
      <w:r w:rsidRPr="00245598">
        <w:rPr>
          <w:rFonts w:ascii="Book Antiqua" w:hAnsi="Book Antiqua"/>
          <w:color w:val="000000" w:themeColor="text1"/>
        </w:rPr>
        <w:t xml:space="preserve">Meier method. The log-rank test was used to compare survival curves between the groups. </w:t>
      </w:r>
    </w:p>
    <w:p w14:paraId="6D50E496" w14:textId="264E2772" w:rsidR="00C23B97" w:rsidRPr="00245598" w:rsidRDefault="00C23B97">
      <w:pPr>
        <w:spacing w:line="360" w:lineRule="auto"/>
        <w:ind w:firstLineChars="200" w:firstLine="480"/>
        <w:jc w:val="both"/>
        <w:rPr>
          <w:rFonts w:ascii="Book Antiqua" w:hAnsi="Book Antiqua"/>
          <w:color w:val="000000" w:themeColor="text1"/>
        </w:rPr>
      </w:pPr>
      <w:r w:rsidRPr="00245598">
        <w:rPr>
          <w:rFonts w:ascii="Book Antiqua" w:hAnsi="Book Antiqua"/>
          <w:color w:val="000000" w:themeColor="text1"/>
        </w:rPr>
        <w:t>Analyses were adjusted to account for potential confounders. For the main analysis (</w:t>
      </w:r>
      <w:r w:rsidRPr="00245598">
        <w:rPr>
          <w:rFonts w:ascii="Book Antiqua" w:hAnsi="Book Antiqua"/>
          <w:i/>
          <w:iCs/>
          <w:color w:val="000000" w:themeColor="text1"/>
        </w:rPr>
        <w:t>i.e.</w:t>
      </w:r>
      <w:r w:rsidRPr="00245598">
        <w:rPr>
          <w:rFonts w:ascii="Book Antiqua" w:hAnsi="Book Antiqua"/>
          <w:color w:val="000000" w:themeColor="text1"/>
        </w:rPr>
        <w:t xml:space="preserve"> prevalence of SPT at M24) a multivariate binary logistic regression model was used, whereas a Cox model was used for the cumulative incidence of SPT. The models included variables associated with </w:t>
      </w:r>
      <w:r w:rsidRPr="00245598">
        <w:rPr>
          <w:rFonts w:ascii="Book Antiqua" w:hAnsi="Book Antiqua"/>
          <w:i/>
          <w:iCs/>
          <w:color w:val="000000" w:themeColor="text1"/>
        </w:rPr>
        <w:t>P</w:t>
      </w:r>
      <w:r w:rsidR="00CD51C2" w:rsidRPr="00245598">
        <w:rPr>
          <w:rFonts w:ascii="Book Antiqua" w:hAnsi="Book Antiqua"/>
          <w:color w:val="000000" w:themeColor="text1"/>
        </w:rPr>
        <w:t xml:space="preserve"> </w:t>
      </w:r>
      <w:r w:rsidRPr="00245598">
        <w:rPr>
          <w:rFonts w:ascii="Book Antiqua" w:hAnsi="Book Antiqua"/>
          <w:color w:val="000000" w:themeColor="text1"/>
        </w:rPr>
        <w:t xml:space="preserve">values of less than 0.2 in the univariate analysis; variables were strained using the step-by-step method. </w:t>
      </w:r>
    </w:p>
    <w:p w14:paraId="535E481A" w14:textId="77777777" w:rsidR="00C23B97" w:rsidRPr="00245598" w:rsidRDefault="00C23B97">
      <w:pPr>
        <w:spacing w:line="360" w:lineRule="auto"/>
        <w:jc w:val="both"/>
        <w:rPr>
          <w:rFonts w:ascii="Book Antiqua" w:hAnsi="Book Antiqua"/>
          <w:color w:val="000000" w:themeColor="text1"/>
        </w:rPr>
      </w:pPr>
    </w:p>
    <w:p w14:paraId="6300DFCA" w14:textId="77777777" w:rsidR="00C23B97" w:rsidRPr="00245598" w:rsidRDefault="00C23B97">
      <w:pPr>
        <w:spacing w:line="360" w:lineRule="auto"/>
        <w:jc w:val="both"/>
        <w:rPr>
          <w:rFonts w:ascii="Book Antiqua" w:hAnsi="Book Antiqua"/>
          <w:b/>
          <w:bCs/>
          <w:color w:val="000000" w:themeColor="text1"/>
          <w:u w:val="single"/>
        </w:rPr>
      </w:pPr>
      <w:r w:rsidRPr="00245598">
        <w:rPr>
          <w:rFonts w:ascii="Book Antiqua" w:hAnsi="Book Antiqua"/>
          <w:b/>
          <w:bCs/>
          <w:color w:val="000000" w:themeColor="text1"/>
          <w:u w:val="single"/>
        </w:rPr>
        <w:t>RESULTS</w:t>
      </w:r>
    </w:p>
    <w:p w14:paraId="33963A20" w14:textId="77777777" w:rsidR="00C23B97" w:rsidRPr="00245598" w:rsidRDefault="00C23B97">
      <w:pPr>
        <w:spacing w:line="360" w:lineRule="auto"/>
        <w:jc w:val="both"/>
        <w:rPr>
          <w:rFonts w:ascii="Book Antiqua" w:hAnsi="Book Antiqua"/>
          <w:b/>
          <w:bCs/>
          <w:i/>
          <w:iCs/>
          <w:color w:val="000000" w:themeColor="text1"/>
        </w:rPr>
      </w:pPr>
      <w:r w:rsidRPr="00245598">
        <w:rPr>
          <w:rFonts w:ascii="Book Antiqua" w:hAnsi="Book Antiqua"/>
          <w:b/>
          <w:bCs/>
          <w:i/>
          <w:iCs/>
          <w:color w:val="000000" w:themeColor="text1"/>
        </w:rPr>
        <w:t>Study population</w:t>
      </w:r>
    </w:p>
    <w:p w14:paraId="2540AD20" w14:textId="3648C8BD" w:rsidR="00C23B97" w:rsidRPr="00245598" w:rsidRDefault="00C23B97">
      <w:pPr>
        <w:spacing w:line="360" w:lineRule="auto"/>
        <w:jc w:val="both"/>
        <w:rPr>
          <w:rFonts w:ascii="Book Antiqua" w:hAnsi="Book Antiqua"/>
          <w:color w:val="000000" w:themeColor="text1"/>
        </w:rPr>
      </w:pPr>
      <w:r w:rsidRPr="00245598">
        <w:rPr>
          <w:rFonts w:ascii="Book Antiqua" w:hAnsi="Book Antiqua"/>
          <w:color w:val="000000" w:themeColor="text1"/>
        </w:rPr>
        <w:lastRenderedPageBreak/>
        <w:t xml:space="preserve">Data were obtained from 214 patients between December 2011 and December 2013; 18 were excluded from the analysis (Figure 1). The final dataset was compiled from 196 patients: 116 in the naïve group, 38 in the ETV group, and 42 in the TDF group. </w:t>
      </w:r>
    </w:p>
    <w:p w14:paraId="3D3E73C0" w14:textId="77777777" w:rsidR="00C23B97" w:rsidRPr="00245598" w:rsidRDefault="00C23B97">
      <w:pPr>
        <w:spacing w:line="360" w:lineRule="auto"/>
        <w:jc w:val="both"/>
        <w:rPr>
          <w:rFonts w:ascii="Book Antiqua" w:hAnsi="Book Antiqua"/>
          <w:color w:val="000000" w:themeColor="text1"/>
        </w:rPr>
      </w:pPr>
    </w:p>
    <w:p w14:paraId="1FEB5F66" w14:textId="77777777" w:rsidR="00C23B97" w:rsidRPr="00245598" w:rsidRDefault="00C23B97">
      <w:pPr>
        <w:spacing w:line="360" w:lineRule="auto"/>
        <w:jc w:val="both"/>
        <w:rPr>
          <w:rFonts w:ascii="Book Antiqua" w:hAnsi="Book Antiqua"/>
          <w:b/>
          <w:i/>
          <w:iCs/>
          <w:color w:val="000000" w:themeColor="text1"/>
        </w:rPr>
      </w:pPr>
      <w:r w:rsidRPr="00245598">
        <w:rPr>
          <w:rFonts w:ascii="Book Antiqua" w:hAnsi="Book Antiqua"/>
          <w:b/>
          <w:i/>
          <w:iCs/>
          <w:color w:val="000000" w:themeColor="text1"/>
        </w:rPr>
        <w:t xml:space="preserve">Prevalence of SPT at baseline with or without previous HBV treatment </w:t>
      </w:r>
    </w:p>
    <w:p w14:paraId="23B78CF2" w14:textId="67C50B7A" w:rsidR="00C23B97" w:rsidRPr="00245598" w:rsidRDefault="00C23B97">
      <w:pPr>
        <w:spacing w:line="360" w:lineRule="auto"/>
        <w:jc w:val="both"/>
        <w:rPr>
          <w:rFonts w:ascii="Book Antiqua" w:hAnsi="Book Antiqua"/>
          <w:color w:val="000000" w:themeColor="text1"/>
        </w:rPr>
      </w:pPr>
      <w:r w:rsidRPr="00245598">
        <w:rPr>
          <w:rFonts w:ascii="Book Antiqua" w:hAnsi="Book Antiqua"/>
          <w:color w:val="000000" w:themeColor="text1"/>
        </w:rPr>
        <w:t xml:space="preserve">Of the 196 patients analyzed, 22 (11.2%) had received previous HBV therapy: </w:t>
      </w:r>
      <w:r w:rsidR="00474502" w:rsidRPr="00245598">
        <w:rPr>
          <w:rFonts w:ascii="Book Antiqua" w:hAnsi="Book Antiqua"/>
          <w:color w:val="000000" w:themeColor="text1"/>
        </w:rPr>
        <w:t>A</w:t>
      </w:r>
      <w:r w:rsidRPr="00245598">
        <w:rPr>
          <w:rFonts w:ascii="Book Antiqua" w:hAnsi="Book Antiqua"/>
          <w:color w:val="000000" w:themeColor="text1"/>
        </w:rPr>
        <w:t>defovir (36%), lamivudine (27.3%), or both (36.7%). At baseline, 40 patients (22.5%) presented with SPT. SPT prevalence did not differ significantly between previously</w:t>
      </w:r>
      <w:r w:rsidR="00C575DA" w:rsidRPr="00245598">
        <w:rPr>
          <w:rFonts w:ascii="Book Antiqua" w:hAnsi="Book Antiqua"/>
          <w:color w:val="000000" w:themeColor="text1"/>
        </w:rPr>
        <w:t xml:space="preserve"> </w:t>
      </w:r>
      <w:r w:rsidRPr="00245598">
        <w:rPr>
          <w:rFonts w:ascii="Book Antiqua" w:hAnsi="Book Antiqua"/>
          <w:color w:val="000000" w:themeColor="text1"/>
        </w:rPr>
        <w:t xml:space="preserve">treated and untreated patients (21.5% </w:t>
      </w:r>
      <w:r w:rsidRPr="00245598">
        <w:rPr>
          <w:rFonts w:ascii="Book Antiqua" w:hAnsi="Book Antiqua"/>
          <w:i/>
          <w:iCs/>
          <w:color w:val="000000" w:themeColor="text1"/>
        </w:rPr>
        <w:t>vs</w:t>
      </w:r>
      <w:r w:rsidRPr="00245598">
        <w:rPr>
          <w:rFonts w:ascii="Book Antiqua" w:hAnsi="Book Antiqua"/>
          <w:color w:val="000000" w:themeColor="text1"/>
        </w:rPr>
        <w:t xml:space="preserve"> 30%, respectively; </w:t>
      </w:r>
      <w:r w:rsidRPr="00245598">
        <w:rPr>
          <w:rFonts w:ascii="Book Antiqua" w:hAnsi="Book Antiqua"/>
          <w:i/>
          <w:iCs/>
          <w:color w:val="000000" w:themeColor="text1"/>
        </w:rPr>
        <w:t>P</w:t>
      </w:r>
      <w:r w:rsidRPr="00245598">
        <w:rPr>
          <w:rFonts w:ascii="Book Antiqua" w:hAnsi="Book Antiqua"/>
          <w:color w:val="000000" w:themeColor="text1"/>
        </w:rPr>
        <w:t xml:space="preserve"> = 0.40). </w:t>
      </w:r>
    </w:p>
    <w:p w14:paraId="53A6DEEE" w14:textId="77777777" w:rsidR="00C23B97" w:rsidRPr="00245598" w:rsidRDefault="00C23B97">
      <w:pPr>
        <w:spacing w:line="360" w:lineRule="auto"/>
        <w:jc w:val="both"/>
        <w:rPr>
          <w:rFonts w:ascii="Book Antiqua" w:hAnsi="Book Antiqua"/>
          <w:color w:val="000000" w:themeColor="text1"/>
        </w:rPr>
      </w:pPr>
    </w:p>
    <w:p w14:paraId="43C32115" w14:textId="77777777" w:rsidR="00C23B97" w:rsidRPr="00245598" w:rsidRDefault="00C23B97">
      <w:pPr>
        <w:spacing w:line="360" w:lineRule="auto"/>
        <w:jc w:val="both"/>
        <w:rPr>
          <w:rFonts w:ascii="Book Antiqua" w:hAnsi="Book Antiqua"/>
          <w:b/>
          <w:color w:val="000000" w:themeColor="text1"/>
        </w:rPr>
      </w:pPr>
      <w:r w:rsidRPr="00245598">
        <w:rPr>
          <w:rFonts w:ascii="Book Antiqua" w:hAnsi="Book Antiqua"/>
          <w:b/>
          <w:i/>
          <w:iCs/>
          <w:color w:val="000000" w:themeColor="text1"/>
        </w:rPr>
        <w:t>SPT prevalence at M24</w:t>
      </w:r>
    </w:p>
    <w:p w14:paraId="2FD90D8E" w14:textId="0A6A07B5" w:rsidR="00C23B97" w:rsidRPr="00245598" w:rsidRDefault="00C23B97">
      <w:pPr>
        <w:spacing w:line="360" w:lineRule="auto"/>
        <w:jc w:val="both"/>
        <w:rPr>
          <w:rFonts w:ascii="Book Antiqua" w:hAnsi="Book Antiqua"/>
          <w:color w:val="000000" w:themeColor="text1"/>
        </w:rPr>
      </w:pPr>
      <w:r w:rsidRPr="00245598">
        <w:rPr>
          <w:rFonts w:ascii="Book Antiqua" w:hAnsi="Book Antiqua"/>
          <w:color w:val="000000" w:themeColor="text1"/>
        </w:rPr>
        <w:t>Forty patients met the criteria of SPT at D0. Eighteen patients with incomplete biological reports, including at D0, were further excluded. The final number of patients with no SPT at D0 was 138:</w:t>
      </w:r>
      <w:r w:rsidR="006F0783" w:rsidRPr="00245598">
        <w:rPr>
          <w:rFonts w:ascii="Book Antiqua" w:hAnsi="Book Antiqua"/>
          <w:color w:val="000000" w:themeColor="text1"/>
        </w:rPr>
        <w:t xml:space="preserve"> </w:t>
      </w:r>
      <w:r w:rsidRPr="00245598">
        <w:rPr>
          <w:rFonts w:ascii="Book Antiqua" w:hAnsi="Book Antiqua"/>
          <w:color w:val="000000" w:themeColor="text1"/>
        </w:rPr>
        <w:t>84 in the naïve group, 28 in the ETV group, and 26 in the TDF group (Figure 1). Clinical and para-clinical characteristics of these 138 patients at inclusion are summarized in Tables 1 and 2.</w:t>
      </w:r>
    </w:p>
    <w:p w14:paraId="34E9BBC8" w14:textId="4F38D5A2" w:rsidR="00C23B97" w:rsidRPr="00245598" w:rsidRDefault="00C23B97">
      <w:pPr>
        <w:autoSpaceDE w:val="0"/>
        <w:autoSpaceDN w:val="0"/>
        <w:adjustRightInd w:val="0"/>
        <w:spacing w:line="360" w:lineRule="auto"/>
        <w:ind w:firstLineChars="200" w:firstLine="480"/>
        <w:jc w:val="both"/>
        <w:rPr>
          <w:rFonts w:ascii="Book Antiqua" w:hAnsi="Book Antiqua"/>
          <w:color w:val="000000" w:themeColor="text1"/>
        </w:rPr>
      </w:pPr>
      <w:r w:rsidRPr="00245598">
        <w:rPr>
          <w:rFonts w:ascii="Book Antiqua" w:hAnsi="Book Antiqua"/>
          <w:color w:val="000000" w:themeColor="text1"/>
        </w:rPr>
        <w:t>Statistically significant differences in chronic hepatitis (</w:t>
      </w:r>
      <w:r w:rsidRPr="00245598">
        <w:rPr>
          <w:rFonts w:ascii="Book Antiqua" w:hAnsi="Book Antiqua"/>
          <w:i/>
          <w:iCs/>
          <w:color w:val="000000" w:themeColor="text1"/>
        </w:rPr>
        <w:t>vs</w:t>
      </w:r>
      <w:r w:rsidRPr="00245598">
        <w:rPr>
          <w:rFonts w:ascii="Book Antiqua" w:hAnsi="Book Antiqua"/>
          <w:color w:val="000000" w:themeColor="text1"/>
        </w:rPr>
        <w:t xml:space="preserve"> infection), HBsAg-status, viremia levels, alanine aminotransferase (ALT) levels, and fibrosis stage were found between the treated groups (ETV or TDF) </w:t>
      </w:r>
      <w:r w:rsidRPr="00245598">
        <w:rPr>
          <w:rFonts w:ascii="Book Antiqua" w:hAnsi="Book Antiqua"/>
          <w:i/>
          <w:iCs/>
          <w:color w:val="000000" w:themeColor="text1"/>
        </w:rPr>
        <w:t>vs</w:t>
      </w:r>
      <w:r w:rsidRPr="00245598">
        <w:rPr>
          <w:rFonts w:ascii="Book Antiqua" w:hAnsi="Book Antiqua"/>
          <w:color w:val="000000" w:themeColor="text1"/>
        </w:rPr>
        <w:t xml:space="preserve"> the naïve group. Some unexpected differences were also observed. Compared to the naïve group, the ETV group contained more Asian patients, and patients in the TDF group had lower BMIs. These differences were accounted for in the adjusted analyses. </w:t>
      </w:r>
    </w:p>
    <w:p w14:paraId="05D5AE2B" w14:textId="5C0AC924" w:rsidR="00C23B97" w:rsidRPr="00245598" w:rsidRDefault="00C23B97">
      <w:pPr>
        <w:autoSpaceDE w:val="0"/>
        <w:autoSpaceDN w:val="0"/>
        <w:adjustRightInd w:val="0"/>
        <w:spacing w:line="360" w:lineRule="auto"/>
        <w:ind w:firstLineChars="200" w:firstLine="480"/>
        <w:jc w:val="both"/>
        <w:rPr>
          <w:rFonts w:ascii="Book Antiqua" w:hAnsi="Book Antiqua"/>
          <w:color w:val="000000" w:themeColor="text1"/>
        </w:rPr>
      </w:pPr>
      <w:r w:rsidRPr="00245598">
        <w:rPr>
          <w:rFonts w:ascii="Book Antiqua" w:hAnsi="Book Antiqua"/>
          <w:color w:val="000000" w:themeColor="text1"/>
        </w:rPr>
        <w:t>Of the 138 patients without SPT at baseline, 45 had missing data at M24 and had to be excluded from the analysis of SPT prevalence at that timepoint. Therefore, the main analysis included data from 93 patients, with 62 in the naïve group, 19 in the ETV group, and 12 in the TDF group. Accordingly, the overall prevalence of SPT at M24 was 31.2% (</w:t>
      </w:r>
      <w:r w:rsidRPr="00245598">
        <w:rPr>
          <w:rFonts w:ascii="Book Antiqua" w:hAnsi="Book Antiqua"/>
          <w:i/>
          <w:iCs/>
          <w:color w:val="000000" w:themeColor="text1"/>
        </w:rPr>
        <w:t>n</w:t>
      </w:r>
      <w:r w:rsidRPr="00245598">
        <w:rPr>
          <w:rFonts w:ascii="Book Antiqua" w:hAnsi="Book Antiqua"/>
          <w:color w:val="000000" w:themeColor="text1"/>
        </w:rPr>
        <w:t xml:space="preserve"> = 29/93; 95%CI: 22.0–41.6). Among the three treatment groups, the prevalence was 30.7% (</w:t>
      </w:r>
      <w:r w:rsidRPr="00245598">
        <w:rPr>
          <w:rFonts w:ascii="Book Antiqua" w:hAnsi="Book Antiqua"/>
          <w:i/>
          <w:iCs/>
          <w:color w:val="000000" w:themeColor="text1"/>
        </w:rPr>
        <w:t>n</w:t>
      </w:r>
      <w:r w:rsidRPr="00245598">
        <w:rPr>
          <w:rFonts w:ascii="Book Antiqua" w:hAnsi="Book Antiqua"/>
          <w:color w:val="000000" w:themeColor="text1"/>
        </w:rPr>
        <w:t xml:space="preserve"> = 19/62; 95%CI: 19.6–43.7) in the naïve group, 21.1% (</w:t>
      </w:r>
      <w:r w:rsidRPr="00245598">
        <w:rPr>
          <w:rFonts w:ascii="Book Antiqua" w:hAnsi="Book Antiqua"/>
          <w:i/>
          <w:iCs/>
          <w:color w:val="000000" w:themeColor="text1"/>
        </w:rPr>
        <w:t>n</w:t>
      </w:r>
      <w:r w:rsidRPr="00245598">
        <w:rPr>
          <w:rFonts w:ascii="Book Antiqua" w:hAnsi="Book Antiqua"/>
          <w:color w:val="000000" w:themeColor="text1"/>
        </w:rPr>
        <w:t xml:space="preserve"> = 4/19; 95%CI: 6.1–45.6) in the ETV group, and 50% (</w:t>
      </w:r>
      <w:r w:rsidRPr="00245598">
        <w:rPr>
          <w:rFonts w:ascii="Book Antiqua" w:hAnsi="Book Antiqua"/>
          <w:i/>
          <w:iCs/>
          <w:color w:val="000000" w:themeColor="text1"/>
        </w:rPr>
        <w:t>n</w:t>
      </w:r>
      <w:r w:rsidRPr="00245598">
        <w:rPr>
          <w:rFonts w:ascii="Book Antiqua" w:hAnsi="Book Antiqua"/>
          <w:color w:val="000000" w:themeColor="text1"/>
        </w:rPr>
        <w:t xml:space="preserve"> = 6/12; 95%CI: 21.1–78.9) in the TDF group. No statistically </w:t>
      </w:r>
      <w:r w:rsidRPr="00245598">
        <w:rPr>
          <w:rFonts w:ascii="Book Antiqua" w:hAnsi="Book Antiqua"/>
          <w:color w:val="000000" w:themeColor="text1"/>
        </w:rPr>
        <w:lastRenderedPageBreak/>
        <w:t xml:space="preserve">significant differences were observed between the naïve group </w:t>
      </w:r>
      <w:r w:rsidRPr="00245598">
        <w:rPr>
          <w:rFonts w:ascii="Book Antiqua" w:hAnsi="Book Antiqua"/>
          <w:iCs/>
          <w:color w:val="000000" w:themeColor="text1"/>
        </w:rPr>
        <w:t>and</w:t>
      </w:r>
      <w:r w:rsidRPr="00245598">
        <w:rPr>
          <w:rFonts w:ascii="Book Antiqua" w:hAnsi="Book Antiqua"/>
          <w:color w:val="000000" w:themeColor="text1"/>
        </w:rPr>
        <w:t xml:space="preserve"> the ETV (</w:t>
      </w:r>
      <w:r w:rsidRPr="00245598">
        <w:rPr>
          <w:rFonts w:ascii="Book Antiqua" w:hAnsi="Book Antiqua"/>
          <w:i/>
          <w:iCs/>
          <w:color w:val="000000" w:themeColor="text1"/>
        </w:rPr>
        <w:t>P</w:t>
      </w:r>
      <w:r w:rsidRPr="00245598">
        <w:rPr>
          <w:rFonts w:ascii="Book Antiqua" w:hAnsi="Book Antiqua"/>
          <w:color w:val="000000" w:themeColor="text1"/>
        </w:rPr>
        <w:t xml:space="preserve"> = 0.42) or the TDF group (</w:t>
      </w:r>
      <w:r w:rsidRPr="00245598">
        <w:rPr>
          <w:rFonts w:ascii="Book Antiqua" w:hAnsi="Book Antiqua"/>
          <w:i/>
          <w:iCs/>
          <w:color w:val="000000" w:themeColor="text1"/>
        </w:rPr>
        <w:t>P</w:t>
      </w:r>
      <w:r w:rsidRPr="00245598">
        <w:rPr>
          <w:rFonts w:ascii="Book Antiqua" w:hAnsi="Book Antiqua"/>
          <w:color w:val="000000" w:themeColor="text1"/>
        </w:rPr>
        <w:t xml:space="preserve"> = 0.42) (Table 3). </w:t>
      </w:r>
    </w:p>
    <w:p w14:paraId="7187582C" w14:textId="77777777" w:rsidR="00C23B97" w:rsidRPr="00245598" w:rsidRDefault="00C23B97">
      <w:pPr>
        <w:spacing w:line="360" w:lineRule="auto"/>
        <w:jc w:val="both"/>
        <w:rPr>
          <w:rFonts w:ascii="Book Antiqua" w:hAnsi="Book Antiqua"/>
          <w:color w:val="000000" w:themeColor="text1"/>
        </w:rPr>
      </w:pPr>
    </w:p>
    <w:p w14:paraId="704E84CC" w14:textId="62DD4B88" w:rsidR="00C23B97" w:rsidRPr="00245598" w:rsidRDefault="00C23B97">
      <w:pPr>
        <w:spacing w:line="360" w:lineRule="auto"/>
        <w:jc w:val="both"/>
        <w:rPr>
          <w:rFonts w:ascii="Book Antiqua" w:hAnsi="Book Antiqua"/>
          <w:b/>
          <w:bCs/>
          <w:color w:val="000000" w:themeColor="text1"/>
        </w:rPr>
      </w:pPr>
      <w:r w:rsidRPr="00245598">
        <w:rPr>
          <w:rFonts w:ascii="Book Antiqua" w:hAnsi="Book Antiqua"/>
          <w:b/>
          <w:bCs/>
          <w:i/>
          <w:color w:val="000000" w:themeColor="text1"/>
        </w:rPr>
        <w:t>Adjusted analyses</w:t>
      </w:r>
      <w:r w:rsidRPr="00245598">
        <w:rPr>
          <w:rFonts w:ascii="Book Antiqua" w:hAnsi="Book Antiqua"/>
          <w:b/>
          <w:bCs/>
          <w:i/>
          <w:iCs/>
          <w:color w:val="000000" w:themeColor="text1"/>
        </w:rPr>
        <w:t xml:space="preserve"> of SPT prevalence at 24</w:t>
      </w:r>
      <w:r w:rsidR="00A56D2B" w:rsidRPr="00245598">
        <w:rPr>
          <w:rFonts w:ascii="Book Antiqua" w:hAnsi="Book Antiqua"/>
          <w:b/>
          <w:bCs/>
          <w:i/>
          <w:iCs/>
          <w:color w:val="000000" w:themeColor="text1"/>
        </w:rPr>
        <w:t xml:space="preserve"> mo</w:t>
      </w:r>
    </w:p>
    <w:p w14:paraId="0F4966D8" w14:textId="2A761368" w:rsidR="00C23B97" w:rsidRPr="00245598" w:rsidRDefault="00C23B97">
      <w:pPr>
        <w:spacing w:line="360" w:lineRule="auto"/>
        <w:jc w:val="both"/>
        <w:rPr>
          <w:rFonts w:ascii="Book Antiqua" w:hAnsi="Book Antiqua"/>
          <w:color w:val="000000" w:themeColor="text1"/>
        </w:rPr>
      </w:pPr>
      <w:r w:rsidRPr="00245598">
        <w:rPr>
          <w:rFonts w:ascii="Book Antiqua" w:hAnsi="Book Antiqua"/>
          <w:color w:val="000000" w:themeColor="text1"/>
        </w:rPr>
        <w:t xml:space="preserve">Potential confounding factors among the different groups were assayed at baseline: </w:t>
      </w:r>
      <w:r w:rsidR="00C31D08" w:rsidRPr="00245598">
        <w:rPr>
          <w:rFonts w:ascii="Book Antiqua" w:hAnsi="Book Antiqua"/>
          <w:color w:val="000000" w:themeColor="text1"/>
        </w:rPr>
        <w:t>A</w:t>
      </w:r>
      <w:r w:rsidRPr="00245598">
        <w:rPr>
          <w:rFonts w:ascii="Book Antiqua" w:hAnsi="Book Antiqua"/>
          <w:color w:val="000000" w:themeColor="text1"/>
        </w:rPr>
        <w:t xml:space="preserve">ge, gender, ethnicity, virological status, diabetes, hypertension, potential nephrotoxic drugs, </w:t>
      </w:r>
      <w:r w:rsidRPr="00245598">
        <w:rPr>
          <w:rFonts w:ascii="Book Antiqua" w:hAnsi="Book Antiqua"/>
        </w:rPr>
        <w:t xml:space="preserve">ALT </w:t>
      </w:r>
      <w:r w:rsidRPr="00245598">
        <w:rPr>
          <w:rFonts w:ascii="Book Antiqua" w:hAnsi="Book Antiqua"/>
          <w:color w:val="000000" w:themeColor="text1"/>
        </w:rPr>
        <w:t xml:space="preserve">and viremia levels, fibrosis stage, and previous HBV therapy (Table 1). Ethnicity was not included in the model because no Asian patient had SPT at M24. Table 4 contains the results of the univariate models given as raw odds ratios (ORs). Variables associated with </w:t>
      </w:r>
      <w:r w:rsidRPr="00245598">
        <w:rPr>
          <w:rFonts w:ascii="Book Antiqua" w:hAnsi="Book Antiqua"/>
          <w:i/>
          <w:iCs/>
          <w:color w:val="000000" w:themeColor="text1"/>
        </w:rPr>
        <w:t>P</w:t>
      </w:r>
      <w:r w:rsidR="004E2DA3" w:rsidRPr="00245598">
        <w:rPr>
          <w:rFonts w:ascii="Book Antiqua" w:hAnsi="Book Antiqua"/>
          <w:color w:val="000000" w:themeColor="text1"/>
        </w:rPr>
        <w:t xml:space="preserve"> </w:t>
      </w:r>
      <w:r w:rsidRPr="00245598">
        <w:rPr>
          <w:rFonts w:ascii="Book Antiqua" w:hAnsi="Book Antiqua"/>
          <w:color w:val="000000" w:themeColor="text1"/>
        </w:rPr>
        <w:t xml:space="preserve">values of less than 0.20 (gender and age) were tested in a multivariate model comparing ETV and naïve groups. The effect of group on the presence or absence of SPT at M24 was not affected by any adjustment variables (OR = 0.60; 95%CI: 0.17–2.06; </w:t>
      </w:r>
      <w:r w:rsidRPr="00245598">
        <w:rPr>
          <w:rFonts w:ascii="Book Antiqua" w:hAnsi="Book Antiqua"/>
          <w:i/>
          <w:iCs/>
          <w:color w:val="000000" w:themeColor="text1"/>
        </w:rPr>
        <w:t>P</w:t>
      </w:r>
      <w:r w:rsidRPr="00245598">
        <w:rPr>
          <w:rFonts w:ascii="Book Antiqua" w:hAnsi="Book Antiqua"/>
          <w:color w:val="000000" w:themeColor="text1"/>
        </w:rPr>
        <w:t xml:space="preserve"> = 0.42). No multivariate model could be built to compare TDF and naïve groups (no variable had a </w:t>
      </w:r>
      <w:r w:rsidRPr="00245598">
        <w:rPr>
          <w:rFonts w:ascii="Book Antiqua" w:hAnsi="Book Antiqua"/>
          <w:i/>
          <w:iCs/>
          <w:color w:val="000000" w:themeColor="text1"/>
        </w:rPr>
        <w:t>P</w:t>
      </w:r>
      <w:r w:rsidR="00C31D08" w:rsidRPr="00245598">
        <w:rPr>
          <w:rFonts w:ascii="Book Antiqua" w:hAnsi="Book Antiqua"/>
          <w:color w:val="000000" w:themeColor="text1"/>
        </w:rPr>
        <w:t xml:space="preserve"> </w:t>
      </w:r>
      <w:r w:rsidRPr="00245598">
        <w:rPr>
          <w:rFonts w:ascii="Book Antiqua" w:hAnsi="Book Antiqua"/>
          <w:color w:val="000000" w:themeColor="text1"/>
        </w:rPr>
        <w:t xml:space="preserve">value less than 0.20). </w:t>
      </w:r>
    </w:p>
    <w:p w14:paraId="0DFB3321" w14:textId="73690E45" w:rsidR="00C23B97" w:rsidRPr="00245598" w:rsidRDefault="00C23B97">
      <w:pPr>
        <w:spacing w:line="360" w:lineRule="auto"/>
        <w:ind w:firstLineChars="200" w:firstLine="480"/>
        <w:jc w:val="both"/>
        <w:rPr>
          <w:rFonts w:ascii="Book Antiqua" w:hAnsi="Book Antiqua"/>
          <w:color w:val="000000" w:themeColor="text1"/>
        </w:rPr>
      </w:pPr>
      <w:r w:rsidRPr="00245598">
        <w:rPr>
          <w:rFonts w:ascii="Book Antiqua" w:hAnsi="Book Antiqua"/>
          <w:color w:val="000000" w:themeColor="text1"/>
        </w:rPr>
        <w:t>Finally, group membership had no significant effect on the presence or absence of SPT at M24 (OR = 2.26; 95%CI: 0.65</w:t>
      </w:r>
      <w:r w:rsidR="00E36494" w:rsidRPr="00245598">
        <w:rPr>
          <w:rFonts w:ascii="Book Antiqua" w:hAnsi="Book Antiqua"/>
          <w:color w:val="000000" w:themeColor="text1"/>
        </w:rPr>
        <w:t>-</w:t>
      </w:r>
      <w:r w:rsidRPr="00245598">
        <w:rPr>
          <w:rFonts w:ascii="Book Antiqua" w:hAnsi="Book Antiqua"/>
          <w:color w:val="000000" w:themeColor="text1"/>
        </w:rPr>
        <w:t xml:space="preserve">7.93; </w:t>
      </w:r>
      <w:r w:rsidRPr="00245598">
        <w:rPr>
          <w:rFonts w:ascii="Book Antiqua" w:hAnsi="Book Antiqua"/>
          <w:i/>
          <w:iCs/>
          <w:color w:val="000000" w:themeColor="text1"/>
        </w:rPr>
        <w:t>P</w:t>
      </w:r>
      <w:r w:rsidRPr="00245598">
        <w:rPr>
          <w:rFonts w:ascii="Book Antiqua" w:hAnsi="Book Antiqua"/>
          <w:color w:val="000000" w:themeColor="text1"/>
        </w:rPr>
        <w:t xml:space="preserve"> = 0.20). </w:t>
      </w:r>
    </w:p>
    <w:p w14:paraId="78E5377A" w14:textId="77777777" w:rsidR="00C23B97" w:rsidRPr="00245598" w:rsidRDefault="00C23B97">
      <w:pPr>
        <w:spacing w:line="360" w:lineRule="auto"/>
        <w:jc w:val="both"/>
        <w:rPr>
          <w:rFonts w:ascii="Book Antiqua" w:hAnsi="Book Antiqua"/>
          <w:b/>
          <w:bCs/>
          <w:color w:val="000000" w:themeColor="text1"/>
        </w:rPr>
      </w:pPr>
    </w:p>
    <w:p w14:paraId="0C8E2FE5" w14:textId="0EC9ED2D" w:rsidR="00C23B97" w:rsidRPr="00245598" w:rsidRDefault="00C23B97">
      <w:pPr>
        <w:spacing w:line="360" w:lineRule="auto"/>
        <w:jc w:val="both"/>
        <w:rPr>
          <w:rFonts w:ascii="Book Antiqua" w:hAnsi="Book Antiqua"/>
          <w:b/>
          <w:i/>
          <w:iCs/>
          <w:color w:val="000000" w:themeColor="text1"/>
        </w:rPr>
      </w:pPr>
      <w:r w:rsidRPr="00245598">
        <w:rPr>
          <w:rFonts w:ascii="Book Antiqua" w:hAnsi="Book Antiqua"/>
          <w:b/>
          <w:i/>
          <w:iCs/>
          <w:color w:val="000000" w:themeColor="text1"/>
        </w:rPr>
        <w:t xml:space="preserve">Cumulative incidence of SPT over </w:t>
      </w:r>
      <w:r w:rsidR="00C31D08" w:rsidRPr="00245598">
        <w:rPr>
          <w:rFonts w:ascii="Book Antiqua" w:hAnsi="Book Antiqua"/>
          <w:b/>
          <w:i/>
          <w:iCs/>
          <w:color w:val="000000" w:themeColor="text1"/>
        </w:rPr>
        <w:t>24</w:t>
      </w:r>
      <w:r w:rsidR="00A56D2B" w:rsidRPr="00245598">
        <w:rPr>
          <w:rFonts w:ascii="Book Antiqua" w:hAnsi="Book Antiqua"/>
          <w:b/>
          <w:i/>
          <w:iCs/>
          <w:color w:val="000000" w:themeColor="text1"/>
        </w:rPr>
        <w:t xml:space="preserve"> mo</w:t>
      </w:r>
    </w:p>
    <w:p w14:paraId="45D01F4F" w14:textId="1DA2119F" w:rsidR="00C23B97" w:rsidRPr="00245598" w:rsidRDefault="00C23B97">
      <w:pPr>
        <w:spacing w:line="360" w:lineRule="auto"/>
        <w:ind w:firstLineChars="200" w:firstLine="480"/>
        <w:jc w:val="both"/>
        <w:rPr>
          <w:rFonts w:ascii="Book Antiqua" w:hAnsi="Book Antiqua"/>
          <w:color w:val="000000" w:themeColor="text1"/>
        </w:rPr>
      </w:pPr>
      <w:r w:rsidRPr="00245598">
        <w:rPr>
          <w:rFonts w:ascii="Book Antiqua" w:hAnsi="Book Antiqua"/>
          <w:color w:val="000000" w:themeColor="text1"/>
        </w:rPr>
        <w:t>The overall survival rate of SPT-free patients at M24 was 52.2% (95%CI: 38.3</w:t>
      </w:r>
      <w:r w:rsidR="00E36494" w:rsidRPr="00245598">
        <w:rPr>
          <w:rFonts w:ascii="Book Antiqua" w:hAnsi="Book Antiqua"/>
          <w:color w:val="000000" w:themeColor="text1"/>
        </w:rPr>
        <w:t>-</w:t>
      </w:r>
      <w:r w:rsidRPr="00245598">
        <w:rPr>
          <w:rFonts w:ascii="Book Antiqua" w:hAnsi="Book Antiqua"/>
          <w:color w:val="000000" w:themeColor="text1"/>
        </w:rPr>
        <w:t>71.2). Among the three groups, the survival rates were 57.6% (95%CI: 47.1</w:t>
      </w:r>
      <w:r w:rsidR="00E36494" w:rsidRPr="00245598">
        <w:rPr>
          <w:rFonts w:ascii="Book Antiqua" w:hAnsi="Book Antiqua"/>
          <w:color w:val="000000" w:themeColor="text1"/>
        </w:rPr>
        <w:t>-</w:t>
      </w:r>
      <w:r w:rsidRPr="00245598">
        <w:rPr>
          <w:rFonts w:ascii="Book Antiqua" w:hAnsi="Book Antiqua"/>
          <w:color w:val="000000" w:themeColor="text1"/>
        </w:rPr>
        <w:t>79.6) in the naïve group, 68.8% (95%CI: 38.1</w:t>
      </w:r>
      <w:r w:rsidR="00E36494" w:rsidRPr="00245598">
        <w:rPr>
          <w:rFonts w:ascii="Book Antiqua" w:hAnsi="Book Antiqua"/>
          <w:color w:val="000000" w:themeColor="text1"/>
        </w:rPr>
        <w:t>-</w:t>
      </w:r>
      <w:r w:rsidRPr="00245598">
        <w:rPr>
          <w:rFonts w:ascii="Book Antiqua" w:hAnsi="Book Antiqua"/>
          <w:color w:val="000000" w:themeColor="text1"/>
        </w:rPr>
        <w:t>100) in the ETV group, and 23.5% (95%CI: 5.3</w:t>
      </w:r>
      <w:r w:rsidR="00E36494" w:rsidRPr="00245598">
        <w:rPr>
          <w:rFonts w:ascii="Book Antiqua" w:hAnsi="Book Antiqua"/>
          <w:color w:val="000000" w:themeColor="text1"/>
        </w:rPr>
        <w:t>-</w:t>
      </w:r>
      <w:r w:rsidRPr="00245598">
        <w:rPr>
          <w:rFonts w:ascii="Book Antiqua" w:hAnsi="Book Antiqua"/>
          <w:color w:val="000000" w:themeColor="text1"/>
        </w:rPr>
        <w:t>100) in the TDF group.</w:t>
      </w:r>
    </w:p>
    <w:p w14:paraId="5C4DFF9A" w14:textId="091A8968" w:rsidR="00C23B97" w:rsidRPr="00245598" w:rsidRDefault="00C23B97">
      <w:pPr>
        <w:spacing w:line="360" w:lineRule="auto"/>
        <w:ind w:firstLineChars="200" w:firstLine="480"/>
        <w:jc w:val="both"/>
        <w:rPr>
          <w:rFonts w:ascii="Book Antiqua" w:hAnsi="Book Antiqua"/>
          <w:color w:val="000000" w:themeColor="text1"/>
        </w:rPr>
      </w:pPr>
      <w:r w:rsidRPr="00245598">
        <w:rPr>
          <w:rFonts w:ascii="Book Antiqua" w:hAnsi="Book Antiqua"/>
          <w:color w:val="000000" w:themeColor="text1"/>
        </w:rPr>
        <w:t xml:space="preserve">The median survival time, corresponding to the time during which more than 50% of the patients remained SPT-free, was analyzable only in the TDF group. The median survival time in this group was 5.9 mo. The occurrence of SPT in the TDF group differed significantly from that in the other two groups (log-rank test; </w:t>
      </w:r>
      <w:r w:rsidRPr="00245598">
        <w:rPr>
          <w:rFonts w:ascii="Book Antiqua" w:hAnsi="Book Antiqua"/>
          <w:i/>
          <w:iCs/>
          <w:color w:val="000000" w:themeColor="text1"/>
        </w:rPr>
        <w:t>P</w:t>
      </w:r>
      <w:r w:rsidRPr="00245598">
        <w:rPr>
          <w:rFonts w:ascii="Book Antiqua" w:hAnsi="Book Antiqua"/>
          <w:color w:val="000000" w:themeColor="text1"/>
        </w:rPr>
        <w:t xml:space="preserve"> = 0.0283; Figure 2).</w:t>
      </w:r>
    </w:p>
    <w:p w14:paraId="375391FC" w14:textId="77777777" w:rsidR="00C23B97" w:rsidRPr="00245598" w:rsidRDefault="00C23B97">
      <w:pPr>
        <w:spacing w:line="360" w:lineRule="auto"/>
        <w:jc w:val="both"/>
        <w:rPr>
          <w:rFonts w:ascii="Book Antiqua" w:hAnsi="Book Antiqua"/>
          <w:color w:val="000000" w:themeColor="text1"/>
        </w:rPr>
      </w:pPr>
    </w:p>
    <w:p w14:paraId="1C143EA0" w14:textId="2AFC8DA6" w:rsidR="00C23B97" w:rsidRPr="00245598" w:rsidRDefault="00C23B97">
      <w:pPr>
        <w:spacing w:line="360" w:lineRule="auto"/>
        <w:jc w:val="both"/>
        <w:rPr>
          <w:rFonts w:ascii="Book Antiqua" w:hAnsi="Book Antiqua"/>
          <w:b/>
          <w:bCs/>
          <w:i/>
          <w:iCs/>
          <w:color w:val="000000" w:themeColor="text1"/>
        </w:rPr>
      </w:pPr>
      <w:r w:rsidRPr="00245598">
        <w:rPr>
          <w:rFonts w:ascii="Book Antiqua" w:hAnsi="Book Antiqua"/>
          <w:b/>
          <w:bCs/>
          <w:i/>
          <w:color w:val="000000" w:themeColor="text1"/>
        </w:rPr>
        <w:t xml:space="preserve">Adjusted analysis of </w:t>
      </w:r>
      <w:r w:rsidRPr="00245598">
        <w:rPr>
          <w:rFonts w:ascii="Book Antiqua" w:hAnsi="Book Antiqua"/>
          <w:b/>
          <w:bCs/>
          <w:i/>
          <w:iCs/>
          <w:color w:val="000000" w:themeColor="text1"/>
        </w:rPr>
        <w:t xml:space="preserve">cumulative incidence of SPT over </w:t>
      </w:r>
      <w:r w:rsidR="00C31D08" w:rsidRPr="00245598">
        <w:rPr>
          <w:rFonts w:ascii="Book Antiqua" w:hAnsi="Book Antiqua"/>
          <w:b/>
          <w:i/>
          <w:iCs/>
          <w:color w:val="000000" w:themeColor="text1"/>
        </w:rPr>
        <w:t>24</w:t>
      </w:r>
      <w:r w:rsidR="00A56D2B" w:rsidRPr="00245598">
        <w:rPr>
          <w:rFonts w:ascii="Book Antiqua" w:hAnsi="Book Antiqua"/>
          <w:b/>
          <w:i/>
          <w:iCs/>
          <w:color w:val="000000" w:themeColor="text1"/>
        </w:rPr>
        <w:t xml:space="preserve"> mo</w:t>
      </w:r>
    </w:p>
    <w:p w14:paraId="4FB33DF1" w14:textId="6658F20B" w:rsidR="00C23B97" w:rsidRPr="00245598" w:rsidRDefault="00C23B97">
      <w:pPr>
        <w:spacing w:line="360" w:lineRule="auto"/>
        <w:jc w:val="both"/>
        <w:rPr>
          <w:rFonts w:ascii="Book Antiqua" w:hAnsi="Book Antiqua"/>
          <w:color w:val="000000" w:themeColor="text1"/>
        </w:rPr>
      </w:pPr>
      <w:r w:rsidRPr="00245598">
        <w:rPr>
          <w:rFonts w:ascii="Book Antiqua" w:hAnsi="Book Antiqua"/>
          <w:color w:val="000000" w:themeColor="text1"/>
        </w:rPr>
        <w:lastRenderedPageBreak/>
        <w:t xml:space="preserve">No multivariate analysis was conducted as no potential confounding factors had </w:t>
      </w:r>
      <w:r w:rsidRPr="00245598">
        <w:rPr>
          <w:rFonts w:ascii="Book Antiqua" w:hAnsi="Book Antiqua"/>
          <w:i/>
          <w:iCs/>
          <w:color w:val="000000" w:themeColor="text1"/>
        </w:rPr>
        <w:t>P</w:t>
      </w:r>
      <w:r w:rsidR="007A3A7B" w:rsidRPr="00245598">
        <w:rPr>
          <w:rFonts w:ascii="Book Antiqua" w:hAnsi="Book Antiqua"/>
          <w:color w:val="000000" w:themeColor="text1"/>
        </w:rPr>
        <w:t xml:space="preserve"> </w:t>
      </w:r>
      <w:r w:rsidRPr="00245598">
        <w:rPr>
          <w:rFonts w:ascii="Book Antiqua" w:hAnsi="Book Antiqua"/>
          <w:color w:val="000000" w:themeColor="text1"/>
        </w:rPr>
        <w:t>&lt; 0.20. The univariate model found no significant effects between ETV and naïve groups [hazard ratio (HR): 0.41</w:t>
      </w:r>
      <w:r w:rsidR="00C31D08" w:rsidRPr="00245598">
        <w:rPr>
          <w:rFonts w:ascii="Book Antiqua" w:hAnsi="Book Antiqua"/>
          <w:color w:val="000000" w:themeColor="text1"/>
        </w:rPr>
        <w:t>;</w:t>
      </w:r>
      <w:r w:rsidRPr="00245598">
        <w:rPr>
          <w:rFonts w:ascii="Book Antiqua" w:hAnsi="Book Antiqua"/>
          <w:color w:val="000000" w:themeColor="text1"/>
        </w:rPr>
        <w:t xml:space="preserve"> 95%CI: 0.09</w:t>
      </w:r>
      <w:r w:rsidR="00E36494" w:rsidRPr="00245598">
        <w:rPr>
          <w:rFonts w:ascii="Book Antiqua" w:hAnsi="Book Antiqua"/>
          <w:color w:val="000000" w:themeColor="text1"/>
        </w:rPr>
        <w:t>-</w:t>
      </w:r>
      <w:r w:rsidRPr="00245598">
        <w:rPr>
          <w:rFonts w:ascii="Book Antiqua" w:hAnsi="Book Antiqua"/>
          <w:color w:val="000000" w:themeColor="text1"/>
        </w:rPr>
        <w:t xml:space="preserve">1.83; </w:t>
      </w:r>
      <w:r w:rsidRPr="00245598">
        <w:rPr>
          <w:rFonts w:ascii="Book Antiqua" w:hAnsi="Book Antiqua"/>
          <w:i/>
          <w:iCs/>
          <w:color w:val="000000" w:themeColor="text1"/>
        </w:rPr>
        <w:t>P</w:t>
      </w:r>
      <w:r w:rsidRPr="00245598">
        <w:rPr>
          <w:rFonts w:ascii="Book Antiqua" w:hAnsi="Book Antiqua"/>
          <w:color w:val="000000" w:themeColor="text1"/>
        </w:rPr>
        <w:t xml:space="preserve"> = 0.24]. The HR associated with the TDF group </w:t>
      </w:r>
      <w:r w:rsidRPr="00245598">
        <w:rPr>
          <w:rFonts w:ascii="Book Antiqua" w:hAnsi="Book Antiqua"/>
          <w:i/>
          <w:iCs/>
          <w:color w:val="000000" w:themeColor="text1"/>
        </w:rPr>
        <w:t>vs</w:t>
      </w:r>
      <w:r w:rsidRPr="00245598">
        <w:rPr>
          <w:rFonts w:ascii="Book Antiqua" w:hAnsi="Book Antiqua"/>
          <w:color w:val="000000" w:themeColor="text1"/>
        </w:rPr>
        <w:t xml:space="preserve"> the naïve group was 2.28 (95%CI: 0.98</w:t>
      </w:r>
      <w:r w:rsidR="00E36494" w:rsidRPr="00245598">
        <w:rPr>
          <w:rFonts w:ascii="Book Antiqua" w:hAnsi="Book Antiqua"/>
          <w:color w:val="000000" w:themeColor="text1"/>
        </w:rPr>
        <w:t>-</w:t>
      </w:r>
      <w:r w:rsidRPr="00245598">
        <w:rPr>
          <w:rFonts w:ascii="Book Antiqua" w:hAnsi="Book Antiqua"/>
          <w:color w:val="000000" w:themeColor="text1"/>
        </w:rPr>
        <w:t xml:space="preserve">5.30; </w:t>
      </w:r>
      <w:r w:rsidRPr="00245598">
        <w:rPr>
          <w:rFonts w:ascii="Book Antiqua" w:hAnsi="Book Antiqua"/>
          <w:i/>
          <w:iCs/>
          <w:color w:val="000000" w:themeColor="text1"/>
        </w:rPr>
        <w:t xml:space="preserve">P </w:t>
      </w:r>
      <w:r w:rsidRPr="00245598">
        <w:rPr>
          <w:rFonts w:ascii="Book Antiqua" w:hAnsi="Book Antiqua"/>
          <w:color w:val="000000" w:themeColor="text1"/>
        </w:rPr>
        <w:t xml:space="preserve">= 0.0546). Thus, TDF treatment tended to be associated with TDF-induced tubular toxicity. </w:t>
      </w:r>
    </w:p>
    <w:p w14:paraId="2A5C1AC6" w14:textId="77777777" w:rsidR="00C23B97" w:rsidRPr="00245598" w:rsidRDefault="00C23B97">
      <w:pPr>
        <w:spacing w:line="360" w:lineRule="auto"/>
        <w:jc w:val="both"/>
        <w:rPr>
          <w:rFonts w:ascii="Book Antiqua" w:hAnsi="Book Antiqua"/>
          <w:color w:val="000000" w:themeColor="text1"/>
        </w:rPr>
      </w:pPr>
    </w:p>
    <w:p w14:paraId="2A7BD7B3" w14:textId="2989A29F" w:rsidR="00C23B97" w:rsidRPr="00245598" w:rsidRDefault="00C23B97">
      <w:pPr>
        <w:spacing w:line="360" w:lineRule="auto"/>
        <w:jc w:val="both"/>
        <w:rPr>
          <w:rFonts w:ascii="Book Antiqua" w:hAnsi="Book Antiqua"/>
          <w:b/>
          <w:i/>
          <w:iCs/>
          <w:color w:val="000000" w:themeColor="text1"/>
        </w:rPr>
      </w:pPr>
      <w:r w:rsidRPr="00245598">
        <w:rPr>
          <w:rFonts w:ascii="Book Antiqua" w:hAnsi="Book Antiqua"/>
          <w:b/>
          <w:i/>
          <w:iCs/>
          <w:color w:val="000000" w:themeColor="text1"/>
        </w:rPr>
        <w:t>Prevalence of impaired renal function (eGFR &lt; 50 mL/min/1.73 m</w:t>
      </w:r>
      <w:r w:rsidRPr="00245598">
        <w:rPr>
          <w:rFonts w:ascii="Book Antiqua" w:hAnsi="Book Antiqua"/>
          <w:b/>
          <w:i/>
          <w:iCs/>
          <w:color w:val="000000" w:themeColor="text1"/>
          <w:vertAlign w:val="superscript"/>
        </w:rPr>
        <w:t>2</w:t>
      </w:r>
      <w:r w:rsidRPr="00245598">
        <w:rPr>
          <w:rFonts w:ascii="Book Antiqua" w:hAnsi="Book Antiqua"/>
          <w:b/>
          <w:i/>
          <w:iCs/>
          <w:color w:val="000000" w:themeColor="text1"/>
        </w:rPr>
        <w:t>), hypophosphatemia (&lt; 0.48 mmo</w:t>
      </w:r>
      <w:r w:rsidR="00C31D08" w:rsidRPr="00245598">
        <w:rPr>
          <w:rFonts w:ascii="Book Antiqua" w:hAnsi="Book Antiqua"/>
          <w:b/>
          <w:i/>
          <w:iCs/>
          <w:color w:val="000000" w:themeColor="text1"/>
        </w:rPr>
        <w:t>L</w:t>
      </w:r>
      <w:r w:rsidRPr="00245598">
        <w:rPr>
          <w:rFonts w:ascii="Book Antiqua" w:hAnsi="Book Antiqua"/>
          <w:b/>
          <w:i/>
          <w:iCs/>
          <w:color w:val="000000" w:themeColor="text1"/>
        </w:rPr>
        <w:t>/L), and hypercalciuria (&gt; 0.5 mmo</w:t>
      </w:r>
      <w:r w:rsidR="00C31D08" w:rsidRPr="00245598">
        <w:rPr>
          <w:rFonts w:ascii="Book Antiqua" w:hAnsi="Book Antiqua"/>
          <w:b/>
          <w:i/>
          <w:iCs/>
          <w:color w:val="000000" w:themeColor="text1"/>
        </w:rPr>
        <w:t>L</w:t>
      </w:r>
      <w:r w:rsidRPr="00245598">
        <w:rPr>
          <w:rFonts w:ascii="Book Antiqua" w:hAnsi="Book Antiqua"/>
          <w:b/>
          <w:i/>
          <w:iCs/>
          <w:color w:val="000000" w:themeColor="text1"/>
        </w:rPr>
        <w:t>/mmo</w:t>
      </w:r>
      <w:r w:rsidR="00C31D08" w:rsidRPr="00245598">
        <w:rPr>
          <w:rFonts w:ascii="Book Antiqua" w:hAnsi="Book Antiqua"/>
          <w:b/>
          <w:i/>
          <w:iCs/>
          <w:color w:val="000000" w:themeColor="text1"/>
        </w:rPr>
        <w:t>L</w:t>
      </w:r>
      <w:r w:rsidRPr="00245598">
        <w:rPr>
          <w:rFonts w:ascii="Book Antiqua" w:hAnsi="Book Antiqua"/>
          <w:b/>
          <w:i/>
          <w:iCs/>
          <w:color w:val="000000" w:themeColor="text1"/>
        </w:rPr>
        <w:t>) at M24</w:t>
      </w:r>
    </w:p>
    <w:p w14:paraId="6C0EC996" w14:textId="5ED5DB4C" w:rsidR="00C23B97" w:rsidRPr="00245598" w:rsidRDefault="00C23B97">
      <w:pPr>
        <w:spacing w:line="360" w:lineRule="auto"/>
        <w:jc w:val="both"/>
        <w:rPr>
          <w:rFonts w:ascii="Book Antiqua" w:hAnsi="Book Antiqua"/>
          <w:color w:val="000000" w:themeColor="text1"/>
        </w:rPr>
      </w:pPr>
      <w:r w:rsidRPr="00245598">
        <w:rPr>
          <w:rFonts w:ascii="Book Antiqua" w:hAnsi="Book Antiqua"/>
          <w:color w:val="000000" w:themeColor="text1"/>
        </w:rPr>
        <w:t>In patients without SPT at baseline, no renal function impairment or hypophosphatemia was observed at M24, regardless of whether they had developed SPT during follow-up. However, four patients (6.5%) experienced hypercalciuria at M24. Three (7.0%) did not develop SPT within 24 mo, whereas one (5.3%) developed SPT after M12 with simultaneous alterations of TmPi/eGFR and FEUA. This latter patient was an HBsAg-negative African female belonging to the naïve group and presented with hypertension and grade I obesity.</w:t>
      </w:r>
    </w:p>
    <w:p w14:paraId="09FD81FE" w14:textId="77777777" w:rsidR="00A77B3E" w:rsidRPr="00245598" w:rsidRDefault="00A77B3E">
      <w:pPr>
        <w:spacing w:line="360" w:lineRule="auto"/>
        <w:ind w:firstLine="708"/>
        <w:jc w:val="both"/>
        <w:rPr>
          <w:rFonts w:ascii="Book Antiqua" w:hAnsi="Book Antiqua"/>
          <w:color w:val="000000" w:themeColor="text1"/>
        </w:rPr>
      </w:pPr>
    </w:p>
    <w:p w14:paraId="5D70925D" w14:textId="77777777"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b/>
          <w:caps/>
          <w:color w:val="000000" w:themeColor="text1"/>
          <w:u w:val="single"/>
        </w:rPr>
        <w:t>DISCUSSION</w:t>
      </w:r>
    </w:p>
    <w:p w14:paraId="3FAA58D3" w14:textId="77777777" w:rsidR="00C23B97" w:rsidRPr="00245598" w:rsidRDefault="00C23B97">
      <w:pPr>
        <w:spacing w:line="360" w:lineRule="auto"/>
        <w:jc w:val="both"/>
        <w:rPr>
          <w:rFonts w:ascii="Book Antiqua" w:hAnsi="Book Antiqua"/>
          <w:color w:val="000000" w:themeColor="text1"/>
        </w:rPr>
      </w:pPr>
      <w:r w:rsidRPr="00245598">
        <w:rPr>
          <w:rFonts w:ascii="Book Antiqua" w:hAnsi="Book Antiqua"/>
          <w:color w:val="000000" w:themeColor="text1"/>
        </w:rPr>
        <w:t xml:space="preserve">Most of the studies investigating the renal tolerance of NAs have focused on glomerular markers (serum creatinine and eGFR) instead of tubular </w:t>
      </w:r>
      <w:proofErr w:type="gramStart"/>
      <w:r w:rsidRPr="00245598">
        <w:rPr>
          <w:rFonts w:ascii="Book Antiqua" w:hAnsi="Book Antiqua"/>
          <w:color w:val="000000" w:themeColor="text1"/>
        </w:rPr>
        <w:t>markers</w:t>
      </w:r>
      <w:r w:rsidRPr="00245598">
        <w:rPr>
          <w:rFonts w:ascii="Book Antiqua" w:hAnsi="Book Antiqua"/>
          <w:color w:val="000000" w:themeColor="text1"/>
          <w:vertAlign w:val="superscript"/>
        </w:rPr>
        <w:t>[</w:t>
      </w:r>
      <w:proofErr w:type="gramEnd"/>
      <w:r w:rsidRPr="00245598">
        <w:rPr>
          <w:rFonts w:ascii="Book Antiqua" w:hAnsi="Book Antiqua"/>
          <w:color w:val="000000" w:themeColor="text1"/>
          <w:vertAlign w:val="superscript"/>
        </w:rPr>
        <w:t>16–18]</w:t>
      </w:r>
      <w:r w:rsidRPr="00245598">
        <w:rPr>
          <w:rFonts w:ascii="Book Antiqua" w:hAnsi="Book Antiqua"/>
          <w:color w:val="000000" w:themeColor="text1"/>
        </w:rPr>
        <w:t xml:space="preserve">. Although data on the tubular toxicity caused by TDF in HIV-positive patients are widely </w:t>
      </w:r>
      <w:proofErr w:type="gramStart"/>
      <w:r w:rsidRPr="00245598">
        <w:rPr>
          <w:rFonts w:ascii="Book Antiqua" w:hAnsi="Book Antiqua"/>
          <w:color w:val="000000" w:themeColor="text1"/>
        </w:rPr>
        <w:t>available</w:t>
      </w:r>
      <w:r w:rsidRPr="00245598">
        <w:rPr>
          <w:rFonts w:ascii="Book Antiqua" w:hAnsi="Book Antiqua"/>
          <w:color w:val="000000" w:themeColor="text1"/>
          <w:vertAlign w:val="superscript"/>
        </w:rPr>
        <w:t>[</w:t>
      </w:r>
      <w:proofErr w:type="gramEnd"/>
      <w:r w:rsidRPr="00245598">
        <w:rPr>
          <w:rFonts w:ascii="Book Antiqua" w:hAnsi="Book Antiqua"/>
          <w:color w:val="000000" w:themeColor="text1"/>
          <w:vertAlign w:val="superscript"/>
        </w:rPr>
        <w:t>3–5]</w:t>
      </w:r>
      <w:r w:rsidRPr="00245598">
        <w:rPr>
          <w:rFonts w:ascii="Book Antiqua" w:hAnsi="Book Antiqua"/>
          <w:color w:val="000000" w:themeColor="text1"/>
        </w:rPr>
        <w:t>, analogous data in HBV-monoinfected populations are sparse</w:t>
      </w:r>
      <w:r w:rsidRPr="00245598">
        <w:rPr>
          <w:rFonts w:ascii="Book Antiqua" w:hAnsi="Book Antiqua"/>
          <w:color w:val="000000" w:themeColor="text1"/>
          <w:vertAlign w:val="superscript"/>
        </w:rPr>
        <w:t>[3,4]</w:t>
      </w:r>
      <w:r w:rsidRPr="00245598">
        <w:rPr>
          <w:rFonts w:ascii="Book Antiqua" w:hAnsi="Book Antiqua"/>
          <w:color w:val="000000" w:themeColor="text1"/>
        </w:rPr>
        <w:t xml:space="preserve">.  </w:t>
      </w:r>
    </w:p>
    <w:p w14:paraId="051E7E48" w14:textId="6781AAEC" w:rsidR="00C23B97" w:rsidRPr="00245598" w:rsidRDefault="00C23B97">
      <w:pPr>
        <w:spacing w:line="360" w:lineRule="auto"/>
        <w:ind w:firstLineChars="200" w:firstLine="480"/>
        <w:jc w:val="both"/>
        <w:rPr>
          <w:rFonts w:ascii="Book Antiqua" w:hAnsi="Book Antiqua"/>
          <w:color w:val="000000" w:themeColor="text1"/>
        </w:rPr>
      </w:pPr>
      <w:r w:rsidRPr="00245598">
        <w:rPr>
          <w:rFonts w:ascii="Book Antiqua" w:hAnsi="Book Antiqua"/>
          <w:color w:val="000000" w:themeColor="text1"/>
        </w:rPr>
        <w:t xml:space="preserve">This paper reports on the first prospective, multicenter study that evaluated the prevalence and incidence of SPT for an extended duration (24 mo) using early markers in a population of HBV-monoinfected patients starting treatment with ETV or TDF. </w:t>
      </w:r>
    </w:p>
    <w:p w14:paraId="7DDF4BA5" w14:textId="77777777" w:rsidR="00C23B97" w:rsidRPr="00245598" w:rsidRDefault="00C23B97">
      <w:pPr>
        <w:spacing w:line="360" w:lineRule="auto"/>
        <w:ind w:firstLineChars="200" w:firstLine="480"/>
        <w:jc w:val="both"/>
        <w:rPr>
          <w:rFonts w:ascii="Book Antiqua" w:hAnsi="Book Antiqua"/>
          <w:color w:val="000000" w:themeColor="text1"/>
        </w:rPr>
      </w:pPr>
      <w:r w:rsidRPr="00245598">
        <w:rPr>
          <w:rFonts w:ascii="Book Antiqua" w:hAnsi="Book Antiqua"/>
          <w:color w:val="000000" w:themeColor="text1"/>
        </w:rPr>
        <w:t xml:space="preserve">A strong point of this study was the comparison of the treated groups with a control naïve group. The latter allowed for an evaluation of the role of HBV on tubular function in the absence of any treatments. Additionally, the effects of confounding factors on the interpretation of SPT prevalence or incidence were limited, as the patient population was </w:t>
      </w:r>
      <w:r w:rsidRPr="00245598">
        <w:rPr>
          <w:rFonts w:ascii="Book Antiqua" w:hAnsi="Book Antiqua"/>
          <w:color w:val="000000" w:themeColor="text1"/>
        </w:rPr>
        <w:lastRenderedPageBreak/>
        <w:t>homogeneous, relatively young (median age: 37.5 years), and had very few renal comorbidities.</w:t>
      </w:r>
    </w:p>
    <w:p w14:paraId="7A6601AF" w14:textId="77777777" w:rsidR="00C23B97" w:rsidRPr="00245598" w:rsidRDefault="00C23B97">
      <w:pPr>
        <w:spacing w:line="360" w:lineRule="auto"/>
        <w:jc w:val="both"/>
        <w:rPr>
          <w:rFonts w:ascii="Book Antiqua" w:hAnsi="Book Antiqua"/>
          <w:color w:val="000000" w:themeColor="text1"/>
        </w:rPr>
      </w:pPr>
    </w:p>
    <w:p w14:paraId="365B8372" w14:textId="77777777" w:rsidR="00C23B97" w:rsidRPr="00245598" w:rsidRDefault="00C23B97">
      <w:pPr>
        <w:spacing w:line="360" w:lineRule="auto"/>
        <w:jc w:val="both"/>
        <w:rPr>
          <w:rFonts w:ascii="Book Antiqua" w:hAnsi="Book Antiqua"/>
          <w:b/>
          <w:bCs/>
          <w:i/>
          <w:iCs/>
          <w:color w:val="000000" w:themeColor="text1"/>
        </w:rPr>
      </w:pPr>
      <w:r w:rsidRPr="00245598">
        <w:rPr>
          <w:rFonts w:ascii="Book Antiqua" w:hAnsi="Book Antiqua"/>
          <w:b/>
          <w:bCs/>
          <w:i/>
          <w:iCs/>
          <w:color w:val="000000" w:themeColor="text1"/>
        </w:rPr>
        <w:t xml:space="preserve">Tubular markers </w:t>
      </w:r>
    </w:p>
    <w:p w14:paraId="6FCE8367" w14:textId="453085F1" w:rsidR="00C23B97" w:rsidRPr="00245598" w:rsidRDefault="00C23B97">
      <w:pPr>
        <w:spacing w:line="360" w:lineRule="auto"/>
        <w:jc w:val="both"/>
        <w:rPr>
          <w:rFonts w:ascii="Book Antiqua" w:hAnsi="Book Antiqua"/>
          <w:color w:val="000000" w:themeColor="text1"/>
        </w:rPr>
      </w:pPr>
      <w:r w:rsidRPr="00245598">
        <w:rPr>
          <w:rFonts w:ascii="Book Antiqua" w:hAnsi="Book Antiqua"/>
          <w:color w:val="000000" w:themeColor="text1"/>
        </w:rPr>
        <w:t xml:space="preserve">Optimal markers of proximal tubulopathy are not agreed upon the literature. The most commonly used markers, whether early or late, are increased urinary α1-microglobulin, urinary β2-microglobulin, urinary retinol binding protein (RBP) or mixed proteinuria, fractional phosphate or uric acid excretion, non-diabetic glycosuria, hypophosphatemia, hypouricemia, hypokalemia, aminoaciduria, and renal tubular </w:t>
      </w:r>
      <w:proofErr w:type="gramStart"/>
      <w:r w:rsidRPr="00245598">
        <w:rPr>
          <w:rFonts w:ascii="Book Antiqua" w:hAnsi="Book Antiqua"/>
          <w:color w:val="000000" w:themeColor="text1"/>
        </w:rPr>
        <w:t>acidosis</w:t>
      </w:r>
      <w:r w:rsidRPr="00245598">
        <w:rPr>
          <w:rFonts w:ascii="Book Antiqua" w:hAnsi="Book Antiqua"/>
          <w:color w:val="000000" w:themeColor="text1"/>
          <w:vertAlign w:val="superscript"/>
        </w:rPr>
        <w:t>[</w:t>
      </w:r>
      <w:proofErr w:type="gramEnd"/>
      <w:r w:rsidRPr="00245598">
        <w:rPr>
          <w:rFonts w:ascii="Book Antiqua" w:hAnsi="Book Antiqua"/>
          <w:color w:val="000000" w:themeColor="text1"/>
          <w:vertAlign w:val="superscript"/>
        </w:rPr>
        <w:t>3,4,13]</w:t>
      </w:r>
      <w:r w:rsidRPr="00245598">
        <w:rPr>
          <w:rFonts w:ascii="Book Antiqua" w:hAnsi="Book Antiqua"/>
          <w:color w:val="000000" w:themeColor="text1"/>
        </w:rPr>
        <w:t>. None of these markers have demonstrated superiority in terms of sensitivity and specificity. The more sophisticated markers such as RBP or β2-microglobulin are interesting, but they are expensive to analyze and not widely used. Kidney injury molecule-1 and neutrophil gelatinase-associated lipocalin are markers of acute tubular injury, which is pas</w:t>
      </w:r>
      <w:r w:rsidR="006F0783" w:rsidRPr="00245598">
        <w:rPr>
          <w:rFonts w:ascii="Book Antiqua" w:hAnsi="Book Antiqua"/>
          <w:color w:val="000000" w:themeColor="text1"/>
        </w:rPr>
        <w:t>sed</w:t>
      </w:r>
      <w:r w:rsidRPr="00245598">
        <w:rPr>
          <w:rFonts w:ascii="Book Antiqua" w:hAnsi="Book Antiqua"/>
          <w:color w:val="000000" w:themeColor="text1"/>
        </w:rPr>
        <w:t xml:space="preserve"> the early prevention </w:t>
      </w:r>
      <w:proofErr w:type="gramStart"/>
      <w:r w:rsidRPr="00245598">
        <w:rPr>
          <w:rFonts w:ascii="Book Antiqua" w:hAnsi="Book Antiqua"/>
          <w:color w:val="000000" w:themeColor="text1"/>
        </w:rPr>
        <w:t>stage</w:t>
      </w:r>
      <w:r w:rsidRPr="00245598">
        <w:rPr>
          <w:rFonts w:ascii="Book Antiqua" w:hAnsi="Book Antiqua"/>
          <w:color w:val="000000" w:themeColor="text1"/>
          <w:vertAlign w:val="superscript"/>
        </w:rPr>
        <w:t>[</w:t>
      </w:r>
      <w:proofErr w:type="gramEnd"/>
      <w:r w:rsidRPr="00245598">
        <w:rPr>
          <w:rFonts w:ascii="Book Antiqua" w:hAnsi="Book Antiqua"/>
          <w:color w:val="000000" w:themeColor="text1"/>
          <w:vertAlign w:val="superscript"/>
        </w:rPr>
        <w:t>19]</w:t>
      </w:r>
      <w:r w:rsidRPr="00245598">
        <w:rPr>
          <w:rFonts w:ascii="Book Antiqua" w:hAnsi="Book Antiqua"/>
          <w:color w:val="000000" w:themeColor="text1"/>
        </w:rPr>
        <w:t xml:space="preserve">. The markers chosen in this study, TmPi/eGFR and FEUA, are easy to use, inexpensive, repeatable over time, and thus ideal for routine follow-up. </w:t>
      </w:r>
    </w:p>
    <w:p w14:paraId="60940233" w14:textId="77777777" w:rsidR="00C23B97" w:rsidRPr="00245598" w:rsidRDefault="00C23B97">
      <w:pPr>
        <w:spacing w:line="360" w:lineRule="auto"/>
        <w:jc w:val="both"/>
        <w:rPr>
          <w:rFonts w:ascii="Book Antiqua" w:hAnsi="Book Antiqua"/>
          <w:color w:val="000000" w:themeColor="text1"/>
        </w:rPr>
      </w:pPr>
    </w:p>
    <w:p w14:paraId="29253B11" w14:textId="77777777" w:rsidR="00C23B97" w:rsidRPr="00245598" w:rsidRDefault="00C23B97">
      <w:pPr>
        <w:spacing w:line="360" w:lineRule="auto"/>
        <w:jc w:val="both"/>
        <w:rPr>
          <w:rFonts w:ascii="Book Antiqua" w:hAnsi="Book Antiqua"/>
          <w:b/>
          <w:bCs/>
          <w:i/>
          <w:iCs/>
          <w:color w:val="000000" w:themeColor="text1"/>
        </w:rPr>
      </w:pPr>
      <w:r w:rsidRPr="00245598">
        <w:rPr>
          <w:rFonts w:ascii="Book Antiqua" w:hAnsi="Book Antiqua"/>
          <w:b/>
          <w:bCs/>
          <w:i/>
          <w:iCs/>
          <w:color w:val="000000" w:themeColor="text1"/>
        </w:rPr>
        <w:t>TDF and SPT</w:t>
      </w:r>
    </w:p>
    <w:p w14:paraId="1457BB2B" w14:textId="77777777" w:rsidR="00C23B97" w:rsidRPr="00245598" w:rsidRDefault="00C23B97">
      <w:pPr>
        <w:spacing w:line="360" w:lineRule="auto"/>
        <w:jc w:val="both"/>
        <w:rPr>
          <w:rFonts w:ascii="Book Antiqua" w:hAnsi="Book Antiqua"/>
          <w:color w:val="000000" w:themeColor="text1"/>
        </w:rPr>
      </w:pPr>
      <w:r w:rsidRPr="00245598">
        <w:rPr>
          <w:rFonts w:ascii="Book Antiqua" w:hAnsi="Book Antiqua"/>
          <w:color w:val="000000" w:themeColor="text1"/>
        </w:rPr>
        <w:t xml:space="preserve">In this study, the prevalence of SPT at M24 was higher in patients treated with TDF compared to naïve patients (50% </w:t>
      </w:r>
      <w:r w:rsidRPr="00245598">
        <w:rPr>
          <w:rFonts w:ascii="Book Antiqua" w:hAnsi="Book Antiqua"/>
          <w:i/>
          <w:iCs/>
          <w:color w:val="000000" w:themeColor="text1"/>
        </w:rPr>
        <w:t>vs</w:t>
      </w:r>
      <w:r w:rsidRPr="00245598">
        <w:rPr>
          <w:rFonts w:ascii="Book Antiqua" w:hAnsi="Book Antiqua"/>
          <w:color w:val="000000" w:themeColor="text1"/>
        </w:rPr>
        <w:t xml:space="preserve"> 30%). However, this difference was not statistically significant. Nevertheless, the HR for the cumulative incidence of SPT in the TDF group </w:t>
      </w:r>
      <w:r w:rsidRPr="00245598">
        <w:rPr>
          <w:rFonts w:ascii="Book Antiqua" w:hAnsi="Book Antiqua"/>
          <w:i/>
          <w:iCs/>
          <w:color w:val="000000" w:themeColor="text1"/>
        </w:rPr>
        <w:t>vs</w:t>
      </w:r>
      <w:r w:rsidRPr="00245598">
        <w:rPr>
          <w:rFonts w:ascii="Book Antiqua" w:hAnsi="Book Antiqua"/>
          <w:color w:val="000000" w:themeColor="text1"/>
        </w:rPr>
        <w:t xml:space="preserve"> the naïve group was 2.28, with a trend towards significance and TDF-induced tubular toxicity.</w:t>
      </w:r>
    </w:p>
    <w:p w14:paraId="04B418BF" w14:textId="6C952476" w:rsidR="00C23B97" w:rsidRPr="00245598" w:rsidRDefault="00C23B97">
      <w:pPr>
        <w:spacing w:line="360" w:lineRule="auto"/>
        <w:ind w:firstLineChars="200" w:firstLine="480"/>
        <w:jc w:val="both"/>
        <w:rPr>
          <w:rFonts w:ascii="Book Antiqua" w:hAnsi="Book Antiqua"/>
          <w:color w:val="000000" w:themeColor="text1"/>
        </w:rPr>
      </w:pPr>
      <w:r w:rsidRPr="00245598">
        <w:rPr>
          <w:rFonts w:ascii="Book Antiqua" w:hAnsi="Book Antiqua"/>
          <w:color w:val="000000" w:themeColor="text1"/>
        </w:rPr>
        <w:t xml:space="preserve">In the literature, many study designs are heterogeneous. Two main studies used the same population as this one, except they were cross-sectional. In the first, Tien </w:t>
      </w:r>
      <w:r w:rsidRPr="00245598">
        <w:rPr>
          <w:rFonts w:ascii="Book Antiqua" w:hAnsi="Book Antiqua"/>
          <w:i/>
          <w:iCs/>
          <w:color w:val="000000" w:themeColor="text1"/>
        </w:rPr>
        <w:t xml:space="preserve">et </w:t>
      </w:r>
      <w:proofErr w:type="gramStart"/>
      <w:r w:rsidRPr="00245598">
        <w:rPr>
          <w:rFonts w:ascii="Book Antiqua" w:hAnsi="Book Antiqua"/>
          <w:i/>
          <w:iCs/>
          <w:color w:val="000000" w:themeColor="text1"/>
        </w:rPr>
        <w:t>al</w:t>
      </w:r>
      <w:r w:rsidR="003D2F49" w:rsidRPr="00245598">
        <w:rPr>
          <w:rFonts w:ascii="Book Antiqua" w:hAnsi="Book Antiqua"/>
          <w:color w:val="000000" w:themeColor="text1"/>
          <w:vertAlign w:val="superscript"/>
        </w:rPr>
        <w:t>[</w:t>
      </w:r>
      <w:proofErr w:type="gramEnd"/>
      <w:r w:rsidR="003D2F49" w:rsidRPr="00245598">
        <w:rPr>
          <w:rFonts w:ascii="Book Antiqua" w:hAnsi="Book Antiqua"/>
          <w:color w:val="000000" w:themeColor="text1"/>
          <w:vertAlign w:val="superscript"/>
        </w:rPr>
        <w:t>20]</w:t>
      </w:r>
      <w:r w:rsidRPr="00245598">
        <w:rPr>
          <w:rFonts w:ascii="Book Antiqua" w:hAnsi="Book Antiqua"/>
          <w:color w:val="000000" w:themeColor="text1"/>
        </w:rPr>
        <w:t xml:space="preserve"> compared the prevalence of SPT (defined as decreased TmPi/eGFR) in 146 HBV-monoinfected patients (60 naïve, 44 treated with ETV, and 42 treated with TDF), of whom fewer than 2% had an eGFR &lt; 60 mL/min/1.73 m²</w:t>
      </w:r>
      <w:r w:rsidRPr="00245598">
        <w:rPr>
          <w:rFonts w:ascii="Book Antiqua" w:hAnsi="Book Antiqua"/>
          <w:color w:val="000000" w:themeColor="text1"/>
          <w:vertAlign w:val="superscript"/>
        </w:rPr>
        <w:t>[20]</w:t>
      </w:r>
      <w:r w:rsidRPr="00245598">
        <w:rPr>
          <w:rFonts w:ascii="Book Antiqua" w:hAnsi="Book Antiqua"/>
          <w:color w:val="000000" w:themeColor="text1"/>
        </w:rPr>
        <w:t xml:space="preserve">. SPT prevalence was 30%, 23%, and 43% in naïve, ETV, and TDF patients, respectively. Differences among these groups were not statistically different. Nonetheless, in a subgroup of patients treated with ETV and </w:t>
      </w:r>
      <w:r w:rsidRPr="00245598">
        <w:rPr>
          <w:rFonts w:ascii="Book Antiqua" w:hAnsi="Book Antiqua"/>
          <w:color w:val="000000" w:themeColor="text1"/>
        </w:rPr>
        <w:lastRenderedPageBreak/>
        <w:t xml:space="preserve">TDF for more than 18 mo, the prevalence of SPT was significantly higher in the TDF-treated group than in the ETV-treated group (48.5% </w:t>
      </w:r>
      <w:r w:rsidRPr="00245598">
        <w:rPr>
          <w:rFonts w:ascii="Book Antiqua" w:hAnsi="Book Antiqua"/>
          <w:i/>
          <w:iCs/>
          <w:color w:val="000000" w:themeColor="text1"/>
        </w:rPr>
        <w:t>vs</w:t>
      </w:r>
      <w:r w:rsidRPr="00245598">
        <w:rPr>
          <w:rFonts w:ascii="Book Antiqua" w:hAnsi="Book Antiqua"/>
          <w:color w:val="000000" w:themeColor="text1"/>
        </w:rPr>
        <w:t xml:space="preserve"> 12.5%; </w:t>
      </w:r>
      <w:r w:rsidRPr="00245598">
        <w:rPr>
          <w:rFonts w:ascii="Book Antiqua" w:hAnsi="Book Antiqua"/>
          <w:i/>
          <w:iCs/>
          <w:color w:val="000000" w:themeColor="text1"/>
        </w:rPr>
        <w:t>P</w:t>
      </w:r>
      <w:r w:rsidRPr="00245598">
        <w:rPr>
          <w:rFonts w:ascii="Book Antiqua" w:hAnsi="Book Antiqua"/>
          <w:color w:val="000000" w:themeColor="text1"/>
        </w:rPr>
        <w:t xml:space="preserve"> = 0.005). The second study was the multicenter "MENTE" study consisting of 280 HBV-monoinfected patients (122 naïve, 89 ETV, and 69 TDF), which reported an association between the TDF group and the presence of </w:t>
      </w:r>
      <w:proofErr w:type="gramStart"/>
      <w:r w:rsidRPr="00245598">
        <w:rPr>
          <w:rFonts w:ascii="Book Antiqua" w:hAnsi="Book Antiqua"/>
          <w:color w:val="000000" w:themeColor="text1"/>
        </w:rPr>
        <w:t>SPT</w:t>
      </w:r>
      <w:r w:rsidRPr="00245598">
        <w:rPr>
          <w:rFonts w:ascii="Book Antiqua" w:hAnsi="Book Antiqua"/>
          <w:color w:val="000000" w:themeColor="text1"/>
          <w:vertAlign w:val="superscript"/>
        </w:rPr>
        <w:t>[</w:t>
      </w:r>
      <w:proofErr w:type="gramEnd"/>
      <w:r w:rsidRPr="00245598">
        <w:rPr>
          <w:rFonts w:ascii="Book Antiqua" w:hAnsi="Book Antiqua"/>
          <w:color w:val="000000" w:themeColor="text1"/>
          <w:vertAlign w:val="superscript"/>
        </w:rPr>
        <w:t>21]</w:t>
      </w:r>
      <w:r w:rsidRPr="00245598">
        <w:rPr>
          <w:rFonts w:ascii="Book Antiqua" w:hAnsi="Book Antiqua"/>
          <w:color w:val="000000" w:themeColor="text1"/>
        </w:rPr>
        <w:t xml:space="preserve">. Here, the urinary RBP/creatininuria ratio was used as an SPT </w:t>
      </w:r>
      <w:proofErr w:type="gramStart"/>
      <w:r w:rsidRPr="00245598">
        <w:rPr>
          <w:rFonts w:ascii="Book Antiqua" w:hAnsi="Book Antiqua"/>
          <w:color w:val="000000" w:themeColor="text1"/>
        </w:rPr>
        <w:t>marker</w:t>
      </w:r>
      <w:r w:rsidRPr="00245598">
        <w:rPr>
          <w:rFonts w:ascii="Book Antiqua" w:hAnsi="Book Antiqua"/>
          <w:color w:val="000000" w:themeColor="text1"/>
          <w:vertAlign w:val="superscript"/>
        </w:rPr>
        <w:t>[</w:t>
      </w:r>
      <w:proofErr w:type="gramEnd"/>
      <w:r w:rsidRPr="00245598">
        <w:rPr>
          <w:rFonts w:ascii="Book Antiqua" w:hAnsi="Book Antiqua"/>
          <w:color w:val="000000" w:themeColor="text1"/>
          <w:vertAlign w:val="superscript"/>
        </w:rPr>
        <w:t>21]</w:t>
      </w:r>
      <w:r w:rsidRPr="00245598">
        <w:rPr>
          <w:rFonts w:ascii="Book Antiqua" w:hAnsi="Book Antiqua"/>
          <w:color w:val="000000" w:themeColor="text1"/>
        </w:rPr>
        <w:t xml:space="preserve">. </w:t>
      </w:r>
    </w:p>
    <w:p w14:paraId="0C260CBD" w14:textId="718F42D8" w:rsidR="00C23B97" w:rsidRPr="00245598" w:rsidRDefault="00C23B97">
      <w:pPr>
        <w:spacing w:line="360" w:lineRule="auto"/>
        <w:ind w:firstLineChars="200" w:firstLine="480"/>
        <w:jc w:val="both"/>
        <w:rPr>
          <w:rFonts w:ascii="Book Antiqua" w:hAnsi="Book Antiqua"/>
          <w:color w:val="000000" w:themeColor="text1"/>
        </w:rPr>
      </w:pPr>
      <w:r w:rsidRPr="00245598">
        <w:rPr>
          <w:rFonts w:ascii="Book Antiqua" w:hAnsi="Book Antiqua"/>
          <w:color w:val="000000" w:themeColor="text1"/>
        </w:rPr>
        <w:t>In brief, no study has rigorously demonstrated a causal link between TDF and SPT or directly compared patients treated with TDF and ETV. Moreover, no other study has prospectively evaluated SPT incidence according to treatment type (</w:t>
      </w:r>
      <w:r w:rsidRPr="00245598">
        <w:rPr>
          <w:rFonts w:ascii="Book Antiqua" w:hAnsi="Book Antiqua"/>
          <w:i/>
          <w:iCs/>
          <w:color w:val="000000" w:themeColor="text1"/>
        </w:rPr>
        <w:t>i.e.</w:t>
      </w:r>
      <w:r w:rsidRPr="00245598">
        <w:rPr>
          <w:rFonts w:ascii="Book Antiqua" w:hAnsi="Book Antiqua"/>
          <w:color w:val="000000" w:themeColor="text1"/>
        </w:rPr>
        <w:t xml:space="preserve"> naïve, ETV, and TDF).</w:t>
      </w:r>
    </w:p>
    <w:p w14:paraId="2AC36EBA" w14:textId="77777777" w:rsidR="00C23B97" w:rsidRPr="00245598" w:rsidRDefault="00C23B97">
      <w:pPr>
        <w:spacing w:line="360" w:lineRule="auto"/>
        <w:jc w:val="both"/>
        <w:rPr>
          <w:rFonts w:ascii="Book Antiqua" w:hAnsi="Book Antiqua"/>
          <w:color w:val="000000" w:themeColor="text1"/>
        </w:rPr>
      </w:pPr>
    </w:p>
    <w:p w14:paraId="267B94A9" w14:textId="77777777" w:rsidR="00C23B97" w:rsidRPr="00245598" w:rsidRDefault="00C23B97">
      <w:pPr>
        <w:spacing w:line="360" w:lineRule="auto"/>
        <w:jc w:val="both"/>
        <w:rPr>
          <w:rFonts w:ascii="Book Antiqua" w:hAnsi="Book Antiqua"/>
          <w:b/>
          <w:bCs/>
          <w:i/>
          <w:iCs/>
          <w:color w:val="000000" w:themeColor="text1"/>
        </w:rPr>
      </w:pPr>
      <w:r w:rsidRPr="00245598">
        <w:rPr>
          <w:rFonts w:ascii="Book Antiqua" w:hAnsi="Book Antiqua"/>
          <w:b/>
          <w:bCs/>
          <w:i/>
          <w:iCs/>
          <w:color w:val="000000" w:themeColor="text1"/>
        </w:rPr>
        <w:t>ETV and SPT</w:t>
      </w:r>
    </w:p>
    <w:p w14:paraId="6E02EEFC" w14:textId="327A97AE" w:rsidR="00C23B97" w:rsidRPr="00245598" w:rsidRDefault="00C23B97">
      <w:pPr>
        <w:spacing w:line="360" w:lineRule="auto"/>
        <w:jc w:val="both"/>
        <w:rPr>
          <w:rFonts w:ascii="Book Antiqua" w:hAnsi="Book Antiqua"/>
          <w:color w:val="000000" w:themeColor="text1"/>
        </w:rPr>
      </w:pPr>
      <w:r w:rsidRPr="00245598">
        <w:rPr>
          <w:rFonts w:ascii="Book Antiqua" w:hAnsi="Book Antiqua"/>
          <w:color w:val="000000" w:themeColor="text1"/>
        </w:rPr>
        <w:t xml:space="preserve">The prevalence and cumulative incidence of SPT in the ETV-treated group compared to those in the naïve group were not significantly different. This negative result reinforces the good renal safety profile of ETV in humans and mouse </w:t>
      </w:r>
      <w:proofErr w:type="gramStart"/>
      <w:r w:rsidRPr="00245598">
        <w:rPr>
          <w:rFonts w:ascii="Book Antiqua" w:hAnsi="Book Antiqua"/>
          <w:color w:val="000000" w:themeColor="text1"/>
        </w:rPr>
        <w:t>models</w:t>
      </w:r>
      <w:r w:rsidRPr="00245598">
        <w:rPr>
          <w:rFonts w:ascii="Book Antiqua" w:hAnsi="Book Antiqua"/>
          <w:color w:val="000000" w:themeColor="text1"/>
          <w:vertAlign w:val="superscript"/>
        </w:rPr>
        <w:t>[</w:t>
      </w:r>
      <w:proofErr w:type="gramEnd"/>
      <w:r w:rsidRPr="00245598">
        <w:rPr>
          <w:rFonts w:ascii="Book Antiqua" w:hAnsi="Book Antiqua"/>
          <w:color w:val="000000" w:themeColor="text1"/>
          <w:vertAlign w:val="superscript"/>
        </w:rPr>
        <w:t>22–24]</w:t>
      </w:r>
      <w:r w:rsidRPr="00245598">
        <w:rPr>
          <w:rFonts w:ascii="Book Antiqua" w:hAnsi="Book Antiqua"/>
          <w:color w:val="000000" w:themeColor="text1"/>
        </w:rPr>
        <w:t xml:space="preserve">. Accordingly, </w:t>
      </w:r>
      <w:r w:rsidR="00681BD7" w:rsidRPr="00245598">
        <w:rPr>
          <w:rFonts w:ascii="Book Antiqua" w:hAnsi="Book Antiqua"/>
          <w:color w:val="000000" w:themeColor="text1"/>
        </w:rPr>
        <w:t>Viganò</w:t>
      </w:r>
      <w:r w:rsidRPr="00245598">
        <w:rPr>
          <w:rFonts w:ascii="Book Antiqua" w:hAnsi="Book Antiqua"/>
          <w:color w:val="000000" w:themeColor="text1"/>
        </w:rPr>
        <w:t xml:space="preserve"> </w:t>
      </w:r>
      <w:r w:rsidRPr="00245598">
        <w:rPr>
          <w:rFonts w:ascii="Book Antiqua" w:hAnsi="Book Antiqua"/>
          <w:i/>
          <w:iCs/>
          <w:color w:val="000000" w:themeColor="text1"/>
        </w:rPr>
        <w:t xml:space="preserve">et </w:t>
      </w:r>
      <w:proofErr w:type="gramStart"/>
      <w:r w:rsidRPr="00245598">
        <w:rPr>
          <w:rFonts w:ascii="Book Antiqua" w:hAnsi="Book Antiqua"/>
          <w:i/>
          <w:iCs/>
          <w:color w:val="000000" w:themeColor="text1"/>
        </w:rPr>
        <w:t>al</w:t>
      </w:r>
      <w:r w:rsidR="003D2F49" w:rsidRPr="00245598">
        <w:rPr>
          <w:rFonts w:ascii="Book Antiqua" w:hAnsi="Book Antiqua"/>
          <w:color w:val="000000" w:themeColor="text1"/>
          <w:vertAlign w:val="superscript"/>
        </w:rPr>
        <w:t>[</w:t>
      </w:r>
      <w:proofErr w:type="gramEnd"/>
      <w:r w:rsidR="003D2F49" w:rsidRPr="00245598">
        <w:rPr>
          <w:rFonts w:ascii="Book Antiqua" w:hAnsi="Book Antiqua"/>
          <w:color w:val="000000" w:themeColor="text1"/>
          <w:vertAlign w:val="superscript"/>
        </w:rPr>
        <w:t>25]</w:t>
      </w:r>
      <w:r w:rsidRPr="00245598">
        <w:rPr>
          <w:rFonts w:ascii="Book Antiqua" w:hAnsi="Book Antiqua"/>
          <w:color w:val="000000" w:themeColor="text1"/>
        </w:rPr>
        <w:t xml:space="preserve"> argued that SPT in TDF-treated patients improved after switching to ETV</w:t>
      </w:r>
      <w:r w:rsidRPr="00245598">
        <w:rPr>
          <w:rFonts w:ascii="Book Antiqua" w:hAnsi="Book Antiqua"/>
          <w:color w:val="000000" w:themeColor="text1"/>
          <w:vertAlign w:val="superscript"/>
        </w:rPr>
        <w:t>[25]</w:t>
      </w:r>
      <w:r w:rsidRPr="00245598">
        <w:rPr>
          <w:rFonts w:ascii="Book Antiqua" w:hAnsi="Book Antiqua"/>
          <w:color w:val="000000" w:themeColor="text1"/>
        </w:rPr>
        <w:t>.</w:t>
      </w:r>
    </w:p>
    <w:p w14:paraId="0197205A" w14:textId="77777777" w:rsidR="00C23B97" w:rsidRPr="00245598" w:rsidRDefault="00C23B97">
      <w:pPr>
        <w:spacing w:line="360" w:lineRule="auto"/>
        <w:jc w:val="both"/>
        <w:rPr>
          <w:rFonts w:ascii="Book Antiqua" w:hAnsi="Book Antiqua"/>
          <w:color w:val="000000" w:themeColor="text1"/>
        </w:rPr>
      </w:pPr>
    </w:p>
    <w:p w14:paraId="1DC0D844" w14:textId="77777777" w:rsidR="00C23B97" w:rsidRPr="00245598" w:rsidRDefault="00C23B97">
      <w:pPr>
        <w:spacing w:line="360" w:lineRule="auto"/>
        <w:jc w:val="both"/>
        <w:rPr>
          <w:rFonts w:ascii="Book Antiqua" w:hAnsi="Book Antiqua"/>
          <w:b/>
          <w:bCs/>
          <w:i/>
          <w:iCs/>
          <w:color w:val="000000" w:themeColor="text1"/>
        </w:rPr>
      </w:pPr>
      <w:r w:rsidRPr="00245598">
        <w:rPr>
          <w:rFonts w:ascii="Book Antiqua" w:hAnsi="Book Antiqua"/>
          <w:b/>
          <w:bCs/>
          <w:i/>
          <w:iCs/>
          <w:color w:val="000000" w:themeColor="text1"/>
        </w:rPr>
        <w:t>HBV and SPT</w:t>
      </w:r>
    </w:p>
    <w:p w14:paraId="0A356BB2" w14:textId="281AF94B" w:rsidR="00C23B97" w:rsidRPr="00245598" w:rsidRDefault="00C23B97">
      <w:pPr>
        <w:spacing w:line="360" w:lineRule="auto"/>
        <w:jc w:val="both"/>
        <w:rPr>
          <w:rFonts w:ascii="Book Antiqua" w:hAnsi="Book Antiqua"/>
          <w:color w:val="000000" w:themeColor="text1"/>
        </w:rPr>
      </w:pPr>
      <w:r w:rsidRPr="00245598">
        <w:rPr>
          <w:rFonts w:ascii="Book Antiqua" w:hAnsi="Book Antiqua"/>
          <w:color w:val="000000" w:themeColor="text1"/>
        </w:rPr>
        <w:t xml:space="preserve">As previously highlighted </w:t>
      </w:r>
      <w:r w:rsidRPr="00245598">
        <w:rPr>
          <w:rFonts w:ascii="Book Antiqua" w:hAnsi="Book Antiqua"/>
          <w:i/>
          <w:iCs/>
          <w:color w:val="000000" w:themeColor="text1"/>
        </w:rPr>
        <w:t>in vitro</w:t>
      </w:r>
      <w:r w:rsidRPr="00245598">
        <w:rPr>
          <w:rFonts w:ascii="Book Antiqua" w:hAnsi="Book Antiqua"/>
          <w:color w:val="000000" w:themeColor="text1"/>
        </w:rPr>
        <w:t xml:space="preserve">, HBV-specific tubular toxicity may result from HBV replication and transcription activity in proximal tubular cells. In tubular cell cultures, the serum of infected patients had potential apoptotic </w:t>
      </w:r>
      <w:proofErr w:type="gramStart"/>
      <w:r w:rsidRPr="00245598">
        <w:rPr>
          <w:rFonts w:ascii="Book Antiqua" w:hAnsi="Book Antiqua"/>
          <w:color w:val="000000" w:themeColor="text1"/>
        </w:rPr>
        <w:t>effects</w:t>
      </w:r>
      <w:r w:rsidRPr="00245598">
        <w:rPr>
          <w:rFonts w:ascii="Book Antiqua" w:hAnsi="Book Antiqua"/>
          <w:color w:val="000000" w:themeColor="text1"/>
          <w:vertAlign w:val="superscript"/>
        </w:rPr>
        <w:t>[</w:t>
      </w:r>
      <w:proofErr w:type="gramEnd"/>
      <w:r w:rsidRPr="00245598">
        <w:rPr>
          <w:rFonts w:ascii="Book Antiqua" w:hAnsi="Book Antiqua"/>
          <w:color w:val="000000" w:themeColor="text1"/>
          <w:vertAlign w:val="superscript"/>
        </w:rPr>
        <w:t>20,21,26,27]</w:t>
      </w:r>
      <w:r w:rsidRPr="00245598">
        <w:rPr>
          <w:rFonts w:ascii="Book Antiqua" w:hAnsi="Book Antiqua"/>
          <w:color w:val="000000" w:themeColor="text1"/>
        </w:rPr>
        <w:t xml:space="preserve">. Detection of SPT in our HBV-monoinfected naïve patients supports this hypothesis </w:t>
      </w:r>
      <w:r w:rsidRPr="00245598">
        <w:rPr>
          <w:rFonts w:ascii="Book Antiqua" w:hAnsi="Book Antiqua"/>
          <w:i/>
          <w:iCs/>
          <w:color w:val="000000" w:themeColor="text1"/>
        </w:rPr>
        <w:t>in vivo</w:t>
      </w:r>
      <w:r w:rsidRPr="00245598">
        <w:rPr>
          <w:rFonts w:ascii="Book Antiqua" w:hAnsi="Book Antiqua"/>
          <w:color w:val="000000" w:themeColor="text1"/>
        </w:rPr>
        <w:t xml:space="preserve">. </w:t>
      </w:r>
    </w:p>
    <w:p w14:paraId="3E71331D" w14:textId="7CA15F48" w:rsidR="00C23B97" w:rsidRPr="00245598" w:rsidRDefault="00C23B97">
      <w:pPr>
        <w:spacing w:line="360" w:lineRule="auto"/>
        <w:ind w:firstLineChars="200" w:firstLine="480"/>
        <w:jc w:val="both"/>
        <w:rPr>
          <w:rFonts w:ascii="Book Antiqua" w:hAnsi="Book Antiqua"/>
          <w:color w:val="000000" w:themeColor="text1"/>
        </w:rPr>
      </w:pPr>
      <w:r w:rsidRPr="00245598">
        <w:rPr>
          <w:rFonts w:ascii="Book Antiqua" w:hAnsi="Book Antiqua"/>
          <w:color w:val="000000" w:themeColor="text1"/>
        </w:rPr>
        <w:t>A limitation of this study is the absence of a matched control population not infected with HBV. However, the tubular markers chosen here ha</w:t>
      </w:r>
      <w:r w:rsidR="003D2F49" w:rsidRPr="00245598">
        <w:rPr>
          <w:rFonts w:ascii="Book Antiqua" w:hAnsi="Book Antiqua"/>
          <w:color w:val="000000" w:themeColor="text1"/>
        </w:rPr>
        <w:t>d</w:t>
      </w:r>
      <w:r w:rsidRPr="00245598">
        <w:rPr>
          <w:rFonts w:ascii="Book Antiqua" w:hAnsi="Book Antiqua"/>
          <w:color w:val="000000" w:themeColor="text1"/>
        </w:rPr>
        <w:t xml:space="preserve"> been in use for many decades and validated in populations of healthy subjects. For instance, the adult 95% reference range for TmPi/eGFR is 0.80–1.35 mmo</w:t>
      </w:r>
      <w:r w:rsidR="003D2F49" w:rsidRPr="00245598">
        <w:rPr>
          <w:rFonts w:ascii="Book Antiqua" w:hAnsi="Book Antiqua"/>
          <w:color w:val="000000" w:themeColor="text1"/>
        </w:rPr>
        <w:t>L</w:t>
      </w:r>
      <w:r w:rsidRPr="00245598">
        <w:rPr>
          <w:rFonts w:ascii="Book Antiqua" w:hAnsi="Book Antiqua"/>
          <w:color w:val="000000" w:themeColor="text1"/>
        </w:rPr>
        <w:t>/L. Independent of age, normal values are above 0.8 mmo</w:t>
      </w:r>
      <w:r w:rsidR="003D2F49" w:rsidRPr="00245598">
        <w:rPr>
          <w:rFonts w:ascii="Book Antiqua" w:hAnsi="Book Antiqua"/>
          <w:color w:val="000000" w:themeColor="text1"/>
        </w:rPr>
        <w:t>L</w:t>
      </w:r>
      <w:r w:rsidRPr="00245598">
        <w:rPr>
          <w:rFonts w:ascii="Book Antiqua" w:hAnsi="Book Antiqua"/>
          <w:color w:val="000000" w:themeColor="text1"/>
        </w:rPr>
        <w:t xml:space="preserve">/L in healthy </w:t>
      </w:r>
      <w:proofErr w:type="gramStart"/>
      <w:r w:rsidRPr="00245598">
        <w:rPr>
          <w:rFonts w:ascii="Book Antiqua" w:hAnsi="Book Antiqua"/>
          <w:color w:val="000000" w:themeColor="text1"/>
        </w:rPr>
        <w:t>subjects</w:t>
      </w:r>
      <w:r w:rsidRPr="00245598">
        <w:rPr>
          <w:rFonts w:ascii="Book Antiqua" w:hAnsi="Book Antiqua"/>
          <w:color w:val="000000" w:themeColor="text1"/>
          <w:vertAlign w:val="superscript"/>
        </w:rPr>
        <w:t>[</w:t>
      </w:r>
      <w:proofErr w:type="gramEnd"/>
      <w:r w:rsidRPr="00245598">
        <w:rPr>
          <w:rFonts w:ascii="Book Antiqua" w:hAnsi="Book Antiqua"/>
          <w:color w:val="000000" w:themeColor="text1"/>
          <w:vertAlign w:val="superscript"/>
        </w:rPr>
        <w:t>28]</w:t>
      </w:r>
      <w:r w:rsidRPr="00245598">
        <w:rPr>
          <w:rFonts w:ascii="Book Antiqua" w:hAnsi="Book Antiqua"/>
          <w:color w:val="000000" w:themeColor="text1"/>
        </w:rPr>
        <w:t xml:space="preserve">. The normal value of FEUA is approximately 8%; values above 10% are considered to reflect a reabsorption </w:t>
      </w:r>
      <w:proofErr w:type="gramStart"/>
      <w:r w:rsidRPr="00245598">
        <w:rPr>
          <w:rFonts w:ascii="Book Antiqua" w:hAnsi="Book Antiqua"/>
          <w:color w:val="000000" w:themeColor="text1"/>
        </w:rPr>
        <w:t>defect</w:t>
      </w:r>
      <w:r w:rsidRPr="00245598">
        <w:rPr>
          <w:rFonts w:ascii="Book Antiqua" w:hAnsi="Book Antiqua"/>
          <w:color w:val="000000" w:themeColor="text1"/>
          <w:vertAlign w:val="superscript"/>
        </w:rPr>
        <w:t>[</w:t>
      </w:r>
      <w:proofErr w:type="gramEnd"/>
      <w:r w:rsidRPr="00245598">
        <w:rPr>
          <w:rFonts w:ascii="Book Antiqua" w:hAnsi="Book Antiqua"/>
          <w:color w:val="000000" w:themeColor="text1"/>
          <w:vertAlign w:val="superscript"/>
        </w:rPr>
        <w:t>29]</w:t>
      </w:r>
      <w:r w:rsidRPr="00245598">
        <w:rPr>
          <w:rFonts w:ascii="Book Antiqua" w:hAnsi="Book Antiqua"/>
          <w:color w:val="000000" w:themeColor="text1"/>
        </w:rPr>
        <w:t xml:space="preserve">. Consequently, </w:t>
      </w:r>
      <w:r w:rsidRPr="00245598">
        <w:rPr>
          <w:rFonts w:ascii="Book Antiqua" w:hAnsi="Book Antiqua"/>
          <w:color w:val="000000" w:themeColor="text1"/>
        </w:rPr>
        <w:lastRenderedPageBreak/>
        <w:t>using as a reference the normal values as defined in healthy populations, the observation that nearly 30% of the naïve HBV-monoinfected population met the definition of SPT implies a link between SPT and HBV infection.</w:t>
      </w:r>
    </w:p>
    <w:p w14:paraId="17C2BE82" w14:textId="77777777" w:rsidR="00C23B97" w:rsidRPr="00245598" w:rsidRDefault="00C23B97">
      <w:pPr>
        <w:spacing w:line="360" w:lineRule="auto"/>
        <w:jc w:val="both"/>
        <w:rPr>
          <w:rFonts w:ascii="Book Antiqua" w:hAnsi="Book Antiqua"/>
          <w:color w:val="000000" w:themeColor="text1"/>
        </w:rPr>
      </w:pPr>
    </w:p>
    <w:p w14:paraId="251350A7" w14:textId="77777777" w:rsidR="00C23B97" w:rsidRPr="00245598" w:rsidRDefault="00C23B97">
      <w:pPr>
        <w:spacing w:line="360" w:lineRule="auto"/>
        <w:jc w:val="both"/>
        <w:rPr>
          <w:rFonts w:ascii="Book Antiqua" w:hAnsi="Book Antiqua"/>
          <w:b/>
          <w:bCs/>
          <w:i/>
          <w:iCs/>
          <w:color w:val="000000" w:themeColor="text1"/>
        </w:rPr>
      </w:pPr>
      <w:r w:rsidRPr="00245598">
        <w:rPr>
          <w:rFonts w:ascii="Book Antiqua" w:hAnsi="Book Antiqua"/>
          <w:b/>
          <w:bCs/>
          <w:i/>
          <w:iCs/>
          <w:color w:val="000000" w:themeColor="text1"/>
        </w:rPr>
        <w:t>Renal insufficiency, hypophosphatemia, and hypercalciuria</w:t>
      </w:r>
    </w:p>
    <w:p w14:paraId="7109DED2" w14:textId="77777777" w:rsidR="00C23B97" w:rsidRPr="00245598" w:rsidRDefault="00C23B97">
      <w:pPr>
        <w:spacing w:line="360" w:lineRule="auto"/>
        <w:jc w:val="both"/>
        <w:rPr>
          <w:rFonts w:ascii="Book Antiqua" w:hAnsi="Book Antiqua"/>
          <w:color w:val="000000" w:themeColor="text1"/>
        </w:rPr>
      </w:pPr>
      <w:r w:rsidRPr="00245598">
        <w:rPr>
          <w:rFonts w:ascii="Book Antiqua" w:hAnsi="Book Antiqua"/>
          <w:color w:val="000000" w:themeColor="text1"/>
        </w:rPr>
        <w:t>In this study, SPT screened at baseline or during follow-up in the low renal risk population did not impact eGFR, phosphatemia, and urinary calcium at M24 of NA-therapy. Data from the literature are highly variable due to the heterogeneity of the populations in terms of renal risk factors, age, pre-existing renal insufficiency, concomitant nephrotoxic drugs, and/or HIV co-</w:t>
      </w:r>
      <w:proofErr w:type="gramStart"/>
      <w:r w:rsidRPr="00245598">
        <w:rPr>
          <w:rFonts w:ascii="Book Antiqua" w:hAnsi="Book Antiqua"/>
          <w:color w:val="000000" w:themeColor="text1"/>
        </w:rPr>
        <w:t>infection</w:t>
      </w:r>
      <w:r w:rsidRPr="00245598">
        <w:rPr>
          <w:rFonts w:ascii="Book Antiqua" w:hAnsi="Book Antiqua"/>
          <w:color w:val="000000" w:themeColor="text1"/>
          <w:vertAlign w:val="superscript"/>
        </w:rPr>
        <w:t>[</w:t>
      </w:r>
      <w:proofErr w:type="gramEnd"/>
      <w:r w:rsidRPr="00245598">
        <w:rPr>
          <w:rFonts w:ascii="Book Antiqua" w:hAnsi="Book Antiqua"/>
          <w:color w:val="000000" w:themeColor="text1"/>
          <w:vertAlign w:val="superscript"/>
        </w:rPr>
        <w:t>6,16,18]</w:t>
      </w:r>
      <w:r w:rsidRPr="00245598">
        <w:rPr>
          <w:rFonts w:ascii="Book Antiqua" w:hAnsi="Book Antiqua"/>
          <w:color w:val="000000" w:themeColor="text1"/>
        </w:rPr>
        <w:t xml:space="preserve">. </w:t>
      </w:r>
    </w:p>
    <w:p w14:paraId="22B61B6C" w14:textId="725C191D" w:rsidR="00C23B97" w:rsidRPr="00245598" w:rsidRDefault="00C23B97">
      <w:pPr>
        <w:spacing w:line="360" w:lineRule="auto"/>
        <w:ind w:firstLineChars="200" w:firstLine="480"/>
        <w:jc w:val="both"/>
        <w:rPr>
          <w:rFonts w:ascii="Book Antiqua" w:hAnsi="Book Antiqua"/>
          <w:color w:val="000000" w:themeColor="text1"/>
        </w:rPr>
      </w:pPr>
      <w:r w:rsidRPr="00245598">
        <w:rPr>
          <w:rFonts w:ascii="Book Antiqua" w:hAnsi="Book Antiqua"/>
          <w:color w:val="000000" w:themeColor="text1"/>
        </w:rPr>
        <w:t xml:space="preserve">In contrast to the results reported here, Tien </w:t>
      </w:r>
      <w:r w:rsidRPr="00245598">
        <w:rPr>
          <w:rFonts w:ascii="Book Antiqua" w:hAnsi="Book Antiqua"/>
          <w:i/>
          <w:iCs/>
          <w:color w:val="000000" w:themeColor="text1"/>
        </w:rPr>
        <w:t xml:space="preserve">et </w:t>
      </w:r>
      <w:proofErr w:type="gramStart"/>
      <w:r w:rsidRPr="00245598">
        <w:rPr>
          <w:rFonts w:ascii="Book Antiqua" w:hAnsi="Book Antiqua"/>
          <w:i/>
          <w:iCs/>
          <w:color w:val="000000" w:themeColor="text1"/>
        </w:rPr>
        <w:t>al</w:t>
      </w:r>
      <w:r w:rsidR="0092313C" w:rsidRPr="00245598">
        <w:rPr>
          <w:rFonts w:ascii="Book Antiqua" w:hAnsi="Book Antiqua"/>
          <w:color w:val="000000" w:themeColor="text1"/>
          <w:vertAlign w:val="superscript"/>
        </w:rPr>
        <w:t>[</w:t>
      </w:r>
      <w:proofErr w:type="gramEnd"/>
      <w:r w:rsidR="0092313C" w:rsidRPr="00245598">
        <w:rPr>
          <w:rFonts w:ascii="Book Antiqua" w:hAnsi="Book Antiqua"/>
          <w:color w:val="000000" w:themeColor="text1"/>
          <w:vertAlign w:val="superscript"/>
        </w:rPr>
        <w:t>20]</w:t>
      </w:r>
      <w:r w:rsidRPr="00245598">
        <w:rPr>
          <w:rFonts w:ascii="Book Antiqua" w:hAnsi="Book Antiqua"/>
          <w:color w:val="000000" w:themeColor="text1"/>
        </w:rPr>
        <w:t xml:space="preserve"> found that the eGFR was lower in the ETV- and TDF-treated groups compared to the naïve group (</w:t>
      </w:r>
      <w:r w:rsidRPr="00245598">
        <w:rPr>
          <w:rFonts w:ascii="Book Antiqua" w:hAnsi="Book Antiqua"/>
          <w:i/>
          <w:iCs/>
          <w:color w:val="000000" w:themeColor="text1"/>
        </w:rPr>
        <w:t>P</w:t>
      </w:r>
      <w:r w:rsidRPr="00245598">
        <w:rPr>
          <w:rFonts w:ascii="Book Antiqua" w:hAnsi="Book Antiqua"/>
          <w:color w:val="000000" w:themeColor="text1"/>
        </w:rPr>
        <w:t xml:space="preserve"> = 0.002) but not significantly different between the ETV- and TDF-treated groups</w:t>
      </w:r>
      <w:r w:rsidRPr="00245598">
        <w:rPr>
          <w:rFonts w:ascii="Book Antiqua" w:hAnsi="Book Antiqua"/>
          <w:color w:val="000000" w:themeColor="text1"/>
          <w:vertAlign w:val="superscript"/>
        </w:rPr>
        <w:t>[20]</w:t>
      </w:r>
      <w:r w:rsidRPr="00245598">
        <w:rPr>
          <w:rFonts w:ascii="Book Antiqua" w:hAnsi="Book Antiqua"/>
          <w:color w:val="000000" w:themeColor="text1"/>
        </w:rPr>
        <w:t xml:space="preserve">. However, the decline in eGFR correlated with age and not with antiviral treatment. Further, their study design did not allow for any conclusions regarding an association between the observed reduction in eGFR and changes in tubular function (TmPi/eGFR). </w:t>
      </w:r>
    </w:p>
    <w:p w14:paraId="3F46BEE6" w14:textId="5BE5540C" w:rsidR="00C23B97" w:rsidRPr="00245598" w:rsidRDefault="00C23B97">
      <w:pPr>
        <w:spacing w:line="360" w:lineRule="auto"/>
        <w:ind w:firstLineChars="200" w:firstLine="480"/>
        <w:jc w:val="both"/>
        <w:rPr>
          <w:rFonts w:ascii="Book Antiqua" w:hAnsi="Book Antiqua"/>
          <w:color w:val="000000" w:themeColor="text1"/>
        </w:rPr>
      </w:pPr>
      <w:r w:rsidRPr="00245598">
        <w:rPr>
          <w:rFonts w:ascii="Book Antiqua" w:hAnsi="Book Antiqua"/>
          <w:color w:val="000000" w:themeColor="text1"/>
        </w:rPr>
        <w:t xml:space="preserve">In a prospective, single-center study, </w:t>
      </w:r>
      <w:r w:rsidR="00681BD7" w:rsidRPr="00245598">
        <w:rPr>
          <w:rFonts w:ascii="Book Antiqua" w:hAnsi="Book Antiqua"/>
          <w:color w:val="000000" w:themeColor="text1"/>
        </w:rPr>
        <w:t>Viganò</w:t>
      </w:r>
      <w:r w:rsidRPr="00245598">
        <w:rPr>
          <w:rFonts w:ascii="Book Antiqua" w:hAnsi="Book Antiqua"/>
          <w:color w:val="000000" w:themeColor="text1"/>
        </w:rPr>
        <w:t xml:space="preserve"> </w:t>
      </w:r>
      <w:r w:rsidRPr="00245598">
        <w:rPr>
          <w:rFonts w:ascii="Book Antiqua" w:hAnsi="Book Antiqua"/>
          <w:i/>
          <w:iCs/>
          <w:color w:val="000000" w:themeColor="text1"/>
        </w:rPr>
        <w:t xml:space="preserve">et </w:t>
      </w:r>
      <w:proofErr w:type="gramStart"/>
      <w:r w:rsidRPr="00245598">
        <w:rPr>
          <w:rFonts w:ascii="Book Antiqua" w:hAnsi="Book Antiqua"/>
          <w:i/>
          <w:iCs/>
          <w:color w:val="000000" w:themeColor="text1"/>
        </w:rPr>
        <w:t>al</w:t>
      </w:r>
      <w:r w:rsidR="00EC17F1" w:rsidRPr="00245598">
        <w:rPr>
          <w:rFonts w:ascii="Book Antiqua" w:hAnsi="Book Antiqua"/>
          <w:color w:val="000000" w:themeColor="text1"/>
          <w:vertAlign w:val="superscript"/>
        </w:rPr>
        <w:t>[</w:t>
      </w:r>
      <w:proofErr w:type="gramEnd"/>
      <w:r w:rsidR="00EC17F1" w:rsidRPr="00245598">
        <w:rPr>
          <w:rFonts w:ascii="Book Antiqua" w:hAnsi="Book Antiqua"/>
          <w:color w:val="000000" w:themeColor="text1"/>
          <w:vertAlign w:val="superscript"/>
        </w:rPr>
        <w:t>30]</w:t>
      </w:r>
      <w:r w:rsidR="00EC17F1" w:rsidRPr="00245598">
        <w:rPr>
          <w:rFonts w:ascii="Book Antiqua" w:hAnsi="Book Antiqua"/>
          <w:color w:val="000000" w:themeColor="text1"/>
        </w:rPr>
        <w:t xml:space="preserve"> </w:t>
      </w:r>
      <w:r w:rsidRPr="00245598">
        <w:rPr>
          <w:rFonts w:ascii="Book Antiqua" w:hAnsi="Book Antiqua"/>
          <w:color w:val="000000" w:themeColor="text1"/>
        </w:rPr>
        <w:t>evaluated the prevalence and incidence of hypophosphatemia and hyperphosphaturia within a median duration of 27 mo in 156 NA-naïve patients receiving TDF</w:t>
      </w:r>
      <w:r w:rsidRPr="00245598">
        <w:rPr>
          <w:rFonts w:ascii="Book Antiqua" w:hAnsi="Book Antiqua"/>
          <w:color w:val="000000" w:themeColor="text1"/>
          <w:vertAlign w:val="superscript"/>
        </w:rPr>
        <w:t>[30]</w:t>
      </w:r>
      <w:r w:rsidRPr="00245598">
        <w:rPr>
          <w:rFonts w:ascii="Book Antiqua" w:hAnsi="Book Antiqua"/>
          <w:color w:val="000000" w:themeColor="text1"/>
        </w:rPr>
        <w:t xml:space="preserve">. During the follow-up, hyperphosphaturia appeared </w:t>
      </w:r>
      <w:r w:rsidRPr="00245598">
        <w:rPr>
          <w:rFonts w:ascii="Book Antiqua" w:hAnsi="Book Antiqua"/>
          <w:i/>
          <w:iCs/>
          <w:color w:val="000000" w:themeColor="text1"/>
        </w:rPr>
        <w:t>de novo</w:t>
      </w:r>
      <w:r w:rsidRPr="00245598">
        <w:rPr>
          <w:rFonts w:ascii="Book Antiqua" w:hAnsi="Book Antiqua"/>
          <w:color w:val="000000" w:themeColor="text1"/>
        </w:rPr>
        <w:t xml:space="preserve"> in 26% of the patients, of whom only 4% developed mild hypophosphatemia (</w:t>
      </w:r>
      <w:r w:rsidR="00C71C9D" w:rsidRPr="00245598">
        <w:rPr>
          <w:rFonts w:ascii="Book Antiqua" w:eastAsia="宋体" w:hAnsi="Book Antiqua" w:hint="eastAsia"/>
          <w:color w:val="000000" w:themeColor="text1"/>
        </w:rPr>
        <w:t>≤</w:t>
      </w:r>
      <w:r w:rsidRPr="00245598">
        <w:rPr>
          <w:rFonts w:ascii="Book Antiqua" w:hAnsi="Book Antiqua"/>
          <w:color w:val="000000" w:themeColor="text1"/>
        </w:rPr>
        <w:t xml:space="preserve"> 2.5 mg/</w:t>
      </w:r>
      <w:proofErr w:type="gramStart"/>
      <w:r w:rsidRPr="00245598">
        <w:rPr>
          <w:rFonts w:ascii="Book Antiqua" w:hAnsi="Book Antiqua"/>
          <w:color w:val="000000" w:themeColor="text1"/>
        </w:rPr>
        <w:t>dL)</w:t>
      </w:r>
      <w:r w:rsidRPr="00245598">
        <w:rPr>
          <w:rFonts w:ascii="Book Antiqua" w:hAnsi="Book Antiqua"/>
          <w:color w:val="000000" w:themeColor="text1"/>
          <w:vertAlign w:val="superscript"/>
        </w:rPr>
        <w:t>[</w:t>
      </w:r>
      <w:proofErr w:type="gramEnd"/>
      <w:r w:rsidRPr="00245598">
        <w:rPr>
          <w:rFonts w:ascii="Book Antiqua" w:hAnsi="Book Antiqua"/>
          <w:color w:val="000000" w:themeColor="text1"/>
          <w:vertAlign w:val="superscript"/>
        </w:rPr>
        <w:t>30]</w:t>
      </w:r>
      <w:r w:rsidRPr="00245598">
        <w:rPr>
          <w:rFonts w:ascii="Book Antiqua" w:hAnsi="Book Antiqua"/>
          <w:color w:val="000000" w:themeColor="text1"/>
        </w:rPr>
        <w:t>. None of the hypophosphatemia patients developed a severe, diffuse stage of tubulopathy that is characteristic of Fanconi syndrome.</w:t>
      </w:r>
    </w:p>
    <w:p w14:paraId="18164E08" w14:textId="77777777" w:rsidR="00C23B97" w:rsidRPr="00245598" w:rsidRDefault="00C23B97">
      <w:pPr>
        <w:spacing w:line="360" w:lineRule="auto"/>
        <w:ind w:firstLineChars="200" w:firstLine="480"/>
        <w:jc w:val="both"/>
        <w:rPr>
          <w:rFonts w:ascii="Book Antiqua" w:hAnsi="Book Antiqua"/>
          <w:color w:val="000000" w:themeColor="text1"/>
        </w:rPr>
      </w:pPr>
      <w:r w:rsidRPr="00245598">
        <w:rPr>
          <w:rFonts w:ascii="Book Antiqua" w:hAnsi="Book Antiqua"/>
          <w:color w:val="000000" w:themeColor="text1"/>
        </w:rPr>
        <w:t>The occurrence of hypophosphatemia following a correction of 25(OH)D3 deficiency reflects major perturbation in proximal tubular function in which compensatory mechanisms are exceeded. Cases of Fanconi syndrome are exceptional in HBV-monoinfected patients and have been described only with nucleotide analogues (</w:t>
      </w:r>
      <w:r w:rsidRPr="00245598">
        <w:rPr>
          <w:rFonts w:ascii="Book Antiqua" w:hAnsi="Book Antiqua"/>
          <w:i/>
          <w:iCs/>
          <w:color w:val="000000" w:themeColor="text1"/>
        </w:rPr>
        <w:t>e.g.</w:t>
      </w:r>
      <w:r w:rsidRPr="00245598">
        <w:rPr>
          <w:rFonts w:ascii="Book Antiqua" w:hAnsi="Book Antiqua"/>
          <w:color w:val="000000" w:themeColor="text1"/>
        </w:rPr>
        <w:t xml:space="preserve">, adefovir and exceptionally, </w:t>
      </w:r>
      <w:proofErr w:type="gramStart"/>
      <w:r w:rsidRPr="00245598">
        <w:rPr>
          <w:rFonts w:ascii="Book Antiqua" w:hAnsi="Book Antiqua"/>
          <w:color w:val="000000" w:themeColor="text1"/>
        </w:rPr>
        <w:t>TDF)</w:t>
      </w:r>
      <w:r w:rsidRPr="00245598">
        <w:rPr>
          <w:rFonts w:ascii="Book Antiqua" w:hAnsi="Book Antiqua"/>
          <w:color w:val="000000" w:themeColor="text1"/>
          <w:vertAlign w:val="superscript"/>
        </w:rPr>
        <w:t>[</w:t>
      </w:r>
      <w:proofErr w:type="gramEnd"/>
      <w:r w:rsidRPr="00245598">
        <w:rPr>
          <w:rFonts w:ascii="Book Antiqua" w:hAnsi="Book Antiqua"/>
          <w:color w:val="000000" w:themeColor="text1"/>
          <w:vertAlign w:val="superscript"/>
        </w:rPr>
        <w:t>31–33]</w:t>
      </w:r>
      <w:r w:rsidRPr="00245598">
        <w:rPr>
          <w:rFonts w:ascii="Book Antiqua" w:hAnsi="Book Antiqua"/>
          <w:color w:val="000000" w:themeColor="text1"/>
        </w:rPr>
        <w:t xml:space="preserve">. Regarding bone toxicity, the "MENTE" study </w:t>
      </w:r>
      <w:r w:rsidRPr="00245598">
        <w:rPr>
          <w:rFonts w:ascii="Book Antiqua" w:hAnsi="Book Antiqua"/>
          <w:color w:val="000000" w:themeColor="text1"/>
        </w:rPr>
        <w:lastRenderedPageBreak/>
        <w:t xml:space="preserve">failed to find a clear association between SPT and abnormal markers of bone </w:t>
      </w:r>
      <w:proofErr w:type="gramStart"/>
      <w:r w:rsidRPr="00245598">
        <w:rPr>
          <w:rFonts w:ascii="Book Antiqua" w:hAnsi="Book Antiqua"/>
          <w:color w:val="000000" w:themeColor="text1"/>
        </w:rPr>
        <w:t>remodeling</w:t>
      </w:r>
      <w:r w:rsidRPr="00245598">
        <w:rPr>
          <w:rFonts w:ascii="Book Antiqua" w:hAnsi="Book Antiqua"/>
          <w:color w:val="000000" w:themeColor="text1"/>
          <w:vertAlign w:val="superscript"/>
        </w:rPr>
        <w:t>[</w:t>
      </w:r>
      <w:proofErr w:type="gramEnd"/>
      <w:r w:rsidRPr="00245598">
        <w:rPr>
          <w:rFonts w:ascii="Book Antiqua" w:hAnsi="Book Antiqua"/>
          <w:color w:val="000000" w:themeColor="text1"/>
          <w:vertAlign w:val="superscript"/>
        </w:rPr>
        <w:t>21]</w:t>
      </w:r>
      <w:r w:rsidRPr="00245598">
        <w:rPr>
          <w:rFonts w:ascii="Book Antiqua" w:hAnsi="Book Antiqua"/>
          <w:color w:val="000000" w:themeColor="text1"/>
        </w:rPr>
        <w:t xml:space="preserve">.  </w:t>
      </w:r>
    </w:p>
    <w:p w14:paraId="2ABC3F88" w14:textId="77777777" w:rsidR="00C23B97" w:rsidRPr="00245598" w:rsidRDefault="00C23B97">
      <w:pPr>
        <w:spacing w:line="360" w:lineRule="auto"/>
        <w:ind w:firstLineChars="200" w:firstLine="480"/>
        <w:jc w:val="both"/>
        <w:rPr>
          <w:rFonts w:ascii="Book Antiqua" w:hAnsi="Book Antiqua"/>
          <w:color w:val="000000" w:themeColor="text1"/>
        </w:rPr>
      </w:pPr>
      <w:r w:rsidRPr="00245598">
        <w:rPr>
          <w:rFonts w:ascii="Book Antiqua" w:hAnsi="Book Antiqua"/>
          <w:color w:val="000000" w:themeColor="text1"/>
        </w:rPr>
        <w:t>In summary, the few studies focusing on SPT following NA treatment are mainly cross-sectional and consequently do not allow for the long-term evaluation of their effects on renal and bone health. This prospective study suggests that, in low renal risk patients, SPT does not have clinical impacts on renal or bone health at M24.</w:t>
      </w:r>
    </w:p>
    <w:p w14:paraId="12DE07D8" w14:textId="77777777" w:rsidR="00C23B97" w:rsidRPr="00245598" w:rsidRDefault="00C23B97">
      <w:pPr>
        <w:spacing w:line="360" w:lineRule="auto"/>
        <w:jc w:val="both"/>
        <w:rPr>
          <w:rFonts w:ascii="Book Antiqua" w:hAnsi="Book Antiqua"/>
          <w:color w:val="000000" w:themeColor="text1"/>
        </w:rPr>
      </w:pPr>
    </w:p>
    <w:p w14:paraId="6ADFAF3A" w14:textId="77777777" w:rsidR="00C23B97" w:rsidRPr="00245598" w:rsidRDefault="00C23B97">
      <w:pPr>
        <w:spacing w:line="360" w:lineRule="auto"/>
        <w:jc w:val="both"/>
        <w:rPr>
          <w:rFonts w:ascii="Book Antiqua" w:hAnsi="Book Antiqua"/>
          <w:b/>
          <w:bCs/>
          <w:i/>
          <w:iCs/>
          <w:color w:val="000000" w:themeColor="text1"/>
        </w:rPr>
      </w:pPr>
      <w:r w:rsidRPr="00245598">
        <w:rPr>
          <w:rFonts w:ascii="Book Antiqua" w:hAnsi="Book Antiqua"/>
          <w:b/>
          <w:bCs/>
          <w:i/>
          <w:iCs/>
          <w:color w:val="000000" w:themeColor="text1"/>
        </w:rPr>
        <w:t>25(OH)D3 insufficiency</w:t>
      </w:r>
    </w:p>
    <w:p w14:paraId="22522208" w14:textId="2E039D1E" w:rsidR="00C23B97" w:rsidRPr="00245598" w:rsidRDefault="00C23B97">
      <w:pPr>
        <w:spacing w:line="360" w:lineRule="auto"/>
        <w:jc w:val="both"/>
        <w:rPr>
          <w:rFonts w:ascii="Book Antiqua" w:hAnsi="Book Antiqua"/>
          <w:color w:val="000000" w:themeColor="text1"/>
        </w:rPr>
      </w:pPr>
      <w:r w:rsidRPr="00245598">
        <w:rPr>
          <w:rFonts w:ascii="Book Antiqua" w:hAnsi="Book Antiqua"/>
          <w:color w:val="000000" w:themeColor="text1"/>
        </w:rPr>
        <w:t xml:space="preserve">In this study, the prevalence of 25(OH)D3 insufficiency and severe deficiency was 66.9% and 25.4% at baseline and 84.7% and 7.1% at M24, respectively, despite iterative supplementation. These results are very similar to those reported in the literature. In the Maggi study, which evaluated renal and bone toxicity in chronic hepatitis B patients treated with lamivudine and adefovir, the prevalence of vitamin D insufficiency and severe deficiency was 72.2% and 20.4%, </w:t>
      </w:r>
      <w:proofErr w:type="gramStart"/>
      <w:r w:rsidRPr="00245598">
        <w:rPr>
          <w:rFonts w:ascii="Book Antiqua" w:hAnsi="Book Antiqua"/>
          <w:color w:val="000000" w:themeColor="text1"/>
        </w:rPr>
        <w:t>respectively</w:t>
      </w:r>
      <w:r w:rsidRPr="00245598">
        <w:rPr>
          <w:rFonts w:ascii="Book Antiqua" w:hAnsi="Book Antiqua"/>
          <w:color w:val="000000" w:themeColor="text1"/>
          <w:vertAlign w:val="superscript"/>
        </w:rPr>
        <w:t>[</w:t>
      </w:r>
      <w:proofErr w:type="gramEnd"/>
      <w:r w:rsidRPr="00245598">
        <w:rPr>
          <w:rFonts w:ascii="Book Antiqua" w:hAnsi="Book Antiqua"/>
          <w:color w:val="000000" w:themeColor="text1"/>
          <w:vertAlign w:val="superscript"/>
        </w:rPr>
        <w:t>34]</w:t>
      </w:r>
      <w:r w:rsidRPr="00245598">
        <w:rPr>
          <w:rFonts w:ascii="Book Antiqua" w:hAnsi="Book Antiqua"/>
          <w:color w:val="000000" w:themeColor="text1"/>
        </w:rPr>
        <w:t xml:space="preserve">. Vitamin D insufficiency is common in chronic liver disease irrespective of </w:t>
      </w:r>
      <w:proofErr w:type="gramStart"/>
      <w:r w:rsidRPr="00245598">
        <w:rPr>
          <w:rFonts w:ascii="Book Antiqua" w:hAnsi="Book Antiqua"/>
          <w:color w:val="000000" w:themeColor="text1"/>
        </w:rPr>
        <w:t>etiology</w:t>
      </w:r>
      <w:r w:rsidRPr="00245598">
        <w:rPr>
          <w:rFonts w:ascii="Book Antiqua" w:hAnsi="Book Antiqua"/>
          <w:color w:val="000000" w:themeColor="text1"/>
          <w:vertAlign w:val="superscript"/>
        </w:rPr>
        <w:t>[</w:t>
      </w:r>
      <w:proofErr w:type="gramEnd"/>
      <w:r w:rsidRPr="00245598">
        <w:rPr>
          <w:rFonts w:ascii="Book Antiqua" w:hAnsi="Book Antiqua"/>
          <w:color w:val="000000" w:themeColor="text1"/>
          <w:vertAlign w:val="superscript"/>
        </w:rPr>
        <w:t>35]</w:t>
      </w:r>
      <w:r w:rsidRPr="00245598">
        <w:rPr>
          <w:rFonts w:ascii="Book Antiqua" w:hAnsi="Book Antiqua"/>
          <w:color w:val="000000" w:themeColor="text1"/>
        </w:rPr>
        <w:t xml:space="preserve">. Additionally, 25(OH)D3 has been suggested to increase tubular reabsorption of phosphate, in particular by directly modifying the lipid structure of the cell membrane of proximal tubular </w:t>
      </w:r>
      <w:proofErr w:type="gramStart"/>
      <w:r w:rsidRPr="00245598">
        <w:rPr>
          <w:rFonts w:ascii="Book Antiqua" w:hAnsi="Book Antiqua"/>
          <w:color w:val="000000" w:themeColor="text1"/>
        </w:rPr>
        <w:t>cells</w:t>
      </w:r>
      <w:r w:rsidRPr="00245598">
        <w:rPr>
          <w:rFonts w:ascii="Book Antiqua" w:hAnsi="Book Antiqua"/>
          <w:color w:val="000000" w:themeColor="text1"/>
          <w:vertAlign w:val="superscript"/>
        </w:rPr>
        <w:t>[</w:t>
      </w:r>
      <w:proofErr w:type="gramEnd"/>
      <w:r w:rsidRPr="00245598">
        <w:rPr>
          <w:rFonts w:ascii="Book Antiqua" w:hAnsi="Book Antiqua"/>
          <w:color w:val="000000" w:themeColor="text1"/>
          <w:vertAlign w:val="superscript"/>
        </w:rPr>
        <w:t>36]</w:t>
      </w:r>
      <w:r w:rsidRPr="00245598">
        <w:rPr>
          <w:rFonts w:ascii="Book Antiqua" w:hAnsi="Book Antiqua"/>
          <w:color w:val="000000" w:themeColor="text1"/>
        </w:rPr>
        <w:t>. In line with this hypothesis, the patients in this study had their 25(OH)D3</w:t>
      </w:r>
      <w:r w:rsidR="00F81248" w:rsidRPr="00245598">
        <w:rPr>
          <w:rFonts w:ascii="Book Antiqua" w:hAnsi="Book Antiqua"/>
          <w:color w:val="000000" w:themeColor="text1"/>
        </w:rPr>
        <w:t xml:space="preserve"> </w:t>
      </w:r>
      <w:r w:rsidRPr="00245598">
        <w:rPr>
          <w:rFonts w:ascii="Book Antiqua" w:hAnsi="Book Antiqua"/>
          <w:color w:val="000000" w:themeColor="text1"/>
        </w:rPr>
        <w:t xml:space="preserve">levels measured and supplemented to limit renal phosphate loss and misinterpretation of TmPi/eGFR levels. </w:t>
      </w:r>
    </w:p>
    <w:p w14:paraId="43F05E5A" w14:textId="77777777" w:rsidR="00C23B97" w:rsidRPr="00245598" w:rsidRDefault="00C23B97">
      <w:pPr>
        <w:spacing w:line="360" w:lineRule="auto"/>
        <w:jc w:val="both"/>
        <w:rPr>
          <w:rFonts w:ascii="Book Antiqua" w:hAnsi="Book Antiqua"/>
          <w:color w:val="000000" w:themeColor="text1"/>
        </w:rPr>
      </w:pPr>
    </w:p>
    <w:p w14:paraId="77608D8A" w14:textId="77777777" w:rsidR="00C23B97" w:rsidRPr="00245598" w:rsidRDefault="00C23B97">
      <w:pPr>
        <w:spacing w:line="360" w:lineRule="auto"/>
        <w:jc w:val="both"/>
        <w:rPr>
          <w:rFonts w:ascii="Book Antiqua" w:hAnsi="Book Antiqua"/>
          <w:b/>
          <w:bCs/>
          <w:i/>
          <w:iCs/>
          <w:color w:val="000000" w:themeColor="text1"/>
        </w:rPr>
      </w:pPr>
      <w:r w:rsidRPr="00245598">
        <w:rPr>
          <w:rFonts w:ascii="Book Antiqua" w:hAnsi="Book Antiqua"/>
          <w:b/>
          <w:bCs/>
          <w:i/>
          <w:iCs/>
          <w:color w:val="000000" w:themeColor="text1"/>
        </w:rPr>
        <w:t>Limitations of the study</w:t>
      </w:r>
    </w:p>
    <w:p w14:paraId="4E22E815" w14:textId="3B4AE885" w:rsidR="00C23B97" w:rsidRPr="00245598" w:rsidRDefault="00C23B97">
      <w:pPr>
        <w:spacing w:line="360" w:lineRule="auto"/>
        <w:jc w:val="both"/>
        <w:rPr>
          <w:rFonts w:ascii="Book Antiqua" w:hAnsi="Book Antiqua"/>
          <w:color w:val="000000" w:themeColor="text1"/>
        </w:rPr>
      </w:pPr>
      <w:r w:rsidRPr="00245598">
        <w:rPr>
          <w:rFonts w:ascii="Book Antiqua" w:hAnsi="Book Antiqua"/>
          <w:color w:val="000000" w:themeColor="text1"/>
        </w:rPr>
        <w:t>The main limitation of this study was the small number of patients who completed SPT marker</w:t>
      </w:r>
      <w:r w:rsidR="00E956AF" w:rsidRPr="00245598">
        <w:rPr>
          <w:rFonts w:ascii="Book Antiqua" w:hAnsi="Book Antiqua"/>
          <w:color w:val="000000" w:themeColor="text1"/>
        </w:rPr>
        <w:t>s</w:t>
      </w:r>
      <w:r w:rsidRPr="00245598">
        <w:rPr>
          <w:rFonts w:ascii="Book Antiqua" w:hAnsi="Book Antiqua"/>
          <w:color w:val="000000" w:themeColor="text1"/>
        </w:rPr>
        <w:t xml:space="preserve"> follow-up. Also, some missing SPT markers were substituted with values from the nearest available date (&lt; 3 mo). Moreover, the choice of the primary endpoint (TmPi/eGFR &lt; 0.8 mmo</w:t>
      </w:r>
      <w:r w:rsidR="00873616" w:rsidRPr="00245598">
        <w:rPr>
          <w:rFonts w:ascii="Book Antiqua" w:hAnsi="Book Antiqua"/>
          <w:color w:val="000000" w:themeColor="text1"/>
        </w:rPr>
        <w:t>L</w:t>
      </w:r>
      <w:r w:rsidRPr="00245598">
        <w:rPr>
          <w:rFonts w:ascii="Book Antiqua" w:hAnsi="Book Antiqua"/>
          <w:color w:val="000000" w:themeColor="text1"/>
        </w:rPr>
        <w:t>/L and/or FEUA &gt; 10%) favored sensitivity over specificity. When the two markers, TmPi/eGFR &lt; 0.8 mmo</w:t>
      </w:r>
      <w:r w:rsidR="00553357" w:rsidRPr="00245598">
        <w:rPr>
          <w:rFonts w:ascii="Book Antiqua" w:hAnsi="Book Antiqua"/>
          <w:color w:val="000000" w:themeColor="text1"/>
        </w:rPr>
        <w:t>L</w:t>
      </w:r>
      <w:r w:rsidRPr="00245598">
        <w:rPr>
          <w:rFonts w:ascii="Book Antiqua" w:hAnsi="Book Antiqua"/>
          <w:color w:val="000000" w:themeColor="text1"/>
        </w:rPr>
        <w:t xml:space="preserve">/L and FEUA &gt; 10%, were combined, the prevalence of SPT was 2.6%, 0%, and 9.5% in the naïve, ETV, and TDF groups, respectively, with no significant differences among the groups. </w:t>
      </w:r>
    </w:p>
    <w:p w14:paraId="2C2E5EB2" w14:textId="14620347" w:rsidR="00C23B97" w:rsidRPr="00245598" w:rsidRDefault="00C23B97">
      <w:pPr>
        <w:spacing w:line="360" w:lineRule="auto"/>
        <w:ind w:firstLineChars="200" w:firstLine="480"/>
        <w:jc w:val="both"/>
        <w:rPr>
          <w:rFonts w:ascii="Book Antiqua" w:hAnsi="Book Antiqua"/>
          <w:color w:val="000000" w:themeColor="text1"/>
        </w:rPr>
      </w:pPr>
      <w:r w:rsidRPr="00245598">
        <w:rPr>
          <w:rFonts w:ascii="Book Antiqua" w:hAnsi="Book Antiqua"/>
          <w:color w:val="000000" w:themeColor="text1"/>
        </w:rPr>
        <w:lastRenderedPageBreak/>
        <w:t>The absence of randomization could have generated a selection bias as baseline parameters potentially influencing renal function might not have been well-balanced in the treatment assignments, which were selected by the investigator. However, these potential confounders were limited in the overall population, which was characterized by a young age (median, 37.5 years) and very few renal comorbidities.</w:t>
      </w:r>
    </w:p>
    <w:p w14:paraId="09F3B02E" w14:textId="20043F93" w:rsidR="00C23B97" w:rsidRPr="00245598" w:rsidRDefault="00C23B97">
      <w:pPr>
        <w:autoSpaceDE w:val="0"/>
        <w:autoSpaceDN w:val="0"/>
        <w:adjustRightInd w:val="0"/>
        <w:spacing w:line="360" w:lineRule="auto"/>
        <w:ind w:firstLineChars="200" w:firstLine="480"/>
        <w:jc w:val="both"/>
        <w:rPr>
          <w:rFonts w:ascii="Book Antiqua" w:hAnsi="Book Antiqua"/>
          <w:color w:val="000000" w:themeColor="text1"/>
        </w:rPr>
      </w:pPr>
      <w:r w:rsidRPr="00245598">
        <w:rPr>
          <w:rFonts w:ascii="Book Antiqua" w:hAnsi="Book Antiqua"/>
          <w:color w:val="000000" w:themeColor="text1"/>
        </w:rPr>
        <w:t xml:space="preserve">The dose-dependence of tubular toxicity caused by NAs could have been explored, especially with TDF. Unfortunately, TDF dosages were not readily available and were not recommended at the time of this study. Gene polymorphisms in the transporter proteins involved in TDF elimination (ABCC2 or ABCC4 genes) have been linked to renal tubular damage, implying that overexposure to TDF could cause kidney tubular cell damage. In HIV-infected patients, </w:t>
      </w:r>
      <w:r w:rsidR="00681BD7" w:rsidRPr="00245598">
        <w:rPr>
          <w:rFonts w:ascii="Book Antiqua" w:hAnsi="Book Antiqua"/>
          <w:color w:val="000000" w:themeColor="text1"/>
        </w:rPr>
        <w:t>Rodríguez-Nóvoa</w:t>
      </w:r>
      <w:r w:rsidRPr="00245598">
        <w:rPr>
          <w:rFonts w:ascii="Book Antiqua" w:hAnsi="Book Antiqua"/>
          <w:color w:val="000000" w:themeColor="text1"/>
        </w:rPr>
        <w:t xml:space="preserve"> </w:t>
      </w:r>
      <w:r w:rsidRPr="00245598">
        <w:rPr>
          <w:rFonts w:ascii="Book Antiqua" w:hAnsi="Book Antiqua"/>
          <w:i/>
          <w:iCs/>
          <w:color w:val="000000" w:themeColor="text1"/>
        </w:rPr>
        <w:t xml:space="preserve">et </w:t>
      </w:r>
      <w:proofErr w:type="gramStart"/>
      <w:r w:rsidRPr="00245598">
        <w:rPr>
          <w:rFonts w:ascii="Book Antiqua" w:hAnsi="Book Antiqua"/>
          <w:i/>
          <w:iCs/>
          <w:color w:val="000000" w:themeColor="text1"/>
        </w:rPr>
        <w:t>al</w:t>
      </w:r>
      <w:r w:rsidR="00701E39" w:rsidRPr="00245598">
        <w:rPr>
          <w:rFonts w:ascii="Book Antiqua" w:hAnsi="Book Antiqua"/>
          <w:color w:val="000000" w:themeColor="text1"/>
          <w:vertAlign w:val="superscript"/>
        </w:rPr>
        <w:t>[</w:t>
      </w:r>
      <w:proofErr w:type="gramEnd"/>
      <w:r w:rsidR="00701E39" w:rsidRPr="00245598">
        <w:rPr>
          <w:rFonts w:ascii="Book Antiqua" w:hAnsi="Book Antiqua"/>
          <w:color w:val="000000" w:themeColor="text1"/>
          <w:vertAlign w:val="superscript"/>
        </w:rPr>
        <w:t>37]</w:t>
      </w:r>
      <w:r w:rsidRPr="00245598">
        <w:rPr>
          <w:rFonts w:ascii="Book Antiqua" w:hAnsi="Book Antiqua"/>
          <w:color w:val="000000" w:themeColor="text1"/>
        </w:rPr>
        <w:t xml:space="preserve"> reported that median TDF plasma trough concentration was higher in patients with SPT as defined by the same early markers used in this study. However, even if this result implies cumulative toxicity, whether elevated TDF plasma concentration causes the development of SPT could not be determined due to their cross-sectional analysis. </w:t>
      </w:r>
    </w:p>
    <w:p w14:paraId="64BA7C32" w14:textId="77777777" w:rsidR="00C23B97" w:rsidRPr="00245598" w:rsidRDefault="00C23B97">
      <w:pPr>
        <w:spacing w:line="360" w:lineRule="auto"/>
        <w:ind w:firstLineChars="200" w:firstLine="480"/>
        <w:jc w:val="both"/>
        <w:rPr>
          <w:rFonts w:ascii="Book Antiqua" w:hAnsi="Book Antiqua"/>
          <w:color w:val="000000" w:themeColor="text1"/>
        </w:rPr>
      </w:pPr>
      <w:r w:rsidRPr="00245598">
        <w:rPr>
          <w:rFonts w:ascii="Book Antiqua" w:hAnsi="Book Antiqua"/>
          <w:color w:val="000000" w:themeColor="text1"/>
        </w:rPr>
        <w:t xml:space="preserve">The overexposure of tenofovir has so far been suggested but not proven in terms of the mechanism of toxicity. Indeed, the mechanism underlying tubular toxicity is probably not singular and could involve a cumulative dose effect; a recent paper proposed progressive mitochondrial dysfunction as a mechanism of TDF tubular </w:t>
      </w:r>
      <w:proofErr w:type="gramStart"/>
      <w:r w:rsidRPr="00245598">
        <w:rPr>
          <w:rFonts w:ascii="Book Antiqua" w:hAnsi="Book Antiqua"/>
          <w:color w:val="000000" w:themeColor="text1"/>
        </w:rPr>
        <w:t>toxicity</w:t>
      </w:r>
      <w:r w:rsidRPr="00245598">
        <w:rPr>
          <w:rFonts w:ascii="Book Antiqua" w:hAnsi="Book Antiqua"/>
          <w:color w:val="000000" w:themeColor="text1"/>
          <w:vertAlign w:val="superscript"/>
        </w:rPr>
        <w:t>[</w:t>
      </w:r>
      <w:proofErr w:type="gramEnd"/>
      <w:r w:rsidRPr="00245598">
        <w:rPr>
          <w:rFonts w:ascii="Book Antiqua" w:hAnsi="Book Antiqua"/>
          <w:color w:val="000000" w:themeColor="text1"/>
          <w:vertAlign w:val="superscript"/>
        </w:rPr>
        <w:t>38]</w:t>
      </w:r>
      <w:r w:rsidRPr="00245598">
        <w:rPr>
          <w:rFonts w:ascii="Book Antiqua" w:hAnsi="Book Antiqua"/>
          <w:color w:val="000000" w:themeColor="text1"/>
        </w:rPr>
        <w:t>.</w:t>
      </w:r>
    </w:p>
    <w:p w14:paraId="613B7FCD" w14:textId="77777777" w:rsidR="00C23B97" w:rsidRPr="00245598" w:rsidRDefault="00C23B97">
      <w:pPr>
        <w:spacing w:line="360" w:lineRule="auto"/>
        <w:jc w:val="both"/>
        <w:rPr>
          <w:rFonts w:ascii="Book Antiqua" w:hAnsi="Book Antiqua"/>
          <w:b/>
          <w:bCs/>
          <w:color w:val="000000" w:themeColor="text1"/>
        </w:rPr>
      </w:pPr>
    </w:p>
    <w:p w14:paraId="42A2BC0E" w14:textId="5E079B7B" w:rsidR="00C23B97" w:rsidRPr="00245598" w:rsidRDefault="00C23B97">
      <w:pPr>
        <w:spacing w:line="360" w:lineRule="auto"/>
        <w:jc w:val="both"/>
        <w:rPr>
          <w:rFonts w:ascii="Book Antiqua" w:hAnsi="Book Antiqua"/>
          <w:b/>
          <w:bCs/>
          <w:i/>
          <w:iCs/>
          <w:color w:val="000000" w:themeColor="text1"/>
        </w:rPr>
      </w:pPr>
      <w:r w:rsidRPr="00245598">
        <w:rPr>
          <w:rFonts w:ascii="Book Antiqua" w:hAnsi="Book Antiqua"/>
          <w:b/>
          <w:bCs/>
          <w:i/>
          <w:iCs/>
          <w:color w:val="000000" w:themeColor="text1"/>
        </w:rPr>
        <w:t xml:space="preserve">TAF: </w:t>
      </w:r>
      <w:r w:rsidR="00AF5E1D" w:rsidRPr="00245598">
        <w:rPr>
          <w:rFonts w:ascii="Book Antiqua" w:hAnsi="Book Antiqua"/>
          <w:b/>
          <w:bCs/>
          <w:i/>
          <w:iCs/>
          <w:color w:val="000000" w:themeColor="text1"/>
        </w:rPr>
        <w:t>A</w:t>
      </w:r>
      <w:r w:rsidRPr="00245598">
        <w:rPr>
          <w:rFonts w:ascii="Book Antiqua" w:hAnsi="Book Antiqua"/>
          <w:b/>
          <w:bCs/>
          <w:i/>
          <w:iCs/>
          <w:color w:val="000000" w:themeColor="text1"/>
        </w:rPr>
        <w:t>n opportunity</w:t>
      </w:r>
    </w:p>
    <w:p w14:paraId="78154418" w14:textId="77777777" w:rsidR="00C23B97" w:rsidRPr="00245598" w:rsidRDefault="00C23B97">
      <w:pPr>
        <w:spacing w:line="360" w:lineRule="auto"/>
        <w:jc w:val="both"/>
        <w:rPr>
          <w:rFonts w:ascii="Book Antiqua" w:hAnsi="Book Antiqua"/>
          <w:color w:val="000000" w:themeColor="text1"/>
        </w:rPr>
      </w:pPr>
      <w:r w:rsidRPr="00245598">
        <w:rPr>
          <w:rFonts w:ascii="Book Antiqua" w:hAnsi="Book Antiqua"/>
          <w:color w:val="000000" w:themeColor="text1"/>
        </w:rPr>
        <w:t xml:space="preserve">TAF represents real progress in terms of renal tolerance, but it is not available in all countries for HBV-monoinfected patients, including France. It is similar to TDF, in that it is a tenofovir prodrug but has better renal and bone tolerance profiles, most likely due to its higher intracellular and much lower plasma concentrations. </w:t>
      </w:r>
    </w:p>
    <w:p w14:paraId="62E232D8" w14:textId="0398BF64" w:rsidR="00C23B97" w:rsidRPr="00245598" w:rsidRDefault="00C23B97">
      <w:pPr>
        <w:spacing w:line="360" w:lineRule="auto"/>
        <w:ind w:firstLineChars="200" w:firstLine="480"/>
        <w:jc w:val="both"/>
        <w:rPr>
          <w:rFonts w:ascii="Book Antiqua" w:hAnsi="Book Antiqua"/>
          <w:color w:val="000000" w:themeColor="text1"/>
        </w:rPr>
      </w:pPr>
      <w:r w:rsidRPr="00245598">
        <w:rPr>
          <w:rFonts w:ascii="Book Antiqua" w:hAnsi="Book Antiqua"/>
          <w:color w:val="000000" w:themeColor="text1"/>
        </w:rPr>
        <w:t>Two recent randomized, double-blind phase 3 studies evaluated the utility of renal biomarkers in HBV-monoinfected patients treated with TAF or TDF. At 48 w</w:t>
      </w:r>
      <w:r w:rsidR="00681BD7" w:rsidRPr="00245598">
        <w:rPr>
          <w:rFonts w:ascii="Book Antiqua" w:hAnsi="Book Antiqua"/>
          <w:color w:val="000000" w:themeColor="text1"/>
        </w:rPr>
        <w:t>k</w:t>
      </w:r>
      <w:r w:rsidRPr="00245598">
        <w:rPr>
          <w:rFonts w:ascii="Book Antiqua" w:hAnsi="Book Antiqua"/>
          <w:color w:val="000000" w:themeColor="text1"/>
        </w:rPr>
        <w:t xml:space="preserve">, glomerular and tubular proteinuria (RBP/creatininuria and β2-microglobulinuria/creatininuria) was lower in the TAF group (percent change from </w:t>
      </w:r>
      <w:r w:rsidRPr="00245598">
        <w:rPr>
          <w:rFonts w:ascii="Book Antiqua" w:hAnsi="Book Antiqua"/>
          <w:color w:val="000000" w:themeColor="text1"/>
        </w:rPr>
        <w:lastRenderedPageBreak/>
        <w:t xml:space="preserve">baseline: 0.3% </w:t>
      </w:r>
      <w:r w:rsidRPr="00245598">
        <w:rPr>
          <w:rFonts w:ascii="Book Antiqua" w:hAnsi="Book Antiqua"/>
          <w:i/>
          <w:iCs/>
          <w:color w:val="000000" w:themeColor="text1"/>
        </w:rPr>
        <w:t>vs</w:t>
      </w:r>
      <w:r w:rsidRPr="00245598">
        <w:rPr>
          <w:rFonts w:ascii="Book Antiqua" w:hAnsi="Book Antiqua"/>
          <w:color w:val="000000" w:themeColor="text1"/>
        </w:rPr>
        <w:t xml:space="preserve"> 25.1%; </w:t>
      </w:r>
      <w:r w:rsidRPr="00245598">
        <w:rPr>
          <w:rFonts w:ascii="Book Antiqua" w:hAnsi="Book Antiqua"/>
          <w:i/>
          <w:iCs/>
          <w:color w:val="000000" w:themeColor="text1"/>
        </w:rPr>
        <w:t>P</w:t>
      </w:r>
      <w:r w:rsidRPr="00245598">
        <w:rPr>
          <w:rFonts w:ascii="Book Antiqua" w:hAnsi="Book Antiqua"/>
          <w:color w:val="000000" w:themeColor="text1"/>
        </w:rPr>
        <w:t xml:space="preserve"> &lt; 0.001 and </w:t>
      </w:r>
      <w:r w:rsidR="00C71C9D" w:rsidRPr="00245598">
        <w:rPr>
          <w:rFonts w:ascii="Book Antiqua" w:hAnsi="Book Antiqua"/>
          <w:color w:val="000000" w:themeColor="text1"/>
        </w:rPr>
        <w:t>-</w:t>
      </w:r>
      <w:r w:rsidRPr="00245598">
        <w:rPr>
          <w:rFonts w:ascii="Book Antiqua" w:hAnsi="Book Antiqua"/>
          <w:color w:val="000000" w:themeColor="text1"/>
        </w:rPr>
        <w:t xml:space="preserve">3.5% </w:t>
      </w:r>
      <w:r w:rsidRPr="00245598">
        <w:rPr>
          <w:rFonts w:ascii="Book Antiqua" w:hAnsi="Book Antiqua"/>
          <w:i/>
          <w:iCs/>
          <w:color w:val="000000" w:themeColor="text1"/>
        </w:rPr>
        <w:t>vs</w:t>
      </w:r>
      <w:r w:rsidRPr="00245598">
        <w:rPr>
          <w:rFonts w:ascii="Book Antiqua" w:hAnsi="Book Antiqua"/>
          <w:color w:val="000000" w:themeColor="text1"/>
        </w:rPr>
        <w:t xml:space="preserve"> 37.9%; </w:t>
      </w:r>
      <w:r w:rsidRPr="00245598">
        <w:rPr>
          <w:rFonts w:ascii="Book Antiqua" w:hAnsi="Book Antiqua"/>
          <w:i/>
          <w:iCs/>
          <w:color w:val="000000" w:themeColor="text1"/>
        </w:rPr>
        <w:t>P</w:t>
      </w:r>
      <w:r w:rsidRPr="00245598">
        <w:rPr>
          <w:rFonts w:ascii="Book Antiqua" w:hAnsi="Book Antiqua"/>
          <w:color w:val="000000" w:themeColor="text1"/>
        </w:rPr>
        <w:t xml:space="preserve"> &lt; 0.001, </w:t>
      </w:r>
      <w:proofErr w:type="gramStart"/>
      <w:r w:rsidRPr="00245598">
        <w:rPr>
          <w:rFonts w:ascii="Book Antiqua" w:hAnsi="Book Antiqua"/>
          <w:color w:val="000000" w:themeColor="text1"/>
        </w:rPr>
        <w:t>respectively)</w:t>
      </w:r>
      <w:r w:rsidRPr="00245598">
        <w:rPr>
          <w:rFonts w:ascii="Book Antiqua" w:hAnsi="Book Antiqua"/>
          <w:color w:val="000000" w:themeColor="text1"/>
          <w:vertAlign w:val="superscript"/>
        </w:rPr>
        <w:t>[</w:t>
      </w:r>
      <w:proofErr w:type="gramEnd"/>
      <w:r w:rsidRPr="00245598">
        <w:rPr>
          <w:rFonts w:ascii="Book Antiqua" w:hAnsi="Book Antiqua"/>
          <w:color w:val="000000" w:themeColor="text1"/>
          <w:vertAlign w:val="superscript"/>
        </w:rPr>
        <w:t>39]</w:t>
      </w:r>
      <w:r w:rsidRPr="00245598">
        <w:rPr>
          <w:rFonts w:ascii="Book Antiqua" w:hAnsi="Book Antiqua"/>
          <w:color w:val="000000" w:themeColor="text1"/>
        </w:rPr>
        <w:t xml:space="preserve">. The reversibility of SPT after TDF/TAF switching, as assayed with early tubular markers, remains unknown. </w:t>
      </w:r>
    </w:p>
    <w:p w14:paraId="105AC8EC" w14:textId="77777777" w:rsidR="00A77B3E" w:rsidRPr="00245598" w:rsidRDefault="00A77B3E">
      <w:pPr>
        <w:spacing w:line="360" w:lineRule="auto"/>
        <w:ind w:firstLine="708"/>
        <w:jc w:val="both"/>
        <w:rPr>
          <w:rFonts w:ascii="Book Antiqua" w:hAnsi="Book Antiqua"/>
          <w:color w:val="000000" w:themeColor="text1"/>
        </w:rPr>
      </w:pPr>
    </w:p>
    <w:p w14:paraId="05DAC727" w14:textId="77777777"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b/>
          <w:caps/>
          <w:color w:val="000000" w:themeColor="text1"/>
          <w:u w:val="single"/>
        </w:rPr>
        <w:t>CONCLUSION</w:t>
      </w:r>
    </w:p>
    <w:p w14:paraId="74A7B7CB" w14:textId="7679B22C" w:rsidR="00C23B97" w:rsidRPr="00245598" w:rsidRDefault="00C23B97">
      <w:pPr>
        <w:spacing w:line="360" w:lineRule="auto"/>
        <w:jc w:val="both"/>
        <w:rPr>
          <w:rFonts w:ascii="Book Antiqua" w:hAnsi="Book Antiqua"/>
          <w:color w:val="000000" w:themeColor="text1"/>
        </w:rPr>
      </w:pPr>
      <w:r w:rsidRPr="00245598">
        <w:rPr>
          <w:rFonts w:ascii="Book Antiqua" w:hAnsi="Book Antiqua"/>
          <w:color w:val="000000" w:themeColor="text1"/>
        </w:rPr>
        <w:t xml:space="preserve">This prospective study did not find significant differences in SPT prevalence and incidence at M24 between low renal risk HBV-monoinfected patients treated with ETV or TDF and treatment-naïve patients. Nonetheless, the prevalence and incidence of SPT tended to be higher in the TDF group, which had a low survival time (5.9 mo) without SPT. The data presented here confirm that after 24 mo of NA therapy, patients exhibited a good renal safety profile irrespective of whether SPT was detected at baseline or during follow-up. However, these data should be treated with caution, as additional prospective studies involving large cohorts over several years are still warranted. </w:t>
      </w:r>
    </w:p>
    <w:p w14:paraId="6142DC3B" w14:textId="77777777" w:rsidR="00C23B97" w:rsidRPr="00245598" w:rsidRDefault="00C23B97">
      <w:pPr>
        <w:spacing w:line="360" w:lineRule="auto"/>
        <w:ind w:firstLineChars="200" w:firstLine="480"/>
        <w:jc w:val="both"/>
        <w:rPr>
          <w:rFonts w:ascii="Book Antiqua" w:hAnsi="Book Antiqua"/>
          <w:color w:val="000000" w:themeColor="text1"/>
        </w:rPr>
      </w:pPr>
      <w:r w:rsidRPr="00245598">
        <w:rPr>
          <w:rFonts w:ascii="Book Antiqua" w:hAnsi="Book Antiqua"/>
          <w:color w:val="000000" w:themeColor="text1"/>
        </w:rPr>
        <w:t>Current recommendations include monitoring phosphatemia, serum creatinine, and eGFR to screen renal toxicity, but these are late markers of tubular pathology. In clinical practice, proximal tubular damage would ideally be screened at an early stage using simple and inexpensive tools, especially in populations with renal risk (</w:t>
      </w:r>
      <w:r w:rsidRPr="00245598">
        <w:rPr>
          <w:rFonts w:ascii="Book Antiqua" w:hAnsi="Book Antiqua"/>
          <w:i/>
          <w:iCs/>
          <w:color w:val="000000" w:themeColor="text1"/>
        </w:rPr>
        <w:t>e.g.</w:t>
      </w:r>
      <w:r w:rsidRPr="00245598">
        <w:rPr>
          <w:rFonts w:ascii="Book Antiqua" w:hAnsi="Book Antiqua"/>
          <w:color w:val="000000" w:themeColor="text1"/>
        </w:rPr>
        <w:t>, patients with hypertension or diabetes or who underwent kidney transplantation). Indeed, the detection here of SPT markers in some HBV-monoinfected patients prior to any antiviral treatment confirms the hypothesis that HBV exerts specific toxicity on proximal tubular cells.</w:t>
      </w:r>
    </w:p>
    <w:p w14:paraId="5D07BC71" w14:textId="77777777" w:rsidR="00C23B97" w:rsidRPr="00245598" w:rsidRDefault="00C23B97">
      <w:pPr>
        <w:spacing w:line="360" w:lineRule="auto"/>
        <w:ind w:firstLineChars="200" w:firstLine="480"/>
        <w:jc w:val="both"/>
        <w:rPr>
          <w:rFonts w:ascii="Book Antiqua" w:hAnsi="Book Antiqua"/>
          <w:color w:val="000000" w:themeColor="text1"/>
        </w:rPr>
      </w:pPr>
      <w:r w:rsidRPr="00245598">
        <w:rPr>
          <w:rFonts w:ascii="Book Antiqua" w:hAnsi="Book Antiqua"/>
          <w:color w:val="000000" w:themeColor="text1"/>
        </w:rPr>
        <w:t xml:space="preserve">It has been suggested that at 1 year after stopping treatment, SPT could be reversible in approximately 80% of </w:t>
      </w:r>
      <w:proofErr w:type="gramStart"/>
      <w:r w:rsidRPr="00245598">
        <w:rPr>
          <w:rFonts w:ascii="Book Antiqua" w:hAnsi="Book Antiqua"/>
          <w:color w:val="000000" w:themeColor="text1"/>
        </w:rPr>
        <w:t>cases</w:t>
      </w:r>
      <w:r w:rsidRPr="00245598">
        <w:rPr>
          <w:rFonts w:ascii="Book Antiqua" w:hAnsi="Book Antiqua"/>
          <w:color w:val="000000" w:themeColor="text1"/>
          <w:vertAlign w:val="superscript"/>
        </w:rPr>
        <w:t>[</w:t>
      </w:r>
      <w:proofErr w:type="gramEnd"/>
      <w:r w:rsidRPr="00245598">
        <w:rPr>
          <w:rFonts w:ascii="Book Antiqua" w:hAnsi="Book Antiqua"/>
          <w:color w:val="000000" w:themeColor="text1"/>
          <w:vertAlign w:val="superscript"/>
        </w:rPr>
        <w:t>13]</w:t>
      </w:r>
      <w:r w:rsidRPr="00245598">
        <w:rPr>
          <w:rFonts w:ascii="Book Antiqua" w:hAnsi="Book Antiqua"/>
          <w:color w:val="000000" w:themeColor="text1"/>
        </w:rPr>
        <w:t>. Finally, TAF is a promising agent and should be used preferentially, at least in patients at risk of renal toxicity.</w:t>
      </w:r>
    </w:p>
    <w:p w14:paraId="0B06B86C" w14:textId="77777777" w:rsidR="00A77B3E" w:rsidRPr="00245598" w:rsidRDefault="00A77B3E">
      <w:pPr>
        <w:spacing w:line="360" w:lineRule="auto"/>
        <w:jc w:val="both"/>
        <w:rPr>
          <w:rFonts w:ascii="Book Antiqua" w:hAnsi="Book Antiqua"/>
          <w:color w:val="000000" w:themeColor="text1"/>
        </w:rPr>
      </w:pPr>
    </w:p>
    <w:p w14:paraId="1BDDB099" w14:textId="77777777"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b/>
          <w:caps/>
          <w:color w:val="000000" w:themeColor="text1"/>
          <w:u w:val="single"/>
        </w:rPr>
        <w:t>ARTICLE HIGHLIGHTS</w:t>
      </w:r>
    </w:p>
    <w:p w14:paraId="3D82E386" w14:textId="77777777" w:rsidR="00C23B97" w:rsidRPr="00245598" w:rsidRDefault="00C23B97">
      <w:pPr>
        <w:spacing w:line="360" w:lineRule="auto"/>
        <w:jc w:val="both"/>
        <w:rPr>
          <w:rFonts w:ascii="Book Antiqua" w:hAnsi="Book Antiqua"/>
          <w:b/>
          <w:bCs/>
          <w:i/>
          <w:iCs/>
          <w:color w:val="000000" w:themeColor="text1"/>
        </w:rPr>
      </w:pPr>
      <w:r w:rsidRPr="00245598">
        <w:rPr>
          <w:rFonts w:ascii="Book Antiqua" w:hAnsi="Book Antiqua"/>
          <w:b/>
          <w:bCs/>
          <w:i/>
          <w:iCs/>
          <w:color w:val="000000" w:themeColor="text1"/>
        </w:rPr>
        <w:t>Research background</w:t>
      </w:r>
    </w:p>
    <w:p w14:paraId="615F66A4" w14:textId="64E4968C" w:rsidR="00C23B97" w:rsidRPr="00245598" w:rsidRDefault="00C23B97">
      <w:pPr>
        <w:spacing w:line="360" w:lineRule="auto"/>
        <w:jc w:val="both"/>
        <w:rPr>
          <w:rFonts w:ascii="Book Antiqua" w:hAnsi="Book Antiqua"/>
          <w:color w:val="000000" w:themeColor="text1"/>
        </w:rPr>
      </w:pPr>
      <w:r w:rsidRPr="00245598">
        <w:rPr>
          <w:rFonts w:ascii="Book Antiqua" w:hAnsi="Book Antiqua"/>
          <w:color w:val="000000" w:themeColor="text1"/>
        </w:rPr>
        <w:t xml:space="preserve">Proximal tubular renal toxicity is a main concern in prolonged </w:t>
      </w:r>
      <w:proofErr w:type="spellStart"/>
      <w:r w:rsidRPr="00245598">
        <w:rPr>
          <w:rFonts w:ascii="Book Antiqua" w:hAnsi="Book Antiqua"/>
          <w:color w:val="000000" w:themeColor="text1"/>
        </w:rPr>
        <w:t>nucleot</w:t>
      </w:r>
      <w:proofErr w:type="spellEnd"/>
      <w:r w:rsidRPr="00245598">
        <w:rPr>
          <w:rFonts w:ascii="Book Antiqua" w:hAnsi="Book Antiqua"/>
          <w:color w:val="000000" w:themeColor="text1"/>
        </w:rPr>
        <w:t>(s)ide analogue therapy in hepatitis B virus (HBV)-infected patients. Currently available data for HBV-</w:t>
      </w:r>
      <w:r w:rsidRPr="00245598">
        <w:rPr>
          <w:rFonts w:ascii="Book Antiqua" w:hAnsi="Book Antiqua"/>
          <w:color w:val="000000" w:themeColor="text1"/>
        </w:rPr>
        <w:lastRenderedPageBreak/>
        <w:t>monoinfected patients are either retrospective or cross-sectional. The recommended screening tools for renal toxicity, estimated glomerular filtration rate (eGFR) and phosphatemia, are late markers for subclinical proximal tubular (SPT) damage. Thus, early SPT detection with tools that are simple, inexpensive, and repeatable over time are needed. Moreover, preclinical studies have reported that HBV exhibits potential toxicity in proximal tubular cells before any antiviral treatment.</w:t>
      </w:r>
    </w:p>
    <w:p w14:paraId="23F18F0D" w14:textId="77777777" w:rsidR="00C23B97" w:rsidRPr="00245598" w:rsidRDefault="00C23B97">
      <w:pPr>
        <w:spacing w:line="360" w:lineRule="auto"/>
        <w:jc w:val="both"/>
        <w:rPr>
          <w:rFonts w:ascii="Book Antiqua" w:hAnsi="Book Antiqua"/>
          <w:color w:val="000000" w:themeColor="text1"/>
        </w:rPr>
      </w:pPr>
    </w:p>
    <w:p w14:paraId="0509A7AA" w14:textId="77777777" w:rsidR="00C23B97" w:rsidRPr="00245598" w:rsidRDefault="00C23B97">
      <w:pPr>
        <w:spacing w:line="360" w:lineRule="auto"/>
        <w:jc w:val="both"/>
        <w:rPr>
          <w:rFonts w:ascii="Book Antiqua" w:hAnsi="Book Antiqua"/>
          <w:b/>
          <w:bCs/>
          <w:i/>
          <w:iCs/>
          <w:color w:val="000000" w:themeColor="text1"/>
        </w:rPr>
      </w:pPr>
      <w:r w:rsidRPr="00245598">
        <w:rPr>
          <w:rFonts w:ascii="Book Antiqua" w:hAnsi="Book Antiqua"/>
          <w:b/>
          <w:bCs/>
          <w:i/>
          <w:iCs/>
          <w:color w:val="000000" w:themeColor="text1"/>
        </w:rPr>
        <w:t>Research motivation</w:t>
      </w:r>
    </w:p>
    <w:p w14:paraId="5E71D23D" w14:textId="59EBC33F" w:rsidR="00C23B97" w:rsidRPr="00245598" w:rsidRDefault="00C23B97">
      <w:pPr>
        <w:spacing w:line="360" w:lineRule="auto"/>
        <w:jc w:val="both"/>
        <w:rPr>
          <w:rFonts w:ascii="Book Antiqua" w:hAnsi="Book Antiqua"/>
          <w:color w:val="000000" w:themeColor="text1"/>
        </w:rPr>
      </w:pPr>
      <w:r w:rsidRPr="00245598">
        <w:rPr>
          <w:rFonts w:ascii="Book Antiqua" w:hAnsi="Book Antiqua"/>
          <w:color w:val="000000" w:themeColor="text1"/>
        </w:rPr>
        <w:t xml:space="preserve">Early detection of tubulopathy could allow clinicians to choose less toxic therapeutic alternatives such as tenofovir alafenamide (TAF), particularly in patients with renal comorbidities. </w:t>
      </w:r>
      <w:r w:rsidRPr="00245598">
        <w:rPr>
          <w:rFonts w:ascii="Book Antiqua" w:hAnsi="Book Antiqua"/>
        </w:rPr>
        <w:t>TAF</w:t>
      </w:r>
      <w:r w:rsidRPr="00245598">
        <w:rPr>
          <w:rFonts w:ascii="Book Antiqua" w:hAnsi="Book Antiqua"/>
          <w:color w:val="000000" w:themeColor="text1"/>
        </w:rPr>
        <w:t xml:space="preserve"> is not available in all countries for HBV-monoinfected patients, but its use may be transitionally authorized. Clinical evidence in favor of HBV-induced renal toxicity may assist in improving interpretations of SPT markers over time, as well as explain why these markers improve under antiviral use.  </w:t>
      </w:r>
    </w:p>
    <w:p w14:paraId="4F9B51D0" w14:textId="77777777" w:rsidR="00C23B97" w:rsidRPr="00245598" w:rsidRDefault="00C23B97">
      <w:pPr>
        <w:spacing w:line="360" w:lineRule="auto"/>
        <w:jc w:val="both"/>
        <w:rPr>
          <w:rFonts w:ascii="Book Antiqua" w:hAnsi="Book Antiqua"/>
          <w:color w:val="000000" w:themeColor="text1"/>
        </w:rPr>
      </w:pPr>
    </w:p>
    <w:p w14:paraId="149E88BC" w14:textId="77777777" w:rsidR="00C23B97" w:rsidRPr="00245598" w:rsidRDefault="00C23B97">
      <w:pPr>
        <w:spacing w:line="360" w:lineRule="auto"/>
        <w:jc w:val="both"/>
        <w:rPr>
          <w:rFonts w:ascii="Book Antiqua" w:hAnsi="Book Antiqua"/>
          <w:b/>
          <w:bCs/>
          <w:i/>
          <w:iCs/>
          <w:color w:val="000000" w:themeColor="text1"/>
        </w:rPr>
      </w:pPr>
      <w:r w:rsidRPr="00245598">
        <w:rPr>
          <w:rFonts w:ascii="Book Antiqua" w:hAnsi="Book Antiqua"/>
          <w:b/>
          <w:bCs/>
          <w:i/>
          <w:iCs/>
          <w:color w:val="000000" w:themeColor="text1"/>
        </w:rPr>
        <w:t>Research objectives</w:t>
      </w:r>
    </w:p>
    <w:p w14:paraId="20F0448E" w14:textId="266AB9F0" w:rsidR="00C23B97" w:rsidRPr="00245598" w:rsidRDefault="00C23B97">
      <w:pPr>
        <w:spacing w:line="360" w:lineRule="auto"/>
        <w:jc w:val="both"/>
        <w:rPr>
          <w:rFonts w:ascii="Book Antiqua" w:hAnsi="Book Antiqua"/>
          <w:color w:val="000000" w:themeColor="text1"/>
        </w:rPr>
      </w:pPr>
      <w:r w:rsidRPr="00245598">
        <w:rPr>
          <w:rFonts w:ascii="Book Antiqua" w:hAnsi="Book Antiqua"/>
          <w:color w:val="000000" w:themeColor="text1"/>
        </w:rPr>
        <w:t xml:space="preserve">The main objective was to determine the prevalence of SPT at month 24 (M24) in three populations: </w:t>
      </w:r>
      <w:r w:rsidR="00C71C9D" w:rsidRPr="00245598">
        <w:rPr>
          <w:rFonts w:ascii="Book Antiqua" w:hAnsi="Book Antiqua"/>
          <w:color w:val="000000" w:themeColor="text1"/>
        </w:rPr>
        <w:t>T</w:t>
      </w:r>
      <w:r w:rsidRPr="00245598">
        <w:rPr>
          <w:rFonts w:ascii="Book Antiqua" w:hAnsi="Book Antiqua"/>
          <w:color w:val="000000" w:themeColor="text1"/>
        </w:rPr>
        <w:t>reatment-naïve patients and patients starting entecavir (ETV) or tenofovir disoproxil (TDF) at M0. The secondary objectives were to evaluate the cumulative incidence of SPT over 24 mo in the three groups as well as the prevalence of SPT in the naïve population at baseline.</w:t>
      </w:r>
    </w:p>
    <w:p w14:paraId="3C82AE2A" w14:textId="77777777" w:rsidR="00C23B97" w:rsidRPr="00245598" w:rsidRDefault="00C23B97">
      <w:pPr>
        <w:spacing w:line="360" w:lineRule="auto"/>
        <w:jc w:val="both"/>
        <w:rPr>
          <w:rFonts w:ascii="Book Antiqua" w:hAnsi="Book Antiqua"/>
          <w:color w:val="000000" w:themeColor="text1"/>
        </w:rPr>
      </w:pPr>
    </w:p>
    <w:p w14:paraId="7C604C08" w14:textId="77777777" w:rsidR="00C23B97" w:rsidRPr="00245598" w:rsidRDefault="00C23B97">
      <w:pPr>
        <w:spacing w:line="360" w:lineRule="auto"/>
        <w:jc w:val="both"/>
        <w:rPr>
          <w:rFonts w:ascii="Book Antiqua" w:hAnsi="Book Antiqua"/>
          <w:b/>
          <w:bCs/>
          <w:i/>
          <w:iCs/>
          <w:color w:val="000000" w:themeColor="text1"/>
        </w:rPr>
      </w:pPr>
      <w:r w:rsidRPr="00245598">
        <w:rPr>
          <w:rFonts w:ascii="Book Antiqua" w:hAnsi="Book Antiqua"/>
          <w:b/>
          <w:bCs/>
          <w:i/>
          <w:iCs/>
          <w:color w:val="000000" w:themeColor="text1"/>
        </w:rPr>
        <w:t>Research methods</w:t>
      </w:r>
    </w:p>
    <w:p w14:paraId="1551D9C0" w14:textId="62941281" w:rsidR="00C23B97" w:rsidRPr="00245598" w:rsidRDefault="00C23B97">
      <w:pPr>
        <w:spacing w:line="360" w:lineRule="auto"/>
        <w:jc w:val="both"/>
        <w:rPr>
          <w:rFonts w:ascii="Book Antiqua" w:hAnsi="Book Antiqua"/>
          <w:color w:val="000000" w:themeColor="text1"/>
        </w:rPr>
      </w:pPr>
      <w:r w:rsidRPr="00245598">
        <w:rPr>
          <w:rFonts w:ascii="Book Antiqua" w:hAnsi="Book Antiqua"/>
          <w:color w:val="000000" w:themeColor="text1"/>
        </w:rPr>
        <w:t>This first real-life, prospective, multicenter, French study of patients with low renal risk aimed to determine SPT in three groups of HBV-</w:t>
      </w:r>
      <w:proofErr w:type="spellStart"/>
      <w:r w:rsidRPr="00245598">
        <w:rPr>
          <w:rFonts w:ascii="Book Antiqua" w:hAnsi="Book Antiqua"/>
          <w:color w:val="000000" w:themeColor="text1"/>
        </w:rPr>
        <w:t>monoinfected</w:t>
      </w:r>
      <w:proofErr w:type="spellEnd"/>
      <w:r w:rsidRPr="00245598">
        <w:rPr>
          <w:rFonts w:ascii="Book Antiqua" w:hAnsi="Book Antiqua"/>
          <w:color w:val="000000" w:themeColor="text1"/>
        </w:rPr>
        <w:t xml:space="preserve"> patients: </w:t>
      </w:r>
      <w:r w:rsidR="00AF5E1D" w:rsidRPr="00245598">
        <w:rPr>
          <w:rFonts w:ascii="Book Antiqua" w:hAnsi="Book Antiqua"/>
          <w:color w:val="000000" w:themeColor="text1"/>
        </w:rPr>
        <w:t>T</w:t>
      </w:r>
      <w:r w:rsidRPr="00245598">
        <w:rPr>
          <w:rFonts w:ascii="Book Antiqua" w:hAnsi="Book Antiqua"/>
          <w:color w:val="000000" w:themeColor="text1"/>
        </w:rPr>
        <w:t xml:space="preserve">reatment-naïve and those starting ETV or TDF. Markers for SPT, the eGFR and </w:t>
      </w:r>
      <w:proofErr w:type="spellStart"/>
      <w:r w:rsidRPr="00245598">
        <w:rPr>
          <w:rFonts w:ascii="Book Antiqua" w:hAnsi="Book Antiqua"/>
          <w:color w:val="000000" w:themeColor="text1"/>
        </w:rPr>
        <w:t>phosphatemia</w:t>
      </w:r>
      <w:proofErr w:type="spellEnd"/>
      <w:r w:rsidR="00AF5E1D" w:rsidRPr="00245598">
        <w:rPr>
          <w:rFonts w:ascii="Book Antiqua" w:hAnsi="Book Antiqua"/>
          <w:color w:val="000000" w:themeColor="text1"/>
        </w:rPr>
        <w:t>,</w:t>
      </w:r>
      <w:r w:rsidRPr="00245598">
        <w:rPr>
          <w:rFonts w:ascii="Book Antiqua" w:hAnsi="Book Antiqua"/>
          <w:color w:val="000000" w:themeColor="text1"/>
        </w:rPr>
        <w:t xml:space="preserve"> were assessed quarterly. SPT was defined using early and low-cost simple markers: TmPi/eGFR below 0.8 mmo</w:t>
      </w:r>
      <w:r w:rsidR="00C71C9D" w:rsidRPr="00245598">
        <w:rPr>
          <w:rFonts w:ascii="Book Antiqua" w:hAnsi="Book Antiqua"/>
          <w:color w:val="000000" w:themeColor="text1"/>
        </w:rPr>
        <w:t>L</w:t>
      </w:r>
      <w:r w:rsidRPr="00245598">
        <w:rPr>
          <w:rFonts w:ascii="Book Antiqua" w:hAnsi="Book Antiqua"/>
          <w:color w:val="000000" w:themeColor="text1"/>
        </w:rPr>
        <w:t xml:space="preserve">/L and/or </w:t>
      </w:r>
      <w:r w:rsidR="00681BD7" w:rsidRPr="00245598">
        <w:rPr>
          <w:rFonts w:ascii="Book Antiqua" w:hAnsi="Book Antiqua"/>
          <w:color w:val="000000" w:themeColor="text1"/>
        </w:rPr>
        <w:t>fractional excretion rate of uric acid</w:t>
      </w:r>
      <w:r w:rsidRPr="00245598">
        <w:rPr>
          <w:rFonts w:ascii="Book Antiqua" w:hAnsi="Book Antiqua"/>
          <w:color w:val="000000" w:themeColor="text1"/>
        </w:rPr>
        <w:t xml:space="preserve"> above 10%. </w:t>
      </w:r>
      <w:r w:rsidRPr="00245598">
        <w:rPr>
          <w:rFonts w:ascii="Book Antiqua" w:hAnsi="Book Antiqua"/>
          <w:color w:val="000000" w:themeColor="text1"/>
        </w:rPr>
        <w:lastRenderedPageBreak/>
        <w:t>Confounding factors potentially impacting kidney function across the groups were assayed.</w:t>
      </w:r>
    </w:p>
    <w:p w14:paraId="001B648F" w14:textId="77777777" w:rsidR="00C23B97" w:rsidRPr="00245598" w:rsidRDefault="00C23B97">
      <w:pPr>
        <w:spacing w:line="360" w:lineRule="auto"/>
        <w:jc w:val="both"/>
        <w:rPr>
          <w:rFonts w:ascii="Book Antiqua" w:hAnsi="Book Antiqua"/>
          <w:color w:val="000000" w:themeColor="text1"/>
        </w:rPr>
      </w:pPr>
    </w:p>
    <w:p w14:paraId="35ED7234" w14:textId="77777777" w:rsidR="00C23B97" w:rsidRPr="00245598" w:rsidRDefault="00C23B97">
      <w:pPr>
        <w:spacing w:line="360" w:lineRule="auto"/>
        <w:jc w:val="both"/>
        <w:rPr>
          <w:rFonts w:ascii="Book Antiqua" w:hAnsi="Book Antiqua"/>
          <w:b/>
          <w:bCs/>
          <w:i/>
          <w:iCs/>
          <w:color w:val="000000" w:themeColor="text1"/>
        </w:rPr>
      </w:pPr>
      <w:r w:rsidRPr="00245598">
        <w:rPr>
          <w:rFonts w:ascii="Book Antiqua" w:hAnsi="Book Antiqua"/>
          <w:b/>
          <w:bCs/>
          <w:i/>
          <w:iCs/>
          <w:color w:val="000000" w:themeColor="text1"/>
        </w:rPr>
        <w:t>Research results</w:t>
      </w:r>
    </w:p>
    <w:p w14:paraId="71430DD4" w14:textId="6596CE94" w:rsidR="00C23B97" w:rsidRPr="00245598" w:rsidRDefault="00C23B97">
      <w:pPr>
        <w:spacing w:line="360" w:lineRule="auto"/>
        <w:jc w:val="both"/>
        <w:rPr>
          <w:rFonts w:ascii="Book Antiqua" w:hAnsi="Book Antiqua"/>
          <w:color w:val="000000" w:themeColor="text1"/>
        </w:rPr>
      </w:pPr>
      <w:r w:rsidRPr="00245598">
        <w:rPr>
          <w:rFonts w:ascii="Book Antiqua" w:hAnsi="Book Antiqua"/>
          <w:color w:val="000000" w:themeColor="text1"/>
        </w:rPr>
        <w:t xml:space="preserve">At M24, the prevalence of SPT was 30.7% in the naïve group, 21.1% in the ETV-treated group, and 50.0% in the TDF-treated group. However, differences in SPT prevalence between the naïve group and each treatment group (ETV and TDF groups) were not significantly different. In the multivariate analysis, no post-adjustment variables were identified. The incidence of SPT over 24 mo (25.5%, 13.3%, and 52.9% in the naïve, ETV-treated, and TDF-treated groups, respectively) tended to be higher in the TDF group compared to the naïve group (hazard ratio: 2.283; </w:t>
      </w:r>
      <w:r w:rsidRPr="00245598">
        <w:rPr>
          <w:rFonts w:ascii="Book Antiqua" w:hAnsi="Book Antiqua"/>
          <w:i/>
          <w:iCs/>
          <w:color w:val="000000" w:themeColor="text1"/>
        </w:rPr>
        <w:t>P</w:t>
      </w:r>
      <w:r w:rsidRPr="00245598">
        <w:rPr>
          <w:rFonts w:ascii="Book Antiqua" w:hAnsi="Book Antiqua"/>
          <w:color w:val="000000" w:themeColor="text1"/>
        </w:rPr>
        <w:t xml:space="preserve"> = 0.05). The median survival time without SPT was 5.9 mo in the TDF group. In patients without SPT at baseline, no renal insufficiency or hypophosphatemia was observed at M24.</w:t>
      </w:r>
    </w:p>
    <w:p w14:paraId="34767D8B" w14:textId="77777777" w:rsidR="00C23B97" w:rsidRPr="00245598" w:rsidRDefault="00C23B97">
      <w:pPr>
        <w:spacing w:line="360" w:lineRule="auto"/>
        <w:jc w:val="both"/>
        <w:rPr>
          <w:rFonts w:ascii="Book Antiqua" w:hAnsi="Book Antiqua"/>
          <w:color w:val="000000" w:themeColor="text1"/>
        </w:rPr>
      </w:pPr>
    </w:p>
    <w:p w14:paraId="40BB1D54" w14:textId="77777777" w:rsidR="00C23B97" w:rsidRPr="00245598" w:rsidRDefault="00C23B97">
      <w:pPr>
        <w:spacing w:line="360" w:lineRule="auto"/>
        <w:jc w:val="both"/>
        <w:rPr>
          <w:rFonts w:ascii="Book Antiqua" w:hAnsi="Book Antiqua"/>
          <w:b/>
          <w:bCs/>
          <w:i/>
          <w:iCs/>
          <w:color w:val="000000" w:themeColor="text1"/>
        </w:rPr>
      </w:pPr>
      <w:r w:rsidRPr="00245598">
        <w:rPr>
          <w:rFonts w:ascii="Book Antiqua" w:hAnsi="Book Antiqua"/>
          <w:b/>
          <w:bCs/>
          <w:i/>
          <w:iCs/>
          <w:color w:val="000000" w:themeColor="text1"/>
        </w:rPr>
        <w:t>Research conclusions</w:t>
      </w:r>
    </w:p>
    <w:p w14:paraId="65610591" w14:textId="6BB6488E" w:rsidR="00C23B97" w:rsidRPr="00245598" w:rsidRDefault="00C23B97">
      <w:pPr>
        <w:spacing w:line="360" w:lineRule="auto"/>
        <w:jc w:val="both"/>
        <w:rPr>
          <w:rFonts w:ascii="Book Antiqua" w:hAnsi="Book Antiqua"/>
          <w:color w:val="000000" w:themeColor="text1"/>
        </w:rPr>
      </w:pPr>
      <w:r w:rsidRPr="00245598">
        <w:rPr>
          <w:rFonts w:ascii="Book Antiqua" w:hAnsi="Book Antiqua"/>
          <w:color w:val="000000" w:themeColor="text1"/>
        </w:rPr>
        <w:t>This prospective, multicenter study is the first to evaluate the prevalence and incidence of SPT in low renal risk HBV-monoinfected patients using early markers. Patients were divided into treatment-naïve, ETV-treated, or TDF-treated groups. The prevalence of SPT at M24 was high (21</w:t>
      </w:r>
      <w:r w:rsidR="00A21C3E" w:rsidRPr="00245598">
        <w:rPr>
          <w:rFonts w:ascii="Book Antiqua" w:hAnsi="Book Antiqua"/>
          <w:color w:val="000000" w:themeColor="text1"/>
        </w:rPr>
        <w:t>%</w:t>
      </w:r>
      <w:r w:rsidRPr="00245598">
        <w:rPr>
          <w:rFonts w:ascii="Book Antiqua" w:hAnsi="Book Antiqua"/>
          <w:color w:val="000000" w:themeColor="text1"/>
        </w:rPr>
        <w:t>–50%), but it had no clinical impacts in terms of renal insufficiency or hypophosphatemia. The incidence of SPT tended to be higher in the TDF group. Moreover, the detection of SPT in HBV-monoinfected naïve patients supports the hypothesis of HBV-specific tubular toxicity.</w:t>
      </w:r>
    </w:p>
    <w:p w14:paraId="561F74A6" w14:textId="77777777" w:rsidR="00C23B97" w:rsidRPr="00245598" w:rsidRDefault="00C23B97">
      <w:pPr>
        <w:spacing w:line="360" w:lineRule="auto"/>
        <w:jc w:val="both"/>
        <w:rPr>
          <w:rFonts w:ascii="Book Antiqua" w:hAnsi="Book Antiqua"/>
          <w:color w:val="000000" w:themeColor="text1"/>
        </w:rPr>
      </w:pPr>
    </w:p>
    <w:p w14:paraId="0FCAF081" w14:textId="77777777" w:rsidR="00C23B97" w:rsidRPr="00245598" w:rsidRDefault="00C23B97">
      <w:pPr>
        <w:spacing w:line="360" w:lineRule="auto"/>
        <w:jc w:val="both"/>
        <w:rPr>
          <w:rFonts w:ascii="Book Antiqua" w:hAnsi="Book Antiqua"/>
          <w:b/>
          <w:bCs/>
          <w:i/>
          <w:iCs/>
          <w:color w:val="000000" w:themeColor="text1"/>
        </w:rPr>
      </w:pPr>
      <w:r w:rsidRPr="00245598">
        <w:rPr>
          <w:rFonts w:ascii="Book Antiqua" w:hAnsi="Book Antiqua"/>
          <w:b/>
          <w:bCs/>
          <w:i/>
          <w:iCs/>
          <w:color w:val="000000" w:themeColor="text1"/>
        </w:rPr>
        <w:t>Research perspectives</w:t>
      </w:r>
    </w:p>
    <w:p w14:paraId="7779436D" w14:textId="657FFD4C" w:rsidR="00C23B97" w:rsidRPr="00245598" w:rsidRDefault="00C23B97">
      <w:pPr>
        <w:spacing w:line="360" w:lineRule="auto"/>
        <w:jc w:val="both"/>
        <w:rPr>
          <w:rFonts w:ascii="Book Antiqua" w:hAnsi="Book Antiqua"/>
          <w:color w:val="000000" w:themeColor="text1"/>
        </w:rPr>
      </w:pPr>
      <w:r w:rsidRPr="00245598">
        <w:rPr>
          <w:rFonts w:ascii="Book Antiqua" w:hAnsi="Book Antiqua"/>
          <w:color w:val="000000" w:themeColor="text1"/>
        </w:rPr>
        <w:t xml:space="preserve">To better evaluate the clinical impacts of </w:t>
      </w:r>
      <w:proofErr w:type="spellStart"/>
      <w:r w:rsidR="00AF5E1D" w:rsidRPr="00245598">
        <w:rPr>
          <w:rFonts w:ascii="Book Antiqua" w:hAnsi="Book Antiqua"/>
          <w:color w:val="000000" w:themeColor="text1"/>
        </w:rPr>
        <w:t>nucleot</w:t>
      </w:r>
      <w:proofErr w:type="spellEnd"/>
      <w:r w:rsidR="00AF5E1D" w:rsidRPr="00245598">
        <w:rPr>
          <w:rFonts w:ascii="Book Antiqua" w:hAnsi="Book Antiqua"/>
          <w:color w:val="000000" w:themeColor="text1"/>
        </w:rPr>
        <w:t>(s)ide analogue</w:t>
      </w:r>
      <w:r w:rsidRPr="00245598">
        <w:rPr>
          <w:rFonts w:ascii="Book Antiqua" w:hAnsi="Book Antiqua"/>
          <w:color w:val="000000" w:themeColor="text1"/>
        </w:rPr>
        <w:t xml:space="preserve">-induced SPT on renal function, future prospective studies tracking both simple and sophisticated SPT markers over a longer period of time are warranted. </w:t>
      </w:r>
      <w:proofErr w:type="gramStart"/>
      <w:r w:rsidRPr="00245598">
        <w:rPr>
          <w:rFonts w:ascii="Book Antiqua" w:hAnsi="Book Antiqua"/>
          <w:color w:val="000000" w:themeColor="text1"/>
        </w:rPr>
        <w:t>Furthermore</w:t>
      </w:r>
      <w:proofErr w:type="gramEnd"/>
      <w:r w:rsidRPr="00245598">
        <w:rPr>
          <w:rFonts w:ascii="Book Antiqua" w:hAnsi="Book Antiqua"/>
          <w:color w:val="000000" w:themeColor="text1"/>
        </w:rPr>
        <w:t xml:space="preserve"> and paradoxically, these early markers may be also used to evaluate treatment reversibility of HBV-induced SPT. </w:t>
      </w:r>
    </w:p>
    <w:p w14:paraId="7EC4B438" w14:textId="77777777" w:rsidR="00A77B3E" w:rsidRPr="00245598" w:rsidRDefault="00A77B3E">
      <w:pPr>
        <w:spacing w:line="360" w:lineRule="auto"/>
        <w:ind w:firstLine="708"/>
        <w:jc w:val="both"/>
        <w:rPr>
          <w:rFonts w:ascii="Book Antiqua" w:hAnsi="Book Antiqua"/>
          <w:color w:val="000000" w:themeColor="text1"/>
        </w:rPr>
      </w:pPr>
    </w:p>
    <w:p w14:paraId="5B42BB22" w14:textId="77777777"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b/>
          <w:caps/>
          <w:color w:val="000000" w:themeColor="text1"/>
          <w:u w:val="single"/>
        </w:rPr>
        <w:lastRenderedPageBreak/>
        <w:t>ACKNOWLEDGEMENTS</w:t>
      </w:r>
    </w:p>
    <w:p w14:paraId="1AD32959" w14:textId="77777777" w:rsidR="00C23B97" w:rsidRPr="00245598" w:rsidRDefault="00C23B97">
      <w:pPr>
        <w:spacing w:line="360" w:lineRule="auto"/>
        <w:jc w:val="both"/>
        <w:rPr>
          <w:rFonts w:ascii="Book Antiqua" w:hAnsi="Book Antiqua"/>
          <w:color w:val="000000" w:themeColor="text1"/>
        </w:rPr>
      </w:pPr>
      <w:r w:rsidRPr="00245598">
        <w:rPr>
          <w:rFonts w:ascii="Book Antiqua" w:hAnsi="Book Antiqua"/>
          <w:color w:val="000000" w:themeColor="text1"/>
        </w:rPr>
        <w:t>We would like to thank Céline Rigaud for her assistance with manuscript revision and Sarah Demay for proofreading the manuscript.</w:t>
      </w:r>
    </w:p>
    <w:p w14:paraId="0C8B545F" w14:textId="77777777" w:rsidR="00A77B3E" w:rsidRPr="00245598" w:rsidRDefault="00A77B3E">
      <w:pPr>
        <w:spacing w:line="360" w:lineRule="auto"/>
        <w:jc w:val="both"/>
        <w:rPr>
          <w:rFonts w:ascii="Book Antiqua" w:hAnsi="Book Antiqua"/>
          <w:color w:val="000000" w:themeColor="text1"/>
        </w:rPr>
      </w:pPr>
    </w:p>
    <w:p w14:paraId="5830720A" w14:textId="3496C2B7" w:rsidR="00A77B3E" w:rsidRPr="00245598" w:rsidRDefault="00D20A34">
      <w:pPr>
        <w:spacing w:line="360" w:lineRule="auto"/>
        <w:jc w:val="both"/>
        <w:rPr>
          <w:rFonts w:ascii="Book Antiqua" w:eastAsia="Book Antiqua" w:hAnsi="Book Antiqua" w:cs="Book Antiqua"/>
          <w:b/>
          <w:color w:val="000000" w:themeColor="text1"/>
        </w:rPr>
      </w:pPr>
      <w:r w:rsidRPr="00245598">
        <w:rPr>
          <w:rFonts w:ascii="Book Antiqua" w:eastAsia="Book Antiqua" w:hAnsi="Book Antiqua" w:cs="Book Antiqua"/>
          <w:b/>
          <w:color w:val="000000" w:themeColor="text1"/>
        </w:rPr>
        <w:t>REFERENCES</w:t>
      </w:r>
    </w:p>
    <w:p w14:paraId="49CACF0C" w14:textId="77777777" w:rsidR="00EA74A7" w:rsidRPr="00245598" w:rsidRDefault="00EA74A7">
      <w:pPr>
        <w:spacing w:line="360" w:lineRule="auto"/>
        <w:jc w:val="both"/>
        <w:rPr>
          <w:rFonts w:ascii="Book Antiqua" w:hAnsi="Book Antiqua"/>
          <w:color w:val="000000" w:themeColor="text1"/>
        </w:rPr>
      </w:pPr>
      <w:r w:rsidRPr="00245598">
        <w:rPr>
          <w:rFonts w:ascii="Book Antiqua" w:hAnsi="Book Antiqua"/>
          <w:color w:val="000000" w:themeColor="text1"/>
        </w:rPr>
        <w:t xml:space="preserve">1 </w:t>
      </w:r>
      <w:r w:rsidRPr="00245598">
        <w:rPr>
          <w:rFonts w:ascii="Book Antiqua" w:hAnsi="Book Antiqua"/>
          <w:b/>
          <w:bCs/>
          <w:color w:val="000000" w:themeColor="text1"/>
        </w:rPr>
        <w:t>Ott JJ</w:t>
      </w:r>
      <w:r w:rsidRPr="00245598">
        <w:rPr>
          <w:rFonts w:ascii="Book Antiqua" w:hAnsi="Book Antiqua"/>
          <w:color w:val="000000" w:themeColor="text1"/>
        </w:rPr>
        <w:t xml:space="preserve">, Stevens GA, </w:t>
      </w:r>
      <w:proofErr w:type="spellStart"/>
      <w:r w:rsidRPr="00245598">
        <w:rPr>
          <w:rFonts w:ascii="Book Antiqua" w:hAnsi="Book Antiqua"/>
          <w:color w:val="000000" w:themeColor="text1"/>
        </w:rPr>
        <w:t>Groeger</w:t>
      </w:r>
      <w:proofErr w:type="spellEnd"/>
      <w:r w:rsidRPr="00245598">
        <w:rPr>
          <w:rFonts w:ascii="Book Antiqua" w:hAnsi="Book Antiqua"/>
          <w:color w:val="000000" w:themeColor="text1"/>
        </w:rPr>
        <w:t xml:space="preserve"> J, Wiersma ST. Global epidemiology of hepatitis B virus infection: new estimates of age-specific HBsAg seroprevalence and endemicity. </w:t>
      </w:r>
      <w:r w:rsidRPr="00245598">
        <w:rPr>
          <w:rFonts w:ascii="Book Antiqua" w:hAnsi="Book Antiqua"/>
          <w:i/>
          <w:iCs/>
          <w:color w:val="000000" w:themeColor="text1"/>
        </w:rPr>
        <w:t>Vaccine</w:t>
      </w:r>
      <w:r w:rsidRPr="00245598">
        <w:rPr>
          <w:rFonts w:ascii="Book Antiqua" w:hAnsi="Book Antiqua"/>
          <w:color w:val="000000" w:themeColor="text1"/>
        </w:rPr>
        <w:t xml:space="preserve"> 2012; </w:t>
      </w:r>
      <w:r w:rsidRPr="00245598">
        <w:rPr>
          <w:rFonts w:ascii="Book Antiqua" w:hAnsi="Book Antiqua"/>
          <w:b/>
          <w:bCs/>
          <w:color w:val="000000" w:themeColor="text1"/>
        </w:rPr>
        <w:t>30</w:t>
      </w:r>
      <w:r w:rsidRPr="00245598">
        <w:rPr>
          <w:rFonts w:ascii="Book Antiqua" w:hAnsi="Book Antiqua"/>
          <w:color w:val="000000" w:themeColor="text1"/>
        </w:rPr>
        <w:t>: 2212-2219 [PMID: 22273662 DOI: 10.1016/j.vaccine.2011.12.116]</w:t>
      </w:r>
    </w:p>
    <w:p w14:paraId="0475CCC4" w14:textId="65436E72" w:rsidR="00EA74A7" w:rsidRPr="00245598" w:rsidRDefault="00EA74A7">
      <w:pPr>
        <w:spacing w:line="360" w:lineRule="auto"/>
        <w:jc w:val="both"/>
        <w:rPr>
          <w:rFonts w:ascii="Book Antiqua" w:hAnsi="Book Antiqua"/>
          <w:color w:val="000000" w:themeColor="text1"/>
        </w:rPr>
      </w:pPr>
      <w:r w:rsidRPr="00245598">
        <w:rPr>
          <w:rFonts w:ascii="Book Antiqua" w:hAnsi="Book Antiqua"/>
          <w:color w:val="000000" w:themeColor="text1"/>
          <w:highlight w:val="yellow"/>
        </w:rPr>
        <w:t xml:space="preserve">2 </w:t>
      </w:r>
      <w:r w:rsidRPr="00245598">
        <w:rPr>
          <w:rFonts w:ascii="Book Antiqua" w:hAnsi="Book Antiqua"/>
          <w:b/>
          <w:color w:val="000000" w:themeColor="text1"/>
          <w:highlight w:val="yellow"/>
        </w:rPr>
        <w:t>WHO</w:t>
      </w:r>
      <w:r w:rsidRPr="00245598">
        <w:rPr>
          <w:rFonts w:ascii="Book Antiqua" w:hAnsi="Book Antiqua"/>
          <w:color w:val="000000" w:themeColor="text1"/>
          <w:highlight w:val="yellow"/>
        </w:rPr>
        <w:t xml:space="preserve">. </w:t>
      </w:r>
      <w:proofErr w:type="spellStart"/>
      <w:r w:rsidRPr="00245598">
        <w:rPr>
          <w:rFonts w:ascii="Book Antiqua" w:hAnsi="Book Antiqua"/>
          <w:color w:val="000000" w:themeColor="text1"/>
          <w:highlight w:val="yellow"/>
        </w:rPr>
        <w:t>Hépatite</w:t>
      </w:r>
      <w:proofErr w:type="spellEnd"/>
      <w:r w:rsidRPr="00245598">
        <w:rPr>
          <w:rFonts w:ascii="Book Antiqua" w:hAnsi="Book Antiqua"/>
          <w:color w:val="000000" w:themeColor="text1"/>
          <w:highlight w:val="yellow"/>
        </w:rPr>
        <w:t xml:space="preserve"> B [Internet]. [cited 2019 May 1]; Available from: </w:t>
      </w:r>
      <w:hyperlink r:id="rId8" w:history="1">
        <w:r w:rsidR="00CF1A77" w:rsidRPr="00245598">
          <w:rPr>
            <w:rStyle w:val="ac"/>
            <w:rFonts w:ascii="Book Antiqua" w:hAnsi="Book Antiqua"/>
            <w:color w:val="000000" w:themeColor="text1"/>
            <w:highlight w:val="yellow"/>
          </w:rPr>
          <w:t>https://www.who.int/fr/news-room/fact-sheets/detail/hepatitis-b</w:t>
        </w:r>
      </w:hyperlink>
      <w:r w:rsidR="00CF1A77" w:rsidRPr="00245598">
        <w:rPr>
          <w:rFonts w:ascii="Book Antiqua" w:hAnsi="Book Antiqua"/>
          <w:color w:val="000000" w:themeColor="text1"/>
        </w:rPr>
        <w:t xml:space="preserve"> </w:t>
      </w:r>
    </w:p>
    <w:p w14:paraId="363D20AB" w14:textId="77777777" w:rsidR="00EA74A7" w:rsidRPr="00245598" w:rsidRDefault="00EA74A7">
      <w:pPr>
        <w:spacing w:line="360" w:lineRule="auto"/>
        <w:jc w:val="both"/>
        <w:rPr>
          <w:rFonts w:ascii="Book Antiqua" w:hAnsi="Book Antiqua"/>
          <w:color w:val="000000" w:themeColor="text1"/>
        </w:rPr>
      </w:pPr>
      <w:r w:rsidRPr="00245598">
        <w:rPr>
          <w:rFonts w:ascii="Book Antiqua" w:hAnsi="Book Antiqua"/>
          <w:color w:val="000000" w:themeColor="text1"/>
        </w:rPr>
        <w:t xml:space="preserve">3 </w:t>
      </w:r>
      <w:proofErr w:type="spellStart"/>
      <w:r w:rsidRPr="00245598">
        <w:rPr>
          <w:rFonts w:ascii="Book Antiqua" w:hAnsi="Book Antiqua"/>
          <w:b/>
          <w:bCs/>
          <w:color w:val="000000" w:themeColor="text1"/>
        </w:rPr>
        <w:t>Labarga</w:t>
      </w:r>
      <w:proofErr w:type="spellEnd"/>
      <w:r w:rsidRPr="00245598">
        <w:rPr>
          <w:rFonts w:ascii="Book Antiqua" w:hAnsi="Book Antiqua"/>
          <w:b/>
          <w:bCs/>
          <w:color w:val="000000" w:themeColor="text1"/>
        </w:rPr>
        <w:t xml:space="preserve"> P</w:t>
      </w:r>
      <w:r w:rsidRPr="00245598">
        <w:rPr>
          <w:rFonts w:ascii="Book Antiqua" w:hAnsi="Book Antiqua"/>
          <w:color w:val="000000" w:themeColor="text1"/>
        </w:rPr>
        <w:t>, Barreiro P, Martin-</w:t>
      </w:r>
      <w:proofErr w:type="spellStart"/>
      <w:r w:rsidRPr="00245598">
        <w:rPr>
          <w:rFonts w:ascii="Book Antiqua" w:hAnsi="Book Antiqua"/>
          <w:color w:val="000000" w:themeColor="text1"/>
        </w:rPr>
        <w:t>Carbonero</w:t>
      </w:r>
      <w:proofErr w:type="spellEnd"/>
      <w:r w:rsidRPr="00245598">
        <w:rPr>
          <w:rFonts w:ascii="Book Antiqua" w:hAnsi="Book Antiqua"/>
          <w:color w:val="000000" w:themeColor="text1"/>
        </w:rPr>
        <w:t xml:space="preserve"> L, Rodriguez-</w:t>
      </w:r>
      <w:proofErr w:type="spellStart"/>
      <w:r w:rsidRPr="00245598">
        <w:rPr>
          <w:rFonts w:ascii="Book Antiqua" w:hAnsi="Book Antiqua"/>
          <w:color w:val="000000" w:themeColor="text1"/>
        </w:rPr>
        <w:t>Novoa</w:t>
      </w:r>
      <w:proofErr w:type="spellEnd"/>
      <w:r w:rsidRPr="00245598">
        <w:rPr>
          <w:rFonts w:ascii="Book Antiqua" w:hAnsi="Book Antiqua"/>
          <w:color w:val="000000" w:themeColor="text1"/>
        </w:rPr>
        <w:t xml:space="preserve"> S, Solera C, Medrano J, Rivas P, </w:t>
      </w:r>
      <w:proofErr w:type="spellStart"/>
      <w:r w:rsidRPr="00245598">
        <w:rPr>
          <w:rFonts w:ascii="Book Antiqua" w:hAnsi="Book Antiqua"/>
          <w:color w:val="000000" w:themeColor="text1"/>
        </w:rPr>
        <w:t>Albalater</w:t>
      </w:r>
      <w:proofErr w:type="spellEnd"/>
      <w:r w:rsidRPr="00245598">
        <w:rPr>
          <w:rFonts w:ascii="Book Antiqua" w:hAnsi="Book Antiqua"/>
          <w:color w:val="000000" w:themeColor="text1"/>
        </w:rPr>
        <w:t xml:space="preserve"> M, Blanco F, Moreno V, </w:t>
      </w:r>
      <w:proofErr w:type="spellStart"/>
      <w:r w:rsidRPr="00245598">
        <w:rPr>
          <w:rFonts w:ascii="Book Antiqua" w:hAnsi="Book Antiqua"/>
          <w:color w:val="000000" w:themeColor="text1"/>
        </w:rPr>
        <w:t>Vispo</w:t>
      </w:r>
      <w:proofErr w:type="spellEnd"/>
      <w:r w:rsidRPr="00245598">
        <w:rPr>
          <w:rFonts w:ascii="Book Antiqua" w:hAnsi="Book Antiqua"/>
          <w:color w:val="000000" w:themeColor="text1"/>
        </w:rPr>
        <w:t xml:space="preserve"> E, Soriano V. Kidney tubular abnormalities in the absence of impaired glomerular function in HIV patients treated with tenofovir. </w:t>
      </w:r>
      <w:r w:rsidRPr="00245598">
        <w:rPr>
          <w:rFonts w:ascii="Book Antiqua" w:hAnsi="Book Antiqua"/>
          <w:i/>
          <w:iCs/>
          <w:color w:val="000000" w:themeColor="text1"/>
        </w:rPr>
        <w:t>AIDS</w:t>
      </w:r>
      <w:r w:rsidRPr="00245598">
        <w:rPr>
          <w:rFonts w:ascii="Book Antiqua" w:hAnsi="Book Antiqua"/>
          <w:color w:val="000000" w:themeColor="text1"/>
        </w:rPr>
        <w:t xml:space="preserve"> 2009; </w:t>
      </w:r>
      <w:r w:rsidRPr="00245598">
        <w:rPr>
          <w:rFonts w:ascii="Book Antiqua" w:hAnsi="Book Antiqua"/>
          <w:b/>
          <w:bCs/>
          <w:color w:val="000000" w:themeColor="text1"/>
        </w:rPr>
        <w:t>23</w:t>
      </w:r>
      <w:r w:rsidRPr="00245598">
        <w:rPr>
          <w:rFonts w:ascii="Book Antiqua" w:hAnsi="Book Antiqua"/>
          <w:color w:val="000000" w:themeColor="text1"/>
        </w:rPr>
        <w:t>: 689-696 [PMID: 19262355 DOI: 10.1097/QAD.0b013e3283262a64]</w:t>
      </w:r>
    </w:p>
    <w:p w14:paraId="621B1311" w14:textId="77777777" w:rsidR="00EA74A7" w:rsidRPr="00245598" w:rsidRDefault="00EA74A7">
      <w:pPr>
        <w:spacing w:line="360" w:lineRule="auto"/>
        <w:jc w:val="both"/>
        <w:rPr>
          <w:rFonts w:ascii="Book Antiqua" w:hAnsi="Book Antiqua"/>
          <w:color w:val="000000" w:themeColor="text1"/>
        </w:rPr>
      </w:pPr>
      <w:r w:rsidRPr="00245598">
        <w:rPr>
          <w:rFonts w:ascii="Book Antiqua" w:hAnsi="Book Antiqua"/>
          <w:color w:val="000000" w:themeColor="text1"/>
        </w:rPr>
        <w:t xml:space="preserve">4 </w:t>
      </w:r>
      <w:proofErr w:type="spellStart"/>
      <w:r w:rsidRPr="00245598">
        <w:rPr>
          <w:rFonts w:ascii="Book Antiqua" w:hAnsi="Book Antiqua"/>
          <w:b/>
          <w:bCs/>
          <w:color w:val="000000" w:themeColor="text1"/>
        </w:rPr>
        <w:t>Ezinga</w:t>
      </w:r>
      <w:proofErr w:type="spellEnd"/>
      <w:r w:rsidRPr="00245598">
        <w:rPr>
          <w:rFonts w:ascii="Book Antiqua" w:hAnsi="Book Antiqua"/>
          <w:b/>
          <w:bCs/>
          <w:color w:val="000000" w:themeColor="text1"/>
        </w:rPr>
        <w:t xml:space="preserve"> M</w:t>
      </w:r>
      <w:r w:rsidRPr="00245598">
        <w:rPr>
          <w:rFonts w:ascii="Book Antiqua" w:hAnsi="Book Antiqua"/>
          <w:color w:val="000000" w:themeColor="text1"/>
        </w:rPr>
        <w:t xml:space="preserve">, </w:t>
      </w:r>
      <w:proofErr w:type="spellStart"/>
      <w:r w:rsidRPr="00245598">
        <w:rPr>
          <w:rFonts w:ascii="Book Antiqua" w:hAnsi="Book Antiqua"/>
          <w:color w:val="000000" w:themeColor="text1"/>
        </w:rPr>
        <w:t>Wetzels</w:t>
      </w:r>
      <w:proofErr w:type="spellEnd"/>
      <w:r w:rsidRPr="00245598">
        <w:rPr>
          <w:rFonts w:ascii="Book Antiqua" w:hAnsi="Book Antiqua"/>
          <w:color w:val="000000" w:themeColor="text1"/>
        </w:rPr>
        <w:t xml:space="preserve"> JF, Bosch ME, van der Ven AJ, Burger DM. Long-term treatment with tenofovir: prevalence of kidney tubular dysfunction and its association with tenofovir plasma concentration. </w:t>
      </w:r>
      <w:proofErr w:type="spellStart"/>
      <w:r w:rsidRPr="00245598">
        <w:rPr>
          <w:rFonts w:ascii="Book Antiqua" w:hAnsi="Book Antiqua"/>
          <w:i/>
          <w:iCs/>
          <w:color w:val="000000" w:themeColor="text1"/>
        </w:rPr>
        <w:t>Antivir</w:t>
      </w:r>
      <w:proofErr w:type="spellEnd"/>
      <w:r w:rsidRPr="00245598">
        <w:rPr>
          <w:rFonts w:ascii="Book Antiqua" w:hAnsi="Book Antiqua"/>
          <w:i/>
          <w:iCs/>
          <w:color w:val="000000" w:themeColor="text1"/>
        </w:rPr>
        <w:t xml:space="preserve"> </w:t>
      </w:r>
      <w:proofErr w:type="spellStart"/>
      <w:r w:rsidRPr="00245598">
        <w:rPr>
          <w:rFonts w:ascii="Book Antiqua" w:hAnsi="Book Antiqua"/>
          <w:i/>
          <w:iCs/>
          <w:color w:val="000000" w:themeColor="text1"/>
        </w:rPr>
        <w:t>Ther</w:t>
      </w:r>
      <w:proofErr w:type="spellEnd"/>
      <w:r w:rsidRPr="00245598">
        <w:rPr>
          <w:rFonts w:ascii="Book Antiqua" w:hAnsi="Book Antiqua"/>
          <w:color w:val="000000" w:themeColor="text1"/>
        </w:rPr>
        <w:t xml:space="preserve"> 2014; </w:t>
      </w:r>
      <w:r w:rsidRPr="00245598">
        <w:rPr>
          <w:rFonts w:ascii="Book Antiqua" w:hAnsi="Book Antiqua"/>
          <w:b/>
          <w:bCs/>
          <w:color w:val="000000" w:themeColor="text1"/>
        </w:rPr>
        <w:t>19</w:t>
      </w:r>
      <w:r w:rsidRPr="00245598">
        <w:rPr>
          <w:rFonts w:ascii="Book Antiqua" w:hAnsi="Book Antiqua"/>
          <w:color w:val="000000" w:themeColor="text1"/>
        </w:rPr>
        <w:t>: 765-771 [PMID: 24584104 DOI: 10.3851/IMP2761]</w:t>
      </w:r>
    </w:p>
    <w:p w14:paraId="43B74FF0" w14:textId="77777777" w:rsidR="00EA74A7" w:rsidRPr="00245598" w:rsidRDefault="00EA74A7">
      <w:pPr>
        <w:spacing w:line="360" w:lineRule="auto"/>
        <w:jc w:val="both"/>
        <w:rPr>
          <w:rFonts w:ascii="Book Antiqua" w:hAnsi="Book Antiqua"/>
          <w:color w:val="000000" w:themeColor="text1"/>
        </w:rPr>
      </w:pPr>
      <w:r w:rsidRPr="00245598">
        <w:rPr>
          <w:rFonts w:ascii="Book Antiqua" w:hAnsi="Book Antiqua"/>
          <w:color w:val="000000" w:themeColor="text1"/>
        </w:rPr>
        <w:t xml:space="preserve">5 </w:t>
      </w:r>
      <w:r w:rsidRPr="00245598">
        <w:rPr>
          <w:rFonts w:ascii="Book Antiqua" w:hAnsi="Book Antiqua"/>
          <w:b/>
          <w:bCs/>
          <w:color w:val="000000" w:themeColor="text1"/>
        </w:rPr>
        <w:t>Casado JL</w:t>
      </w:r>
      <w:r w:rsidRPr="00245598">
        <w:rPr>
          <w:rFonts w:ascii="Book Antiqua" w:hAnsi="Book Antiqua"/>
          <w:color w:val="000000" w:themeColor="text1"/>
        </w:rPr>
        <w:t xml:space="preserve">, Del Rey JM, </w:t>
      </w:r>
      <w:proofErr w:type="spellStart"/>
      <w:r w:rsidRPr="00245598">
        <w:rPr>
          <w:rFonts w:ascii="Book Antiqua" w:hAnsi="Book Antiqua"/>
          <w:color w:val="000000" w:themeColor="text1"/>
        </w:rPr>
        <w:t>Bañón</w:t>
      </w:r>
      <w:proofErr w:type="spellEnd"/>
      <w:r w:rsidRPr="00245598">
        <w:rPr>
          <w:rFonts w:ascii="Book Antiqua" w:hAnsi="Book Antiqua"/>
          <w:color w:val="000000" w:themeColor="text1"/>
        </w:rPr>
        <w:t xml:space="preserve"> S, </w:t>
      </w:r>
      <w:proofErr w:type="spellStart"/>
      <w:r w:rsidRPr="00245598">
        <w:rPr>
          <w:rFonts w:ascii="Book Antiqua" w:hAnsi="Book Antiqua"/>
          <w:color w:val="000000" w:themeColor="text1"/>
        </w:rPr>
        <w:t>Santiuste</w:t>
      </w:r>
      <w:proofErr w:type="spellEnd"/>
      <w:r w:rsidRPr="00245598">
        <w:rPr>
          <w:rFonts w:ascii="Book Antiqua" w:hAnsi="Book Antiqua"/>
          <w:color w:val="000000" w:themeColor="text1"/>
        </w:rPr>
        <w:t xml:space="preserve"> C, Rodriguez M, Moreno A, Perez-Elías MJ, </w:t>
      </w:r>
      <w:proofErr w:type="spellStart"/>
      <w:r w:rsidRPr="00245598">
        <w:rPr>
          <w:rFonts w:ascii="Book Antiqua" w:hAnsi="Book Antiqua"/>
          <w:color w:val="000000" w:themeColor="text1"/>
        </w:rPr>
        <w:t>Liaño</w:t>
      </w:r>
      <w:proofErr w:type="spellEnd"/>
      <w:r w:rsidRPr="00245598">
        <w:rPr>
          <w:rFonts w:ascii="Book Antiqua" w:hAnsi="Book Antiqua"/>
          <w:color w:val="000000" w:themeColor="text1"/>
        </w:rPr>
        <w:t xml:space="preserve"> F, Moreno S. Changes in Kidney Function and in the Rate of Tubular Dysfunction After Tenofovir Withdrawal or Continuation in HIV-Infected Patients. </w:t>
      </w:r>
      <w:r w:rsidRPr="00245598">
        <w:rPr>
          <w:rFonts w:ascii="Book Antiqua" w:hAnsi="Book Antiqua"/>
          <w:i/>
          <w:iCs/>
          <w:color w:val="000000" w:themeColor="text1"/>
        </w:rPr>
        <w:t xml:space="preserve">J </w:t>
      </w:r>
      <w:proofErr w:type="spellStart"/>
      <w:r w:rsidRPr="00245598">
        <w:rPr>
          <w:rFonts w:ascii="Book Antiqua" w:hAnsi="Book Antiqua"/>
          <w:i/>
          <w:iCs/>
          <w:color w:val="000000" w:themeColor="text1"/>
        </w:rPr>
        <w:t>Acquir</w:t>
      </w:r>
      <w:proofErr w:type="spellEnd"/>
      <w:r w:rsidRPr="00245598">
        <w:rPr>
          <w:rFonts w:ascii="Book Antiqua" w:hAnsi="Book Antiqua"/>
          <w:i/>
          <w:iCs/>
          <w:color w:val="000000" w:themeColor="text1"/>
        </w:rPr>
        <w:t xml:space="preserve"> Immune </w:t>
      </w:r>
      <w:proofErr w:type="spellStart"/>
      <w:r w:rsidRPr="00245598">
        <w:rPr>
          <w:rFonts w:ascii="Book Antiqua" w:hAnsi="Book Antiqua"/>
          <w:i/>
          <w:iCs/>
          <w:color w:val="000000" w:themeColor="text1"/>
        </w:rPr>
        <w:t>Defic</w:t>
      </w:r>
      <w:proofErr w:type="spellEnd"/>
      <w:r w:rsidRPr="00245598">
        <w:rPr>
          <w:rFonts w:ascii="Book Antiqua" w:hAnsi="Book Antiqua"/>
          <w:i/>
          <w:iCs/>
          <w:color w:val="000000" w:themeColor="text1"/>
        </w:rPr>
        <w:t xml:space="preserve"> </w:t>
      </w:r>
      <w:proofErr w:type="spellStart"/>
      <w:r w:rsidRPr="00245598">
        <w:rPr>
          <w:rFonts w:ascii="Book Antiqua" w:hAnsi="Book Antiqua"/>
          <w:i/>
          <w:iCs/>
          <w:color w:val="000000" w:themeColor="text1"/>
        </w:rPr>
        <w:t>Syndr</w:t>
      </w:r>
      <w:proofErr w:type="spellEnd"/>
      <w:r w:rsidRPr="00245598">
        <w:rPr>
          <w:rFonts w:ascii="Book Antiqua" w:hAnsi="Book Antiqua"/>
          <w:color w:val="000000" w:themeColor="text1"/>
        </w:rPr>
        <w:t xml:space="preserve"> 2016; </w:t>
      </w:r>
      <w:r w:rsidRPr="00245598">
        <w:rPr>
          <w:rFonts w:ascii="Book Antiqua" w:hAnsi="Book Antiqua"/>
          <w:b/>
          <w:bCs/>
          <w:color w:val="000000" w:themeColor="text1"/>
        </w:rPr>
        <w:t>72</w:t>
      </w:r>
      <w:r w:rsidRPr="00245598">
        <w:rPr>
          <w:rFonts w:ascii="Book Antiqua" w:hAnsi="Book Antiqua"/>
          <w:color w:val="000000" w:themeColor="text1"/>
        </w:rPr>
        <w:t>: 416-422 [PMID: 26962850 DOI: 10.1097/QAI.0000000000000986]</w:t>
      </w:r>
    </w:p>
    <w:p w14:paraId="6A827F14" w14:textId="77777777" w:rsidR="00EA74A7" w:rsidRPr="00245598" w:rsidRDefault="00EA74A7">
      <w:pPr>
        <w:spacing w:line="360" w:lineRule="auto"/>
        <w:jc w:val="both"/>
        <w:rPr>
          <w:rFonts w:ascii="Book Antiqua" w:hAnsi="Book Antiqua"/>
          <w:color w:val="000000" w:themeColor="text1"/>
        </w:rPr>
      </w:pPr>
      <w:r w:rsidRPr="00245598">
        <w:rPr>
          <w:rFonts w:ascii="Book Antiqua" w:hAnsi="Book Antiqua"/>
          <w:color w:val="000000" w:themeColor="text1"/>
        </w:rPr>
        <w:t xml:space="preserve">6 </w:t>
      </w:r>
      <w:proofErr w:type="spellStart"/>
      <w:r w:rsidRPr="00245598">
        <w:rPr>
          <w:rFonts w:ascii="Book Antiqua" w:hAnsi="Book Antiqua"/>
          <w:b/>
          <w:bCs/>
          <w:color w:val="000000" w:themeColor="text1"/>
        </w:rPr>
        <w:t>Lampertico</w:t>
      </w:r>
      <w:proofErr w:type="spellEnd"/>
      <w:r w:rsidRPr="00245598">
        <w:rPr>
          <w:rFonts w:ascii="Book Antiqua" w:hAnsi="Book Antiqua"/>
          <w:b/>
          <w:bCs/>
          <w:color w:val="000000" w:themeColor="text1"/>
        </w:rPr>
        <w:t xml:space="preserve"> P</w:t>
      </w:r>
      <w:r w:rsidRPr="00245598">
        <w:rPr>
          <w:rFonts w:ascii="Book Antiqua" w:hAnsi="Book Antiqua"/>
          <w:color w:val="000000" w:themeColor="text1"/>
        </w:rPr>
        <w:t xml:space="preserve">, Chan HL, Janssen HL, Strasser SI, Schindler R, Berg T. Review article: long-term safety of nucleoside and nucleotide analogues in HBV-monoinfected patients. </w:t>
      </w:r>
      <w:r w:rsidRPr="00245598">
        <w:rPr>
          <w:rFonts w:ascii="Book Antiqua" w:hAnsi="Book Antiqua"/>
          <w:i/>
          <w:iCs/>
          <w:color w:val="000000" w:themeColor="text1"/>
        </w:rPr>
        <w:t xml:space="preserve">Aliment </w:t>
      </w:r>
      <w:proofErr w:type="spellStart"/>
      <w:r w:rsidRPr="00245598">
        <w:rPr>
          <w:rFonts w:ascii="Book Antiqua" w:hAnsi="Book Antiqua"/>
          <w:i/>
          <w:iCs/>
          <w:color w:val="000000" w:themeColor="text1"/>
        </w:rPr>
        <w:t>Pharmacol</w:t>
      </w:r>
      <w:proofErr w:type="spellEnd"/>
      <w:r w:rsidRPr="00245598">
        <w:rPr>
          <w:rFonts w:ascii="Book Antiqua" w:hAnsi="Book Antiqua"/>
          <w:i/>
          <w:iCs/>
          <w:color w:val="000000" w:themeColor="text1"/>
        </w:rPr>
        <w:t xml:space="preserve"> </w:t>
      </w:r>
      <w:proofErr w:type="spellStart"/>
      <w:r w:rsidRPr="00245598">
        <w:rPr>
          <w:rFonts w:ascii="Book Antiqua" w:hAnsi="Book Antiqua"/>
          <w:i/>
          <w:iCs/>
          <w:color w:val="000000" w:themeColor="text1"/>
        </w:rPr>
        <w:t>Ther</w:t>
      </w:r>
      <w:proofErr w:type="spellEnd"/>
      <w:r w:rsidRPr="00245598">
        <w:rPr>
          <w:rFonts w:ascii="Book Antiqua" w:hAnsi="Book Antiqua"/>
          <w:color w:val="000000" w:themeColor="text1"/>
        </w:rPr>
        <w:t xml:space="preserve"> 2016; </w:t>
      </w:r>
      <w:r w:rsidRPr="00245598">
        <w:rPr>
          <w:rFonts w:ascii="Book Antiqua" w:hAnsi="Book Antiqua"/>
          <w:b/>
          <w:bCs/>
          <w:color w:val="000000" w:themeColor="text1"/>
        </w:rPr>
        <w:t>44</w:t>
      </w:r>
      <w:r w:rsidRPr="00245598">
        <w:rPr>
          <w:rFonts w:ascii="Book Antiqua" w:hAnsi="Book Antiqua"/>
          <w:color w:val="000000" w:themeColor="text1"/>
        </w:rPr>
        <w:t>: 16-34 [PMID: 27198929 DOI: 10.1111/apt.13659]</w:t>
      </w:r>
    </w:p>
    <w:p w14:paraId="2B521AC0" w14:textId="77777777" w:rsidR="00EA74A7" w:rsidRPr="00245598" w:rsidRDefault="00EA74A7">
      <w:pPr>
        <w:spacing w:line="360" w:lineRule="auto"/>
        <w:jc w:val="both"/>
        <w:rPr>
          <w:rFonts w:ascii="Book Antiqua" w:hAnsi="Book Antiqua"/>
          <w:color w:val="000000" w:themeColor="text1"/>
        </w:rPr>
      </w:pPr>
      <w:r w:rsidRPr="00245598">
        <w:rPr>
          <w:rFonts w:ascii="Book Antiqua" w:hAnsi="Book Antiqua"/>
          <w:color w:val="000000" w:themeColor="text1"/>
        </w:rPr>
        <w:t xml:space="preserve">7 </w:t>
      </w:r>
      <w:proofErr w:type="spellStart"/>
      <w:r w:rsidRPr="00245598">
        <w:rPr>
          <w:rFonts w:ascii="Book Antiqua" w:hAnsi="Book Antiqua"/>
          <w:b/>
          <w:bCs/>
          <w:color w:val="000000" w:themeColor="text1"/>
        </w:rPr>
        <w:t>Manns</w:t>
      </w:r>
      <w:proofErr w:type="spellEnd"/>
      <w:r w:rsidRPr="00245598">
        <w:rPr>
          <w:rFonts w:ascii="Book Antiqua" w:hAnsi="Book Antiqua"/>
          <w:b/>
          <w:bCs/>
          <w:color w:val="000000" w:themeColor="text1"/>
        </w:rPr>
        <w:t xml:space="preserve"> MP</w:t>
      </w:r>
      <w:r w:rsidRPr="00245598">
        <w:rPr>
          <w:rFonts w:ascii="Book Antiqua" w:hAnsi="Book Antiqua"/>
          <w:color w:val="000000" w:themeColor="text1"/>
        </w:rPr>
        <w:t xml:space="preserve">, </w:t>
      </w:r>
      <w:proofErr w:type="spellStart"/>
      <w:r w:rsidRPr="00245598">
        <w:rPr>
          <w:rFonts w:ascii="Book Antiqua" w:hAnsi="Book Antiqua"/>
          <w:color w:val="000000" w:themeColor="text1"/>
        </w:rPr>
        <w:t>Akarca</w:t>
      </w:r>
      <w:proofErr w:type="spellEnd"/>
      <w:r w:rsidRPr="00245598">
        <w:rPr>
          <w:rFonts w:ascii="Book Antiqua" w:hAnsi="Book Antiqua"/>
          <w:color w:val="000000" w:themeColor="text1"/>
        </w:rPr>
        <w:t xml:space="preserve"> US, Chang TT, Sievert W, Yoon SK, Tsai N, Min A, </w:t>
      </w:r>
      <w:proofErr w:type="spellStart"/>
      <w:r w:rsidRPr="00245598">
        <w:rPr>
          <w:rFonts w:ascii="Book Antiqua" w:hAnsi="Book Antiqua"/>
          <w:color w:val="000000" w:themeColor="text1"/>
        </w:rPr>
        <w:t>Pangerl</w:t>
      </w:r>
      <w:proofErr w:type="spellEnd"/>
      <w:r w:rsidRPr="00245598">
        <w:rPr>
          <w:rFonts w:ascii="Book Antiqua" w:hAnsi="Book Antiqua"/>
          <w:color w:val="000000" w:themeColor="text1"/>
        </w:rPr>
        <w:t xml:space="preserve"> A, Beebe S, Yu M, </w:t>
      </w:r>
      <w:proofErr w:type="spellStart"/>
      <w:r w:rsidRPr="00245598">
        <w:rPr>
          <w:rFonts w:ascii="Book Antiqua" w:hAnsi="Book Antiqua"/>
          <w:color w:val="000000" w:themeColor="text1"/>
        </w:rPr>
        <w:t>Wongcharatrawee</w:t>
      </w:r>
      <w:proofErr w:type="spellEnd"/>
      <w:r w:rsidRPr="00245598">
        <w:rPr>
          <w:rFonts w:ascii="Book Antiqua" w:hAnsi="Book Antiqua"/>
          <w:color w:val="000000" w:themeColor="text1"/>
        </w:rPr>
        <w:t xml:space="preserve"> S. Long-term safety and tolerability of entecavir in patients </w:t>
      </w:r>
      <w:r w:rsidRPr="00245598">
        <w:rPr>
          <w:rFonts w:ascii="Book Antiqua" w:hAnsi="Book Antiqua"/>
          <w:color w:val="000000" w:themeColor="text1"/>
        </w:rPr>
        <w:lastRenderedPageBreak/>
        <w:t xml:space="preserve">with chronic hepatitis B in the rollover study ETV-901. </w:t>
      </w:r>
      <w:r w:rsidRPr="00245598">
        <w:rPr>
          <w:rFonts w:ascii="Book Antiqua" w:hAnsi="Book Antiqua"/>
          <w:i/>
          <w:iCs/>
          <w:color w:val="000000" w:themeColor="text1"/>
        </w:rPr>
        <w:t xml:space="preserve">Expert </w:t>
      </w:r>
      <w:proofErr w:type="spellStart"/>
      <w:r w:rsidRPr="00245598">
        <w:rPr>
          <w:rFonts w:ascii="Book Antiqua" w:hAnsi="Book Antiqua"/>
          <w:i/>
          <w:iCs/>
          <w:color w:val="000000" w:themeColor="text1"/>
        </w:rPr>
        <w:t>Opin</w:t>
      </w:r>
      <w:proofErr w:type="spellEnd"/>
      <w:r w:rsidRPr="00245598">
        <w:rPr>
          <w:rFonts w:ascii="Book Antiqua" w:hAnsi="Book Antiqua"/>
          <w:i/>
          <w:iCs/>
          <w:color w:val="000000" w:themeColor="text1"/>
        </w:rPr>
        <w:t xml:space="preserve"> Drug </w:t>
      </w:r>
      <w:proofErr w:type="spellStart"/>
      <w:r w:rsidRPr="00245598">
        <w:rPr>
          <w:rFonts w:ascii="Book Antiqua" w:hAnsi="Book Antiqua"/>
          <w:i/>
          <w:iCs/>
          <w:color w:val="000000" w:themeColor="text1"/>
        </w:rPr>
        <w:t>Saf</w:t>
      </w:r>
      <w:proofErr w:type="spellEnd"/>
      <w:r w:rsidRPr="00245598">
        <w:rPr>
          <w:rFonts w:ascii="Book Antiqua" w:hAnsi="Book Antiqua"/>
          <w:color w:val="000000" w:themeColor="text1"/>
        </w:rPr>
        <w:t xml:space="preserve"> 2012; </w:t>
      </w:r>
      <w:r w:rsidRPr="00245598">
        <w:rPr>
          <w:rFonts w:ascii="Book Antiqua" w:hAnsi="Book Antiqua"/>
          <w:b/>
          <w:bCs/>
          <w:color w:val="000000" w:themeColor="text1"/>
        </w:rPr>
        <w:t>11</w:t>
      </w:r>
      <w:r w:rsidRPr="00245598">
        <w:rPr>
          <w:rFonts w:ascii="Book Antiqua" w:hAnsi="Book Antiqua"/>
          <w:color w:val="000000" w:themeColor="text1"/>
        </w:rPr>
        <w:t>: 361-368 [PMID: 22233350 DOI: 10.1517/14740338.2012.653340]</w:t>
      </w:r>
    </w:p>
    <w:p w14:paraId="07D91497" w14:textId="77777777" w:rsidR="00EA74A7" w:rsidRPr="00245598" w:rsidRDefault="00EA74A7">
      <w:pPr>
        <w:spacing w:line="360" w:lineRule="auto"/>
        <w:jc w:val="both"/>
        <w:rPr>
          <w:rFonts w:ascii="Book Antiqua" w:hAnsi="Book Antiqua"/>
          <w:color w:val="000000" w:themeColor="text1"/>
        </w:rPr>
      </w:pPr>
      <w:r w:rsidRPr="00245598">
        <w:rPr>
          <w:rFonts w:ascii="Book Antiqua" w:hAnsi="Book Antiqua"/>
          <w:color w:val="000000" w:themeColor="text1"/>
        </w:rPr>
        <w:t xml:space="preserve">8 </w:t>
      </w:r>
      <w:r w:rsidRPr="00245598">
        <w:rPr>
          <w:rFonts w:ascii="Book Antiqua" w:hAnsi="Book Antiqua"/>
          <w:b/>
          <w:bCs/>
          <w:color w:val="000000" w:themeColor="text1"/>
        </w:rPr>
        <w:t>Marcellin P</w:t>
      </w:r>
      <w:r w:rsidRPr="00245598">
        <w:rPr>
          <w:rFonts w:ascii="Book Antiqua" w:hAnsi="Book Antiqua"/>
          <w:color w:val="000000" w:themeColor="text1"/>
        </w:rPr>
        <w:t xml:space="preserve">, Heathcote EJ, Buti M, </w:t>
      </w:r>
      <w:proofErr w:type="spellStart"/>
      <w:r w:rsidRPr="00245598">
        <w:rPr>
          <w:rFonts w:ascii="Book Antiqua" w:hAnsi="Book Antiqua"/>
          <w:color w:val="000000" w:themeColor="text1"/>
        </w:rPr>
        <w:t>Gane</w:t>
      </w:r>
      <w:proofErr w:type="spellEnd"/>
      <w:r w:rsidRPr="00245598">
        <w:rPr>
          <w:rFonts w:ascii="Book Antiqua" w:hAnsi="Book Antiqua"/>
          <w:color w:val="000000" w:themeColor="text1"/>
        </w:rPr>
        <w:t xml:space="preserve"> E, de Man RA, Krastev Z, </w:t>
      </w:r>
      <w:proofErr w:type="spellStart"/>
      <w:r w:rsidRPr="00245598">
        <w:rPr>
          <w:rFonts w:ascii="Book Antiqua" w:hAnsi="Book Antiqua"/>
          <w:color w:val="000000" w:themeColor="text1"/>
        </w:rPr>
        <w:t>Germanidis</w:t>
      </w:r>
      <w:proofErr w:type="spellEnd"/>
      <w:r w:rsidRPr="00245598">
        <w:rPr>
          <w:rFonts w:ascii="Book Antiqua" w:hAnsi="Book Antiqua"/>
          <w:color w:val="000000" w:themeColor="text1"/>
        </w:rPr>
        <w:t xml:space="preserve"> G, Lee SS, </w:t>
      </w:r>
      <w:proofErr w:type="spellStart"/>
      <w:r w:rsidRPr="00245598">
        <w:rPr>
          <w:rFonts w:ascii="Book Antiqua" w:hAnsi="Book Antiqua"/>
          <w:color w:val="000000" w:themeColor="text1"/>
        </w:rPr>
        <w:t>Flisiak</w:t>
      </w:r>
      <w:proofErr w:type="spellEnd"/>
      <w:r w:rsidRPr="00245598">
        <w:rPr>
          <w:rFonts w:ascii="Book Antiqua" w:hAnsi="Book Antiqua"/>
          <w:color w:val="000000" w:themeColor="text1"/>
        </w:rPr>
        <w:t xml:space="preserve"> R, </w:t>
      </w:r>
      <w:proofErr w:type="spellStart"/>
      <w:r w:rsidRPr="00245598">
        <w:rPr>
          <w:rFonts w:ascii="Book Antiqua" w:hAnsi="Book Antiqua"/>
          <w:color w:val="000000" w:themeColor="text1"/>
        </w:rPr>
        <w:t>Kaita</w:t>
      </w:r>
      <w:proofErr w:type="spellEnd"/>
      <w:r w:rsidRPr="00245598">
        <w:rPr>
          <w:rFonts w:ascii="Book Antiqua" w:hAnsi="Book Antiqua"/>
          <w:color w:val="000000" w:themeColor="text1"/>
        </w:rPr>
        <w:t xml:space="preserve"> K, </w:t>
      </w:r>
      <w:proofErr w:type="spellStart"/>
      <w:r w:rsidRPr="00245598">
        <w:rPr>
          <w:rFonts w:ascii="Book Antiqua" w:hAnsi="Book Antiqua"/>
          <w:color w:val="000000" w:themeColor="text1"/>
        </w:rPr>
        <w:t>Manns</w:t>
      </w:r>
      <w:proofErr w:type="spellEnd"/>
      <w:r w:rsidRPr="00245598">
        <w:rPr>
          <w:rFonts w:ascii="Book Antiqua" w:hAnsi="Book Antiqua"/>
          <w:color w:val="000000" w:themeColor="text1"/>
        </w:rPr>
        <w:t xml:space="preserve"> M, </w:t>
      </w:r>
      <w:proofErr w:type="spellStart"/>
      <w:r w:rsidRPr="00245598">
        <w:rPr>
          <w:rFonts w:ascii="Book Antiqua" w:hAnsi="Book Antiqua"/>
          <w:color w:val="000000" w:themeColor="text1"/>
        </w:rPr>
        <w:t>Kotzev</w:t>
      </w:r>
      <w:proofErr w:type="spellEnd"/>
      <w:r w:rsidRPr="00245598">
        <w:rPr>
          <w:rFonts w:ascii="Book Antiqua" w:hAnsi="Book Antiqua"/>
          <w:color w:val="000000" w:themeColor="text1"/>
        </w:rPr>
        <w:t xml:space="preserve"> I, </w:t>
      </w:r>
      <w:proofErr w:type="spellStart"/>
      <w:r w:rsidRPr="00245598">
        <w:rPr>
          <w:rFonts w:ascii="Book Antiqua" w:hAnsi="Book Antiqua"/>
          <w:color w:val="000000" w:themeColor="text1"/>
        </w:rPr>
        <w:t>Tchernev</w:t>
      </w:r>
      <w:proofErr w:type="spellEnd"/>
      <w:r w:rsidRPr="00245598">
        <w:rPr>
          <w:rFonts w:ascii="Book Antiqua" w:hAnsi="Book Antiqua"/>
          <w:color w:val="000000" w:themeColor="text1"/>
        </w:rPr>
        <w:t xml:space="preserve"> K, </w:t>
      </w:r>
      <w:proofErr w:type="spellStart"/>
      <w:r w:rsidRPr="00245598">
        <w:rPr>
          <w:rFonts w:ascii="Book Antiqua" w:hAnsi="Book Antiqua"/>
          <w:color w:val="000000" w:themeColor="text1"/>
        </w:rPr>
        <w:t>Buggisch</w:t>
      </w:r>
      <w:proofErr w:type="spellEnd"/>
      <w:r w:rsidRPr="00245598">
        <w:rPr>
          <w:rFonts w:ascii="Book Antiqua" w:hAnsi="Book Antiqua"/>
          <w:color w:val="000000" w:themeColor="text1"/>
        </w:rPr>
        <w:t xml:space="preserve"> P, </w:t>
      </w:r>
      <w:proofErr w:type="spellStart"/>
      <w:r w:rsidRPr="00245598">
        <w:rPr>
          <w:rFonts w:ascii="Book Antiqua" w:hAnsi="Book Antiqua"/>
          <w:color w:val="000000" w:themeColor="text1"/>
        </w:rPr>
        <w:t>Weilert</w:t>
      </w:r>
      <w:proofErr w:type="spellEnd"/>
      <w:r w:rsidRPr="00245598">
        <w:rPr>
          <w:rFonts w:ascii="Book Antiqua" w:hAnsi="Book Antiqua"/>
          <w:color w:val="000000" w:themeColor="text1"/>
        </w:rPr>
        <w:t xml:space="preserve"> F, </w:t>
      </w:r>
      <w:proofErr w:type="spellStart"/>
      <w:r w:rsidRPr="00245598">
        <w:rPr>
          <w:rFonts w:ascii="Book Antiqua" w:hAnsi="Book Antiqua"/>
          <w:color w:val="000000" w:themeColor="text1"/>
        </w:rPr>
        <w:t>Kurdas</w:t>
      </w:r>
      <w:proofErr w:type="spellEnd"/>
      <w:r w:rsidRPr="00245598">
        <w:rPr>
          <w:rFonts w:ascii="Book Antiqua" w:hAnsi="Book Antiqua"/>
          <w:color w:val="000000" w:themeColor="text1"/>
        </w:rPr>
        <w:t xml:space="preserve"> OO, </w:t>
      </w:r>
      <w:proofErr w:type="spellStart"/>
      <w:r w:rsidRPr="00245598">
        <w:rPr>
          <w:rFonts w:ascii="Book Antiqua" w:hAnsi="Book Antiqua"/>
          <w:color w:val="000000" w:themeColor="text1"/>
        </w:rPr>
        <w:t>Shiffman</w:t>
      </w:r>
      <w:proofErr w:type="spellEnd"/>
      <w:r w:rsidRPr="00245598">
        <w:rPr>
          <w:rFonts w:ascii="Book Antiqua" w:hAnsi="Book Antiqua"/>
          <w:color w:val="000000" w:themeColor="text1"/>
        </w:rPr>
        <w:t xml:space="preserve"> ML, Trinh H, Washington MK, </w:t>
      </w:r>
      <w:proofErr w:type="spellStart"/>
      <w:r w:rsidRPr="00245598">
        <w:rPr>
          <w:rFonts w:ascii="Book Antiqua" w:hAnsi="Book Antiqua"/>
          <w:color w:val="000000" w:themeColor="text1"/>
        </w:rPr>
        <w:t>Sorbel</w:t>
      </w:r>
      <w:proofErr w:type="spellEnd"/>
      <w:r w:rsidRPr="00245598">
        <w:rPr>
          <w:rFonts w:ascii="Book Antiqua" w:hAnsi="Book Antiqua"/>
          <w:color w:val="000000" w:themeColor="text1"/>
        </w:rPr>
        <w:t xml:space="preserve"> J, Anderson J, Snow-</w:t>
      </w:r>
      <w:proofErr w:type="spellStart"/>
      <w:r w:rsidRPr="00245598">
        <w:rPr>
          <w:rFonts w:ascii="Book Antiqua" w:hAnsi="Book Antiqua"/>
          <w:color w:val="000000" w:themeColor="text1"/>
        </w:rPr>
        <w:t>Lampart</w:t>
      </w:r>
      <w:proofErr w:type="spellEnd"/>
      <w:r w:rsidRPr="00245598">
        <w:rPr>
          <w:rFonts w:ascii="Book Antiqua" w:hAnsi="Book Antiqua"/>
          <w:color w:val="000000" w:themeColor="text1"/>
        </w:rPr>
        <w:t xml:space="preserve"> A, </w:t>
      </w:r>
      <w:proofErr w:type="spellStart"/>
      <w:r w:rsidRPr="00245598">
        <w:rPr>
          <w:rFonts w:ascii="Book Antiqua" w:hAnsi="Book Antiqua"/>
          <w:color w:val="000000" w:themeColor="text1"/>
        </w:rPr>
        <w:t>Mondou</w:t>
      </w:r>
      <w:proofErr w:type="spellEnd"/>
      <w:r w:rsidRPr="00245598">
        <w:rPr>
          <w:rFonts w:ascii="Book Antiqua" w:hAnsi="Book Antiqua"/>
          <w:color w:val="000000" w:themeColor="text1"/>
        </w:rPr>
        <w:t xml:space="preserve"> E, Quinn J, Rousseau F. Tenofovir disoproxil fumarate versus adefovir </w:t>
      </w:r>
      <w:proofErr w:type="spellStart"/>
      <w:r w:rsidRPr="00245598">
        <w:rPr>
          <w:rFonts w:ascii="Book Antiqua" w:hAnsi="Book Antiqua"/>
          <w:color w:val="000000" w:themeColor="text1"/>
        </w:rPr>
        <w:t>dipivoxil</w:t>
      </w:r>
      <w:proofErr w:type="spellEnd"/>
      <w:r w:rsidRPr="00245598">
        <w:rPr>
          <w:rFonts w:ascii="Book Antiqua" w:hAnsi="Book Antiqua"/>
          <w:color w:val="000000" w:themeColor="text1"/>
        </w:rPr>
        <w:t xml:space="preserve"> for chronic hepatitis B. </w:t>
      </w:r>
      <w:r w:rsidRPr="00245598">
        <w:rPr>
          <w:rFonts w:ascii="Book Antiqua" w:hAnsi="Book Antiqua"/>
          <w:i/>
          <w:iCs/>
          <w:color w:val="000000" w:themeColor="text1"/>
        </w:rPr>
        <w:t xml:space="preserve">N </w:t>
      </w:r>
      <w:proofErr w:type="spellStart"/>
      <w:r w:rsidRPr="00245598">
        <w:rPr>
          <w:rFonts w:ascii="Book Antiqua" w:hAnsi="Book Antiqua"/>
          <w:i/>
          <w:iCs/>
          <w:color w:val="000000" w:themeColor="text1"/>
        </w:rPr>
        <w:t>Engl</w:t>
      </w:r>
      <w:proofErr w:type="spellEnd"/>
      <w:r w:rsidRPr="00245598">
        <w:rPr>
          <w:rFonts w:ascii="Book Antiqua" w:hAnsi="Book Antiqua"/>
          <w:i/>
          <w:iCs/>
          <w:color w:val="000000" w:themeColor="text1"/>
        </w:rPr>
        <w:t xml:space="preserve"> J Med</w:t>
      </w:r>
      <w:r w:rsidRPr="00245598">
        <w:rPr>
          <w:rFonts w:ascii="Book Antiqua" w:hAnsi="Book Antiqua"/>
          <w:color w:val="000000" w:themeColor="text1"/>
        </w:rPr>
        <w:t xml:space="preserve"> 2008; </w:t>
      </w:r>
      <w:r w:rsidRPr="00245598">
        <w:rPr>
          <w:rFonts w:ascii="Book Antiqua" w:hAnsi="Book Antiqua"/>
          <w:b/>
          <w:bCs/>
          <w:color w:val="000000" w:themeColor="text1"/>
        </w:rPr>
        <w:t>359</w:t>
      </w:r>
      <w:r w:rsidRPr="00245598">
        <w:rPr>
          <w:rFonts w:ascii="Book Antiqua" w:hAnsi="Book Antiqua"/>
          <w:color w:val="000000" w:themeColor="text1"/>
        </w:rPr>
        <w:t>: 2442-2455 [PMID: 19052126 DOI: 10.1056/NEJMoa0802878]</w:t>
      </w:r>
    </w:p>
    <w:p w14:paraId="2DF79A5B" w14:textId="77777777" w:rsidR="00EA74A7" w:rsidRPr="00245598" w:rsidRDefault="00EA74A7">
      <w:pPr>
        <w:spacing w:line="360" w:lineRule="auto"/>
        <w:jc w:val="both"/>
        <w:rPr>
          <w:rFonts w:ascii="Book Antiqua" w:hAnsi="Book Antiqua"/>
          <w:color w:val="000000" w:themeColor="text1"/>
        </w:rPr>
      </w:pPr>
      <w:r w:rsidRPr="00245598">
        <w:rPr>
          <w:rFonts w:ascii="Book Antiqua" w:hAnsi="Book Antiqua"/>
          <w:color w:val="000000" w:themeColor="text1"/>
        </w:rPr>
        <w:t xml:space="preserve">9 </w:t>
      </w:r>
      <w:r w:rsidRPr="00245598">
        <w:rPr>
          <w:rFonts w:ascii="Book Antiqua" w:hAnsi="Book Antiqua"/>
          <w:b/>
          <w:bCs/>
          <w:color w:val="000000" w:themeColor="text1"/>
        </w:rPr>
        <w:t>Fontana RJ</w:t>
      </w:r>
      <w:r w:rsidRPr="00245598">
        <w:rPr>
          <w:rFonts w:ascii="Book Antiqua" w:hAnsi="Book Antiqua"/>
          <w:color w:val="000000" w:themeColor="text1"/>
        </w:rPr>
        <w:t xml:space="preserve">. Side effects of long-term oral antiviral therapy for hepatitis B. </w:t>
      </w:r>
      <w:r w:rsidRPr="00245598">
        <w:rPr>
          <w:rFonts w:ascii="Book Antiqua" w:hAnsi="Book Antiqua"/>
          <w:i/>
          <w:iCs/>
          <w:color w:val="000000" w:themeColor="text1"/>
        </w:rPr>
        <w:t>Hepatology</w:t>
      </w:r>
      <w:r w:rsidRPr="00245598">
        <w:rPr>
          <w:rFonts w:ascii="Book Antiqua" w:hAnsi="Book Antiqua"/>
          <w:color w:val="000000" w:themeColor="text1"/>
        </w:rPr>
        <w:t xml:space="preserve"> 2009; </w:t>
      </w:r>
      <w:r w:rsidRPr="00245598">
        <w:rPr>
          <w:rFonts w:ascii="Book Antiqua" w:hAnsi="Book Antiqua"/>
          <w:b/>
          <w:bCs/>
          <w:color w:val="000000" w:themeColor="text1"/>
        </w:rPr>
        <w:t>49</w:t>
      </w:r>
      <w:r w:rsidRPr="00245598">
        <w:rPr>
          <w:rFonts w:ascii="Book Antiqua" w:hAnsi="Book Antiqua"/>
          <w:color w:val="000000" w:themeColor="text1"/>
        </w:rPr>
        <w:t>: S185-S195 [PMID: 19399802 DOI: 10.1002/hep.22885]</w:t>
      </w:r>
    </w:p>
    <w:p w14:paraId="0EE96310" w14:textId="77777777" w:rsidR="00EA74A7" w:rsidRPr="00245598" w:rsidRDefault="00EA74A7">
      <w:pPr>
        <w:spacing w:line="360" w:lineRule="auto"/>
        <w:jc w:val="both"/>
        <w:rPr>
          <w:rFonts w:ascii="Book Antiqua" w:hAnsi="Book Antiqua"/>
          <w:color w:val="000000" w:themeColor="text1"/>
        </w:rPr>
      </w:pPr>
      <w:r w:rsidRPr="00245598">
        <w:rPr>
          <w:rFonts w:ascii="Book Antiqua" w:hAnsi="Book Antiqua"/>
          <w:color w:val="000000" w:themeColor="text1"/>
        </w:rPr>
        <w:t xml:space="preserve">10 </w:t>
      </w:r>
      <w:proofErr w:type="spellStart"/>
      <w:r w:rsidRPr="00245598">
        <w:rPr>
          <w:rFonts w:ascii="Book Antiqua" w:hAnsi="Book Antiqua"/>
          <w:b/>
          <w:bCs/>
          <w:color w:val="000000" w:themeColor="text1"/>
        </w:rPr>
        <w:t>Isnard-Bagnis</w:t>
      </w:r>
      <w:proofErr w:type="spellEnd"/>
      <w:r w:rsidRPr="00245598">
        <w:rPr>
          <w:rFonts w:ascii="Book Antiqua" w:hAnsi="Book Antiqua"/>
          <w:b/>
          <w:bCs/>
          <w:color w:val="000000" w:themeColor="text1"/>
        </w:rPr>
        <w:t xml:space="preserve"> C</w:t>
      </w:r>
      <w:r w:rsidRPr="00245598">
        <w:rPr>
          <w:rFonts w:ascii="Book Antiqua" w:hAnsi="Book Antiqua"/>
          <w:color w:val="000000" w:themeColor="text1"/>
        </w:rPr>
        <w:t xml:space="preserve">, </w:t>
      </w:r>
      <w:proofErr w:type="spellStart"/>
      <w:r w:rsidRPr="00245598">
        <w:rPr>
          <w:rFonts w:ascii="Book Antiqua" w:hAnsi="Book Antiqua"/>
          <w:color w:val="000000" w:themeColor="text1"/>
        </w:rPr>
        <w:t>Aloy</w:t>
      </w:r>
      <w:proofErr w:type="spellEnd"/>
      <w:r w:rsidRPr="00245598">
        <w:rPr>
          <w:rFonts w:ascii="Book Antiqua" w:hAnsi="Book Antiqua"/>
          <w:color w:val="000000" w:themeColor="text1"/>
        </w:rPr>
        <w:t xml:space="preserve"> B, </w:t>
      </w:r>
      <w:proofErr w:type="spellStart"/>
      <w:r w:rsidRPr="00245598">
        <w:rPr>
          <w:rFonts w:ascii="Book Antiqua" w:hAnsi="Book Antiqua"/>
          <w:color w:val="000000" w:themeColor="text1"/>
        </w:rPr>
        <w:t>Deray</w:t>
      </w:r>
      <w:proofErr w:type="spellEnd"/>
      <w:r w:rsidRPr="00245598">
        <w:rPr>
          <w:rFonts w:ascii="Book Antiqua" w:hAnsi="Book Antiqua"/>
          <w:color w:val="000000" w:themeColor="text1"/>
        </w:rPr>
        <w:t xml:space="preserve"> G, </w:t>
      </w:r>
      <w:proofErr w:type="spellStart"/>
      <w:r w:rsidRPr="00245598">
        <w:rPr>
          <w:rFonts w:ascii="Book Antiqua" w:hAnsi="Book Antiqua"/>
          <w:color w:val="000000" w:themeColor="text1"/>
        </w:rPr>
        <w:t>Tourret</w:t>
      </w:r>
      <w:proofErr w:type="spellEnd"/>
      <w:r w:rsidRPr="00245598">
        <w:rPr>
          <w:rFonts w:ascii="Book Antiqua" w:hAnsi="Book Antiqua"/>
          <w:color w:val="000000" w:themeColor="text1"/>
        </w:rPr>
        <w:t xml:space="preserve"> J. [Tenofovir nephrotoxicity]. </w:t>
      </w:r>
      <w:r w:rsidRPr="00245598">
        <w:rPr>
          <w:rFonts w:ascii="Book Antiqua" w:hAnsi="Book Antiqua"/>
          <w:i/>
          <w:iCs/>
          <w:color w:val="000000" w:themeColor="text1"/>
        </w:rPr>
        <w:t xml:space="preserve">Nephrol </w:t>
      </w:r>
      <w:proofErr w:type="spellStart"/>
      <w:r w:rsidRPr="00245598">
        <w:rPr>
          <w:rFonts w:ascii="Book Antiqua" w:hAnsi="Book Antiqua"/>
          <w:i/>
          <w:iCs/>
          <w:color w:val="000000" w:themeColor="text1"/>
        </w:rPr>
        <w:t>Ther</w:t>
      </w:r>
      <w:proofErr w:type="spellEnd"/>
      <w:r w:rsidRPr="00245598">
        <w:rPr>
          <w:rFonts w:ascii="Book Antiqua" w:hAnsi="Book Antiqua"/>
          <w:color w:val="000000" w:themeColor="text1"/>
        </w:rPr>
        <w:t xml:space="preserve"> 2016; </w:t>
      </w:r>
      <w:r w:rsidRPr="00245598">
        <w:rPr>
          <w:rFonts w:ascii="Book Antiqua" w:hAnsi="Book Antiqua"/>
          <w:b/>
          <w:bCs/>
          <w:color w:val="000000" w:themeColor="text1"/>
        </w:rPr>
        <w:t>12</w:t>
      </w:r>
      <w:r w:rsidRPr="00245598">
        <w:rPr>
          <w:rFonts w:ascii="Book Antiqua" w:hAnsi="Book Antiqua"/>
          <w:color w:val="000000" w:themeColor="text1"/>
        </w:rPr>
        <w:t>: 179-189 [PMID: 27017518 DOI: 10.1016/j.nephro.2016.01.002]</w:t>
      </w:r>
    </w:p>
    <w:p w14:paraId="2A8A13A9" w14:textId="77777777" w:rsidR="00EA74A7" w:rsidRPr="00245598" w:rsidRDefault="00EA74A7">
      <w:pPr>
        <w:spacing w:line="360" w:lineRule="auto"/>
        <w:jc w:val="both"/>
        <w:rPr>
          <w:rFonts w:ascii="Book Antiqua" w:hAnsi="Book Antiqua"/>
          <w:color w:val="000000" w:themeColor="text1"/>
        </w:rPr>
      </w:pPr>
      <w:r w:rsidRPr="00245598">
        <w:rPr>
          <w:rFonts w:ascii="Book Antiqua" w:hAnsi="Book Antiqua"/>
          <w:color w:val="000000" w:themeColor="text1"/>
        </w:rPr>
        <w:t xml:space="preserve">11 </w:t>
      </w:r>
      <w:r w:rsidRPr="00245598">
        <w:rPr>
          <w:rFonts w:ascii="Book Antiqua" w:hAnsi="Book Antiqua"/>
          <w:b/>
          <w:bCs/>
          <w:color w:val="000000" w:themeColor="text1"/>
        </w:rPr>
        <w:t>Rodriguez-Nóvoa S</w:t>
      </w:r>
      <w:r w:rsidRPr="00245598">
        <w:rPr>
          <w:rFonts w:ascii="Book Antiqua" w:hAnsi="Book Antiqua"/>
          <w:color w:val="000000" w:themeColor="text1"/>
        </w:rPr>
        <w:t xml:space="preserve">, Alvarez E, </w:t>
      </w:r>
      <w:proofErr w:type="spellStart"/>
      <w:r w:rsidRPr="00245598">
        <w:rPr>
          <w:rFonts w:ascii="Book Antiqua" w:hAnsi="Book Antiqua"/>
          <w:color w:val="000000" w:themeColor="text1"/>
        </w:rPr>
        <w:t>Labarga</w:t>
      </w:r>
      <w:proofErr w:type="spellEnd"/>
      <w:r w:rsidRPr="00245598">
        <w:rPr>
          <w:rFonts w:ascii="Book Antiqua" w:hAnsi="Book Antiqua"/>
          <w:color w:val="000000" w:themeColor="text1"/>
        </w:rPr>
        <w:t xml:space="preserve"> P, Soriano V. Renal toxicity associated with tenofovir use. </w:t>
      </w:r>
      <w:r w:rsidRPr="00245598">
        <w:rPr>
          <w:rFonts w:ascii="Book Antiqua" w:hAnsi="Book Antiqua"/>
          <w:i/>
          <w:iCs/>
          <w:color w:val="000000" w:themeColor="text1"/>
        </w:rPr>
        <w:t xml:space="preserve">Expert </w:t>
      </w:r>
      <w:proofErr w:type="spellStart"/>
      <w:r w:rsidRPr="00245598">
        <w:rPr>
          <w:rFonts w:ascii="Book Antiqua" w:hAnsi="Book Antiqua"/>
          <w:i/>
          <w:iCs/>
          <w:color w:val="000000" w:themeColor="text1"/>
        </w:rPr>
        <w:t>Opin</w:t>
      </w:r>
      <w:proofErr w:type="spellEnd"/>
      <w:r w:rsidRPr="00245598">
        <w:rPr>
          <w:rFonts w:ascii="Book Antiqua" w:hAnsi="Book Antiqua"/>
          <w:i/>
          <w:iCs/>
          <w:color w:val="000000" w:themeColor="text1"/>
        </w:rPr>
        <w:t xml:space="preserve"> Drug </w:t>
      </w:r>
      <w:proofErr w:type="spellStart"/>
      <w:r w:rsidRPr="00245598">
        <w:rPr>
          <w:rFonts w:ascii="Book Antiqua" w:hAnsi="Book Antiqua"/>
          <w:i/>
          <w:iCs/>
          <w:color w:val="000000" w:themeColor="text1"/>
        </w:rPr>
        <w:t>Saf</w:t>
      </w:r>
      <w:proofErr w:type="spellEnd"/>
      <w:r w:rsidRPr="00245598">
        <w:rPr>
          <w:rFonts w:ascii="Book Antiqua" w:hAnsi="Book Antiqua"/>
          <w:color w:val="000000" w:themeColor="text1"/>
        </w:rPr>
        <w:t xml:space="preserve"> 2010; </w:t>
      </w:r>
      <w:r w:rsidRPr="00245598">
        <w:rPr>
          <w:rFonts w:ascii="Book Antiqua" w:hAnsi="Book Antiqua"/>
          <w:b/>
          <w:bCs/>
          <w:color w:val="000000" w:themeColor="text1"/>
        </w:rPr>
        <w:t>9</w:t>
      </w:r>
      <w:r w:rsidRPr="00245598">
        <w:rPr>
          <w:rFonts w:ascii="Book Antiqua" w:hAnsi="Book Antiqua"/>
          <w:color w:val="000000" w:themeColor="text1"/>
        </w:rPr>
        <w:t>: 545-559 [PMID: 20384533 DOI: 10.1517/14740331003627458]</w:t>
      </w:r>
    </w:p>
    <w:p w14:paraId="0E2112BD" w14:textId="77777777" w:rsidR="00EA74A7" w:rsidRPr="00245598" w:rsidRDefault="00EA74A7">
      <w:pPr>
        <w:spacing w:line="360" w:lineRule="auto"/>
        <w:jc w:val="both"/>
        <w:rPr>
          <w:rFonts w:ascii="Book Antiqua" w:hAnsi="Book Antiqua"/>
          <w:color w:val="000000" w:themeColor="text1"/>
        </w:rPr>
      </w:pPr>
      <w:r w:rsidRPr="00245598">
        <w:rPr>
          <w:rFonts w:ascii="Book Antiqua" w:hAnsi="Book Antiqua"/>
          <w:color w:val="000000" w:themeColor="text1"/>
        </w:rPr>
        <w:t xml:space="preserve">12 </w:t>
      </w:r>
      <w:proofErr w:type="spellStart"/>
      <w:r w:rsidRPr="00245598">
        <w:rPr>
          <w:rFonts w:ascii="Book Antiqua" w:hAnsi="Book Antiqua"/>
          <w:b/>
          <w:bCs/>
          <w:color w:val="000000" w:themeColor="text1"/>
        </w:rPr>
        <w:t>Libório</w:t>
      </w:r>
      <w:proofErr w:type="spellEnd"/>
      <w:r w:rsidRPr="00245598">
        <w:rPr>
          <w:rFonts w:ascii="Book Antiqua" w:hAnsi="Book Antiqua"/>
          <w:b/>
          <w:bCs/>
          <w:color w:val="000000" w:themeColor="text1"/>
        </w:rPr>
        <w:t xml:space="preserve"> AB</w:t>
      </w:r>
      <w:r w:rsidRPr="00245598">
        <w:rPr>
          <w:rFonts w:ascii="Book Antiqua" w:hAnsi="Book Antiqua"/>
          <w:color w:val="000000" w:themeColor="text1"/>
        </w:rPr>
        <w:t xml:space="preserve">, Andrade L, Pereira LV, </w:t>
      </w:r>
      <w:proofErr w:type="spellStart"/>
      <w:r w:rsidRPr="00245598">
        <w:rPr>
          <w:rFonts w:ascii="Book Antiqua" w:hAnsi="Book Antiqua"/>
          <w:color w:val="000000" w:themeColor="text1"/>
        </w:rPr>
        <w:t>Sanches</w:t>
      </w:r>
      <w:proofErr w:type="spellEnd"/>
      <w:r w:rsidRPr="00245598">
        <w:rPr>
          <w:rFonts w:ascii="Book Antiqua" w:hAnsi="Book Antiqua"/>
          <w:color w:val="000000" w:themeColor="text1"/>
        </w:rPr>
        <w:t xml:space="preserve"> TR, Shimizu MH, Seguro AC. Rosiglitazone reverses tenofovir-induced nephrotoxicity. </w:t>
      </w:r>
      <w:r w:rsidRPr="00245598">
        <w:rPr>
          <w:rFonts w:ascii="Book Antiqua" w:hAnsi="Book Antiqua"/>
          <w:i/>
          <w:iCs/>
          <w:color w:val="000000" w:themeColor="text1"/>
        </w:rPr>
        <w:t>Kidney Int</w:t>
      </w:r>
      <w:r w:rsidRPr="00245598">
        <w:rPr>
          <w:rFonts w:ascii="Book Antiqua" w:hAnsi="Book Antiqua"/>
          <w:color w:val="000000" w:themeColor="text1"/>
        </w:rPr>
        <w:t xml:space="preserve"> 2008; </w:t>
      </w:r>
      <w:r w:rsidRPr="00245598">
        <w:rPr>
          <w:rFonts w:ascii="Book Antiqua" w:hAnsi="Book Antiqua"/>
          <w:b/>
          <w:bCs/>
          <w:color w:val="000000" w:themeColor="text1"/>
        </w:rPr>
        <w:t>74</w:t>
      </w:r>
      <w:r w:rsidRPr="00245598">
        <w:rPr>
          <w:rFonts w:ascii="Book Antiqua" w:hAnsi="Book Antiqua"/>
          <w:color w:val="000000" w:themeColor="text1"/>
        </w:rPr>
        <w:t>: 910-918 [PMID: 18563054 DOI: 10.1038/ki.2008.252]</w:t>
      </w:r>
    </w:p>
    <w:p w14:paraId="25D8960F" w14:textId="77777777" w:rsidR="00EA74A7" w:rsidRPr="00245598" w:rsidRDefault="00EA74A7">
      <w:pPr>
        <w:spacing w:line="360" w:lineRule="auto"/>
        <w:jc w:val="both"/>
        <w:rPr>
          <w:rFonts w:ascii="Book Antiqua" w:hAnsi="Book Antiqua"/>
          <w:color w:val="000000" w:themeColor="text1"/>
        </w:rPr>
      </w:pPr>
      <w:r w:rsidRPr="00245598">
        <w:rPr>
          <w:rFonts w:ascii="Book Antiqua" w:hAnsi="Book Antiqua"/>
          <w:color w:val="000000" w:themeColor="text1"/>
        </w:rPr>
        <w:t xml:space="preserve">13 </w:t>
      </w:r>
      <w:proofErr w:type="spellStart"/>
      <w:r w:rsidRPr="00245598">
        <w:rPr>
          <w:rFonts w:ascii="Book Antiqua" w:hAnsi="Book Antiqua"/>
          <w:b/>
          <w:bCs/>
          <w:color w:val="000000" w:themeColor="text1"/>
        </w:rPr>
        <w:t>Sobhonslidsuk</w:t>
      </w:r>
      <w:proofErr w:type="spellEnd"/>
      <w:r w:rsidRPr="00245598">
        <w:rPr>
          <w:rFonts w:ascii="Book Antiqua" w:hAnsi="Book Antiqua"/>
          <w:b/>
          <w:bCs/>
          <w:color w:val="000000" w:themeColor="text1"/>
        </w:rPr>
        <w:t xml:space="preserve"> A</w:t>
      </w:r>
      <w:r w:rsidRPr="00245598">
        <w:rPr>
          <w:rFonts w:ascii="Book Antiqua" w:hAnsi="Book Antiqua"/>
          <w:color w:val="000000" w:themeColor="text1"/>
        </w:rPr>
        <w:t xml:space="preserve">, </w:t>
      </w:r>
      <w:proofErr w:type="spellStart"/>
      <w:r w:rsidRPr="00245598">
        <w:rPr>
          <w:rFonts w:ascii="Book Antiqua" w:hAnsi="Book Antiqua"/>
          <w:color w:val="000000" w:themeColor="text1"/>
        </w:rPr>
        <w:t>Numthavaj</w:t>
      </w:r>
      <w:proofErr w:type="spellEnd"/>
      <w:r w:rsidRPr="00245598">
        <w:rPr>
          <w:rFonts w:ascii="Book Antiqua" w:hAnsi="Book Antiqua"/>
          <w:color w:val="000000" w:themeColor="text1"/>
        </w:rPr>
        <w:t xml:space="preserve"> P, </w:t>
      </w:r>
      <w:proofErr w:type="spellStart"/>
      <w:r w:rsidRPr="00245598">
        <w:rPr>
          <w:rFonts w:ascii="Book Antiqua" w:hAnsi="Book Antiqua"/>
          <w:color w:val="000000" w:themeColor="text1"/>
        </w:rPr>
        <w:t>Wanichanuwat</w:t>
      </w:r>
      <w:proofErr w:type="spellEnd"/>
      <w:r w:rsidRPr="00245598">
        <w:rPr>
          <w:rFonts w:ascii="Book Antiqua" w:hAnsi="Book Antiqua"/>
          <w:color w:val="000000" w:themeColor="text1"/>
        </w:rPr>
        <w:t xml:space="preserve"> J, </w:t>
      </w:r>
      <w:proofErr w:type="spellStart"/>
      <w:r w:rsidRPr="00245598">
        <w:rPr>
          <w:rFonts w:ascii="Book Antiqua" w:hAnsi="Book Antiqua"/>
          <w:color w:val="000000" w:themeColor="text1"/>
        </w:rPr>
        <w:t>Sophonsritsuk</w:t>
      </w:r>
      <w:proofErr w:type="spellEnd"/>
      <w:r w:rsidRPr="00245598">
        <w:rPr>
          <w:rFonts w:ascii="Book Antiqua" w:hAnsi="Book Antiqua"/>
          <w:color w:val="000000" w:themeColor="text1"/>
        </w:rPr>
        <w:t xml:space="preserve"> A, </w:t>
      </w:r>
      <w:proofErr w:type="spellStart"/>
      <w:r w:rsidRPr="00245598">
        <w:rPr>
          <w:rFonts w:ascii="Book Antiqua" w:hAnsi="Book Antiqua"/>
          <w:color w:val="000000" w:themeColor="text1"/>
        </w:rPr>
        <w:t>Petraksa</w:t>
      </w:r>
      <w:proofErr w:type="spellEnd"/>
      <w:r w:rsidRPr="00245598">
        <w:rPr>
          <w:rFonts w:ascii="Book Antiqua" w:hAnsi="Book Antiqua"/>
          <w:color w:val="000000" w:themeColor="text1"/>
        </w:rPr>
        <w:t xml:space="preserve"> S, </w:t>
      </w:r>
      <w:proofErr w:type="spellStart"/>
      <w:r w:rsidRPr="00245598">
        <w:rPr>
          <w:rFonts w:ascii="Book Antiqua" w:hAnsi="Book Antiqua"/>
          <w:color w:val="000000" w:themeColor="text1"/>
        </w:rPr>
        <w:t>Pugasub</w:t>
      </w:r>
      <w:proofErr w:type="spellEnd"/>
      <w:r w:rsidRPr="00245598">
        <w:rPr>
          <w:rFonts w:ascii="Book Antiqua" w:hAnsi="Book Antiqua"/>
          <w:color w:val="000000" w:themeColor="text1"/>
        </w:rPr>
        <w:t xml:space="preserve"> A, </w:t>
      </w:r>
      <w:proofErr w:type="spellStart"/>
      <w:r w:rsidRPr="00245598">
        <w:rPr>
          <w:rFonts w:ascii="Book Antiqua" w:hAnsi="Book Antiqua"/>
          <w:color w:val="000000" w:themeColor="text1"/>
        </w:rPr>
        <w:t>Jittorntam</w:t>
      </w:r>
      <w:proofErr w:type="spellEnd"/>
      <w:r w:rsidRPr="00245598">
        <w:rPr>
          <w:rFonts w:ascii="Book Antiqua" w:hAnsi="Book Antiqua"/>
          <w:color w:val="000000" w:themeColor="text1"/>
        </w:rPr>
        <w:t xml:space="preserve"> P, </w:t>
      </w:r>
      <w:proofErr w:type="spellStart"/>
      <w:r w:rsidRPr="00245598">
        <w:rPr>
          <w:rFonts w:ascii="Book Antiqua" w:hAnsi="Book Antiqua"/>
          <w:color w:val="000000" w:themeColor="text1"/>
        </w:rPr>
        <w:t>Kongsomgan</w:t>
      </w:r>
      <w:proofErr w:type="spellEnd"/>
      <w:r w:rsidRPr="00245598">
        <w:rPr>
          <w:rFonts w:ascii="Book Antiqua" w:hAnsi="Book Antiqua"/>
          <w:color w:val="000000" w:themeColor="text1"/>
        </w:rPr>
        <w:t xml:space="preserve"> A, </w:t>
      </w:r>
      <w:proofErr w:type="spellStart"/>
      <w:r w:rsidRPr="00245598">
        <w:rPr>
          <w:rFonts w:ascii="Book Antiqua" w:hAnsi="Book Antiqua"/>
          <w:color w:val="000000" w:themeColor="text1"/>
        </w:rPr>
        <w:t>Roytrakul</w:t>
      </w:r>
      <w:proofErr w:type="spellEnd"/>
      <w:r w:rsidRPr="00245598">
        <w:rPr>
          <w:rFonts w:ascii="Book Antiqua" w:hAnsi="Book Antiqua"/>
          <w:color w:val="000000" w:themeColor="text1"/>
        </w:rPr>
        <w:t xml:space="preserve"> S, </w:t>
      </w:r>
      <w:proofErr w:type="spellStart"/>
      <w:r w:rsidRPr="00245598">
        <w:rPr>
          <w:rFonts w:ascii="Book Antiqua" w:hAnsi="Book Antiqua"/>
          <w:color w:val="000000" w:themeColor="text1"/>
        </w:rPr>
        <w:t>Phakdeekitcharoen</w:t>
      </w:r>
      <w:proofErr w:type="spellEnd"/>
      <w:r w:rsidRPr="00245598">
        <w:rPr>
          <w:rFonts w:ascii="Book Antiqua" w:hAnsi="Book Antiqua"/>
          <w:color w:val="000000" w:themeColor="text1"/>
        </w:rPr>
        <w:t xml:space="preserve"> B. Reversal of Proximal Renal Tubular Dysfunction after Nucleotide Analogue Withdrawal in Chronic Hepatitis B. </w:t>
      </w:r>
      <w:r w:rsidRPr="00245598">
        <w:rPr>
          <w:rFonts w:ascii="Book Antiqua" w:hAnsi="Book Antiqua"/>
          <w:i/>
          <w:iCs/>
          <w:color w:val="000000" w:themeColor="text1"/>
        </w:rPr>
        <w:t>Biomed Res Int</w:t>
      </w:r>
      <w:r w:rsidRPr="00245598">
        <w:rPr>
          <w:rFonts w:ascii="Book Antiqua" w:hAnsi="Book Antiqua"/>
          <w:color w:val="000000" w:themeColor="text1"/>
        </w:rPr>
        <w:t xml:space="preserve"> 2017; </w:t>
      </w:r>
      <w:r w:rsidRPr="00245598">
        <w:rPr>
          <w:rFonts w:ascii="Book Antiqua" w:hAnsi="Book Antiqua"/>
          <w:b/>
          <w:bCs/>
          <w:color w:val="000000" w:themeColor="text1"/>
        </w:rPr>
        <w:t>2017</w:t>
      </w:r>
      <w:r w:rsidRPr="00245598">
        <w:rPr>
          <w:rFonts w:ascii="Book Antiqua" w:hAnsi="Book Antiqua"/>
          <w:color w:val="000000" w:themeColor="text1"/>
        </w:rPr>
        <w:t>: 4327385 [PMID: 29214169 DOI: 10.1155/2017/4327385]</w:t>
      </w:r>
    </w:p>
    <w:p w14:paraId="0101762D" w14:textId="77777777" w:rsidR="00EA74A7" w:rsidRPr="00245598" w:rsidRDefault="00EA74A7">
      <w:pPr>
        <w:spacing w:line="360" w:lineRule="auto"/>
        <w:jc w:val="both"/>
        <w:rPr>
          <w:rFonts w:ascii="Book Antiqua" w:hAnsi="Book Antiqua"/>
          <w:color w:val="000000" w:themeColor="text1"/>
        </w:rPr>
      </w:pPr>
      <w:r w:rsidRPr="00245598">
        <w:rPr>
          <w:rFonts w:ascii="Book Antiqua" w:hAnsi="Book Antiqua"/>
          <w:color w:val="000000" w:themeColor="text1"/>
        </w:rPr>
        <w:t xml:space="preserve">14 </w:t>
      </w:r>
      <w:r w:rsidRPr="00245598">
        <w:rPr>
          <w:rFonts w:ascii="Book Antiqua" w:hAnsi="Book Antiqua"/>
          <w:b/>
          <w:bCs/>
          <w:color w:val="000000" w:themeColor="text1"/>
        </w:rPr>
        <w:t>Norden AG</w:t>
      </w:r>
      <w:r w:rsidRPr="00245598">
        <w:rPr>
          <w:rFonts w:ascii="Book Antiqua" w:hAnsi="Book Antiqua"/>
          <w:color w:val="000000" w:themeColor="text1"/>
        </w:rPr>
        <w:t xml:space="preserve">, Lapsley M, Unwin RJ. Urine retinol-binding protein 4: a functional biomarker of the proximal renal tubule. </w:t>
      </w:r>
      <w:r w:rsidRPr="00245598">
        <w:rPr>
          <w:rFonts w:ascii="Book Antiqua" w:hAnsi="Book Antiqua"/>
          <w:i/>
          <w:iCs/>
          <w:color w:val="000000" w:themeColor="text1"/>
        </w:rPr>
        <w:t>Adv Clin Chem</w:t>
      </w:r>
      <w:r w:rsidRPr="00245598">
        <w:rPr>
          <w:rFonts w:ascii="Book Antiqua" w:hAnsi="Book Antiqua"/>
          <w:color w:val="000000" w:themeColor="text1"/>
        </w:rPr>
        <w:t xml:space="preserve"> 2014; </w:t>
      </w:r>
      <w:r w:rsidRPr="00245598">
        <w:rPr>
          <w:rFonts w:ascii="Book Antiqua" w:hAnsi="Book Antiqua"/>
          <w:b/>
          <w:bCs/>
          <w:color w:val="000000" w:themeColor="text1"/>
        </w:rPr>
        <w:t>63</w:t>
      </w:r>
      <w:r w:rsidRPr="00245598">
        <w:rPr>
          <w:rFonts w:ascii="Book Antiqua" w:hAnsi="Book Antiqua"/>
          <w:color w:val="000000" w:themeColor="text1"/>
        </w:rPr>
        <w:t>: 85-122 [PMID: 24783352 DOI: 10.1016/b978-0-12-800094-6.00003-0]</w:t>
      </w:r>
    </w:p>
    <w:p w14:paraId="301F3CB8" w14:textId="1BE1E071" w:rsidR="00EA74A7" w:rsidRPr="00245598" w:rsidRDefault="00EA74A7">
      <w:pPr>
        <w:spacing w:line="360" w:lineRule="auto"/>
        <w:jc w:val="both"/>
        <w:rPr>
          <w:rFonts w:ascii="Book Antiqua" w:hAnsi="Book Antiqua"/>
          <w:color w:val="000000" w:themeColor="text1"/>
        </w:rPr>
      </w:pPr>
      <w:r w:rsidRPr="00245598">
        <w:rPr>
          <w:rFonts w:ascii="Book Antiqua" w:hAnsi="Book Antiqua"/>
          <w:color w:val="000000" w:themeColor="text1"/>
        </w:rPr>
        <w:t xml:space="preserve">15 </w:t>
      </w:r>
      <w:r w:rsidRPr="00245598">
        <w:rPr>
          <w:rFonts w:ascii="Book Antiqua" w:hAnsi="Book Antiqua"/>
          <w:b/>
          <w:bCs/>
          <w:color w:val="000000" w:themeColor="text1"/>
        </w:rPr>
        <w:t xml:space="preserve">European Association </w:t>
      </w:r>
      <w:proofErr w:type="gramStart"/>
      <w:r w:rsidRPr="00245598">
        <w:rPr>
          <w:rFonts w:ascii="Book Antiqua" w:hAnsi="Book Antiqua"/>
          <w:b/>
          <w:bCs/>
          <w:color w:val="000000" w:themeColor="text1"/>
        </w:rPr>
        <w:t>For</w:t>
      </w:r>
      <w:proofErr w:type="gramEnd"/>
      <w:r w:rsidRPr="00245598">
        <w:rPr>
          <w:rFonts w:ascii="Book Antiqua" w:hAnsi="Book Antiqua"/>
          <w:b/>
          <w:bCs/>
          <w:color w:val="000000" w:themeColor="text1"/>
        </w:rPr>
        <w:t xml:space="preserve"> The Study Of The Liver</w:t>
      </w:r>
      <w:r w:rsidRPr="00245598">
        <w:rPr>
          <w:rFonts w:ascii="Book Antiqua" w:hAnsi="Book Antiqua"/>
          <w:color w:val="000000" w:themeColor="text1"/>
        </w:rPr>
        <w:t xml:space="preserve">. EASL clinical practice guidelines: Management of chronic hepatitis B virus infection. </w:t>
      </w:r>
      <w:r w:rsidRPr="00245598">
        <w:rPr>
          <w:rFonts w:ascii="Book Antiqua" w:hAnsi="Book Antiqua"/>
          <w:i/>
          <w:iCs/>
          <w:color w:val="000000" w:themeColor="text1"/>
        </w:rPr>
        <w:t>J Hepatol</w:t>
      </w:r>
      <w:r w:rsidRPr="00245598">
        <w:rPr>
          <w:rFonts w:ascii="Book Antiqua" w:hAnsi="Book Antiqua"/>
          <w:color w:val="000000" w:themeColor="text1"/>
        </w:rPr>
        <w:t xml:space="preserve"> 2012; </w:t>
      </w:r>
      <w:r w:rsidRPr="00245598">
        <w:rPr>
          <w:rFonts w:ascii="Book Antiqua" w:hAnsi="Book Antiqua"/>
          <w:b/>
          <w:bCs/>
          <w:color w:val="000000" w:themeColor="text1"/>
        </w:rPr>
        <w:t>57</w:t>
      </w:r>
      <w:r w:rsidRPr="00245598">
        <w:rPr>
          <w:rFonts w:ascii="Book Antiqua" w:hAnsi="Book Antiqua"/>
          <w:color w:val="000000" w:themeColor="text1"/>
        </w:rPr>
        <w:t>: 167-185 [PMID: 22436845 DOI: 10.1016/j.jhep.2012.02.010]</w:t>
      </w:r>
    </w:p>
    <w:p w14:paraId="3969244E" w14:textId="77777777" w:rsidR="00EA74A7" w:rsidRPr="00245598" w:rsidRDefault="00EA74A7">
      <w:pPr>
        <w:spacing w:line="360" w:lineRule="auto"/>
        <w:jc w:val="both"/>
        <w:rPr>
          <w:rFonts w:ascii="Book Antiqua" w:hAnsi="Book Antiqua"/>
          <w:color w:val="000000" w:themeColor="text1"/>
        </w:rPr>
      </w:pPr>
      <w:r w:rsidRPr="00245598">
        <w:rPr>
          <w:rFonts w:ascii="Book Antiqua" w:hAnsi="Book Antiqua"/>
          <w:color w:val="000000" w:themeColor="text1"/>
        </w:rPr>
        <w:lastRenderedPageBreak/>
        <w:t xml:space="preserve">16 </w:t>
      </w:r>
      <w:r w:rsidRPr="00245598">
        <w:rPr>
          <w:rFonts w:ascii="Book Antiqua" w:hAnsi="Book Antiqua"/>
          <w:b/>
          <w:bCs/>
          <w:color w:val="000000" w:themeColor="text1"/>
        </w:rPr>
        <w:t>Yang YM</w:t>
      </w:r>
      <w:r w:rsidRPr="00245598">
        <w:rPr>
          <w:rFonts w:ascii="Book Antiqua" w:hAnsi="Book Antiqua"/>
          <w:color w:val="000000" w:themeColor="text1"/>
        </w:rPr>
        <w:t xml:space="preserve">, Choi EJ. Renal safety of tenofovir and/or entecavir in patients with chronic HBV monoinfection. </w:t>
      </w:r>
      <w:proofErr w:type="spellStart"/>
      <w:r w:rsidRPr="00245598">
        <w:rPr>
          <w:rFonts w:ascii="Book Antiqua" w:hAnsi="Book Antiqua"/>
          <w:i/>
          <w:iCs/>
          <w:color w:val="000000" w:themeColor="text1"/>
        </w:rPr>
        <w:t>Ther</w:t>
      </w:r>
      <w:proofErr w:type="spellEnd"/>
      <w:r w:rsidRPr="00245598">
        <w:rPr>
          <w:rFonts w:ascii="Book Antiqua" w:hAnsi="Book Antiqua"/>
          <w:i/>
          <w:iCs/>
          <w:color w:val="000000" w:themeColor="text1"/>
        </w:rPr>
        <w:t xml:space="preserve"> Clin Risk </w:t>
      </w:r>
      <w:proofErr w:type="spellStart"/>
      <w:r w:rsidRPr="00245598">
        <w:rPr>
          <w:rFonts w:ascii="Book Antiqua" w:hAnsi="Book Antiqua"/>
          <w:i/>
          <w:iCs/>
          <w:color w:val="000000" w:themeColor="text1"/>
        </w:rPr>
        <w:t>Manag</w:t>
      </w:r>
      <w:proofErr w:type="spellEnd"/>
      <w:r w:rsidRPr="00245598">
        <w:rPr>
          <w:rFonts w:ascii="Book Antiqua" w:hAnsi="Book Antiqua"/>
          <w:color w:val="000000" w:themeColor="text1"/>
        </w:rPr>
        <w:t xml:space="preserve"> 2017; </w:t>
      </w:r>
      <w:r w:rsidRPr="00245598">
        <w:rPr>
          <w:rFonts w:ascii="Book Antiqua" w:hAnsi="Book Antiqua"/>
          <w:b/>
          <w:bCs/>
          <w:color w:val="000000" w:themeColor="text1"/>
        </w:rPr>
        <w:t>13</w:t>
      </w:r>
      <w:r w:rsidRPr="00245598">
        <w:rPr>
          <w:rFonts w:ascii="Book Antiqua" w:hAnsi="Book Antiqua"/>
          <w:color w:val="000000" w:themeColor="text1"/>
        </w:rPr>
        <w:t>: 1273-1285 [PMID: 29033575 DOI: 10.2147/TCRM.S143286]</w:t>
      </w:r>
    </w:p>
    <w:p w14:paraId="11A291ED" w14:textId="77777777" w:rsidR="00EA74A7" w:rsidRPr="00245598" w:rsidRDefault="00EA74A7">
      <w:pPr>
        <w:spacing w:line="360" w:lineRule="auto"/>
        <w:jc w:val="both"/>
        <w:rPr>
          <w:rFonts w:ascii="Book Antiqua" w:hAnsi="Book Antiqua"/>
          <w:color w:val="000000" w:themeColor="text1"/>
        </w:rPr>
      </w:pPr>
      <w:r w:rsidRPr="00245598">
        <w:rPr>
          <w:rFonts w:ascii="Book Antiqua" w:hAnsi="Book Antiqua"/>
          <w:color w:val="000000" w:themeColor="text1"/>
        </w:rPr>
        <w:t xml:space="preserve">17 </w:t>
      </w:r>
      <w:r w:rsidRPr="00245598">
        <w:rPr>
          <w:rFonts w:ascii="Book Antiqua" w:hAnsi="Book Antiqua"/>
          <w:b/>
          <w:bCs/>
          <w:color w:val="000000" w:themeColor="text1"/>
        </w:rPr>
        <w:t>Chan HL</w:t>
      </w:r>
      <w:r w:rsidRPr="00245598">
        <w:rPr>
          <w:rFonts w:ascii="Book Antiqua" w:hAnsi="Book Antiqua"/>
          <w:color w:val="000000" w:themeColor="text1"/>
        </w:rPr>
        <w:t xml:space="preserve">, Shaikh J, Gupta S, Hamed K. Renal Function in </w:t>
      </w:r>
      <w:proofErr w:type="spellStart"/>
      <w:r w:rsidRPr="00245598">
        <w:rPr>
          <w:rFonts w:ascii="Book Antiqua" w:hAnsi="Book Antiqua"/>
          <w:color w:val="000000" w:themeColor="text1"/>
        </w:rPr>
        <w:t>Nucleos</w:t>
      </w:r>
      <w:proofErr w:type="spellEnd"/>
      <w:r w:rsidRPr="00245598">
        <w:rPr>
          <w:rFonts w:ascii="Book Antiqua" w:hAnsi="Book Antiqua"/>
          <w:color w:val="000000" w:themeColor="text1"/>
        </w:rPr>
        <w:t xml:space="preserve">(t)ide Analog-Treated Patients </w:t>
      </w:r>
      <w:proofErr w:type="gramStart"/>
      <w:r w:rsidRPr="00245598">
        <w:rPr>
          <w:rFonts w:ascii="Book Antiqua" w:hAnsi="Book Antiqua"/>
          <w:color w:val="000000" w:themeColor="text1"/>
        </w:rPr>
        <w:t>With</w:t>
      </w:r>
      <w:proofErr w:type="gramEnd"/>
      <w:r w:rsidRPr="00245598">
        <w:rPr>
          <w:rFonts w:ascii="Book Antiqua" w:hAnsi="Book Antiqua"/>
          <w:color w:val="000000" w:themeColor="text1"/>
        </w:rPr>
        <w:t xml:space="preserve"> Chronic Hepatitis B: A Systematic Literature Review and Network Meta-Analysis. </w:t>
      </w:r>
      <w:r w:rsidRPr="00245598">
        <w:rPr>
          <w:rFonts w:ascii="Book Antiqua" w:hAnsi="Book Antiqua"/>
          <w:i/>
          <w:iCs/>
          <w:color w:val="000000" w:themeColor="text1"/>
        </w:rPr>
        <w:t xml:space="preserve">Adv </w:t>
      </w:r>
      <w:proofErr w:type="spellStart"/>
      <w:r w:rsidRPr="00245598">
        <w:rPr>
          <w:rFonts w:ascii="Book Antiqua" w:hAnsi="Book Antiqua"/>
          <w:i/>
          <w:iCs/>
          <w:color w:val="000000" w:themeColor="text1"/>
        </w:rPr>
        <w:t>Ther</w:t>
      </w:r>
      <w:proofErr w:type="spellEnd"/>
      <w:r w:rsidRPr="00245598">
        <w:rPr>
          <w:rFonts w:ascii="Book Antiqua" w:hAnsi="Book Antiqua"/>
          <w:color w:val="000000" w:themeColor="text1"/>
        </w:rPr>
        <w:t xml:space="preserve"> 2016; </w:t>
      </w:r>
      <w:r w:rsidRPr="00245598">
        <w:rPr>
          <w:rFonts w:ascii="Book Antiqua" w:hAnsi="Book Antiqua"/>
          <w:b/>
          <w:bCs/>
          <w:color w:val="000000" w:themeColor="text1"/>
        </w:rPr>
        <w:t>33</w:t>
      </w:r>
      <w:r w:rsidRPr="00245598">
        <w:rPr>
          <w:rFonts w:ascii="Book Antiqua" w:hAnsi="Book Antiqua"/>
          <w:color w:val="000000" w:themeColor="text1"/>
        </w:rPr>
        <w:t>: 862-875 [PMID: 27146675 DOI: 10.1007/s12325-016-0337-2]</w:t>
      </w:r>
    </w:p>
    <w:p w14:paraId="24C4FB21" w14:textId="77777777" w:rsidR="00EA74A7" w:rsidRPr="00245598" w:rsidRDefault="00EA74A7">
      <w:pPr>
        <w:spacing w:line="360" w:lineRule="auto"/>
        <w:jc w:val="both"/>
        <w:rPr>
          <w:rFonts w:ascii="Book Antiqua" w:hAnsi="Book Antiqua"/>
          <w:color w:val="000000" w:themeColor="text1"/>
        </w:rPr>
      </w:pPr>
      <w:r w:rsidRPr="00245598">
        <w:rPr>
          <w:rFonts w:ascii="Book Antiqua" w:hAnsi="Book Antiqua"/>
          <w:color w:val="000000" w:themeColor="text1"/>
        </w:rPr>
        <w:t xml:space="preserve">18 </w:t>
      </w:r>
      <w:r w:rsidRPr="00245598">
        <w:rPr>
          <w:rFonts w:ascii="Book Antiqua" w:hAnsi="Book Antiqua"/>
          <w:b/>
          <w:bCs/>
          <w:color w:val="000000" w:themeColor="text1"/>
        </w:rPr>
        <w:t>Buti M</w:t>
      </w:r>
      <w:r w:rsidRPr="00245598">
        <w:rPr>
          <w:rFonts w:ascii="Book Antiqua" w:hAnsi="Book Antiqua"/>
          <w:color w:val="000000" w:themeColor="text1"/>
        </w:rPr>
        <w:t xml:space="preserve">, </w:t>
      </w:r>
      <w:proofErr w:type="spellStart"/>
      <w:r w:rsidRPr="00245598">
        <w:rPr>
          <w:rFonts w:ascii="Book Antiqua" w:hAnsi="Book Antiqua"/>
          <w:color w:val="000000" w:themeColor="text1"/>
        </w:rPr>
        <w:t>Riveiro-Barciela</w:t>
      </w:r>
      <w:proofErr w:type="spellEnd"/>
      <w:r w:rsidRPr="00245598">
        <w:rPr>
          <w:rFonts w:ascii="Book Antiqua" w:hAnsi="Book Antiqua"/>
          <w:color w:val="000000" w:themeColor="text1"/>
        </w:rPr>
        <w:t xml:space="preserve"> M, Esteban R. Long-term safety and efficacy of </w:t>
      </w:r>
      <w:proofErr w:type="spellStart"/>
      <w:r w:rsidRPr="00245598">
        <w:rPr>
          <w:rFonts w:ascii="Book Antiqua" w:hAnsi="Book Antiqua"/>
          <w:color w:val="000000" w:themeColor="text1"/>
        </w:rPr>
        <w:t>nucleo</w:t>
      </w:r>
      <w:proofErr w:type="spellEnd"/>
      <w:r w:rsidRPr="00245598">
        <w:rPr>
          <w:rFonts w:ascii="Book Antiqua" w:hAnsi="Book Antiqua"/>
          <w:color w:val="000000" w:themeColor="text1"/>
        </w:rPr>
        <w:t xml:space="preserve">(t)side analogue therapy in hepatitis B. </w:t>
      </w:r>
      <w:r w:rsidRPr="00245598">
        <w:rPr>
          <w:rFonts w:ascii="Book Antiqua" w:hAnsi="Book Antiqua"/>
          <w:i/>
          <w:iCs/>
          <w:color w:val="000000" w:themeColor="text1"/>
        </w:rPr>
        <w:t>Liver Int</w:t>
      </w:r>
      <w:r w:rsidRPr="00245598">
        <w:rPr>
          <w:rFonts w:ascii="Book Antiqua" w:hAnsi="Book Antiqua"/>
          <w:color w:val="000000" w:themeColor="text1"/>
        </w:rPr>
        <w:t xml:space="preserve"> 2018; </w:t>
      </w:r>
      <w:r w:rsidRPr="00245598">
        <w:rPr>
          <w:rFonts w:ascii="Book Antiqua" w:hAnsi="Book Antiqua"/>
          <w:b/>
          <w:bCs/>
          <w:color w:val="000000" w:themeColor="text1"/>
        </w:rPr>
        <w:t>38 Suppl 1</w:t>
      </w:r>
      <w:r w:rsidRPr="00245598">
        <w:rPr>
          <w:rFonts w:ascii="Book Antiqua" w:hAnsi="Book Antiqua"/>
          <w:color w:val="000000" w:themeColor="text1"/>
        </w:rPr>
        <w:t>: 84-89 [PMID: 29427500 DOI: 10.1111/liv.13641]</w:t>
      </w:r>
    </w:p>
    <w:p w14:paraId="33E2E626" w14:textId="77777777" w:rsidR="00EA74A7" w:rsidRPr="00245598" w:rsidRDefault="00EA74A7">
      <w:pPr>
        <w:spacing w:line="360" w:lineRule="auto"/>
        <w:jc w:val="both"/>
        <w:rPr>
          <w:rFonts w:ascii="Book Antiqua" w:hAnsi="Book Antiqua"/>
          <w:color w:val="000000" w:themeColor="text1"/>
        </w:rPr>
      </w:pPr>
      <w:r w:rsidRPr="00245598">
        <w:rPr>
          <w:rFonts w:ascii="Book Antiqua" w:hAnsi="Book Antiqua"/>
          <w:color w:val="000000" w:themeColor="text1"/>
        </w:rPr>
        <w:t xml:space="preserve">19 </w:t>
      </w:r>
      <w:r w:rsidRPr="00245598">
        <w:rPr>
          <w:rFonts w:ascii="Book Antiqua" w:hAnsi="Book Antiqua"/>
          <w:b/>
          <w:bCs/>
          <w:color w:val="000000" w:themeColor="text1"/>
        </w:rPr>
        <w:t>Del Palacio M</w:t>
      </w:r>
      <w:r w:rsidRPr="00245598">
        <w:rPr>
          <w:rFonts w:ascii="Book Antiqua" w:hAnsi="Book Antiqua"/>
          <w:color w:val="000000" w:themeColor="text1"/>
        </w:rPr>
        <w:t xml:space="preserve">, Romero S, Casado JL. Proximal tubular renal dysfunction or damage in HIV-infected patients. </w:t>
      </w:r>
      <w:r w:rsidRPr="00245598">
        <w:rPr>
          <w:rFonts w:ascii="Book Antiqua" w:hAnsi="Book Antiqua"/>
          <w:i/>
          <w:iCs/>
          <w:color w:val="000000" w:themeColor="text1"/>
        </w:rPr>
        <w:t>AIDS Rev</w:t>
      </w:r>
      <w:r w:rsidRPr="00245598">
        <w:rPr>
          <w:rFonts w:ascii="Book Antiqua" w:hAnsi="Book Antiqua"/>
          <w:color w:val="000000" w:themeColor="text1"/>
        </w:rPr>
        <w:t xml:space="preserve"> 2012; </w:t>
      </w:r>
      <w:r w:rsidRPr="00245598">
        <w:rPr>
          <w:rFonts w:ascii="Book Antiqua" w:hAnsi="Book Antiqua"/>
          <w:b/>
          <w:bCs/>
          <w:color w:val="000000" w:themeColor="text1"/>
        </w:rPr>
        <w:t>14</w:t>
      </w:r>
      <w:r w:rsidRPr="00245598">
        <w:rPr>
          <w:rFonts w:ascii="Book Antiqua" w:hAnsi="Book Antiqua"/>
          <w:color w:val="000000" w:themeColor="text1"/>
        </w:rPr>
        <w:t>: 179-187 [PMID: 22833061]</w:t>
      </w:r>
    </w:p>
    <w:p w14:paraId="22A40C62" w14:textId="77777777" w:rsidR="00EA74A7" w:rsidRPr="00245598" w:rsidRDefault="00EA74A7">
      <w:pPr>
        <w:spacing w:line="360" w:lineRule="auto"/>
        <w:jc w:val="both"/>
        <w:rPr>
          <w:rFonts w:ascii="Book Antiqua" w:hAnsi="Book Antiqua"/>
          <w:color w:val="000000" w:themeColor="text1"/>
        </w:rPr>
      </w:pPr>
      <w:r w:rsidRPr="00245598">
        <w:rPr>
          <w:rFonts w:ascii="Book Antiqua" w:hAnsi="Book Antiqua"/>
          <w:color w:val="000000" w:themeColor="text1"/>
        </w:rPr>
        <w:t xml:space="preserve">20 </w:t>
      </w:r>
      <w:r w:rsidRPr="00245598">
        <w:rPr>
          <w:rFonts w:ascii="Book Antiqua" w:hAnsi="Book Antiqua"/>
          <w:b/>
          <w:bCs/>
          <w:color w:val="000000" w:themeColor="text1"/>
        </w:rPr>
        <w:t>Tien C</w:t>
      </w:r>
      <w:r w:rsidRPr="00245598">
        <w:rPr>
          <w:rFonts w:ascii="Book Antiqua" w:hAnsi="Book Antiqua"/>
          <w:color w:val="000000" w:themeColor="text1"/>
        </w:rPr>
        <w:t xml:space="preserve">, Xu JJ, Chan LS, Chang M, Lim C, Lee S, Huh B, </w:t>
      </w:r>
      <w:proofErr w:type="spellStart"/>
      <w:r w:rsidRPr="00245598">
        <w:rPr>
          <w:rFonts w:ascii="Book Antiqua" w:hAnsi="Book Antiqua"/>
          <w:color w:val="000000" w:themeColor="text1"/>
        </w:rPr>
        <w:t>Shinada</w:t>
      </w:r>
      <w:proofErr w:type="spellEnd"/>
      <w:r w:rsidRPr="00245598">
        <w:rPr>
          <w:rFonts w:ascii="Book Antiqua" w:hAnsi="Book Antiqua"/>
          <w:color w:val="000000" w:themeColor="text1"/>
        </w:rPr>
        <w:t xml:space="preserve"> S, Bae HS, Fong TL. Long-term treatment with tenofovir in Asian-American chronic hepatitis B patients is associated with abnormal renal phosphate handling. </w:t>
      </w:r>
      <w:r w:rsidRPr="00245598">
        <w:rPr>
          <w:rFonts w:ascii="Book Antiqua" w:hAnsi="Book Antiqua"/>
          <w:i/>
          <w:iCs/>
          <w:color w:val="000000" w:themeColor="text1"/>
        </w:rPr>
        <w:t>Dig Dis Sci</w:t>
      </w:r>
      <w:r w:rsidRPr="00245598">
        <w:rPr>
          <w:rFonts w:ascii="Book Antiqua" w:hAnsi="Book Antiqua"/>
          <w:color w:val="000000" w:themeColor="text1"/>
        </w:rPr>
        <w:t xml:space="preserve"> 2015; </w:t>
      </w:r>
      <w:r w:rsidRPr="00245598">
        <w:rPr>
          <w:rFonts w:ascii="Book Antiqua" w:hAnsi="Book Antiqua"/>
          <w:b/>
          <w:bCs/>
          <w:color w:val="000000" w:themeColor="text1"/>
        </w:rPr>
        <w:t>60</w:t>
      </w:r>
      <w:r w:rsidRPr="00245598">
        <w:rPr>
          <w:rFonts w:ascii="Book Antiqua" w:hAnsi="Book Antiqua"/>
          <w:color w:val="000000" w:themeColor="text1"/>
        </w:rPr>
        <w:t>: 566-572 [PMID: 25239496 DOI: 10.1007/s10620-014-3363-4]</w:t>
      </w:r>
    </w:p>
    <w:p w14:paraId="0A7BD782" w14:textId="77777777" w:rsidR="00EA74A7" w:rsidRPr="00245598" w:rsidRDefault="00EA74A7">
      <w:pPr>
        <w:spacing w:line="360" w:lineRule="auto"/>
        <w:jc w:val="both"/>
        <w:rPr>
          <w:rFonts w:ascii="Book Antiqua" w:hAnsi="Book Antiqua"/>
          <w:color w:val="000000" w:themeColor="text1"/>
        </w:rPr>
      </w:pPr>
      <w:r w:rsidRPr="00245598">
        <w:rPr>
          <w:rFonts w:ascii="Book Antiqua" w:hAnsi="Book Antiqua"/>
          <w:color w:val="000000" w:themeColor="text1"/>
        </w:rPr>
        <w:t xml:space="preserve">21 </w:t>
      </w:r>
      <w:r w:rsidRPr="00245598">
        <w:rPr>
          <w:rFonts w:ascii="Book Antiqua" w:hAnsi="Book Antiqua"/>
          <w:b/>
          <w:bCs/>
          <w:color w:val="000000" w:themeColor="text1"/>
        </w:rPr>
        <w:t>Rodríguez-Nóvoa S</w:t>
      </w:r>
      <w:r w:rsidRPr="00245598">
        <w:rPr>
          <w:rFonts w:ascii="Book Antiqua" w:hAnsi="Book Antiqua"/>
          <w:color w:val="000000" w:themeColor="text1"/>
        </w:rPr>
        <w:t xml:space="preserve">, García-Samaniego J, Prieto M, Calleja JL, </w:t>
      </w:r>
      <w:proofErr w:type="spellStart"/>
      <w:r w:rsidRPr="00245598">
        <w:rPr>
          <w:rFonts w:ascii="Book Antiqua" w:hAnsi="Book Antiqua"/>
          <w:color w:val="000000" w:themeColor="text1"/>
        </w:rPr>
        <w:t>Pascasio</w:t>
      </w:r>
      <w:proofErr w:type="spellEnd"/>
      <w:r w:rsidRPr="00245598">
        <w:rPr>
          <w:rFonts w:ascii="Book Antiqua" w:hAnsi="Book Antiqua"/>
          <w:color w:val="000000" w:themeColor="text1"/>
        </w:rPr>
        <w:t xml:space="preserve"> JM, Delgado Blanco M, Crespo J, Buti M, Bonet Vidal ML, Arenas Ruiz </w:t>
      </w:r>
      <w:proofErr w:type="spellStart"/>
      <w:r w:rsidRPr="00245598">
        <w:rPr>
          <w:rFonts w:ascii="Book Antiqua" w:hAnsi="Book Antiqua"/>
          <w:color w:val="000000" w:themeColor="text1"/>
        </w:rPr>
        <w:t>Tapiador</w:t>
      </w:r>
      <w:proofErr w:type="spellEnd"/>
      <w:r w:rsidRPr="00245598">
        <w:rPr>
          <w:rFonts w:ascii="Book Antiqua" w:hAnsi="Book Antiqua"/>
          <w:color w:val="000000" w:themeColor="text1"/>
        </w:rPr>
        <w:t xml:space="preserve"> J, Fernández-Rodríguez C, </w:t>
      </w:r>
      <w:proofErr w:type="spellStart"/>
      <w:r w:rsidRPr="00245598">
        <w:rPr>
          <w:rFonts w:ascii="Book Antiqua" w:hAnsi="Book Antiqua"/>
          <w:color w:val="000000" w:themeColor="text1"/>
        </w:rPr>
        <w:t>Solá</w:t>
      </w:r>
      <w:proofErr w:type="spellEnd"/>
      <w:r w:rsidRPr="00245598">
        <w:rPr>
          <w:rFonts w:ascii="Book Antiqua" w:hAnsi="Book Antiqua"/>
          <w:color w:val="000000" w:themeColor="text1"/>
        </w:rPr>
        <w:t xml:space="preserve"> R, Fraga E, González </w:t>
      </w:r>
      <w:proofErr w:type="spellStart"/>
      <w:r w:rsidRPr="00245598">
        <w:rPr>
          <w:rFonts w:ascii="Book Antiqua" w:hAnsi="Book Antiqua"/>
          <w:color w:val="000000" w:themeColor="text1"/>
        </w:rPr>
        <w:t>Diéguez</w:t>
      </w:r>
      <w:proofErr w:type="spellEnd"/>
      <w:r w:rsidRPr="00245598">
        <w:rPr>
          <w:rFonts w:ascii="Book Antiqua" w:hAnsi="Book Antiqua"/>
          <w:color w:val="000000" w:themeColor="text1"/>
        </w:rPr>
        <w:t xml:space="preserve"> L, </w:t>
      </w:r>
      <w:proofErr w:type="spellStart"/>
      <w:r w:rsidRPr="00245598">
        <w:rPr>
          <w:rFonts w:ascii="Book Antiqua" w:hAnsi="Book Antiqua"/>
          <w:color w:val="000000" w:themeColor="text1"/>
        </w:rPr>
        <w:t>Núñez</w:t>
      </w:r>
      <w:proofErr w:type="spellEnd"/>
      <w:r w:rsidRPr="00245598">
        <w:rPr>
          <w:rFonts w:ascii="Book Antiqua" w:hAnsi="Book Antiqua"/>
          <w:color w:val="000000" w:themeColor="text1"/>
        </w:rPr>
        <w:t xml:space="preserve"> O, </w:t>
      </w:r>
      <w:proofErr w:type="spellStart"/>
      <w:r w:rsidRPr="00245598">
        <w:rPr>
          <w:rFonts w:ascii="Book Antiqua" w:hAnsi="Book Antiqua"/>
          <w:color w:val="000000" w:themeColor="text1"/>
        </w:rPr>
        <w:t>Praga</w:t>
      </w:r>
      <w:proofErr w:type="spellEnd"/>
      <w:r w:rsidRPr="00245598">
        <w:rPr>
          <w:rFonts w:ascii="Book Antiqua" w:hAnsi="Book Antiqua"/>
          <w:color w:val="000000" w:themeColor="text1"/>
        </w:rPr>
        <w:t xml:space="preserve"> M, Del Pino-Montes J, Romero-Gómez M, </w:t>
      </w:r>
      <w:proofErr w:type="spellStart"/>
      <w:r w:rsidRPr="00245598">
        <w:rPr>
          <w:rFonts w:ascii="Book Antiqua" w:hAnsi="Book Antiqua"/>
          <w:color w:val="000000" w:themeColor="text1"/>
        </w:rPr>
        <w:t>Morillas</w:t>
      </w:r>
      <w:proofErr w:type="spellEnd"/>
      <w:r w:rsidRPr="00245598">
        <w:rPr>
          <w:rFonts w:ascii="Book Antiqua" w:hAnsi="Book Antiqua"/>
          <w:color w:val="000000" w:themeColor="text1"/>
        </w:rPr>
        <w:t xml:space="preserve"> R, </w:t>
      </w:r>
      <w:proofErr w:type="spellStart"/>
      <w:r w:rsidRPr="00245598">
        <w:rPr>
          <w:rFonts w:ascii="Book Antiqua" w:hAnsi="Book Antiqua"/>
          <w:color w:val="000000" w:themeColor="text1"/>
        </w:rPr>
        <w:t>Diago</w:t>
      </w:r>
      <w:proofErr w:type="spellEnd"/>
      <w:r w:rsidRPr="00245598">
        <w:rPr>
          <w:rFonts w:ascii="Book Antiqua" w:hAnsi="Book Antiqua"/>
          <w:color w:val="000000" w:themeColor="text1"/>
        </w:rPr>
        <w:t xml:space="preserve"> M, Castro Á; MENTE Study Group. Altered Underlying Renal Tubular Function in Patients </w:t>
      </w:r>
      <w:proofErr w:type="gramStart"/>
      <w:r w:rsidRPr="00245598">
        <w:rPr>
          <w:rFonts w:ascii="Book Antiqua" w:hAnsi="Book Antiqua"/>
          <w:color w:val="000000" w:themeColor="text1"/>
        </w:rPr>
        <w:t>With</w:t>
      </w:r>
      <w:proofErr w:type="gramEnd"/>
      <w:r w:rsidRPr="00245598">
        <w:rPr>
          <w:rFonts w:ascii="Book Antiqua" w:hAnsi="Book Antiqua"/>
          <w:color w:val="000000" w:themeColor="text1"/>
        </w:rPr>
        <w:t xml:space="preserve"> Chronic Hepatitis B Receiving </w:t>
      </w:r>
      <w:proofErr w:type="spellStart"/>
      <w:r w:rsidRPr="00245598">
        <w:rPr>
          <w:rFonts w:ascii="Book Antiqua" w:hAnsi="Book Antiqua"/>
          <w:color w:val="000000" w:themeColor="text1"/>
        </w:rPr>
        <w:t>Nucleos</w:t>
      </w:r>
      <w:proofErr w:type="spellEnd"/>
      <w:r w:rsidRPr="00245598">
        <w:rPr>
          <w:rFonts w:ascii="Book Antiqua" w:hAnsi="Book Antiqua"/>
          <w:color w:val="000000" w:themeColor="text1"/>
        </w:rPr>
        <w:t xml:space="preserve">(t)ide Analogs in a Real-World Setting: The MENTE Study. </w:t>
      </w:r>
      <w:r w:rsidRPr="00245598">
        <w:rPr>
          <w:rFonts w:ascii="Book Antiqua" w:hAnsi="Book Antiqua"/>
          <w:i/>
          <w:iCs/>
          <w:color w:val="000000" w:themeColor="text1"/>
        </w:rPr>
        <w:t>J Clin Gastroenterol</w:t>
      </w:r>
      <w:r w:rsidRPr="00245598">
        <w:rPr>
          <w:rFonts w:ascii="Book Antiqua" w:hAnsi="Book Antiqua"/>
          <w:color w:val="000000" w:themeColor="text1"/>
        </w:rPr>
        <w:t xml:space="preserve"> 2016; </w:t>
      </w:r>
      <w:r w:rsidRPr="00245598">
        <w:rPr>
          <w:rFonts w:ascii="Book Antiqua" w:hAnsi="Book Antiqua"/>
          <w:b/>
          <w:bCs/>
          <w:color w:val="000000" w:themeColor="text1"/>
        </w:rPr>
        <w:t>50</w:t>
      </w:r>
      <w:r w:rsidRPr="00245598">
        <w:rPr>
          <w:rFonts w:ascii="Book Antiqua" w:hAnsi="Book Antiqua"/>
          <w:color w:val="000000" w:themeColor="text1"/>
        </w:rPr>
        <w:t>: 779-789 [PMID: 27332746 DOI: 10.1097/MCG.0000000000000569]</w:t>
      </w:r>
    </w:p>
    <w:p w14:paraId="4C0749C7" w14:textId="77777777" w:rsidR="00EA74A7" w:rsidRPr="00245598" w:rsidRDefault="00EA74A7">
      <w:pPr>
        <w:spacing w:line="360" w:lineRule="auto"/>
        <w:jc w:val="both"/>
        <w:rPr>
          <w:rFonts w:ascii="Book Antiqua" w:hAnsi="Book Antiqua"/>
          <w:color w:val="000000" w:themeColor="text1"/>
        </w:rPr>
      </w:pPr>
      <w:r w:rsidRPr="00245598">
        <w:rPr>
          <w:rFonts w:ascii="Book Antiqua" w:hAnsi="Book Antiqua"/>
          <w:color w:val="000000" w:themeColor="text1"/>
        </w:rPr>
        <w:t xml:space="preserve">22 </w:t>
      </w:r>
      <w:proofErr w:type="spellStart"/>
      <w:r w:rsidRPr="00245598">
        <w:rPr>
          <w:rFonts w:ascii="Book Antiqua" w:hAnsi="Book Antiqua"/>
          <w:b/>
          <w:bCs/>
          <w:color w:val="000000" w:themeColor="text1"/>
        </w:rPr>
        <w:t>Uteng</w:t>
      </w:r>
      <w:proofErr w:type="spellEnd"/>
      <w:r w:rsidRPr="00245598">
        <w:rPr>
          <w:rFonts w:ascii="Book Antiqua" w:hAnsi="Book Antiqua"/>
          <w:b/>
          <w:bCs/>
          <w:color w:val="000000" w:themeColor="text1"/>
        </w:rPr>
        <w:t xml:space="preserve"> M</w:t>
      </w:r>
      <w:r w:rsidRPr="00245598">
        <w:rPr>
          <w:rFonts w:ascii="Book Antiqua" w:hAnsi="Book Antiqua"/>
          <w:color w:val="000000" w:themeColor="text1"/>
        </w:rPr>
        <w:t xml:space="preserve">, </w:t>
      </w:r>
      <w:proofErr w:type="spellStart"/>
      <w:r w:rsidRPr="00245598">
        <w:rPr>
          <w:rFonts w:ascii="Book Antiqua" w:hAnsi="Book Antiqua"/>
          <w:color w:val="000000" w:themeColor="text1"/>
        </w:rPr>
        <w:t>Mahl</w:t>
      </w:r>
      <w:proofErr w:type="spellEnd"/>
      <w:r w:rsidRPr="00245598">
        <w:rPr>
          <w:rFonts w:ascii="Book Antiqua" w:hAnsi="Book Antiqua"/>
          <w:color w:val="000000" w:themeColor="text1"/>
        </w:rPr>
        <w:t xml:space="preserve"> A, Beckmann N, </w:t>
      </w:r>
      <w:proofErr w:type="spellStart"/>
      <w:r w:rsidRPr="00245598">
        <w:rPr>
          <w:rFonts w:ascii="Book Antiqua" w:hAnsi="Book Antiqua"/>
          <w:color w:val="000000" w:themeColor="text1"/>
        </w:rPr>
        <w:t>Piaia</w:t>
      </w:r>
      <w:proofErr w:type="spellEnd"/>
      <w:r w:rsidRPr="00245598">
        <w:rPr>
          <w:rFonts w:ascii="Book Antiqua" w:hAnsi="Book Antiqua"/>
          <w:color w:val="000000" w:themeColor="text1"/>
        </w:rPr>
        <w:t xml:space="preserve"> A, </w:t>
      </w:r>
      <w:proofErr w:type="spellStart"/>
      <w:r w:rsidRPr="00245598">
        <w:rPr>
          <w:rFonts w:ascii="Book Antiqua" w:hAnsi="Book Antiqua"/>
          <w:color w:val="000000" w:themeColor="text1"/>
        </w:rPr>
        <w:t>Ledieu</w:t>
      </w:r>
      <w:proofErr w:type="spellEnd"/>
      <w:r w:rsidRPr="00245598">
        <w:rPr>
          <w:rFonts w:ascii="Book Antiqua" w:hAnsi="Book Antiqua"/>
          <w:color w:val="000000" w:themeColor="text1"/>
        </w:rPr>
        <w:t xml:space="preserve"> D, </w:t>
      </w:r>
      <w:proofErr w:type="spellStart"/>
      <w:r w:rsidRPr="00245598">
        <w:rPr>
          <w:rFonts w:ascii="Book Antiqua" w:hAnsi="Book Antiqua"/>
          <w:color w:val="000000" w:themeColor="text1"/>
        </w:rPr>
        <w:t>Dubost</w:t>
      </w:r>
      <w:proofErr w:type="spellEnd"/>
      <w:r w:rsidRPr="00245598">
        <w:rPr>
          <w:rFonts w:ascii="Book Antiqua" w:hAnsi="Book Antiqua"/>
          <w:color w:val="000000" w:themeColor="text1"/>
        </w:rPr>
        <w:t xml:space="preserve"> V, </w:t>
      </w:r>
      <w:proofErr w:type="spellStart"/>
      <w:r w:rsidRPr="00245598">
        <w:rPr>
          <w:rFonts w:ascii="Book Antiqua" w:hAnsi="Book Antiqua"/>
          <w:color w:val="000000" w:themeColor="text1"/>
        </w:rPr>
        <w:t>Tritto</w:t>
      </w:r>
      <w:proofErr w:type="spellEnd"/>
      <w:r w:rsidRPr="00245598">
        <w:rPr>
          <w:rFonts w:ascii="Book Antiqua" w:hAnsi="Book Antiqua"/>
          <w:color w:val="000000" w:themeColor="text1"/>
        </w:rPr>
        <w:t xml:space="preserve"> E, Wolf A, Moulin P, Li L, </w:t>
      </w:r>
      <w:proofErr w:type="spellStart"/>
      <w:r w:rsidRPr="00245598">
        <w:rPr>
          <w:rFonts w:ascii="Book Antiqua" w:hAnsi="Book Antiqua"/>
          <w:color w:val="000000" w:themeColor="text1"/>
        </w:rPr>
        <w:t>Chibout</w:t>
      </w:r>
      <w:proofErr w:type="spellEnd"/>
      <w:r w:rsidRPr="00245598">
        <w:rPr>
          <w:rFonts w:ascii="Book Antiqua" w:hAnsi="Book Antiqua"/>
          <w:color w:val="000000" w:themeColor="text1"/>
        </w:rPr>
        <w:t xml:space="preserve"> SD, </w:t>
      </w:r>
      <w:proofErr w:type="spellStart"/>
      <w:r w:rsidRPr="00245598">
        <w:rPr>
          <w:rFonts w:ascii="Book Antiqua" w:hAnsi="Book Antiqua"/>
          <w:color w:val="000000" w:themeColor="text1"/>
        </w:rPr>
        <w:t>Pognan</w:t>
      </w:r>
      <w:proofErr w:type="spellEnd"/>
      <w:r w:rsidRPr="00245598">
        <w:rPr>
          <w:rFonts w:ascii="Book Antiqua" w:hAnsi="Book Antiqua"/>
          <w:color w:val="000000" w:themeColor="text1"/>
        </w:rPr>
        <w:t xml:space="preserve"> F. Editor's Highlight: Comparative Renal Safety Assessment of the Hepatitis B Drugs, Adefovir, Tenofovir, Telbivudine and Entecavir in Rats. </w:t>
      </w:r>
      <w:proofErr w:type="spellStart"/>
      <w:r w:rsidRPr="00245598">
        <w:rPr>
          <w:rFonts w:ascii="Book Antiqua" w:hAnsi="Book Antiqua"/>
          <w:i/>
          <w:iCs/>
          <w:color w:val="000000" w:themeColor="text1"/>
        </w:rPr>
        <w:t>Toxicol</w:t>
      </w:r>
      <w:proofErr w:type="spellEnd"/>
      <w:r w:rsidRPr="00245598">
        <w:rPr>
          <w:rFonts w:ascii="Book Antiqua" w:hAnsi="Book Antiqua"/>
          <w:i/>
          <w:iCs/>
          <w:color w:val="000000" w:themeColor="text1"/>
        </w:rPr>
        <w:t xml:space="preserve"> Sci</w:t>
      </w:r>
      <w:r w:rsidRPr="00245598">
        <w:rPr>
          <w:rFonts w:ascii="Book Antiqua" w:hAnsi="Book Antiqua"/>
          <w:color w:val="000000" w:themeColor="text1"/>
        </w:rPr>
        <w:t xml:space="preserve"> 2017; </w:t>
      </w:r>
      <w:r w:rsidRPr="00245598">
        <w:rPr>
          <w:rFonts w:ascii="Book Antiqua" w:hAnsi="Book Antiqua"/>
          <w:b/>
          <w:bCs/>
          <w:color w:val="000000" w:themeColor="text1"/>
        </w:rPr>
        <w:t>155</w:t>
      </w:r>
      <w:r w:rsidRPr="00245598">
        <w:rPr>
          <w:rFonts w:ascii="Book Antiqua" w:hAnsi="Book Antiqua"/>
          <w:color w:val="000000" w:themeColor="text1"/>
        </w:rPr>
        <w:t>: 283-297 [PMID: 27742868 DOI: 10.1093/</w:t>
      </w:r>
      <w:proofErr w:type="spellStart"/>
      <w:r w:rsidRPr="00245598">
        <w:rPr>
          <w:rFonts w:ascii="Book Antiqua" w:hAnsi="Book Antiqua"/>
          <w:color w:val="000000" w:themeColor="text1"/>
        </w:rPr>
        <w:t>toxsci</w:t>
      </w:r>
      <w:proofErr w:type="spellEnd"/>
      <w:r w:rsidRPr="00245598">
        <w:rPr>
          <w:rFonts w:ascii="Book Antiqua" w:hAnsi="Book Antiqua"/>
          <w:color w:val="000000" w:themeColor="text1"/>
        </w:rPr>
        <w:t>/kfw208]</w:t>
      </w:r>
    </w:p>
    <w:p w14:paraId="4EA62FEF" w14:textId="77777777" w:rsidR="00EA74A7" w:rsidRPr="00245598" w:rsidRDefault="00EA74A7">
      <w:pPr>
        <w:spacing w:line="360" w:lineRule="auto"/>
        <w:jc w:val="both"/>
        <w:rPr>
          <w:rFonts w:ascii="Book Antiqua" w:hAnsi="Book Antiqua"/>
          <w:color w:val="000000" w:themeColor="text1"/>
        </w:rPr>
      </w:pPr>
      <w:r w:rsidRPr="00245598">
        <w:rPr>
          <w:rFonts w:ascii="Book Antiqua" w:hAnsi="Book Antiqua"/>
          <w:color w:val="000000" w:themeColor="text1"/>
        </w:rPr>
        <w:t xml:space="preserve">23 </w:t>
      </w:r>
      <w:r w:rsidRPr="00245598">
        <w:rPr>
          <w:rFonts w:ascii="Book Antiqua" w:hAnsi="Book Antiqua"/>
          <w:b/>
          <w:bCs/>
          <w:color w:val="000000" w:themeColor="text1"/>
        </w:rPr>
        <w:t>Tsai MC</w:t>
      </w:r>
      <w:r w:rsidRPr="00245598">
        <w:rPr>
          <w:rFonts w:ascii="Book Antiqua" w:hAnsi="Book Antiqua"/>
          <w:color w:val="000000" w:themeColor="text1"/>
        </w:rPr>
        <w:t xml:space="preserve">, Chen CH, Tseng PL, Hung CH, Chiu KW, Wang JH, Lu SN, Lee CM, Chang KC, Yen YH, Lin MT, Chou YP, Hu TH. Comparison of renal safety and efficacy of </w:t>
      </w:r>
      <w:r w:rsidRPr="00245598">
        <w:rPr>
          <w:rFonts w:ascii="Book Antiqua" w:hAnsi="Book Antiqua"/>
          <w:color w:val="000000" w:themeColor="text1"/>
        </w:rPr>
        <w:lastRenderedPageBreak/>
        <w:t xml:space="preserve">telbivudine, entecavir and tenofovir treatment in chronic hepatitis B patients: real world experience. </w:t>
      </w:r>
      <w:r w:rsidRPr="00245598">
        <w:rPr>
          <w:rFonts w:ascii="Book Antiqua" w:hAnsi="Book Antiqua"/>
          <w:i/>
          <w:iCs/>
          <w:color w:val="000000" w:themeColor="text1"/>
        </w:rPr>
        <w:t>Clin Microbiol Infect</w:t>
      </w:r>
      <w:r w:rsidRPr="00245598">
        <w:rPr>
          <w:rFonts w:ascii="Book Antiqua" w:hAnsi="Book Antiqua"/>
          <w:color w:val="000000" w:themeColor="text1"/>
        </w:rPr>
        <w:t xml:space="preserve"> 2016; </w:t>
      </w:r>
      <w:r w:rsidRPr="00245598">
        <w:rPr>
          <w:rFonts w:ascii="Book Antiqua" w:hAnsi="Book Antiqua"/>
          <w:b/>
          <w:bCs/>
          <w:color w:val="000000" w:themeColor="text1"/>
        </w:rPr>
        <w:t>22</w:t>
      </w:r>
      <w:r w:rsidRPr="00245598">
        <w:rPr>
          <w:rFonts w:ascii="Book Antiqua" w:hAnsi="Book Antiqua"/>
          <w:color w:val="000000" w:themeColor="text1"/>
        </w:rPr>
        <w:t>: 95.e1-</w:t>
      </w:r>
      <w:proofErr w:type="gramStart"/>
      <w:r w:rsidRPr="00245598">
        <w:rPr>
          <w:rFonts w:ascii="Book Antiqua" w:hAnsi="Book Antiqua"/>
          <w:color w:val="000000" w:themeColor="text1"/>
        </w:rPr>
        <w:t>95.e</w:t>
      </w:r>
      <w:proofErr w:type="gramEnd"/>
      <w:r w:rsidRPr="00245598">
        <w:rPr>
          <w:rFonts w:ascii="Book Antiqua" w:hAnsi="Book Antiqua"/>
          <w:color w:val="000000" w:themeColor="text1"/>
        </w:rPr>
        <w:t>7 [PMID: 26055419 DOI: 10.1016/j.cmi.2015.05.035]</w:t>
      </w:r>
    </w:p>
    <w:p w14:paraId="5889B917" w14:textId="77777777" w:rsidR="00EA74A7" w:rsidRPr="00245598" w:rsidRDefault="00EA74A7">
      <w:pPr>
        <w:spacing w:line="360" w:lineRule="auto"/>
        <w:jc w:val="both"/>
        <w:rPr>
          <w:rFonts w:ascii="Book Antiqua" w:hAnsi="Book Antiqua"/>
          <w:color w:val="000000" w:themeColor="text1"/>
        </w:rPr>
      </w:pPr>
      <w:r w:rsidRPr="00245598">
        <w:rPr>
          <w:rFonts w:ascii="Book Antiqua" w:hAnsi="Book Antiqua"/>
          <w:color w:val="000000" w:themeColor="text1"/>
        </w:rPr>
        <w:t xml:space="preserve">24 </w:t>
      </w:r>
      <w:proofErr w:type="spellStart"/>
      <w:r w:rsidRPr="00245598">
        <w:rPr>
          <w:rFonts w:ascii="Book Antiqua" w:hAnsi="Book Antiqua"/>
          <w:b/>
          <w:bCs/>
          <w:color w:val="000000" w:themeColor="text1"/>
        </w:rPr>
        <w:t>Mazzucco</w:t>
      </w:r>
      <w:proofErr w:type="spellEnd"/>
      <w:r w:rsidRPr="00245598">
        <w:rPr>
          <w:rFonts w:ascii="Book Antiqua" w:hAnsi="Book Antiqua"/>
          <w:b/>
          <w:bCs/>
          <w:color w:val="000000" w:themeColor="text1"/>
        </w:rPr>
        <w:t xml:space="preserve"> CE</w:t>
      </w:r>
      <w:r w:rsidRPr="00245598">
        <w:rPr>
          <w:rFonts w:ascii="Book Antiqua" w:hAnsi="Book Antiqua"/>
          <w:color w:val="000000" w:themeColor="text1"/>
        </w:rPr>
        <w:t xml:space="preserve">, </w:t>
      </w:r>
      <w:proofErr w:type="spellStart"/>
      <w:r w:rsidRPr="00245598">
        <w:rPr>
          <w:rFonts w:ascii="Book Antiqua" w:hAnsi="Book Antiqua"/>
          <w:color w:val="000000" w:themeColor="text1"/>
        </w:rPr>
        <w:t>Hamatake</w:t>
      </w:r>
      <w:proofErr w:type="spellEnd"/>
      <w:r w:rsidRPr="00245598">
        <w:rPr>
          <w:rFonts w:ascii="Book Antiqua" w:hAnsi="Book Antiqua"/>
          <w:color w:val="000000" w:themeColor="text1"/>
        </w:rPr>
        <w:t xml:space="preserve"> RK, </w:t>
      </w:r>
      <w:proofErr w:type="spellStart"/>
      <w:r w:rsidRPr="00245598">
        <w:rPr>
          <w:rFonts w:ascii="Book Antiqua" w:hAnsi="Book Antiqua"/>
          <w:color w:val="000000" w:themeColor="text1"/>
        </w:rPr>
        <w:t>Colonno</w:t>
      </w:r>
      <w:proofErr w:type="spellEnd"/>
      <w:r w:rsidRPr="00245598">
        <w:rPr>
          <w:rFonts w:ascii="Book Antiqua" w:hAnsi="Book Antiqua"/>
          <w:color w:val="000000" w:themeColor="text1"/>
        </w:rPr>
        <w:t xml:space="preserve"> RJ, </w:t>
      </w:r>
      <w:proofErr w:type="spellStart"/>
      <w:r w:rsidRPr="00245598">
        <w:rPr>
          <w:rFonts w:ascii="Book Antiqua" w:hAnsi="Book Antiqua"/>
          <w:color w:val="000000" w:themeColor="text1"/>
        </w:rPr>
        <w:t>Tenney</w:t>
      </w:r>
      <w:proofErr w:type="spellEnd"/>
      <w:r w:rsidRPr="00245598">
        <w:rPr>
          <w:rFonts w:ascii="Book Antiqua" w:hAnsi="Book Antiqua"/>
          <w:color w:val="000000" w:themeColor="text1"/>
        </w:rPr>
        <w:t xml:space="preserve"> DJ. Entecavir for treatment of hepatitis B virus displays no in vitro mitochondrial toxicity or DNA polymerase gamma inhibition. </w:t>
      </w:r>
      <w:proofErr w:type="spellStart"/>
      <w:r w:rsidRPr="00245598">
        <w:rPr>
          <w:rFonts w:ascii="Book Antiqua" w:hAnsi="Book Antiqua"/>
          <w:i/>
          <w:iCs/>
          <w:color w:val="000000" w:themeColor="text1"/>
        </w:rPr>
        <w:t>Antimicrob</w:t>
      </w:r>
      <w:proofErr w:type="spellEnd"/>
      <w:r w:rsidRPr="00245598">
        <w:rPr>
          <w:rFonts w:ascii="Book Antiqua" w:hAnsi="Book Antiqua"/>
          <w:i/>
          <w:iCs/>
          <w:color w:val="000000" w:themeColor="text1"/>
        </w:rPr>
        <w:t xml:space="preserve"> Agents Chemother</w:t>
      </w:r>
      <w:r w:rsidRPr="00245598">
        <w:rPr>
          <w:rFonts w:ascii="Book Antiqua" w:hAnsi="Book Antiqua"/>
          <w:color w:val="000000" w:themeColor="text1"/>
        </w:rPr>
        <w:t xml:space="preserve"> 2008; </w:t>
      </w:r>
      <w:r w:rsidRPr="00245598">
        <w:rPr>
          <w:rFonts w:ascii="Book Antiqua" w:hAnsi="Book Antiqua"/>
          <w:b/>
          <w:bCs/>
          <w:color w:val="000000" w:themeColor="text1"/>
        </w:rPr>
        <w:t>52</w:t>
      </w:r>
      <w:r w:rsidRPr="00245598">
        <w:rPr>
          <w:rFonts w:ascii="Book Antiqua" w:hAnsi="Book Antiqua"/>
          <w:color w:val="000000" w:themeColor="text1"/>
        </w:rPr>
        <w:t>: 598-605 [PMID: 18056280 DOI: 10.1128/AAC.01122-07]</w:t>
      </w:r>
    </w:p>
    <w:p w14:paraId="368E9C52" w14:textId="77777777" w:rsidR="00EA74A7" w:rsidRPr="00245598" w:rsidRDefault="00EA74A7">
      <w:pPr>
        <w:spacing w:line="360" w:lineRule="auto"/>
        <w:jc w:val="both"/>
        <w:rPr>
          <w:rFonts w:ascii="Book Antiqua" w:hAnsi="Book Antiqua"/>
          <w:color w:val="000000" w:themeColor="text1"/>
        </w:rPr>
      </w:pPr>
      <w:r w:rsidRPr="00245598">
        <w:rPr>
          <w:rFonts w:ascii="Book Antiqua" w:hAnsi="Book Antiqua"/>
          <w:color w:val="000000" w:themeColor="text1"/>
        </w:rPr>
        <w:t xml:space="preserve">25 </w:t>
      </w:r>
      <w:proofErr w:type="spellStart"/>
      <w:r w:rsidRPr="00245598">
        <w:rPr>
          <w:rFonts w:ascii="Book Antiqua" w:hAnsi="Book Antiqua"/>
          <w:b/>
          <w:bCs/>
          <w:color w:val="000000" w:themeColor="text1"/>
        </w:rPr>
        <w:t>Viganò</w:t>
      </w:r>
      <w:proofErr w:type="spellEnd"/>
      <w:r w:rsidRPr="00245598">
        <w:rPr>
          <w:rFonts w:ascii="Book Antiqua" w:hAnsi="Book Antiqua"/>
          <w:b/>
          <w:bCs/>
          <w:color w:val="000000" w:themeColor="text1"/>
        </w:rPr>
        <w:t xml:space="preserve"> M</w:t>
      </w:r>
      <w:r w:rsidRPr="00245598">
        <w:rPr>
          <w:rFonts w:ascii="Book Antiqua" w:hAnsi="Book Antiqua"/>
          <w:color w:val="000000" w:themeColor="text1"/>
        </w:rPr>
        <w:t xml:space="preserve">, </w:t>
      </w:r>
      <w:proofErr w:type="spellStart"/>
      <w:r w:rsidRPr="00245598">
        <w:rPr>
          <w:rFonts w:ascii="Book Antiqua" w:hAnsi="Book Antiqua"/>
          <w:color w:val="000000" w:themeColor="text1"/>
        </w:rPr>
        <w:t>Loglio</w:t>
      </w:r>
      <w:proofErr w:type="spellEnd"/>
      <w:r w:rsidRPr="00245598">
        <w:rPr>
          <w:rFonts w:ascii="Book Antiqua" w:hAnsi="Book Antiqua"/>
          <w:color w:val="000000" w:themeColor="text1"/>
        </w:rPr>
        <w:t xml:space="preserve"> A, </w:t>
      </w:r>
      <w:proofErr w:type="spellStart"/>
      <w:r w:rsidRPr="00245598">
        <w:rPr>
          <w:rFonts w:ascii="Book Antiqua" w:hAnsi="Book Antiqua"/>
          <w:color w:val="000000" w:themeColor="text1"/>
        </w:rPr>
        <w:t>Labanca</w:t>
      </w:r>
      <w:proofErr w:type="spellEnd"/>
      <w:r w:rsidRPr="00245598">
        <w:rPr>
          <w:rFonts w:ascii="Book Antiqua" w:hAnsi="Book Antiqua"/>
          <w:color w:val="000000" w:themeColor="text1"/>
        </w:rPr>
        <w:t xml:space="preserve"> S, </w:t>
      </w:r>
      <w:proofErr w:type="spellStart"/>
      <w:r w:rsidRPr="00245598">
        <w:rPr>
          <w:rFonts w:ascii="Book Antiqua" w:hAnsi="Book Antiqua"/>
          <w:color w:val="000000" w:themeColor="text1"/>
        </w:rPr>
        <w:t>Zaltron</w:t>
      </w:r>
      <w:proofErr w:type="spellEnd"/>
      <w:r w:rsidRPr="00245598">
        <w:rPr>
          <w:rFonts w:ascii="Book Antiqua" w:hAnsi="Book Antiqua"/>
          <w:color w:val="000000" w:themeColor="text1"/>
        </w:rPr>
        <w:t xml:space="preserve"> S, Castelli F, </w:t>
      </w:r>
      <w:proofErr w:type="spellStart"/>
      <w:r w:rsidRPr="00245598">
        <w:rPr>
          <w:rFonts w:ascii="Book Antiqua" w:hAnsi="Book Antiqua"/>
          <w:color w:val="000000" w:themeColor="text1"/>
        </w:rPr>
        <w:t>Andreone</w:t>
      </w:r>
      <w:proofErr w:type="spellEnd"/>
      <w:r w:rsidRPr="00245598">
        <w:rPr>
          <w:rFonts w:ascii="Book Antiqua" w:hAnsi="Book Antiqua"/>
          <w:color w:val="000000" w:themeColor="text1"/>
        </w:rPr>
        <w:t xml:space="preserve"> P, Messina V, Ganga R, Coppola N, </w:t>
      </w:r>
      <w:proofErr w:type="spellStart"/>
      <w:r w:rsidRPr="00245598">
        <w:rPr>
          <w:rFonts w:ascii="Book Antiqua" w:hAnsi="Book Antiqua"/>
          <w:color w:val="000000" w:themeColor="text1"/>
        </w:rPr>
        <w:t>Marrone</w:t>
      </w:r>
      <w:proofErr w:type="spellEnd"/>
      <w:r w:rsidRPr="00245598">
        <w:rPr>
          <w:rFonts w:ascii="Book Antiqua" w:hAnsi="Book Antiqua"/>
          <w:color w:val="000000" w:themeColor="text1"/>
        </w:rPr>
        <w:t xml:space="preserve"> A, </w:t>
      </w:r>
      <w:proofErr w:type="spellStart"/>
      <w:r w:rsidRPr="00245598">
        <w:rPr>
          <w:rFonts w:ascii="Book Antiqua" w:hAnsi="Book Antiqua"/>
          <w:color w:val="000000" w:themeColor="text1"/>
        </w:rPr>
        <w:t>Russello</w:t>
      </w:r>
      <w:proofErr w:type="spellEnd"/>
      <w:r w:rsidRPr="00245598">
        <w:rPr>
          <w:rFonts w:ascii="Book Antiqua" w:hAnsi="Book Antiqua"/>
          <w:color w:val="000000" w:themeColor="text1"/>
        </w:rPr>
        <w:t xml:space="preserve"> M, Marzano A, Tucci A, </w:t>
      </w:r>
      <w:proofErr w:type="spellStart"/>
      <w:r w:rsidRPr="00245598">
        <w:rPr>
          <w:rFonts w:ascii="Book Antiqua" w:hAnsi="Book Antiqua"/>
          <w:color w:val="000000" w:themeColor="text1"/>
        </w:rPr>
        <w:t>Taliani</w:t>
      </w:r>
      <w:proofErr w:type="spellEnd"/>
      <w:r w:rsidRPr="00245598">
        <w:rPr>
          <w:rFonts w:ascii="Book Antiqua" w:hAnsi="Book Antiqua"/>
          <w:color w:val="000000" w:themeColor="text1"/>
        </w:rPr>
        <w:t xml:space="preserve"> G, Fasano M, </w:t>
      </w:r>
      <w:proofErr w:type="spellStart"/>
      <w:r w:rsidRPr="00245598">
        <w:rPr>
          <w:rFonts w:ascii="Book Antiqua" w:hAnsi="Book Antiqua"/>
          <w:color w:val="000000" w:themeColor="text1"/>
        </w:rPr>
        <w:t>Fagiuoli</w:t>
      </w:r>
      <w:proofErr w:type="spellEnd"/>
      <w:r w:rsidRPr="00245598">
        <w:rPr>
          <w:rFonts w:ascii="Book Antiqua" w:hAnsi="Book Antiqua"/>
          <w:color w:val="000000" w:themeColor="text1"/>
        </w:rPr>
        <w:t xml:space="preserve"> S, Villa E, Bronte F, </w:t>
      </w:r>
      <w:proofErr w:type="spellStart"/>
      <w:r w:rsidRPr="00245598">
        <w:rPr>
          <w:rFonts w:ascii="Book Antiqua" w:hAnsi="Book Antiqua"/>
          <w:color w:val="000000" w:themeColor="text1"/>
        </w:rPr>
        <w:t>Santantonio</w:t>
      </w:r>
      <w:proofErr w:type="spellEnd"/>
      <w:r w:rsidRPr="00245598">
        <w:rPr>
          <w:rFonts w:ascii="Book Antiqua" w:hAnsi="Book Antiqua"/>
          <w:color w:val="000000" w:themeColor="text1"/>
        </w:rPr>
        <w:t xml:space="preserve"> T, Brancaccio G, </w:t>
      </w:r>
      <w:proofErr w:type="spellStart"/>
      <w:r w:rsidRPr="00245598">
        <w:rPr>
          <w:rFonts w:ascii="Book Antiqua" w:hAnsi="Book Antiqua"/>
          <w:color w:val="000000" w:themeColor="text1"/>
        </w:rPr>
        <w:t>Occhipinti</w:t>
      </w:r>
      <w:proofErr w:type="spellEnd"/>
      <w:r w:rsidRPr="00245598">
        <w:rPr>
          <w:rFonts w:ascii="Book Antiqua" w:hAnsi="Book Antiqua"/>
          <w:color w:val="000000" w:themeColor="text1"/>
        </w:rPr>
        <w:t xml:space="preserve"> V, </w:t>
      </w:r>
      <w:proofErr w:type="spellStart"/>
      <w:r w:rsidRPr="00245598">
        <w:rPr>
          <w:rFonts w:ascii="Book Antiqua" w:hAnsi="Book Antiqua"/>
          <w:color w:val="000000" w:themeColor="text1"/>
        </w:rPr>
        <w:t>Facchetti</w:t>
      </w:r>
      <w:proofErr w:type="spellEnd"/>
      <w:r w:rsidRPr="00245598">
        <w:rPr>
          <w:rFonts w:ascii="Book Antiqua" w:hAnsi="Book Antiqua"/>
          <w:color w:val="000000" w:themeColor="text1"/>
        </w:rPr>
        <w:t xml:space="preserve"> F, </w:t>
      </w:r>
      <w:proofErr w:type="spellStart"/>
      <w:r w:rsidRPr="00245598">
        <w:rPr>
          <w:rFonts w:ascii="Book Antiqua" w:hAnsi="Book Antiqua"/>
          <w:color w:val="000000" w:themeColor="text1"/>
        </w:rPr>
        <w:t>Grossi</w:t>
      </w:r>
      <w:proofErr w:type="spellEnd"/>
      <w:r w:rsidRPr="00245598">
        <w:rPr>
          <w:rFonts w:ascii="Book Antiqua" w:hAnsi="Book Antiqua"/>
          <w:color w:val="000000" w:themeColor="text1"/>
        </w:rPr>
        <w:t xml:space="preserve"> G, Rumi M, </w:t>
      </w:r>
      <w:proofErr w:type="spellStart"/>
      <w:r w:rsidRPr="00245598">
        <w:rPr>
          <w:rFonts w:ascii="Book Antiqua" w:hAnsi="Book Antiqua"/>
          <w:color w:val="000000" w:themeColor="text1"/>
        </w:rPr>
        <w:t>Lampertico</w:t>
      </w:r>
      <w:proofErr w:type="spellEnd"/>
      <w:r w:rsidRPr="00245598">
        <w:rPr>
          <w:rFonts w:ascii="Book Antiqua" w:hAnsi="Book Antiqua"/>
          <w:color w:val="000000" w:themeColor="text1"/>
        </w:rPr>
        <w:t xml:space="preserve"> P. Effectiveness and safety of switching to entecavir hepatitis B patients developing kidney dysfunction during tenofovir. </w:t>
      </w:r>
      <w:r w:rsidRPr="00245598">
        <w:rPr>
          <w:rFonts w:ascii="Book Antiqua" w:hAnsi="Book Antiqua"/>
          <w:i/>
          <w:iCs/>
          <w:color w:val="000000" w:themeColor="text1"/>
        </w:rPr>
        <w:t>Liver Int</w:t>
      </w:r>
      <w:r w:rsidRPr="00245598">
        <w:rPr>
          <w:rFonts w:ascii="Book Antiqua" w:hAnsi="Book Antiqua"/>
          <w:color w:val="000000" w:themeColor="text1"/>
        </w:rPr>
        <w:t xml:space="preserve"> 2019; </w:t>
      </w:r>
      <w:r w:rsidRPr="00245598">
        <w:rPr>
          <w:rFonts w:ascii="Book Antiqua" w:hAnsi="Book Antiqua"/>
          <w:b/>
          <w:bCs/>
          <w:color w:val="000000" w:themeColor="text1"/>
        </w:rPr>
        <w:t>39</w:t>
      </w:r>
      <w:r w:rsidRPr="00245598">
        <w:rPr>
          <w:rFonts w:ascii="Book Antiqua" w:hAnsi="Book Antiqua"/>
          <w:color w:val="000000" w:themeColor="text1"/>
        </w:rPr>
        <w:t>: 484-493 [PMID: 30525275 DOI: 10.1111/liv.14017]</w:t>
      </w:r>
    </w:p>
    <w:p w14:paraId="180FBE06" w14:textId="77777777" w:rsidR="00EA74A7" w:rsidRPr="00245598" w:rsidRDefault="00EA74A7">
      <w:pPr>
        <w:spacing w:line="360" w:lineRule="auto"/>
        <w:jc w:val="both"/>
        <w:rPr>
          <w:rFonts w:ascii="Book Antiqua" w:hAnsi="Book Antiqua"/>
          <w:color w:val="000000" w:themeColor="text1"/>
        </w:rPr>
      </w:pPr>
      <w:r w:rsidRPr="00245598">
        <w:rPr>
          <w:rFonts w:ascii="Book Antiqua" w:hAnsi="Book Antiqua"/>
          <w:color w:val="000000" w:themeColor="text1"/>
        </w:rPr>
        <w:t xml:space="preserve">26 </w:t>
      </w:r>
      <w:r w:rsidRPr="00245598">
        <w:rPr>
          <w:rFonts w:ascii="Book Antiqua" w:hAnsi="Book Antiqua"/>
          <w:b/>
          <w:bCs/>
          <w:color w:val="000000" w:themeColor="text1"/>
        </w:rPr>
        <w:t>Deng CL</w:t>
      </w:r>
      <w:r w:rsidRPr="00245598">
        <w:rPr>
          <w:rFonts w:ascii="Book Antiqua" w:hAnsi="Book Antiqua"/>
          <w:color w:val="000000" w:themeColor="text1"/>
        </w:rPr>
        <w:t xml:space="preserve">, Song XW, Liang HJ, Feng C, Sheng YJ, Wang MY. Chronic hepatitis B serum promotes apoptotic damage in human renal tubular cells. </w:t>
      </w:r>
      <w:r w:rsidRPr="00245598">
        <w:rPr>
          <w:rFonts w:ascii="Book Antiqua" w:hAnsi="Book Antiqua"/>
          <w:i/>
          <w:iCs/>
          <w:color w:val="000000" w:themeColor="text1"/>
        </w:rPr>
        <w:t>World J Gastroenterol</w:t>
      </w:r>
      <w:r w:rsidRPr="00245598">
        <w:rPr>
          <w:rFonts w:ascii="Book Antiqua" w:hAnsi="Book Antiqua"/>
          <w:color w:val="000000" w:themeColor="text1"/>
        </w:rPr>
        <w:t xml:space="preserve"> 2006; </w:t>
      </w:r>
      <w:r w:rsidRPr="00245598">
        <w:rPr>
          <w:rFonts w:ascii="Book Antiqua" w:hAnsi="Book Antiqua"/>
          <w:b/>
          <w:bCs/>
          <w:color w:val="000000" w:themeColor="text1"/>
        </w:rPr>
        <w:t>12</w:t>
      </w:r>
      <w:r w:rsidRPr="00245598">
        <w:rPr>
          <w:rFonts w:ascii="Book Antiqua" w:hAnsi="Book Antiqua"/>
          <w:color w:val="000000" w:themeColor="text1"/>
        </w:rPr>
        <w:t>: 1752-1756 [PMID: 16586546 DOI: 10.3748/</w:t>
      </w:r>
      <w:proofErr w:type="gramStart"/>
      <w:r w:rsidRPr="00245598">
        <w:rPr>
          <w:rFonts w:ascii="Book Antiqua" w:hAnsi="Book Antiqua"/>
          <w:color w:val="000000" w:themeColor="text1"/>
        </w:rPr>
        <w:t>wjg.v12.i</w:t>
      </w:r>
      <w:proofErr w:type="gramEnd"/>
      <w:r w:rsidRPr="00245598">
        <w:rPr>
          <w:rFonts w:ascii="Book Antiqua" w:hAnsi="Book Antiqua"/>
          <w:color w:val="000000" w:themeColor="text1"/>
        </w:rPr>
        <w:t>11.1752]</w:t>
      </w:r>
    </w:p>
    <w:p w14:paraId="2EF9A38E" w14:textId="77777777" w:rsidR="00EA74A7" w:rsidRPr="00245598" w:rsidRDefault="00EA74A7">
      <w:pPr>
        <w:spacing w:line="360" w:lineRule="auto"/>
        <w:jc w:val="both"/>
        <w:rPr>
          <w:rFonts w:ascii="Book Antiqua" w:hAnsi="Book Antiqua"/>
          <w:color w:val="000000" w:themeColor="text1"/>
        </w:rPr>
      </w:pPr>
      <w:r w:rsidRPr="00245598">
        <w:rPr>
          <w:rFonts w:ascii="Book Antiqua" w:hAnsi="Book Antiqua"/>
          <w:color w:val="000000" w:themeColor="text1"/>
        </w:rPr>
        <w:t xml:space="preserve">27 </w:t>
      </w:r>
      <w:r w:rsidRPr="00245598">
        <w:rPr>
          <w:rFonts w:ascii="Book Antiqua" w:hAnsi="Book Antiqua"/>
          <w:b/>
          <w:bCs/>
          <w:color w:val="000000" w:themeColor="text1"/>
        </w:rPr>
        <w:t>Wang X</w:t>
      </w:r>
      <w:r w:rsidRPr="00245598">
        <w:rPr>
          <w:rFonts w:ascii="Book Antiqua" w:hAnsi="Book Antiqua"/>
          <w:color w:val="000000" w:themeColor="text1"/>
        </w:rPr>
        <w:t xml:space="preserve">, Wang L, Zhu N, Zhou Y, Gu LJ, Yuan WJ. Hepatitis B virus X protein modulates renal tubular epithelial cell-induced T-cell and macrophage responses. </w:t>
      </w:r>
      <w:r w:rsidRPr="00245598">
        <w:rPr>
          <w:rFonts w:ascii="Book Antiqua" w:hAnsi="Book Antiqua"/>
          <w:i/>
          <w:iCs/>
          <w:color w:val="000000" w:themeColor="text1"/>
        </w:rPr>
        <w:t>Immunol Cell Biol</w:t>
      </w:r>
      <w:r w:rsidRPr="00245598">
        <w:rPr>
          <w:rFonts w:ascii="Book Antiqua" w:hAnsi="Book Antiqua"/>
          <w:color w:val="000000" w:themeColor="text1"/>
        </w:rPr>
        <w:t xml:space="preserve"> 2016; </w:t>
      </w:r>
      <w:r w:rsidRPr="00245598">
        <w:rPr>
          <w:rFonts w:ascii="Book Antiqua" w:hAnsi="Book Antiqua"/>
          <w:b/>
          <w:bCs/>
          <w:color w:val="000000" w:themeColor="text1"/>
        </w:rPr>
        <w:t>94</w:t>
      </w:r>
      <w:r w:rsidRPr="00245598">
        <w:rPr>
          <w:rFonts w:ascii="Book Antiqua" w:hAnsi="Book Antiqua"/>
          <w:color w:val="000000" w:themeColor="text1"/>
        </w:rPr>
        <w:t>: 266-273 [PMID: 26365016 DOI: 10.1038/icb.2015.85]</w:t>
      </w:r>
    </w:p>
    <w:p w14:paraId="3A043AFB" w14:textId="578ADA2D" w:rsidR="00EA74A7" w:rsidRPr="00245598" w:rsidRDefault="00EA74A7">
      <w:pPr>
        <w:spacing w:line="360" w:lineRule="auto"/>
        <w:jc w:val="both"/>
        <w:rPr>
          <w:rFonts w:ascii="Book Antiqua" w:hAnsi="Book Antiqua"/>
          <w:color w:val="000000" w:themeColor="text1"/>
        </w:rPr>
      </w:pPr>
      <w:r w:rsidRPr="00245598">
        <w:rPr>
          <w:rFonts w:ascii="Book Antiqua" w:hAnsi="Book Antiqua"/>
          <w:color w:val="000000" w:themeColor="text1"/>
        </w:rPr>
        <w:t xml:space="preserve">28 </w:t>
      </w:r>
      <w:r w:rsidRPr="00245598">
        <w:rPr>
          <w:rFonts w:ascii="Book Antiqua" w:hAnsi="Book Antiqua"/>
          <w:b/>
          <w:bCs/>
          <w:color w:val="000000" w:themeColor="text1"/>
        </w:rPr>
        <w:t>Payne RB</w:t>
      </w:r>
      <w:r w:rsidRPr="00245598">
        <w:rPr>
          <w:rFonts w:ascii="Book Antiqua" w:hAnsi="Book Antiqua"/>
          <w:color w:val="000000" w:themeColor="text1"/>
        </w:rPr>
        <w:t>. Renal tubular reabsorption of phosphate (</w:t>
      </w:r>
      <w:proofErr w:type="spellStart"/>
      <w:r w:rsidRPr="00245598">
        <w:rPr>
          <w:rFonts w:ascii="Book Antiqua" w:hAnsi="Book Antiqua"/>
          <w:color w:val="000000" w:themeColor="text1"/>
        </w:rPr>
        <w:t>TmP</w:t>
      </w:r>
      <w:proofErr w:type="spellEnd"/>
      <w:r w:rsidRPr="00245598">
        <w:rPr>
          <w:rFonts w:ascii="Book Antiqua" w:hAnsi="Book Antiqua"/>
          <w:color w:val="000000" w:themeColor="text1"/>
        </w:rPr>
        <w:t xml:space="preserve">/GFR): indications and interpretation. </w:t>
      </w:r>
      <w:r w:rsidRPr="00245598">
        <w:rPr>
          <w:rFonts w:ascii="Book Antiqua" w:hAnsi="Book Antiqua"/>
          <w:i/>
          <w:iCs/>
          <w:color w:val="000000" w:themeColor="text1"/>
        </w:rPr>
        <w:t xml:space="preserve">Ann Clin </w:t>
      </w:r>
      <w:proofErr w:type="spellStart"/>
      <w:r w:rsidRPr="00245598">
        <w:rPr>
          <w:rFonts w:ascii="Book Antiqua" w:hAnsi="Book Antiqua"/>
          <w:i/>
          <w:iCs/>
          <w:color w:val="000000" w:themeColor="text1"/>
        </w:rPr>
        <w:t>Biochem</w:t>
      </w:r>
      <w:proofErr w:type="spellEnd"/>
      <w:r w:rsidRPr="00245598">
        <w:rPr>
          <w:rFonts w:ascii="Book Antiqua" w:hAnsi="Book Antiqua"/>
          <w:color w:val="000000" w:themeColor="text1"/>
        </w:rPr>
        <w:t xml:space="preserve"> 1998; </w:t>
      </w:r>
      <w:r w:rsidRPr="00245598">
        <w:rPr>
          <w:rFonts w:ascii="Book Antiqua" w:hAnsi="Book Antiqua"/>
          <w:b/>
          <w:bCs/>
          <w:color w:val="000000" w:themeColor="text1"/>
        </w:rPr>
        <w:t>35</w:t>
      </w:r>
      <w:r w:rsidR="007A4EE0" w:rsidRPr="00245598">
        <w:rPr>
          <w:rFonts w:ascii="Book Antiqua" w:hAnsi="Book Antiqua"/>
          <w:b/>
          <w:bCs/>
          <w:color w:val="000000" w:themeColor="text1"/>
        </w:rPr>
        <w:t xml:space="preserve"> (Pt 2)</w:t>
      </w:r>
      <w:r w:rsidRPr="00245598">
        <w:rPr>
          <w:rFonts w:ascii="Book Antiqua" w:hAnsi="Book Antiqua"/>
          <w:b/>
          <w:bCs/>
          <w:color w:val="000000" w:themeColor="text1"/>
        </w:rPr>
        <w:t xml:space="preserve">: </w:t>
      </w:r>
      <w:r w:rsidRPr="00245598">
        <w:rPr>
          <w:rFonts w:ascii="Book Antiqua" w:hAnsi="Book Antiqua"/>
          <w:color w:val="000000" w:themeColor="text1"/>
        </w:rPr>
        <w:t>201-206 [PMID: 9547891 DOI: 10.1177/000456329803500203]</w:t>
      </w:r>
    </w:p>
    <w:p w14:paraId="4F577218" w14:textId="77777777" w:rsidR="00EA74A7" w:rsidRPr="00245598" w:rsidRDefault="00EA74A7">
      <w:pPr>
        <w:spacing w:line="360" w:lineRule="auto"/>
        <w:jc w:val="both"/>
        <w:rPr>
          <w:rFonts w:ascii="Book Antiqua" w:hAnsi="Book Antiqua"/>
          <w:color w:val="000000" w:themeColor="text1"/>
        </w:rPr>
      </w:pPr>
      <w:r w:rsidRPr="00245598">
        <w:rPr>
          <w:rFonts w:ascii="Book Antiqua" w:hAnsi="Book Antiqua"/>
          <w:color w:val="000000" w:themeColor="text1"/>
        </w:rPr>
        <w:t xml:space="preserve">29 </w:t>
      </w:r>
      <w:r w:rsidRPr="00245598">
        <w:rPr>
          <w:rFonts w:ascii="Book Antiqua" w:hAnsi="Book Antiqua"/>
          <w:b/>
          <w:bCs/>
          <w:color w:val="000000" w:themeColor="text1"/>
        </w:rPr>
        <w:t>Snaith ML</w:t>
      </w:r>
      <w:r w:rsidRPr="00245598">
        <w:rPr>
          <w:rFonts w:ascii="Book Antiqua" w:hAnsi="Book Antiqua"/>
          <w:color w:val="000000" w:themeColor="text1"/>
        </w:rPr>
        <w:t xml:space="preserve">, Scott JT. Uric acid clearance in patients with gout and normal subjects. </w:t>
      </w:r>
      <w:r w:rsidRPr="00245598">
        <w:rPr>
          <w:rFonts w:ascii="Book Antiqua" w:hAnsi="Book Antiqua"/>
          <w:i/>
          <w:iCs/>
          <w:color w:val="000000" w:themeColor="text1"/>
        </w:rPr>
        <w:t>Ann Rheum Dis</w:t>
      </w:r>
      <w:r w:rsidRPr="00245598">
        <w:rPr>
          <w:rFonts w:ascii="Book Antiqua" w:hAnsi="Book Antiqua"/>
          <w:color w:val="000000" w:themeColor="text1"/>
        </w:rPr>
        <w:t xml:space="preserve"> 1971; </w:t>
      </w:r>
      <w:r w:rsidRPr="00245598">
        <w:rPr>
          <w:rFonts w:ascii="Book Antiqua" w:hAnsi="Book Antiqua"/>
          <w:b/>
          <w:bCs/>
          <w:color w:val="000000" w:themeColor="text1"/>
        </w:rPr>
        <w:t>30</w:t>
      </w:r>
      <w:r w:rsidRPr="00245598">
        <w:rPr>
          <w:rFonts w:ascii="Book Antiqua" w:hAnsi="Book Antiqua"/>
          <w:color w:val="000000" w:themeColor="text1"/>
        </w:rPr>
        <w:t>: 285-289 [PMID: 5090245 DOI: 10.1136/ard.30.3.285]</w:t>
      </w:r>
    </w:p>
    <w:p w14:paraId="68C0E46C" w14:textId="6DB1B98C" w:rsidR="00EA74A7" w:rsidRPr="00245598" w:rsidRDefault="00EA74A7">
      <w:pPr>
        <w:spacing w:line="360" w:lineRule="auto"/>
        <w:jc w:val="both"/>
        <w:rPr>
          <w:rFonts w:ascii="Book Antiqua" w:hAnsi="Book Antiqua"/>
          <w:color w:val="000000" w:themeColor="text1"/>
        </w:rPr>
      </w:pPr>
      <w:r w:rsidRPr="00245598">
        <w:rPr>
          <w:rFonts w:ascii="Book Antiqua" w:hAnsi="Book Antiqua"/>
          <w:color w:val="000000" w:themeColor="text1"/>
        </w:rPr>
        <w:t xml:space="preserve">30 </w:t>
      </w:r>
      <w:proofErr w:type="spellStart"/>
      <w:r w:rsidRPr="00245598">
        <w:rPr>
          <w:rFonts w:ascii="Book Antiqua" w:hAnsi="Book Antiqua"/>
          <w:b/>
          <w:bCs/>
          <w:color w:val="000000" w:themeColor="text1"/>
        </w:rPr>
        <w:t>Viganò</w:t>
      </w:r>
      <w:proofErr w:type="spellEnd"/>
      <w:r w:rsidRPr="00245598">
        <w:rPr>
          <w:rFonts w:ascii="Book Antiqua" w:hAnsi="Book Antiqua"/>
          <w:b/>
          <w:bCs/>
          <w:color w:val="000000" w:themeColor="text1"/>
        </w:rPr>
        <w:t xml:space="preserve"> M,</w:t>
      </w:r>
      <w:r w:rsidRPr="00245598">
        <w:rPr>
          <w:rFonts w:ascii="Book Antiqua" w:hAnsi="Book Antiqua"/>
          <w:color w:val="000000" w:themeColor="text1"/>
        </w:rPr>
        <w:t xml:space="preserve"> </w:t>
      </w:r>
      <w:proofErr w:type="spellStart"/>
      <w:r w:rsidRPr="00245598">
        <w:rPr>
          <w:rFonts w:ascii="Book Antiqua" w:hAnsi="Book Antiqua"/>
          <w:color w:val="000000" w:themeColor="text1"/>
        </w:rPr>
        <w:t>Lampertico</w:t>
      </w:r>
      <w:proofErr w:type="spellEnd"/>
      <w:r w:rsidRPr="00245598">
        <w:rPr>
          <w:rFonts w:ascii="Book Antiqua" w:hAnsi="Book Antiqua"/>
          <w:color w:val="000000" w:themeColor="text1"/>
        </w:rPr>
        <w:t xml:space="preserve"> P, </w:t>
      </w:r>
      <w:proofErr w:type="spellStart"/>
      <w:r w:rsidRPr="00245598">
        <w:rPr>
          <w:rFonts w:ascii="Book Antiqua" w:hAnsi="Book Antiqua"/>
          <w:color w:val="000000" w:themeColor="text1"/>
        </w:rPr>
        <w:t>Mangia</w:t>
      </w:r>
      <w:proofErr w:type="spellEnd"/>
      <w:r w:rsidRPr="00245598">
        <w:rPr>
          <w:rFonts w:ascii="Book Antiqua" w:hAnsi="Book Antiqua"/>
          <w:color w:val="000000" w:themeColor="text1"/>
        </w:rPr>
        <w:t xml:space="preserve"> G, </w:t>
      </w:r>
      <w:proofErr w:type="spellStart"/>
      <w:r w:rsidRPr="00245598">
        <w:rPr>
          <w:rFonts w:ascii="Book Antiqua" w:hAnsi="Book Antiqua"/>
          <w:color w:val="000000" w:themeColor="text1"/>
        </w:rPr>
        <w:t>Soffredini</w:t>
      </w:r>
      <w:proofErr w:type="spellEnd"/>
      <w:r w:rsidRPr="00245598">
        <w:rPr>
          <w:rFonts w:ascii="Book Antiqua" w:hAnsi="Book Antiqua"/>
          <w:color w:val="000000" w:themeColor="text1"/>
        </w:rPr>
        <w:t xml:space="preserve"> R, </w:t>
      </w:r>
      <w:proofErr w:type="spellStart"/>
      <w:r w:rsidRPr="00245598">
        <w:rPr>
          <w:rFonts w:ascii="Book Antiqua" w:hAnsi="Book Antiqua"/>
          <w:color w:val="000000" w:themeColor="text1"/>
        </w:rPr>
        <w:t>Facchetti</w:t>
      </w:r>
      <w:proofErr w:type="spellEnd"/>
      <w:r w:rsidRPr="00245598">
        <w:rPr>
          <w:rFonts w:ascii="Book Antiqua" w:hAnsi="Book Antiqua"/>
          <w:color w:val="000000" w:themeColor="text1"/>
        </w:rPr>
        <w:t xml:space="preserve"> F, </w:t>
      </w:r>
      <w:proofErr w:type="spellStart"/>
      <w:r w:rsidRPr="00245598">
        <w:rPr>
          <w:rFonts w:ascii="Book Antiqua" w:hAnsi="Book Antiqua"/>
          <w:color w:val="000000" w:themeColor="text1"/>
        </w:rPr>
        <w:t>Invernizzi</w:t>
      </w:r>
      <w:proofErr w:type="spellEnd"/>
      <w:r w:rsidRPr="00245598">
        <w:rPr>
          <w:rFonts w:ascii="Book Antiqua" w:hAnsi="Book Antiqua"/>
          <w:color w:val="000000" w:themeColor="text1"/>
        </w:rPr>
        <w:t xml:space="preserve"> F, Colombo M. OC-30 Incidence and clinical consequences of reduced tubular phosphate re-absorption in naïve CHB patients treated with tenofovir: a two-year field study. </w:t>
      </w:r>
      <w:r w:rsidR="00BF3741" w:rsidRPr="00245598">
        <w:rPr>
          <w:rFonts w:ascii="Book Antiqua" w:hAnsi="Book Antiqua"/>
          <w:i/>
          <w:iCs/>
          <w:color w:val="000000" w:themeColor="text1"/>
        </w:rPr>
        <w:t>Dig Liver Dis</w:t>
      </w:r>
      <w:r w:rsidRPr="00245598">
        <w:rPr>
          <w:rFonts w:ascii="Book Antiqua" w:hAnsi="Book Antiqua"/>
          <w:color w:val="000000" w:themeColor="text1"/>
        </w:rPr>
        <w:t xml:space="preserve"> 2013;</w:t>
      </w:r>
      <w:r w:rsidR="00BF3741" w:rsidRPr="00245598">
        <w:rPr>
          <w:rFonts w:ascii="Book Antiqua" w:hAnsi="Book Antiqua"/>
          <w:color w:val="000000" w:themeColor="text1"/>
        </w:rPr>
        <w:t xml:space="preserve"> </w:t>
      </w:r>
      <w:r w:rsidRPr="00245598">
        <w:rPr>
          <w:rFonts w:ascii="Book Antiqua" w:hAnsi="Book Antiqua"/>
          <w:b/>
          <w:bCs/>
          <w:color w:val="000000" w:themeColor="text1"/>
        </w:rPr>
        <w:t>45</w:t>
      </w:r>
      <w:r w:rsidRPr="00245598">
        <w:rPr>
          <w:rFonts w:ascii="Book Antiqua" w:hAnsi="Book Antiqua"/>
          <w:bCs/>
          <w:color w:val="000000" w:themeColor="text1"/>
        </w:rPr>
        <w:t>:</w:t>
      </w:r>
      <w:r w:rsidR="00BF3741" w:rsidRPr="00245598">
        <w:rPr>
          <w:rFonts w:ascii="Book Antiqua" w:hAnsi="Book Antiqua"/>
          <w:color w:val="000000" w:themeColor="text1"/>
        </w:rPr>
        <w:t xml:space="preserve"> </w:t>
      </w:r>
      <w:r w:rsidRPr="00245598">
        <w:rPr>
          <w:rFonts w:ascii="Book Antiqua" w:hAnsi="Book Antiqua"/>
          <w:color w:val="000000" w:themeColor="text1"/>
        </w:rPr>
        <w:t>S10</w:t>
      </w:r>
      <w:r w:rsidR="00CE053D" w:rsidRPr="00245598">
        <w:rPr>
          <w:rFonts w:ascii="Book Antiqua" w:hAnsi="Book Antiqua"/>
          <w:color w:val="000000" w:themeColor="text1"/>
        </w:rPr>
        <w:t>-</w:t>
      </w:r>
      <w:r w:rsidR="00BF3741" w:rsidRPr="00245598">
        <w:rPr>
          <w:rFonts w:ascii="Book Antiqua" w:hAnsi="Book Antiqua"/>
          <w:color w:val="000000" w:themeColor="text1"/>
        </w:rPr>
        <w:t>S1</w:t>
      </w:r>
      <w:r w:rsidRPr="00245598">
        <w:rPr>
          <w:rFonts w:ascii="Book Antiqua" w:hAnsi="Book Antiqua"/>
          <w:color w:val="000000" w:themeColor="text1"/>
        </w:rPr>
        <w:t>1 [DOI: 10.1016/S1590-8658(13)60031-6]</w:t>
      </w:r>
    </w:p>
    <w:p w14:paraId="4B07FE0B" w14:textId="77777777" w:rsidR="00EA74A7" w:rsidRPr="00245598" w:rsidRDefault="00EA74A7">
      <w:pPr>
        <w:spacing w:line="360" w:lineRule="auto"/>
        <w:jc w:val="both"/>
        <w:rPr>
          <w:rFonts w:ascii="Book Antiqua" w:hAnsi="Book Antiqua"/>
          <w:color w:val="000000" w:themeColor="text1"/>
        </w:rPr>
      </w:pPr>
      <w:r w:rsidRPr="00245598">
        <w:rPr>
          <w:rFonts w:ascii="Book Antiqua" w:hAnsi="Book Antiqua"/>
          <w:color w:val="000000" w:themeColor="text1"/>
        </w:rPr>
        <w:lastRenderedPageBreak/>
        <w:t xml:space="preserve">31 </w:t>
      </w:r>
      <w:r w:rsidRPr="00245598">
        <w:rPr>
          <w:rFonts w:ascii="Book Antiqua" w:hAnsi="Book Antiqua"/>
          <w:b/>
          <w:bCs/>
          <w:color w:val="000000" w:themeColor="text1"/>
        </w:rPr>
        <w:t>Jung YK</w:t>
      </w:r>
      <w:r w:rsidRPr="00245598">
        <w:rPr>
          <w:rFonts w:ascii="Book Antiqua" w:hAnsi="Book Antiqua"/>
          <w:color w:val="000000" w:themeColor="text1"/>
        </w:rPr>
        <w:t xml:space="preserve">, Yeon JE, Choi JH, Kim CH, Jung ES, Kim JH, Park JJ, Kim JS, </w:t>
      </w:r>
      <w:proofErr w:type="spellStart"/>
      <w:r w:rsidRPr="00245598">
        <w:rPr>
          <w:rFonts w:ascii="Book Antiqua" w:hAnsi="Book Antiqua"/>
          <w:color w:val="000000" w:themeColor="text1"/>
        </w:rPr>
        <w:t>Bak</w:t>
      </w:r>
      <w:proofErr w:type="spellEnd"/>
      <w:r w:rsidRPr="00245598">
        <w:rPr>
          <w:rFonts w:ascii="Book Antiqua" w:hAnsi="Book Antiqua"/>
          <w:color w:val="000000" w:themeColor="text1"/>
        </w:rPr>
        <w:t xml:space="preserve"> YT, Byun KS. Fanconi's Syndrome Associated with Prolonged Adefovir </w:t>
      </w:r>
      <w:proofErr w:type="spellStart"/>
      <w:r w:rsidRPr="00245598">
        <w:rPr>
          <w:rFonts w:ascii="Book Antiqua" w:hAnsi="Book Antiqua"/>
          <w:color w:val="000000" w:themeColor="text1"/>
        </w:rPr>
        <w:t>Dipivoxil</w:t>
      </w:r>
      <w:proofErr w:type="spellEnd"/>
      <w:r w:rsidRPr="00245598">
        <w:rPr>
          <w:rFonts w:ascii="Book Antiqua" w:hAnsi="Book Antiqua"/>
          <w:color w:val="000000" w:themeColor="text1"/>
        </w:rPr>
        <w:t xml:space="preserve"> Therapy in a Hepatitis B Virus Patient. </w:t>
      </w:r>
      <w:r w:rsidRPr="00245598">
        <w:rPr>
          <w:rFonts w:ascii="Book Antiqua" w:hAnsi="Book Antiqua"/>
          <w:i/>
          <w:iCs/>
          <w:color w:val="000000" w:themeColor="text1"/>
        </w:rPr>
        <w:t>Gut Liver</w:t>
      </w:r>
      <w:r w:rsidRPr="00245598">
        <w:rPr>
          <w:rFonts w:ascii="Book Antiqua" w:hAnsi="Book Antiqua"/>
          <w:color w:val="000000" w:themeColor="text1"/>
        </w:rPr>
        <w:t xml:space="preserve"> 2010; </w:t>
      </w:r>
      <w:r w:rsidRPr="00245598">
        <w:rPr>
          <w:rFonts w:ascii="Book Antiqua" w:hAnsi="Book Antiqua"/>
          <w:b/>
          <w:bCs/>
          <w:color w:val="000000" w:themeColor="text1"/>
        </w:rPr>
        <w:t>4</w:t>
      </w:r>
      <w:r w:rsidRPr="00245598">
        <w:rPr>
          <w:rFonts w:ascii="Book Antiqua" w:hAnsi="Book Antiqua"/>
          <w:color w:val="000000" w:themeColor="text1"/>
        </w:rPr>
        <w:t>: 389-393 [PMID: 20981219 DOI: 10.5009/gnl.2010.4.3.389]</w:t>
      </w:r>
    </w:p>
    <w:p w14:paraId="0CA9BAAD" w14:textId="77777777" w:rsidR="00EA74A7" w:rsidRPr="00245598" w:rsidRDefault="00EA74A7">
      <w:pPr>
        <w:spacing w:line="360" w:lineRule="auto"/>
        <w:jc w:val="both"/>
        <w:rPr>
          <w:rFonts w:ascii="Book Antiqua" w:hAnsi="Book Antiqua"/>
          <w:color w:val="000000" w:themeColor="text1"/>
        </w:rPr>
      </w:pPr>
      <w:r w:rsidRPr="00245598">
        <w:rPr>
          <w:rFonts w:ascii="Book Antiqua" w:hAnsi="Book Antiqua"/>
          <w:color w:val="000000" w:themeColor="text1"/>
        </w:rPr>
        <w:t xml:space="preserve">32 </w:t>
      </w:r>
      <w:r w:rsidRPr="00245598">
        <w:rPr>
          <w:rFonts w:ascii="Book Antiqua" w:hAnsi="Book Antiqua"/>
          <w:b/>
          <w:bCs/>
          <w:color w:val="000000" w:themeColor="text1"/>
        </w:rPr>
        <w:t>Gracey DM</w:t>
      </w:r>
      <w:r w:rsidRPr="00245598">
        <w:rPr>
          <w:rFonts w:ascii="Book Antiqua" w:hAnsi="Book Antiqua"/>
          <w:color w:val="000000" w:themeColor="text1"/>
        </w:rPr>
        <w:t xml:space="preserve">, Snelling P, McKenzie P, Strasser SI. Tenofovir-associated Fanconi syndrome in patients with chronic hepatitis B monoinfection. </w:t>
      </w:r>
      <w:proofErr w:type="spellStart"/>
      <w:r w:rsidRPr="00245598">
        <w:rPr>
          <w:rFonts w:ascii="Book Antiqua" w:hAnsi="Book Antiqua"/>
          <w:i/>
          <w:iCs/>
          <w:color w:val="000000" w:themeColor="text1"/>
        </w:rPr>
        <w:t>Antivir</w:t>
      </w:r>
      <w:proofErr w:type="spellEnd"/>
      <w:r w:rsidRPr="00245598">
        <w:rPr>
          <w:rFonts w:ascii="Book Antiqua" w:hAnsi="Book Antiqua"/>
          <w:i/>
          <w:iCs/>
          <w:color w:val="000000" w:themeColor="text1"/>
        </w:rPr>
        <w:t xml:space="preserve"> </w:t>
      </w:r>
      <w:proofErr w:type="spellStart"/>
      <w:r w:rsidRPr="00245598">
        <w:rPr>
          <w:rFonts w:ascii="Book Antiqua" w:hAnsi="Book Antiqua"/>
          <w:i/>
          <w:iCs/>
          <w:color w:val="000000" w:themeColor="text1"/>
        </w:rPr>
        <w:t>Ther</w:t>
      </w:r>
      <w:proofErr w:type="spellEnd"/>
      <w:r w:rsidRPr="00245598">
        <w:rPr>
          <w:rFonts w:ascii="Book Antiqua" w:hAnsi="Book Antiqua"/>
          <w:color w:val="000000" w:themeColor="text1"/>
        </w:rPr>
        <w:t xml:space="preserve"> 2013; </w:t>
      </w:r>
      <w:r w:rsidRPr="00245598">
        <w:rPr>
          <w:rFonts w:ascii="Book Antiqua" w:hAnsi="Book Antiqua"/>
          <w:b/>
          <w:bCs/>
          <w:color w:val="000000" w:themeColor="text1"/>
        </w:rPr>
        <w:t>18</w:t>
      </w:r>
      <w:r w:rsidRPr="00245598">
        <w:rPr>
          <w:rFonts w:ascii="Book Antiqua" w:hAnsi="Book Antiqua"/>
          <w:color w:val="000000" w:themeColor="text1"/>
        </w:rPr>
        <w:t>: 945-948 [PMID: 23839869 DOI: 10.3851/IMP2649]</w:t>
      </w:r>
    </w:p>
    <w:p w14:paraId="666B27AE" w14:textId="6288AAF2" w:rsidR="00EA74A7" w:rsidRPr="00245598" w:rsidRDefault="00EA74A7">
      <w:pPr>
        <w:spacing w:line="360" w:lineRule="auto"/>
        <w:jc w:val="both"/>
        <w:rPr>
          <w:rFonts w:ascii="Book Antiqua" w:hAnsi="Book Antiqua"/>
          <w:color w:val="000000" w:themeColor="text1"/>
        </w:rPr>
      </w:pPr>
      <w:r w:rsidRPr="00245598">
        <w:rPr>
          <w:rFonts w:ascii="Book Antiqua" w:hAnsi="Book Antiqua"/>
          <w:color w:val="000000" w:themeColor="text1"/>
        </w:rPr>
        <w:t xml:space="preserve">33 </w:t>
      </w:r>
      <w:r w:rsidRPr="00245598">
        <w:rPr>
          <w:rFonts w:ascii="Book Antiqua" w:hAnsi="Book Antiqua"/>
          <w:b/>
          <w:bCs/>
          <w:color w:val="000000" w:themeColor="text1"/>
        </w:rPr>
        <w:t>Conti F</w:t>
      </w:r>
      <w:r w:rsidRPr="00245598">
        <w:rPr>
          <w:rFonts w:ascii="Book Antiqua" w:hAnsi="Book Antiqua"/>
          <w:color w:val="000000" w:themeColor="text1"/>
        </w:rPr>
        <w:t xml:space="preserve">, Vitale G, </w:t>
      </w:r>
      <w:proofErr w:type="spellStart"/>
      <w:r w:rsidRPr="00245598">
        <w:rPr>
          <w:rFonts w:ascii="Book Antiqua" w:hAnsi="Book Antiqua"/>
          <w:color w:val="000000" w:themeColor="text1"/>
        </w:rPr>
        <w:t>Cursaro</w:t>
      </w:r>
      <w:proofErr w:type="spellEnd"/>
      <w:r w:rsidRPr="00245598">
        <w:rPr>
          <w:rFonts w:ascii="Book Antiqua" w:hAnsi="Book Antiqua"/>
          <w:color w:val="000000" w:themeColor="text1"/>
        </w:rPr>
        <w:t xml:space="preserve"> C, </w:t>
      </w:r>
      <w:proofErr w:type="spellStart"/>
      <w:r w:rsidRPr="00245598">
        <w:rPr>
          <w:rFonts w:ascii="Book Antiqua" w:hAnsi="Book Antiqua"/>
          <w:color w:val="000000" w:themeColor="text1"/>
        </w:rPr>
        <w:t>Bernardi</w:t>
      </w:r>
      <w:proofErr w:type="spellEnd"/>
      <w:r w:rsidRPr="00245598">
        <w:rPr>
          <w:rFonts w:ascii="Book Antiqua" w:hAnsi="Book Antiqua"/>
          <w:color w:val="000000" w:themeColor="text1"/>
        </w:rPr>
        <w:t xml:space="preserve"> M, </w:t>
      </w:r>
      <w:proofErr w:type="spellStart"/>
      <w:r w:rsidRPr="00245598">
        <w:rPr>
          <w:rFonts w:ascii="Book Antiqua" w:hAnsi="Book Antiqua"/>
          <w:color w:val="000000" w:themeColor="text1"/>
        </w:rPr>
        <w:t>Andreone</w:t>
      </w:r>
      <w:proofErr w:type="spellEnd"/>
      <w:r w:rsidRPr="00245598">
        <w:rPr>
          <w:rFonts w:ascii="Book Antiqua" w:hAnsi="Book Antiqua"/>
          <w:color w:val="000000" w:themeColor="text1"/>
        </w:rPr>
        <w:t xml:space="preserve"> P. Tenofovir-induced Fanconi syndrome in a patient with chronic hepatitis B monoinfection. </w:t>
      </w:r>
      <w:r w:rsidRPr="00245598">
        <w:rPr>
          <w:rFonts w:ascii="Book Antiqua" w:hAnsi="Book Antiqua"/>
          <w:i/>
          <w:iCs/>
          <w:color w:val="000000" w:themeColor="text1"/>
        </w:rPr>
        <w:t>Ann Hepatol</w:t>
      </w:r>
      <w:r w:rsidRPr="00245598">
        <w:rPr>
          <w:rFonts w:ascii="Book Antiqua" w:hAnsi="Book Antiqua"/>
          <w:color w:val="000000" w:themeColor="text1"/>
        </w:rPr>
        <w:t xml:space="preserve"> 2016; </w:t>
      </w:r>
      <w:r w:rsidRPr="00245598">
        <w:rPr>
          <w:rFonts w:ascii="Book Antiqua" w:hAnsi="Book Antiqua"/>
          <w:b/>
          <w:bCs/>
          <w:color w:val="000000" w:themeColor="text1"/>
        </w:rPr>
        <w:t>15</w:t>
      </w:r>
      <w:r w:rsidRPr="00245598">
        <w:rPr>
          <w:rFonts w:ascii="Book Antiqua" w:hAnsi="Book Antiqua"/>
          <w:color w:val="000000" w:themeColor="text1"/>
        </w:rPr>
        <w:t>: 273-276 [PMID: 26845606 DOI: 10.5604/16652681.1193725]</w:t>
      </w:r>
    </w:p>
    <w:p w14:paraId="37DE3E30" w14:textId="77777777" w:rsidR="00EA74A7" w:rsidRPr="00245598" w:rsidRDefault="00EA74A7">
      <w:pPr>
        <w:spacing w:line="360" w:lineRule="auto"/>
        <w:jc w:val="both"/>
        <w:rPr>
          <w:rFonts w:ascii="Book Antiqua" w:hAnsi="Book Antiqua"/>
          <w:color w:val="000000" w:themeColor="text1"/>
        </w:rPr>
      </w:pPr>
      <w:r w:rsidRPr="00245598">
        <w:rPr>
          <w:rFonts w:ascii="Book Antiqua" w:hAnsi="Book Antiqua"/>
          <w:color w:val="000000" w:themeColor="text1"/>
        </w:rPr>
        <w:t xml:space="preserve">34 </w:t>
      </w:r>
      <w:r w:rsidRPr="00245598">
        <w:rPr>
          <w:rFonts w:ascii="Book Antiqua" w:hAnsi="Book Antiqua"/>
          <w:b/>
          <w:bCs/>
          <w:color w:val="000000" w:themeColor="text1"/>
        </w:rPr>
        <w:t>Maggi P</w:t>
      </w:r>
      <w:r w:rsidRPr="00245598">
        <w:rPr>
          <w:rFonts w:ascii="Book Antiqua" w:hAnsi="Book Antiqua"/>
          <w:color w:val="000000" w:themeColor="text1"/>
        </w:rPr>
        <w:t xml:space="preserve">, </w:t>
      </w:r>
      <w:proofErr w:type="spellStart"/>
      <w:r w:rsidRPr="00245598">
        <w:rPr>
          <w:rFonts w:ascii="Book Antiqua" w:hAnsi="Book Antiqua"/>
          <w:color w:val="000000" w:themeColor="text1"/>
        </w:rPr>
        <w:t>Montinaro</w:t>
      </w:r>
      <w:proofErr w:type="spellEnd"/>
      <w:r w:rsidRPr="00245598">
        <w:rPr>
          <w:rFonts w:ascii="Book Antiqua" w:hAnsi="Book Antiqua"/>
          <w:color w:val="000000" w:themeColor="text1"/>
        </w:rPr>
        <w:t xml:space="preserve"> V, Leone A, Fasano M, Volpe A, </w:t>
      </w:r>
      <w:proofErr w:type="spellStart"/>
      <w:r w:rsidRPr="00245598">
        <w:rPr>
          <w:rFonts w:ascii="Book Antiqua" w:hAnsi="Book Antiqua"/>
          <w:color w:val="000000" w:themeColor="text1"/>
        </w:rPr>
        <w:t>Bellacosa</w:t>
      </w:r>
      <w:proofErr w:type="spellEnd"/>
      <w:r w:rsidRPr="00245598">
        <w:rPr>
          <w:rFonts w:ascii="Book Antiqua" w:hAnsi="Book Antiqua"/>
          <w:color w:val="000000" w:themeColor="text1"/>
        </w:rPr>
        <w:t xml:space="preserve"> C, </w:t>
      </w:r>
      <w:proofErr w:type="spellStart"/>
      <w:r w:rsidRPr="00245598">
        <w:rPr>
          <w:rFonts w:ascii="Book Antiqua" w:hAnsi="Book Antiqua"/>
          <w:color w:val="000000" w:themeColor="text1"/>
        </w:rPr>
        <w:t>Grattagliano</w:t>
      </w:r>
      <w:proofErr w:type="spellEnd"/>
      <w:r w:rsidRPr="00245598">
        <w:rPr>
          <w:rFonts w:ascii="Book Antiqua" w:hAnsi="Book Antiqua"/>
          <w:color w:val="000000" w:themeColor="text1"/>
        </w:rPr>
        <w:t xml:space="preserve"> V, </w:t>
      </w:r>
      <w:proofErr w:type="spellStart"/>
      <w:r w:rsidRPr="00245598">
        <w:rPr>
          <w:rFonts w:ascii="Book Antiqua" w:hAnsi="Book Antiqua"/>
          <w:color w:val="000000" w:themeColor="text1"/>
        </w:rPr>
        <w:t>Coladonato</w:t>
      </w:r>
      <w:proofErr w:type="spellEnd"/>
      <w:r w:rsidRPr="00245598">
        <w:rPr>
          <w:rFonts w:ascii="Book Antiqua" w:hAnsi="Book Antiqua"/>
          <w:color w:val="000000" w:themeColor="text1"/>
        </w:rPr>
        <w:t xml:space="preserve"> L, </w:t>
      </w:r>
      <w:proofErr w:type="spellStart"/>
      <w:r w:rsidRPr="00245598">
        <w:rPr>
          <w:rFonts w:ascii="Book Antiqua" w:hAnsi="Book Antiqua"/>
          <w:color w:val="000000" w:themeColor="text1"/>
        </w:rPr>
        <w:t>Lapadula</w:t>
      </w:r>
      <w:proofErr w:type="spellEnd"/>
      <w:r w:rsidRPr="00245598">
        <w:rPr>
          <w:rFonts w:ascii="Book Antiqua" w:hAnsi="Book Antiqua"/>
          <w:color w:val="000000" w:themeColor="text1"/>
        </w:rPr>
        <w:t xml:space="preserve"> G, </w:t>
      </w:r>
      <w:proofErr w:type="spellStart"/>
      <w:r w:rsidRPr="00245598">
        <w:rPr>
          <w:rFonts w:ascii="Book Antiqua" w:hAnsi="Book Antiqua"/>
          <w:color w:val="000000" w:themeColor="text1"/>
        </w:rPr>
        <w:t>Santantonio</w:t>
      </w:r>
      <w:proofErr w:type="spellEnd"/>
      <w:r w:rsidRPr="00245598">
        <w:rPr>
          <w:rFonts w:ascii="Book Antiqua" w:hAnsi="Book Antiqua"/>
          <w:color w:val="000000" w:themeColor="text1"/>
        </w:rPr>
        <w:t xml:space="preserve"> T, Angarano G. Bone and kidney toxicity induced by nucleotide analogues in patients affected by HBV-related chronic hepatitis: a longitudinal study. </w:t>
      </w:r>
      <w:r w:rsidRPr="00245598">
        <w:rPr>
          <w:rFonts w:ascii="Book Antiqua" w:hAnsi="Book Antiqua"/>
          <w:i/>
          <w:iCs/>
          <w:color w:val="000000" w:themeColor="text1"/>
        </w:rPr>
        <w:t xml:space="preserve">J </w:t>
      </w:r>
      <w:proofErr w:type="spellStart"/>
      <w:r w:rsidRPr="00245598">
        <w:rPr>
          <w:rFonts w:ascii="Book Antiqua" w:hAnsi="Book Antiqua"/>
          <w:i/>
          <w:iCs/>
          <w:color w:val="000000" w:themeColor="text1"/>
        </w:rPr>
        <w:t>Antimicrob</w:t>
      </w:r>
      <w:proofErr w:type="spellEnd"/>
      <w:r w:rsidRPr="00245598">
        <w:rPr>
          <w:rFonts w:ascii="Book Antiqua" w:hAnsi="Book Antiqua"/>
          <w:i/>
          <w:iCs/>
          <w:color w:val="000000" w:themeColor="text1"/>
        </w:rPr>
        <w:t xml:space="preserve"> Chemother</w:t>
      </w:r>
      <w:r w:rsidRPr="00245598">
        <w:rPr>
          <w:rFonts w:ascii="Book Antiqua" w:hAnsi="Book Antiqua"/>
          <w:color w:val="000000" w:themeColor="text1"/>
        </w:rPr>
        <w:t xml:space="preserve"> 2015; </w:t>
      </w:r>
      <w:r w:rsidRPr="00245598">
        <w:rPr>
          <w:rFonts w:ascii="Book Antiqua" w:hAnsi="Book Antiqua"/>
          <w:b/>
          <w:bCs/>
          <w:color w:val="000000" w:themeColor="text1"/>
        </w:rPr>
        <w:t>70</w:t>
      </w:r>
      <w:r w:rsidRPr="00245598">
        <w:rPr>
          <w:rFonts w:ascii="Book Antiqua" w:hAnsi="Book Antiqua"/>
          <w:color w:val="000000" w:themeColor="text1"/>
        </w:rPr>
        <w:t>: 1150-1154 [PMID: 25525197 DOI: 10.1093/</w:t>
      </w:r>
      <w:proofErr w:type="spellStart"/>
      <w:r w:rsidRPr="00245598">
        <w:rPr>
          <w:rFonts w:ascii="Book Antiqua" w:hAnsi="Book Antiqua"/>
          <w:color w:val="000000" w:themeColor="text1"/>
        </w:rPr>
        <w:t>jac</w:t>
      </w:r>
      <w:proofErr w:type="spellEnd"/>
      <w:r w:rsidRPr="00245598">
        <w:rPr>
          <w:rFonts w:ascii="Book Antiqua" w:hAnsi="Book Antiqua"/>
          <w:color w:val="000000" w:themeColor="text1"/>
        </w:rPr>
        <w:t>/dku502]</w:t>
      </w:r>
    </w:p>
    <w:p w14:paraId="64049A91" w14:textId="77777777" w:rsidR="00EA74A7" w:rsidRPr="00245598" w:rsidRDefault="00EA74A7">
      <w:pPr>
        <w:spacing w:line="360" w:lineRule="auto"/>
        <w:jc w:val="both"/>
        <w:rPr>
          <w:rFonts w:ascii="Book Antiqua" w:hAnsi="Book Antiqua"/>
          <w:color w:val="000000" w:themeColor="text1"/>
        </w:rPr>
      </w:pPr>
      <w:r w:rsidRPr="00245598">
        <w:rPr>
          <w:rFonts w:ascii="Book Antiqua" w:hAnsi="Book Antiqua"/>
          <w:color w:val="000000" w:themeColor="text1"/>
        </w:rPr>
        <w:t xml:space="preserve">35 </w:t>
      </w:r>
      <w:proofErr w:type="spellStart"/>
      <w:r w:rsidRPr="00245598">
        <w:rPr>
          <w:rFonts w:ascii="Book Antiqua" w:hAnsi="Book Antiqua"/>
          <w:b/>
          <w:bCs/>
          <w:color w:val="000000" w:themeColor="text1"/>
        </w:rPr>
        <w:t>Hoan</w:t>
      </w:r>
      <w:proofErr w:type="spellEnd"/>
      <w:r w:rsidRPr="00245598">
        <w:rPr>
          <w:rFonts w:ascii="Book Antiqua" w:hAnsi="Book Antiqua"/>
          <w:b/>
          <w:bCs/>
          <w:color w:val="000000" w:themeColor="text1"/>
        </w:rPr>
        <w:t xml:space="preserve"> NX</w:t>
      </w:r>
      <w:r w:rsidRPr="00245598">
        <w:rPr>
          <w:rFonts w:ascii="Book Antiqua" w:hAnsi="Book Antiqua"/>
          <w:color w:val="000000" w:themeColor="text1"/>
        </w:rPr>
        <w:t xml:space="preserve">, Tong HV, Song LH, Meyer CG, </w:t>
      </w:r>
      <w:proofErr w:type="spellStart"/>
      <w:r w:rsidRPr="00245598">
        <w:rPr>
          <w:rFonts w:ascii="Book Antiqua" w:hAnsi="Book Antiqua"/>
          <w:color w:val="000000" w:themeColor="text1"/>
        </w:rPr>
        <w:t>Velavan</w:t>
      </w:r>
      <w:proofErr w:type="spellEnd"/>
      <w:r w:rsidRPr="00245598">
        <w:rPr>
          <w:rFonts w:ascii="Book Antiqua" w:hAnsi="Book Antiqua"/>
          <w:color w:val="000000" w:themeColor="text1"/>
        </w:rPr>
        <w:t xml:space="preserve"> TP. Vitamin D deficiency and hepatitis viruses-associated liver diseases: A literature review. </w:t>
      </w:r>
      <w:r w:rsidRPr="00245598">
        <w:rPr>
          <w:rFonts w:ascii="Book Antiqua" w:hAnsi="Book Antiqua"/>
          <w:i/>
          <w:iCs/>
          <w:color w:val="000000" w:themeColor="text1"/>
        </w:rPr>
        <w:t>World J Gastroenterol</w:t>
      </w:r>
      <w:r w:rsidRPr="00245598">
        <w:rPr>
          <w:rFonts w:ascii="Book Antiqua" w:hAnsi="Book Antiqua"/>
          <w:color w:val="000000" w:themeColor="text1"/>
        </w:rPr>
        <w:t xml:space="preserve"> 2018; </w:t>
      </w:r>
      <w:r w:rsidRPr="00245598">
        <w:rPr>
          <w:rFonts w:ascii="Book Antiqua" w:hAnsi="Book Antiqua"/>
          <w:b/>
          <w:bCs/>
          <w:color w:val="000000" w:themeColor="text1"/>
        </w:rPr>
        <w:t>24</w:t>
      </w:r>
      <w:r w:rsidRPr="00245598">
        <w:rPr>
          <w:rFonts w:ascii="Book Antiqua" w:hAnsi="Book Antiqua"/>
          <w:color w:val="000000" w:themeColor="text1"/>
        </w:rPr>
        <w:t>: 445-460 [PMID: 29398866 DOI: 10.3748/</w:t>
      </w:r>
      <w:proofErr w:type="gramStart"/>
      <w:r w:rsidRPr="00245598">
        <w:rPr>
          <w:rFonts w:ascii="Book Antiqua" w:hAnsi="Book Antiqua"/>
          <w:color w:val="000000" w:themeColor="text1"/>
        </w:rPr>
        <w:t>wjg.v24.i</w:t>
      </w:r>
      <w:proofErr w:type="gramEnd"/>
      <w:r w:rsidRPr="00245598">
        <w:rPr>
          <w:rFonts w:ascii="Book Antiqua" w:hAnsi="Book Antiqua"/>
          <w:color w:val="000000" w:themeColor="text1"/>
        </w:rPr>
        <w:t>4.445]</w:t>
      </w:r>
    </w:p>
    <w:p w14:paraId="1FAA926E" w14:textId="77777777" w:rsidR="00EA74A7" w:rsidRPr="00245598" w:rsidRDefault="00EA74A7">
      <w:pPr>
        <w:spacing w:line="360" w:lineRule="auto"/>
        <w:jc w:val="both"/>
        <w:rPr>
          <w:rFonts w:ascii="Book Antiqua" w:hAnsi="Book Antiqua"/>
          <w:color w:val="000000" w:themeColor="text1"/>
        </w:rPr>
      </w:pPr>
      <w:r w:rsidRPr="00245598">
        <w:rPr>
          <w:rFonts w:ascii="Book Antiqua" w:hAnsi="Book Antiqua"/>
          <w:color w:val="000000" w:themeColor="text1"/>
        </w:rPr>
        <w:t xml:space="preserve">36 </w:t>
      </w:r>
      <w:proofErr w:type="spellStart"/>
      <w:r w:rsidRPr="00245598">
        <w:rPr>
          <w:rFonts w:ascii="Book Antiqua" w:hAnsi="Book Antiqua"/>
          <w:b/>
          <w:bCs/>
          <w:color w:val="000000" w:themeColor="text1"/>
        </w:rPr>
        <w:t>Georgaki</w:t>
      </w:r>
      <w:proofErr w:type="spellEnd"/>
      <w:r w:rsidRPr="00245598">
        <w:rPr>
          <w:rFonts w:ascii="Book Antiqua" w:hAnsi="Book Antiqua"/>
          <w:b/>
          <w:bCs/>
          <w:color w:val="000000" w:themeColor="text1"/>
        </w:rPr>
        <w:t xml:space="preserve"> H</w:t>
      </w:r>
      <w:r w:rsidRPr="00245598">
        <w:rPr>
          <w:rFonts w:ascii="Book Antiqua" w:hAnsi="Book Antiqua"/>
          <w:color w:val="000000" w:themeColor="text1"/>
        </w:rPr>
        <w:t xml:space="preserve">, </w:t>
      </w:r>
      <w:proofErr w:type="spellStart"/>
      <w:r w:rsidRPr="00245598">
        <w:rPr>
          <w:rFonts w:ascii="Book Antiqua" w:hAnsi="Book Antiqua"/>
          <w:color w:val="000000" w:themeColor="text1"/>
        </w:rPr>
        <w:t>Puschett</w:t>
      </w:r>
      <w:proofErr w:type="spellEnd"/>
      <w:r w:rsidRPr="00245598">
        <w:rPr>
          <w:rFonts w:ascii="Book Antiqua" w:hAnsi="Book Antiqua"/>
          <w:color w:val="000000" w:themeColor="text1"/>
        </w:rPr>
        <w:t xml:space="preserve"> JB. Influence of vitamin D status and chronic administration on the renal tubular effects of 1,25-dihydroxy vitamin D3. </w:t>
      </w:r>
      <w:r w:rsidRPr="00245598">
        <w:rPr>
          <w:rFonts w:ascii="Book Antiqua" w:hAnsi="Book Antiqua"/>
          <w:i/>
          <w:iCs/>
          <w:color w:val="000000" w:themeColor="text1"/>
        </w:rPr>
        <w:t>Proc Soc Exp Biol Med</w:t>
      </w:r>
      <w:r w:rsidRPr="00245598">
        <w:rPr>
          <w:rFonts w:ascii="Book Antiqua" w:hAnsi="Book Antiqua"/>
          <w:color w:val="000000" w:themeColor="text1"/>
        </w:rPr>
        <w:t xml:space="preserve"> 1983; </w:t>
      </w:r>
      <w:r w:rsidRPr="00245598">
        <w:rPr>
          <w:rFonts w:ascii="Book Antiqua" w:hAnsi="Book Antiqua"/>
          <w:b/>
          <w:bCs/>
          <w:color w:val="000000" w:themeColor="text1"/>
        </w:rPr>
        <w:t>174</w:t>
      </w:r>
      <w:r w:rsidRPr="00245598">
        <w:rPr>
          <w:rFonts w:ascii="Book Antiqua" w:hAnsi="Book Antiqua"/>
          <w:color w:val="000000" w:themeColor="text1"/>
        </w:rPr>
        <w:t>: 86-92 [PMID: 6688877 DOI: 10.3181/00379727-174-41708]</w:t>
      </w:r>
    </w:p>
    <w:p w14:paraId="6DC0530F" w14:textId="77777777" w:rsidR="00EA74A7" w:rsidRPr="00245598" w:rsidRDefault="00EA74A7">
      <w:pPr>
        <w:spacing w:line="360" w:lineRule="auto"/>
        <w:jc w:val="both"/>
        <w:rPr>
          <w:rFonts w:ascii="Book Antiqua" w:hAnsi="Book Antiqua"/>
          <w:color w:val="000000" w:themeColor="text1"/>
        </w:rPr>
      </w:pPr>
      <w:r w:rsidRPr="00245598">
        <w:rPr>
          <w:rFonts w:ascii="Book Antiqua" w:hAnsi="Book Antiqua"/>
          <w:color w:val="000000" w:themeColor="text1"/>
        </w:rPr>
        <w:t xml:space="preserve">37 </w:t>
      </w:r>
      <w:r w:rsidRPr="00245598">
        <w:rPr>
          <w:rFonts w:ascii="Book Antiqua" w:hAnsi="Book Antiqua"/>
          <w:b/>
          <w:bCs/>
          <w:color w:val="000000" w:themeColor="text1"/>
        </w:rPr>
        <w:t>Rodríguez-</w:t>
      </w:r>
      <w:proofErr w:type="spellStart"/>
      <w:r w:rsidRPr="00245598">
        <w:rPr>
          <w:rFonts w:ascii="Book Antiqua" w:hAnsi="Book Antiqua"/>
          <w:b/>
          <w:bCs/>
          <w:color w:val="000000" w:themeColor="text1"/>
        </w:rPr>
        <w:t>Nóvoa</w:t>
      </w:r>
      <w:proofErr w:type="spellEnd"/>
      <w:r w:rsidRPr="00245598">
        <w:rPr>
          <w:rFonts w:ascii="Book Antiqua" w:hAnsi="Book Antiqua"/>
          <w:b/>
          <w:bCs/>
          <w:color w:val="000000" w:themeColor="text1"/>
        </w:rPr>
        <w:t xml:space="preserve"> S</w:t>
      </w:r>
      <w:r w:rsidRPr="00245598">
        <w:rPr>
          <w:rFonts w:ascii="Book Antiqua" w:hAnsi="Book Antiqua"/>
          <w:color w:val="000000" w:themeColor="text1"/>
        </w:rPr>
        <w:t xml:space="preserve">, </w:t>
      </w:r>
      <w:proofErr w:type="spellStart"/>
      <w:r w:rsidRPr="00245598">
        <w:rPr>
          <w:rFonts w:ascii="Book Antiqua" w:hAnsi="Book Antiqua"/>
          <w:color w:val="000000" w:themeColor="text1"/>
        </w:rPr>
        <w:t>Labarga</w:t>
      </w:r>
      <w:proofErr w:type="spellEnd"/>
      <w:r w:rsidRPr="00245598">
        <w:rPr>
          <w:rFonts w:ascii="Book Antiqua" w:hAnsi="Book Antiqua"/>
          <w:color w:val="000000" w:themeColor="text1"/>
        </w:rPr>
        <w:t xml:space="preserve"> P, </w:t>
      </w:r>
      <w:proofErr w:type="spellStart"/>
      <w:r w:rsidRPr="00245598">
        <w:rPr>
          <w:rFonts w:ascii="Book Antiqua" w:hAnsi="Book Antiqua"/>
          <w:color w:val="000000" w:themeColor="text1"/>
        </w:rPr>
        <w:t>D'avolio</w:t>
      </w:r>
      <w:proofErr w:type="spellEnd"/>
      <w:r w:rsidRPr="00245598">
        <w:rPr>
          <w:rFonts w:ascii="Book Antiqua" w:hAnsi="Book Antiqua"/>
          <w:color w:val="000000" w:themeColor="text1"/>
        </w:rPr>
        <w:t xml:space="preserve"> A, Barreiro P, </w:t>
      </w:r>
      <w:proofErr w:type="spellStart"/>
      <w:r w:rsidRPr="00245598">
        <w:rPr>
          <w:rFonts w:ascii="Book Antiqua" w:hAnsi="Book Antiqua"/>
          <w:color w:val="000000" w:themeColor="text1"/>
        </w:rPr>
        <w:t>Albalate</w:t>
      </w:r>
      <w:proofErr w:type="spellEnd"/>
      <w:r w:rsidRPr="00245598">
        <w:rPr>
          <w:rFonts w:ascii="Book Antiqua" w:hAnsi="Book Antiqua"/>
          <w:color w:val="000000" w:themeColor="text1"/>
        </w:rPr>
        <w:t xml:space="preserve"> M, </w:t>
      </w:r>
      <w:proofErr w:type="spellStart"/>
      <w:r w:rsidRPr="00245598">
        <w:rPr>
          <w:rFonts w:ascii="Book Antiqua" w:hAnsi="Book Antiqua"/>
          <w:color w:val="000000" w:themeColor="text1"/>
        </w:rPr>
        <w:t>Vispo</w:t>
      </w:r>
      <w:proofErr w:type="spellEnd"/>
      <w:r w:rsidRPr="00245598">
        <w:rPr>
          <w:rFonts w:ascii="Book Antiqua" w:hAnsi="Book Antiqua"/>
          <w:color w:val="000000" w:themeColor="text1"/>
        </w:rPr>
        <w:t xml:space="preserve"> E, Solera C, </w:t>
      </w:r>
      <w:proofErr w:type="spellStart"/>
      <w:r w:rsidRPr="00245598">
        <w:rPr>
          <w:rFonts w:ascii="Book Antiqua" w:hAnsi="Book Antiqua"/>
          <w:color w:val="000000" w:themeColor="text1"/>
        </w:rPr>
        <w:t>Siccardi</w:t>
      </w:r>
      <w:proofErr w:type="spellEnd"/>
      <w:r w:rsidRPr="00245598">
        <w:rPr>
          <w:rFonts w:ascii="Book Antiqua" w:hAnsi="Book Antiqua"/>
          <w:color w:val="000000" w:themeColor="text1"/>
        </w:rPr>
        <w:t xml:space="preserve"> M, </w:t>
      </w:r>
      <w:proofErr w:type="spellStart"/>
      <w:r w:rsidRPr="00245598">
        <w:rPr>
          <w:rFonts w:ascii="Book Antiqua" w:hAnsi="Book Antiqua"/>
          <w:color w:val="000000" w:themeColor="text1"/>
        </w:rPr>
        <w:t>Bonora</w:t>
      </w:r>
      <w:proofErr w:type="spellEnd"/>
      <w:r w:rsidRPr="00245598">
        <w:rPr>
          <w:rFonts w:ascii="Book Antiqua" w:hAnsi="Book Antiqua"/>
          <w:color w:val="000000" w:themeColor="text1"/>
        </w:rPr>
        <w:t xml:space="preserve"> S, Di Perri G, Soriano V. Impairment in kidney tubular function in patients receiving tenofovir is associated with higher tenofovir plasma concentrations. </w:t>
      </w:r>
      <w:r w:rsidRPr="00245598">
        <w:rPr>
          <w:rFonts w:ascii="Book Antiqua" w:hAnsi="Book Antiqua"/>
          <w:i/>
          <w:iCs/>
          <w:color w:val="000000" w:themeColor="text1"/>
        </w:rPr>
        <w:t>AIDS</w:t>
      </w:r>
      <w:r w:rsidRPr="00245598">
        <w:rPr>
          <w:rFonts w:ascii="Book Antiqua" w:hAnsi="Book Antiqua"/>
          <w:color w:val="000000" w:themeColor="text1"/>
        </w:rPr>
        <w:t xml:space="preserve"> 2010; </w:t>
      </w:r>
      <w:r w:rsidRPr="00245598">
        <w:rPr>
          <w:rFonts w:ascii="Book Antiqua" w:hAnsi="Book Antiqua"/>
          <w:b/>
          <w:bCs/>
          <w:color w:val="000000" w:themeColor="text1"/>
        </w:rPr>
        <w:t>24</w:t>
      </w:r>
      <w:r w:rsidRPr="00245598">
        <w:rPr>
          <w:rFonts w:ascii="Book Antiqua" w:hAnsi="Book Antiqua"/>
          <w:color w:val="000000" w:themeColor="text1"/>
        </w:rPr>
        <w:t>: 1064-1066 [PMID: 20299966 DOI: 10.1097/QAD.0b013e32833202e2]</w:t>
      </w:r>
    </w:p>
    <w:p w14:paraId="063F6322" w14:textId="77777777" w:rsidR="00EA74A7" w:rsidRPr="00245598" w:rsidRDefault="00EA74A7">
      <w:pPr>
        <w:spacing w:line="360" w:lineRule="auto"/>
        <w:jc w:val="both"/>
        <w:rPr>
          <w:rFonts w:ascii="Book Antiqua" w:hAnsi="Book Antiqua"/>
          <w:color w:val="000000" w:themeColor="text1"/>
        </w:rPr>
      </w:pPr>
      <w:r w:rsidRPr="00245598">
        <w:rPr>
          <w:rFonts w:ascii="Book Antiqua" w:hAnsi="Book Antiqua"/>
          <w:color w:val="000000" w:themeColor="text1"/>
        </w:rPr>
        <w:t xml:space="preserve">38 </w:t>
      </w:r>
      <w:proofErr w:type="spellStart"/>
      <w:r w:rsidRPr="00245598">
        <w:rPr>
          <w:rFonts w:ascii="Book Antiqua" w:hAnsi="Book Antiqua"/>
          <w:b/>
          <w:bCs/>
          <w:color w:val="000000" w:themeColor="text1"/>
        </w:rPr>
        <w:t>Perazella</w:t>
      </w:r>
      <w:proofErr w:type="spellEnd"/>
      <w:r w:rsidRPr="00245598">
        <w:rPr>
          <w:rFonts w:ascii="Book Antiqua" w:hAnsi="Book Antiqua"/>
          <w:b/>
          <w:bCs/>
          <w:color w:val="000000" w:themeColor="text1"/>
        </w:rPr>
        <w:t xml:space="preserve"> MA</w:t>
      </w:r>
      <w:r w:rsidRPr="00245598">
        <w:rPr>
          <w:rFonts w:ascii="Book Antiqua" w:hAnsi="Book Antiqua"/>
          <w:color w:val="000000" w:themeColor="text1"/>
        </w:rPr>
        <w:t xml:space="preserve">. Tenofovir-induced kidney disease: an acquired renal tubular </w:t>
      </w:r>
      <w:proofErr w:type="spellStart"/>
      <w:r w:rsidRPr="00245598">
        <w:rPr>
          <w:rFonts w:ascii="Book Antiqua" w:hAnsi="Book Antiqua"/>
          <w:color w:val="000000" w:themeColor="text1"/>
        </w:rPr>
        <w:t>mitochondriopathy</w:t>
      </w:r>
      <w:proofErr w:type="spellEnd"/>
      <w:r w:rsidRPr="00245598">
        <w:rPr>
          <w:rFonts w:ascii="Book Antiqua" w:hAnsi="Book Antiqua"/>
          <w:color w:val="000000" w:themeColor="text1"/>
        </w:rPr>
        <w:t xml:space="preserve">. </w:t>
      </w:r>
      <w:r w:rsidRPr="00245598">
        <w:rPr>
          <w:rFonts w:ascii="Book Antiqua" w:hAnsi="Book Antiqua"/>
          <w:i/>
          <w:iCs/>
          <w:color w:val="000000" w:themeColor="text1"/>
        </w:rPr>
        <w:t>Kidney Int</w:t>
      </w:r>
      <w:r w:rsidRPr="00245598">
        <w:rPr>
          <w:rFonts w:ascii="Book Antiqua" w:hAnsi="Book Antiqua"/>
          <w:color w:val="000000" w:themeColor="text1"/>
        </w:rPr>
        <w:t xml:space="preserve"> 2010; </w:t>
      </w:r>
      <w:r w:rsidRPr="00245598">
        <w:rPr>
          <w:rFonts w:ascii="Book Antiqua" w:hAnsi="Book Antiqua"/>
          <w:b/>
          <w:bCs/>
          <w:color w:val="000000" w:themeColor="text1"/>
        </w:rPr>
        <w:t>78</w:t>
      </w:r>
      <w:r w:rsidRPr="00245598">
        <w:rPr>
          <w:rFonts w:ascii="Book Antiqua" w:hAnsi="Book Antiqua"/>
          <w:color w:val="000000" w:themeColor="text1"/>
        </w:rPr>
        <w:t>: 1060-1063 [PMID: 21076445 DOI: 10.1038/ki.2010.344]</w:t>
      </w:r>
    </w:p>
    <w:p w14:paraId="48CACC6B" w14:textId="531FAE3A" w:rsidR="00EA74A7" w:rsidRPr="00245598" w:rsidRDefault="00EA74A7">
      <w:pPr>
        <w:spacing w:line="360" w:lineRule="auto"/>
        <w:jc w:val="both"/>
        <w:rPr>
          <w:rFonts w:ascii="Book Antiqua" w:hAnsi="Book Antiqua"/>
          <w:color w:val="000000" w:themeColor="text1"/>
        </w:rPr>
      </w:pPr>
      <w:r w:rsidRPr="00245598">
        <w:rPr>
          <w:rFonts w:ascii="Book Antiqua" w:hAnsi="Book Antiqua"/>
          <w:color w:val="000000" w:themeColor="text1"/>
        </w:rPr>
        <w:lastRenderedPageBreak/>
        <w:t xml:space="preserve">39 </w:t>
      </w:r>
      <w:r w:rsidRPr="00245598">
        <w:rPr>
          <w:rFonts w:ascii="Book Antiqua" w:hAnsi="Book Antiqua"/>
          <w:b/>
          <w:bCs/>
          <w:color w:val="000000" w:themeColor="text1"/>
        </w:rPr>
        <w:t>Tam E,</w:t>
      </w:r>
      <w:r w:rsidRPr="00245598">
        <w:rPr>
          <w:rFonts w:ascii="Book Antiqua" w:hAnsi="Book Antiqua"/>
          <w:color w:val="000000" w:themeColor="text1"/>
        </w:rPr>
        <w:t xml:space="preserve"> Khan M, ide T, Strasser S, Yoon K, Paik S, Flaherty J, Kim K. A171 M</w:t>
      </w:r>
      <w:r w:rsidR="009F69E3" w:rsidRPr="00245598">
        <w:rPr>
          <w:rFonts w:ascii="Book Antiqua" w:hAnsi="Book Antiqua"/>
          <w:color w:val="000000" w:themeColor="text1"/>
        </w:rPr>
        <w:t>i</w:t>
      </w:r>
      <w:r w:rsidR="00493017" w:rsidRPr="00245598">
        <w:rPr>
          <w:rFonts w:ascii="Book Antiqua" w:hAnsi="Book Antiqua"/>
          <w:color w:val="000000" w:themeColor="text1"/>
        </w:rPr>
        <w:t xml:space="preserve">nimal changes in urine markers of tubular dysfunction in </w:t>
      </w:r>
      <w:r w:rsidR="00493017" w:rsidRPr="00245598">
        <w:rPr>
          <w:rFonts w:ascii="Book Antiqua" w:hAnsi="Book Antiqua"/>
          <w:caps/>
          <w:color w:val="000000" w:themeColor="text1"/>
        </w:rPr>
        <w:t>chb</w:t>
      </w:r>
      <w:r w:rsidR="00493017" w:rsidRPr="00245598">
        <w:rPr>
          <w:rFonts w:ascii="Book Antiqua" w:hAnsi="Book Antiqua"/>
          <w:color w:val="000000" w:themeColor="text1"/>
        </w:rPr>
        <w:t xml:space="preserve"> patients receiving </w:t>
      </w:r>
      <w:r w:rsidR="00493017" w:rsidRPr="00245598">
        <w:rPr>
          <w:rFonts w:ascii="Book Antiqua" w:hAnsi="Book Antiqua"/>
          <w:caps/>
          <w:color w:val="000000" w:themeColor="text1"/>
        </w:rPr>
        <w:t>taf</w:t>
      </w:r>
      <w:r w:rsidR="00493017" w:rsidRPr="00245598">
        <w:rPr>
          <w:rFonts w:ascii="Book Antiqua" w:hAnsi="Book Antiqua"/>
          <w:color w:val="000000" w:themeColor="text1"/>
        </w:rPr>
        <w:t xml:space="preserve"> compared with</w:t>
      </w:r>
      <w:r w:rsidRPr="00245598">
        <w:rPr>
          <w:rFonts w:ascii="Book Antiqua" w:hAnsi="Book Antiqua"/>
          <w:color w:val="000000" w:themeColor="text1"/>
        </w:rPr>
        <w:t xml:space="preserve"> TDF. </w:t>
      </w:r>
      <w:r w:rsidRPr="00245598">
        <w:rPr>
          <w:rFonts w:ascii="Book Antiqua" w:hAnsi="Book Antiqua"/>
          <w:i/>
          <w:iCs/>
          <w:color w:val="000000" w:themeColor="text1"/>
        </w:rPr>
        <w:t>J Can Assoc Gastroenterol</w:t>
      </w:r>
      <w:r w:rsidRPr="00245598">
        <w:rPr>
          <w:rFonts w:ascii="Book Antiqua" w:hAnsi="Book Antiqua"/>
          <w:color w:val="000000" w:themeColor="text1"/>
        </w:rPr>
        <w:t xml:space="preserve"> 2018; </w:t>
      </w:r>
      <w:r w:rsidRPr="00245598">
        <w:rPr>
          <w:rFonts w:ascii="Book Antiqua" w:hAnsi="Book Antiqua"/>
          <w:b/>
          <w:bCs/>
          <w:color w:val="000000" w:themeColor="text1"/>
        </w:rPr>
        <w:t>1</w:t>
      </w:r>
      <w:r w:rsidRPr="00245598">
        <w:rPr>
          <w:rFonts w:ascii="Book Antiqua" w:hAnsi="Book Antiqua"/>
          <w:bCs/>
          <w:color w:val="000000" w:themeColor="text1"/>
        </w:rPr>
        <w:t>:</w:t>
      </w:r>
      <w:r w:rsidRPr="00245598">
        <w:rPr>
          <w:rFonts w:ascii="Book Antiqua" w:hAnsi="Book Antiqua"/>
          <w:color w:val="000000" w:themeColor="text1"/>
        </w:rPr>
        <w:t xml:space="preserve"> 297</w:t>
      </w:r>
      <w:r w:rsidR="00493017" w:rsidRPr="00245598">
        <w:rPr>
          <w:rFonts w:ascii="Book Antiqua" w:hAnsi="Book Antiqua"/>
          <w:color w:val="000000" w:themeColor="text1"/>
        </w:rPr>
        <w:t>-</w:t>
      </w:r>
      <w:r w:rsidRPr="00245598">
        <w:rPr>
          <w:rFonts w:ascii="Book Antiqua" w:hAnsi="Book Antiqua"/>
          <w:color w:val="000000" w:themeColor="text1"/>
        </w:rPr>
        <w:t>298 [DOI: 10.1093/</w:t>
      </w:r>
      <w:proofErr w:type="spellStart"/>
      <w:r w:rsidRPr="00245598">
        <w:rPr>
          <w:rFonts w:ascii="Book Antiqua" w:hAnsi="Book Antiqua"/>
          <w:color w:val="000000" w:themeColor="text1"/>
        </w:rPr>
        <w:t>jcag</w:t>
      </w:r>
      <w:proofErr w:type="spellEnd"/>
      <w:r w:rsidRPr="00245598">
        <w:rPr>
          <w:rFonts w:ascii="Book Antiqua" w:hAnsi="Book Antiqua"/>
          <w:color w:val="000000" w:themeColor="text1"/>
        </w:rPr>
        <w:t>/gwy008.172]</w:t>
      </w:r>
    </w:p>
    <w:p w14:paraId="16B8C784" w14:textId="77777777" w:rsidR="00EA74A7" w:rsidRPr="00245598" w:rsidRDefault="00EA74A7">
      <w:pPr>
        <w:spacing w:line="360" w:lineRule="auto"/>
        <w:jc w:val="both"/>
        <w:rPr>
          <w:rFonts w:ascii="Book Antiqua" w:hAnsi="Book Antiqua"/>
          <w:color w:val="000000" w:themeColor="text1"/>
        </w:rPr>
      </w:pPr>
    </w:p>
    <w:p w14:paraId="5CEB1E60" w14:textId="77777777" w:rsidR="00000000" w:rsidRPr="00245598" w:rsidRDefault="00E5411F">
      <w:pPr>
        <w:spacing w:line="360" w:lineRule="auto"/>
        <w:jc w:val="both"/>
        <w:rPr>
          <w:rFonts w:ascii="Book Antiqua" w:hAnsi="Book Antiqua"/>
          <w:color w:val="000000" w:themeColor="text1"/>
        </w:rPr>
        <w:sectPr w:rsidR="00000000" w:rsidRPr="00245598">
          <w:pgSz w:w="12240" w:h="15840"/>
          <w:pgMar w:top="1440" w:right="1440" w:bottom="1440" w:left="1440" w:header="720" w:footer="720" w:gutter="0"/>
          <w:cols w:space="720"/>
          <w:docGrid w:linePitch="360"/>
        </w:sectPr>
      </w:pPr>
    </w:p>
    <w:p w14:paraId="42F91FB8" w14:textId="77777777"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b/>
          <w:color w:val="000000" w:themeColor="text1"/>
        </w:rPr>
        <w:lastRenderedPageBreak/>
        <w:t>Footnotes</w:t>
      </w:r>
    </w:p>
    <w:p w14:paraId="6A429D53" w14:textId="36D2160F"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b/>
          <w:bCs/>
          <w:color w:val="000000" w:themeColor="text1"/>
        </w:rPr>
        <w:t xml:space="preserve">Institutional review board statement: </w:t>
      </w:r>
      <w:r w:rsidRPr="00245598">
        <w:rPr>
          <w:rFonts w:ascii="Book Antiqua" w:eastAsia="Book Antiqua" w:hAnsi="Book Antiqua" w:cs="Book Antiqua"/>
          <w:color w:val="000000" w:themeColor="text1"/>
        </w:rPr>
        <w:t>The study was reviewed and approved by the French Institutional Review Board AFSSAPS</w:t>
      </w:r>
      <w:r w:rsidR="001468F2" w:rsidRPr="00245598">
        <w:rPr>
          <w:rFonts w:ascii="Book Antiqua" w:eastAsia="Book Antiqua" w:hAnsi="Book Antiqua" w:cs="Book Antiqua"/>
          <w:color w:val="000000" w:themeColor="text1"/>
        </w:rPr>
        <w:t>,</w:t>
      </w:r>
      <w:r w:rsidRPr="00245598">
        <w:rPr>
          <w:rFonts w:ascii="Book Antiqua" w:eastAsia="Book Antiqua" w:hAnsi="Book Antiqua" w:cs="Book Antiqua"/>
          <w:color w:val="000000" w:themeColor="text1"/>
        </w:rPr>
        <w:t xml:space="preserve"> No. A111378-30</w:t>
      </w:r>
      <w:r w:rsidR="00892076" w:rsidRPr="00245598">
        <w:rPr>
          <w:rFonts w:ascii="Book Antiqua" w:eastAsia="Book Antiqua" w:hAnsi="Book Antiqua" w:cs="Book Antiqua"/>
          <w:color w:val="000000" w:themeColor="text1"/>
        </w:rPr>
        <w:t>.</w:t>
      </w:r>
      <w:r w:rsidRPr="00245598">
        <w:rPr>
          <w:rFonts w:ascii="Book Antiqua" w:eastAsia="Book Antiqua" w:hAnsi="Book Antiqua" w:cs="Book Antiqua"/>
          <w:color w:val="000000" w:themeColor="text1"/>
        </w:rPr>
        <w:t xml:space="preserve"> </w:t>
      </w:r>
    </w:p>
    <w:p w14:paraId="2A5CE80F" w14:textId="77777777" w:rsidR="00315E14" w:rsidRPr="00245598" w:rsidRDefault="00315E14">
      <w:pPr>
        <w:spacing w:line="360" w:lineRule="auto"/>
        <w:jc w:val="both"/>
        <w:rPr>
          <w:rFonts w:ascii="Book Antiqua" w:eastAsia="Book Antiqua" w:hAnsi="Book Antiqua" w:cs="Book Antiqua"/>
          <w:color w:val="000000" w:themeColor="text1"/>
        </w:rPr>
      </w:pPr>
    </w:p>
    <w:p w14:paraId="5BEFA057" w14:textId="037A2E9B" w:rsidR="00A77B3E" w:rsidRPr="00245598" w:rsidRDefault="00D20A34">
      <w:pPr>
        <w:spacing w:line="360" w:lineRule="auto"/>
        <w:jc w:val="both"/>
        <w:rPr>
          <w:rFonts w:ascii="Book Antiqua" w:eastAsia="Book Antiqua" w:hAnsi="Book Antiqua" w:cs="Book Antiqua"/>
          <w:color w:val="000000" w:themeColor="text1"/>
        </w:rPr>
      </w:pPr>
      <w:r w:rsidRPr="00245598">
        <w:rPr>
          <w:rFonts w:ascii="Book Antiqua" w:eastAsia="Book Antiqua" w:hAnsi="Book Antiqua" w:cs="Book Antiqua"/>
          <w:b/>
          <w:bCs/>
          <w:color w:val="000000" w:themeColor="text1"/>
        </w:rPr>
        <w:t xml:space="preserve">Conflict-of-interest statement: </w:t>
      </w:r>
      <w:r w:rsidRPr="00245598">
        <w:rPr>
          <w:rFonts w:ascii="Book Antiqua" w:eastAsia="Book Antiqua" w:hAnsi="Book Antiqua" w:cs="Book Antiqua"/>
          <w:color w:val="000000" w:themeColor="text1"/>
        </w:rPr>
        <w:t>Pr. Loustaud-Ratti reports grants from Bristol Myers Squibb, France, during the conduct of the study; personal fees from GILEAD, personal fees from ABBVIE, personal fees from MSD, grants from BMS, outside the submitted work.</w:t>
      </w:r>
      <w:r w:rsidR="00C61CDE" w:rsidRPr="00245598">
        <w:rPr>
          <w:rFonts w:ascii="Book Antiqua" w:hAnsi="Book Antiqua"/>
          <w:color w:val="000000" w:themeColor="text1"/>
          <w:lang w:eastAsia="zh-CN"/>
        </w:rPr>
        <w:t xml:space="preserve"> </w:t>
      </w:r>
      <w:r w:rsidRPr="00245598">
        <w:rPr>
          <w:rFonts w:ascii="Book Antiqua" w:eastAsia="Book Antiqua" w:hAnsi="Book Antiqua" w:cs="Book Antiqua"/>
          <w:color w:val="000000" w:themeColor="text1"/>
        </w:rPr>
        <w:t>Dr. Carrier reports non-financial support from GILEAD, non-financial support from ABBVIE, non-financial support from MSD, non-financial support from BMS, outside the submitted work.</w:t>
      </w:r>
      <w:r w:rsidR="00C61CDE" w:rsidRPr="00245598">
        <w:rPr>
          <w:rFonts w:ascii="Book Antiqua" w:eastAsia="Book Antiqua" w:hAnsi="Book Antiqua" w:cs="Book Antiqua"/>
          <w:color w:val="000000" w:themeColor="text1"/>
        </w:rPr>
        <w:t xml:space="preserve"> Other authors declare no conflict of interest.</w:t>
      </w:r>
    </w:p>
    <w:p w14:paraId="12E7083E" w14:textId="77777777" w:rsidR="00A77B3E" w:rsidRPr="00245598" w:rsidRDefault="00A77B3E">
      <w:pPr>
        <w:spacing w:line="360" w:lineRule="auto"/>
        <w:jc w:val="both"/>
        <w:rPr>
          <w:rFonts w:ascii="Book Antiqua" w:hAnsi="Book Antiqua"/>
          <w:color w:val="000000" w:themeColor="text1"/>
        </w:rPr>
      </w:pPr>
    </w:p>
    <w:p w14:paraId="4433F5CF" w14:textId="77777777"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b/>
          <w:bCs/>
          <w:color w:val="000000" w:themeColor="text1"/>
        </w:rPr>
        <w:t xml:space="preserve">Data sharing statement: </w:t>
      </w:r>
      <w:r w:rsidRPr="00245598">
        <w:rPr>
          <w:rFonts w:ascii="Book Antiqua" w:eastAsia="Book Antiqua" w:hAnsi="Book Antiqua" w:cs="Book Antiqua"/>
          <w:color w:val="000000" w:themeColor="text1"/>
        </w:rPr>
        <w:t xml:space="preserve">Technical appendix, statistical code, and dataset available from the corresponding author at </w:t>
      </w:r>
      <w:hyperlink r:id="rId9" w:history="1">
        <w:r w:rsidRPr="00245598">
          <w:rPr>
            <w:rFonts w:ascii="Book Antiqua" w:eastAsia="Book Antiqua" w:hAnsi="Book Antiqua" w:cs="Book Antiqua"/>
            <w:color w:val="000000" w:themeColor="text1"/>
          </w:rPr>
          <w:t>veronique.loustaud-ratti@unilim.fr</w:t>
        </w:r>
      </w:hyperlink>
      <w:r w:rsidRPr="00245598">
        <w:rPr>
          <w:rFonts w:ascii="Book Antiqua" w:eastAsia="Book Antiqua" w:hAnsi="Book Antiqua" w:cs="Book Antiqua"/>
          <w:color w:val="000000" w:themeColor="text1"/>
        </w:rPr>
        <w:t>. Participants gave informed consent for data sharing.</w:t>
      </w:r>
    </w:p>
    <w:p w14:paraId="1869E463" w14:textId="4F2AB44C" w:rsidR="00A77B3E" w:rsidRPr="00245598" w:rsidRDefault="00A77B3E">
      <w:pPr>
        <w:spacing w:line="360" w:lineRule="auto"/>
        <w:jc w:val="both"/>
        <w:rPr>
          <w:rFonts w:ascii="Book Antiqua" w:hAnsi="Book Antiqua"/>
          <w:color w:val="000000" w:themeColor="text1"/>
        </w:rPr>
      </w:pPr>
    </w:p>
    <w:p w14:paraId="3453A798" w14:textId="72B37AF8" w:rsidR="00E13604" w:rsidRPr="00245598" w:rsidRDefault="00733223">
      <w:pPr>
        <w:spacing w:line="360" w:lineRule="auto"/>
        <w:jc w:val="both"/>
        <w:rPr>
          <w:rFonts w:ascii="Book Antiqua" w:hAnsi="Book Antiqua"/>
          <w:color w:val="000000" w:themeColor="text1"/>
        </w:rPr>
      </w:pPr>
      <w:r w:rsidRPr="00245598">
        <w:rPr>
          <w:rFonts w:ascii="Book Antiqua" w:eastAsia="Book Antiqua" w:hAnsi="Book Antiqua" w:cs="Book Antiqua"/>
          <w:b/>
          <w:bCs/>
          <w:color w:val="000000" w:themeColor="text1"/>
        </w:rPr>
        <w:t>CONSORT 2010 statement</w:t>
      </w:r>
      <w:r w:rsidR="00E13604" w:rsidRPr="00245598">
        <w:rPr>
          <w:rFonts w:ascii="Book Antiqua" w:eastAsia="Book Antiqua" w:hAnsi="Book Antiqua" w:cs="Book Antiqua"/>
          <w:b/>
          <w:bCs/>
          <w:color w:val="000000" w:themeColor="text1"/>
        </w:rPr>
        <w:t xml:space="preserve">: </w:t>
      </w:r>
      <w:r w:rsidRPr="00245598">
        <w:rPr>
          <w:rFonts w:ascii="Book Antiqua" w:eastAsia="Book Antiqua" w:hAnsi="Book Antiqua" w:cs="Book Antiqua"/>
          <w:b/>
          <w:bCs/>
          <w:color w:val="000000" w:themeColor="text1"/>
        </w:rPr>
        <w:t>T</w:t>
      </w:r>
      <w:r w:rsidRPr="00245598">
        <w:rPr>
          <w:rFonts w:ascii="Book Antiqua" w:hAnsi="Book Antiqua" w:cs="Garamond"/>
          <w:color w:val="000000" w:themeColor="text1"/>
        </w:rPr>
        <w:t>he authors have read the CONSORT 2010 Statement, and the manuscript was prepared and revised according to the CONSORT 2010 Statement.</w:t>
      </w:r>
    </w:p>
    <w:p w14:paraId="300B2234" w14:textId="77777777" w:rsidR="00E13604" w:rsidRPr="00245598" w:rsidRDefault="00E13604">
      <w:pPr>
        <w:spacing w:line="360" w:lineRule="auto"/>
        <w:jc w:val="both"/>
        <w:rPr>
          <w:rFonts w:ascii="Book Antiqua" w:hAnsi="Book Antiqua"/>
          <w:color w:val="000000" w:themeColor="text1"/>
        </w:rPr>
      </w:pPr>
    </w:p>
    <w:p w14:paraId="316B69CE" w14:textId="77777777"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b/>
          <w:bCs/>
          <w:color w:val="000000" w:themeColor="text1"/>
        </w:rPr>
        <w:t xml:space="preserve">Open-Access: </w:t>
      </w:r>
      <w:r w:rsidRPr="00245598">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C6D463" w14:textId="77777777" w:rsidR="00A77B3E" w:rsidRPr="00245598" w:rsidRDefault="00A77B3E">
      <w:pPr>
        <w:spacing w:line="360" w:lineRule="auto"/>
        <w:jc w:val="both"/>
        <w:rPr>
          <w:rFonts w:ascii="Book Antiqua" w:hAnsi="Book Antiqua"/>
          <w:color w:val="000000" w:themeColor="text1"/>
        </w:rPr>
      </w:pPr>
    </w:p>
    <w:p w14:paraId="66CE978E" w14:textId="28E57E1E"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b/>
          <w:color w:val="000000" w:themeColor="text1"/>
        </w:rPr>
        <w:t xml:space="preserve">Manuscript source: </w:t>
      </w:r>
      <w:r w:rsidRPr="00245598">
        <w:rPr>
          <w:rFonts w:ascii="Book Antiqua" w:eastAsia="Book Antiqua" w:hAnsi="Book Antiqua" w:cs="Book Antiqua"/>
          <w:color w:val="000000" w:themeColor="text1"/>
        </w:rPr>
        <w:t xml:space="preserve">Invited </w:t>
      </w:r>
      <w:r w:rsidR="002D5040" w:rsidRPr="00245598">
        <w:rPr>
          <w:rFonts w:ascii="Book Antiqua" w:eastAsia="Book Antiqua" w:hAnsi="Book Antiqua" w:cs="Book Antiqua"/>
          <w:color w:val="000000" w:themeColor="text1"/>
        </w:rPr>
        <w:t>m</w:t>
      </w:r>
      <w:r w:rsidRPr="00245598">
        <w:rPr>
          <w:rFonts w:ascii="Book Antiqua" w:eastAsia="Book Antiqua" w:hAnsi="Book Antiqua" w:cs="Book Antiqua"/>
          <w:color w:val="000000" w:themeColor="text1"/>
        </w:rPr>
        <w:t>anuscript</w:t>
      </w:r>
    </w:p>
    <w:p w14:paraId="1E990844" w14:textId="77777777" w:rsidR="00A77B3E" w:rsidRPr="00245598" w:rsidRDefault="00A77B3E">
      <w:pPr>
        <w:spacing w:line="360" w:lineRule="auto"/>
        <w:jc w:val="both"/>
        <w:rPr>
          <w:rFonts w:ascii="Book Antiqua" w:hAnsi="Book Antiqua"/>
          <w:color w:val="000000" w:themeColor="text1"/>
        </w:rPr>
      </w:pPr>
    </w:p>
    <w:p w14:paraId="6FDEEA4C" w14:textId="77777777"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b/>
          <w:color w:val="000000" w:themeColor="text1"/>
        </w:rPr>
        <w:t xml:space="preserve">Peer-review started: </w:t>
      </w:r>
      <w:r w:rsidRPr="00245598">
        <w:rPr>
          <w:rFonts w:ascii="Book Antiqua" w:eastAsia="Book Antiqua" w:hAnsi="Book Antiqua" w:cs="Book Antiqua"/>
          <w:color w:val="000000" w:themeColor="text1"/>
        </w:rPr>
        <w:t>June 11, 2020</w:t>
      </w:r>
    </w:p>
    <w:p w14:paraId="55CF5E65" w14:textId="77777777"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b/>
          <w:color w:val="000000" w:themeColor="text1"/>
        </w:rPr>
        <w:t xml:space="preserve">First decision: </w:t>
      </w:r>
      <w:r w:rsidRPr="00245598">
        <w:rPr>
          <w:rFonts w:ascii="Book Antiqua" w:eastAsia="Book Antiqua" w:hAnsi="Book Antiqua" w:cs="Book Antiqua"/>
          <w:color w:val="000000" w:themeColor="text1"/>
        </w:rPr>
        <w:t>September 18, 2020</w:t>
      </w:r>
    </w:p>
    <w:p w14:paraId="0F651B0A" w14:textId="77777777"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b/>
          <w:color w:val="000000" w:themeColor="text1"/>
        </w:rPr>
        <w:lastRenderedPageBreak/>
        <w:t xml:space="preserve">Article in press: </w:t>
      </w:r>
    </w:p>
    <w:p w14:paraId="34CB1A03" w14:textId="77777777" w:rsidR="00A77B3E" w:rsidRPr="00245598" w:rsidRDefault="00A77B3E">
      <w:pPr>
        <w:spacing w:line="360" w:lineRule="auto"/>
        <w:jc w:val="both"/>
        <w:rPr>
          <w:rFonts w:ascii="Book Antiqua" w:hAnsi="Book Antiqua"/>
          <w:color w:val="000000" w:themeColor="text1"/>
        </w:rPr>
      </w:pPr>
    </w:p>
    <w:p w14:paraId="6EB1B496" w14:textId="03B14BD3"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b/>
          <w:color w:val="000000" w:themeColor="text1"/>
        </w:rPr>
        <w:t xml:space="preserve">Specialty type: </w:t>
      </w:r>
      <w:r w:rsidR="00BB3D5E" w:rsidRPr="00245598">
        <w:rPr>
          <w:rFonts w:ascii="Book Antiqua" w:eastAsia="微软雅黑" w:hAnsi="Book Antiqua" w:cs="宋体"/>
          <w:color w:val="000000" w:themeColor="text1"/>
        </w:rPr>
        <w:t>Gastroenterology and hepatology</w:t>
      </w:r>
    </w:p>
    <w:p w14:paraId="3269D3FB" w14:textId="77777777"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b/>
          <w:color w:val="000000" w:themeColor="text1"/>
        </w:rPr>
        <w:t xml:space="preserve">Country/Territory of origin: </w:t>
      </w:r>
      <w:r w:rsidRPr="00245598">
        <w:rPr>
          <w:rFonts w:ascii="Book Antiqua" w:eastAsia="Book Antiqua" w:hAnsi="Book Antiqua" w:cs="Book Antiqua"/>
          <w:color w:val="000000" w:themeColor="text1"/>
        </w:rPr>
        <w:t>France</w:t>
      </w:r>
    </w:p>
    <w:p w14:paraId="20F616D5" w14:textId="77777777"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b/>
          <w:color w:val="000000" w:themeColor="text1"/>
        </w:rPr>
        <w:t>Peer-review report’s scientific quality classification</w:t>
      </w:r>
    </w:p>
    <w:p w14:paraId="1BD6AA45" w14:textId="77777777"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color w:val="000000" w:themeColor="text1"/>
        </w:rPr>
        <w:t>Grade A (Excellent): 0</w:t>
      </w:r>
    </w:p>
    <w:p w14:paraId="154ED816" w14:textId="77777777"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color w:val="000000" w:themeColor="text1"/>
        </w:rPr>
        <w:t>Grade B (Very good): 0</w:t>
      </w:r>
    </w:p>
    <w:p w14:paraId="0CC46E41" w14:textId="0A3D115D"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color w:val="000000" w:themeColor="text1"/>
        </w:rPr>
        <w:t>Grade C (Good): C, C</w:t>
      </w:r>
      <w:r w:rsidR="00FB1826" w:rsidRPr="00245598">
        <w:rPr>
          <w:rFonts w:ascii="Book Antiqua" w:eastAsia="Book Antiqua" w:hAnsi="Book Antiqua" w:cs="Book Antiqua"/>
          <w:color w:val="000000" w:themeColor="text1"/>
        </w:rPr>
        <w:t>, C, C</w:t>
      </w:r>
    </w:p>
    <w:p w14:paraId="66C6782C" w14:textId="155A3BF8"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color w:val="000000" w:themeColor="text1"/>
        </w:rPr>
        <w:t xml:space="preserve">Grade D (Fair): </w:t>
      </w:r>
      <w:r w:rsidR="007D51A6" w:rsidRPr="00245598">
        <w:rPr>
          <w:rFonts w:ascii="Book Antiqua" w:eastAsia="Book Antiqua" w:hAnsi="Book Antiqua" w:cs="Book Antiqua"/>
          <w:color w:val="000000" w:themeColor="text1"/>
        </w:rPr>
        <w:t>D</w:t>
      </w:r>
    </w:p>
    <w:p w14:paraId="66FD118A" w14:textId="77777777" w:rsidR="00A77B3E" w:rsidRPr="00245598" w:rsidRDefault="00D20A34">
      <w:pPr>
        <w:spacing w:line="360" w:lineRule="auto"/>
        <w:jc w:val="both"/>
        <w:rPr>
          <w:rFonts w:ascii="Book Antiqua" w:hAnsi="Book Antiqua"/>
          <w:color w:val="000000" w:themeColor="text1"/>
        </w:rPr>
      </w:pPr>
      <w:r w:rsidRPr="00245598">
        <w:rPr>
          <w:rFonts w:ascii="Book Antiqua" w:eastAsia="Book Antiqua" w:hAnsi="Book Antiqua" w:cs="Book Antiqua"/>
          <w:color w:val="000000" w:themeColor="text1"/>
        </w:rPr>
        <w:t>Grade E (Poor): E</w:t>
      </w:r>
    </w:p>
    <w:p w14:paraId="1596C802" w14:textId="77777777" w:rsidR="00A77B3E" w:rsidRPr="00245598" w:rsidRDefault="00A77B3E">
      <w:pPr>
        <w:spacing w:line="360" w:lineRule="auto"/>
        <w:jc w:val="both"/>
        <w:rPr>
          <w:rFonts w:ascii="Book Antiqua" w:hAnsi="Book Antiqua"/>
          <w:color w:val="000000" w:themeColor="text1"/>
        </w:rPr>
      </w:pPr>
    </w:p>
    <w:p w14:paraId="5483A547" w14:textId="7A253E46" w:rsidR="00A77B3E" w:rsidRPr="00245598" w:rsidRDefault="00D20A34">
      <w:pPr>
        <w:spacing w:line="360" w:lineRule="auto"/>
        <w:jc w:val="both"/>
        <w:rPr>
          <w:rFonts w:ascii="Book Antiqua" w:eastAsia="Book Antiqua" w:hAnsi="Book Antiqua" w:cs="Book Antiqua"/>
          <w:b/>
          <w:color w:val="000000" w:themeColor="text1"/>
        </w:rPr>
      </w:pPr>
      <w:r w:rsidRPr="00245598">
        <w:rPr>
          <w:rFonts w:ascii="Book Antiqua" w:eastAsia="Book Antiqua" w:hAnsi="Book Antiqua" w:cs="Book Antiqua"/>
          <w:b/>
          <w:color w:val="000000" w:themeColor="text1"/>
        </w:rPr>
        <w:t xml:space="preserve">P-Reviewer: </w:t>
      </w:r>
      <w:r w:rsidRPr="00245598">
        <w:rPr>
          <w:rFonts w:ascii="Book Antiqua" w:eastAsia="Book Antiqua" w:hAnsi="Book Antiqua" w:cs="Book Antiqua"/>
          <w:color w:val="000000" w:themeColor="text1"/>
        </w:rPr>
        <w:t>Ahmed M, Fernandez-Rodriguez CM, Kreisel W</w:t>
      </w:r>
      <w:r w:rsidRPr="00245598">
        <w:rPr>
          <w:rFonts w:ascii="Book Antiqua" w:eastAsia="Book Antiqua" w:hAnsi="Book Antiqua" w:cs="Book Antiqua"/>
          <w:b/>
          <w:color w:val="000000" w:themeColor="text1"/>
        </w:rPr>
        <w:t xml:space="preserve"> S-Editor: </w:t>
      </w:r>
      <w:r w:rsidR="006B4203" w:rsidRPr="00245598">
        <w:rPr>
          <w:rFonts w:ascii="Book Antiqua" w:eastAsia="Book Antiqua" w:hAnsi="Book Antiqua" w:cs="Book Antiqua"/>
          <w:color w:val="000000" w:themeColor="text1"/>
        </w:rPr>
        <w:t>F</w:t>
      </w:r>
      <w:r w:rsidRPr="00245598">
        <w:rPr>
          <w:rFonts w:ascii="Book Antiqua" w:eastAsia="Book Antiqua" w:hAnsi="Book Antiqua" w:cs="Book Antiqua"/>
          <w:color w:val="000000" w:themeColor="text1"/>
        </w:rPr>
        <w:t>a</w:t>
      </w:r>
      <w:r w:rsidR="006B4203" w:rsidRPr="00245598">
        <w:rPr>
          <w:rFonts w:ascii="Book Antiqua" w:eastAsia="Book Antiqua" w:hAnsi="Book Antiqua" w:cs="Book Antiqua"/>
          <w:color w:val="000000" w:themeColor="text1"/>
        </w:rPr>
        <w:t>n</w:t>
      </w:r>
      <w:r w:rsidRPr="00245598">
        <w:rPr>
          <w:rFonts w:ascii="Book Antiqua" w:eastAsia="Book Antiqua" w:hAnsi="Book Antiqua" w:cs="Book Antiqua"/>
          <w:color w:val="000000" w:themeColor="text1"/>
        </w:rPr>
        <w:t xml:space="preserve"> </w:t>
      </w:r>
      <w:r w:rsidR="006B4203" w:rsidRPr="00245598">
        <w:rPr>
          <w:rFonts w:ascii="Book Antiqua" w:eastAsia="Book Antiqua" w:hAnsi="Book Antiqua" w:cs="Book Antiqua"/>
          <w:color w:val="000000" w:themeColor="text1"/>
        </w:rPr>
        <w:t>JR</w:t>
      </w:r>
      <w:r w:rsidRPr="00245598">
        <w:rPr>
          <w:rFonts w:ascii="Book Antiqua" w:eastAsia="Book Antiqua" w:hAnsi="Book Antiqua" w:cs="Book Antiqua"/>
          <w:b/>
          <w:color w:val="000000" w:themeColor="text1"/>
        </w:rPr>
        <w:t xml:space="preserve"> L-Editor: </w:t>
      </w:r>
      <w:r w:rsidR="00D9739F" w:rsidRPr="00245598">
        <w:rPr>
          <w:rFonts w:ascii="Book Antiqua" w:eastAsia="Book Antiqua" w:hAnsi="Book Antiqua" w:cs="Book Antiqua"/>
          <w:bCs/>
          <w:color w:val="000000" w:themeColor="text1"/>
        </w:rPr>
        <w:t xml:space="preserve">Filipodia </w:t>
      </w:r>
      <w:r w:rsidRPr="00245598">
        <w:rPr>
          <w:rFonts w:ascii="Book Antiqua" w:eastAsia="Book Antiqua" w:hAnsi="Book Antiqua" w:cs="Book Antiqua"/>
          <w:b/>
          <w:color w:val="000000" w:themeColor="text1"/>
        </w:rPr>
        <w:t xml:space="preserve">P-Editor: </w:t>
      </w:r>
    </w:p>
    <w:p w14:paraId="3052E31A" w14:textId="275196E8" w:rsidR="00B847F3" w:rsidRPr="00245598" w:rsidRDefault="00B847F3">
      <w:pPr>
        <w:spacing w:line="360" w:lineRule="auto"/>
        <w:jc w:val="both"/>
        <w:rPr>
          <w:rFonts w:ascii="Book Antiqua" w:eastAsia="Book Antiqua" w:hAnsi="Book Antiqua" w:cs="Book Antiqua"/>
          <w:b/>
          <w:color w:val="000000" w:themeColor="text1"/>
        </w:rPr>
      </w:pPr>
      <w:r w:rsidRPr="00245598">
        <w:rPr>
          <w:rFonts w:ascii="Book Antiqua" w:eastAsia="Book Antiqua" w:hAnsi="Book Antiqua" w:cs="Book Antiqua"/>
          <w:b/>
          <w:color w:val="000000" w:themeColor="text1"/>
        </w:rPr>
        <w:br w:type="page"/>
      </w:r>
      <w:r w:rsidRPr="00245598">
        <w:rPr>
          <w:rFonts w:ascii="Book Antiqua" w:eastAsia="Book Antiqua" w:hAnsi="Book Antiqua" w:cs="Book Antiqua"/>
          <w:b/>
          <w:color w:val="000000" w:themeColor="text1"/>
        </w:rPr>
        <w:lastRenderedPageBreak/>
        <w:t>Figure Legends</w:t>
      </w:r>
    </w:p>
    <w:p w14:paraId="31170952" w14:textId="7146722D" w:rsidR="00B847F3" w:rsidRPr="00245598" w:rsidRDefault="00A5673A">
      <w:pPr>
        <w:spacing w:line="360" w:lineRule="auto"/>
        <w:jc w:val="both"/>
        <w:rPr>
          <w:rFonts w:ascii="Book Antiqua" w:eastAsia="Book Antiqua" w:hAnsi="Book Antiqua" w:cs="Book Antiqua"/>
          <w:b/>
          <w:color w:val="000000" w:themeColor="text1"/>
        </w:rPr>
      </w:pPr>
      <w:r w:rsidRPr="00245598">
        <w:rPr>
          <w:noProof/>
          <w:color w:val="000000" w:themeColor="text1"/>
          <w:lang w:eastAsia="zh-CN"/>
        </w:rPr>
        <w:drawing>
          <wp:inline distT="0" distB="0" distL="0" distR="0" wp14:anchorId="3697263A" wp14:editId="55C95609">
            <wp:extent cx="5518205" cy="4214706"/>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37962" cy="4229796"/>
                    </a:xfrm>
                    <a:prstGeom prst="rect">
                      <a:avLst/>
                    </a:prstGeom>
                  </pic:spPr>
                </pic:pic>
              </a:graphicData>
            </a:graphic>
          </wp:inline>
        </w:drawing>
      </w:r>
    </w:p>
    <w:p w14:paraId="624B788E" w14:textId="0CE7E1E7" w:rsidR="00E211DF" w:rsidRPr="00245598" w:rsidRDefault="00E211DF">
      <w:pPr>
        <w:spacing w:line="360" w:lineRule="auto"/>
        <w:jc w:val="both"/>
        <w:rPr>
          <w:rFonts w:ascii="Book Antiqua" w:eastAsia="Book Antiqua" w:hAnsi="Book Antiqua" w:cs="Book Antiqua"/>
          <w:color w:val="000000" w:themeColor="text1"/>
        </w:rPr>
      </w:pPr>
      <w:r w:rsidRPr="00245598">
        <w:rPr>
          <w:rFonts w:ascii="Book Antiqua" w:hAnsi="Book Antiqua"/>
          <w:b/>
          <w:bCs/>
          <w:color w:val="000000" w:themeColor="text1"/>
        </w:rPr>
        <w:t>Figure 1 Data were obtained from 214 patients between December 2011 and December 2013; 18 were excluded from the analysis.</w:t>
      </w:r>
      <w:r w:rsidR="00B205CF" w:rsidRPr="00245598">
        <w:rPr>
          <w:rFonts w:ascii="Book Antiqua" w:hAnsi="Book Antiqua"/>
          <w:b/>
          <w:bCs/>
          <w:color w:val="000000" w:themeColor="text1"/>
        </w:rPr>
        <w:t xml:space="preserve"> </w:t>
      </w:r>
      <w:r w:rsidR="00102F07" w:rsidRPr="00234908">
        <w:rPr>
          <w:rFonts w:ascii="Book Antiqua" w:hAnsi="Book Antiqua"/>
          <w:color w:val="000000" w:themeColor="text1"/>
        </w:rPr>
        <w:t xml:space="preserve">eGFR: </w:t>
      </w:r>
      <w:r w:rsidR="00102F07" w:rsidRPr="00234908">
        <w:rPr>
          <w:rFonts w:ascii="Book Antiqua" w:eastAsia="Book Antiqua" w:hAnsi="Book Antiqua" w:cs="Book Antiqua"/>
          <w:color w:val="000000" w:themeColor="text1"/>
        </w:rPr>
        <w:t>Estimated glomerular filtration rate</w:t>
      </w:r>
      <w:r w:rsidR="00102F07" w:rsidRPr="00234908">
        <w:rPr>
          <w:rFonts w:ascii="Book Antiqua" w:hAnsi="Book Antiqua"/>
          <w:color w:val="000000" w:themeColor="text1"/>
        </w:rPr>
        <w:t xml:space="preserve">; ETV: </w:t>
      </w:r>
      <w:r w:rsidR="00102F07" w:rsidRPr="00234908">
        <w:rPr>
          <w:rFonts w:ascii="Book Antiqua" w:eastAsia="Book Antiqua" w:hAnsi="Book Antiqua" w:cs="Book Antiqua"/>
          <w:color w:val="000000" w:themeColor="text1"/>
        </w:rPr>
        <w:t>Entecavir</w:t>
      </w:r>
      <w:r w:rsidR="00102F07" w:rsidRPr="00234908">
        <w:rPr>
          <w:rFonts w:ascii="Book Antiqua" w:hAnsi="Book Antiqua"/>
          <w:color w:val="000000" w:themeColor="text1"/>
        </w:rPr>
        <w:t xml:space="preserve">; HBV: </w:t>
      </w:r>
      <w:r w:rsidR="00102F07" w:rsidRPr="00234908">
        <w:rPr>
          <w:rFonts w:ascii="Book Antiqua" w:eastAsia="Book Antiqua" w:hAnsi="Book Antiqua" w:cs="Book Antiqua"/>
          <w:color w:val="000000" w:themeColor="text1"/>
        </w:rPr>
        <w:t xml:space="preserve">Hepatitis B virus; </w:t>
      </w:r>
      <w:r w:rsidR="00B205CF" w:rsidRPr="00245598">
        <w:rPr>
          <w:rFonts w:ascii="Book Antiqua" w:hAnsi="Book Antiqua"/>
          <w:color w:val="000000" w:themeColor="text1"/>
        </w:rPr>
        <w:t>IFN:</w:t>
      </w:r>
      <w:r w:rsidR="0054314D" w:rsidRPr="00245598">
        <w:rPr>
          <w:rFonts w:ascii="Book Antiqua" w:hAnsi="Book Antiqua"/>
          <w:color w:val="000000" w:themeColor="text1"/>
        </w:rPr>
        <w:t xml:space="preserve"> Interferon alpha</w:t>
      </w:r>
      <w:r w:rsidR="00B205CF" w:rsidRPr="00245598">
        <w:rPr>
          <w:rFonts w:ascii="Book Antiqua" w:hAnsi="Book Antiqua"/>
          <w:color w:val="000000" w:themeColor="text1"/>
        </w:rPr>
        <w:t xml:space="preserve">; TDF: </w:t>
      </w:r>
      <w:r w:rsidR="001A7824" w:rsidRPr="00245598">
        <w:rPr>
          <w:rFonts w:ascii="Book Antiqua" w:eastAsia="Book Antiqua" w:hAnsi="Book Antiqua" w:cs="Book Antiqua"/>
          <w:color w:val="000000" w:themeColor="text1"/>
        </w:rPr>
        <w:t>Tenofovir disoproxil</w:t>
      </w:r>
      <w:r w:rsidR="00B205CF" w:rsidRPr="00245598">
        <w:rPr>
          <w:rFonts w:ascii="Book Antiqua" w:hAnsi="Book Antiqua"/>
          <w:color w:val="000000" w:themeColor="text1"/>
        </w:rPr>
        <w:t xml:space="preserve">; SPT: </w:t>
      </w:r>
      <w:r w:rsidR="001A7824" w:rsidRPr="00245598">
        <w:rPr>
          <w:rFonts w:ascii="Book Antiqua" w:hAnsi="Book Antiqua"/>
          <w:color w:val="000000" w:themeColor="text1"/>
        </w:rPr>
        <w:t>Subclinical proximal tubulopathy</w:t>
      </w:r>
      <w:r w:rsidR="00B205CF" w:rsidRPr="00245598">
        <w:rPr>
          <w:rFonts w:ascii="Book Antiqua" w:hAnsi="Book Antiqua"/>
          <w:color w:val="000000" w:themeColor="text1"/>
        </w:rPr>
        <w:t>.</w:t>
      </w:r>
    </w:p>
    <w:p w14:paraId="5ECECBB9" w14:textId="77777777" w:rsidR="00E211DF" w:rsidRPr="00245598" w:rsidRDefault="00E211DF">
      <w:pPr>
        <w:spacing w:line="360" w:lineRule="auto"/>
        <w:jc w:val="both"/>
        <w:rPr>
          <w:rFonts w:ascii="Book Antiqua" w:eastAsia="Book Antiqua" w:hAnsi="Book Antiqua" w:cs="Book Antiqua"/>
          <w:b/>
          <w:color w:val="000000" w:themeColor="text1"/>
        </w:rPr>
      </w:pPr>
    </w:p>
    <w:p w14:paraId="76B1926C" w14:textId="22A57BE7" w:rsidR="00B847F3" w:rsidRPr="00245598" w:rsidRDefault="00F60F02">
      <w:pPr>
        <w:spacing w:line="360" w:lineRule="auto"/>
        <w:jc w:val="both"/>
        <w:rPr>
          <w:rFonts w:ascii="Book Antiqua" w:hAnsi="Book Antiqua"/>
          <w:color w:val="000000" w:themeColor="text1"/>
        </w:rPr>
      </w:pPr>
      <w:r w:rsidRPr="00245598">
        <w:rPr>
          <w:rFonts w:ascii="Book Antiqua" w:hAnsi="Book Antiqua"/>
          <w:color w:val="000000" w:themeColor="text1"/>
        </w:rPr>
        <w:br w:type="page"/>
      </w:r>
      <w:r w:rsidR="0067313D" w:rsidRPr="00245598">
        <w:rPr>
          <w:rFonts w:ascii="Book Antiqua" w:hAnsi="Book Antiqua"/>
          <w:noProof/>
          <w:color w:val="000000" w:themeColor="text1"/>
          <w:lang w:eastAsia="zh-CN"/>
        </w:rPr>
        <w:lastRenderedPageBreak/>
        <w:drawing>
          <wp:inline distT="0" distB="0" distL="0" distR="0" wp14:anchorId="418F15D3" wp14:editId="16CD90B4">
            <wp:extent cx="5943600" cy="35794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579495"/>
                    </a:xfrm>
                    <a:prstGeom prst="rect">
                      <a:avLst/>
                    </a:prstGeom>
                  </pic:spPr>
                </pic:pic>
              </a:graphicData>
            </a:graphic>
          </wp:inline>
        </w:drawing>
      </w:r>
    </w:p>
    <w:p w14:paraId="4D855EDE" w14:textId="77777777" w:rsidR="00771B87" w:rsidRPr="00245598" w:rsidRDefault="00536A2D">
      <w:pPr>
        <w:pStyle w:val="Bibliographie2"/>
        <w:spacing w:after="0" w:line="360" w:lineRule="auto"/>
        <w:ind w:left="0" w:firstLine="0"/>
        <w:rPr>
          <w:color w:val="000000" w:themeColor="text1"/>
        </w:rPr>
      </w:pPr>
      <w:bookmarkStart w:id="9" w:name="OLE_LINK6"/>
      <w:bookmarkStart w:id="10" w:name="OLE_LINK7"/>
      <w:r w:rsidRPr="00245598">
        <w:rPr>
          <w:b/>
          <w:bCs/>
          <w:color w:val="000000" w:themeColor="text1"/>
        </w:rPr>
        <w:t xml:space="preserve">Figure 2 </w:t>
      </w:r>
      <w:r w:rsidR="0054314D" w:rsidRPr="00245598">
        <w:rPr>
          <w:b/>
          <w:bCs/>
          <w:color w:val="000000" w:themeColor="text1"/>
        </w:rPr>
        <w:t xml:space="preserve">Kaplan Meier curves for free </w:t>
      </w:r>
      <w:r w:rsidR="0083347D" w:rsidRPr="00245598">
        <w:rPr>
          <w:b/>
          <w:bCs/>
          <w:color w:val="000000" w:themeColor="text1"/>
        </w:rPr>
        <w:t>subclinical proximal tubulopathy</w:t>
      </w:r>
      <w:r w:rsidR="0054314D" w:rsidRPr="00245598">
        <w:rPr>
          <w:b/>
          <w:bCs/>
          <w:color w:val="000000" w:themeColor="text1"/>
        </w:rPr>
        <w:t xml:space="preserve"> survival among the different groups (</w:t>
      </w:r>
      <w:r w:rsidR="004F4DDC" w:rsidRPr="00245598">
        <w:rPr>
          <w:b/>
          <w:bCs/>
          <w:color w:val="000000" w:themeColor="text1"/>
        </w:rPr>
        <w:t>entecavir</w:t>
      </w:r>
      <w:r w:rsidR="0054314D" w:rsidRPr="00245598">
        <w:rPr>
          <w:b/>
          <w:bCs/>
          <w:color w:val="000000" w:themeColor="text1"/>
        </w:rPr>
        <w:t xml:space="preserve">, naive, </w:t>
      </w:r>
      <w:r w:rsidR="004F4DDC" w:rsidRPr="00245598">
        <w:rPr>
          <w:b/>
          <w:bCs/>
          <w:color w:val="000000" w:themeColor="text1"/>
        </w:rPr>
        <w:t>tenofovir disoproxil</w:t>
      </w:r>
      <w:r w:rsidR="0054314D" w:rsidRPr="00245598">
        <w:rPr>
          <w:b/>
          <w:bCs/>
          <w:color w:val="000000" w:themeColor="text1"/>
        </w:rPr>
        <w:t>)</w:t>
      </w:r>
      <w:r w:rsidR="003F1700" w:rsidRPr="00245598">
        <w:rPr>
          <w:b/>
          <w:bCs/>
          <w:color w:val="000000" w:themeColor="text1"/>
        </w:rPr>
        <w:t>.</w:t>
      </w:r>
      <w:bookmarkEnd w:id="9"/>
      <w:bookmarkEnd w:id="10"/>
      <w:r w:rsidR="003F1700" w:rsidRPr="00245598">
        <w:rPr>
          <w:color w:val="000000" w:themeColor="text1"/>
        </w:rPr>
        <w:t xml:space="preserve"> </w:t>
      </w:r>
      <w:r w:rsidR="0067313D" w:rsidRPr="00245598">
        <w:rPr>
          <w:color w:val="000000" w:themeColor="text1"/>
        </w:rPr>
        <w:t>ETV: Entecavir; TDF: Tenofovir disoproxil.</w:t>
      </w:r>
    </w:p>
    <w:p w14:paraId="499F3F03" w14:textId="77777777" w:rsidR="00771B87" w:rsidRPr="00245598" w:rsidRDefault="00771B87">
      <w:pPr>
        <w:pStyle w:val="Bibliographie2"/>
        <w:spacing w:after="0" w:line="360" w:lineRule="auto"/>
        <w:ind w:left="0" w:firstLine="0"/>
        <w:rPr>
          <w:color w:val="000000" w:themeColor="text1"/>
        </w:rPr>
      </w:pPr>
    </w:p>
    <w:p w14:paraId="6B3A6C60" w14:textId="6E317528" w:rsidR="00160D54" w:rsidRPr="00245598" w:rsidRDefault="00D20A34">
      <w:pPr>
        <w:pStyle w:val="Bibliographie2"/>
        <w:spacing w:after="0" w:line="360" w:lineRule="auto"/>
        <w:ind w:left="0" w:firstLine="0"/>
        <w:rPr>
          <w:b/>
          <w:bCs/>
          <w:color w:val="000000" w:themeColor="text1"/>
        </w:rPr>
      </w:pPr>
      <w:r w:rsidRPr="00245598">
        <w:rPr>
          <w:color w:val="000000" w:themeColor="text1"/>
        </w:rPr>
        <w:br w:type="page"/>
      </w:r>
      <w:r w:rsidR="00160D54" w:rsidRPr="00245598">
        <w:rPr>
          <w:b/>
          <w:bCs/>
          <w:color w:val="000000" w:themeColor="text1"/>
        </w:rPr>
        <w:lastRenderedPageBreak/>
        <w:t>Table 1 Characteristics of the patients with no subclinical proximal tubulopathy at on day 0</w:t>
      </w:r>
    </w:p>
    <w:tbl>
      <w:tblPr>
        <w:tblW w:w="9921" w:type="dxa"/>
        <w:tblBorders>
          <w:top w:val="single" w:sz="4" w:space="0" w:color="auto"/>
          <w:bottom w:val="single" w:sz="4" w:space="0" w:color="auto"/>
        </w:tblBorders>
        <w:tblCellMar>
          <w:left w:w="57" w:type="dxa"/>
          <w:right w:w="57" w:type="dxa"/>
        </w:tblCellMar>
        <w:tblLook w:val="04A0" w:firstRow="1" w:lastRow="0" w:firstColumn="1" w:lastColumn="0" w:noHBand="0" w:noVBand="1"/>
      </w:tblPr>
      <w:tblGrid>
        <w:gridCol w:w="1471"/>
        <w:gridCol w:w="1405"/>
        <w:gridCol w:w="6"/>
        <w:gridCol w:w="1411"/>
        <w:gridCol w:w="1411"/>
        <w:gridCol w:w="1407"/>
        <w:gridCol w:w="1405"/>
        <w:gridCol w:w="1405"/>
      </w:tblGrid>
      <w:tr w:rsidR="00DE6AEC" w:rsidRPr="00234908" w14:paraId="6C25DBB4" w14:textId="77777777" w:rsidTr="00E36494">
        <w:trPr>
          <w:trHeight w:val="569"/>
        </w:trPr>
        <w:tc>
          <w:tcPr>
            <w:tcW w:w="1471" w:type="dxa"/>
            <w:tcBorders>
              <w:top w:val="single" w:sz="4" w:space="0" w:color="auto"/>
              <w:bottom w:val="single" w:sz="4" w:space="0" w:color="auto"/>
            </w:tcBorders>
            <w:shd w:val="clear" w:color="auto" w:fill="auto"/>
            <w:hideMark/>
          </w:tcPr>
          <w:p w14:paraId="3B5C8F45" w14:textId="77777777" w:rsidR="00160D54" w:rsidRPr="00245598" w:rsidRDefault="00160D54">
            <w:pPr>
              <w:spacing w:line="360" w:lineRule="auto"/>
              <w:jc w:val="both"/>
              <w:rPr>
                <w:rFonts w:ascii="Book Antiqua" w:hAnsi="Book Antiqua" w:cs="Calibri"/>
                <w:b/>
                <w:bCs/>
                <w:color w:val="000000" w:themeColor="text1"/>
              </w:rPr>
            </w:pPr>
            <w:r w:rsidRPr="00245598">
              <w:rPr>
                <w:rFonts w:ascii="Book Antiqua" w:hAnsi="Book Antiqua" w:cs="Calibri"/>
                <w:b/>
                <w:bCs/>
                <w:color w:val="000000" w:themeColor="text1"/>
              </w:rPr>
              <w:t>Variables</w:t>
            </w:r>
          </w:p>
        </w:tc>
        <w:tc>
          <w:tcPr>
            <w:tcW w:w="1411" w:type="dxa"/>
            <w:gridSpan w:val="2"/>
            <w:tcBorders>
              <w:top w:val="single" w:sz="4" w:space="0" w:color="auto"/>
              <w:bottom w:val="single" w:sz="4" w:space="0" w:color="auto"/>
            </w:tcBorders>
            <w:shd w:val="clear" w:color="auto" w:fill="auto"/>
            <w:hideMark/>
          </w:tcPr>
          <w:p w14:paraId="68F10F39" w14:textId="75B901EF" w:rsidR="00160D54" w:rsidRPr="00245598" w:rsidRDefault="00160D54">
            <w:pPr>
              <w:spacing w:line="360" w:lineRule="auto"/>
              <w:jc w:val="both"/>
              <w:rPr>
                <w:rFonts w:ascii="Book Antiqua" w:hAnsi="Book Antiqua" w:cs="Calibri"/>
                <w:b/>
                <w:bCs/>
                <w:color w:val="000000" w:themeColor="text1"/>
              </w:rPr>
            </w:pPr>
            <w:r w:rsidRPr="00245598">
              <w:rPr>
                <w:rFonts w:ascii="Book Antiqua" w:hAnsi="Book Antiqua" w:cs="Calibri"/>
                <w:b/>
                <w:bCs/>
                <w:color w:val="000000" w:themeColor="text1"/>
              </w:rPr>
              <w:t>Global (</w:t>
            </w:r>
            <w:r w:rsidRPr="00245598">
              <w:rPr>
                <w:rFonts w:ascii="Book Antiqua" w:hAnsi="Book Antiqua" w:cs="Calibri"/>
                <w:b/>
                <w:bCs/>
                <w:i/>
                <w:iCs/>
                <w:color w:val="000000" w:themeColor="text1"/>
              </w:rPr>
              <w:t>n</w:t>
            </w:r>
            <w:r w:rsidRPr="00245598">
              <w:rPr>
                <w:rFonts w:ascii="Book Antiqua" w:hAnsi="Book Antiqua" w:cs="Calibri"/>
                <w:b/>
                <w:bCs/>
                <w:color w:val="000000" w:themeColor="text1"/>
              </w:rPr>
              <w:t xml:space="preserve"> = 138)</w:t>
            </w:r>
            <w:r w:rsidRPr="00245598">
              <w:rPr>
                <w:rFonts w:ascii="Book Antiqua" w:hAnsi="Book Antiqua" w:cs="Calibri"/>
                <w:b/>
                <w:bCs/>
                <w:color w:val="000000" w:themeColor="text1"/>
                <w:lang w:eastAsia="zh-CN"/>
              </w:rPr>
              <w:t xml:space="preserve">; </w:t>
            </w:r>
            <w:r w:rsidR="00BE37C4" w:rsidRPr="00245598">
              <w:rPr>
                <w:rFonts w:ascii="Book Antiqua" w:hAnsi="Book Antiqua" w:cs="Calibri"/>
                <w:b/>
                <w:bCs/>
                <w:i/>
                <w:iCs/>
                <w:color w:val="000000" w:themeColor="text1"/>
              </w:rPr>
              <w:t>n</w:t>
            </w:r>
            <w:r w:rsidR="00BE37C4" w:rsidRPr="00245598">
              <w:rPr>
                <w:rFonts w:ascii="Book Antiqua" w:hAnsi="Book Antiqua" w:cs="Calibri"/>
                <w:b/>
                <w:bCs/>
                <w:color w:val="000000" w:themeColor="text1"/>
              </w:rPr>
              <w:t xml:space="preserve"> </w:t>
            </w:r>
            <w:r w:rsidRPr="00245598">
              <w:rPr>
                <w:rFonts w:ascii="Book Antiqua" w:hAnsi="Book Antiqua" w:cs="Calibri"/>
                <w:b/>
                <w:bCs/>
                <w:color w:val="000000" w:themeColor="text1"/>
              </w:rPr>
              <w:t>(%) ou</w:t>
            </w:r>
            <w:r w:rsidRPr="00245598">
              <w:rPr>
                <w:rFonts w:ascii="Book Antiqua" w:hAnsi="Book Antiqua" w:cs="Calibri"/>
                <w:b/>
                <w:bCs/>
                <w:color w:val="000000" w:themeColor="text1"/>
                <w:lang w:eastAsia="zh-CN"/>
              </w:rPr>
              <w:t xml:space="preserve">; </w:t>
            </w:r>
            <w:r w:rsidRPr="00245598">
              <w:rPr>
                <w:rFonts w:ascii="Book Antiqua" w:hAnsi="Book Antiqua" w:cs="Calibri"/>
                <w:b/>
                <w:bCs/>
                <w:color w:val="000000" w:themeColor="text1"/>
              </w:rPr>
              <w:t>median (Q1; Q3)</w:t>
            </w:r>
            <w:r w:rsidRPr="00245598">
              <w:rPr>
                <w:rFonts w:ascii="Book Antiqua" w:hAnsi="Book Antiqua" w:cs="Calibri"/>
                <w:b/>
                <w:bCs/>
                <w:color w:val="000000" w:themeColor="text1"/>
                <w:lang w:eastAsia="zh-CN"/>
              </w:rPr>
              <w:t xml:space="preserve">; </w:t>
            </w:r>
            <w:r w:rsidRPr="00245598">
              <w:rPr>
                <w:rFonts w:ascii="Book Antiqua" w:hAnsi="Book Antiqua" w:cs="Calibri"/>
                <w:b/>
                <w:bCs/>
                <w:color w:val="000000" w:themeColor="text1"/>
              </w:rPr>
              <w:t>(</w:t>
            </w:r>
            <w:r w:rsidR="00BE37C4" w:rsidRPr="00245598">
              <w:rPr>
                <w:rFonts w:ascii="Book Antiqua" w:hAnsi="Book Antiqua" w:cs="Calibri"/>
                <w:b/>
                <w:bCs/>
                <w:i/>
                <w:iCs/>
                <w:color w:val="000000" w:themeColor="text1"/>
              </w:rPr>
              <w:t>n</w:t>
            </w:r>
            <w:r w:rsidRPr="00245598">
              <w:rPr>
                <w:rFonts w:ascii="Book Antiqua" w:hAnsi="Book Antiqua" w:cs="Calibri"/>
                <w:b/>
                <w:bCs/>
                <w:color w:val="000000" w:themeColor="text1"/>
              </w:rPr>
              <w:t>) (min-max)</w:t>
            </w:r>
          </w:p>
        </w:tc>
        <w:tc>
          <w:tcPr>
            <w:tcW w:w="1411" w:type="dxa"/>
            <w:tcBorders>
              <w:top w:val="single" w:sz="4" w:space="0" w:color="auto"/>
              <w:bottom w:val="single" w:sz="4" w:space="0" w:color="auto"/>
            </w:tcBorders>
            <w:shd w:val="clear" w:color="auto" w:fill="auto"/>
            <w:hideMark/>
          </w:tcPr>
          <w:p w14:paraId="02E1F0A7" w14:textId="7BF449B3" w:rsidR="00160D54" w:rsidRPr="00245598" w:rsidRDefault="00160D54">
            <w:pPr>
              <w:spacing w:line="360" w:lineRule="auto"/>
              <w:jc w:val="both"/>
              <w:rPr>
                <w:rFonts w:ascii="Book Antiqua" w:hAnsi="Book Antiqua" w:cs="Calibri"/>
                <w:b/>
                <w:bCs/>
                <w:color w:val="000000" w:themeColor="text1"/>
              </w:rPr>
            </w:pPr>
            <w:r w:rsidRPr="00245598">
              <w:rPr>
                <w:rFonts w:ascii="Book Antiqua" w:hAnsi="Book Antiqua" w:cs="Calibri"/>
                <w:b/>
                <w:bCs/>
                <w:color w:val="000000" w:themeColor="text1"/>
              </w:rPr>
              <w:t>ETV (</w:t>
            </w:r>
            <w:r w:rsidRPr="00245598">
              <w:rPr>
                <w:rFonts w:ascii="Book Antiqua" w:hAnsi="Book Antiqua" w:cs="Calibri"/>
                <w:b/>
                <w:bCs/>
                <w:i/>
                <w:iCs/>
                <w:color w:val="000000" w:themeColor="text1"/>
              </w:rPr>
              <w:t>n</w:t>
            </w:r>
            <w:r w:rsidRPr="00245598">
              <w:rPr>
                <w:rFonts w:ascii="Book Antiqua" w:hAnsi="Book Antiqua" w:cs="Calibri"/>
                <w:b/>
                <w:bCs/>
                <w:color w:val="000000" w:themeColor="text1"/>
              </w:rPr>
              <w:t xml:space="preserve"> = 28)</w:t>
            </w:r>
            <w:r w:rsidRPr="00245598">
              <w:rPr>
                <w:rFonts w:ascii="Book Antiqua" w:hAnsi="Book Antiqua" w:cs="Calibri"/>
                <w:b/>
                <w:bCs/>
                <w:color w:val="000000" w:themeColor="text1"/>
                <w:lang w:eastAsia="zh-CN"/>
              </w:rPr>
              <w:t xml:space="preserve">; </w:t>
            </w:r>
            <w:r w:rsidR="00BE37C4" w:rsidRPr="00245598">
              <w:rPr>
                <w:rFonts w:ascii="Book Antiqua" w:hAnsi="Book Antiqua" w:cs="Calibri"/>
                <w:b/>
                <w:bCs/>
                <w:i/>
                <w:iCs/>
                <w:color w:val="000000" w:themeColor="text1"/>
              </w:rPr>
              <w:t>n</w:t>
            </w:r>
            <w:r w:rsidRPr="00245598">
              <w:rPr>
                <w:rFonts w:ascii="Book Antiqua" w:hAnsi="Book Antiqua" w:cs="Calibri"/>
                <w:b/>
                <w:bCs/>
                <w:i/>
                <w:iCs/>
                <w:color w:val="000000" w:themeColor="text1"/>
              </w:rPr>
              <w:t xml:space="preserve"> </w:t>
            </w:r>
            <w:r w:rsidRPr="00245598">
              <w:rPr>
                <w:rFonts w:ascii="Book Antiqua" w:hAnsi="Book Antiqua" w:cs="Calibri"/>
                <w:b/>
                <w:bCs/>
                <w:color w:val="000000" w:themeColor="text1"/>
              </w:rPr>
              <w:t>(%) ou;</w:t>
            </w:r>
            <w:r w:rsidRPr="00245598">
              <w:rPr>
                <w:rFonts w:ascii="Book Antiqua" w:hAnsi="Book Antiqua" w:cs="Calibri"/>
                <w:b/>
                <w:bCs/>
                <w:color w:val="000000" w:themeColor="text1"/>
                <w:lang w:eastAsia="zh-CN"/>
              </w:rPr>
              <w:t xml:space="preserve"> </w:t>
            </w:r>
            <w:r w:rsidRPr="00245598">
              <w:rPr>
                <w:rFonts w:ascii="Book Antiqua" w:hAnsi="Book Antiqua" w:cs="Calibri"/>
                <w:b/>
                <w:bCs/>
                <w:color w:val="000000" w:themeColor="text1"/>
              </w:rPr>
              <w:t>median (Q1; Q3) (</w:t>
            </w:r>
            <w:r w:rsidR="00BE37C4" w:rsidRPr="00245598">
              <w:rPr>
                <w:rFonts w:ascii="Book Antiqua" w:hAnsi="Book Antiqua" w:cs="Calibri"/>
                <w:b/>
                <w:bCs/>
                <w:color w:val="000000" w:themeColor="text1"/>
              </w:rPr>
              <w:t>n</w:t>
            </w:r>
            <w:r w:rsidRPr="00245598">
              <w:rPr>
                <w:rFonts w:ascii="Book Antiqua" w:hAnsi="Book Antiqua" w:cs="Calibri"/>
                <w:b/>
                <w:bCs/>
                <w:color w:val="000000" w:themeColor="text1"/>
              </w:rPr>
              <w:t>) (min-max)</w:t>
            </w:r>
          </w:p>
        </w:tc>
        <w:tc>
          <w:tcPr>
            <w:tcW w:w="1411" w:type="dxa"/>
            <w:tcBorders>
              <w:top w:val="single" w:sz="4" w:space="0" w:color="auto"/>
              <w:bottom w:val="single" w:sz="4" w:space="0" w:color="auto"/>
            </w:tcBorders>
            <w:shd w:val="clear" w:color="auto" w:fill="auto"/>
            <w:hideMark/>
          </w:tcPr>
          <w:p w14:paraId="30D9DC35" w14:textId="0601BC37" w:rsidR="00160D54" w:rsidRPr="00245598" w:rsidRDefault="00160D54">
            <w:pPr>
              <w:spacing w:line="360" w:lineRule="auto"/>
              <w:jc w:val="both"/>
              <w:rPr>
                <w:rFonts w:ascii="Book Antiqua" w:hAnsi="Book Antiqua" w:cs="Calibri"/>
                <w:b/>
                <w:bCs/>
                <w:color w:val="000000" w:themeColor="text1"/>
              </w:rPr>
            </w:pPr>
            <w:r w:rsidRPr="00245598">
              <w:rPr>
                <w:rFonts w:ascii="Book Antiqua" w:hAnsi="Book Antiqua" w:cs="Calibri"/>
                <w:b/>
                <w:bCs/>
                <w:color w:val="000000" w:themeColor="text1"/>
              </w:rPr>
              <w:t>Naive (</w:t>
            </w:r>
            <w:r w:rsidRPr="00245598">
              <w:rPr>
                <w:rFonts w:ascii="Book Antiqua" w:hAnsi="Book Antiqua" w:cs="Calibri"/>
                <w:b/>
                <w:bCs/>
                <w:i/>
                <w:iCs/>
                <w:color w:val="000000" w:themeColor="text1"/>
              </w:rPr>
              <w:t>n</w:t>
            </w:r>
            <w:r w:rsidRPr="00245598">
              <w:rPr>
                <w:rFonts w:ascii="Book Antiqua" w:hAnsi="Book Antiqua" w:cs="Calibri"/>
                <w:b/>
                <w:bCs/>
                <w:color w:val="000000" w:themeColor="text1"/>
              </w:rPr>
              <w:t xml:space="preserve"> = 84)</w:t>
            </w:r>
            <w:r w:rsidRPr="00245598">
              <w:rPr>
                <w:rFonts w:ascii="Book Antiqua" w:hAnsi="Book Antiqua" w:cs="Calibri"/>
                <w:b/>
                <w:bCs/>
                <w:color w:val="000000" w:themeColor="text1"/>
                <w:lang w:eastAsia="zh-CN"/>
              </w:rPr>
              <w:t xml:space="preserve">; </w:t>
            </w:r>
            <w:r w:rsidR="00BE37C4" w:rsidRPr="00245598">
              <w:rPr>
                <w:rFonts w:ascii="Book Antiqua" w:hAnsi="Book Antiqua" w:cs="Calibri"/>
                <w:b/>
                <w:bCs/>
                <w:i/>
                <w:iCs/>
                <w:color w:val="000000" w:themeColor="text1"/>
              </w:rPr>
              <w:t>n</w:t>
            </w:r>
            <w:r w:rsidRPr="00245598">
              <w:rPr>
                <w:rFonts w:ascii="Book Antiqua" w:hAnsi="Book Antiqua" w:cs="Calibri"/>
                <w:b/>
                <w:bCs/>
                <w:color w:val="000000" w:themeColor="text1"/>
              </w:rPr>
              <w:t xml:space="preserve"> (%) ou</w:t>
            </w:r>
            <w:r w:rsidRPr="00245598">
              <w:rPr>
                <w:rFonts w:ascii="Book Antiqua" w:hAnsi="Book Antiqua" w:cs="Calibri"/>
                <w:b/>
                <w:bCs/>
                <w:color w:val="000000" w:themeColor="text1"/>
                <w:lang w:eastAsia="zh-CN"/>
              </w:rPr>
              <w:t xml:space="preserve">; </w:t>
            </w:r>
            <w:r w:rsidRPr="00245598">
              <w:rPr>
                <w:rFonts w:ascii="Book Antiqua" w:hAnsi="Book Antiqua" w:cs="Calibri"/>
                <w:b/>
                <w:bCs/>
                <w:color w:val="000000" w:themeColor="text1"/>
              </w:rPr>
              <w:t>median (Q1; Q3) (</w:t>
            </w:r>
            <w:r w:rsidR="00BE37C4" w:rsidRPr="00245598">
              <w:rPr>
                <w:rFonts w:ascii="Book Antiqua" w:hAnsi="Book Antiqua" w:cs="Calibri"/>
                <w:b/>
                <w:bCs/>
                <w:i/>
                <w:iCs/>
                <w:color w:val="000000" w:themeColor="text1"/>
              </w:rPr>
              <w:t>n</w:t>
            </w:r>
            <w:r w:rsidRPr="00245598">
              <w:rPr>
                <w:rFonts w:ascii="Book Antiqua" w:hAnsi="Book Antiqua" w:cs="Calibri"/>
                <w:b/>
                <w:bCs/>
                <w:color w:val="000000" w:themeColor="text1"/>
              </w:rPr>
              <w:t>) (min-max)</w:t>
            </w:r>
          </w:p>
        </w:tc>
        <w:tc>
          <w:tcPr>
            <w:tcW w:w="1407" w:type="dxa"/>
            <w:tcBorders>
              <w:top w:val="single" w:sz="4" w:space="0" w:color="auto"/>
              <w:bottom w:val="single" w:sz="4" w:space="0" w:color="auto"/>
            </w:tcBorders>
            <w:shd w:val="clear" w:color="auto" w:fill="auto"/>
            <w:hideMark/>
          </w:tcPr>
          <w:p w14:paraId="30E1B72C" w14:textId="51971871" w:rsidR="00160D54" w:rsidRPr="00245598" w:rsidRDefault="00160D54">
            <w:pPr>
              <w:spacing w:line="360" w:lineRule="auto"/>
              <w:jc w:val="both"/>
              <w:rPr>
                <w:rFonts w:ascii="Book Antiqua" w:hAnsi="Book Antiqua" w:cs="Calibri"/>
                <w:b/>
                <w:bCs/>
                <w:color w:val="000000" w:themeColor="text1"/>
              </w:rPr>
            </w:pPr>
            <w:r w:rsidRPr="00245598">
              <w:rPr>
                <w:rFonts w:ascii="Book Antiqua" w:hAnsi="Book Antiqua" w:cs="Calibri"/>
                <w:b/>
                <w:bCs/>
                <w:color w:val="000000" w:themeColor="text1"/>
              </w:rPr>
              <w:t>TDF (</w:t>
            </w:r>
            <w:r w:rsidRPr="00245598">
              <w:rPr>
                <w:rFonts w:ascii="Book Antiqua" w:hAnsi="Book Antiqua" w:cs="Calibri"/>
                <w:b/>
                <w:bCs/>
                <w:i/>
                <w:iCs/>
                <w:color w:val="000000" w:themeColor="text1"/>
              </w:rPr>
              <w:t>n</w:t>
            </w:r>
            <w:r w:rsidRPr="00245598">
              <w:rPr>
                <w:rFonts w:ascii="Book Antiqua" w:hAnsi="Book Antiqua" w:cs="Calibri"/>
                <w:b/>
                <w:bCs/>
                <w:color w:val="000000" w:themeColor="text1"/>
              </w:rPr>
              <w:t xml:space="preserve"> = 26)</w:t>
            </w:r>
            <w:r w:rsidRPr="00245598">
              <w:rPr>
                <w:rFonts w:ascii="Book Antiqua" w:hAnsi="Book Antiqua" w:cs="Calibri"/>
                <w:b/>
                <w:bCs/>
                <w:color w:val="000000" w:themeColor="text1"/>
                <w:lang w:eastAsia="zh-CN"/>
              </w:rPr>
              <w:t xml:space="preserve">; </w:t>
            </w:r>
            <w:r w:rsidR="00BE37C4" w:rsidRPr="00245598">
              <w:rPr>
                <w:rFonts w:ascii="Book Antiqua" w:hAnsi="Book Antiqua" w:cs="Calibri"/>
                <w:b/>
                <w:bCs/>
                <w:i/>
                <w:iCs/>
                <w:color w:val="000000" w:themeColor="text1"/>
              </w:rPr>
              <w:t>n</w:t>
            </w:r>
            <w:r w:rsidRPr="00245598">
              <w:rPr>
                <w:rFonts w:ascii="Book Antiqua" w:hAnsi="Book Antiqua" w:cs="Calibri"/>
                <w:b/>
                <w:bCs/>
                <w:color w:val="000000" w:themeColor="text1"/>
              </w:rPr>
              <w:t xml:space="preserve"> (%) ou</w:t>
            </w:r>
            <w:r w:rsidRPr="00245598">
              <w:rPr>
                <w:rFonts w:ascii="Book Antiqua" w:hAnsi="Book Antiqua" w:cs="Calibri"/>
                <w:b/>
                <w:bCs/>
                <w:color w:val="000000" w:themeColor="text1"/>
                <w:lang w:eastAsia="zh-CN"/>
              </w:rPr>
              <w:t xml:space="preserve">; </w:t>
            </w:r>
            <w:r w:rsidRPr="00245598">
              <w:rPr>
                <w:rFonts w:ascii="Book Antiqua" w:hAnsi="Book Antiqua" w:cs="Calibri"/>
                <w:b/>
                <w:bCs/>
                <w:color w:val="000000" w:themeColor="text1"/>
              </w:rPr>
              <w:t>median (Q1; Q3) (</w:t>
            </w:r>
            <w:r w:rsidR="00BE37C4" w:rsidRPr="00245598">
              <w:rPr>
                <w:rFonts w:ascii="Book Antiqua" w:hAnsi="Book Antiqua" w:cs="Calibri"/>
                <w:b/>
                <w:bCs/>
                <w:i/>
                <w:iCs/>
                <w:color w:val="000000" w:themeColor="text1"/>
              </w:rPr>
              <w:t>n</w:t>
            </w:r>
            <w:r w:rsidRPr="00245598">
              <w:rPr>
                <w:rFonts w:ascii="Book Antiqua" w:hAnsi="Book Antiqua" w:cs="Calibri"/>
                <w:b/>
                <w:bCs/>
                <w:color w:val="000000" w:themeColor="text1"/>
              </w:rPr>
              <w:t>) (min-max)</w:t>
            </w:r>
          </w:p>
        </w:tc>
        <w:tc>
          <w:tcPr>
            <w:tcW w:w="1405" w:type="dxa"/>
            <w:tcBorders>
              <w:top w:val="single" w:sz="4" w:space="0" w:color="auto"/>
              <w:bottom w:val="single" w:sz="4" w:space="0" w:color="auto"/>
            </w:tcBorders>
            <w:shd w:val="clear" w:color="auto" w:fill="auto"/>
            <w:hideMark/>
          </w:tcPr>
          <w:p w14:paraId="5E3CDC43" w14:textId="25C14D82" w:rsidR="00160D54" w:rsidRPr="00245598" w:rsidRDefault="00160D54">
            <w:pPr>
              <w:spacing w:line="360" w:lineRule="auto"/>
              <w:jc w:val="both"/>
              <w:rPr>
                <w:rFonts w:ascii="Book Antiqua" w:hAnsi="Book Antiqua" w:cs="Calibri"/>
                <w:b/>
                <w:bCs/>
                <w:color w:val="000000" w:themeColor="text1"/>
              </w:rPr>
            </w:pPr>
            <w:r w:rsidRPr="00245598">
              <w:rPr>
                <w:rFonts w:ascii="Book Antiqua" w:hAnsi="Book Antiqua" w:cs="Calibri"/>
                <w:b/>
                <w:bCs/>
                <w:i/>
                <w:iCs/>
                <w:color w:val="000000" w:themeColor="text1"/>
              </w:rPr>
              <w:t>P</w:t>
            </w:r>
            <w:r w:rsidRPr="00245598">
              <w:rPr>
                <w:rFonts w:ascii="Book Antiqua" w:hAnsi="Book Antiqua" w:cs="Calibri"/>
                <w:b/>
                <w:bCs/>
                <w:color w:val="000000" w:themeColor="text1"/>
              </w:rPr>
              <w:t xml:space="preserve"> value</w:t>
            </w:r>
            <w:r w:rsidRPr="00245598">
              <w:rPr>
                <w:rFonts w:ascii="Book Antiqua" w:hAnsi="Book Antiqua" w:cs="Calibri"/>
                <w:b/>
                <w:bCs/>
                <w:color w:val="000000" w:themeColor="text1"/>
                <w:lang w:eastAsia="zh-CN"/>
              </w:rPr>
              <w:t xml:space="preserve">; </w:t>
            </w:r>
            <w:r w:rsidRPr="00245598">
              <w:rPr>
                <w:rFonts w:ascii="Book Antiqua" w:hAnsi="Book Antiqua" w:cs="Calibri"/>
                <w:b/>
                <w:bCs/>
                <w:color w:val="000000" w:themeColor="text1"/>
              </w:rPr>
              <w:t>ETV</w:t>
            </w:r>
            <w:r w:rsidR="005F2D33" w:rsidRPr="00245598">
              <w:rPr>
                <w:rFonts w:ascii="Book Antiqua" w:hAnsi="Book Antiqua" w:cs="Calibri"/>
                <w:b/>
                <w:bCs/>
                <w:color w:val="000000" w:themeColor="text1"/>
                <w:lang w:eastAsia="zh-CN"/>
              </w:rPr>
              <w:t xml:space="preserve"> </w:t>
            </w:r>
            <w:r w:rsidR="005F2D33" w:rsidRPr="00245598">
              <w:rPr>
                <w:rFonts w:ascii="Book Antiqua" w:hAnsi="Book Antiqua" w:cs="Calibri"/>
                <w:b/>
                <w:bCs/>
                <w:i/>
                <w:iCs/>
                <w:color w:val="000000" w:themeColor="text1"/>
              </w:rPr>
              <w:t>vs</w:t>
            </w:r>
            <w:r w:rsidRPr="00245598">
              <w:rPr>
                <w:rFonts w:ascii="Book Antiqua" w:hAnsi="Book Antiqua" w:cs="Calibri"/>
                <w:b/>
                <w:bCs/>
                <w:color w:val="000000" w:themeColor="text1"/>
              </w:rPr>
              <w:t xml:space="preserve"> naive</w:t>
            </w:r>
          </w:p>
        </w:tc>
        <w:tc>
          <w:tcPr>
            <w:tcW w:w="1405" w:type="dxa"/>
            <w:tcBorders>
              <w:top w:val="single" w:sz="4" w:space="0" w:color="auto"/>
              <w:bottom w:val="single" w:sz="4" w:space="0" w:color="auto"/>
            </w:tcBorders>
          </w:tcPr>
          <w:p w14:paraId="5FDAE8E7" w14:textId="03C744EE" w:rsidR="00160D54" w:rsidRPr="00245598" w:rsidRDefault="00160D54">
            <w:pPr>
              <w:spacing w:line="360" w:lineRule="auto"/>
              <w:jc w:val="both"/>
              <w:rPr>
                <w:rFonts w:ascii="Book Antiqua" w:hAnsi="Book Antiqua" w:cs="Calibri"/>
                <w:b/>
                <w:bCs/>
                <w:i/>
                <w:iCs/>
                <w:color w:val="000000" w:themeColor="text1"/>
              </w:rPr>
            </w:pPr>
            <w:r w:rsidRPr="00245598">
              <w:rPr>
                <w:rFonts w:ascii="Book Antiqua" w:hAnsi="Book Antiqua" w:cs="Calibri"/>
                <w:b/>
                <w:bCs/>
                <w:i/>
                <w:iCs/>
                <w:color w:val="000000" w:themeColor="text1"/>
              </w:rPr>
              <w:t>P</w:t>
            </w:r>
            <w:r w:rsidRPr="00245598">
              <w:rPr>
                <w:rFonts w:ascii="Book Antiqua" w:hAnsi="Book Antiqua" w:cs="Calibri"/>
                <w:b/>
                <w:bCs/>
                <w:color w:val="000000" w:themeColor="text1"/>
              </w:rPr>
              <w:t xml:space="preserve"> value</w:t>
            </w:r>
            <w:r w:rsidRPr="00245598">
              <w:rPr>
                <w:rFonts w:ascii="Book Antiqua" w:hAnsi="Book Antiqua" w:cs="Calibri"/>
                <w:b/>
                <w:bCs/>
                <w:color w:val="000000" w:themeColor="text1"/>
                <w:lang w:eastAsia="zh-CN"/>
              </w:rPr>
              <w:t>;</w:t>
            </w:r>
            <w:r w:rsidR="00610D5D" w:rsidRPr="00234908">
              <w:rPr>
                <w:rFonts w:ascii="Book Antiqua" w:hAnsi="Book Antiqua" w:cs="Calibri"/>
                <w:b/>
                <w:bCs/>
                <w:color w:val="000000" w:themeColor="text1"/>
                <w:lang w:eastAsia="zh-CN"/>
              </w:rPr>
              <w:t xml:space="preserve"> </w:t>
            </w:r>
            <w:r w:rsidRPr="00245598">
              <w:rPr>
                <w:rFonts w:ascii="Book Antiqua" w:hAnsi="Book Antiqua" w:cs="Calibri"/>
                <w:b/>
                <w:bCs/>
                <w:color w:val="000000" w:themeColor="text1"/>
              </w:rPr>
              <w:t>TDF</w:t>
            </w:r>
            <w:r w:rsidR="005F2D33" w:rsidRPr="00245598">
              <w:rPr>
                <w:rFonts w:ascii="Book Antiqua" w:hAnsi="Book Antiqua" w:cs="Calibri"/>
                <w:b/>
                <w:bCs/>
                <w:color w:val="000000" w:themeColor="text1"/>
                <w:lang w:eastAsia="zh-CN"/>
              </w:rPr>
              <w:t xml:space="preserve"> </w:t>
            </w:r>
            <w:proofErr w:type="gramStart"/>
            <w:r w:rsidR="005F2D33" w:rsidRPr="00245598">
              <w:rPr>
                <w:rFonts w:ascii="Book Antiqua" w:hAnsi="Book Antiqua" w:cs="Calibri"/>
                <w:b/>
                <w:bCs/>
                <w:i/>
                <w:iCs/>
                <w:color w:val="000000" w:themeColor="text1"/>
              </w:rPr>
              <w:t>vs</w:t>
            </w:r>
            <w:r w:rsidR="005F2D33" w:rsidRPr="00245598">
              <w:rPr>
                <w:rFonts w:ascii="Book Antiqua" w:hAnsi="Book Antiqua" w:cs="Calibri"/>
                <w:b/>
                <w:bCs/>
                <w:color w:val="000000" w:themeColor="text1"/>
                <w:lang w:eastAsia="zh-CN"/>
              </w:rPr>
              <w:t xml:space="preserve"> </w:t>
            </w:r>
            <w:r w:rsidRPr="00245598">
              <w:rPr>
                <w:rFonts w:ascii="Book Antiqua" w:hAnsi="Book Antiqua" w:cs="Calibri"/>
                <w:b/>
                <w:bCs/>
                <w:color w:val="000000" w:themeColor="text1"/>
                <w:lang w:eastAsia="zh-CN"/>
              </w:rPr>
              <w:t xml:space="preserve"> </w:t>
            </w:r>
            <w:r w:rsidRPr="00245598">
              <w:rPr>
                <w:rFonts w:ascii="Book Antiqua" w:hAnsi="Book Antiqua" w:cs="Calibri"/>
                <w:b/>
                <w:bCs/>
                <w:color w:val="000000" w:themeColor="text1"/>
              </w:rPr>
              <w:t>naive</w:t>
            </w:r>
            <w:proofErr w:type="gramEnd"/>
          </w:p>
        </w:tc>
      </w:tr>
      <w:tr w:rsidR="00DE6AEC" w:rsidRPr="00234908" w14:paraId="6E75A053" w14:textId="77777777" w:rsidTr="00E36494">
        <w:trPr>
          <w:trHeight w:val="606"/>
        </w:trPr>
        <w:tc>
          <w:tcPr>
            <w:tcW w:w="1471" w:type="dxa"/>
            <w:tcBorders>
              <w:top w:val="single" w:sz="4" w:space="0" w:color="auto"/>
            </w:tcBorders>
            <w:shd w:val="clear" w:color="auto" w:fill="auto"/>
            <w:hideMark/>
          </w:tcPr>
          <w:p w14:paraId="036A76EA" w14:textId="77777777" w:rsidR="00160D54" w:rsidRPr="00245598" w:rsidRDefault="00160D54" w:rsidP="00DE6AEC">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Male</w:t>
            </w:r>
          </w:p>
        </w:tc>
        <w:tc>
          <w:tcPr>
            <w:tcW w:w="1411" w:type="dxa"/>
            <w:gridSpan w:val="2"/>
            <w:tcBorders>
              <w:top w:val="single" w:sz="4" w:space="0" w:color="auto"/>
            </w:tcBorders>
            <w:shd w:val="clear" w:color="auto" w:fill="auto"/>
            <w:hideMark/>
          </w:tcPr>
          <w:p w14:paraId="26609F7D" w14:textId="77777777" w:rsidR="00160D54" w:rsidRPr="00245598" w:rsidRDefault="00160D54" w:rsidP="00102F07">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72 (52.2%)</w:t>
            </w:r>
          </w:p>
        </w:tc>
        <w:tc>
          <w:tcPr>
            <w:tcW w:w="1411" w:type="dxa"/>
            <w:tcBorders>
              <w:top w:val="single" w:sz="4" w:space="0" w:color="auto"/>
            </w:tcBorders>
            <w:shd w:val="clear" w:color="auto" w:fill="auto"/>
            <w:hideMark/>
          </w:tcPr>
          <w:p w14:paraId="63D345E4"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19 (67.9%)</w:t>
            </w:r>
          </w:p>
        </w:tc>
        <w:tc>
          <w:tcPr>
            <w:tcW w:w="1411" w:type="dxa"/>
            <w:tcBorders>
              <w:top w:val="single" w:sz="4" w:space="0" w:color="auto"/>
            </w:tcBorders>
            <w:shd w:val="clear" w:color="auto" w:fill="auto"/>
            <w:hideMark/>
          </w:tcPr>
          <w:p w14:paraId="3B2D209B"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39 (46.4%)</w:t>
            </w:r>
          </w:p>
        </w:tc>
        <w:tc>
          <w:tcPr>
            <w:tcW w:w="1407" w:type="dxa"/>
            <w:tcBorders>
              <w:top w:val="single" w:sz="4" w:space="0" w:color="auto"/>
            </w:tcBorders>
            <w:shd w:val="clear" w:color="auto" w:fill="auto"/>
            <w:hideMark/>
          </w:tcPr>
          <w:p w14:paraId="4D48BFE9"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14 (53.8%)</w:t>
            </w:r>
          </w:p>
        </w:tc>
        <w:tc>
          <w:tcPr>
            <w:tcW w:w="1405" w:type="dxa"/>
            <w:tcBorders>
              <w:top w:val="single" w:sz="4" w:space="0" w:color="auto"/>
            </w:tcBorders>
            <w:shd w:val="clear" w:color="auto" w:fill="auto"/>
            <w:hideMark/>
          </w:tcPr>
          <w:p w14:paraId="7AF7332B"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0.05</w:t>
            </w:r>
            <w:r w:rsidRPr="00245598">
              <w:rPr>
                <w:rFonts w:ascii="Book Antiqua" w:hAnsi="Book Antiqua" w:cs="Calibri"/>
                <w:color w:val="000000" w:themeColor="text1"/>
                <w:vertAlign w:val="superscript"/>
              </w:rPr>
              <w:t>1</w:t>
            </w:r>
          </w:p>
        </w:tc>
        <w:tc>
          <w:tcPr>
            <w:tcW w:w="1405" w:type="dxa"/>
            <w:tcBorders>
              <w:top w:val="single" w:sz="4" w:space="0" w:color="auto"/>
            </w:tcBorders>
          </w:tcPr>
          <w:p w14:paraId="7872FD8A"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0.51</w:t>
            </w:r>
            <w:r w:rsidRPr="00245598">
              <w:rPr>
                <w:rFonts w:ascii="Book Antiqua" w:hAnsi="Book Antiqua" w:cs="Calibri"/>
                <w:color w:val="000000" w:themeColor="text1"/>
                <w:vertAlign w:val="superscript"/>
              </w:rPr>
              <w:t>1</w:t>
            </w:r>
          </w:p>
        </w:tc>
      </w:tr>
      <w:tr w:rsidR="00DE6AEC" w:rsidRPr="00234908" w14:paraId="490AB570" w14:textId="77777777" w:rsidTr="00E36494">
        <w:trPr>
          <w:trHeight w:val="87"/>
        </w:trPr>
        <w:tc>
          <w:tcPr>
            <w:tcW w:w="1471" w:type="dxa"/>
            <w:shd w:val="clear" w:color="auto" w:fill="auto"/>
            <w:hideMark/>
          </w:tcPr>
          <w:p w14:paraId="31948079" w14:textId="7813EE8F" w:rsidR="00160D54" w:rsidRPr="00245598" w:rsidRDefault="00160D54" w:rsidP="00DE6AEC">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 xml:space="preserve">Age </w:t>
            </w:r>
            <w:r w:rsidR="00102F07" w:rsidRPr="00234908">
              <w:rPr>
                <w:rFonts w:ascii="Book Antiqua" w:hAnsi="Book Antiqua" w:cs="Calibri"/>
                <w:color w:val="000000" w:themeColor="text1"/>
              </w:rPr>
              <w:t xml:space="preserve">in </w:t>
            </w:r>
            <w:proofErr w:type="spellStart"/>
            <w:r w:rsidRPr="00245598">
              <w:rPr>
                <w:rFonts w:ascii="Book Antiqua" w:hAnsi="Book Antiqua" w:cs="Calibri"/>
                <w:color w:val="000000" w:themeColor="text1"/>
              </w:rPr>
              <w:t>yr</w:t>
            </w:r>
            <w:proofErr w:type="spellEnd"/>
            <w:r w:rsidRPr="00245598">
              <w:rPr>
                <w:rFonts w:ascii="Book Antiqua" w:hAnsi="Book Antiqua" w:cs="Calibri"/>
                <w:color w:val="000000" w:themeColor="text1"/>
              </w:rPr>
              <w:t xml:space="preserve"> </w:t>
            </w:r>
          </w:p>
        </w:tc>
        <w:tc>
          <w:tcPr>
            <w:tcW w:w="1411" w:type="dxa"/>
            <w:gridSpan w:val="2"/>
            <w:shd w:val="clear" w:color="auto" w:fill="auto"/>
            <w:hideMark/>
          </w:tcPr>
          <w:p w14:paraId="29116039" w14:textId="144154E9" w:rsidR="00160D54" w:rsidRPr="00245598" w:rsidRDefault="00160D54" w:rsidP="00102F07">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37.5 (29; 47); (</w:t>
            </w:r>
            <w:r w:rsidR="00E91FCF" w:rsidRPr="00245598">
              <w:rPr>
                <w:rFonts w:ascii="Book Antiqua" w:hAnsi="Book Antiqua" w:cs="Calibri"/>
                <w:i/>
                <w:iCs/>
                <w:color w:val="000000" w:themeColor="text1"/>
              </w:rPr>
              <w:t>n</w:t>
            </w:r>
            <w:r w:rsidRPr="00245598">
              <w:rPr>
                <w:rFonts w:ascii="Book Antiqua" w:hAnsi="Book Antiqua" w:cs="Calibri"/>
                <w:color w:val="000000" w:themeColor="text1"/>
              </w:rPr>
              <w:t xml:space="preserve"> = 138); (18-74)</w:t>
            </w:r>
          </w:p>
        </w:tc>
        <w:tc>
          <w:tcPr>
            <w:tcW w:w="1411" w:type="dxa"/>
            <w:shd w:val="clear" w:color="auto" w:fill="auto"/>
            <w:hideMark/>
          </w:tcPr>
          <w:p w14:paraId="1AA54260" w14:textId="250379C6" w:rsidR="00160D54" w:rsidRPr="00245598" w:rsidRDefault="00160D54" w:rsidP="00234908">
            <w:pPr>
              <w:spacing w:line="360" w:lineRule="auto"/>
              <w:jc w:val="both"/>
              <w:rPr>
                <w:rFonts w:ascii="Book Antiqua" w:hAnsi="Book Antiqua"/>
                <w:color w:val="000000" w:themeColor="text1"/>
              </w:rPr>
            </w:pPr>
            <w:r w:rsidRPr="00245598">
              <w:rPr>
                <w:rFonts w:ascii="Book Antiqua" w:hAnsi="Book Antiqua"/>
                <w:color w:val="000000" w:themeColor="text1"/>
              </w:rPr>
              <w:t>45.5 (31; 57.5); (</w:t>
            </w:r>
            <w:r w:rsidR="00E91FCF" w:rsidRPr="00245598">
              <w:rPr>
                <w:rFonts w:ascii="Book Antiqua" w:hAnsi="Book Antiqua"/>
                <w:i/>
                <w:iCs/>
                <w:color w:val="000000" w:themeColor="text1"/>
              </w:rPr>
              <w:t>n</w:t>
            </w:r>
            <w:r w:rsidRPr="00245598">
              <w:rPr>
                <w:rFonts w:ascii="Book Antiqua" w:hAnsi="Book Antiqua"/>
                <w:color w:val="000000" w:themeColor="text1"/>
              </w:rPr>
              <w:t xml:space="preserve"> = 28); (18-66)</w:t>
            </w:r>
          </w:p>
        </w:tc>
        <w:tc>
          <w:tcPr>
            <w:tcW w:w="1411" w:type="dxa"/>
            <w:shd w:val="clear" w:color="auto" w:fill="auto"/>
            <w:hideMark/>
          </w:tcPr>
          <w:p w14:paraId="50F02448" w14:textId="2D280EBF" w:rsidR="00160D54" w:rsidRPr="00245598" w:rsidRDefault="00160D54" w:rsidP="00234908">
            <w:pPr>
              <w:spacing w:line="360" w:lineRule="auto"/>
              <w:jc w:val="both"/>
              <w:rPr>
                <w:rFonts w:ascii="Book Antiqua" w:hAnsi="Book Antiqua"/>
                <w:color w:val="000000" w:themeColor="text1"/>
              </w:rPr>
            </w:pPr>
            <w:r w:rsidRPr="00245598">
              <w:rPr>
                <w:rFonts w:ascii="Book Antiqua" w:hAnsi="Book Antiqua"/>
                <w:color w:val="000000" w:themeColor="text1"/>
              </w:rPr>
              <w:t>36.5 (29; 45)</w:t>
            </w:r>
            <w:r w:rsidRPr="00245598">
              <w:rPr>
                <w:rFonts w:ascii="Book Antiqua" w:hAnsi="Book Antiqua"/>
                <w:color w:val="000000" w:themeColor="text1"/>
                <w:lang w:eastAsia="zh-CN"/>
              </w:rPr>
              <w:t xml:space="preserve">; </w:t>
            </w:r>
            <w:r w:rsidRPr="00245598">
              <w:rPr>
                <w:rFonts w:ascii="Book Antiqua" w:hAnsi="Book Antiqua"/>
                <w:color w:val="000000" w:themeColor="text1"/>
              </w:rPr>
              <w:t>(</w:t>
            </w:r>
            <w:r w:rsidR="00E91FCF" w:rsidRPr="00245598">
              <w:rPr>
                <w:rFonts w:ascii="Book Antiqua" w:hAnsi="Book Antiqua"/>
                <w:i/>
                <w:iCs/>
                <w:color w:val="000000" w:themeColor="text1"/>
              </w:rPr>
              <w:t>n</w:t>
            </w:r>
            <w:r w:rsidRPr="00245598">
              <w:rPr>
                <w:rFonts w:ascii="Book Antiqua" w:hAnsi="Book Antiqua"/>
                <w:i/>
                <w:iCs/>
                <w:color w:val="000000" w:themeColor="text1"/>
              </w:rPr>
              <w:t xml:space="preserve"> </w:t>
            </w:r>
            <w:r w:rsidRPr="00245598">
              <w:rPr>
                <w:rFonts w:ascii="Book Antiqua" w:hAnsi="Book Antiqua"/>
                <w:color w:val="000000" w:themeColor="text1"/>
              </w:rPr>
              <w:t>= 84); (18-74)</w:t>
            </w:r>
          </w:p>
        </w:tc>
        <w:tc>
          <w:tcPr>
            <w:tcW w:w="1407" w:type="dxa"/>
            <w:shd w:val="clear" w:color="auto" w:fill="auto"/>
            <w:hideMark/>
          </w:tcPr>
          <w:p w14:paraId="27ACBBF8" w14:textId="77777777" w:rsidR="00160D54" w:rsidRPr="00245598" w:rsidRDefault="00160D54">
            <w:pPr>
              <w:spacing w:line="360" w:lineRule="auto"/>
              <w:jc w:val="both"/>
              <w:rPr>
                <w:rFonts w:ascii="Book Antiqua" w:hAnsi="Book Antiqua"/>
                <w:color w:val="000000" w:themeColor="text1"/>
              </w:rPr>
            </w:pPr>
            <w:r w:rsidRPr="00245598">
              <w:rPr>
                <w:rFonts w:ascii="Book Antiqua" w:hAnsi="Book Antiqua"/>
                <w:color w:val="000000" w:themeColor="text1"/>
              </w:rPr>
              <w:t xml:space="preserve">35.5 (24; 42) </w:t>
            </w:r>
          </w:p>
          <w:p w14:paraId="28B3DC75" w14:textId="14F4AEA6"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olor w:val="000000" w:themeColor="text1"/>
              </w:rPr>
              <w:t>(</w:t>
            </w:r>
            <w:r w:rsidR="00E91FCF" w:rsidRPr="00245598">
              <w:rPr>
                <w:rFonts w:ascii="Book Antiqua" w:hAnsi="Book Antiqua"/>
                <w:i/>
                <w:iCs/>
                <w:color w:val="000000" w:themeColor="text1"/>
              </w:rPr>
              <w:t>n</w:t>
            </w:r>
            <w:r w:rsidRPr="00245598">
              <w:rPr>
                <w:rFonts w:ascii="Book Antiqua" w:hAnsi="Book Antiqua"/>
                <w:color w:val="000000" w:themeColor="text1"/>
              </w:rPr>
              <w:t xml:space="preserve"> = 26); (21-56)</w:t>
            </w:r>
          </w:p>
        </w:tc>
        <w:tc>
          <w:tcPr>
            <w:tcW w:w="1405" w:type="dxa"/>
            <w:shd w:val="clear" w:color="auto" w:fill="auto"/>
            <w:hideMark/>
          </w:tcPr>
          <w:p w14:paraId="171D334C"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0.08</w:t>
            </w:r>
            <w:r w:rsidRPr="00245598">
              <w:rPr>
                <w:rFonts w:ascii="Book Antiqua" w:hAnsi="Book Antiqua" w:cs="Calibri"/>
                <w:color w:val="000000" w:themeColor="text1"/>
                <w:vertAlign w:val="superscript"/>
              </w:rPr>
              <w:t>2</w:t>
            </w:r>
          </w:p>
        </w:tc>
        <w:tc>
          <w:tcPr>
            <w:tcW w:w="1405" w:type="dxa"/>
          </w:tcPr>
          <w:p w14:paraId="5645A654"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0.22</w:t>
            </w:r>
            <w:r w:rsidRPr="00245598">
              <w:rPr>
                <w:rFonts w:ascii="Book Antiqua" w:hAnsi="Book Antiqua" w:cs="Calibri"/>
                <w:color w:val="000000" w:themeColor="text1"/>
                <w:vertAlign w:val="superscript"/>
              </w:rPr>
              <w:t>2</w:t>
            </w:r>
          </w:p>
        </w:tc>
      </w:tr>
      <w:tr w:rsidR="00DE6AEC" w:rsidRPr="00234908" w14:paraId="4F953DED" w14:textId="77777777" w:rsidTr="00E36494">
        <w:trPr>
          <w:trHeight w:val="55"/>
        </w:trPr>
        <w:tc>
          <w:tcPr>
            <w:tcW w:w="1471" w:type="dxa"/>
            <w:shd w:val="clear" w:color="auto" w:fill="auto"/>
            <w:hideMark/>
          </w:tcPr>
          <w:p w14:paraId="3ADF6A1F" w14:textId="206D3EB6" w:rsidR="00160D54" w:rsidRPr="00245598" w:rsidRDefault="00160D54" w:rsidP="00DE6AEC">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 xml:space="preserve">BMI </w:t>
            </w:r>
            <w:r w:rsidR="00102F07" w:rsidRPr="00234908">
              <w:rPr>
                <w:rFonts w:ascii="Book Antiqua" w:hAnsi="Book Antiqua" w:cs="Calibri"/>
                <w:color w:val="000000" w:themeColor="text1"/>
              </w:rPr>
              <w:t xml:space="preserve">in </w:t>
            </w:r>
            <w:r w:rsidRPr="00245598">
              <w:rPr>
                <w:rFonts w:ascii="Book Antiqua" w:hAnsi="Book Antiqua" w:cs="Calibri"/>
                <w:color w:val="000000" w:themeColor="text1"/>
              </w:rPr>
              <w:t>kg/m</w:t>
            </w:r>
            <w:r w:rsidRPr="00245598">
              <w:rPr>
                <w:rFonts w:ascii="Book Antiqua" w:hAnsi="Book Antiqua" w:cs="Calibri"/>
                <w:color w:val="000000" w:themeColor="text1"/>
                <w:vertAlign w:val="superscript"/>
              </w:rPr>
              <w:t>2</w:t>
            </w:r>
            <w:r w:rsidRPr="00245598">
              <w:rPr>
                <w:rFonts w:ascii="Book Antiqua" w:hAnsi="Book Antiqua" w:cs="Calibri"/>
                <w:color w:val="000000" w:themeColor="text1"/>
              </w:rPr>
              <w:t xml:space="preserve"> </w:t>
            </w:r>
          </w:p>
        </w:tc>
        <w:tc>
          <w:tcPr>
            <w:tcW w:w="1411" w:type="dxa"/>
            <w:gridSpan w:val="2"/>
            <w:shd w:val="clear" w:color="auto" w:fill="auto"/>
            <w:hideMark/>
          </w:tcPr>
          <w:p w14:paraId="27F6F856" w14:textId="77B13E41" w:rsidR="00160D54" w:rsidRPr="00245598" w:rsidRDefault="00160D54" w:rsidP="00102F07">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24.5 (21.3; 27.8); (</w:t>
            </w:r>
            <w:r w:rsidR="00E91FCF" w:rsidRPr="00245598">
              <w:rPr>
                <w:rFonts w:ascii="Book Antiqua" w:hAnsi="Book Antiqua" w:cs="Calibri"/>
                <w:i/>
                <w:iCs/>
                <w:color w:val="000000" w:themeColor="text1"/>
              </w:rPr>
              <w:t>n</w:t>
            </w:r>
            <w:r w:rsidRPr="00245598">
              <w:rPr>
                <w:rFonts w:ascii="Book Antiqua" w:hAnsi="Book Antiqua" w:cs="Calibri"/>
                <w:color w:val="000000" w:themeColor="text1"/>
              </w:rPr>
              <w:t xml:space="preserve"> = 115); (16.6-38.8)</w:t>
            </w:r>
          </w:p>
        </w:tc>
        <w:tc>
          <w:tcPr>
            <w:tcW w:w="1411" w:type="dxa"/>
            <w:shd w:val="clear" w:color="auto" w:fill="auto"/>
            <w:hideMark/>
          </w:tcPr>
          <w:p w14:paraId="48A1C340" w14:textId="6852C758" w:rsidR="00160D54" w:rsidRPr="00245598" w:rsidRDefault="00160D54" w:rsidP="00234908">
            <w:pPr>
              <w:spacing w:line="360" w:lineRule="auto"/>
              <w:jc w:val="both"/>
              <w:rPr>
                <w:rFonts w:ascii="Book Antiqua" w:hAnsi="Book Antiqua"/>
                <w:color w:val="000000" w:themeColor="text1"/>
              </w:rPr>
            </w:pPr>
            <w:r w:rsidRPr="00245598">
              <w:rPr>
                <w:rFonts w:ascii="Book Antiqua" w:hAnsi="Book Antiqua"/>
                <w:color w:val="000000" w:themeColor="text1"/>
              </w:rPr>
              <w:t>25 (22.2; 29); (</w:t>
            </w:r>
            <w:r w:rsidR="00E91FCF" w:rsidRPr="00245598">
              <w:rPr>
                <w:rFonts w:ascii="Book Antiqua" w:hAnsi="Book Antiqua"/>
                <w:i/>
                <w:iCs/>
                <w:color w:val="000000" w:themeColor="text1"/>
              </w:rPr>
              <w:t>n</w:t>
            </w:r>
            <w:r w:rsidRPr="00245598">
              <w:rPr>
                <w:rFonts w:ascii="Book Antiqua" w:hAnsi="Book Antiqua"/>
                <w:color w:val="000000" w:themeColor="text1"/>
              </w:rPr>
              <w:t xml:space="preserve"> = 24); (16.6-36.3) </w:t>
            </w:r>
          </w:p>
        </w:tc>
        <w:tc>
          <w:tcPr>
            <w:tcW w:w="1411" w:type="dxa"/>
            <w:shd w:val="clear" w:color="auto" w:fill="auto"/>
            <w:hideMark/>
          </w:tcPr>
          <w:p w14:paraId="00CC3716" w14:textId="53E28CB3" w:rsidR="00160D54" w:rsidRPr="00245598" w:rsidRDefault="00160D54" w:rsidP="00234908">
            <w:pPr>
              <w:spacing w:line="360" w:lineRule="auto"/>
              <w:jc w:val="both"/>
              <w:rPr>
                <w:rFonts w:ascii="Book Antiqua" w:hAnsi="Book Antiqua"/>
                <w:color w:val="000000" w:themeColor="text1"/>
              </w:rPr>
            </w:pPr>
            <w:r w:rsidRPr="00245598">
              <w:rPr>
                <w:rFonts w:ascii="Book Antiqua" w:hAnsi="Book Antiqua"/>
                <w:color w:val="000000" w:themeColor="text1"/>
              </w:rPr>
              <w:t>24.8 (21.7; 28.7); (</w:t>
            </w:r>
            <w:r w:rsidR="00E91FCF" w:rsidRPr="00245598">
              <w:rPr>
                <w:rFonts w:ascii="Book Antiqua" w:hAnsi="Book Antiqua"/>
                <w:i/>
                <w:iCs/>
                <w:color w:val="000000" w:themeColor="text1"/>
              </w:rPr>
              <w:t>n</w:t>
            </w:r>
            <w:r w:rsidRPr="00245598">
              <w:rPr>
                <w:rFonts w:ascii="Book Antiqua" w:hAnsi="Book Antiqua"/>
                <w:color w:val="000000" w:themeColor="text1"/>
              </w:rPr>
              <w:t xml:space="preserve"> = 71); (17.8-38.8)</w:t>
            </w:r>
          </w:p>
        </w:tc>
        <w:tc>
          <w:tcPr>
            <w:tcW w:w="1407" w:type="dxa"/>
            <w:shd w:val="clear" w:color="auto" w:fill="auto"/>
            <w:hideMark/>
          </w:tcPr>
          <w:p w14:paraId="3569E963" w14:textId="72077407" w:rsidR="00160D54" w:rsidRPr="00245598" w:rsidRDefault="00160D54">
            <w:pPr>
              <w:spacing w:line="360" w:lineRule="auto"/>
              <w:jc w:val="both"/>
              <w:rPr>
                <w:rFonts w:ascii="Book Antiqua" w:hAnsi="Book Antiqua"/>
                <w:color w:val="000000" w:themeColor="text1"/>
              </w:rPr>
            </w:pPr>
            <w:r w:rsidRPr="00245598">
              <w:rPr>
                <w:rFonts w:ascii="Book Antiqua" w:hAnsi="Book Antiqua"/>
                <w:color w:val="000000" w:themeColor="text1"/>
              </w:rPr>
              <w:t>21.8 (19; 26.5); (</w:t>
            </w:r>
            <w:r w:rsidR="00E91FCF" w:rsidRPr="00245598">
              <w:rPr>
                <w:rFonts w:ascii="Book Antiqua" w:hAnsi="Book Antiqua"/>
                <w:i/>
                <w:iCs/>
                <w:color w:val="000000" w:themeColor="text1"/>
              </w:rPr>
              <w:t>n</w:t>
            </w:r>
            <w:r w:rsidRPr="00245598">
              <w:rPr>
                <w:rFonts w:ascii="Book Antiqua" w:hAnsi="Book Antiqua"/>
                <w:color w:val="000000" w:themeColor="text1"/>
              </w:rPr>
              <w:t xml:space="preserve"> = 20); (18-35.2)</w:t>
            </w:r>
          </w:p>
        </w:tc>
        <w:tc>
          <w:tcPr>
            <w:tcW w:w="1405" w:type="dxa"/>
            <w:shd w:val="clear" w:color="auto" w:fill="auto"/>
            <w:hideMark/>
          </w:tcPr>
          <w:p w14:paraId="3B2B3CC1"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0.91</w:t>
            </w:r>
            <w:r w:rsidRPr="00245598">
              <w:rPr>
                <w:rFonts w:ascii="Book Antiqua" w:hAnsi="Book Antiqua" w:cs="Calibri"/>
                <w:color w:val="000000" w:themeColor="text1"/>
                <w:vertAlign w:val="superscript"/>
              </w:rPr>
              <w:t>2</w:t>
            </w:r>
          </w:p>
        </w:tc>
        <w:tc>
          <w:tcPr>
            <w:tcW w:w="1405" w:type="dxa"/>
          </w:tcPr>
          <w:p w14:paraId="04C6897D"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0.02</w:t>
            </w:r>
            <w:r w:rsidRPr="00245598">
              <w:rPr>
                <w:rFonts w:ascii="Book Antiqua" w:hAnsi="Book Antiqua" w:cs="Calibri"/>
                <w:color w:val="000000" w:themeColor="text1"/>
                <w:vertAlign w:val="superscript"/>
              </w:rPr>
              <w:t>2</w:t>
            </w:r>
          </w:p>
        </w:tc>
      </w:tr>
      <w:tr w:rsidR="00DE6AEC" w:rsidRPr="00234908" w14:paraId="2633373F" w14:textId="77777777" w:rsidTr="00E36494">
        <w:trPr>
          <w:trHeight w:val="55"/>
        </w:trPr>
        <w:tc>
          <w:tcPr>
            <w:tcW w:w="1471" w:type="dxa"/>
            <w:shd w:val="clear" w:color="auto" w:fill="auto"/>
          </w:tcPr>
          <w:p w14:paraId="2B758BCF" w14:textId="77777777" w:rsidR="00160D54" w:rsidRPr="00245598" w:rsidRDefault="00160D54" w:rsidP="00DE6AEC">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Ethnicity</w:t>
            </w:r>
          </w:p>
        </w:tc>
        <w:tc>
          <w:tcPr>
            <w:tcW w:w="1411" w:type="dxa"/>
            <w:gridSpan w:val="2"/>
            <w:shd w:val="clear" w:color="auto" w:fill="auto"/>
          </w:tcPr>
          <w:p w14:paraId="57814E74" w14:textId="77777777" w:rsidR="00160D54" w:rsidRPr="00245598" w:rsidRDefault="00160D54" w:rsidP="00102F07">
            <w:pPr>
              <w:spacing w:line="360" w:lineRule="auto"/>
              <w:jc w:val="both"/>
              <w:rPr>
                <w:rFonts w:ascii="Book Antiqua" w:hAnsi="Book Antiqua" w:cs="Calibri"/>
                <w:color w:val="000000" w:themeColor="text1"/>
              </w:rPr>
            </w:pPr>
          </w:p>
        </w:tc>
        <w:tc>
          <w:tcPr>
            <w:tcW w:w="1411" w:type="dxa"/>
            <w:shd w:val="clear" w:color="auto" w:fill="auto"/>
          </w:tcPr>
          <w:p w14:paraId="16AB9235" w14:textId="77777777" w:rsidR="00160D54" w:rsidRPr="00245598" w:rsidRDefault="00160D54" w:rsidP="00234908">
            <w:pPr>
              <w:spacing w:line="360" w:lineRule="auto"/>
              <w:jc w:val="both"/>
              <w:rPr>
                <w:rFonts w:ascii="Book Antiqua" w:hAnsi="Book Antiqua"/>
                <w:color w:val="000000" w:themeColor="text1"/>
              </w:rPr>
            </w:pPr>
          </w:p>
        </w:tc>
        <w:tc>
          <w:tcPr>
            <w:tcW w:w="1411" w:type="dxa"/>
            <w:shd w:val="clear" w:color="auto" w:fill="auto"/>
          </w:tcPr>
          <w:p w14:paraId="4F14BB78" w14:textId="77777777" w:rsidR="00160D54" w:rsidRPr="00245598" w:rsidRDefault="00160D54" w:rsidP="00234908">
            <w:pPr>
              <w:spacing w:line="360" w:lineRule="auto"/>
              <w:jc w:val="both"/>
              <w:rPr>
                <w:rFonts w:ascii="Book Antiqua" w:hAnsi="Book Antiqua"/>
                <w:color w:val="000000" w:themeColor="text1"/>
              </w:rPr>
            </w:pPr>
          </w:p>
        </w:tc>
        <w:tc>
          <w:tcPr>
            <w:tcW w:w="1407" w:type="dxa"/>
            <w:shd w:val="clear" w:color="auto" w:fill="auto"/>
          </w:tcPr>
          <w:p w14:paraId="6968B79E" w14:textId="77777777" w:rsidR="00160D54" w:rsidRPr="00245598" w:rsidRDefault="00160D54">
            <w:pPr>
              <w:spacing w:line="360" w:lineRule="auto"/>
              <w:jc w:val="both"/>
              <w:rPr>
                <w:rFonts w:ascii="Book Antiqua" w:hAnsi="Book Antiqua"/>
                <w:color w:val="000000" w:themeColor="text1"/>
              </w:rPr>
            </w:pPr>
          </w:p>
        </w:tc>
        <w:tc>
          <w:tcPr>
            <w:tcW w:w="1405" w:type="dxa"/>
            <w:shd w:val="clear" w:color="auto" w:fill="auto"/>
          </w:tcPr>
          <w:p w14:paraId="71591E1C" w14:textId="77777777" w:rsidR="00160D54" w:rsidRPr="00245598" w:rsidRDefault="00160D54">
            <w:pPr>
              <w:spacing w:line="360" w:lineRule="auto"/>
              <w:jc w:val="both"/>
              <w:rPr>
                <w:rFonts w:ascii="Book Antiqua" w:hAnsi="Book Antiqua" w:cs="Calibri"/>
                <w:color w:val="000000" w:themeColor="text1"/>
              </w:rPr>
            </w:pPr>
          </w:p>
        </w:tc>
        <w:tc>
          <w:tcPr>
            <w:tcW w:w="1405" w:type="dxa"/>
          </w:tcPr>
          <w:p w14:paraId="02E4FFBA" w14:textId="77777777" w:rsidR="00160D54" w:rsidRPr="00245598" w:rsidRDefault="00160D54">
            <w:pPr>
              <w:spacing w:line="360" w:lineRule="auto"/>
              <w:jc w:val="both"/>
              <w:rPr>
                <w:rFonts w:ascii="Book Antiqua" w:hAnsi="Book Antiqua" w:cs="Calibri"/>
                <w:color w:val="000000" w:themeColor="text1"/>
              </w:rPr>
            </w:pPr>
          </w:p>
        </w:tc>
      </w:tr>
      <w:tr w:rsidR="00DE6AEC" w:rsidRPr="00234908" w14:paraId="7C95B873" w14:textId="77777777" w:rsidTr="00E36494">
        <w:trPr>
          <w:trHeight w:val="55"/>
        </w:trPr>
        <w:tc>
          <w:tcPr>
            <w:tcW w:w="1471" w:type="dxa"/>
            <w:shd w:val="clear" w:color="auto" w:fill="auto"/>
            <w:hideMark/>
          </w:tcPr>
          <w:p w14:paraId="15DB39F8" w14:textId="77777777" w:rsidR="00160D54" w:rsidRPr="00245598" w:rsidRDefault="00160D54" w:rsidP="00DE6AEC">
            <w:pPr>
              <w:spacing w:line="360" w:lineRule="auto"/>
              <w:jc w:val="both"/>
              <w:rPr>
                <w:rFonts w:ascii="Book Antiqua" w:hAnsi="Book Antiqua"/>
                <w:color w:val="000000" w:themeColor="text1"/>
              </w:rPr>
            </w:pPr>
            <w:r w:rsidRPr="00245598">
              <w:rPr>
                <w:rFonts w:ascii="Book Antiqua" w:hAnsi="Book Antiqua"/>
                <w:color w:val="000000" w:themeColor="text1"/>
              </w:rPr>
              <w:t>-</w:t>
            </w:r>
            <w:r w:rsidRPr="00245598">
              <w:rPr>
                <w:rFonts w:ascii="Book Antiqua" w:hAnsi="Book Antiqua" w:cs="Calibri"/>
                <w:iCs/>
                <w:color w:val="000000" w:themeColor="text1"/>
              </w:rPr>
              <w:t>African</w:t>
            </w:r>
          </w:p>
        </w:tc>
        <w:tc>
          <w:tcPr>
            <w:tcW w:w="1411" w:type="dxa"/>
            <w:gridSpan w:val="2"/>
            <w:shd w:val="clear" w:color="auto" w:fill="auto"/>
            <w:hideMark/>
          </w:tcPr>
          <w:p w14:paraId="164B8D8D" w14:textId="77777777" w:rsidR="00160D54" w:rsidRPr="00245598" w:rsidRDefault="00160D54" w:rsidP="00102F07">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65 (47.1%)</w:t>
            </w:r>
          </w:p>
        </w:tc>
        <w:tc>
          <w:tcPr>
            <w:tcW w:w="1411" w:type="dxa"/>
            <w:shd w:val="clear" w:color="auto" w:fill="auto"/>
            <w:hideMark/>
          </w:tcPr>
          <w:p w14:paraId="6B822560"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7 (25.0%)</w:t>
            </w:r>
          </w:p>
        </w:tc>
        <w:tc>
          <w:tcPr>
            <w:tcW w:w="1411" w:type="dxa"/>
            <w:shd w:val="clear" w:color="auto" w:fill="auto"/>
            <w:hideMark/>
          </w:tcPr>
          <w:p w14:paraId="7AE0B4D4"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44 (52.4%)</w:t>
            </w:r>
          </w:p>
        </w:tc>
        <w:tc>
          <w:tcPr>
            <w:tcW w:w="1407" w:type="dxa"/>
            <w:shd w:val="clear" w:color="auto" w:fill="auto"/>
            <w:hideMark/>
          </w:tcPr>
          <w:p w14:paraId="19862B05"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14 (53.8%)</w:t>
            </w:r>
          </w:p>
        </w:tc>
        <w:tc>
          <w:tcPr>
            <w:tcW w:w="1405" w:type="dxa"/>
            <w:vMerge w:val="restart"/>
            <w:shd w:val="clear" w:color="auto" w:fill="auto"/>
            <w:hideMark/>
          </w:tcPr>
          <w:p w14:paraId="4B2D17FD"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0.003</w:t>
            </w:r>
            <w:r w:rsidRPr="00245598">
              <w:rPr>
                <w:rFonts w:ascii="Book Antiqua" w:hAnsi="Book Antiqua" w:cs="Calibri"/>
                <w:color w:val="000000" w:themeColor="text1"/>
                <w:vertAlign w:val="superscript"/>
              </w:rPr>
              <w:t>3</w:t>
            </w:r>
          </w:p>
        </w:tc>
        <w:tc>
          <w:tcPr>
            <w:tcW w:w="1405" w:type="dxa"/>
            <w:vMerge w:val="restart"/>
          </w:tcPr>
          <w:p w14:paraId="1BFE0F17"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0.05</w:t>
            </w:r>
            <w:r w:rsidRPr="00245598">
              <w:rPr>
                <w:rFonts w:ascii="Book Antiqua" w:hAnsi="Book Antiqua" w:cs="Calibri"/>
                <w:color w:val="000000" w:themeColor="text1"/>
                <w:vertAlign w:val="superscript"/>
              </w:rPr>
              <w:t>3</w:t>
            </w:r>
          </w:p>
        </w:tc>
      </w:tr>
      <w:tr w:rsidR="00DE6AEC" w:rsidRPr="00234908" w14:paraId="17436911" w14:textId="77777777" w:rsidTr="00E36494">
        <w:trPr>
          <w:trHeight w:val="55"/>
        </w:trPr>
        <w:tc>
          <w:tcPr>
            <w:tcW w:w="1471" w:type="dxa"/>
            <w:shd w:val="clear" w:color="auto" w:fill="auto"/>
            <w:hideMark/>
          </w:tcPr>
          <w:p w14:paraId="16D1FE7A" w14:textId="77777777" w:rsidR="00160D54" w:rsidRPr="00245598" w:rsidRDefault="00160D54" w:rsidP="00DE6AEC">
            <w:pPr>
              <w:spacing w:line="360" w:lineRule="auto"/>
              <w:jc w:val="both"/>
              <w:rPr>
                <w:rFonts w:ascii="Book Antiqua" w:hAnsi="Book Antiqua"/>
                <w:color w:val="000000" w:themeColor="text1"/>
              </w:rPr>
            </w:pPr>
            <w:r w:rsidRPr="00245598">
              <w:rPr>
                <w:rFonts w:ascii="Book Antiqua" w:hAnsi="Book Antiqua"/>
                <w:color w:val="000000" w:themeColor="text1"/>
              </w:rPr>
              <w:t>-</w:t>
            </w:r>
            <w:r w:rsidRPr="00245598">
              <w:rPr>
                <w:rFonts w:ascii="Book Antiqua" w:hAnsi="Book Antiqua" w:cs="Calibri"/>
                <w:iCs/>
                <w:color w:val="000000" w:themeColor="text1"/>
              </w:rPr>
              <w:t>Asian</w:t>
            </w:r>
          </w:p>
        </w:tc>
        <w:tc>
          <w:tcPr>
            <w:tcW w:w="1411" w:type="dxa"/>
            <w:gridSpan w:val="2"/>
            <w:shd w:val="clear" w:color="auto" w:fill="auto"/>
            <w:hideMark/>
          </w:tcPr>
          <w:p w14:paraId="111C5AFA" w14:textId="77777777" w:rsidR="00160D54" w:rsidRPr="00245598" w:rsidRDefault="00160D54" w:rsidP="00102F07">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16 (11.6%)</w:t>
            </w:r>
          </w:p>
        </w:tc>
        <w:tc>
          <w:tcPr>
            <w:tcW w:w="1411" w:type="dxa"/>
            <w:shd w:val="clear" w:color="auto" w:fill="auto"/>
            <w:hideMark/>
          </w:tcPr>
          <w:p w14:paraId="07DAD555"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7 (25.0%)</w:t>
            </w:r>
          </w:p>
        </w:tc>
        <w:tc>
          <w:tcPr>
            <w:tcW w:w="1411" w:type="dxa"/>
            <w:shd w:val="clear" w:color="auto" w:fill="auto"/>
            <w:hideMark/>
          </w:tcPr>
          <w:p w14:paraId="7136CD4E"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4 (4.8%)</w:t>
            </w:r>
          </w:p>
        </w:tc>
        <w:tc>
          <w:tcPr>
            <w:tcW w:w="1407" w:type="dxa"/>
            <w:shd w:val="clear" w:color="auto" w:fill="auto"/>
            <w:hideMark/>
          </w:tcPr>
          <w:p w14:paraId="5E6F28B6"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5 (19.2%)</w:t>
            </w:r>
          </w:p>
        </w:tc>
        <w:tc>
          <w:tcPr>
            <w:tcW w:w="1405" w:type="dxa"/>
            <w:vMerge/>
            <w:shd w:val="clear" w:color="auto" w:fill="auto"/>
            <w:hideMark/>
          </w:tcPr>
          <w:p w14:paraId="6979C63A" w14:textId="77777777" w:rsidR="00160D54" w:rsidRPr="00245598" w:rsidRDefault="00160D54">
            <w:pPr>
              <w:spacing w:line="360" w:lineRule="auto"/>
              <w:jc w:val="both"/>
              <w:rPr>
                <w:rFonts w:ascii="Book Antiqua" w:hAnsi="Book Antiqua" w:cs="Calibri"/>
                <w:color w:val="000000" w:themeColor="text1"/>
              </w:rPr>
            </w:pPr>
          </w:p>
        </w:tc>
        <w:tc>
          <w:tcPr>
            <w:tcW w:w="1405" w:type="dxa"/>
            <w:vMerge/>
          </w:tcPr>
          <w:p w14:paraId="7FB67F6D" w14:textId="77777777" w:rsidR="00160D54" w:rsidRPr="00245598" w:rsidRDefault="00160D54">
            <w:pPr>
              <w:spacing w:line="360" w:lineRule="auto"/>
              <w:jc w:val="both"/>
              <w:rPr>
                <w:rFonts w:ascii="Book Antiqua" w:hAnsi="Book Antiqua" w:cs="Calibri"/>
                <w:color w:val="000000" w:themeColor="text1"/>
              </w:rPr>
            </w:pPr>
          </w:p>
        </w:tc>
      </w:tr>
      <w:tr w:rsidR="00DE6AEC" w:rsidRPr="00234908" w14:paraId="1E86E0BB" w14:textId="77777777" w:rsidTr="00E36494">
        <w:trPr>
          <w:trHeight w:val="580"/>
        </w:trPr>
        <w:tc>
          <w:tcPr>
            <w:tcW w:w="1471" w:type="dxa"/>
            <w:shd w:val="clear" w:color="auto" w:fill="auto"/>
            <w:hideMark/>
          </w:tcPr>
          <w:p w14:paraId="10227D62" w14:textId="77777777" w:rsidR="00160D54" w:rsidRPr="00245598" w:rsidRDefault="00160D54" w:rsidP="00DE6AEC">
            <w:pPr>
              <w:spacing w:line="360" w:lineRule="auto"/>
              <w:jc w:val="both"/>
              <w:rPr>
                <w:rFonts w:ascii="Book Antiqua" w:hAnsi="Book Antiqua" w:cs="Calibri"/>
                <w:iCs/>
                <w:color w:val="000000" w:themeColor="text1"/>
              </w:rPr>
            </w:pPr>
            <w:r w:rsidRPr="00245598">
              <w:rPr>
                <w:rFonts w:ascii="Book Antiqua" w:hAnsi="Book Antiqua"/>
                <w:color w:val="000000" w:themeColor="text1"/>
              </w:rPr>
              <w:t>-</w:t>
            </w:r>
            <w:r w:rsidRPr="00245598">
              <w:rPr>
                <w:rFonts w:ascii="Book Antiqua" w:hAnsi="Book Antiqua" w:cs="Calibri"/>
                <w:iCs/>
                <w:color w:val="000000" w:themeColor="text1"/>
              </w:rPr>
              <w:t>White</w:t>
            </w:r>
          </w:p>
        </w:tc>
        <w:tc>
          <w:tcPr>
            <w:tcW w:w="1411" w:type="dxa"/>
            <w:gridSpan w:val="2"/>
            <w:shd w:val="clear" w:color="auto" w:fill="auto"/>
            <w:hideMark/>
          </w:tcPr>
          <w:p w14:paraId="1630C1AA" w14:textId="77777777" w:rsidR="00160D54" w:rsidRPr="00245598" w:rsidRDefault="00160D54" w:rsidP="00102F07">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57 (41.3%)</w:t>
            </w:r>
          </w:p>
        </w:tc>
        <w:tc>
          <w:tcPr>
            <w:tcW w:w="1411" w:type="dxa"/>
            <w:shd w:val="clear" w:color="auto" w:fill="auto"/>
            <w:hideMark/>
          </w:tcPr>
          <w:p w14:paraId="67825EE9"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14 (50.0%)</w:t>
            </w:r>
          </w:p>
        </w:tc>
        <w:tc>
          <w:tcPr>
            <w:tcW w:w="1411" w:type="dxa"/>
            <w:shd w:val="clear" w:color="auto" w:fill="auto"/>
            <w:hideMark/>
          </w:tcPr>
          <w:p w14:paraId="0F800DC7"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36 (42.9%)</w:t>
            </w:r>
          </w:p>
        </w:tc>
        <w:tc>
          <w:tcPr>
            <w:tcW w:w="1407" w:type="dxa"/>
            <w:shd w:val="clear" w:color="auto" w:fill="auto"/>
            <w:hideMark/>
          </w:tcPr>
          <w:p w14:paraId="3E9D4BCF"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7 (26.9%)</w:t>
            </w:r>
          </w:p>
        </w:tc>
        <w:tc>
          <w:tcPr>
            <w:tcW w:w="1405" w:type="dxa"/>
            <w:vMerge/>
            <w:shd w:val="clear" w:color="auto" w:fill="auto"/>
            <w:hideMark/>
          </w:tcPr>
          <w:p w14:paraId="337206BD" w14:textId="77777777" w:rsidR="00160D54" w:rsidRPr="00245598" w:rsidRDefault="00160D54">
            <w:pPr>
              <w:spacing w:line="360" w:lineRule="auto"/>
              <w:jc w:val="both"/>
              <w:rPr>
                <w:rFonts w:ascii="Book Antiqua" w:hAnsi="Book Antiqua" w:cs="Calibri"/>
                <w:color w:val="000000" w:themeColor="text1"/>
              </w:rPr>
            </w:pPr>
          </w:p>
        </w:tc>
        <w:tc>
          <w:tcPr>
            <w:tcW w:w="1405" w:type="dxa"/>
            <w:vMerge/>
          </w:tcPr>
          <w:p w14:paraId="38793F87" w14:textId="77777777" w:rsidR="00160D54" w:rsidRPr="00245598" w:rsidRDefault="00160D54">
            <w:pPr>
              <w:spacing w:line="360" w:lineRule="auto"/>
              <w:jc w:val="both"/>
              <w:rPr>
                <w:rFonts w:ascii="Book Antiqua" w:hAnsi="Book Antiqua" w:cs="Calibri"/>
                <w:color w:val="000000" w:themeColor="text1"/>
              </w:rPr>
            </w:pPr>
          </w:p>
        </w:tc>
      </w:tr>
      <w:tr w:rsidR="00DE6AEC" w:rsidRPr="00234908" w14:paraId="13CA63EC" w14:textId="77777777" w:rsidTr="00E36494">
        <w:trPr>
          <w:trHeight w:val="74"/>
        </w:trPr>
        <w:tc>
          <w:tcPr>
            <w:tcW w:w="1471" w:type="dxa"/>
            <w:shd w:val="clear" w:color="auto" w:fill="auto"/>
            <w:hideMark/>
          </w:tcPr>
          <w:p w14:paraId="376832BC" w14:textId="77777777" w:rsidR="00160D54" w:rsidRPr="00245598" w:rsidRDefault="00160D54" w:rsidP="00DE6AEC">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Phases of infection</w:t>
            </w:r>
          </w:p>
        </w:tc>
        <w:tc>
          <w:tcPr>
            <w:tcW w:w="1411" w:type="dxa"/>
            <w:gridSpan w:val="2"/>
            <w:shd w:val="clear" w:color="auto" w:fill="auto"/>
            <w:hideMark/>
          </w:tcPr>
          <w:p w14:paraId="336F371B" w14:textId="77777777" w:rsidR="00160D54" w:rsidRPr="00245598" w:rsidRDefault="00160D54" w:rsidP="00102F07">
            <w:pPr>
              <w:spacing w:line="360" w:lineRule="auto"/>
              <w:jc w:val="both"/>
              <w:rPr>
                <w:rFonts w:ascii="Book Antiqua" w:hAnsi="Book Antiqua" w:cs="Calibri"/>
                <w:color w:val="000000" w:themeColor="text1"/>
              </w:rPr>
            </w:pPr>
          </w:p>
        </w:tc>
        <w:tc>
          <w:tcPr>
            <w:tcW w:w="1411" w:type="dxa"/>
            <w:shd w:val="clear" w:color="auto" w:fill="auto"/>
            <w:hideMark/>
          </w:tcPr>
          <w:p w14:paraId="4CA1D45C" w14:textId="77777777" w:rsidR="00160D54" w:rsidRPr="00245598" w:rsidRDefault="00160D54" w:rsidP="00234908">
            <w:pPr>
              <w:spacing w:line="360" w:lineRule="auto"/>
              <w:jc w:val="both"/>
              <w:rPr>
                <w:rFonts w:ascii="Book Antiqua" w:hAnsi="Book Antiqua" w:cs="Calibri"/>
                <w:color w:val="000000" w:themeColor="text1"/>
              </w:rPr>
            </w:pPr>
          </w:p>
        </w:tc>
        <w:tc>
          <w:tcPr>
            <w:tcW w:w="1411" w:type="dxa"/>
            <w:shd w:val="clear" w:color="auto" w:fill="auto"/>
            <w:hideMark/>
          </w:tcPr>
          <w:p w14:paraId="775CA72F" w14:textId="77777777" w:rsidR="00160D54" w:rsidRPr="00245598" w:rsidRDefault="00160D54" w:rsidP="00234908">
            <w:pPr>
              <w:spacing w:line="360" w:lineRule="auto"/>
              <w:jc w:val="both"/>
              <w:rPr>
                <w:rFonts w:ascii="Book Antiqua" w:hAnsi="Book Antiqua" w:cs="Calibri"/>
                <w:color w:val="000000" w:themeColor="text1"/>
              </w:rPr>
            </w:pPr>
          </w:p>
        </w:tc>
        <w:tc>
          <w:tcPr>
            <w:tcW w:w="1407" w:type="dxa"/>
            <w:shd w:val="clear" w:color="auto" w:fill="auto"/>
            <w:hideMark/>
          </w:tcPr>
          <w:p w14:paraId="3886A724" w14:textId="77777777" w:rsidR="00160D54" w:rsidRPr="00245598" w:rsidRDefault="00160D54">
            <w:pPr>
              <w:spacing w:line="360" w:lineRule="auto"/>
              <w:jc w:val="both"/>
              <w:rPr>
                <w:rFonts w:ascii="Book Antiqua" w:hAnsi="Book Antiqua" w:cs="Calibri"/>
                <w:color w:val="000000" w:themeColor="text1"/>
              </w:rPr>
            </w:pPr>
          </w:p>
        </w:tc>
        <w:tc>
          <w:tcPr>
            <w:tcW w:w="1405" w:type="dxa"/>
            <w:shd w:val="clear" w:color="auto" w:fill="auto"/>
            <w:hideMark/>
          </w:tcPr>
          <w:p w14:paraId="20C6EDAA" w14:textId="77777777" w:rsidR="00160D54" w:rsidRPr="00245598" w:rsidRDefault="00160D54">
            <w:pPr>
              <w:spacing w:line="360" w:lineRule="auto"/>
              <w:jc w:val="both"/>
              <w:rPr>
                <w:rFonts w:ascii="Book Antiqua" w:hAnsi="Book Antiqua" w:cs="Calibri"/>
                <w:color w:val="000000" w:themeColor="text1"/>
              </w:rPr>
            </w:pPr>
          </w:p>
        </w:tc>
        <w:tc>
          <w:tcPr>
            <w:tcW w:w="1405" w:type="dxa"/>
          </w:tcPr>
          <w:p w14:paraId="0A986795" w14:textId="77777777" w:rsidR="00160D54" w:rsidRPr="00245598" w:rsidRDefault="00160D54">
            <w:pPr>
              <w:spacing w:line="360" w:lineRule="auto"/>
              <w:jc w:val="both"/>
              <w:rPr>
                <w:rFonts w:ascii="Book Antiqua" w:hAnsi="Book Antiqua" w:cs="Calibri"/>
                <w:color w:val="000000" w:themeColor="text1"/>
              </w:rPr>
            </w:pPr>
          </w:p>
        </w:tc>
      </w:tr>
      <w:tr w:rsidR="00DE6AEC" w:rsidRPr="00234908" w14:paraId="26D2AF88" w14:textId="77777777" w:rsidTr="00E36494">
        <w:trPr>
          <w:trHeight w:val="231"/>
        </w:trPr>
        <w:tc>
          <w:tcPr>
            <w:tcW w:w="1471" w:type="dxa"/>
            <w:shd w:val="clear" w:color="auto" w:fill="auto"/>
            <w:hideMark/>
          </w:tcPr>
          <w:p w14:paraId="56680F54" w14:textId="77777777" w:rsidR="00160D54" w:rsidRPr="00245598" w:rsidRDefault="00160D54" w:rsidP="00DE6AEC">
            <w:pPr>
              <w:spacing w:line="360" w:lineRule="auto"/>
              <w:jc w:val="both"/>
              <w:rPr>
                <w:rFonts w:ascii="Book Antiqua" w:hAnsi="Book Antiqua" w:cs="Calibri"/>
                <w:iCs/>
                <w:color w:val="000000" w:themeColor="text1"/>
              </w:rPr>
            </w:pPr>
            <w:r w:rsidRPr="00245598">
              <w:rPr>
                <w:rFonts w:ascii="Book Antiqua" w:hAnsi="Book Antiqua"/>
                <w:color w:val="000000" w:themeColor="text1"/>
              </w:rPr>
              <w:t>-HbeAg + chronic infection</w:t>
            </w:r>
          </w:p>
        </w:tc>
        <w:tc>
          <w:tcPr>
            <w:tcW w:w="1411" w:type="dxa"/>
            <w:gridSpan w:val="2"/>
            <w:shd w:val="clear" w:color="auto" w:fill="auto"/>
            <w:hideMark/>
          </w:tcPr>
          <w:p w14:paraId="7120E500" w14:textId="77777777" w:rsidR="00160D54" w:rsidRPr="00245598" w:rsidRDefault="00160D54" w:rsidP="00102F07">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6 (4.3%)</w:t>
            </w:r>
          </w:p>
        </w:tc>
        <w:tc>
          <w:tcPr>
            <w:tcW w:w="1411" w:type="dxa"/>
            <w:shd w:val="clear" w:color="auto" w:fill="auto"/>
            <w:hideMark/>
          </w:tcPr>
          <w:p w14:paraId="15FE28E3"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3 (10.7%)</w:t>
            </w:r>
          </w:p>
        </w:tc>
        <w:tc>
          <w:tcPr>
            <w:tcW w:w="1411" w:type="dxa"/>
            <w:shd w:val="clear" w:color="auto" w:fill="auto"/>
            <w:hideMark/>
          </w:tcPr>
          <w:p w14:paraId="527357EB"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3 (3.6%)</w:t>
            </w:r>
          </w:p>
        </w:tc>
        <w:tc>
          <w:tcPr>
            <w:tcW w:w="1407" w:type="dxa"/>
            <w:shd w:val="clear" w:color="auto" w:fill="auto"/>
            <w:hideMark/>
          </w:tcPr>
          <w:p w14:paraId="2E00A8D7"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 (0.0%)</w:t>
            </w:r>
          </w:p>
        </w:tc>
        <w:tc>
          <w:tcPr>
            <w:tcW w:w="1405" w:type="dxa"/>
            <w:vMerge w:val="restart"/>
            <w:shd w:val="clear" w:color="auto" w:fill="auto"/>
            <w:hideMark/>
          </w:tcPr>
          <w:p w14:paraId="6A5A0B1B"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&lt; 0.0001</w:t>
            </w:r>
            <w:r w:rsidRPr="00245598">
              <w:rPr>
                <w:rFonts w:ascii="Book Antiqua" w:hAnsi="Book Antiqua" w:cs="Calibri"/>
                <w:color w:val="000000" w:themeColor="text1"/>
                <w:vertAlign w:val="superscript"/>
              </w:rPr>
              <w:t>3</w:t>
            </w:r>
          </w:p>
        </w:tc>
        <w:tc>
          <w:tcPr>
            <w:tcW w:w="1405" w:type="dxa"/>
            <w:vMerge w:val="restart"/>
          </w:tcPr>
          <w:p w14:paraId="1B690432"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&lt; 0.0001</w:t>
            </w:r>
            <w:r w:rsidRPr="00245598">
              <w:rPr>
                <w:rFonts w:ascii="Book Antiqua" w:hAnsi="Book Antiqua" w:cs="Calibri"/>
                <w:color w:val="000000" w:themeColor="text1"/>
                <w:vertAlign w:val="superscript"/>
              </w:rPr>
              <w:t>3</w:t>
            </w:r>
          </w:p>
        </w:tc>
      </w:tr>
      <w:tr w:rsidR="00DE6AEC" w:rsidRPr="00234908" w14:paraId="653BC806" w14:textId="77777777" w:rsidTr="00E36494">
        <w:trPr>
          <w:trHeight w:val="209"/>
        </w:trPr>
        <w:tc>
          <w:tcPr>
            <w:tcW w:w="1471" w:type="dxa"/>
            <w:shd w:val="clear" w:color="auto" w:fill="auto"/>
            <w:hideMark/>
          </w:tcPr>
          <w:p w14:paraId="7BA4C52D" w14:textId="77777777" w:rsidR="00160D54" w:rsidRPr="00245598" w:rsidRDefault="00160D54" w:rsidP="00DE6AEC">
            <w:pPr>
              <w:spacing w:line="360" w:lineRule="auto"/>
              <w:jc w:val="both"/>
              <w:rPr>
                <w:rFonts w:ascii="Book Antiqua" w:hAnsi="Book Antiqua"/>
                <w:color w:val="000000" w:themeColor="text1"/>
              </w:rPr>
            </w:pPr>
            <w:r w:rsidRPr="00245598">
              <w:rPr>
                <w:rFonts w:ascii="Book Antiqua" w:hAnsi="Book Antiqua"/>
                <w:color w:val="000000" w:themeColor="text1"/>
              </w:rPr>
              <w:t>-HbeAg + chronic hepatitis</w:t>
            </w:r>
          </w:p>
        </w:tc>
        <w:tc>
          <w:tcPr>
            <w:tcW w:w="1411" w:type="dxa"/>
            <w:gridSpan w:val="2"/>
            <w:shd w:val="clear" w:color="auto" w:fill="auto"/>
            <w:hideMark/>
          </w:tcPr>
          <w:p w14:paraId="7B2D4834" w14:textId="77777777" w:rsidR="00160D54" w:rsidRPr="00245598" w:rsidRDefault="00160D54" w:rsidP="00102F07">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15 (10.9%)</w:t>
            </w:r>
          </w:p>
        </w:tc>
        <w:tc>
          <w:tcPr>
            <w:tcW w:w="1411" w:type="dxa"/>
            <w:shd w:val="clear" w:color="auto" w:fill="auto"/>
            <w:hideMark/>
          </w:tcPr>
          <w:p w14:paraId="1337F2A5"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6 (21.4%)</w:t>
            </w:r>
          </w:p>
        </w:tc>
        <w:tc>
          <w:tcPr>
            <w:tcW w:w="1411" w:type="dxa"/>
            <w:shd w:val="clear" w:color="auto" w:fill="auto"/>
            <w:hideMark/>
          </w:tcPr>
          <w:p w14:paraId="6464723D"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3 (3.6%)</w:t>
            </w:r>
          </w:p>
        </w:tc>
        <w:tc>
          <w:tcPr>
            <w:tcW w:w="1407" w:type="dxa"/>
            <w:shd w:val="clear" w:color="auto" w:fill="auto"/>
            <w:hideMark/>
          </w:tcPr>
          <w:p w14:paraId="7C7F873E"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6 (23.1%)</w:t>
            </w:r>
          </w:p>
        </w:tc>
        <w:tc>
          <w:tcPr>
            <w:tcW w:w="1405" w:type="dxa"/>
            <w:vMerge/>
            <w:shd w:val="clear" w:color="auto" w:fill="auto"/>
            <w:hideMark/>
          </w:tcPr>
          <w:p w14:paraId="437443BE" w14:textId="77777777" w:rsidR="00160D54" w:rsidRPr="00245598" w:rsidRDefault="00160D54">
            <w:pPr>
              <w:spacing w:line="360" w:lineRule="auto"/>
              <w:jc w:val="both"/>
              <w:rPr>
                <w:rFonts w:ascii="Book Antiqua" w:hAnsi="Book Antiqua" w:cs="Calibri"/>
                <w:color w:val="000000" w:themeColor="text1"/>
              </w:rPr>
            </w:pPr>
          </w:p>
        </w:tc>
        <w:tc>
          <w:tcPr>
            <w:tcW w:w="1405" w:type="dxa"/>
            <w:vMerge/>
          </w:tcPr>
          <w:p w14:paraId="5E57B15B" w14:textId="77777777" w:rsidR="00160D54" w:rsidRPr="00245598" w:rsidRDefault="00160D54">
            <w:pPr>
              <w:spacing w:line="360" w:lineRule="auto"/>
              <w:jc w:val="both"/>
              <w:rPr>
                <w:rFonts w:ascii="Book Antiqua" w:hAnsi="Book Antiqua" w:cs="Calibri"/>
                <w:color w:val="000000" w:themeColor="text1"/>
              </w:rPr>
            </w:pPr>
          </w:p>
        </w:tc>
      </w:tr>
      <w:tr w:rsidR="00DE6AEC" w:rsidRPr="00234908" w14:paraId="2328C705" w14:textId="77777777" w:rsidTr="00E36494">
        <w:trPr>
          <w:trHeight w:val="74"/>
        </w:trPr>
        <w:tc>
          <w:tcPr>
            <w:tcW w:w="1471" w:type="dxa"/>
            <w:shd w:val="clear" w:color="auto" w:fill="auto"/>
            <w:hideMark/>
          </w:tcPr>
          <w:p w14:paraId="41757176" w14:textId="77777777" w:rsidR="00160D54" w:rsidRPr="00245598" w:rsidRDefault="00160D54" w:rsidP="00DE6AEC">
            <w:pPr>
              <w:spacing w:line="360" w:lineRule="auto"/>
              <w:jc w:val="both"/>
              <w:rPr>
                <w:rFonts w:ascii="Book Antiqua" w:hAnsi="Book Antiqua" w:cs="Calibri"/>
                <w:iCs/>
                <w:color w:val="000000" w:themeColor="text1"/>
              </w:rPr>
            </w:pPr>
            <w:r w:rsidRPr="00245598">
              <w:rPr>
                <w:rFonts w:ascii="Book Antiqua" w:hAnsi="Book Antiqua" w:cs="Calibri"/>
                <w:iCs/>
                <w:color w:val="000000" w:themeColor="text1"/>
              </w:rPr>
              <w:lastRenderedPageBreak/>
              <w:t xml:space="preserve">-HbeAg-chronic infection </w:t>
            </w:r>
          </w:p>
        </w:tc>
        <w:tc>
          <w:tcPr>
            <w:tcW w:w="1411" w:type="dxa"/>
            <w:gridSpan w:val="2"/>
            <w:shd w:val="clear" w:color="auto" w:fill="auto"/>
            <w:hideMark/>
          </w:tcPr>
          <w:p w14:paraId="518E8931" w14:textId="77777777" w:rsidR="00160D54" w:rsidRPr="00245598" w:rsidRDefault="00160D54" w:rsidP="00102F07">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60 (43.5%)</w:t>
            </w:r>
          </w:p>
        </w:tc>
        <w:tc>
          <w:tcPr>
            <w:tcW w:w="1411" w:type="dxa"/>
            <w:shd w:val="clear" w:color="auto" w:fill="auto"/>
            <w:hideMark/>
          </w:tcPr>
          <w:p w14:paraId="64320805"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1 (3.6%)</w:t>
            </w:r>
          </w:p>
        </w:tc>
        <w:tc>
          <w:tcPr>
            <w:tcW w:w="1411" w:type="dxa"/>
            <w:shd w:val="clear" w:color="auto" w:fill="auto"/>
            <w:hideMark/>
          </w:tcPr>
          <w:p w14:paraId="6E6AA53E"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57 (67.9%)</w:t>
            </w:r>
          </w:p>
        </w:tc>
        <w:tc>
          <w:tcPr>
            <w:tcW w:w="1407" w:type="dxa"/>
            <w:shd w:val="clear" w:color="auto" w:fill="auto"/>
            <w:hideMark/>
          </w:tcPr>
          <w:p w14:paraId="0C523E47"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2 (7.7%)</w:t>
            </w:r>
          </w:p>
        </w:tc>
        <w:tc>
          <w:tcPr>
            <w:tcW w:w="1405" w:type="dxa"/>
            <w:vMerge/>
            <w:shd w:val="clear" w:color="auto" w:fill="auto"/>
            <w:hideMark/>
          </w:tcPr>
          <w:p w14:paraId="4A2BDBEB" w14:textId="77777777" w:rsidR="00160D54" w:rsidRPr="00245598" w:rsidRDefault="00160D54">
            <w:pPr>
              <w:spacing w:line="360" w:lineRule="auto"/>
              <w:jc w:val="both"/>
              <w:rPr>
                <w:rFonts w:ascii="Book Antiqua" w:hAnsi="Book Antiqua" w:cs="Calibri"/>
                <w:color w:val="000000" w:themeColor="text1"/>
              </w:rPr>
            </w:pPr>
          </w:p>
        </w:tc>
        <w:tc>
          <w:tcPr>
            <w:tcW w:w="1405" w:type="dxa"/>
            <w:vMerge/>
          </w:tcPr>
          <w:p w14:paraId="0FA0B412" w14:textId="77777777" w:rsidR="00160D54" w:rsidRPr="00245598" w:rsidRDefault="00160D54">
            <w:pPr>
              <w:spacing w:line="360" w:lineRule="auto"/>
              <w:jc w:val="both"/>
              <w:rPr>
                <w:rFonts w:ascii="Book Antiqua" w:hAnsi="Book Antiqua" w:cs="Calibri"/>
                <w:color w:val="000000" w:themeColor="text1"/>
              </w:rPr>
            </w:pPr>
          </w:p>
        </w:tc>
      </w:tr>
      <w:tr w:rsidR="00DE6AEC" w:rsidRPr="00234908" w14:paraId="266B8BEF" w14:textId="77777777" w:rsidTr="00E36494">
        <w:trPr>
          <w:trHeight w:val="1470"/>
        </w:trPr>
        <w:tc>
          <w:tcPr>
            <w:tcW w:w="1471" w:type="dxa"/>
            <w:shd w:val="clear" w:color="auto" w:fill="auto"/>
          </w:tcPr>
          <w:p w14:paraId="6E67D24C" w14:textId="77777777" w:rsidR="00160D54" w:rsidRPr="00245598" w:rsidRDefault="00160D54" w:rsidP="00DE6AEC">
            <w:pPr>
              <w:spacing w:line="360" w:lineRule="auto"/>
              <w:jc w:val="both"/>
              <w:rPr>
                <w:rFonts w:ascii="Book Antiqua" w:hAnsi="Book Antiqua"/>
                <w:color w:val="000000" w:themeColor="text1"/>
              </w:rPr>
            </w:pPr>
            <w:r w:rsidRPr="00245598">
              <w:rPr>
                <w:rFonts w:ascii="Book Antiqua" w:hAnsi="Book Antiqua" w:cs="Calibri"/>
                <w:iCs/>
                <w:color w:val="000000" w:themeColor="text1"/>
              </w:rPr>
              <w:t>-HbeAg-chronic hepatitis</w:t>
            </w:r>
          </w:p>
        </w:tc>
        <w:tc>
          <w:tcPr>
            <w:tcW w:w="1411" w:type="dxa"/>
            <w:gridSpan w:val="2"/>
            <w:shd w:val="clear" w:color="auto" w:fill="auto"/>
          </w:tcPr>
          <w:p w14:paraId="1FFB9264" w14:textId="77777777" w:rsidR="00160D54" w:rsidRPr="00245598" w:rsidRDefault="00160D54" w:rsidP="00102F07">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57 (41.3%)</w:t>
            </w:r>
          </w:p>
        </w:tc>
        <w:tc>
          <w:tcPr>
            <w:tcW w:w="1411" w:type="dxa"/>
            <w:shd w:val="clear" w:color="auto" w:fill="auto"/>
          </w:tcPr>
          <w:p w14:paraId="112BC5A5"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18 (64.3%)</w:t>
            </w:r>
          </w:p>
        </w:tc>
        <w:tc>
          <w:tcPr>
            <w:tcW w:w="1411" w:type="dxa"/>
            <w:shd w:val="clear" w:color="auto" w:fill="auto"/>
          </w:tcPr>
          <w:p w14:paraId="574A1113"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21 (25.0%)</w:t>
            </w:r>
          </w:p>
        </w:tc>
        <w:tc>
          <w:tcPr>
            <w:tcW w:w="1407" w:type="dxa"/>
            <w:shd w:val="clear" w:color="auto" w:fill="auto"/>
          </w:tcPr>
          <w:p w14:paraId="4F7DE057"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18 (69.2%)</w:t>
            </w:r>
          </w:p>
        </w:tc>
        <w:tc>
          <w:tcPr>
            <w:tcW w:w="1405" w:type="dxa"/>
            <w:vMerge/>
            <w:shd w:val="clear" w:color="auto" w:fill="auto"/>
            <w:hideMark/>
          </w:tcPr>
          <w:p w14:paraId="2B144CAA" w14:textId="77777777" w:rsidR="00160D54" w:rsidRPr="00245598" w:rsidRDefault="00160D54">
            <w:pPr>
              <w:spacing w:line="360" w:lineRule="auto"/>
              <w:jc w:val="both"/>
              <w:rPr>
                <w:rFonts w:ascii="Book Antiqua" w:hAnsi="Book Antiqua" w:cs="Calibri"/>
                <w:color w:val="000000" w:themeColor="text1"/>
              </w:rPr>
            </w:pPr>
          </w:p>
        </w:tc>
        <w:tc>
          <w:tcPr>
            <w:tcW w:w="1405" w:type="dxa"/>
            <w:vMerge/>
          </w:tcPr>
          <w:p w14:paraId="44CDCE2E" w14:textId="77777777" w:rsidR="00160D54" w:rsidRPr="00245598" w:rsidRDefault="00160D54">
            <w:pPr>
              <w:spacing w:line="360" w:lineRule="auto"/>
              <w:jc w:val="both"/>
              <w:rPr>
                <w:rFonts w:ascii="Book Antiqua" w:hAnsi="Book Antiqua" w:cs="Calibri"/>
                <w:color w:val="000000" w:themeColor="text1"/>
              </w:rPr>
            </w:pPr>
          </w:p>
        </w:tc>
      </w:tr>
      <w:tr w:rsidR="00DE6AEC" w:rsidRPr="00234908" w14:paraId="29F4C5B9" w14:textId="77777777" w:rsidTr="00E36494">
        <w:trPr>
          <w:trHeight w:val="74"/>
        </w:trPr>
        <w:tc>
          <w:tcPr>
            <w:tcW w:w="1471" w:type="dxa"/>
            <w:shd w:val="clear" w:color="auto" w:fill="auto"/>
            <w:hideMark/>
          </w:tcPr>
          <w:p w14:paraId="06E425C5" w14:textId="77777777" w:rsidR="00160D54" w:rsidRPr="00245598" w:rsidRDefault="00160D54" w:rsidP="00DE6AEC">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Diabetes</w:t>
            </w:r>
          </w:p>
        </w:tc>
        <w:tc>
          <w:tcPr>
            <w:tcW w:w="1411" w:type="dxa"/>
            <w:gridSpan w:val="2"/>
            <w:shd w:val="clear" w:color="auto" w:fill="auto"/>
            <w:hideMark/>
          </w:tcPr>
          <w:p w14:paraId="7989B727" w14:textId="77777777" w:rsidR="00160D54" w:rsidRPr="00245598" w:rsidRDefault="00160D54" w:rsidP="00102F07">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9 (6.5%)</w:t>
            </w:r>
          </w:p>
        </w:tc>
        <w:tc>
          <w:tcPr>
            <w:tcW w:w="1411" w:type="dxa"/>
            <w:shd w:val="clear" w:color="auto" w:fill="auto"/>
            <w:hideMark/>
          </w:tcPr>
          <w:p w14:paraId="33444309"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5 (17.9%)</w:t>
            </w:r>
          </w:p>
        </w:tc>
        <w:tc>
          <w:tcPr>
            <w:tcW w:w="1411" w:type="dxa"/>
            <w:shd w:val="clear" w:color="auto" w:fill="auto"/>
            <w:hideMark/>
          </w:tcPr>
          <w:p w14:paraId="5CCC9173"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4 (4.8%)</w:t>
            </w:r>
          </w:p>
        </w:tc>
        <w:tc>
          <w:tcPr>
            <w:tcW w:w="1407" w:type="dxa"/>
            <w:shd w:val="clear" w:color="auto" w:fill="auto"/>
            <w:hideMark/>
          </w:tcPr>
          <w:p w14:paraId="2EF4D92C"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 (0.0%)</w:t>
            </w:r>
          </w:p>
        </w:tc>
        <w:tc>
          <w:tcPr>
            <w:tcW w:w="1405" w:type="dxa"/>
            <w:shd w:val="clear" w:color="auto" w:fill="auto"/>
            <w:hideMark/>
          </w:tcPr>
          <w:p w14:paraId="023C3226"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0.04</w:t>
            </w:r>
            <w:r w:rsidRPr="00245598">
              <w:rPr>
                <w:rFonts w:ascii="Book Antiqua" w:hAnsi="Book Antiqua" w:cs="Calibri"/>
                <w:color w:val="000000" w:themeColor="text1"/>
                <w:vertAlign w:val="superscript"/>
              </w:rPr>
              <w:t>3</w:t>
            </w:r>
          </w:p>
        </w:tc>
        <w:tc>
          <w:tcPr>
            <w:tcW w:w="1405" w:type="dxa"/>
          </w:tcPr>
          <w:p w14:paraId="5A5C8204"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0.57</w:t>
            </w:r>
            <w:r w:rsidRPr="00245598">
              <w:rPr>
                <w:rFonts w:ascii="Book Antiqua" w:hAnsi="Book Antiqua" w:cs="Calibri"/>
                <w:color w:val="000000" w:themeColor="text1"/>
                <w:vertAlign w:val="superscript"/>
              </w:rPr>
              <w:t>3</w:t>
            </w:r>
          </w:p>
        </w:tc>
      </w:tr>
      <w:tr w:rsidR="00DE6AEC" w:rsidRPr="00234908" w14:paraId="214F0A27" w14:textId="77777777" w:rsidTr="00E36494">
        <w:trPr>
          <w:trHeight w:val="139"/>
        </w:trPr>
        <w:tc>
          <w:tcPr>
            <w:tcW w:w="1471" w:type="dxa"/>
            <w:shd w:val="clear" w:color="auto" w:fill="auto"/>
            <w:hideMark/>
          </w:tcPr>
          <w:p w14:paraId="2E5214C3" w14:textId="77777777" w:rsidR="00160D54" w:rsidRPr="00245598" w:rsidRDefault="00160D54" w:rsidP="00DE6AEC">
            <w:pPr>
              <w:spacing w:line="360" w:lineRule="auto"/>
              <w:ind w:firstLineChars="3" w:firstLine="7"/>
              <w:jc w:val="both"/>
              <w:rPr>
                <w:rFonts w:ascii="Book Antiqua" w:hAnsi="Book Antiqua" w:cs="Calibri"/>
                <w:color w:val="000000" w:themeColor="text1"/>
              </w:rPr>
            </w:pPr>
            <w:r w:rsidRPr="00245598">
              <w:rPr>
                <w:rFonts w:ascii="Book Antiqua" w:hAnsi="Book Antiqua" w:cs="Calibri"/>
                <w:color w:val="000000" w:themeColor="text1"/>
              </w:rPr>
              <w:t>High blood pressure</w:t>
            </w:r>
          </w:p>
        </w:tc>
        <w:tc>
          <w:tcPr>
            <w:tcW w:w="1411" w:type="dxa"/>
            <w:gridSpan w:val="2"/>
            <w:shd w:val="clear" w:color="auto" w:fill="auto"/>
            <w:hideMark/>
          </w:tcPr>
          <w:p w14:paraId="1DF34C6B" w14:textId="77777777" w:rsidR="00160D54" w:rsidRPr="00245598" w:rsidRDefault="00160D54" w:rsidP="00102F07">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25 (18.1%)</w:t>
            </w:r>
          </w:p>
        </w:tc>
        <w:tc>
          <w:tcPr>
            <w:tcW w:w="1411" w:type="dxa"/>
            <w:shd w:val="clear" w:color="auto" w:fill="auto"/>
            <w:hideMark/>
          </w:tcPr>
          <w:p w14:paraId="19C7549A"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9 (32.1%)</w:t>
            </w:r>
          </w:p>
        </w:tc>
        <w:tc>
          <w:tcPr>
            <w:tcW w:w="1411" w:type="dxa"/>
            <w:shd w:val="clear" w:color="auto" w:fill="auto"/>
            <w:hideMark/>
          </w:tcPr>
          <w:p w14:paraId="0F056679"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12 (14.3%)</w:t>
            </w:r>
          </w:p>
        </w:tc>
        <w:tc>
          <w:tcPr>
            <w:tcW w:w="1407" w:type="dxa"/>
            <w:shd w:val="clear" w:color="auto" w:fill="auto"/>
            <w:hideMark/>
          </w:tcPr>
          <w:p w14:paraId="5D38F138"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4 (15.4%)</w:t>
            </w:r>
          </w:p>
        </w:tc>
        <w:tc>
          <w:tcPr>
            <w:tcW w:w="1405" w:type="dxa"/>
            <w:shd w:val="clear" w:color="auto" w:fill="auto"/>
            <w:hideMark/>
          </w:tcPr>
          <w:p w14:paraId="6C8AD333"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0.04</w:t>
            </w:r>
            <w:r w:rsidRPr="00245598">
              <w:rPr>
                <w:rFonts w:ascii="Book Antiqua" w:hAnsi="Book Antiqua" w:cs="Calibri"/>
                <w:color w:val="000000" w:themeColor="text1"/>
                <w:vertAlign w:val="superscript"/>
              </w:rPr>
              <w:t>1</w:t>
            </w:r>
          </w:p>
        </w:tc>
        <w:tc>
          <w:tcPr>
            <w:tcW w:w="1405" w:type="dxa"/>
          </w:tcPr>
          <w:p w14:paraId="24D52DE9"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1.00</w:t>
            </w:r>
            <w:r w:rsidRPr="00245598">
              <w:rPr>
                <w:rFonts w:ascii="Book Antiqua" w:hAnsi="Book Antiqua" w:cs="Calibri"/>
                <w:color w:val="000000" w:themeColor="text1"/>
                <w:vertAlign w:val="superscript"/>
              </w:rPr>
              <w:t>3</w:t>
            </w:r>
          </w:p>
        </w:tc>
      </w:tr>
      <w:tr w:rsidR="00DE6AEC" w:rsidRPr="00234908" w14:paraId="208F9A7A" w14:textId="77777777" w:rsidTr="00E36494">
        <w:trPr>
          <w:trHeight w:val="1167"/>
        </w:trPr>
        <w:tc>
          <w:tcPr>
            <w:tcW w:w="1471" w:type="dxa"/>
            <w:shd w:val="clear" w:color="auto" w:fill="auto"/>
            <w:hideMark/>
          </w:tcPr>
          <w:p w14:paraId="70455115" w14:textId="77777777" w:rsidR="00160D54" w:rsidRPr="00245598" w:rsidRDefault="00160D54" w:rsidP="00DE6AEC">
            <w:pPr>
              <w:spacing w:line="360" w:lineRule="auto"/>
              <w:ind w:firstLineChars="3" w:firstLine="7"/>
              <w:jc w:val="both"/>
              <w:rPr>
                <w:rFonts w:ascii="Book Antiqua" w:hAnsi="Book Antiqua" w:cs="Calibri"/>
                <w:color w:val="000000" w:themeColor="text1"/>
              </w:rPr>
            </w:pPr>
            <w:r w:rsidRPr="00245598">
              <w:rPr>
                <w:rFonts w:ascii="Book Antiqua" w:hAnsi="Book Antiqua" w:cs="Calibri"/>
                <w:color w:val="000000" w:themeColor="text1"/>
              </w:rPr>
              <w:t>Renal insufficiency</w:t>
            </w:r>
          </w:p>
        </w:tc>
        <w:tc>
          <w:tcPr>
            <w:tcW w:w="1411" w:type="dxa"/>
            <w:gridSpan w:val="2"/>
            <w:shd w:val="clear" w:color="auto" w:fill="auto"/>
            <w:hideMark/>
          </w:tcPr>
          <w:p w14:paraId="2E448772" w14:textId="77777777" w:rsidR="00160D54" w:rsidRPr="00245598" w:rsidRDefault="00160D54" w:rsidP="00102F07">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1 (0.7%)</w:t>
            </w:r>
          </w:p>
        </w:tc>
        <w:tc>
          <w:tcPr>
            <w:tcW w:w="1411" w:type="dxa"/>
            <w:shd w:val="clear" w:color="auto" w:fill="auto"/>
            <w:hideMark/>
          </w:tcPr>
          <w:p w14:paraId="160CDAC9"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 (0%)</w:t>
            </w:r>
          </w:p>
        </w:tc>
        <w:tc>
          <w:tcPr>
            <w:tcW w:w="1411" w:type="dxa"/>
            <w:shd w:val="clear" w:color="auto" w:fill="auto"/>
            <w:hideMark/>
          </w:tcPr>
          <w:p w14:paraId="0632179B"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1 (1.2%)</w:t>
            </w:r>
          </w:p>
        </w:tc>
        <w:tc>
          <w:tcPr>
            <w:tcW w:w="1407" w:type="dxa"/>
            <w:shd w:val="clear" w:color="auto" w:fill="auto"/>
            <w:hideMark/>
          </w:tcPr>
          <w:p w14:paraId="4AC04CD5"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 (0%)</w:t>
            </w:r>
          </w:p>
        </w:tc>
        <w:tc>
          <w:tcPr>
            <w:tcW w:w="1405" w:type="dxa"/>
            <w:shd w:val="clear" w:color="auto" w:fill="auto"/>
            <w:hideMark/>
          </w:tcPr>
          <w:p w14:paraId="4E5051B5"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1.00</w:t>
            </w:r>
            <w:r w:rsidRPr="00245598">
              <w:rPr>
                <w:rFonts w:ascii="Book Antiqua" w:hAnsi="Book Antiqua" w:cs="Calibri"/>
                <w:color w:val="000000" w:themeColor="text1"/>
                <w:vertAlign w:val="superscript"/>
              </w:rPr>
              <w:t>3</w:t>
            </w:r>
          </w:p>
        </w:tc>
        <w:tc>
          <w:tcPr>
            <w:tcW w:w="1405" w:type="dxa"/>
          </w:tcPr>
          <w:p w14:paraId="7A5B6DC8"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1.00</w:t>
            </w:r>
            <w:r w:rsidRPr="00245598">
              <w:rPr>
                <w:rFonts w:ascii="Book Antiqua" w:hAnsi="Book Antiqua" w:cs="Calibri"/>
                <w:color w:val="000000" w:themeColor="text1"/>
                <w:vertAlign w:val="superscript"/>
              </w:rPr>
              <w:t>3</w:t>
            </w:r>
          </w:p>
        </w:tc>
      </w:tr>
      <w:tr w:rsidR="00DE6AEC" w:rsidRPr="00234908" w14:paraId="2B2EB0D1" w14:textId="77777777" w:rsidTr="00E36494">
        <w:trPr>
          <w:trHeight w:val="74"/>
        </w:trPr>
        <w:tc>
          <w:tcPr>
            <w:tcW w:w="1471" w:type="dxa"/>
            <w:shd w:val="clear" w:color="auto" w:fill="auto"/>
            <w:hideMark/>
          </w:tcPr>
          <w:p w14:paraId="402607DF" w14:textId="77777777" w:rsidR="00160D54" w:rsidRPr="00245598" w:rsidRDefault="00160D54" w:rsidP="00DE6AEC">
            <w:pPr>
              <w:spacing w:line="360" w:lineRule="auto"/>
              <w:ind w:firstLineChars="3" w:firstLine="7"/>
              <w:jc w:val="both"/>
              <w:rPr>
                <w:rFonts w:ascii="Book Antiqua" w:hAnsi="Book Antiqua" w:cs="Calibri"/>
                <w:color w:val="000000" w:themeColor="text1"/>
              </w:rPr>
            </w:pPr>
            <w:r w:rsidRPr="00245598">
              <w:rPr>
                <w:rFonts w:ascii="Book Antiqua" w:hAnsi="Book Antiqua" w:cs="Calibri"/>
                <w:color w:val="000000" w:themeColor="text1"/>
              </w:rPr>
              <w:t>Viral load</w:t>
            </w:r>
          </w:p>
        </w:tc>
        <w:tc>
          <w:tcPr>
            <w:tcW w:w="1411" w:type="dxa"/>
            <w:gridSpan w:val="2"/>
            <w:shd w:val="clear" w:color="auto" w:fill="auto"/>
            <w:hideMark/>
          </w:tcPr>
          <w:p w14:paraId="0E08CFC7" w14:textId="77777777" w:rsidR="00160D54" w:rsidRPr="00245598" w:rsidRDefault="00160D54" w:rsidP="00102F07">
            <w:pPr>
              <w:spacing w:line="360" w:lineRule="auto"/>
              <w:jc w:val="both"/>
              <w:rPr>
                <w:rFonts w:ascii="Book Antiqua" w:hAnsi="Book Antiqua" w:cs="Calibri"/>
                <w:color w:val="000000" w:themeColor="text1"/>
              </w:rPr>
            </w:pPr>
          </w:p>
        </w:tc>
        <w:tc>
          <w:tcPr>
            <w:tcW w:w="1411" w:type="dxa"/>
            <w:shd w:val="clear" w:color="auto" w:fill="auto"/>
            <w:hideMark/>
          </w:tcPr>
          <w:p w14:paraId="0317D000" w14:textId="77777777" w:rsidR="00160D54" w:rsidRPr="00245598" w:rsidRDefault="00160D54" w:rsidP="00234908">
            <w:pPr>
              <w:spacing w:line="360" w:lineRule="auto"/>
              <w:jc w:val="both"/>
              <w:rPr>
                <w:rFonts w:ascii="Book Antiqua" w:hAnsi="Book Antiqua" w:cs="Calibri"/>
                <w:color w:val="000000" w:themeColor="text1"/>
              </w:rPr>
            </w:pPr>
          </w:p>
        </w:tc>
        <w:tc>
          <w:tcPr>
            <w:tcW w:w="1411" w:type="dxa"/>
            <w:shd w:val="clear" w:color="auto" w:fill="auto"/>
            <w:hideMark/>
          </w:tcPr>
          <w:p w14:paraId="43934726" w14:textId="77777777" w:rsidR="00160D54" w:rsidRPr="00245598" w:rsidRDefault="00160D54" w:rsidP="00234908">
            <w:pPr>
              <w:spacing w:line="360" w:lineRule="auto"/>
              <w:jc w:val="both"/>
              <w:rPr>
                <w:rFonts w:ascii="Book Antiqua" w:hAnsi="Book Antiqua" w:cs="Calibri"/>
                <w:color w:val="000000" w:themeColor="text1"/>
              </w:rPr>
            </w:pPr>
          </w:p>
        </w:tc>
        <w:tc>
          <w:tcPr>
            <w:tcW w:w="1407" w:type="dxa"/>
            <w:shd w:val="clear" w:color="auto" w:fill="auto"/>
            <w:hideMark/>
          </w:tcPr>
          <w:p w14:paraId="041D4AA9" w14:textId="77777777" w:rsidR="00160D54" w:rsidRPr="00245598" w:rsidRDefault="00160D54">
            <w:pPr>
              <w:spacing w:line="360" w:lineRule="auto"/>
              <w:jc w:val="both"/>
              <w:rPr>
                <w:rFonts w:ascii="Book Antiqua" w:hAnsi="Book Antiqua" w:cs="Calibri"/>
                <w:color w:val="000000" w:themeColor="text1"/>
              </w:rPr>
            </w:pPr>
          </w:p>
        </w:tc>
        <w:tc>
          <w:tcPr>
            <w:tcW w:w="1405" w:type="dxa"/>
            <w:shd w:val="clear" w:color="auto" w:fill="auto"/>
            <w:hideMark/>
          </w:tcPr>
          <w:p w14:paraId="72C5F54E" w14:textId="77777777" w:rsidR="00160D54" w:rsidRPr="00245598" w:rsidRDefault="00160D54">
            <w:pPr>
              <w:spacing w:line="360" w:lineRule="auto"/>
              <w:jc w:val="both"/>
              <w:rPr>
                <w:rFonts w:ascii="Book Antiqua" w:hAnsi="Book Antiqua" w:cs="Calibri"/>
                <w:color w:val="000000" w:themeColor="text1"/>
              </w:rPr>
            </w:pPr>
          </w:p>
        </w:tc>
        <w:tc>
          <w:tcPr>
            <w:tcW w:w="1405" w:type="dxa"/>
          </w:tcPr>
          <w:p w14:paraId="2F60AF38" w14:textId="77777777" w:rsidR="00160D54" w:rsidRPr="00245598" w:rsidRDefault="00160D54">
            <w:pPr>
              <w:spacing w:line="360" w:lineRule="auto"/>
              <w:jc w:val="both"/>
              <w:rPr>
                <w:rFonts w:ascii="Book Antiqua" w:hAnsi="Book Antiqua" w:cs="Calibri"/>
                <w:color w:val="000000" w:themeColor="text1"/>
              </w:rPr>
            </w:pPr>
          </w:p>
        </w:tc>
      </w:tr>
      <w:tr w:rsidR="00DE6AEC" w:rsidRPr="00234908" w14:paraId="648F3252" w14:textId="77777777" w:rsidTr="00E36494">
        <w:trPr>
          <w:trHeight w:val="74"/>
        </w:trPr>
        <w:tc>
          <w:tcPr>
            <w:tcW w:w="1471" w:type="dxa"/>
            <w:shd w:val="clear" w:color="auto" w:fill="auto"/>
            <w:hideMark/>
          </w:tcPr>
          <w:p w14:paraId="3942019E" w14:textId="4935B8D8" w:rsidR="00160D54" w:rsidRPr="00245598" w:rsidRDefault="00160D54" w:rsidP="00DE6AEC">
            <w:pPr>
              <w:spacing w:line="360" w:lineRule="auto"/>
              <w:jc w:val="both"/>
              <w:rPr>
                <w:rFonts w:ascii="Book Antiqua" w:hAnsi="Book Antiqua" w:cs="Calibri"/>
                <w:iCs/>
                <w:color w:val="000000" w:themeColor="text1"/>
              </w:rPr>
            </w:pPr>
            <w:r w:rsidRPr="00245598">
              <w:rPr>
                <w:rFonts w:ascii="Book Antiqua" w:hAnsi="Book Antiqua"/>
                <w:color w:val="000000" w:themeColor="text1"/>
              </w:rPr>
              <w:t>-</w:t>
            </w:r>
            <w:r w:rsidRPr="00245598">
              <w:rPr>
                <w:rFonts w:ascii="Book Antiqua" w:hAnsi="Book Antiqua" w:cs="Calibri"/>
                <w:iCs/>
                <w:color w:val="000000" w:themeColor="text1"/>
              </w:rPr>
              <w:t>PCR &lt; 2000 UI/mL</w:t>
            </w:r>
          </w:p>
        </w:tc>
        <w:tc>
          <w:tcPr>
            <w:tcW w:w="1411" w:type="dxa"/>
            <w:gridSpan w:val="2"/>
            <w:shd w:val="clear" w:color="auto" w:fill="auto"/>
            <w:hideMark/>
          </w:tcPr>
          <w:p w14:paraId="3444CD03" w14:textId="77777777" w:rsidR="00160D54" w:rsidRPr="00245598" w:rsidRDefault="00160D54" w:rsidP="00102F07">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69 (61.6%)</w:t>
            </w:r>
          </w:p>
        </w:tc>
        <w:tc>
          <w:tcPr>
            <w:tcW w:w="1411" w:type="dxa"/>
            <w:shd w:val="clear" w:color="auto" w:fill="auto"/>
            <w:hideMark/>
          </w:tcPr>
          <w:p w14:paraId="4E79B1EC"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3 (15.8%)</w:t>
            </w:r>
          </w:p>
        </w:tc>
        <w:tc>
          <w:tcPr>
            <w:tcW w:w="1411" w:type="dxa"/>
            <w:shd w:val="clear" w:color="auto" w:fill="auto"/>
            <w:hideMark/>
          </w:tcPr>
          <w:p w14:paraId="2DAB8FAA"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60 (77.9%)</w:t>
            </w:r>
          </w:p>
        </w:tc>
        <w:tc>
          <w:tcPr>
            <w:tcW w:w="1407" w:type="dxa"/>
            <w:shd w:val="clear" w:color="auto" w:fill="auto"/>
            <w:hideMark/>
          </w:tcPr>
          <w:p w14:paraId="29B339F0"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6 (37.5%)</w:t>
            </w:r>
          </w:p>
        </w:tc>
        <w:tc>
          <w:tcPr>
            <w:tcW w:w="1405" w:type="dxa"/>
            <w:vMerge w:val="restart"/>
            <w:shd w:val="clear" w:color="auto" w:fill="auto"/>
            <w:hideMark/>
          </w:tcPr>
          <w:p w14:paraId="5BC2631C"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&lt; 0.0001</w:t>
            </w:r>
            <w:r w:rsidRPr="00245598">
              <w:rPr>
                <w:rFonts w:ascii="Book Antiqua" w:hAnsi="Book Antiqua" w:cs="Calibri"/>
                <w:color w:val="000000" w:themeColor="text1"/>
                <w:vertAlign w:val="superscript"/>
              </w:rPr>
              <w:t>3</w:t>
            </w:r>
            <w:r w:rsidRPr="00245598">
              <w:rPr>
                <w:rFonts w:ascii="Book Antiqua" w:hAnsi="Book Antiqua" w:cs="Calibri"/>
                <w:color w:val="000000" w:themeColor="text1"/>
              </w:rPr>
              <w:t xml:space="preserve"> </w:t>
            </w:r>
          </w:p>
        </w:tc>
        <w:tc>
          <w:tcPr>
            <w:tcW w:w="1405" w:type="dxa"/>
            <w:vMerge w:val="restart"/>
          </w:tcPr>
          <w:p w14:paraId="4B61087B"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&lt; 0.0001</w:t>
            </w:r>
            <w:r w:rsidRPr="00245598">
              <w:rPr>
                <w:rFonts w:ascii="Book Antiqua" w:hAnsi="Book Antiqua" w:cs="Calibri"/>
                <w:color w:val="000000" w:themeColor="text1"/>
                <w:vertAlign w:val="superscript"/>
              </w:rPr>
              <w:t>3</w:t>
            </w:r>
          </w:p>
        </w:tc>
      </w:tr>
      <w:tr w:rsidR="00DE6AEC" w:rsidRPr="00234908" w14:paraId="5E54E3D8" w14:textId="77777777" w:rsidTr="00E36494">
        <w:trPr>
          <w:trHeight w:val="74"/>
        </w:trPr>
        <w:tc>
          <w:tcPr>
            <w:tcW w:w="1471" w:type="dxa"/>
            <w:shd w:val="clear" w:color="auto" w:fill="auto"/>
            <w:hideMark/>
          </w:tcPr>
          <w:p w14:paraId="648A533F" w14:textId="1C266085" w:rsidR="00160D54" w:rsidRPr="00245598" w:rsidRDefault="00160D54" w:rsidP="00DE6AEC">
            <w:pPr>
              <w:spacing w:line="360" w:lineRule="auto"/>
              <w:jc w:val="both"/>
              <w:rPr>
                <w:rFonts w:ascii="Book Antiqua" w:hAnsi="Book Antiqua"/>
                <w:color w:val="000000" w:themeColor="text1"/>
              </w:rPr>
            </w:pPr>
            <w:r w:rsidRPr="00245598">
              <w:rPr>
                <w:rFonts w:ascii="Book Antiqua" w:hAnsi="Book Antiqua"/>
                <w:color w:val="000000" w:themeColor="text1"/>
              </w:rPr>
              <w:t>-</w:t>
            </w:r>
            <w:r w:rsidRPr="00245598">
              <w:rPr>
                <w:rFonts w:ascii="Book Antiqua" w:hAnsi="Book Antiqua" w:cs="Calibri" w:hint="eastAsia"/>
                <w:iCs/>
                <w:color w:val="000000" w:themeColor="text1"/>
              </w:rPr>
              <w:t xml:space="preserve">PCR </w:t>
            </w:r>
            <w:r w:rsidRPr="00245598">
              <w:rPr>
                <w:rFonts w:ascii="Book Antiqua" w:hAnsi="Book Antiqua" w:cs="Calibri" w:hint="eastAsia"/>
                <w:iCs/>
                <w:color w:val="000000" w:themeColor="text1"/>
              </w:rPr>
              <w:t>≥</w:t>
            </w:r>
            <w:r w:rsidRPr="00245598">
              <w:rPr>
                <w:rFonts w:ascii="Book Antiqua" w:hAnsi="Book Antiqua" w:cs="Calibri" w:hint="eastAsia"/>
                <w:iCs/>
                <w:color w:val="000000" w:themeColor="text1"/>
              </w:rPr>
              <w:t xml:space="preserve"> 2000 et &lt; 20000 </w:t>
            </w:r>
            <w:r w:rsidRPr="00245598">
              <w:rPr>
                <w:rFonts w:ascii="Book Antiqua" w:hAnsi="Book Antiqua" w:cs="Calibri"/>
                <w:iCs/>
                <w:color w:val="000000" w:themeColor="text1"/>
              </w:rPr>
              <w:t>UI/mL</w:t>
            </w:r>
          </w:p>
        </w:tc>
        <w:tc>
          <w:tcPr>
            <w:tcW w:w="1411" w:type="dxa"/>
            <w:gridSpan w:val="2"/>
            <w:shd w:val="clear" w:color="auto" w:fill="auto"/>
            <w:hideMark/>
          </w:tcPr>
          <w:p w14:paraId="29A88176" w14:textId="77777777" w:rsidR="00160D54" w:rsidRPr="00245598" w:rsidRDefault="00160D54" w:rsidP="00102F07">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22 (19.6%)</w:t>
            </w:r>
          </w:p>
        </w:tc>
        <w:tc>
          <w:tcPr>
            <w:tcW w:w="1411" w:type="dxa"/>
            <w:shd w:val="clear" w:color="auto" w:fill="auto"/>
            <w:hideMark/>
          </w:tcPr>
          <w:p w14:paraId="407B6316"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6 (31.6%)</w:t>
            </w:r>
          </w:p>
        </w:tc>
        <w:tc>
          <w:tcPr>
            <w:tcW w:w="1411" w:type="dxa"/>
            <w:shd w:val="clear" w:color="auto" w:fill="auto"/>
            <w:hideMark/>
          </w:tcPr>
          <w:p w14:paraId="589506F3" w14:textId="77777777" w:rsidR="00160D54" w:rsidRPr="00245598" w:rsidRDefault="00160D54" w:rsidP="00234908">
            <w:pPr>
              <w:pStyle w:val="a3"/>
              <w:spacing w:line="360" w:lineRule="auto"/>
              <w:ind w:left="0"/>
              <w:jc w:val="both"/>
              <w:rPr>
                <w:rFonts w:ascii="Book Antiqua" w:hAnsi="Book Antiqua" w:cs="Calibri"/>
                <w:color w:val="000000" w:themeColor="text1"/>
                <w:lang w:val="en-US"/>
              </w:rPr>
            </w:pPr>
            <w:r w:rsidRPr="00245598">
              <w:rPr>
                <w:rFonts w:ascii="Book Antiqua" w:hAnsi="Book Antiqua" w:cs="Calibri"/>
                <w:color w:val="000000" w:themeColor="text1"/>
                <w:lang w:val="en-US"/>
              </w:rPr>
              <w:t>16 (20.8%)</w:t>
            </w:r>
          </w:p>
        </w:tc>
        <w:tc>
          <w:tcPr>
            <w:tcW w:w="1407" w:type="dxa"/>
            <w:shd w:val="clear" w:color="auto" w:fill="auto"/>
            <w:hideMark/>
          </w:tcPr>
          <w:p w14:paraId="68388ED0"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 (0%)</w:t>
            </w:r>
          </w:p>
        </w:tc>
        <w:tc>
          <w:tcPr>
            <w:tcW w:w="1405" w:type="dxa"/>
            <w:vMerge/>
            <w:shd w:val="clear" w:color="auto" w:fill="auto"/>
            <w:hideMark/>
          </w:tcPr>
          <w:p w14:paraId="5CCBA909" w14:textId="77777777" w:rsidR="00160D54" w:rsidRPr="00245598" w:rsidRDefault="00160D54">
            <w:pPr>
              <w:spacing w:line="360" w:lineRule="auto"/>
              <w:jc w:val="both"/>
              <w:rPr>
                <w:rFonts w:ascii="Book Antiqua" w:hAnsi="Book Antiqua" w:cs="Calibri"/>
                <w:color w:val="000000" w:themeColor="text1"/>
              </w:rPr>
            </w:pPr>
          </w:p>
        </w:tc>
        <w:tc>
          <w:tcPr>
            <w:tcW w:w="1405" w:type="dxa"/>
            <w:vMerge/>
          </w:tcPr>
          <w:p w14:paraId="0C20B88E" w14:textId="77777777" w:rsidR="00160D54" w:rsidRPr="00245598" w:rsidRDefault="00160D54">
            <w:pPr>
              <w:spacing w:line="360" w:lineRule="auto"/>
              <w:jc w:val="both"/>
              <w:rPr>
                <w:rFonts w:ascii="Book Antiqua" w:hAnsi="Book Antiqua" w:cs="Calibri"/>
                <w:color w:val="000000" w:themeColor="text1"/>
              </w:rPr>
            </w:pPr>
          </w:p>
        </w:tc>
      </w:tr>
      <w:tr w:rsidR="00DE6AEC" w:rsidRPr="00234908" w14:paraId="2BFEC100" w14:textId="77777777" w:rsidTr="00E36494">
        <w:trPr>
          <w:trHeight w:val="2102"/>
        </w:trPr>
        <w:tc>
          <w:tcPr>
            <w:tcW w:w="1471" w:type="dxa"/>
            <w:shd w:val="clear" w:color="auto" w:fill="auto"/>
            <w:hideMark/>
          </w:tcPr>
          <w:p w14:paraId="79B5C183" w14:textId="6145885E" w:rsidR="00160D54" w:rsidRPr="00245598" w:rsidRDefault="00160D54" w:rsidP="00DE6AEC">
            <w:pPr>
              <w:spacing w:line="360" w:lineRule="auto"/>
              <w:jc w:val="both"/>
              <w:rPr>
                <w:rFonts w:ascii="Book Antiqua" w:hAnsi="Book Antiqua"/>
                <w:color w:val="000000" w:themeColor="text1"/>
              </w:rPr>
            </w:pPr>
            <w:r w:rsidRPr="00245598">
              <w:rPr>
                <w:rFonts w:ascii="Book Antiqua" w:hAnsi="Book Antiqua" w:cs="Calibri" w:hint="eastAsia"/>
                <w:iCs/>
                <w:color w:val="000000" w:themeColor="text1"/>
              </w:rPr>
              <w:t xml:space="preserve">-PCR </w:t>
            </w:r>
            <w:r w:rsidRPr="00245598">
              <w:rPr>
                <w:rFonts w:ascii="Book Antiqua" w:hAnsi="Book Antiqua" w:cs="Calibri" w:hint="eastAsia"/>
                <w:iCs/>
                <w:color w:val="000000" w:themeColor="text1"/>
              </w:rPr>
              <w:t>≥</w:t>
            </w:r>
            <w:r w:rsidRPr="00245598">
              <w:rPr>
                <w:rFonts w:ascii="Book Antiqua" w:hAnsi="Book Antiqua" w:cs="Calibri" w:hint="eastAsia"/>
                <w:iCs/>
                <w:color w:val="000000" w:themeColor="text1"/>
              </w:rPr>
              <w:t xml:space="preserve"> 20000 </w:t>
            </w:r>
            <w:r w:rsidRPr="00245598">
              <w:rPr>
                <w:rFonts w:ascii="Book Antiqua" w:hAnsi="Book Antiqua" w:cs="Calibri"/>
                <w:iCs/>
                <w:color w:val="000000" w:themeColor="text1"/>
              </w:rPr>
              <w:t>UI/mL and &lt; 7 (log)</w:t>
            </w:r>
          </w:p>
        </w:tc>
        <w:tc>
          <w:tcPr>
            <w:tcW w:w="1411" w:type="dxa"/>
            <w:gridSpan w:val="2"/>
            <w:shd w:val="clear" w:color="auto" w:fill="auto"/>
            <w:hideMark/>
          </w:tcPr>
          <w:p w14:paraId="4CCDBBF2" w14:textId="77777777" w:rsidR="00160D54" w:rsidRPr="00245598" w:rsidRDefault="00160D54" w:rsidP="00102F07">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13 (11.6%)</w:t>
            </w:r>
          </w:p>
        </w:tc>
        <w:tc>
          <w:tcPr>
            <w:tcW w:w="1411" w:type="dxa"/>
            <w:shd w:val="clear" w:color="auto" w:fill="auto"/>
            <w:hideMark/>
          </w:tcPr>
          <w:p w14:paraId="0BB00869"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6 (31.6%)</w:t>
            </w:r>
          </w:p>
        </w:tc>
        <w:tc>
          <w:tcPr>
            <w:tcW w:w="1411" w:type="dxa"/>
            <w:shd w:val="clear" w:color="auto" w:fill="auto"/>
            <w:hideMark/>
          </w:tcPr>
          <w:p w14:paraId="7B3F6148"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1 (1.3%)</w:t>
            </w:r>
          </w:p>
        </w:tc>
        <w:tc>
          <w:tcPr>
            <w:tcW w:w="1407" w:type="dxa"/>
            <w:shd w:val="clear" w:color="auto" w:fill="auto"/>
            <w:hideMark/>
          </w:tcPr>
          <w:p w14:paraId="49840FC0"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6 (37.5%)</w:t>
            </w:r>
          </w:p>
        </w:tc>
        <w:tc>
          <w:tcPr>
            <w:tcW w:w="1405" w:type="dxa"/>
            <w:vMerge/>
            <w:shd w:val="clear" w:color="auto" w:fill="auto"/>
            <w:hideMark/>
          </w:tcPr>
          <w:p w14:paraId="6A5D17AF" w14:textId="77777777" w:rsidR="00160D54" w:rsidRPr="00245598" w:rsidRDefault="00160D54">
            <w:pPr>
              <w:spacing w:line="360" w:lineRule="auto"/>
              <w:jc w:val="both"/>
              <w:rPr>
                <w:rFonts w:ascii="Book Antiqua" w:hAnsi="Book Antiqua" w:cs="Calibri"/>
                <w:color w:val="000000" w:themeColor="text1"/>
              </w:rPr>
            </w:pPr>
          </w:p>
        </w:tc>
        <w:tc>
          <w:tcPr>
            <w:tcW w:w="1405" w:type="dxa"/>
            <w:vMerge/>
          </w:tcPr>
          <w:p w14:paraId="106273BD" w14:textId="77777777" w:rsidR="00160D54" w:rsidRPr="00245598" w:rsidRDefault="00160D54">
            <w:pPr>
              <w:spacing w:line="360" w:lineRule="auto"/>
              <w:jc w:val="both"/>
              <w:rPr>
                <w:rFonts w:ascii="Book Antiqua" w:hAnsi="Book Antiqua" w:cs="Calibri"/>
                <w:color w:val="000000" w:themeColor="text1"/>
              </w:rPr>
            </w:pPr>
          </w:p>
        </w:tc>
      </w:tr>
      <w:tr w:rsidR="00DE6AEC" w:rsidRPr="00234908" w14:paraId="470292ED" w14:textId="77777777" w:rsidTr="00E36494">
        <w:trPr>
          <w:trHeight w:val="74"/>
        </w:trPr>
        <w:tc>
          <w:tcPr>
            <w:tcW w:w="1471" w:type="dxa"/>
            <w:shd w:val="clear" w:color="auto" w:fill="auto"/>
          </w:tcPr>
          <w:p w14:paraId="673EDE56" w14:textId="77777777" w:rsidR="00160D54" w:rsidRPr="00245598" w:rsidRDefault="00160D54" w:rsidP="00DE6AEC">
            <w:pPr>
              <w:spacing w:line="360" w:lineRule="auto"/>
              <w:jc w:val="both"/>
              <w:rPr>
                <w:rFonts w:ascii="Book Antiqua" w:hAnsi="Book Antiqua" w:cs="Calibri"/>
                <w:iCs/>
                <w:color w:val="000000" w:themeColor="text1"/>
              </w:rPr>
            </w:pPr>
            <w:r w:rsidRPr="00245598">
              <w:rPr>
                <w:rFonts w:ascii="Book Antiqua" w:hAnsi="Book Antiqua" w:cs="Calibri"/>
                <w:iCs/>
                <w:color w:val="000000" w:themeColor="text1"/>
              </w:rPr>
              <w:t>PCR &gt; 7 (log)</w:t>
            </w:r>
          </w:p>
        </w:tc>
        <w:tc>
          <w:tcPr>
            <w:tcW w:w="1411" w:type="dxa"/>
            <w:gridSpan w:val="2"/>
            <w:shd w:val="clear" w:color="auto" w:fill="auto"/>
          </w:tcPr>
          <w:p w14:paraId="71E47210" w14:textId="77777777" w:rsidR="00160D54" w:rsidRPr="00245598" w:rsidRDefault="00160D54" w:rsidP="00102F07">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8 (7.1%)</w:t>
            </w:r>
          </w:p>
        </w:tc>
        <w:tc>
          <w:tcPr>
            <w:tcW w:w="1411" w:type="dxa"/>
            <w:shd w:val="clear" w:color="auto" w:fill="auto"/>
          </w:tcPr>
          <w:p w14:paraId="63F8D46F"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4 (21.1%)</w:t>
            </w:r>
          </w:p>
        </w:tc>
        <w:tc>
          <w:tcPr>
            <w:tcW w:w="1411" w:type="dxa"/>
            <w:shd w:val="clear" w:color="auto" w:fill="auto"/>
          </w:tcPr>
          <w:p w14:paraId="5BFA93A5"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 (0%)</w:t>
            </w:r>
          </w:p>
        </w:tc>
        <w:tc>
          <w:tcPr>
            <w:tcW w:w="1407" w:type="dxa"/>
            <w:shd w:val="clear" w:color="auto" w:fill="auto"/>
          </w:tcPr>
          <w:p w14:paraId="36FEFB4E"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4 (2.5%)</w:t>
            </w:r>
          </w:p>
        </w:tc>
        <w:tc>
          <w:tcPr>
            <w:tcW w:w="1405" w:type="dxa"/>
            <w:vMerge w:val="restart"/>
            <w:shd w:val="clear" w:color="auto" w:fill="auto"/>
          </w:tcPr>
          <w:p w14:paraId="6EFBBB6C"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&lt; 0.0001</w:t>
            </w:r>
            <w:r w:rsidRPr="00245598">
              <w:rPr>
                <w:rFonts w:ascii="Book Antiqua" w:hAnsi="Book Antiqua" w:cs="Calibri"/>
                <w:color w:val="000000" w:themeColor="text1"/>
                <w:vertAlign w:val="superscript"/>
              </w:rPr>
              <w:t>2</w:t>
            </w:r>
            <w:r w:rsidRPr="00245598">
              <w:rPr>
                <w:rFonts w:ascii="Book Antiqua" w:hAnsi="Book Antiqua" w:cs="Calibri"/>
                <w:color w:val="000000" w:themeColor="text1"/>
                <w:vertAlign w:val="superscript"/>
                <w:lang w:eastAsia="zh-CN"/>
              </w:rPr>
              <w:t xml:space="preserve"> </w:t>
            </w:r>
          </w:p>
        </w:tc>
        <w:tc>
          <w:tcPr>
            <w:tcW w:w="1405" w:type="dxa"/>
            <w:vMerge w:val="restart"/>
          </w:tcPr>
          <w:p w14:paraId="4A520124"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&lt; 0.0001</w:t>
            </w:r>
            <w:r w:rsidRPr="00245598">
              <w:rPr>
                <w:rFonts w:ascii="Book Antiqua" w:hAnsi="Book Antiqua" w:cs="Calibri"/>
                <w:color w:val="000000" w:themeColor="text1"/>
                <w:vertAlign w:val="superscript"/>
              </w:rPr>
              <w:t>3</w:t>
            </w:r>
          </w:p>
        </w:tc>
      </w:tr>
      <w:tr w:rsidR="00DE6AEC" w:rsidRPr="00234908" w14:paraId="0864637B" w14:textId="77777777" w:rsidTr="00E36494">
        <w:trPr>
          <w:trHeight w:val="1634"/>
        </w:trPr>
        <w:tc>
          <w:tcPr>
            <w:tcW w:w="1471" w:type="dxa"/>
            <w:shd w:val="clear" w:color="auto" w:fill="auto"/>
            <w:hideMark/>
          </w:tcPr>
          <w:p w14:paraId="48CB6790" w14:textId="22D99B0A" w:rsidR="00160D54" w:rsidRPr="00245598" w:rsidRDefault="00160D54" w:rsidP="00DE6AEC">
            <w:pPr>
              <w:spacing w:line="360" w:lineRule="auto"/>
              <w:jc w:val="both"/>
              <w:rPr>
                <w:rFonts w:ascii="Book Antiqua" w:hAnsi="Book Antiqua"/>
                <w:color w:val="000000" w:themeColor="text1"/>
              </w:rPr>
            </w:pPr>
            <w:r w:rsidRPr="00245598">
              <w:rPr>
                <w:rFonts w:ascii="Book Antiqua" w:hAnsi="Book Antiqua" w:cs="Calibri"/>
                <w:color w:val="000000" w:themeColor="text1"/>
              </w:rPr>
              <w:lastRenderedPageBreak/>
              <w:t xml:space="preserve">ALAT UI/L </w:t>
            </w:r>
          </w:p>
        </w:tc>
        <w:tc>
          <w:tcPr>
            <w:tcW w:w="1411" w:type="dxa"/>
            <w:gridSpan w:val="2"/>
            <w:shd w:val="clear" w:color="auto" w:fill="auto"/>
            <w:hideMark/>
          </w:tcPr>
          <w:p w14:paraId="3E50D482" w14:textId="18BDCA3E" w:rsidR="00160D54" w:rsidRPr="00245598" w:rsidRDefault="00160D54" w:rsidP="00102F07">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25 (17; 36); (</w:t>
            </w:r>
            <w:r w:rsidR="00E91FCF" w:rsidRPr="00245598">
              <w:rPr>
                <w:rFonts w:ascii="Book Antiqua" w:hAnsi="Book Antiqua" w:cs="Calibri"/>
                <w:i/>
                <w:iCs/>
                <w:color w:val="000000" w:themeColor="text1"/>
              </w:rPr>
              <w:t>n</w:t>
            </w:r>
            <w:r w:rsidRPr="00245598">
              <w:rPr>
                <w:rFonts w:ascii="Book Antiqua" w:hAnsi="Book Antiqua" w:cs="Calibri"/>
                <w:color w:val="000000" w:themeColor="text1"/>
              </w:rPr>
              <w:t xml:space="preserve"> = 133); (7-214)</w:t>
            </w:r>
          </w:p>
        </w:tc>
        <w:tc>
          <w:tcPr>
            <w:tcW w:w="1411" w:type="dxa"/>
            <w:shd w:val="clear" w:color="auto" w:fill="auto"/>
            <w:hideMark/>
          </w:tcPr>
          <w:p w14:paraId="3DF546DC" w14:textId="7A6D28EE" w:rsidR="00160D54" w:rsidRPr="00245598" w:rsidRDefault="00160D54" w:rsidP="00234908">
            <w:pPr>
              <w:spacing w:line="360" w:lineRule="auto"/>
              <w:jc w:val="both"/>
              <w:rPr>
                <w:rFonts w:ascii="Book Antiqua" w:hAnsi="Book Antiqua"/>
                <w:color w:val="000000" w:themeColor="text1"/>
              </w:rPr>
            </w:pPr>
            <w:r w:rsidRPr="00245598">
              <w:rPr>
                <w:rFonts w:ascii="Book Antiqua" w:hAnsi="Book Antiqua"/>
                <w:color w:val="000000" w:themeColor="text1"/>
              </w:rPr>
              <w:t>40 (25; 57); (</w:t>
            </w:r>
            <w:r w:rsidR="00E91FCF" w:rsidRPr="00245598">
              <w:rPr>
                <w:rFonts w:ascii="Book Antiqua" w:hAnsi="Book Antiqua"/>
                <w:i/>
                <w:iCs/>
                <w:color w:val="000000" w:themeColor="text1"/>
              </w:rPr>
              <w:t>n</w:t>
            </w:r>
            <w:r w:rsidRPr="00245598">
              <w:rPr>
                <w:rFonts w:ascii="Book Antiqua" w:hAnsi="Book Antiqua"/>
                <w:color w:val="000000" w:themeColor="text1"/>
              </w:rPr>
              <w:t xml:space="preserve"> = 27); (17-148)</w:t>
            </w:r>
          </w:p>
        </w:tc>
        <w:tc>
          <w:tcPr>
            <w:tcW w:w="1411" w:type="dxa"/>
            <w:shd w:val="clear" w:color="auto" w:fill="auto"/>
            <w:hideMark/>
          </w:tcPr>
          <w:p w14:paraId="05AC3247" w14:textId="4429CB79" w:rsidR="00160D54" w:rsidRPr="00245598" w:rsidRDefault="00160D54" w:rsidP="00234908">
            <w:pPr>
              <w:spacing w:line="360" w:lineRule="auto"/>
              <w:jc w:val="both"/>
              <w:rPr>
                <w:rFonts w:ascii="Book Antiqua" w:hAnsi="Book Antiqua"/>
                <w:color w:val="000000" w:themeColor="text1"/>
              </w:rPr>
            </w:pPr>
            <w:r w:rsidRPr="00245598">
              <w:rPr>
                <w:rFonts w:ascii="Book Antiqua" w:hAnsi="Book Antiqua"/>
                <w:color w:val="000000" w:themeColor="text1"/>
              </w:rPr>
              <w:t>19 (15; 26); (</w:t>
            </w:r>
            <w:r w:rsidR="00E91FCF" w:rsidRPr="00245598">
              <w:rPr>
                <w:rFonts w:ascii="Book Antiqua" w:hAnsi="Book Antiqua"/>
                <w:i/>
                <w:iCs/>
                <w:color w:val="000000" w:themeColor="text1"/>
              </w:rPr>
              <w:t>n</w:t>
            </w:r>
            <w:r w:rsidRPr="00245598">
              <w:rPr>
                <w:rFonts w:ascii="Book Antiqua" w:hAnsi="Book Antiqua"/>
                <w:color w:val="000000" w:themeColor="text1"/>
              </w:rPr>
              <w:t xml:space="preserve"> = 83); (7-89)</w:t>
            </w:r>
          </w:p>
        </w:tc>
        <w:tc>
          <w:tcPr>
            <w:tcW w:w="1407" w:type="dxa"/>
            <w:shd w:val="clear" w:color="auto" w:fill="auto"/>
            <w:hideMark/>
          </w:tcPr>
          <w:p w14:paraId="3A1184CB" w14:textId="61BD2888" w:rsidR="00160D54" w:rsidRPr="00245598" w:rsidRDefault="00160D54">
            <w:pPr>
              <w:spacing w:line="360" w:lineRule="auto"/>
              <w:jc w:val="both"/>
              <w:rPr>
                <w:rFonts w:ascii="Book Antiqua" w:hAnsi="Book Antiqua"/>
                <w:color w:val="000000" w:themeColor="text1"/>
              </w:rPr>
            </w:pPr>
            <w:r w:rsidRPr="00245598">
              <w:rPr>
                <w:rFonts w:ascii="Book Antiqua" w:hAnsi="Book Antiqua"/>
                <w:color w:val="000000" w:themeColor="text1"/>
              </w:rPr>
              <w:t>46 (28; 70); (</w:t>
            </w:r>
            <w:r w:rsidR="00E91FCF" w:rsidRPr="00245598">
              <w:rPr>
                <w:rFonts w:ascii="Book Antiqua" w:hAnsi="Book Antiqua"/>
                <w:i/>
                <w:iCs/>
                <w:color w:val="000000" w:themeColor="text1"/>
              </w:rPr>
              <w:t>n</w:t>
            </w:r>
            <w:r w:rsidRPr="00245598">
              <w:rPr>
                <w:rFonts w:ascii="Book Antiqua" w:hAnsi="Book Antiqua"/>
                <w:color w:val="000000" w:themeColor="text1"/>
              </w:rPr>
              <w:t xml:space="preserve"> = 23); (10-214)</w:t>
            </w:r>
          </w:p>
        </w:tc>
        <w:tc>
          <w:tcPr>
            <w:tcW w:w="1405" w:type="dxa"/>
            <w:vMerge/>
            <w:shd w:val="clear" w:color="auto" w:fill="auto"/>
            <w:hideMark/>
          </w:tcPr>
          <w:p w14:paraId="4D201FA9" w14:textId="77777777" w:rsidR="00160D54" w:rsidRPr="00245598" w:rsidRDefault="00160D54">
            <w:pPr>
              <w:spacing w:line="360" w:lineRule="auto"/>
              <w:jc w:val="both"/>
              <w:rPr>
                <w:rFonts w:ascii="Book Antiqua" w:hAnsi="Book Antiqua" w:cs="Calibri"/>
                <w:color w:val="000000" w:themeColor="text1"/>
              </w:rPr>
            </w:pPr>
          </w:p>
        </w:tc>
        <w:tc>
          <w:tcPr>
            <w:tcW w:w="1405" w:type="dxa"/>
            <w:vMerge/>
          </w:tcPr>
          <w:p w14:paraId="646B6DE9" w14:textId="77777777" w:rsidR="00160D54" w:rsidRPr="00245598" w:rsidRDefault="00160D54">
            <w:pPr>
              <w:spacing w:line="360" w:lineRule="auto"/>
              <w:jc w:val="both"/>
              <w:rPr>
                <w:rFonts w:ascii="Book Antiqua" w:hAnsi="Book Antiqua" w:cs="Calibri"/>
                <w:color w:val="000000" w:themeColor="text1"/>
              </w:rPr>
            </w:pPr>
          </w:p>
        </w:tc>
      </w:tr>
      <w:tr w:rsidR="00DE6AEC" w:rsidRPr="00234908" w14:paraId="61BDB2E3" w14:textId="77777777" w:rsidTr="00E36494">
        <w:trPr>
          <w:trHeight w:val="74"/>
        </w:trPr>
        <w:tc>
          <w:tcPr>
            <w:tcW w:w="1471" w:type="dxa"/>
            <w:shd w:val="clear" w:color="auto" w:fill="auto"/>
            <w:hideMark/>
          </w:tcPr>
          <w:p w14:paraId="0E492560" w14:textId="77777777" w:rsidR="00160D54" w:rsidRPr="00245598" w:rsidRDefault="00160D54" w:rsidP="00DE6AEC">
            <w:pPr>
              <w:spacing w:line="360" w:lineRule="auto"/>
              <w:ind w:firstLineChars="3" w:firstLine="7"/>
              <w:jc w:val="both"/>
              <w:rPr>
                <w:rFonts w:ascii="Book Antiqua" w:hAnsi="Book Antiqua" w:cs="Calibri"/>
                <w:color w:val="000000" w:themeColor="text1"/>
              </w:rPr>
            </w:pPr>
            <w:r w:rsidRPr="00245598">
              <w:rPr>
                <w:rFonts w:ascii="Book Antiqua" w:hAnsi="Book Antiqua" w:cs="Calibri"/>
                <w:color w:val="000000" w:themeColor="text1"/>
              </w:rPr>
              <w:t>Fibrosis</w:t>
            </w:r>
            <w:r w:rsidRPr="00245598">
              <w:rPr>
                <w:rFonts w:ascii="Book Antiqua" w:hAnsi="Book Antiqua" w:cs="Calibri"/>
                <w:color w:val="000000" w:themeColor="text1"/>
                <w:vertAlign w:val="superscript"/>
              </w:rPr>
              <w:t>4</w:t>
            </w:r>
          </w:p>
        </w:tc>
        <w:tc>
          <w:tcPr>
            <w:tcW w:w="1411" w:type="dxa"/>
            <w:gridSpan w:val="2"/>
            <w:shd w:val="clear" w:color="auto" w:fill="auto"/>
            <w:hideMark/>
          </w:tcPr>
          <w:p w14:paraId="272B967D" w14:textId="77777777" w:rsidR="00160D54" w:rsidRPr="00245598" w:rsidRDefault="00160D54" w:rsidP="00102F07">
            <w:pPr>
              <w:spacing w:line="360" w:lineRule="auto"/>
              <w:jc w:val="both"/>
              <w:rPr>
                <w:rFonts w:ascii="Book Antiqua" w:hAnsi="Book Antiqua" w:cs="Calibri"/>
                <w:color w:val="000000" w:themeColor="text1"/>
              </w:rPr>
            </w:pPr>
          </w:p>
        </w:tc>
        <w:tc>
          <w:tcPr>
            <w:tcW w:w="1411" w:type="dxa"/>
            <w:shd w:val="clear" w:color="auto" w:fill="auto"/>
            <w:hideMark/>
          </w:tcPr>
          <w:p w14:paraId="4E38FF3E" w14:textId="77777777" w:rsidR="00160D54" w:rsidRPr="00245598" w:rsidRDefault="00160D54" w:rsidP="00234908">
            <w:pPr>
              <w:spacing w:line="360" w:lineRule="auto"/>
              <w:jc w:val="both"/>
              <w:rPr>
                <w:rFonts w:ascii="Book Antiqua" w:hAnsi="Book Antiqua" w:cs="Calibri"/>
                <w:color w:val="000000" w:themeColor="text1"/>
              </w:rPr>
            </w:pPr>
          </w:p>
        </w:tc>
        <w:tc>
          <w:tcPr>
            <w:tcW w:w="1411" w:type="dxa"/>
            <w:shd w:val="clear" w:color="auto" w:fill="auto"/>
            <w:hideMark/>
          </w:tcPr>
          <w:p w14:paraId="7BA4D273" w14:textId="77777777" w:rsidR="00160D54" w:rsidRPr="00245598" w:rsidRDefault="00160D54" w:rsidP="00234908">
            <w:pPr>
              <w:spacing w:line="360" w:lineRule="auto"/>
              <w:jc w:val="both"/>
              <w:rPr>
                <w:rFonts w:ascii="Book Antiqua" w:hAnsi="Book Antiqua" w:cs="Calibri"/>
                <w:color w:val="000000" w:themeColor="text1"/>
              </w:rPr>
            </w:pPr>
          </w:p>
        </w:tc>
        <w:tc>
          <w:tcPr>
            <w:tcW w:w="1407" w:type="dxa"/>
            <w:shd w:val="clear" w:color="auto" w:fill="auto"/>
            <w:hideMark/>
          </w:tcPr>
          <w:p w14:paraId="7D2A7950" w14:textId="77777777" w:rsidR="00160D54" w:rsidRPr="00245598" w:rsidRDefault="00160D54">
            <w:pPr>
              <w:spacing w:line="360" w:lineRule="auto"/>
              <w:jc w:val="both"/>
              <w:rPr>
                <w:rFonts w:ascii="Book Antiqua" w:hAnsi="Book Antiqua" w:cs="Calibri"/>
                <w:color w:val="000000" w:themeColor="text1"/>
              </w:rPr>
            </w:pPr>
          </w:p>
        </w:tc>
        <w:tc>
          <w:tcPr>
            <w:tcW w:w="1405" w:type="dxa"/>
            <w:shd w:val="clear" w:color="auto" w:fill="auto"/>
            <w:hideMark/>
          </w:tcPr>
          <w:p w14:paraId="617CF5DC" w14:textId="77777777" w:rsidR="00160D54" w:rsidRPr="00245598" w:rsidRDefault="00160D54">
            <w:pPr>
              <w:spacing w:line="360" w:lineRule="auto"/>
              <w:jc w:val="both"/>
              <w:rPr>
                <w:rFonts w:ascii="Book Antiqua" w:hAnsi="Book Antiqua" w:cs="Calibri"/>
                <w:color w:val="000000" w:themeColor="text1"/>
              </w:rPr>
            </w:pPr>
          </w:p>
        </w:tc>
        <w:tc>
          <w:tcPr>
            <w:tcW w:w="1405" w:type="dxa"/>
          </w:tcPr>
          <w:p w14:paraId="11F0E63F" w14:textId="77777777" w:rsidR="00160D54" w:rsidRPr="00245598" w:rsidRDefault="00160D54">
            <w:pPr>
              <w:spacing w:line="360" w:lineRule="auto"/>
              <w:jc w:val="both"/>
              <w:rPr>
                <w:rFonts w:ascii="Book Antiqua" w:hAnsi="Book Antiqua" w:cs="Calibri"/>
                <w:color w:val="000000" w:themeColor="text1"/>
              </w:rPr>
            </w:pPr>
          </w:p>
        </w:tc>
      </w:tr>
      <w:tr w:rsidR="00DE6AEC" w:rsidRPr="00234908" w14:paraId="64B5B192" w14:textId="77777777" w:rsidTr="00E36494">
        <w:trPr>
          <w:trHeight w:val="74"/>
        </w:trPr>
        <w:tc>
          <w:tcPr>
            <w:tcW w:w="1471" w:type="dxa"/>
            <w:shd w:val="clear" w:color="auto" w:fill="auto"/>
            <w:hideMark/>
          </w:tcPr>
          <w:p w14:paraId="45848A8D" w14:textId="77777777" w:rsidR="00160D54" w:rsidRPr="00245598" w:rsidRDefault="00160D54" w:rsidP="00DE6AEC">
            <w:pPr>
              <w:spacing w:line="360" w:lineRule="auto"/>
              <w:jc w:val="both"/>
              <w:rPr>
                <w:rFonts w:ascii="Book Antiqua" w:hAnsi="Book Antiqua"/>
                <w:color w:val="000000" w:themeColor="text1"/>
              </w:rPr>
            </w:pPr>
            <w:r w:rsidRPr="00245598">
              <w:rPr>
                <w:rFonts w:ascii="Book Antiqua" w:hAnsi="Book Antiqua"/>
                <w:color w:val="000000" w:themeColor="text1"/>
              </w:rPr>
              <w:t>-</w:t>
            </w:r>
            <w:r w:rsidRPr="00245598">
              <w:rPr>
                <w:rFonts w:ascii="Book Antiqua" w:hAnsi="Book Antiqua" w:cs="Calibri"/>
                <w:iCs/>
                <w:color w:val="000000" w:themeColor="text1"/>
              </w:rPr>
              <w:t>F0/F1</w:t>
            </w:r>
            <w:r w:rsidRPr="00245598">
              <w:rPr>
                <w:rFonts w:ascii="Book Antiqua" w:hAnsi="Book Antiqua" w:cs="Calibri"/>
                <w:iCs/>
                <w:color w:val="000000" w:themeColor="text1"/>
                <w:vertAlign w:val="superscript"/>
              </w:rPr>
              <w:t>5</w:t>
            </w:r>
          </w:p>
        </w:tc>
        <w:tc>
          <w:tcPr>
            <w:tcW w:w="1411" w:type="dxa"/>
            <w:gridSpan w:val="2"/>
            <w:shd w:val="clear" w:color="auto" w:fill="auto"/>
            <w:hideMark/>
          </w:tcPr>
          <w:p w14:paraId="08C42622" w14:textId="77777777" w:rsidR="00160D54" w:rsidRPr="00245598" w:rsidRDefault="00160D54" w:rsidP="00102F07">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103 (84.4%)</w:t>
            </w:r>
          </w:p>
        </w:tc>
        <w:tc>
          <w:tcPr>
            <w:tcW w:w="1411" w:type="dxa"/>
            <w:shd w:val="clear" w:color="auto" w:fill="auto"/>
            <w:hideMark/>
          </w:tcPr>
          <w:p w14:paraId="67F790D5"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13 (56.5%)</w:t>
            </w:r>
          </w:p>
        </w:tc>
        <w:tc>
          <w:tcPr>
            <w:tcW w:w="1411" w:type="dxa"/>
            <w:shd w:val="clear" w:color="auto" w:fill="auto"/>
            <w:hideMark/>
          </w:tcPr>
          <w:p w14:paraId="1F7C3B35"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73 (94.8%)</w:t>
            </w:r>
          </w:p>
        </w:tc>
        <w:tc>
          <w:tcPr>
            <w:tcW w:w="1407" w:type="dxa"/>
            <w:shd w:val="clear" w:color="auto" w:fill="auto"/>
            <w:hideMark/>
          </w:tcPr>
          <w:p w14:paraId="7BF83572"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17 (77.3%)</w:t>
            </w:r>
          </w:p>
        </w:tc>
        <w:tc>
          <w:tcPr>
            <w:tcW w:w="1405" w:type="dxa"/>
            <w:vMerge w:val="restart"/>
            <w:shd w:val="clear" w:color="auto" w:fill="auto"/>
            <w:hideMark/>
          </w:tcPr>
          <w:p w14:paraId="7C274468"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&lt; 0.0001</w:t>
            </w:r>
            <w:r w:rsidRPr="00245598">
              <w:rPr>
                <w:rFonts w:ascii="Book Antiqua" w:hAnsi="Book Antiqua" w:cs="Calibri"/>
                <w:color w:val="000000" w:themeColor="text1"/>
                <w:vertAlign w:val="superscript"/>
              </w:rPr>
              <w:t>3</w:t>
            </w:r>
          </w:p>
        </w:tc>
        <w:tc>
          <w:tcPr>
            <w:tcW w:w="1405" w:type="dxa"/>
            <w:vMerge w:val="restart"/>
          </w:tcPr>
          <w:p w14:paraId="09783C80" w14:textId="77777777" w:rsidR="00160D54" w:rsidRPr="00245598" w:rsidRDefault="00160D54">
            <w:pPr>
              <w:spacing w:line="360" w:lineRule="auto"/>
              <w:jc w:val="both"/>
              <w:rPr>
                <w:rFonts w:ascii="Book Antiqua" w:hAnsi="Book Antiqua" w:cs="Calibri"/>
                <w:bCs/>
                <w:color w:val="000000" w:themeColor="text1"/>
              </w:rPr>
            </w:pPr>
            <w:r w:rsidRPr="00245598">
              <w:rPr>
                <w:rFonts w:ascii="Book Antiqua" w:hAnsi="Book Antiqua" w:cs="Calibri"/>
                <w:bCs/>
                <w:color w:val="000000" w:themeColor="text1"/>
              </w:rPr>
              <w:t>0.0067</w:t>
            </w:r>
            <w:r w:rsidRPr="00245598">
              <w:rPr>
                <w:rFonts w:ascii="Book Antiqua" w:hAnsi="Book Antiqua" w:cs="Calibri"/>
                <w:bCs/>
                <w:color w:val="000000" w:themeColor="text1"/>
                <w:vertAlign w:val="superscript"/>
              </w:rPr>
              <w:t>3</w:t>
            </w:r>
          </w:p>
        </w:tc>
      </w:tr>
      <w:tr w:rsidR="00DE6AEC" w:rsidRPr="00234908" w14:paraId="65B98526" w14:textId="77777777" w:rsidTr="00E36494">
        <w:trPr>
          <w:trHeight w:val="74"/>
        </w:trPr>
        <w:tc>
          <w:tcPr>
            <w:tcW w:w="1471" w:type="dxa"/>
            <w:shd w:val="clear" w:color="auto" w:fill="auto"/>
            <w:hideMark/>
          </w:tcPr>
          <w:p w14:paraId="296A1B49" w14:textId="77777777" w:rsidR="00160D54" w:rsidRPr="00245598" w:rsidRDefault="00160D54" w:rsidP="00DE6AEC">
            <w:pPr>
              <w:spacing w:line="360" w:lineRule="auto"/>
              <w:jc w:val="both"/>
              <w:rPr>
                <w:rFonts w:ascii="Book Antiqua" w:hAnsi="Book Antiqua"/>
                <w:color w:val="000000" w:themeColor="text1"/>
              </w:rPr>
            </w:pPr>
            <w:r w:rsidRPr="00245598">
              <w:rPr>
                <w:rFonts w:ascii="Book Antiqua" w:hAnsi="Book Antiqua"/>
                <w:color w:val="000000" w:themeColor="text1"/>
              </w:rPr>
              <w:t>-</w:t>
            </w:r>
            <w:r w:rsidRPr="00245598">
              <w:rPr>
                <w:rFonts w:ascii="Book Antiqua" w:hAnsi="Book Antiqua" w:cs="Calibri"/>
                <w:iCs/>
                <w:color w:val="000000" w:themeColor="text1"/>
              </w:rPr>
              <w:t>F2</w:t>
            </w:r>
          </w:p>
        </w:tc>
        <w:tc>
          <w:tcPr>
            <w:tcW w:w="1411" w:type="dxa"/>
            <w:gridSpan w:val="2"/>
            <w:shd w:val="clear" w:color="auto" w:fill="auto"/>
            <w:hideMark/>
          </w:tcPr>
          <w:p w14:paraId="66A592EA" w14:textId="77777777" w:rsidR="00160D54" w:rsidRPr="00245598" w:rsidRDefault="00160D54" w:rsidP="00102F07">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5 (4.1%)</w:t>
            </w:r>
          </w:p>
        </w:tc>
        <w:tc>
          <w:tcPr>
            <w:tcW w:w="1411" w:type="dxa"/>
            <w:shd w:val="clear" w:color="auto" w:fill="auto"/>
            <w:hideMark/>
          </w:tcPr>
          <w:p w14:paraId="7901FB36"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2 (8.7%)</w:t>
            </w:r>
          </w:p>
        </w:tc>
        <w:tc>
          <w:tcPr>
            <w:tcW w:w="1411" w:type="dxa"/>
            <w:shd w:val="clear" w:color="auto" w:fill="auto"/>
            <w:hideMark/>
          </w:tcPr>
          <w:p w14:paraId="5C0F4F83"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2 (2.6%)</w:t>
            </w:r>
          </w:p>
        </w:tc>
        <w:tc>
          <w:tcPr>
            <w:tcW w:w="1407" w:type="dxa"/>
            <w:shd w:val="clear" w:color="auto" w:fill="auto"/>
            <w:hideMark/>
          </w:tcPr>
          <w:p w14:paraId="526A2909"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1 (4.5%)</w:t>
            </w:r>
          </w:p>
        </w:tc>
        <w:tc>
          <w:tcPr>
            <w:tcW w:w="1405" w:type="dxa"/>
            <w:vMerge/>
            <w:shd w:val="clear" w:color="auto" w:fill="auto"/>
            <w:hideMark/>
          </w:tcPr>
          <w:p w14:paraId="4DB50CF2" w14:textId="77777777" w:rsidR="00160D54" w:rsidRPr="00245598" w:rsidRDefault="00160D54">
            <w:pPr>
              <w:spacing w:line="360" w:lineRule="auto"/>
              <w:jc w:val="both"/>
              <w:rPr>
                <w:rFonts w:ascii="Book Antiqua" w:hAnsi="Book Antiqua" w:cs="Calibri"/>
                <w:color w:val="000000" w:themeColor="text1"/>
              </w:rPr>
            </w:pPr>
          </w:p>
        </w:tc>
        <w:tc>
          <w:tcPr>
            <w:tcW w:w="1405" w:type="dxa"/>
            <w:vMerge/>
          </w:tcPr>
          <w:p w14:paraId="35BE6F1D" w14:textId="77777777" w:rsidR="00160D54" w:rsidRPr="00245598" w:rsidRDefault="00160D54">
            <w:pPr>
              <w:spacing w:line="360" w:lineRule="auto"/>
              <w:jc w:val="both"/>
              <w:rPr>
                <w:rFonts w:ascii="Book Antiqua" w:hAnsi="Book Antiqua" w:cs="Calibri"/>
                <w:color w:val="000000" w:themeColor="text1"/>
              </w:rPr>
            </w:pPr>
          </w:p>
        </w:tc>
      </w:tr>
      <w:tr w:rsidR="00DE6AEC" w:rsidRPr="00234908" w14:paraId="258FB426" w14:textId="77777777" w:rsidTr="00E36494">
        <w:trPr>
          <w:trHeight w:val="74"/>
        </w:trPr>
        <w:tc>
          <w:tcPr>
            <w:tcW w:w="1471" w:type="dxa"/>
            <w:shd w:val="clear" w:color="auto" w:fill="auto"/>
            <w:hideMark/>
          </w:tcPr>
          <w:p w14:paraId="1935E5F0" w14:textId="77777777" w:rsidR="00160D54" w:rsidRPr="00245598" w:rsidRDefault="00160D54" w:rsidP="00DE6AEC">
            <w:pPr>
              <w:spacing w:line="360" w:lineRule="auto"/>
              <w:jc w:val="both"/>
              <w:rPr>
                <w:rFonts w:ascii="Book Antiqua" w:hAnsi="Book Antiqua"/>
                <w:color w:val="000000" w:themeColor="text1"/>
              </w:rPr>
            </w:pPr>
            <w:r w:rsidRPr="00245598">
              <w:rPr>
                <w:rFonts w:ascii="Book Antiqua" w:hAnsi="Book Antiqua"/>
                <w:color w:val="000000" w:themeColor="text1"/>
              </w:rPr>
              <w:t>-</w:t>
            </w:r>
            <w:r w:rsidRPr="00245598">
              <w:rPr>
                <w:rFonts w:ascii="Book Antiqua" w:hAnsi="Book Antiqua" w:cs="Calibri"/>
                <w:iCs/>
                <w:color w:val="000000" w:themeColor="text1"/>
              </w:rPr>
              <w:t>F2/F3</w:t>
            </w:r>
          </w:p>
        </w:tc>
        <w:tc>
          <w:tcPr>
            <w:tcW w:w="1411" w:type="dxa"/>
            <w:gridSpan w:val="2"/>
            <w:shd w:val="clear" w:color="auto" w:fill="auto"/>
            <w:hideMark/>
          </w:tcPr>
          <w:p w14:paraId="43C2E794" w14:textId="77777777" w:rsidR="00160D54" w:rsidRPr="00245598" w:rsidRDefault="00160D54" w:rsidP="00102F07">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8 (6.6%)</w:t>
            </w:r>
          </w:p>
        </w:tc>
        <w:tc>
          <w:tcPr>
            <w:tcW w:w="1411" w:type="dxa"/>
            <w:shd w:val="clear" w:color="auto" w:fill="auto"/>
            <w:hideMark/>
          </w:tcPr>
          <w:p w14:paraId="273AE5DE"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6 (26.1%)</w:t>
            </w:r>
          </w:p>
        </w:tc>
        <w:tc>
          <w:tcPr>
            <w:tcW w:w="1411" w:type="dxa"/>
            <w:shd w:val="clear" w:color="auto" w:fill="auto"/>
            <w:hideMark/>
          </w:tcPr>
          <w:p w14:paraId="19914BF8"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2 (2.6%)</w:t>
            </w:r>
          </w:p>
        </w:tc>
        <w:tc>
          <w:tcPr>
            <w:tcW w:w="1407" w:type="dxa"/>
            <w:shd w:val="clear" w:color="auto" w:fill="auto"/>
            <w:hideMark/>
          </w:tcPr>
          <w:p w14:paraId="761C2628"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 (0%)</w:t>
            </w:r>
          </w:p>
        </w:tc>
        <w:tc>
          <w:tcPr>
            <w:tcW w:w="1405" w:type="dxa"/>
            <w:vMerge/>
            <w:shd w:val="clear" w:color="auto" w:fill="auto"/>
            <w:hideMark/>
          </w:tcPr>
          <w:p w14:paraId="30F0CE29" w14:textId="77777777" w:rsidR="00160D54" w:rsidRPr="00245598" w:rsidRDefault="00160D54">
            <w:pPr>
              <w:spacing w:line="360" w:lineRule="auto"/>
              <w:jc w:val="both"/>
              <w:rPr>
                <w:rFonts w:ascii="Book Antiqua" w:hAnsi="Book Antiqua" w:cs="Calibri"/>
                <w:color w:val="000000" w:themeColor="text1"/>
              </w:rPr>
            </w:pPr>
          </w:p>
        </w:tc>
        <w:tc>
          <w:tcPr>
            <w:tcW w:w="1405" w:type="dxa"/>
            <w:vMerge/>
          </w:tcPr>
          <w:p w14:paraId="2121B7AA" w14:textId="77777777" w:rsidR="00160D54" w:rsidRPr="00245598" w:rsidRDefault="00160D54">
            <w:pPr>
              <w:spacing w:line="360" w:lineRule="auto"/>
              <w:jc w:val="both"/>
              <w:rPr>
                <w:rFonts w:ascii="Book Antiqua" w:hAnsi="Book Antiqua" w:cs="Calibri"/>
                <w:color w:val="000000" w:themeColor="text1"/>
              </w:rPr>
            </w:pPr>
          </w:p>
        </w:tc>
      </w:tr>
      <w:tr w:rsidR="00DE6AEC" w:rsidRPr="00234908" w14:paraId="142B55E8" w14:textId="77777777" w:rsidTr="00E36494">
        <w:trPr>
          <w:trHeight w:val="74"/>
        </w:trPr>
        <w:tc>
          <w:tcPr>
            <w:tcW w:w="1471" w:type="dxa"/>
            <w:shd w:val="clear" w:color="auto" w:fill="auto"/>
            <w:hideMark/>
          </w:tcPr>
          <w:p w14:paraId="14FEE2E9" w14:textId="77777777" w:rsidR="00160D54" w:rsidRPr="00245598" w:rsidRDefault="00160D54" w:rsidP="00DE6AEC">
            <w:pPr>
              <w:spacing w:line="360" w:lineRule="auto"/>
              <w:jc w:val="both"/>
              <w:rPr>
                <w:rFonts w:ascii="Book Antiqua" w:hAnsi="Book Antiqua"/>
                <w:color w:val="000000" w:themeColor="text1"/>
              </w:rPr>
            </w:pPr>
            <w:r w:rsidRPr="00245598">
              <w:rPr>
                <w:rFonts w:ascii="Book Antiqua" w:hAnsi="Book Antiqua"/>
                <w:color w:val="000000" w:themeColor="text1"/>
              </w:rPr>
              <w:t>-</w:t>
            </w:r>
            <w:r w:rsidRPr="00245598">
              <w:rPr>
                <w:rFonts w:ascii="Book Antiqua" w:hAnsi="Book Antiqua" w:cs="Calibri"/>
                <w:iCs/>
                <w:color w:val="000000" w:themeColor="text1"/>
              </w:rPr>
              <w:t>F3</w:t>
            </w:r>
          </w:p>
        </w:tc>
        <w:tc>
          <w:tcPr>
            <w:tcW w:w="1411" w:type="dxa"/>
            <w:gridSpan w:val="2"/>
            <w:shd w:val="clear" w:color="auto" w:fill="auto"/>
            <w:hideMark/>
          </w:tcPr>
          <w:p w14:paraId="1153B49A" w14:textId="77777777" w:rsidR="00160D54" w:rsidRPr="00245598" w:rsidRDefault="00160D54" w:rsidP="00102F07">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1 (0.8%)</w:t>
            </w:r>
          </w:p>
        </w:tc>
        <w:tc>
          <w:tcPr>
            <w:tcW w:w="1411" w:type="dxa"/>
            <w:shd w:val="clear" w:color="auto" w:fill="auto"/>
            <w:hideMark/>
          </w:tcPr>
          <w:p w14:paraId="53443503"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 (0.0%)</w:t>
            </w:r>
          </w:p>
        </w:tc>
        <w:tc>
          <w:tcPr>
            <w:tcW w:w="1411" w:type="dxa"/>
            <w:shd w:val="clear" w:color="auto" w:fill="auto"/>
            <w:hideMark/>
          </w:tcPr>
          <w:p w14:paraId="7AB28F59"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 (0%)</w:t>
            </w:r>
          </w:p>
        </w:tc>
        <w:tc>
          <w:tcPr>
            <w:tcW w:w="1407" w:type="dxa"/>
            <w:shd w:val="clear" w:color="auto" w:fill="auto"/>
            <w:hideMark/>
          </w:tcPr>
          <w:p w14:paraId="2F3252AD"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1 (4.5%)</w:t>
            </w:r>
          </w:p>
        </w:tc>
        <w:tc>
          <w:tcPr>
            <w:tcW w:w="1405" w:type="dxa"/>
            <w:vMerge/>
            <w:shd w:val="clear" w:color="auto" w:fill="auto"/>
            <w:hideMark/>
          </w:tcPr>
          <w:p w14:paraId="389A8EBD" w14:textId="77777777" w:rsidR="00160D54" w:rsidRPr="00245598" w:rsidRDefault="00160D54">
            <w:pPr>
              <w:spacing w:line="360" w:lineRule="auto"/>
              <w:jc w:val="both"/>
              <w:rPr>
                <w:rFonts w:ascii="Book Antiqua" w:hAnsi="Book Antiqua" w:cs="Calibri"/>
                <w:color w:val="000000" w:themeColor="text1"/>
              </w:rPr>
            </w:pPr>
          </w:p>
        </w:tc>
        <w:tc>
          <w:tcPr>
            <w:tcW w:w="1405" w:type="dxa"/>
            <w:vMerge/>
          </w:tcPr>
          <w:p w14:paraId="1C62C4F9" w14:textId="77777777" w:rsidR="00160D54" w:rsidRPr="00245598" w:rsidRDefault="00160D54">
            <w:pPr>
              <w:spacing w:line="360" w:lineRule="auto"/>
              <w:jc w:val="both"/>
              <w:rPr>
                <w:rFonts w:ascii="Book Antiqua" w:hAnsi="Book Antiqua" w:cs="Calibri"/>
                <w:color w:val="000000" w:themeColor="text1"/>
              </w:rPr>
            </w:pPr>
          </w:p>
        </w:tc>
      </w:tr>
      <w:tr w:rsidR="00DE6AEC" w:rsidRPr="00234908" w14:paraId="0BF4F912" w14:textId="77777777" w:rsidTr="00E36494">
        <w:trPr>
          <w:trHeight w:val="74"/>
        </w:trPr>
        <w:tc>
          <w:tcPr>
            <w:tcW w:w="1471" w:type="dxa"/>
            <w:shd w:val="clear" w:color="auto" w:fill="auto"/>
            <w:hideMark/>
          </w:tcPr>
          <w:p w14:paraId="5D8B69C4" w14:textId="77777777" w:rsidR="00160D54" w:rsidRPr="00245598" w:rsidRDefault="00160D54" w:rsidP="00DE6AEC">
            <w:pPr>
              <w:spacing w:line="360" w:lineRule="auto"/>
              <w:jc w:val="both"/>
              <w:rPr>
                <w:rFonts w:ascii="Book Antiqua" w:hAnsi="Book Antiqua"/>
                <w:color w:val="000000" w:themeColor="text1"/>
              </w:rPr>
            </w:pPr>
            <w:r w:rsidRPr="00245598">
              <w:rPr>
                <w:rFonts w:ascii="Book Antiqua" w:hAnsi="Book Antiqua"/>
                <w:color w:val="000000" w:themeColor="text1"/>
              </w:rPr>
              <w:t>-</w:t>
            </w:r>
            <w:r w:rsidRPr="00245598">
              <w:rPr>
                <w:rFonts w:ascii="Book Antiqua" w:hAnsi="Book Antiqua" w:cs="Calibri"/>
                <w:iCs/>
                <w:color w:val="000000" w:themeColor="text1"/>
              </w:rPr>
              <w:t>F3/F4</w:t>
            </w:r>
          </w:p>
        </w:tc>
        <w:tc>
          <w:tcPr>
            <w:tcW w:w="1411" w:type="dxa"/>
            <w:gridSpan w:val="2"/>
            <w:shd w:val="clear" w:color="auto" w:fill="auto"/>
            <w:hideMark/>
          </w:tcPr>
          <w:p w14:paraId="48655ECB" w14:textId="77777777" w:rsidR="00160D54" w:rsidRPr="00245598" w:rsidRDefault="00160D54" w:rsidP="00102F07">
            <w:pPr>
              <w:spacing w:line="360" w:lineRule="auto"/>
              <w:jc w:val="both"/>
              <w:rPr>
                <w:rFonts w:ascii="Book Antiqua" w:hAnsi="Book Antiqua" w:cs="Calibri"/>
                <w:color w:val="000000" w:themeColor="text1"/>
              </w:rPr>
            </w:pPr>
          </w:p>
        </w:tc>
        <w:tc>
          <w:tcPr>
            <w:tcW w:w="1411" w:type="dxa"/>
            <w:shd w:val="clear" w:color="auto" w:fill="auto"/>
            <w:hideMark/>
          </w:tcPr>
          <w:p w14:paraId="73F25C5F" w14:textId="77777777" w:rsidR="00160D54" w:rsidRPr="00245598" w:rsidRDefault="00160D54" w:rsidP="00234908">
            <w:pPr>
              <w:spacing w:line="360" w:lineRule="auto"/>
              <w:jc w:val="both"/>
              <w:rPr>
                <w:rFonts w:ascii="Book Antiqua" w:hAnsi="Book Antiqua" w:cs="Calibri"/>
                <w:color w:val="000000" w:themeColor="text1"/>
              </w:rPr>
            </w:pPr>
          </w:p>
        </w:tc>
        <w:tc>
          <w:tcPr>
            <w:tcW w:w="1411" w:type="dxa"/>
            <w:shd w:val="clear" w:color="auto" w:fill="auto"/>
            <w:hideMark/>
          </w:tcPr>
          <w:p w14:paraId="33CEA56B" w14:textId="77777777" w:rsidR="00160D54" w:rsidRPr="00245598" w:rsidRDefault="00160D54" w:rsidP="00234908">
            <w:pPr>
              <w:spacing w:line="360" w:lineRule="auto"/>
              <w:jc w:val="both"/>
              <w:rPr>
                <w:rFonts w:ascii="Book Antiqua" w:hAnsi="Book Antiqua" w:cs="Calibri"/>
                <w:color w:val="000000" w:themeColor="text1"/>
              </w:rPr>
            </w:pPr>
          </w:p>
        </w:tc>
        <w:tc>
          <w:tcPr>
            <w:tcW w:w="1407" w:type="dxa"/>
            <w:shd w:val="clear" w:color="auto" w:fill="auto"/>
            <w:hideMark/>
          </w:tcPr>
          <w:p w14:paraId="19ACCBEC" w14:textId="77777777" w:rsidR="00160D54" w:rsidRPr="00245598" w:rsidRDefault="00160D54">
            <w:pPr>
              <w:spacing w:line="360" w:lineRule="auto"/>
              <w:jc w:val="both"/>
              <w:rPr>
                <w:rFonts w:ascii="Book Antiqua" w:hAnsi="Book Antiqua" w:cs="Calibri"/>
                <w:color w:val="000000" w:themeColor="text1"/>
              </w:rPr>
            </w:pPr>
          </w:p>
        </w:tc>
        <w:tc>
          <w:tcPr>
            <w:tcW w:w="1405" w:type="dxa"/>
            <w:vMerge/>
            <w:shd w:val="clear" w:color="auto" w:fill="auto"/>
            <w:hideMark/>
          </w:tcPr>
          <w:p w14:paraId="1517CC3E" w14:textId="77777777" w:rsidR="00160D54" w:rsidRPr="00245598" w:rsidRDefault="00160D54">
            <w:pPr>
              <w:spacing w:line="360" w:lineRule="auto"/>
              <w:jc w:val="both"/>
              <w:rPr>
                <w:rFonts w:ascii="Book Antiqua" w:hAnsi="Book Antiqua" w:cs="Calibri"/>
                <w:color w:val="000000" w:themeColor="text1"/>
              </w:rPr>
            </w:pPr>
          </w:p>
        </w:tc>
        <w:tc>
          <w:tcPr>
            <w:tcW w:w="1405" w:type="dxa"/>
            <w:vMerge/>
          </w:tcPr>
          <w:p w14:paraId="4D032025" w14:textId="77777777" w:rsidR="00160D54" w:rsidRPr="00245598" w:rsidRDefault="00160D54">
            <w:pPr>
              <w:spacing w:line="360" w:lineRule="auto"/>
              <w:jc w:val="both"/>
              <w:rPr>
                <w:rFonts w:ascii="Book Antiqua" w:hAnsi="Book Antiqua" w:cs="Calibri"/>
                <w:color w:val="000000" w:themeColor="text1"/>
              </w:rPr>
            </w:pPr>
          </w:p>
        </w:tc>
      </w:tr>
      <w:tr w:rsidR="00DE6AEC" w:rsidRPr="00234908" w14:paraId="3A7985A9" w14:textId="77777777" w:rsidTr="00E36494">
        <w:trPr>
          <w:trHeight w:val="585"/>
        </w:trPr>
        <w:tc>
          <w:tcPr>
            <w:tcW w:w="1471" w:type="dxa"/>
            <w:shd w:val="clear" w:color="auto" w:fill="auto"/>
            <w:hideMark/>
          </w:tcPr>
          <w:p w14:paraId="5003E1E8" w14:textId="77777777" w:rsidR="00160D54" w:rsidRPr="00245598" w:rsidRDefault="00160D54" w:rsidP="00DE6AEC">
            <w:pPr>
              <w:spacing w:line="360" w:lineRule="auto"/>
              <w:jc w:val="both"/>
              <w:rPr>
                <w:rFonts w:ascii="Book Antiqua" w:hAnsi="Book Antiqua" w:cs="Calibri"/>
                <w:iCs/>
                <w:color w:val="000000" w:themeColor="text1"/>
              </w:rPr>
            </w:pPr>
            <w:r w:rsidRPr="00245598">
              <w:rPr>
                <w:rFonts w:ascii="Book Antiqua" w:hAnsi="Book Antiqua"/>
                <w:color w:val="000000" w:themeColor="text1"/>
              </w:rPr>
              <w:t>-</w:t>
            </w:r>
            <w:r w:rsidRPr="00245598">
              <w:rPr>
                <w:rFonts w:ascii="Book Antiqua" w:hAnsi="Book Antiqua" w:cs="Calibri"/>
                <w:iCs/>
                <w:color w:val="000000" w:themeColor="text1"/>
              </w:rPr>
              <w:t>F4</w:t>
            </w:r>
          </w:p>
        </w:tc>
        <w:tc>
          <w:tcPr>
            <w:tcW w:w="1411" w:type="dxa"/>
            <w:gridSpan w:val="2"/>
            <w:shd w:val="clear" w:color="auto" w:fill="auto"/>
            <w:hideMark/>
          </w:tcPr>
          <w:p w14:paraId="3FFE6E3A" w14:textId="77777777" w:rsidR="00160D54" w:rsidRPr="00245598" w:rsidRDefault="00160D54" w:rsidP="00102F07">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5 (4.1%)</w:t>
            </w:r>
          </w:p>
        </w:tc>
        <w:tc>
          <w:tcPr>
            <w:tcW w:w="1411" w:type="dxa"/>
            <w:shd w:val="clear" w:color="auto" w:fill="auto"/>
            <w:hideMark/>
          </w:tcPr>
          <w:p w14:paraId="1ED784F5"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2 (8.7%)</w:t>
            </w:r>
          </w:p>
        </w:tc>
        <w:tc>
          <w:tcPr>
            <w:tcW w:w="1411" w:type="dxa"/>
            <w:shd w:val="clear" w:color="auto" w:fill="auto"/>
            <w:hideMark/>
          </w:tcPr>
          <w:p w14:paraId="4D147555"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 (0%)</w:t>
            </w:r>
          </w:p>
        </w:tc>
        <w:tc>
          <w:tcPr>
            <w:tcW w:w="1407" w:type="dxa"/>
            <w:shd w:val="clear" w:color="auto" w:fill="auto"/>
            <w:hideMark/>
          </w:tcPr>
          <w:p w14:paraId="24E61EEA"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3 (13.6%)</w:t>
            </w:r>
          </w:p>
        </w:tc>
        <w:tc>
          <w:tcPr>
            <w:tcW w:w="1405" w:type="dxa"/>
            <w:vMerge/>
            <w:shd w:val="clear" w:color="auto" w:fill="auto"/>
            <w:hideMark/>
          </w:tcPr>
          <w:p w14:paraId="2B3CB31A" w14:textId="77777777" w:rsidR="00160D54" w:rsidRPr="00245598" w:rsidRDefault="00160D54">
            <w:pPr>
              <w:spacing w:line="360" w:lineRule="auto"/>
              <w:jc w:val="both"/>
              <w:rPr>
                <w:rFonts w:ascii="Book Antiqua" w:hAnsi="Book Antiqua" w:cs="Calibri"/>
                <w:color w:val="000000" w:themeColor="text1"/>
              </w:rPr>
            </w:pPr>
          </w:p>
        </w:tc>
        <w:tc>
          <w:tcPr>
            <w:tcW w:w="1405" w:type="dxa"/>
            <w:vMerge/>
          </w:tcPr>
          <w:p w14:paraId="52AFB9D8" w14:textId="77777777" w:rsidR="00160D54" w:rsidRPr="00245598" w:rsidRDefault="00160D54">
            <w:pPr>
              <w:spacing w:line="360" w:lineRule="auto"/>
              <w:jc w:val="both"/>
              <w:rPr>
                <w:rFonts w:ascii="Book Antiqua" w:hAnsi="Book Antiqua" w:cs="Calibri"/>
                <w:color w:val="000000" w:themeColor="text1"/>
              </w:rPr>
            </w:pPr>
          </w:p>
        </w:tc>
      </w:tr>
      <w:tr w:rsidR="00DE6AEC" w:rsidRPr="00234908" w14:paraId="53F0E80B" w14:textId="77777777" w:rsidTr="00E36494">
        <w:trPr>
          <w:gridAfter w:val="6"/>
          <w:wAfter w:w="7045" w:type="dxa"/>
          <w:trHeight w:val="74"/>
        </w:trPr>
        <w:tc>
          <w:tcPr>
            <w:tcW w:w="1471" w:type="dxa"/>
            <w:shd w:val="clear" w:color="auto" w:fill="auto"/>
            <w:hideMark/>
          </w:tcPr>
          <w:p w14:paraId="63097757" w14:textId="77777777" w:rsidR="00160D54" w:rsidRPr="00245598" w:rsidRDefault="00160D54" w:rsidP="00DE6AEC">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 xml:space="preserve">Fibrosis </w:t>
            </w:r>
            <w:r w:rsidRPr="00245598">
              <w:rPr>
                <w:rFonts w:ascii="Book Antiqua" w:hAnsi="Book Antiqua" w:cs="Calibri"/>
                <w:iCs/>
                <w:color w:val="000000" w:themeColor="text1"/>
              </w:rPr>
              <w:t xml:space="preserve">F0/F1 </w:t>
            </w:r>
            <w:r w:rsidRPr="00245598">
              <w:rPr>
                <w:rFonts w:ascii="Book Antiqua" w:hAnsi="Book Antiqua" w:cs="Calibri"/>
                <w:i/>
                <w:color w:val="000000" w:themeColor="text1"/>
              </w:rPr>
              <w:t>vs</w:t>
            </w:r>
            <w:r w:rsidRPr="00245598">
              <w:rPr>
                <w:rFonts w:ascii="Book Antiqua" w:hAnsi="Book Antiqua" w:cs="Calibri"/>
                <w:iCs/>
                <w:color w:val="000000" w:themeColor="text1"/>
              </w:rPr>
              <w:t xml:space="preserve"> F2</w:t>
            </w:r>
          </w:p>
        </w:tc>
        <w:tc>
          <w:tcPr>
            <w:tcW w:w="1405" w:type="dxa"/>
          </w:tcPr>
          <w:p w14:paraId="7D34215D" w14:textId="77777777" w:rsidR="00160D54" w:rsidRPr="00245598" w:rsidRDefault="00160D54" w:rsidP="00102F07">
            <w:pPr>
              <w:spacing w:line="360" w:lineRule="auto"/>
              <w:jc w:val="both"/>
              <w:rPr>
                <w:rFonts w:ascii="Book Antiqua" w:hAnsi="Book Antiqua" w:cs="Calibri"/>
                <w:color w:val="000000" w:themeColor="text1"/>
              </w:rPr>
            </w:pPr>
          </w:p>
        </w:tc>
      </w:tr>
      <w:tr w:rsidR="00DE6AEC" w:rsidRPr="00234908" w14:paraId="1483DD61" w14:textId="77777777" w:rsidTr="00E36494">
        <w:trPr>
          <w:trHeight w:val="631"/>
        </w:trPr>
        <w:tc>
          <w:tcPr>
            <w:tcW w:w="1471" w:type="dxa"/>
            <w:shd w:val="clear" w:color="auto" w:fill="auto"/>
            <w:hideMark/>
          </w:tcPr>
          <w:p w14:paraId="5C02C031" w14:textId="77777777" w:rsidR="00160D54" w:rsidRPr="00245598" w:rsidRDefault="00160D54" w:rsidP="00DE6AEC">
            <w:pPr>
              <w:spacing w:line="360" w:lineRule="auto"/>
              <w:jc w:val="both"/>
              <w:rPr>
                <w:rFonts w:ascii="Book Antiqua" w:hAnsi="Book Antiqua"/>
                <w:color w:val="000000" w:themeColor="text1"/>
              </w:rPr>
            </w:pPr>
            <w:r w:rsidRPr="00245598">
              <w:rPr>
                <w:rFonts w:ascii="Book Antiqua" w:hAnsi="Book Antiqua"/>
                <w:color w:val="000000" w:themeColor="text1"/>
              </w:rPr>
              <w:t>-</w:t>
            </w:r>
            <w:r w:rsidRPr="00245598">
              <w:rPr>
                <w:rFonts w:ascii="Book Antiqua" w:hAnsi="Book Antiqua" w:cs="Calibri"/>
                <w:iCs/>
                <w:color w:val="000000" w:themeColor="text1"/>
              </w:rPr>
              <w:t>F0/F1</w:t>
            </w:r>
          </w:p>
        </w:tc>
        <w:tc>
          <w:tcPr>
            <w:tcW w:w="1411" w:type="dxa"/>
            <w:gridSpan w:val="2"/>
            <w:shd w:val="clear" w:color="auto" w:fill="auto"/>
            <w:hideMark/>
          </w:tcPr>
          <w:p w14:paraId="7093FB9A" w14:textId="77777777" w:rsidR="00160D54" w:rsidRPr="00245598" w:rsidRDefault="00160D54" w:rsidP="00102F07">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103 (84.4%)</w:t>
            </w:r>
          </w:p>
        </w:tc>
        <w:tc>
          <w:tcPr>
            <w:tcW w:w="1411" w:type="dxa"/>
            <w:shd w:val="clear" w:color="auto" w:fill="auto"/>
            <w:hideMark/>
          </w:tcPr>
          <w:p w14:paraId="7828410C"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13 (56.5%)</w:t>
            </w:r>
          </w:p>
        </w:tc>
        <w:tc>
          <w:tcPr>
            <w:tcW w:w="1411" w:type="dxa"/>
            <w:shd w:val="clear" w:color="auto" w:fill="auto"/>
            <w:hideMark/>
          </w:tcPr>
          <w:p w14:paraId="3B545E2C"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73 (94.8%)</w:t>
            </w:r>
          </w:p>
        </w:tc>
        <w:tc>
          <w:tcPr>
            <w:tcW w:w="1407" w:type="dxa"/>
            <w:shd w:val="clear" w:color="auto" w:fill="auto"/>
            <w:hideMark/>
          </w:tcPr>
          <w:p w14:paraId="2EAD9EB8"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17 (77.3%)</w:t>
            </w:r>
          </w:p>
        </w:tc>
        <w:tc>
          <w:tcPr>
            <w:tcW w:w="1405" w:type="dxa"/>
            <w:vMerge w:val="restart"/>
            <w:shd w:val="clear" w:color="auto" w:fill="auto"/>
            <w:hideMark/>
          </w:tcPr>
          <w:p w14:paraId="55AEBF6D"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&lt; 0.0001</w:t>
            </w:r>
            <w:r w:rsidRPr="00245598">
              <w:rPr>
                <w:rFonts w:ascii="Book Antiqua" w:hAnsi="Book Antiqua" w:cs="Calibri"/>
                <w:color w:val="000000" w:themeColor="text1"/>
                <w:vertAlign w:val="superscript"/>
              </w:rPr>
              <w:t>3</w:t>
            </w:r>
          </w:p>
        </w:tc>
        <w:tc>
          <w:tcPr>
            <w:tcW w:w="1405" w:type="dxa"/>
            <w:vMerge w:val="restart"/>
          </w:tcPr>
          <w:p w14:paraId="2BF2967C" w14:textId="77777777" w:rsidR="00160D54" w:rsidRPr="00245598" w:rsidRDefault="00160D54">
            <w:pPr>
              <w:spacing w:line="360" w:lineRule="auto"/>
              <w:jc w:val="both"/>
              <w:rPr>
                <w:rFonts w:ascii="Book Antiqua" w:hAnsi="Book Antiqua" w:cs="Calibri"/>
                <w:bCs/>
                <w:color w:val="000000" w:themeColor="text1"/>
              </w:rPr>
            </w:pPr>
            <w:r w:rsidRPr="00245598">
              <w:rPr>
                <w:rFonts w:ascii="Book Antiqua" w:hAnsi="Book Antiqua" w:cs="Calibri"/>
                <w:bCs/>
                <w:color w:val="000000" w:themeColor="text1"/>
              </w:rPr>
              <w:t>0.02</w:t>
            </w:r>
            <w:r w:rsidRPr="00245598">
              <w:rPr>
                <w:rFonts w:ascii="Book Antiqua" w:hAnsi="Book Antiqua" w:cs="Calibri"/>
                <w:bCs/>
                <w:color w:val="000000" w:themeColor="text1"/>
                <w:vertAlign w:val="superscript"/>
              </w:rPr>
              <w:t>3</w:t>
            </w:r>
          </w:p>
        </w:tc>
      </w:tr>
      <w:tr w:rsidR="00DE6AEC" w:rsidRPr="00234908" w14:paraId="37F5E0ED" w14:textId="77777777" w:rsidTr="00E36494">
        <w:trPr>
          <w:trHeight w:val="736"/>
        </w:trPr>
        <w:tc>
          <w:tcPr>
            <w:tcW w:w="1471" w:type="dxa"/>
            <w:shd w:val="clear" w:color="auto" w:fill="auto"/>
            <w:hideMark/>
          </w:tcPr>
          <w:p w14:paraId="21D08CE9" w14:textId="77777777" w:rsidR="00160D54" w:rsidRPr="00245598" w:rsidRDefault="00160D54" w:rsidP="00DE6AEC">
            <w:pPr>
              <w:spacing w:line="360" w:lineRule="auto"/>
              <w:jc w:val="both"/>
              <w:rPr>
                <w:rFonts w:ascii="Book Antiqua" w:hAnsi="Book Antiqua" w:cs="Calibri"/>
                <w:iCs/>
                <w:color w:val="000000" w:themeColor="text1"/>
              </w:rPr>
            </w:pPr>
            <w:r w:rsidRPr="00245598">
              <w:rPr>
                <w:rFonts w:ascii="Book Antiqua" w:hAnsi="Book Antiqua" w:hint="eastAsia"/>
                <w:color w:val="000000" w:themeColor="text1"/>
              </w:rPr>
              <w:t>-</w:t>
            </w:r>
            <w:r w:rsidRPr="00245598">
              <w:rPr>
                <w:rFonts w:ascii="Book Antiqua" w:hAnsi="Book Antiqua" w:hint="eastAsia"/>
                <w:color w:val="000000" w:themeColor="text1"/>
              </w:rPr>
              <w:t>≥</w:t>
            </w:r>
            <w:r w:rsidRPr="00245598">
              <w:rPr>
                <w:rFonts w:ascii="Book Antiqua" w:hAnsi="Book Antiqua" w:hint="eastAsia"/>
                <w:color w:val="000000" w:themeColor="text1"/>
              </w:rPr>
              <w:t xml:space="preserve"> </w:t>
            </w:r>
            <w:r w:rsidRPr="00245598">
              <w:rPr>
                <w:rFonts w:ascii="Book Antiqua" w:hAnsi="Book Antiqua" w:cs="Calibri"/>
                <w:iCs/>
                <w:color w:val="000000" w:themeColor="text1"/>
              </w:rPr>
              <w:t xml:space="preserve">F2 </w:t>
            </w:r>
          </w:p>
        </w:tc>
        <w:tc>
          <w:tcPr>
            <w:tcW w:w="1411" w:type="dxa"/>
            <w:gridSpan w:val="2"/>
            <w:shd w:val="clear" w:color="auto" w:fill="auto"/>
            <w:hideMark/>
          </w:tcPr>
          <w:p w14:paraId="58BA82BC" w14:textId="77777777" w:rsidR="00160D54" w:rsidRPr="00245598" w:rsidRDefault="00160D54" w:rsidP="00102F07">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19 (15.6%)</w:t>
            </w:r>
          </w:p>
        </w:tc>
        <w:tc>
          <w:tcPr>
            <w:tcW w:w="1411" w:type="dxa"/>
            <w:shd w:val="clear" w:color="auto" w:fill="auto"/>
            <w:hideMark/>
          </w:tcPr>
          <w:p w14:paraId="06365A11"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10 (43.5%)</w:t>
            </w:r>
          </w:p>
        </w:tc>
        <w:tc>
          <w:tcPr>
            <w:tcW w:w="1411" w:type="dxa"/>
            <w:shd w:val="clear" w:color="auto" w:fill="auto"/>
            <w:hideMark/>
          </w:tcPr>
          <w:p w14:paraId="6E29E3A3"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4 (5.2%)</w:t>
            </w:r>
          </w:p>
        </w:tc>
        <w:tc>
          <w:tcPr>
            <w:tcW w:w="1407" w:type="dxa"/>
            <w:shd w:val="clear" w:color="auto" w:fill="auto"/>
            <w:hideMark/>
          </w:tcPr>
          <w:p w14:paraId="580EDD86"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5 (22.7%)</w:t>
            </w:r>
          </w:p>
        </w:tc>
        <w:tc>
          <w:tcPr>
            <w:tcW w:w="1405" w:type="dxa"/>
            <w:vMerge/>
            <w:shd w:val="clear" w:color="auto" w:fill="auto"/>
            <w:hideMark/>
          </w:tcPr>
          <w:p w14:paraId="4D553A84" w14:textId="77777777" w:rsidR="00160D54" w:rsidRPr="00245598" w:rsidRDefault="00160D54">
            <w:pPr>
              <w:spacing w:line="360" w:lineRule="auto"/>
              <w:jc w:val="both"/>
              <w:rPr>
                <w:rFonts w:ascii="Book Antiqua" w:hAnsi="Book Antiqua" w:cs="Calibri"/>
                <w:color w:val="000000" w:themeColor="text1"/>
              </w:rPr>
            </w:pPr>
          </w:p>
        </w:tc>
        <w:tc>
          <w:tcPr>
            <w:tcW w:w="1405" w:type="dxa"/>
            <w:vMerge/>
          </w:tcPr>
          <w:p w14:paraId="59B2B5D0" w14:textId="77777777" w:rsidR="00160D54" w:rsidRPr="00245598" w:rsidRDefault="00160D54">
            <w:pPr>
              <w:spacing w:line="360" w:lineRule="auto"/>
              <w:jc w:val="both"/>
              <w:rPr>
                <w:rFonts w:ascii="Book Antiqua" w:hAnsi="Book Antiqua" w:cs="Calibri"/>
                <w:color w:val="000000" w:themeColor="text1"/>
              </w:rPr>
            </w:pPr>
          </w:p>
        </w:tc>
      </w:tr>
      <w:tr w:rsidR="00DE6AEC" w:rsidRPr="00234908" w14:paraId="6AAE7A8A" w14:textId="77777777" w:rsidTr="00E36494">
        <w:trPr>
          <w:trHeight w:val="1501"/>
        </w:trPr>
        <w:tc>
          <w:tcPr>
            <w:tcW w:w="1471" w:type="dxa"/>
            <w:shd w:val="clear" w:color="auto" w:fill="auto"/>
            <w:hideMark/>
          </w:tcPr>
          <w:p w14:paraId="6EC2C14E" w14:textId="77777777" w:rsidR="00160D54" w:rsidRPr="00245598" w:rsidRDefault="00160D54" w:rsidP="00DE6AEC">
            <w:pPr>
              <w:spacing w:line="360" w:lineRule="auto"/>
              <w:jc w:val="both"/>
              <w:rPr>
                <w:rFonts w:ascii="Book Antiqua" w:hAnsi="Book Antiqua"/>
                <w:color w:val="000000" w:themeColor="text1"/>
              </w:rPr>
            </w:pPr>
            <w:r w:rsidRPr="00245598">
              <w:rPr>
                <w:rFonts w:ascii="Book Antiqua" w:hAnsi="Book Antiqua" w:cs="Calibri"/>
                <w:color w:val="000000" w:themeColor="text1"/>
              </w:rPr>
              <w:t>Previous HBV therapy</w:t>
            </w:r>
          </w:p>
        </w:tc>
        <w:tc>
          <w:tcPr>
            <w:tcW w:w="1411" w:type="dxa"/>
            <w:gridSpan w:val="2"/>
            <w:shd w:val="clear" w:color="auto" w:fill="auto"/>
            <w:hideMark/>
          </w:tcPr>
          <w:p w14:paraId="407ECC0A" w14:textId="77777777" w:rsidR="00160D54" w:rsidRPr="00245598" w:rsidRDefault="00160D54" w:rsidP="00102F07">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14 (10.1%)</w:t>
            </w:r>
          </w:p>
        </w:tc>
        <w:tc>
          <w:tcPr>
            <w:tcW w:w="1411" w:type="dxa"/>
            <w:shd w:val="clear" w:color="auto" w:fill="auto"/>
            <w:hideMark/>
          </w:tcPr>
          <w:p w14:paraId="5B667B77" w14:textId="77777777" w:rsidR="00160D54" w:rsidRPr="00245598" w:rsidRDefault="00160D54" w:rsidP="00526BAF">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5 (17.9%)</w:t>
            </w:r>
          </w:p>
        </w:tc>
        <w:tc>
          <w:tcPr>
            <w:tcW w:w="1411" w:type="dxa"/>
            <w:shd w:val="clear" w:color="auto" w:fill="auto"/>
            <w:hideMark/>
          </w:tcPr>
          <w:p w14:paraId="059B6A49" w14:textId="77777777" w:rsidR="00160D54" w:rsidRPr="00245598" w:rsidRDefault="00160D54" w:rsidP="005E50EC">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 (0.0%)</w:t>
            </w:r>
          </w:p>
        </w:tc>
        <w:tc>
          <w:tcPr>
            <w:tcW w:w="1407" w:type="dxa"/>
            <w:shd w:val="clear" w:color="auto" w:fill="auto"/>
            <w:hideMark/>
          </w:tcPr>
          <w:p w14:paraId="36493522"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9 (34.6%)</w:t>
            </w:r>
          </w:p>
        </w:tc>
        <w:tc>
          <w:tcPr>
            <w:tcW w:w="1405" w:type="dxa"/>
            <w:shd w:val="clear" w:color="auto" w:fill="auto"/>
            <w:hideMark/>
          </w:tcPr>
          <w:p w14:paraId="31881F30"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0.0007</w:t>
            </w:r>
            <w:r w:rsidRPr="00245598">
              <w:rPr>
                <w:rFonts w:ascii="Book Antiqua" w:hAnsi="Book Antiqua" w:cs="Calibri"/>
                <w:color w:val="000000" w:themeColor="text1"/>
                <w:vertAlign w:val="superscript"/>
              </w:rPr>
              <w:t>3</w:t>
            </w:r>
          </w:p>
        </w:tc>
        <w:tc>
          <w:tcPr>
            <w:tcW w:w="1405" w:type="dxa"/>
          </w:tcPr>
          <w:p w14:paraId="4E213301" w14:textId="77777777" w:rsidR="00160D54" w:rsidRPr="00245598" w:rsidRDefault="00160D54">
            <w:pPr>
              <w:spacing w:line="360" w:lineRule="auto"/>
              <w:jc w:val="both"/>
              <w:rPr>
                <w:rFonts w:ascii="Book Antiqua" w:hAnsi="Book Antiqua" w:cs="Calibri"/>
                <w:bCs/>
                <w:color w:val="000000" w:themeColor="text1"/>
              </w:rPr>
            </w:pPr>
            <w:r w:rsidRPr="00245598">
              <w:rPr>
                <w:rFonts w:ascii="Book Antiqua" w:hAnsi="Book Antiqua" w:cs="Calibri"/>
                <w:bCs/>
                <w:color w:val="000000" w:themeColor="text1"/>
              </w:rPr>
              <w:t>&lt; 0.0001</w:t>
            </w:r>
            <w:r w:rsidRPr="00245598">
              <w:rPr>
                <w:rFonts w:ascii="Book Antiqua" w:hAnsi="Book Antiqua" w:cs="Calibri"/>
                <w:bCs/>
                <w:color w:val="000000" w:themeColor="text1"/>
                <w:vertAlign w:val="superscript"/>
              </w:rPr>
              <w:t>3</w:t>
            </w:r>
          </w:p>
        </w:tc>
      </w:tr>
      <w:tr w:rsidR="00DE6AEC" w:rsidRPr="00234908" w14:paraId="74810296" w14:textId="77777777" w:rsidTr="00E36494">
        <w:trPr>
          <w:trHeight w:val="394"/>
        </w:trPr>
        <w:tc>
          <w:tcPr>
            <w:tcW w:w="1471" w:type="dxa"/>
            <w:shd w:val="clear" w:color="auto" w:fill="auto"/>
            <w:hideMark/>
          </w:tcPr>
          <w:p w14:paraId="429FDD6B" w14:textId="77777777" w:rsidR="00160D54" w:rsidRPr="00245598" w:rsidRDefault="00160D54" w:rsidP="00DE6AEC">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Nephrotoxic drugs</w:t>
            </w:r>
          </w:p>
        </w:tc>
        <w:tc>
          <w:tcPr>
            <w:tcW w:w="1411" w:type="dxa"/>
            <w:gridSpan w:val="2"/>
            <w:shd w:val="clear" w:color="auto" w:fill="auto"/>
            <w:hideMark/>
          </w:tcPr>
          <w:p w14:paraId="09FE312F" w14:textId="77777777" w:rsidR="00160D54" w:rsidRPr="00245598" w:rsidRDefault="00160D54" w:rsidP="00102F07">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 xml:space="preserve">12 (6.1%) </w:t>
            </w:r>
          </w:p>
        </w:tc>
        <w:tc>
          <w:tcPr>
            <w:tcW w:w="1411" w:type="dxa"/>
            <w:shd w:val="clear" w:color="auto" w:fill="auto"/>
            <w:hideMark/>
          </w:tcPr>
          <w:p w14:paraId="77B18D58" w14:textId="77777777" w:rsidR="00160D54" w:rsidRPr="00245598" w:rsidRDefault="00160D54" w:rsidP="00526BAF">
            <w:pPr>
              <w:spacing w:line="360" w:lineRule="auto"/>
              <w:jc w:val="both"/>
              <w:rPr>
                <w:rFonts w:ascii="Book Antiqua" w:hAnsi="Book Antiqua"/>
                <w:color w:val="000000" w:themeColor="text1"/>
              </w:rPr>
            </w:pPr>
            <w:r w:rsidRPr="00245598">
              <w:rPr>
                <w:rFonts w:ascii="Book Antiqua" w:hAnsi="Book Antiqua"/>
                <w:color w:val="000000" w:themeColor="text1"/>
              </w:rPr>
              <w:t>4 (10.5%)</w:t>
            </w:r>
          </w:p>
        </w:tc>
        <w:tc>
          <w:tcPr>
            <w:tcW w:w="1411" w:type="dxa"/>
            <w:shd w:val="clear" w:color="auto" w:fill="auto"/>
            <w:hideMark/>
          </w:tcPr>
          <w:p w14:paraId="71886ECA" w14:textId="77777777" w:rsidR="00160D54" w:rsidRPr="00245598" w:rsidRDefault="00160D54" w:rsidP="005E50EC">
            <w:pPr>
              <w:spacing w:line="360" w:lineRule="auto"/>
              <w:jc w:val="both"/>
              <w:rPr>
                <w:rFonts w:ascii="Book Antiqua" w:hAnsi="Book Antiqua"/>
                <w:color w:val="000000" w:themeColor="text1"/>
              </w:rPr>
            </w:pPr>
            <w:r w:rsidRPr="00245598">
              <w:rPr>
                <w:rFonts w:ascii="Book Antiqua" w:hAnsi="Book Antiqua"/>
                <w:color w:val="000000" w:themeColor="text1"/>
              </w:rPr>
              <w:t xml:space="preserve">6 (5.2%) </w:t>
            </w:r>
          </w:p>
        </w:tc>
        <w:tc>
          <w:tcPr>
            <w:tcW w:w="1407" w:type="dxa"/>
            <w:shd w:val="clear" w:color="auto" w:fill="auto"/>
            <w:hideMark/>
          </w:tcPr>
          <w:p w14:paraId="1A0F251C" w14:textId="77777777" w:rsidR="00160D54" w:rsidRPr="00245598" w:rsidRDefault="00160D54" w:rsidP="00234908">
            <w:pPr>
              <w:spacing w:line="360" w:lineRule="auto"/>
              <w:jc w:val="both"/>
              <w:rPr>
                <w:rFonts w:ascii="Book Antiqua" w:hAnsi="Book Antiqua"/>
                <w:color w:val="000000" w:themeColor="text1"/>
              </w:rPr>
            </w:pPr>
            <w:r w:rsidRPr="00245598">
              <w:rPr>
                <w:rFonts w:ascii="Book Antiqua" w:hAnsi="Book Antiqua"/>
                <w:color w:val="000000" w:themeColor="text1"/>
              </w:rPr>
              <w:t xml:space="preserve">2 (4.8%) </w:t>
            </w:r>
          </w:p>
        </w:tc>
        <w:tc>
          <w:tcPr>
            <w:tcW w:w="1405" w:type="dxa"/>
            <w:shd w:val="clear" w:color="auto" w:fill="auto"/>
            <w:hideMark/>
          </w:tcPr>
          <w:p w14:paraId="520F6209"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0.22</w:t>
            </w:r>
            <w:r w:rsidRPr="00245598">
              <w:rPr>
                <w:rFonts w:ascii="Book Antiqua" w:hAnsi="Book Antiqua" w:cs="Calibri"/>
                <w:color w:val="000000" w:themeColor="text1"/>
                <w:vertAlign w:val="superscript"/>
              </w:rPr>
              <w:t>3</w:t>
            </w:r>
          </w:p>
        </w:tc>
        <w:tc>
          <w:tcPr>
            <w:tcW w:w="1405" w:type="dxa"/>
          </w:tcPr>
          <w:p w14:paraId="3330DC52" w14:textId="77777777" w:rsidR="00160D54" w:rsidRPr="00245598" w:rsidRDefault="00160D54">
            <w:pPr>
              <w:keepNext/>
              <w:spacing w:line="360" w:lineRule="auto"/>
              <w:jc w:val="both"/>
              <w:rPr>
                <w:rFonts w:ascii="Book Antiqua" w:hAnsi="Book Antiqua" w:cs="Calibri"/>
                <w:b/>
                <w:color w:val="000000" w:themeColor="text1"/>
              </w:rPr>
            </w:pPr>
            <w:r w:rsidRPr="00245598">
              <w:rPr>
                <w:rFonts w:ascii="Book Antiqua" w:hAnsi="Book Antiqua" w:cs="Calibri"/>
                <w:bCs/>
                <w:color w:val="000000" w:themeColor="text1"/>
              </w:rPr>
              <w:t>1.00</w:t>
            </w:r>
            <w:r w:rsidRPr="00245598">
              <w:rPr>
                <w:rFonts w:ascii="Book Antiqua" w:hAnsi="Book Antiqua" w:cs="Calibri"/>
                <w:bCs/>
                <w:color w:val="000000" w:themeColor="text1"/>
                <w:vertAlign w:val="superscript"/>
              </w:rPr>
              <w:t>3</w:t>
            </w:r>
          </w:p>
        </w:tc>
      </w:tr>
    </w:tbl>
    <w:p w14:paraId="144D3BAA" w14:textId="1502ED04" w:rsidR="00160D54" w:rsidRPr="00245598" w:rsidRDefault="00160D54" w:rsidP="00DE6AEC">
      <w:pPr>
        <w:spacing w:line="360" w:lineRule="auto"/>
        <w:jc w:val="both"/>
        <w:rPr>
          <w:rFonts w:ascii="Book Antiqua" w:hAnsi="Book Antiqua"/>
          <w:color w:val="000000" w:themeColor="text1"/>
        </w:rPr>
      </w:pPr>
      <w:r w:rsidRPr="00245598">
        <w:rPr>
          <w:rFonts w:ascii="Book Antiqua" w:hAnsi="Book Antiqua"/>
          <w:color w:val="000000" w:themeColor="text1"/>
          <w:vertAlign w:val="superscript"/>
        </w:rPr>
        <w:t>1</w:t>
      </w:r>
      <w:r w:rsidRPr="00245598">
        <w:rPr>
          <w:rFonts w:ascii="Book Antiqua" w:hAnsi="Book Antiqua"/>
          <w:color w:val="000000" w:themeColor="text1"/>
        </w:rPr>
        <w:t>Chi</w:t>
      </w:r>
      <w:r w:rsidRPr="00245598">
        <w:rPr>
          <w:rFonts w:ascii="Book Antiqua" w:hAnsi="Book Antiqua"/>
          <w:color w:val="000000" w:themeColor="text1"/>
          <w:vertAlign w:val="superscript"/>
        </w:rPr>
        <w:t>2</w:t>
      </w:r>
      <w:r w:rsidRPr="00245598">
        <w:rPr>
          <w:rFonts w:ascii="Book Antiqua" w:hAnsi="Book Antiqua"/>
          <w:color w:val="000000" w:themeColor="text1"/>
        </w:rPr>
        <w:t xml:space="preserve"> test; </w:t>
      </w:r>
      <w:r w:rsidRPr="00245598">
        <w:rPr>
          <w:rFonts w:ascii="Book Antiqua" w:hAnsi="Book Antiqua" w:cs="Calibri"/>
          <w:color w:val="000000" w:themeColor="text1"/>
          <w:vertAlign w:val="superscript"/>
        </w:rPr>
        <w:t>2</w:t>
      </w:r>
      <w:r w:rsidRPr="00245598">
        <w:rPr>
          <w:rFonts w:ascii="Book Antiqua" w:hAnsi="Book Antiqua" w:cs="Calibri"/>
          <w:color w:val="000000" w:themeColor="text1"/>
        </w:rPr>
        <w:t xml:space="preserve">Mann-Whitney test; </w:t>
      </w:r>
      <w:r w:rsidRPr="00245598">
        <w:rPr>
          <w:rFonts w:ascii="Book Antiqua" w:hAnsi="Book Antiqua" w:cs="Calibri"/>
          <w:color w:val="000000" w:themeColor="text1"/>
          <w:vertAlign w:val="superscript"/>
        </w:rPr>
        <w:t>3</w:t>
      </w:r>
      <w:r w:rsidRPr="00245598">
        <w:rPr>
          <w:rFonts w:ascii="Book Antiqua" w:hAnsi="Book Antiqua" w:cs="Calibri"/>
          <w:color w:val="000000" w:themeColor="text1"/>
        </w:rPr>
        <w:t>Fisher</w:t>
      </w:r>
      <w:r w:rsidR="00526BAF" w:rsidRPr="00234908">
        <w:rPr>
          <w:rFonts w:ascii="Book Antiqua" w:hAnsi="Book Antiqua" w:cs="Calibri"/>
          <w:color w:val="000000" w:themeColor="text1"/>
        </w:rPr>
        <w:t>’s</w:t>
      </w:r>
      <w:r w:rsidRPr="00245598">
        <w:rPr>
          <w:rFonts w:ascii="Book Antiqua" w:hAnsi="Book Antiqua" w:cs="Calibri"/>
          <w:color w:val="000000" w:themeColor="text1"/>
        </w:rPr>
        <w:t xml:space="preserve"> exact test; </w:t>
      </w:r>
      <w:r w:rsidRPr="00245598">
        <w:rPr>
          <w:rFonts w:ascii="Book Antiqua" w:hAnsi="Book Antiqua" w:cs="Calibri"/>
          <w:color w:val="000000" w:themeColor="text1"/>
          <w:vertAlign w:val="superscript"/>
        </w:rPr>
        <w:t>4</w:t>
      </w:r>
      <w:r w:rsidRPr="00245598">
        <w:rPr>
          <w:rFonts w:ascii="Book Antiqua" w:hAnsi="Book Antiqua" w:cs="Calibri"/>
          <w:color w:val="000000" w:themeColor="text1"/>
        </w:rPr>
        <w:t xml:space="preserve">Evaluated by liver biopsy or </w:t>
      </w:r>
      <w:proofErr w:type="spellStart"/>
      <w:r w:rsidRPr="00245598">
        <w:rPr>
          <w:rFonts w:ascii="Book Antiqua" w:hAnsi="Book Antiqua" w:cs="Calibri"/>
          <w:color w:val="000000" w:themeColor="text1"/>
        </w:rPr>
        <w:t>FibroScan</w:t>
      </w:r>
      <w:proofErr w:type="spellEnd"/>
      <w:r w:rsidRPr="00245598">
        <w:rPr>
          <w:rFonts w:ascii="Book Antiqua" w:hAnsi="Book Antiqua" w:cs="Calibri"/>
          <w:color w:val="000000" w:themeColor="text1"/>
        </w:rPr>
        <w:t>;</w:t>
      </w:r>
      <w:r w:rsidRPr="00245598">
        <w:rPr>
          <w:rFonts w:ascii="Book Antiqua" w:hAnsi="Book Antiqua" w:cs="Calibri"/>
          <w:color w:val="000000" w:themeColor="text1"/>
          <w:lang w:eastAsia="zh-CN"/>
        </w:rPr>
        <w:t xml:space="preserve"> </w:t>
      </w:r>
      <w:r w:rsidRPr="00245598">
        <w:rPr>
          <w:rFonts w:ascii="Book Antiqua" w:hAnsi="Book Antiqua" w:cs="Calibri"/>
          <w:color w:val="000000" w:themeColor="text1"/>
          <w:vertAlign w:val="superscript"/>
        </w:rPr>
        <w:t>5</w:t>
      </w:r>
      <w:r w:rsidRPr="00245598">
        <w:rPr>
          <w:rFonts w:ascii="Book Antiqua" w:hAnsi="Book Antiqua" w:cs="Calibri"/>
          <w:color w:val="000000" w:themeColor="text1"/>
        </w:rPr>
        <w:t>METAVIR classification</w:t>
      </w:r>
      <w:r w:rsidR="00102F07" w:rsidRPr="00234908">
        <w:rPr>
          <w:rFonts w:ascii="Book Antiqua" w:hAnsi="Book Antiqua" w:cs="Calibri"/>
          <w:color w:val="000000" w:themeColor="text1"/>
        </w:rPr>
        <w:t>.</w:t>
      </w:r>
      <w:r w:rsidR="00102F07" w:rsidRPr="00234908">
        <w:rPr>
          <w:rFonts w:ascii="Book Antiqua" w:hAnsi="Book Antiqua"/>
          <w:color w:val="000000" w:themeColor="text1"/>
        </w:rPr>
        <w:t xml:space="preserve"> </w:t>
      </w:r>
      <w:r w:rsidR="00102F07" w:rsidRPr="00234908">
        <w:rPr>
          <w:rFonts w:ascii="Book Antiqua" w:hAnsi="Book Antiqua"/>
          <w:color w:val="000000" w:themeColor="text1"/>
          <w:lang w:eastAsia="zh-CN"/>
        </w:rPr>
        <w:t xml:space="preserve">BMI: </w:t>
      </w:r>
      <w:r w:rsidR="00102F07" w:rsidRPr="00234908">
        <w:rPr>
          <w:rFonts w:ascii="Book Antiqua" w:hAnsi="Book Antiqua"/>
          <w:color w:val="000000" w:themeColor="text1"/>
        </w:rPr>
        <w:t xml:space="preserve">Body mass index; </w:t>
      </w:r>
      <w:r w:rsidR="00102F07" w:rsidRPr="00234908">
        <w:rPr>
          <w:rFonts w:ascii="Book Antiqua" w:eastAsia="Book Antiqua" w:hAnsi="Book Antiqua" w:cs="Book Antiqua"/>
          <w:color w:val="000000" w:themeColor="text1"/>
        </w:rPr>
        <w:t xml:space="preserve">ALAT: </w:t>
      </w:r>
      <w:r w:rsidR="00102F07" w:rsidRPr="00234908">
        <w:rPr>
          <w:rFonts w:ascii="Book Antiqua" w:hAnsi="Book Antiqua"/>
          <w:color w:val="000000" w:themeColor="text1"/>
          <w:lang w:eastAsia="zh-CN"/>
        </w:rPr>
        <w:t xml:space="preserve">Alanine aminotransferase; </w:t>
      </w:r>
      <w:r w:rsidR="00102F07" w:rsidRPr="00234908">
        <w:rPr>
          <w:rFonts w:ascii="Book Antiqua" w:hAnsi="Book Antiqua"/>
          <w:color w:val="000000" w:themeColor="text1"/>
        </w:rPr>
        <w:t xml:space="preserve">ETV: </w:t>
      </w:r>
      <w:r w:rsidR="00102F07" w:rsidRPr="00234908">
        <w:rPr>
          <w:rFonts w:ascii="Book Antiqua" w:eastAsia="Book Antiqua" w:hAnsi="Book Antiqua" w:cs="Book Antiqua"/>
          <w:color w:val="000000" w:themeColor="text1"/>
        </w:rPr>
        <w:t>Entecavir</w:t>
      </w:r>
      <w:r w:rsidR="00102F07" w:rsidRPr="00234908">
        <w:rPr>
          <w:rFonts w:ascii="Book Antiqua" w:hAnsi="Book Antiqua"/>
          <w:color w:val="000000" w:themeColor="text1"/>
        </w:rPr>
        <w:t>; HbeAG: Hepatitis B e-antigen;</w:t>
      </w:r>
      <w:r w:rsidR="00102F07" w:rsidRPr="00234908">
        <w:rPr>
          <w:rFonts w:ascii="Book Antiqua" w:eastAsia="Book Antiqua" w:hAnsi="Book Antiqua" w:cs="Book Antiqua"/>
          <w:color w:val="000000" w:themeColor="text1"/>
        </w:rPr>
        <w:t xml:space="preserve"> HBV: Hepatitis B virus; </w:t>
      </w:r>
      <w:r w:rsidR="00102F07" w:rsidRPr="00234908">
        <w:rPr>
          <w:rFonts w:ascii="Book Antiqua" w:hAnsi="Book Antiqua"/>
          <w:color w:val="000000" w:themeColor="text1"/>
        </w:rPr>
        <w:t>Max: Maximum; Min: Minimum;</w:t>
      </w:r>
      <w:r w:rsidRPr="00245598">
        <w:rPr>
          <w:rFonts w:ascii="Book Antiqua" w:hAnsi="Book Antiqua" w:cs="Calibri"/>
          <w:color w:val="000000" w:themeColor="text1"/>
        </w:rPr>
        <w:t xml:space="preserve"> </w:t>
      </w:r>
      <w:r w:rsidRPr="00245598">
        <w:rPr>
          <w:rFonts w:ascii="Book Antiqua" w:hAnsi="Book Antiqua"/>
          <w:color w:val="000000" w:themeColor="text1"/>
        </w:rPr>
        <w:t xml:space="preserve">Q1: First quartile; Q3: Third quartile; TDF: </w:t>
      </w:r>
      <w:r w:rsidRPr="00245598">
        <w:rPr>
          <w:rFonts w:ascii="Book Antiqua" w:eastAsia="Book Antiqua" w:hAnsi="Book Antiqua" w:cs="Book Antiqua"/>
          <w:color w:val="000000" w:themeColor="text1"/>
        </w:rPr>
        <w:t>Tenofovir disoproxil</w:t>
      </w:r>
      <w:r w:rsidRPr="00245598">
        <w:rPr>
          <w:rFonts w:ascii="Book Antiqua" w:hAnsi="Book Antiqua"/>
          <w:color w:val="000000" w:themeColor="text1"/>
        </w:rPr>
        <w:t>.</w:t>
      </w:r>
    </w:p>
    <w:p w14:paraId="71F6B64E" w14:textId="77777777" w:rsidR="00160D54" w:rsidRPr="00245598" w:rsidRDefault="00160D54">
      <w:pPr>
        <w:spacing w:line="360" w:lineRule="auto"/>
        <w:jc w:val="both"/>
        <w:rPr>
          <w:rFonts w:ascii="Book Antiqua" w:hAnsi="Book Antiqua"/>
          <w:color w:val="000000" w:themeColor="text1"/>
        </w:rPr>
      </w:pPr>
      <w:r w:rsidRPr="00245598">
        <w:rPr>
          <w:rFonts w:ascii="Book Antiqua" w:hAnsi="Book Antiqua"/>
          <w:color w:val="000000" w:themeColor="text1"/>
        </w:rPr>
        <w:br w:type="page"/>
      </w:r>
      <w:r w:rsidRPr="00245598">
        <w:rPr>
          <w:rFonts w:ascii="Book Antiqua" w:hAnsi="Book Antiqua"/>
          <w:b/>
          <w:color w:val="000000" w:themeColor="text1"/>
        </w:rPr>
        <w:lastRenderedPageBreak/>
        <w:t xml:space="preserve">Table 2 Clinical characteristics of the patients with no </w:t>
      </w:r>
      <w:r w:rsidRPr="00245598">
        <w:rPr>
          <w:rFonts w:ascii="Book Antiqua" w:eastAsia="Book Antiqua" w:hAnsi="Book Antiqua" w:cs="Book Antiqua"/>
          <w:b/>
          <w:bCs/>
          <w:color w:val="000000" w:themeColor="text1"/>
        </w:rPr>
        <w:t>subclinical proximal tubulopathy</w:t>
      </w:r>
      <w:r w:rsidRPr="00245598">
        <w:rPr>
          <w:rFonts w:ascii="Book Antiqua" w:hAnsi="Book Antiqua"/>
          <w:b/>
          <w:color w:val="000000" w:themeColor="text1"/>
        </w:rPr>
        <w:t xml:space="preserve"> at </w:t>
      </w:r>
      <w:r w:rsidRPr="00245598">
        <w:rPr>
          <w:rFonts w:ascii="Book Antiqua" w:hAnsi="Book Antiqua"/>
          <w:b/>
          <w:bCs/>
          <w:color w:val="000000" w:themeColor="text1"/>
        </w:rPr>
        <w:t>on day 0</w:t>
      </w:r>
    </w:p>
    <w:tbl>
      <w:tblPr>
        <w:tblW w:w="11482" w:type="dxa"/>
        <w:tblInd w:w="-1026" w:type="dxa"/>
        <w:tblBorders>
          <w:top w:val="single" w:sz="4" w:space="0" w:color="auto"/>
          <w:bottom w:val="single" w:sz="4" w:space="0" w:color="auto"/>
        </w:tblBorders>
        <w:tblLook w:val="04A0" w:firstRow="1" w:lastRow="0" w:firstColumn="1" w:lastColumn="0" w:noHBand="0" w:noVBand="1"/>
      </w:tblPr>
      <w:tblGrid>
        <w:gridCol w:w="1793"/>
        <w:gridCol w:w="2327"/>
        <w:gridCol w:w="1695"/>
        <w:gridCol w:w="1558"/>
        <w:gridCol w:w="1712"/>
        <w:gridCol w:w="1286"/>
        <w:gridCol w:w="1111"/>
      </w:tblGrid>
      <w:tr w:rsidR="00DE6AEC" w:rsidRPr="00234908" w14:paraId="5743881C" w14:textId="77777777" w:rsidTr="00E36494">
        <w:trPr>
          <w:trHeight w:val="2384"/>
        </w:trPr>
        <w:tc>
          <w:tcPr>
            <w:tcW w:w="1788" w:type="dxa"/>
            <w:tcBorders>
              <w:top w:val="single" w:sz="4" w:space="0" w:color="auto"/>
              <w:bottom w:val="single" w:sz="4" w:space="0" w:color="auto"/>
            </w:tcBorders>
            <w:shd w:val="clear" w:color="auto" w:fill="auto"/>
          </w:tcPr>
          <w:p w14:paraId="20BCCE77" w14:textId="77777777" w:rsidR="00160D54" w:rsidRPr="00245598" w:rsidRDefault="00160D54">
            <w:pPr>
              <w:spacing w:line="360" w:lineRule="auto"/>
              <w:jc w:val="both"/>
              <w:rPr>
                <w:rFonts w:ascii="Book Antiqua" w:eastAsia="MS Mincho" w:hAnsi="Book Antiqua" w:cs="Arial"/>
                <w:color w:val="000000" w:themeColor="text1"/>
              </w:rPr>
            </w:pPr>
          </w:p>
        </w:tc>
        <w:tc>
          <w:tcPr>
            <w:tcW w:w="2328" w:type="dxa"/>
            <w:tcBorders>
              <w:top w:val="single" w:sz="4" w:space="0" w:color="auto"/>
              <w:bottom w:val="single" w:sz="4" w:space="0" w:color="auto"/>
            </w:tcBorders>
            <w:shd w:val="clear" w:color="auto" w:fill="auto"/>
          </w:tcPr>
          <w:p w14:paraId="06497616" w14:textId="2E4D8D55" w:rsidR="00160D54" w:rsidRPr="00245598" w:rsidRDefault="00160D54">
            <w:pPr>
              <w:spacing w:line="360" w:lineRule="auto"/>
              <w:jc w:val="both"/>
              <w:rPr>
                <w:rFonts w:ascii="Book Antiqua" w:eastAsia="MS Mincho" w:hAnsi="Book Antiqua" w:cs="Arial"/>
                <w:b/>
                <w:bCs/>
                <w:color w:val="000000" w:themeColor="text1"/>
              </w:rPr>
            </w:pPr>
            <w:r w:rsidRPr="00245598">
              <w:rPr>
                <w:rFonts w:ascii="Book Antiqua" w:eastAsia="MS Mincho" w:hAnsi="Book Antiqua" w:cs="Arial"/>
                <w:b/>
                <w:bCs/>
                <w:color w:val="000000" w:themeColor="text1"/>
              </w:rPr>
              <w:t>Global population (</w:t>
            </w:r>
            <w:r w:rsidRPr="00245598">
              <w:rPr>
                <w:rFonts w:ascii="Book Antiqua" w:eastAsia="MS Mincho" w:hAnsi="Book Antiqua" w:cs="Arial"/>
                <w:b/>
                <w:bCs/>
                <w:i/>
                <w:iCs/>
                <w:color w:val="000000" w:themeColor="text1"/>
              </w:rPr>
              <w:t>n</w:t>
            </w:r>
            <w:r w:rsidRPr="00245598">
              <w:rPr>
                <w:rFonts w:ascii="Book Antiqua" w:eastAsia="MS Mincho" w:hAnsi="Book Antiqua" w:cs="Arial"/>
                <w:b/>
                <w:bCs/>
                <w:color w:val="000000" w:themeColor="text1"/>
              </w:rPr>
              <w:t xml:space="preserve"> = 138); median (Q1; Q3); (</w:t>
            </w:r>
            <w:r w:rsidR="0068608D" w:rsidRPr="00245598">
              <w:rPr>
                <w:rFonts w:ascii="Book Antiqua" w:eastAsia="MS Mincho" w:hAnsi="Book Antiqua" w:cs="Arial"/>
                <w:b/>
                <w:bCs/>
                <w:i/>
                <w:iCs/>
                <w:color w:val="000000" w:themeColor="text1"/>
              </w:rPr>
              <w:t>n</w:t>
            </w:r>
            <w:r w:rsidRPr="00245598">
              <w:rPr>
                <w:rFonts w:ascii="Book Antiqua" w:eastAsia="MS Mincho" w:hAnsi="Book Antiqua" w:cs="Arial"/>
                <w:b/>
                <w:bCs/>
                <w:color w:val="000000" w:themeColor="text1"/>
              </w:rPr>
              <w:t xml:space="preserve">) </w:t>
            </w:r>
            <w:r w:rsidRPr="00245598">
              <w:rPr>
                <w:rFonts w:ascii="Book Antiqua" w:eastAsia="MS Mincho" w:hAnsi="Book Antiqua" w:cs="Calibri"/>
                <w:b/>
                <w:bCs/>
                <w:color w:val="000000" w:themeColor="text1"/>
              </w:rPr>
              <w:t>(min-max)</w:t>
            </w:r>
          </w:p>
        </w:tc>
        <w:tc>
          <w:tcPr>
            <w:tcW w:w="1696" w:type="dxa"/>
            <w:tcBorders>
              <w:top w:val="single" w:sz="4" w:space="0" w:color="auto"/>
              <w:bottom w:val="single" w:sz="4" w:space="0" w:color="auto"/>
            </w:tcBorders>
            <w:shd w:val="clear" w:color="auto" w:fill="auto"/>
          </w:tcPr>
          <w:p w14:paraId="4B43EF13" w14:textId="0A144CCD" w:rsidR="00160D54" w:rsidRPr="00245598" w:rsidRDefault="00160D54">
            <w:pPr>
              <w:spacing w:line="360" w:lineRule="auto"/>
              <w:jc w:val="both"/>
              <w:rPr>
                <w:rFonts w:ascii="Book Antiqua" w:eastAsia="MS Mincho" w:hAnsi="Book Antiqua" w:cs="Arial"/>
                <w:b/>
                <w:bCs/>
                <w:color w:val="000000" w:themeColor="text1"/>
              </w:rPr>
            </w:pPr>
            <w:r w:rsidRPr="00245598">
              <w:rPr>
                <w:rFonts w:ascii="Book Antiqua" w:eastAsia="MS Mincho" w:hAnsi="Book Antiqua" w:cs="Arial"/>
                <w:b/>
                <w:bCs/>
                <w:color w:val="000000" w:themeColor="text1"/>
              </w:rPr>
              <w:t>ETV group;</w:t>
            </w:r>
            <w:r w:rsidRPr="00245598">
              <w:rPr>
                <w:rFonts w:ascii="Book Antiqua" w:hAnsi="Book Antiqua" w:cs="Arial"/>
                <w:b/>
                <w:bCs/>
                <w:color w:val="000000" w:themeColor="text1"/>
                <w:lang w:eastAsia="zh-CN"/>
              </w:rPr>
              <w:t xml:space="preserve"> </w:t>
            </w:r>
            <w:r w:rsidRPr="00245598">
              <w:rPr>
                <w:rFonts w:ascii="Book Antiqua" w:eastAsia="MS Mincho" w:hAnsi="Book Antiqua" w:cs="Arial"/>
                <w:b/>
                <w:bCs/>
                <w:color w:val="000000" w:themeColor="text1"/>
              </w:rPr>
              <w:t>(</w:t>
            </w:r>
            <w:r w:rsidRPr="00245598">
              <w:rPr>
                <w:rFonts w:ascii="Book Antiqua" w:eastAsia="MS Mincho" w:hAnsi="Book Antiqua" w:cs="Arial"/>
                <w:b/>
                <w:bCs/>
                <w:i/>
                <w:iCs/>
                <w:color w:val="000000" w:themeColor="text1"/>
              </w:rPr>
              <w:t>n</w:t>
            </w:r>
            <w:r w:rsidRPr="00245598">
              <w:rPr>
                <w:rFonts w:ascii="Book Antiqua" w:eastAsia="MS Mincho" w:hAnsi="Book Antiqua" w:cs="Arial"/>
                <w:b/>
                <w:bCs/>
                <w:color w:val="000000" w:themeColor="text1"/>
              </w:rPr>
              <w:t xml:space="preserve"> = 28)</w:t>
            </w:r>
            <w:r w:rsidRPr="00245598">
              <w:rPr>
                <w:rFonts w:ascii="Book Antiqua" w:hAnsi="Book Antiqua" w:cs="Arial"/>
                <w:b/>
                <w:bCs/>
                <w:color w:val="000000" w:themeColor="text1"/>
                <w:lang w:eastAsia="zh-CN"/>
              </w:rPr>
              <w:t xml:space="preserve">; </w:t>
            </w:r>
            <w:r w:rsidRPr="00245598">
              <w:rPr>
                <w:rFonts w:ascii="Book Antiqua" w:eastAsia="MS Mincho" w:hAnsi="Book Antiqua" w:cs="Arial"/>
                <w:b/>
                <w:bCs/>
                <w:color w:val="000000" w:themeColor="text1"/>
              </w:rPr>
              <w:t>median (Q1; Q3); (</w:t>
            </w:r>
            <w:r w:rsidR="0068608D" w:rsidRPr="00245598">
              <w:rPr>
                <w:rFonts w:ascii="Book Antiqua" w:eastAsia="MS Mincho" w:hAnsi="Book Antiqua" w:cs="Arial"/>
                <w:b/>
                <w:bCs/>
                <w:i/>
                <w:iCs/>
                <w:color w:val="000000" w:themeColor="text1"/>
              </w:rPr>
              <w:t>n</w:t>
            </w:r>
            <w:r w:rsidRPr="00245598">
              <w:rPr>
                <w:rFonts w:ascii="Book Antiqua" w:eastAsia="MS Mincho" w:hAnsi="Book Antiqua" w:cs="Arial"/>
                <w:b/>
                <w:bCs/>
                <w:color w:val="000000" w:themeColor="text1"/>
              </w:rPr>
              <w:t xml:space="preserve">) </w:t>
            </w:r>
            <w:r w:rsidRPr="00245598">
              <w:rPr>
                <w:rFonts w:ascii="Book Antiqua" w:eastAsia="MS Mincho" w:hAnsi="Book Antiqua" w:cs="Calibri"/>
                <w:b/>
                <w:bCs/>
                <w:color w:val="000000" w:themeColor="text1"/>
              </w:rPr>
              <w:t>(min-max)</w:t>
            </w:r>
          </w:p>
        </w:tc>
        <w:tc>
          <w:tcPr>
            <w:tcW w:w="1559" w:type="dxa"/>
            <w:tcBorders>
              <w:top w:val="single" w:sz="4" w:space="0" w:color="auto"/>
              <w:bottom w:val="single" w:sz="4" w:space="0" w:color="auto"/>
            </w:tcBorders>
            <w:shd w:val="clear" w:color="auto" w:fill="auto"/>
          </w:tcPr>
          <w:p w14:paraId="083797E1" w14:textId="32F3554D" w:rsidR="00160D54" w:rsidRPr="00245598" w:rsidRDefault="00160D54">
            <w:pPr>
              <w:spacing w:line="360" w:lineRule="auto"/>
              <w:jc w:val="both"/>
              <w:rPr>
                <w:rFonts w:ascii="Book Antiqua" w:eastAsia="MS Mincho" w:hAnsi="Book Antiqua" w:cs="Arial"/>
                <w:b/>
                <w:bCs/>
                <w:color w:val="000000" w:themeColor="text1"/>
              </w:rPr>
            </w:pPr>
            <w:r w:rsidRPr="00245598">
              <w:rPr>
                <w:rFonts w:ascii="Book Antiqua" w:eastAsia="MS Mincho" w:hAnsi="Book Antiqua" w:cs="Arial"/>
                <w:b/>
                <w:bCs/>
                <w:color w:val="000000" w:themeColor="text1"/>
              </w:rPr>
              <w:t>Naive group;</w:t>
            </w:r>
            <w:r w:rsidRPr="00245598">
              <w:rPr>
                <w:rFonts w:ascii="Book Antiqua" w:hAnsi="Book Antiqua" w:cs="Arial"/>
                <w:b/>
                <w:bCs/>
                <w:color w:val="000000" w:themeColor="text1"/>
                <w:lang w:eastAsia="zh-CN"/>
              </w:rPr>
              <w:t xml:space="preserve"> </w:t>
            </w:r>
            <w:r w:rsidRPr="00245598">
              <w:rPr>
                <w:rFonts w:ascii="Book Antiqua" w:eastAsia="MS Mincho" w:hAnsi="Book Antiqua" w:cs="Arial"/>
                <w:b/>
                <w:bCs/>
                <w:color w:val="000000" w:themeColor="text1"/>
              </w:rPr>
              <w:t>(</w:t>
            </w:r>
            <w:r w:rsidRPr="00245598">
              <w:rPr>
                <w:rFonts w:ascii="Book Antiqua" w:eastAsia="MS Mincho" w:hAnsi="Book Antiqua" w:cs="Arial"/>
                <w:b/>
                <w:bCs/>
                <w:i/>
                <w:iCs/>
                <w:color w:val="000000" w:themeColor="text1"/>
              </w:rPr>
              <w:t>n</w:t>
            </w:r>
            <w:r w:rsidRPr="00245598">
              <w:rPr>
                <w:rFonts w:ascii="Book Antiqua" w:eastAsia="MS Mincho" w:hAnsi="Book Antiqua" w:cs="Arial"/>
                <w:b/>
                <w:bCs/>
                <w:color w:val="000000" w:themeColor="text1"/>
              </w:rPr>
              <w:t xml:space="preserve"> = 84);</w:t>
            </w:r>
            <w:r w:rsidRPr="00245598">
              <w:rPr>
                <w:rFonts w:ascii="Book Antiqua" w:hAnsi="Book Antiqua" w:cs="Arial"/>
                <w:b/>
                <w:bCs/>
                <w:color w:val="000000" w:themeColor="text1"/>
                <w:lang w:eastAsia="zh-CN"/>
              </w:rPr>
              <w:t xml:space="preserve"> </w:t>
            </w:r>
            <w:r w:rsidRPr="00245598">
              <w:rPr>
                <w:rFonts w:ascii="Book Antiqua" w:eastAsia="MS Mincho" w:hAnsi="Book Antiqua" w:cs="Arial"/>
                <w:b/>
                <w:bCs/>
                <w:color w:val="000000" w:themeColor="text1"/>
              </w:rPr>
              <w:t>median (Q1; Q3); (</w:t>
            </w:r>
            <w:r w:rsidR="0068608D" w:rsidRPr="00245598">
              <w:rPr>
                <w:rFonts w:ascii="Book Antiqua" w:eastAsia="MS Mincho" w:hAnsi="Book Antiqua" w:cs="Arial"/>
                <w:b/>
                <w:bCs/>
                <w:i/>
                <w:iCs/>
                <w:color w:val="000000" w:themeColor="text1"/>
              </w:rPr>
              <w:t>n</w:t>
            </w:r>
            <w:r w:rsidRPr="00245598">
              <w:rPr>
                <w:rFonts w:ascii="Book Antiqua" w:eastAsia="MS Mincho" w:hAnsi="Book Antiqua" w:cs="Arial"/>
                <w:b/>
                <w:bCs/>
                <w:color w:val="000000" w:themeColor="text1"/>
              </w:rPr>
              <w:t xml:space="preserve">) </w:t>
            </w:r>
            <w:r w:rsidRPr="00245598">
              <w:rPr>
                <w:rFonts w:ascii="Book Antiqua" w:eastAsia="MS Mincho" w:hAnsi="Book Antiqua" w:cs="Calibri"/>
                <w:b/>
                <w:bCs/>
                <w:color w:val="000000" w:themeColor="text1"/>
              </w:rPr>
              <w:t>(min-max)</w:t>
            </w:r>
          </w:p>
        </w:tc>
        <w:tc>
          <w:tcPr>
            <w:tcW w:w="1713" w:type="dxa"/>
            <w:tcBorders>
              <w:top w:val="single" w:sz="4" w:space="0" w:color="auto"/>
              <w:bottom w:val="single" w:sz="4" w:space="0" w:color="auto"/>
            </w:tcBorders>
            <w:shd w:val="clear" w:color="auto" w:fill="auto"/>
          </w:tcPr>
          <w:p w14:paraId="57CA3C66" w14:textId="0754B666" w:rsidR="00160D54" w:rsidRPr="00245598" w:rsidRDefault="00160D54">
            <w:pPr>
              <w:spacing w:line="360" w:lineRule="auto"/>
              <w:jc w:val="both"/>
              <w:rPr>
                <w:rFonts w:ascii="Book Antiqua" w:eastAsia="MS Mincho" w:hAnsi="Book Antiqua" w:cs="Arial"/>
                <w:b/>
                <w:bCs/>
                <w:color w:val="000000" w:themeColor="text1"/>
              </w:rPr>
            </w:pPr>
            <w:r w:rsidRPr="00245598">
              <w:rPr>
                <w:rFonts w:ascii="Book Antiqua" w:eastAsia="MS Mincho" w:hAnsi="Book Antiqua" w:cs="Arial"/>
                <w:b/>
                <w:bCs/>
                <w:color w:val="000000" w:themeColor="text1"/>
              </w:rPr>
              <w:t>TDF group;</w:t>
            </w:r>
            <w:r w:rsidRPr="00245598">
              <w:rPr>
                <w:rFonts w:ascii="Book Antiqua" w:hAnsi="Book Antiqua" w:cs="Arial"/>
                <w:b/>
                <w:bCs/>
                <w:color w:val="000000" w:themeColor="text1"/>
                <w:lang w:eastAsia="zh-CN"/>
              </w:rPr>
              <w:t xml:space="preserve"> </w:t>
            </w:r>
            <w:r w:rsidRPr="00245598">
              <w:rPr>
                <w:rFonts w:ascii="Book Antiqua" w:eastAsia="MS Mincho" w:hAnsi="Book Antiqua" w:cs="Arial"/>
                <w:b/>
                <w:bCs/>
                <w:color w:val="000000" w:themeColor="text1"/>
              </w:rPr>
              <w:t>(</w:t>
            </w:r>
            <w:r w:rsidRPr="00245598">
              <w:rPr>
                <w:rFonts w:ascii="Book Antiqua" w:eastAsia="MS Mincho" w:hAnsi="Book Antiqua" w:cs="Arial"/>
                <w:b/>
                <w:bCs/>
                <w:i/>
                <w:iCs/>
                <w:color w:val="000000" w:themeColor="text1"/>
              </w:rPr>
              <w:t>n</w:t>
            </w:r>
            <w:r w:rsidRPr="00245598">
              <w:rPr>
                <w:rFonts w:ascii="Book Antiqua" w:eastAsia="MS Mincho" w:hAnsi="Book Antiqua" w:cs="Arial"/>
                <w:b/>
                <w:bCs/>
                <w:color w:val="000000" w:themeColor="text1"/>
              </w:rPr>
              <w:t xml:space="preserve"> = 26)</w:t>
            </w:r>
            <w:r w:rsidRPr="00245598">
              <w:rPr>
                <w:rFonts w:ascii="Book Antiqua" w:hAnsi="Book Antiqua" w:cs="Arial"/>
                <w:b/>
                <w:bCs/>
                <w:color w:val="000000" w:themeColor="text1"/>
                <w:lang w:eastAsia="zh-CN"/>
              </w:rPr>
              <w:t xml:space="preserve">; </w:t>
            </w:r>
            <w:r w:rsidRPr="00245598">
              <w:rPr>
                <w:rFonts w:ascii="Book Antiqua" w:eastAsia="MS Mincho" w:hAnsi="Book Antiqua" w:cs="Arial"/>
                <w:b/>
                <w:bCs/>
                <w:color w:val="000000" w:themeColor="text1"/>
              </w:rPr>
              <w:t>median (Q1; Q3); (</w:t>
            </w:r>
            <w:r w:rsidR="0068608D" w:rsidRPr="00245598">
              <w:rPr>
                <w:rFonts w:ascii="Book Antiqua" w:eastAsia="MS Mincho" w:hAnsi="Book Antiqua" w:cs="Arial"/>
                <w:b/>
                <w:bCs/>
                <w:i/>
                <w:iCs/>
                <w:color w:val="000000" w:themeColor="text1"/>
              </w:rPr>
              <w:t>n</w:t>
            </w:r>
            <w:r w:rsidRPr="00245598">
              <w:rPr>
                <w:rFonts w:ascii="Book Antiqua" w:eastAsia="MS Mincho" w:hAnsi="Book Antiqua" w:cs="Arial"/>
                <w:b/>
                <w:bCs/>
                <w:color w:val="000000" w:themeColor="text1"/>
              </w:rPr>
              <w:t xml:space="preserve">) </w:t>
            </w:r>
            <w:r w:rsidRPr="00245598">
              <w:rPr>
                <w:rFonts w:ascii="Book Antiqua" w:eastAsia="MS Mincho" w:hAnsi="Book Antiqua" w:cs="Calibri"/>
                <w:b/>
                <w:bCs/>
                <w:color w:val="000000" w:themeColor="text1"/>
              </w:rPr>
              <w:t>(min-max)</w:t>
            </w:r>
          </w:p>
        </w:tc>
        <w:tc>
          <w:tcPr>
            <w:tcW w:w="1287" w:type="dxa"/>
            <w:tcBorders>
              <w:top w:val="single" w:sz="4" w:space="0" w:color="auto"/>
              <w:bottom w:val="single" w:sz="4" w:space="0" w:color="auto"/>
            </w:tcBorders>
            <w:shd w:val="clear" w:color="auto" w:fill="auto"/>
          </w:tcPr>
          <w:p w14:paraId="047BEE99" w14:textId="2221C548" w:rsidR="00160D54" w:rsidRPr="00245598" w:rsidRDefault="00160D54">
            <w:pPr>
              <w:spacing w:line="360" w:lineRule="auto"/>
              <w:jc w:val="both"/>
              <w:rPr>
                <w:rFonts w:ascii="Book Antiqua" w:eastAsia="MS Mincho" w:hAnsi="Book Antiqua" w:cs="Calibri"/>
                <w:b/>
                <w:bCs/>
                <w:color w:val="000000" w:themeColor="text1"/>
              </w:rPr>
            </w:pPr>
            <w:r w:rsidRPr="00245598">
              <w:rPr>
                <w:rFonts w:ascii="Book Antiqua" w:eastAsia="MS Mincho" w:hAnsi="Book Antiqua" w:cs="Calibri"/>
                <w:b/>
                <w:bCs/>
                <w:i/>
                <w:iCs/>
                <w:color w:val="000000" w:themeColor="text1"/>
              </w:rPr>
              <w:t>P</w:t>
            </w:r>
            <w:r w:rsidRPr="00245598">
              <w:rPr>
                <w:rFonts w:ascii="Book Antiqua" w:eastAsia="MS Mincho" w:hAnsi="Book Antiqua" w:cs="Calibri"/>
                <w:b/>
                <w:bCs/>
                <w:color w:val="000000" w:themeColor="text1"/>
              </w:rPr>
              <w:t xml:space="preserve"> value; ETV</w:t>
            </w:r>
            <w:r w:rsidR="00B72A3E" w:rsidRPr="00245598">
              <w:rPr>
                <w:rFonts w:ascii="Book Antiqua" w:eastAsia="MS Mincho" w:hAnsi="Book Antiqua" w:cs="Calibri"/>
                <w:b/>
                <w:bCs/>
                <w:color w:val="000000" w:themeColor="text1"/>
              </w:rPr>
              <w:t xml:space="preserve"> </w:t>
            </w:r>
            <w:r w:rsidR="00B72A3E" w:rsidRPr="00245598">
              <w:rPr>
                <w:rFonts w:ascii="Book Antiqua" w:eastAsia="MS Mincho" w:hAnsi="Book Antiqua" w:cs="Calibri"/>
                <w:b/>
                <w:bCs/>
                <w:i/>
                <w:iCs/>
                <w:color w:val="000000" w:themeColor="text1"/>
              </w:rPr>
              <w:t>vs</w:t>
            </w:r>
            <w:r w:rsidRPr="00245598">
              <w:rPr>
                <w:rFonts w:ascii="Book Antiqua" w:eastAsia="MS Mincho" w:hAnsi="Book Antiqua" w:cs="Calibri"/>
                <w:b/>
                <w:bCs/>
                <w:color w:val="000000" w:themeColor="text1"/>
              </w:rPr>
              <w:t xml:space="preserve"> naive</w:t>
            </w:r>
          </w:p>
        </w:tc>
        <w:tc>
          <w:tcPr>
            <w:tcW w:w="1111" w:type="dxa"/>
            <w:tcBorders>
              <w:top w:val="single" w:sz="4" w:space="0" w:color="auto"/>
              <w:bottom w:val="single" w:sz="4" w:space="0" w:color="auto"/>
            </w:tcBorders>
            <w:shd w:val="clear" w:color="auto" w:fill="auto"/>
          </w:tcPr>
          <w:p w14:paraId="217D1962" w14:textId="29D0793E" w:rsidR="00160D54" w:rsidRPr="00245598" w:rsidRDefault="00160D54">
            <w:pPr>
              <w:spacing w:line="360" w:lineRule="auto"/>
              <w:jc w:val="both"/>
              <w:rPr>
                <w:rFonts w:ascii="Book Antiqua" w:eastAsia="MS Mincho" w:hAnsi="Book Antiqua" w:cs="Calibri"/>
                <w:b/>
                <w:bCs/>
                <w:color w:val="000000" w:themeColor="text1"/>
              </w:rPr>
            </w:pPr>
            <w:r w:rsidRPr="00245598">
              <w:rPr>
                <w:rFonts w:ascii="Book Antiqua" w:eastAsia="MS Mincho" w:hAnsi="Book Antiqua" w:cs="Calibri"/>
                <w:b/>
                <w:bCs/>
                <w:i/>
                <w:iCs/>
                <w:color w:val="000000" w:themeColor="text1"/>
              </w:rPr>
              <w:t>P</w:t>
            </w:r>
            <w:r w:rsidRPr="00245598">
              <w:rPr>
                <w:rFonts w:ascii="Book Antiqua" w:eastAsia="MS Mincho" w:hAnsi="Book Antiqua" w:cs="Calibri"/>
                <w:b/>
                <w:bCs/>
                <w:color w:val="000000" w:themeColor="text1"/>
              </w:rPr>
              <w:t xml:space="preserve"> value</w:t>
            </w:r>
            <w:r w:rsidRPr="00245598">
              <w:rPr>
                <w:rFonts w:ascii="Book Antiqua" w:hAnsi="Book Antiqua" w:cs="Calibri"/>
                <w:b/>
                <w:bCs/>
                <w:color w:val="000000" w:themeColor="text1"/>
                <w:lang w:eastAsia="zh-CN"/>
              </w:rPr>
              <w:t xml:space="preserve">; </w:t>
            </w:r>
            <w:r w:rsidRPr="00245598">
              <w:rPr>
                <w:rFonts w:ascii="Book Antiqua" w:eastAsia="MS Mincho" w:hAnsi="Book Antiqua" w:cs="Calibri"/>
                <w:b/>
                <w:bCs/>
                <w:color w:val="000000" w:themeColor="text1"/>
              </w:rPr>
              <w:t>TDF</w:t>
            </w:r>
            <w:r w:rsidR="00B72A3E" w:rsidRPr="00245598">
              <w:rPr>
                <w:rFonts w:ascii="Book Antiqua" w:eastAsia="MS Mincho" w:hAnsi="Book Antiqua" w:cs="Calibri"/>
                <w:b/>
                <w:bCs/>
                <w:color w:val="000000" w:themeColor="text1"/>
              </w:rPr>
              <w:t xml:space="preserve"> </w:t>
            </w:r>
            <w:r w:rsidR="00B72A3E" w:rsidRPr="00245598">
              <w:rPr>
                <w:rFonts w:ascii="Book Antiqua" w:eastAsia="MS Mincho" w:hAnsi="Book Antiqua" w:cs="Calibri"/>
                <w:b/>
                <w:bCs/>
                <w:i/>
                <w:iCs/>
                <w:color w:val="000000" w:themeColor="text1"/>
              </w:rPr>
              <w:t>vs</w:t>
            </w:r>
            <w:r w:rsidR="00B72A3E" w:rsidRPr="00245598">
              <w:rPr>
                <w:rFonts w:ascii="Book Antiqua" w:eastAsia="MS Mincho" w:hAnsi="Book Antiqua" w:cs="Calibri"/>
                <w:b/>
                <w:bCs/>
                <w:color w:val="000000" w:themeColor="text1"/>
              </w:rPr>
              <w:t xml:space="preserve"> </w:t>
            </w:r>
            <w:r w:rsidRPr="00245598">
              <w:rPr>
                <w:rFonts w:ascii="Book Antiqua" w:eastAsia="MS Mincho" w:hAnsi="Book Antiqua" w:cs="Calibri"/>
                <w:b/>
                <w:bCs/>
                <w:color w:val="000000" w:themeColor="text1"/>
              </w:rPr>
              <w:t>naive</w:t>
            </w:r>
          </w:p>
        </w:tc>
      </w:tr>
      <w:tr w:rsidR="00DE6AEC" w:rsidRPr="00234908" w14:paraId="456641BD" w14:textId="77777777" w:rsidTr="00E36494">
        <w:trPr>
          <w:trHeight w:val="1553"/>
        </w:trPr>
        <w:tc>
          <w:tcPr>
            <w:tcW w:w="1788" w:type="dxa"/>
            <w:tcBorders>
              <w:top w:val="single" w:sz="4" w:space="0" w:color="auto"/>
            </w:tcBorders>
            <w:shd w:val="clear" w:color="auto" w:fill="auto"/>
          </w:tcPr>
          <w:p w14:paraId="54C98D43" w14:textId="67C53CC3" w:rsidR="00160D54" w:rsidRPr="00245598" w:rsidRDefault="00160D54" w:rsidP="00DE6AEC">
            <w:pPr>
              <w:spacing w:line="360" w:lineRule="auto"/>
              <w:jc w:val="both"/>
              <w:rPr>
                <w:rFonts w:ascii="Book Antiqua" w:eastAsia="MS Mincho" w:hAnsi="Book Antiqua" w:cs="Arial"/>
                <w:color w:val="000000" w:themeColor="text1"/>
              </w:rPr>
            </w:pPr>
            <w:proofErr w:type="spellStart"/>
            <w:r w:rsidRPr="00245598">
              <w:rPr>
                <w:rFonts w:ascii="Book Antiqua" w:eastAsia="MS Mincho" w:hAnsi="Book Antiqua" w:cs="Arial"/>
                <w:color w:val="000000" w:themeColor="text1"/>
              </w:rPr>
              <w:t>Phosphatemia</w:t>
            </w:r>
            <w:proofErr w:type="spellEnd"/>
            <w:r w:rsidR="00526BAF" w:rsidRPr="00234908">
              <w:rPr>
                <w:rFonts w:ascii="Book Antiqua" w:eastAsia="MS Mincho" w:hAnsi="Book Antiqua" w:cs="Arial"/>
                <w:color w:val="000000" w:themeColor="text1"/>
              </w:rPr>
              <w:t>,</w:t>
            </w:r>
            <w:r w:rsidRPr="00245598">
              <w:rPr>
                <w:rFonts w:ascii="Book Antiqua" w:eastAsia="MS Mincho" w:hAnsi="Book Antiqua" w:cs="Arial"/>
                <w:color w:val="000000" w:themeColor="text1"/>
              </w:rPr>
              <w:t xml:space="preserve"> </w:t>
            </w:r>
            <w:proofErr w:type="spellStart"/>
            <w:r w:rsidRPr="00245598">
              <w:rPr>
                <w:rFonts w:ascii="Book Antiqua" w:eastAsia="MS Mincho" w:hAnsi="Book Antiqua" w:cs="Arial"/>
                <w:color w:val="000000" w:themeColor="text1"/>
              </w:rPr>
              <w:t>mmoL</w:t>
            </w:r>
            <w:proofErr w:type="spellEnd"/>
            <w:r w:rsidRPr="00245598">
              <w:rPr>
                <w:rFonts w:ascii="Book Antiqua" w:eastAsia="MS Mincho" w:hAnsi="Book Antiqua" w:cs="Arial"/>
                <w:color w:val="000000" w:themeColor="text1"/>
              </w:rPr>
              <w:t>/L</w:t>
            </w:r>
          </w:p>
        </w:tc>
        <w:tc>
          <w:tcPr>
            <w:tcW w:w="2328" w:type="dxa"/>
            <w:tcBorders>
              <w:top w:val="single" w:sz="4" w:space="0" w:color="auto"/>
            </w:tcBorders>
            <w:shd w:val="clear" w:color="auto" w:fill="auto"/>
          </w:tcPr>
          <w:p w14:paraId="533D1D2E" w14:textId="4A0A477F" w:rsidR="00160D54" w:rsidRPr="00245598" w:rsidRDefault="00160D54" w:rsidP="00DE6AEC">
            <w:pPr>
              <w:pStyle w:val="a3"/>
              <w:spacing w:line="360" w:lineRule="auto"/>
              <w:ind w:left="0"/>
              <w:jc w:val="both"/>
              <w:rPr>
                <w:rFonts w:ascii="Book Antiqua" w:hAnsi="Book Antiqua" w:cs="Calibri"/>
                <w:color w:val="000000" w:themeColor="text1"/>
                <w:lang w:val="en-US"/>
              </w:rPr>
            </w:pPr>
            <w:r w:rsidRPr="00245598">
              <w:rPr>
                <w:rFonts w:ascii="Book Antiqua" w:hAnsi="Book Antiqua" w:cs="Calibri"/>
                <w:color w:val="000000" w:themeColor="text1"/>
                <w:lang w:val="en-US"/>
              </w:rPr>
              <w:t>1.1 (1.0; 1.2); (</w:t>
            </w:r>
            <w:r w:rsidR="0068608D" w:rsidRPr="00245598">
              <w:rPr>
                <w:rFonts w:ascii="Book Antiqua" w:hAnsi="Book Antiqua" w:cs="Calibri"/>
                <w:i/>
                <w:iCs/>
                <w:color w:val="000000" w:themeColor="text1"/>
                <w:lang w:val="en-US"/>
              </w:rPr>
              <w:t>n</w:t>
            </w:r>
            <w:r w:rsidRPr="00245598">
              <w:rPr>
                <w:rFonts w:ascii="Book Antiqua" w:hAnsi="Book Antiqua" w:cs="Calibri"/>
                <w:color w:val="000000" w:themeColor="text1"/>
                <w:lang w:val="en-US"/>
              </w:rPr>
              <w:t xml:space="preserve"> = 135); (0.6-1.4)</w:t>
            </w:r>
          </w:p>
        </w:tc>
        <w:tc>
          <w:tcPr>
            <w:tcW w:w="1696" w:type="dxa"/>
            <w:tcBorders>
              <w:top w:val="single" w:sz="4" w:space="0" w:color="auto"/>
            </w:tcBorders>
            <w:shd w:val="clear" w:color="auto" w:fill="auto"/>
          </w:tcPr>
          <w:p w14:paraId="6A953F61" w14:textId="22DC38FF" w:rsidR="00160D54" w:rsidRPr="00245598" w:rsidRDefault="00160D54" w:rsidP="00102F07">
            <w:pPr>
              <w:pStyle w:val="a3"/>
              <w:spacing w:line="360" w:lineRule="auto"/>
              <w:ind w:left="0"/>
              <w:jc w:val="both"/>
              <w:rPr>
                <w:rFonts w:ascii="Book Antiqua" w:hAnsi="Book Antiqua" w:cs="Calibri"/>
                <w:color w:val="000000" w:themeColor="text1"/>
                <w:lang w:val="en-US"/>
              </w:rPr>
            </w:pPr>
            <w:r w:rsidRPr="00245598">
              <w:rPr>
                <w:rFonts w:ascii="Book Antiqua" w:hAnsi="Book Antiqua" w:cs="Calibri"/>
                <w:color w:val="000000" w:themeColor="text1"/>
                <w:lang w:val="en-US"/>
              </w:rPr>
              <w:t>1.1 (1.0; 1.1); (</w:t>
            </w:r>
            <w:r w:rsidR="0068608D" w:rsidRPr="00245598">
              <w:rPr>
                <w:rFonts w:ascii="Book Antiqua" w:hAnsi="Book Antiqua" w:cs="Calibri"/>
                <w:i/>
                <w:iCs/>
                <w:color w:val="000000" w:themeColor="text1"/>
                <w:lang w:val="en-US"/>
              </w:rPr>
              <w:t>n</w:t>
            </w:r>
            <w:r w:rsidRPr="00245598">
              <w:rPr>
                <w:rFonts w:ascii="Book Antiqua" w:hAnsi="Book Antiqua" w:cs="Calibri"/>
                <w:color w:val="000000" w:themeColor="text1"/>
                <w:lang w:val="en-US"/>
              </w:rPr>
              <w:t xml:space="preserve"> = 26); (0.9-1.3)</w:t>
            </w:r>
          </w:p>
        </w:tc>
        <w:tc>
          <w:tcPr>
            <w:tcW w:w="1559" w:type="dxa"/>
            <w:tcBorders>
              <w:top w:val="single" w:sz="4" w:space="0" w:color="auto"/>
            </w:tcBorders>
            <w:shd w:val="clear" w:color="auto" w:fill="auto"/>
          </w:tcPr>
          <w:p w14:paraId="7AAD6BFD" w14:textId="6378BB2E" w:rsidR="00160D54" w:rsidRPr="00245598" w:rsidRDefault="00160D54" w:rsidP="00526BAF">
            <w:pPr>
              <w:pStyle w:val="a3"/>
              <w:spacing w:line="360" w:lineRule="auto"/>
              <w:ind w:left="0"/>
              <w:jc w:val="both"/>
              <w:rPr>
                <w:rFonts w:ascii="Book Antiqua" w:hAnsi="Book Antiqua" w:cs="Calibri"/>
                <w:color w:val="000000" w:themeColor="text1"/>
                <w:lang w:val="en-US"/>
              </w:rPr>
            </w:pPr>
            <w:r w:rsidRPr="00245598">
              <w:rPr>
                <w:rFonts w:ascii="Book Antiqua" w:hAnsi="Book Antiqua" w:cs="Calibri"/>
                <w:color w:val="000000" w:themeColor="text1"/>
                <w:lang w:val="en-US"/>
              </w:rPr>
              <w:t>1.0 (1.0; 1.2); (</w:t>
            </w:r>
            <w:r w:rsidR="0068608D" w:rsidRPr="00245598">
              <w:rPr>
                <w:rFonts w:ascii="Book Antiqua" w:hAnsi="Book Antiqua" w:cs="Calibri"/>
                <w:i/>
                <w:iCs/>
                <w:color w:val="000000" w:themeColor="text1"/>
                <w:lang w:val="en-US"/>
              </w:rPr>
              <w:t>n</w:t>
            </w:r>
            <w:r w:rsidRPr="00245598">
              <w:rPr>
                <w:rFonts w:ascii="Book Antiqua" w:hAnsi="Book Antiqua" w:cs="Calibri"/>
                <w:color w:val="000000" w:themeColor="text1"/>
                <w:lang w:val="en-US"/>
              </w:rPr>
              <w:t xml:space="preserve"> = 83); (0.7-1.4)</w:t>
            </w:r>
          </w:p>
        </w:tc>
        <w:tc>
          <w:tcPr>
            <w:tcW w:w="1713" w:type="dxa"/>
            <w:tcBorders>
              <w:top w:val="single" w:sz="4" w:space="0" w:color="auto"/>
            </w:tcBorders>
            <w:shd w:val="clear" w:color="auto" w:fill="auto"/>
          </w:tcPr>
          <w:p w14:paraId="6A14BD7F" w14:textId="21D17B16" w:rsidR="00160D54" w:rsidRPr="00245598" w:rsidRDefault="00160D54" w:rsidP="00234908">
            <w:pPr>
              <w:pStyle w:val="a3"/>
              <w:spacing w:line="360" w:lineRule="auto"/>
              <w:ind w:left="0"/>
              <w:jc w:val="both"/>
              <w:rPr>
                <w:rFonts w:ascii="Book Antiqua" w:hAnsi="Book Antiqua" w:cs="Calibri"/>
                <w:color w:val="000000" w:themeColor="text1"/>
                <w:lang w:val="en-US"/>
              </w:rPr>
            </w:pPr>
            <w:r w:rsidRPr="00245598">
              <w:rPr>
                <w:rFonts w:ascii="Book Antiqua" w:hAnsi="Book Antiqua" w:cs="Calibri"/>
                <w:color w:val="000000" w:themeColor="text1"/>
                <w:lang w:val="en-US"/>
              </w:rPr>
              <w:t>1.0 (0.9; 1.2); (</w:t>
            </w:r>
            <w:r w:rsidR="0068608D" w:rsidRPr="00245598">
              <w:rPr>
                <w:rFonts w:ascii="Book Antiqua" w:hAnsi="Book Antiqua" w:cs="Calibri"/>
                <w:i/>
                <w:iCs/>
                <w:color w:val="000000" w:themeColor="text1"/>
                <w:lang w:val="en-US"/>
              </w:rPr>
              <w:t>n</w:t>
            </w:r>
            <w:r w:rsidRPr="00245598">
              <w:rPr>
                <w:rFonts w:ascii="Book Antiqua" w:hAnsi="Book Antiqua" w:cs="Calibri"/>
                <w:color w:val="000000" w:themeColor="text1"/>
                <w:lang w:val="en-US"/>
              </w:rPr>
              <w:t xml:space="preserve"> = 26); (0.6-1.2)</w:t>
            </w:r>
          </w:p>
        </w:tc>
        <w:tc>
          <w:tcPr>
            <w:tcW w:w="1287" w:type="dxa"/>
            <w:tcBorders>
              <w:top w:val="single" w:sz="4" w:space="0" w:color="auto"/>
            </w:tcBorders>
            <w:shd w:val="clear" w:color="auto" w:fill="auto"/>
          </w:tcPr>
          <w:p w14:paraId="38B6A341" w14:textId="49F5BDCD" w:rsidR="00160D54" w:rsidRPr="00245598" w:rsidRDefault="00160D54" w:rsidP="00234908">
            <w:pPr>
              <w:spacing w:line="360" w:lineRule="auto"/>
              <w:jc w:val="both"/>
              <w:rPr>
                <w:rFonts w:ascii="Book Antiqua" w:eastAsia="MS Mincho" w:hAnsi="Book Antiqua" w:cs="Calibri"/>
                <w:color w:val="000000" w:themeColor="text1"/>
              </w:rPr>
            </w:pPr>
            <w:r w:rsidRPr="00245598">
              <w:rPr>
                <w:rFonts w:ascii="Book Antiqua" w:eastAsia="MS Mincho" w:hAnsi="Book Antiqua" w:cs="Calibri"/>
                <w:color w:val="000000" w:themeColor="text1"/>
              </w:rPr>
              <w:t>0.40</w:t>
            </w:r>
            <w:r w:rsidR="006F0D06" w:rsidRPr="00245598">
              <w:rPr>
                <w:rFonts w:ascii="Book Antiqua" w:eastAsia="MS Mincho" w:hAnsi="Book Antiqua" w:cs="Calibri"/>
                <w:color w:val="000000" w:themeColor="text1"/>
                <w:vertAlign w:val="superscript"/>
              </w:rPr>
              <w:t>1</w:t>
            </w:r>
          </w:p>
        </w:tc>
        <w:tc>
          <w:tcPr>
            <w:tcW w:w="1111" w:type="dxa"/>
            <w:tcBorders>
              <w:top w:val="single" w:sz="4" w:space="0" w:color="auto"/>
            </w:tcBorders>
            <w:shd w:val="clear" w:color="auto" w:fill="auto"/>
          </w:tcPr>
          <w:p w14:paraId="51A1C097" w14:textId="73CB3574" w:rsidR="00160D54" w:rsidRPr="00245598" w:rsidRDefault="00160D54">
            <w:pPr>
              <w:spacing w:line="360" w:lineRule="auto"/>
              <w:jc w:val="both"/>
              <w:rPr>
                <w:rFonts w:ascii="Book Antiqua" w:eastAsia="MS Mincho" w:hAnsi="Book Antiqua" w:cs="Calibri"/>
                <w:color w:val="000000" w:themeColor="text1"/>
              </w:rPr>
            </w:pPr>
            <w:r w:rsidRPr="00245598">
              <w:rPr>
                <w:rFonts w:ascii="Book Antiqua" w:eastAsia="MS Mincho" w:hAnsi="Book Antiqua" w:cs="Calibri"/>
                <w:color w:val="000000" w:themeColor="text1"/>
              </w:rPr>
              <w:t>0.98</w:t>
            </w:r>
            <w:r w:rsidR="006F0D06" w:rsidRPr="00245598">
              <w:rPr>
                <w:rFonts w:ascii="Book Antiqua" w:eastAsia="MS Mincho" w:hAnsi="Book Antiqua" w:cs="Calibri"/>
                <w:color w:val="000000" w:themeColor="text1"/>
                <w:vertAlign w:val="superscript"/>
              </w:rPr>
              <w:t>1</w:t>
            </w:r>
          </w:p>
        </w:tc>
      </w:tr>
      <w:tr w:rsidR="00DE6AEC" w:rsidRPr="00234908" w14:paraId="0BD922AE" w14:textId="77777777" w:rsidTr="00E36494">
        <w:trPr>
          <w:trHeight w:val="1475"/>
        </w:trPr>
        <w:tc>
          <w:tcPr>
            <w:tcW w:w="1788" w:type="dxa"/>
            <w:shd w:val="clear" w:color="auto" w:fill="auto"/>
          </w:tcPr>
          <w:p w14:paraId="7EF4C42D" w14:textId="17EF5516" w:rsidR="00160D54" w:rsidRPr="00245598" w:rsidRDefault="00160D54" w:rsidP="00DE6AEC">
            <w:pPr>
              <w:spacing w:line="360" w:lineRule="auto"/>
              <w:jc w:val="both"/>
              <w:rPr>
                <w:rFonts w:ascii="Book Antiqua" w:eastAsia="MS Mincho" w:hAnsi="Book Antiqua" w:cs="Arial"/>
                <w:color w:val="000000" w:themeColor="text1"/>
              </w:rPr>
            </w:pPr>
            <w:r w:rsidRPr="00245598">
              <w:rPr>
                <w:rFonts w:ascii="Book Antiqua" w:eastAsia="MS Mincho" w:hAnsi="Book Antiqua" w:cs="Arial"/>
                <w:color w:val="000000" w:themeColor="text1"/>
              </w:rPr>
              <w:t>Plasma creatinine</w:t>
            </w:r>
            <w:r w:rsidR="00526BAF" w:rsidRPr="00234908">
              <w:rPr>
                <w:rFonts w:ascii="Book Antiqua" w:eastAsia="MS Mincho" w:hAnsi="Book Antiqua" w:cs="Arial"/>
                <w:color w:val="000000" w:themeColor="text1"/>
              </w:rPr>
              <w:t>,</w:t>
            </w:r>
            <w:r w:rsidRPr="00245598">
              <w:rPr>
                <w:rFonts w:ascii="Book Antiqua" w:eastAsia="MS Mincho" w:hAnsi="Book Antiqua" w:cs="Arial"/>
                <w:color w:val="000000" w:themeColor="text1"/>
              </w:rPr>
              <w:t xml:space="preserve"> </w:t>
            </w:r>
            <w:proofErr w:type="spellStart"/>
            <w:r w:rsidRPr="00245598">
              <w:rPr>
                <w:rFonts w:ascii="Book Antiqua" w:eastAsia="MS Mincho" w:hAnsi="Book Antiqua" w:cs="Lucida Grande"/>
                <w:color w:val="000000" w:themeColor="text1"/>
              </w:rPr>
              <w:t>μ</w:t>
            </w:r>
            <w:r w:rsidRPr="00245598">
              <w:rPr>
                <w:rFonts w:ascii="Book Antiqua" w:eastAsia="MS Mincho" w:hAnsi="Book Antiqua" w:cs="Arial"/>
                <w:color w:val="000000" w:themeColor="text1"/>
              </w:rPr>
              <w:t>moL</w:t>
            </w:r>
            <w:proofErr w:type="spellEnd"/>
            <w:r w:rsidRPr="00245598">
              <w:rPr>
                <w:rFonts w:ascii="Book Antiqua" w:eastAsia="MS Mincho" w:hAnsi="Book Antiqua" w:cs="Arial"/>
                <w:color w:val="000000" w:themeColor="text1"/>
              </w:rPr>
              <w:t>/L</w:t>
            </w:r>
          </w:p>
        </w:tc>
        <w:tc>
          <w:tcPr>
            <w:tcW w:w="2328" w:type="dxa"/>
            <w:shd w:val="clear" w:color="auto" w:fill="auto"/>
          </w:tcPr>
          <w:p w14:paraId="0F16EE5B" w14:textId="7916E61E" w:rsidR="00160D54" w:rsidRPr="00245598" w:rsidRDefault="00160D54" w:rsidP="00102F07">
            <w:pPr>
              <w:spacing w:line="360" w:lineRule="auto"/>
              <w:jc w:val="both"/>
              <w:rPr>
                <w:rFonts w:ascii="Book Antiqua" w:eastAsia="MS Mincho" w:hAnsi="Book Antiqua" w:cs="Calibri"/>
                <w:color w:val="000000" w:themeColor="text1"/>
              </w:rPr>
            </w:pPr>
            <w:r w:rsidRPr="00245598">
              <w:rPr>
                <w:rFonts w:ascii="Book Antiqua" w:eastAsia="MS Mincho" w:hAnsi="Book Antiqua" w:cs="Calibri"/>
                <w:color w:val="000000" w:themeColor="text1"/>
              </w:rPr>
              <w:t>73 (58; 85);</w:t>
            </w:r>
            <w:r w:rsidRPr="00245598">
              <w:rPr>
                <w:rFonts w:ascii="Book Antiqua" w:hAnsi="Book Antiqua" w:cs="Calibri"/>
                <w:color w:val="000000" w:themeColor="text1"/>
                <w:lang w:eastAsia="zh-CN"/>
              </w:rPr>
              <w:t xml:space="preserve"> </w:t>
            </w:r>
            <w:r w:rsidR="0068608D" w:rsidRPr="00245598">
              <w:rPr>
                <w:rFonts w:ascii="Book Antiqua" w:hAnsi="Book Antiqua" w:cs="Calibri"/>
                <w:color w:val="000000" w:themeColor="text1"/>
              </w:rPr>
              <w:t>(</w:t>
            </w:r>
            <w:r w:rsidR="0068608D" w:rsidRPr="00245598">
              <w:rPr>
                <w:rFonts w:ascii="Book Antiqua" w:hAnsi="Book Antiqua" w:cs="Calibri"/>
                <w:i/>
                <w:iCs/>
                <w:color w:val="000000" w:themeColor="text1"/>
              </w:rPr>
              <w:t>n</w:t>
            </w:r>
            <w:r w:rsidRPr="00245598">
              <w:rPr>
                <w:rFonts w:ascii="Book Antiqua" w:eastAsia="MS Mincho" w:hAnsi="Book Antiqua" w:cs="Calibri"/>
                <w:color w:val="000000" w:themeColor="text1"/>
              </w:rPr>
              <w:t xml:space="preserve"> = 137)</w:t>
            </w:r>
            <w:r w:rsidRPr="00245598">
              <w:rPr>
                <w:rFonts w:ascii="Book Antiqua" w:hAnsi="Book Antiqua" w:cs="Calibri"/>
                <w:color w:val="000000" w:themeColor="text1"/>
                <w:lang w:eastAsia="zh-CN"/>
              </w:rPr>
              <w:t xml:space="preserve">; </w:t>
            </w:r>
            <w:r w:rsidRPr="00245598">
              <w:rPr>
                <w:rFonts w:ascii="Book Antiqua" w:eastAsia="MS Mincho" w:hAnsi="Book Antiqua" w:cs="Calibri"/>
                <w:color w:val="000000" w:themeColor="text1"/>
              </w:rPr>
              <w:t>(37.5-114.9)</w:t>
            </w:r>
          </w:p>
        </w:tc>
        <w:tc>
          <w:tcPr>
            <w:tcW w:w="1696" w:type="dxa"/>
            <w:shd w:val="clear" w:color="auto" w:fill="auto"/>
          </w:tcPr>
          <w:p w14:paraId="7DC2E435" w14:textId="1A205D75" w:rsidR="00160D54" w:rsidRPr="00245598" w:rsidRDefault="00160D54" w:rsidP="00526BAF">
            <w:pPr>
              <w:spacing w:line="360" w:lineRule="auto"/>
              <w:jc w:val="both"/>
              <w:rPr>
                <w:rFonts w:ascii="Book Antiqua" w:eastAsia="MS Mincho" w:hAnsi="Book Antiqua" w:cs="Calibri"/>
                <w:color w:val="000000" w:themeColor="text1"/>
              </w:rPr>
            </w:pPr>
            <w:r w:rsidRPr="00245598">
              <w:rPr>
                <w:rFonts w:ascii="Book Antiqua" w:eastAsia="MS Mincho" w:hAnsi="Book Antiqua" w:cs="Calibri"/>
                <w:color w:val="000000" w:themeColor="text1"/>
              </w:rPr>
              <w:t>78.4 (66; 84);</w:t>
            </w:r>
            <w:r w:rsidRPr="00245598">
              <w:rPr>
                <w:rFonts w:ascii="Book Antiqua" w:hAnsi="Book Antiqua" w:cs="Calibri"/>
                <w:color w:val="000000" w:themeColor="text1"/>
                <w:lang w:eastAsia="zh-CN"/>
              </w:rPr>
              <w:t xml:space="preserve"> </w:t>
            </w:r>
            <w:r w:rsidR="0068608D" w:rsidRPr="00245598">
              <w:rPr>
                <w:rFonts w:ascii="Book Antiqua" w:hAnsi="Book Antiqua" w:cs="Calibri"/>
                <w:color w:val="000000" w:themeColor="text1"/>
              </w:rPr>
              <w:t>(</w:t>
            </w:r>
            <w:r w:rsidR="0068608D" w:rsidRPr="00245598">
              <w:rPr>
                <w:rFonts w:ascii="Book Antiqua" w:hAnsi="Book Antiqua" w:cs="Calibri"/>
                <w:i/>
                <w:iCs/>
                <w:color w:val="000000" w:themeColor="text1"/>
              </w:rPr>
              <w:t>n</w:t>
            </w:r>
            <w:r w:rsidRPr="00245598">
              <w:rPr>
                <w:rFonts w:ascii="Book Antiqua" w:eastAsia="MS Mincho" w:hAnsi="Book Antiqua" w:cs="Calibri"/>
                <w:color w:val="000000" w:themeColor="text1"/>
              </w:rPr>
              <w:t xml:space="preserve"> = 28); (51-114.9)</w:t>
            </w:r>
          </w:p>
        </w:tc>
        <w:tc>
          <w:tcPr>
            <w:tcW w:w="1559" w:type="dxa"/>
            <w:shd w:val="clear" w:color="auto" w:fill="auto"/>
          </w:tcPr>
          <w:p w14:paraId="38B9CC93" w14:textId="416E6FE7" w:rsidR="00160D54" w:rsidRPr="00245598" w:rsidRDefault="00160D54" w:rsidP="00234908">
            <w:pPr>
              <w:spacing w:line="360" w:lineRule="auto"/>
              <w:jc w:val="both"/>
              <w:rPr>
                <w:rFonts w:ascii="Book Antiqua" w:eastAsia="MS Mincho" w:hAnsi="Book Antiqua" w:cs="Calibri"/>
                <w:color w:val="000000" w:themeColor="text1"/>
              </w:rPr>
            </w:pPr>
            <w:r w:rsidRPr="00245598">
              <w:rPr>
                <w:rFonts w:ascii="Book Antiqua" w:eastAsia="MS Mincho" w:hAnsi="Book Antiqua" w:cs="Calibri"/>
                <w:color w:val="000000" w:themeColor="text1"/>
              </w:rPr>
              <w:t>71 (58; 87);</w:t>
            </w:r>
            <w:r w:rsidRPr="00245598">
              <w:rPr>
                <w:rFonts w:ascii="Book Antiqua" w:hAnsi="Book Antiqua" w:cs="Calibri"/>
                <w:color w:val="000000" w:themeColor="text1"/>
                <w:lang w:eastAsia="zh-CN"/>
              </w:rPr>
              <w:t xml:space="preserve"> </w:t>
            </w:r>
            <w:r w:rsidR="0068608D" w:rsidRPr="00245598">
              <w:rPr>
                <w:rFonts w:ascii="Book Antiqua" w:hAnsi="Book Antiqua" w:cs="Calibri"/>
                <w:color w:val="000000" w:themeColor="text1"/>
              </w:rPr>
              <w:t>(</w:t>
            </w:r>
            <w:r w:rsidR="0068608D" w:rsidRPr="00245598">
              <w:rPr>
                <w:rFonts w:ascii="Book Antiqua" w:hAnsi="Book Antiqua" w:cs="Calibri"/>
                <w:i/>
                <w:iCs/>
                <w:color w:val="000000" w:themeColor="text1"/>
              </w:rPr>
              <w:t>n</w:t>
            </w:r>
            <w:r w:rsidRPr="00245598">
              <w:rPr>
                <w:rFonts w:ascii="Book Antiqua" w:eastAsia="MS Mincho" w:hAnsi="Book Antiqua" w:cs="Calibri"/>
                <w:color w:val="000000" w:themeColor="text1"/>
              </w:rPr>
              <w:t xml:space="preserve"> = 83); (37.5-113)</w:t>
            </w:r>
          </w:p>
        </w:tc>
        <w:tc>
          <w:tcPr>
            <w:tcW w:w="1713" w:type="dxa"/>
            <w:shd w:val="clear" w:color="auto" w:fill="auto"/>
          </w:tcPr>
          <w:p w14:paraId="4AE9FF0A" w14:textId="3DCBDC65" w:rsidR="00160D54" w:rsidRPr="00245598" w:rsidRDefault="00160D54" w:rsidP="00234908">
            <w:pPr>
              <w:spacing w:line="360" w:lineRule="auto"/>
              <w:jc w:val="both"/>
              <w:rPr>
                <w:rFonts w:ascii="Book Antiqua" w:eastAsia="MS Mincho" w:hAnsi="Book Antiqua" w:cs="Calibri"/>
                <w:color w:val="000000" w:themeColor="text1"/>
              </w:rPr>
            </w:pPr>
            <w:r w:rsidRPr="00245598">
              <w:rPr>
                <w:rFonts w:ascii="Book Antiqua" w:eastAsia="MS Mincho" w:hAnsi="Book Antiqua" w:cs="Calibri"/>
                <w:color w:val="000000" w:themeColor="text1"/>
              </w:rPr>
              <w:t>76.9 (57.5; 87);</w:t>
            </w:r>
            <w:r w:rsidRPr="00245598">
              <w:rPr>
                <w:rFonts w:ascii="Book Antiqua" w:hAnsi="Book Antiqua" w:cs="Calibri"/>
                <w:color w:val="000000" w:themeColor="text1"/>
                <w:lang w:eastAsia="zh-CN"/>
              </w:rPr>
              <w:t xml:space="preserve"> </w:t>
            </w:r>
            <w:r w:rsidRPr="00245598">
              <w:rPr>
                <w:rFonts w:ascii="Book Antiqua" w:eastAsia="MS Mincho" w:hAnsi="Book Antiqua" w:cs="Calibri"/>
                <w:color w:val="000000" w:themeColor="text1"/>
              </w:rPr>
              <w:t>(</w:t>
            </w:r>
            <w:r w:rsidR="0068608D" w:rsidRPr="00245598">
              <w:rPr>
                <w:rFonts w:ascii="Book Antiqua" w:eastAsia="MS Mincho" w:hAnsi="Book Antiqua" w:cs="Calibri"/>
                <w:i/>
                <w:iCs/>
                <w:color w:val="000000" w:themeColor="text1"/>
              </w:rPr>
              <w:t>n</w:t>
            </w:r>
            <w:r w:rsidRPr="00245598">
              <w:rPr>
                <w:rFonts w:ascii="Book Antiqua" w:eastAsia="MS Mincho" w:hAnsi="Book Antiqua" w:cs="Calibri"/>
                <w:color w:val="000000" w:themeColor="text1"/>
              </w:rPr>
              <w:t xml:space="preserve"> = 26); (38-98)</w:t>
            </w:r>
          </w:p>
        </w:tc>
        <w:tc>
          <w:tcPr>
            <w:tcW w:w="1287" w:type="dxa"/>
            <w:shd w:val="clear" w:color="auto" w:fill="auto"/>
          </w:tcPr>
          <w:p w14:paraId="0DEA0218" w14:textId="7409B0F4" w:rsidR="00160D54" w:rsidRPr="00245598" w:rsidRDefault="00160D54">
            <w:pPr>
              <w:spacing w:line="360" w:lineRule="auto"/>
              <w:jc w:val="both"/>
              <w:rPr>
                <w:rFonts w:ascii="Book Antiqua" w:eastAsia="MS Mincho" w:hAnsi="Book Antiqua" w:cs="Calibri"/>
                <w:color w:val="000000" w:themeColor="text1"/>
              </w:rPr>
            </w:pPr>
            <w:r w:rsidRPr="00245598">
              <w:rPr>
                <w:rFonts w:ascii="Book Antiqua" w:eastAsia="MS Mincho" w:hAnsi="Book Antiqua" w:cs="Calibri"/>
                <w:color w:val="000000" w:themeColor="text1"/>
              </w:rPr>
              <w:t>0.23</w:t>
            </w:r>
            <w:r w:rsidR="006F0D06" w:rsidRPr="00245598">
              <w:rPr>
                <w:rFonts w:ascii="Book Antiqua" w:eastAsia="MS Mincho" w:hAnsi="Book Antiqua" w:cs="Calibri"/>
                <w:color w:val="000000" w:themeColor="text1"/>
                <w:vertAlign w:val="superscript"/>
              </w:rPr>
              <w:t>2</w:t>
            </w:r>
          </w:p>
        </w:tc>
        <w:tc>
          <w:tcPr>
            <w:tcW w:w="1111" w:type="dxa"/>
            <w:shd w:val="clear" w:color="auto" w:fill="auto"/>
          </w:tcPr>
          <w:p w14:paraId="655F15ED" w14:textId="1636FDBE" w:rsidR="00160D54" w:rsidRPr="00245598" w:rsidRDefault="00160D54">
            <w:pPr>
              <w:spacing w:line="360" w:lineRule="auto"/>
              <w:jc w:val="both"/>
              <w:rPr>
                <w:rFonts w:ascii="Book Antiqua" w:eastAsia="MS Mincho" w:hAnsi="Book Antiqua" w:cs="Calibri"/>
                <w:color w:val="000000" w:themeColor="text1"/>
              </w:rPr>
            </w:pPr>
            <w:r w:rsidRPr="00245598">
              <w:rPr>
                <w:rFonts w:ascii="Book Antiqua" w:eastAsia="MS Mincho" w:hAnsi="Book Antiqua" w:cs="Calibri"/>
                <w:color w:val="000000" w:themeColor="text1"/>
              </w:rPr>
              <w:t>0.77</w:t>
            </w:r>
            <w:r w:rsidR="006F0D06" w:rsidRPr="00245598">
              <w:rPr>
                <w:rFonts w:ascii="Book Antiqua" w:eastAsia="MS Mincho" w:hAnsi="Book Antiqua" w:cs="Calibri"/>
                <w:color w:val="000000" w:themeColor="text1"/>
                <w:vertAlign w:val="superscript"/>
              </w:rPr>
              <w:t>2</w:t>
            </w:r>
          </w:p>
        </w:tc>
      </w:tr>
      <w:tr w:rsidR="00DE6AEC" w:rsidRPr="00234908" w14:paraId="0F25C6EE" w14:textId="77777777" w:rsidTr="00E36494">
        <w:trPr>
          <w:trHeight w:val="1836"/>
        </w:trPr>
        <w:tc>
          <w:tcPr>
            <w:tcW w:w="1788" w:type="dxa"/>
            <w:shd w:val="clear" w:color="auto" w:fill="auto"/>
          </w:tcPr>
          <w:p w14:paraId="2414312C" w14:textId="392DD95A" w:rsidR="00160D54" w:rsidRPr="00245598" w:rsidRDefault="00160D54" w:rsidP="00DE6AEC">
            <w:pPr>
              <w:spacing w:line="360" w:lineRule="auto"/>
              <w:jc w:val="both"/>
              <w:rPr>
                <w:rFonts w:ascii="Book Antiqua" w:eastAsia="MS Mincho" w:hAnsi="Book Antiqua" w:cs="Arial"/>
                <w:color w:val="000000" w:themeColor="text1"/>
              </w:rPr>
            </w:pPr>
            <w:r w:rsidRPr="00245598">
              <w:rPr>
                <w:rFonts w:ascii="Book Antiqua" w:eastAsia="MS Mincho" w:hAnsi="Book Antiqua" w:cs="Arial"/>
                <w:color w:val="000000" w:themeColor="text1"/>
              </w:rPr>
              <w:t>eGFR (MDRD)</w:t>
            </w:r>
            <w:r w:rsidR="00526BAF" w:rsidRPr="00234908">
              <w:rPr>
                <w:rFonts w:ascii="Book Antiqua" w:eastAsia="MS Mincho" w:hAnsi="Book Antiqua" w:cs="Arial"/>
                <w:color w:val="000000" w:themeColor="text1"/>
              </w:rPr>
              <w:t>,</w:t>
            </w:r>
            <w:r w:rsidRPr="00245598">
              <w:rPr>
                <w:rFonts w:ascii="Book Antiqua" w:eastAsia="MS Mincho" w:hAnsi="Book Antiqua" w:cs="Arial"/>
                <w:color w:val="000000" w:themeColor="text1"/>
              </w:rPr>
              <w:t xml:space="preserve"> mL/min/1.73 m²</w:t>
            </w:r>
          </w:p>
        </w:tc>
        <w:tc>
          <w:tcPr>
            <w:tcW w:w="2328" w:type="dxa"/>
            <w:shd w:val="clear" w:color="auto" w:fill="auto"/>
          </w:tcPr>
          <w:p w14:paraId="35AF3529" w14:textId="30602EB3" w:rsidR="00160D54" w:rsidRPr="00245598" w:rsidRDefault="00160D54" w:rsidP="00102F07">
            <w:pPr>
              <w:spacing w:line="360" w:lineRule="auto"/>
              <w:jc w:val="both"/>
              <w:rPr>
                <w:rFonts w:ascii="Book Antiqua" w:eastAsia="MS Mincho" w:hAnsi="Book Antiqua" w:cs="Calibri"/>
                <w:color w:val="000000" w:themeColor="text1"/>
              </w:rPr>
            </w:pPr>
            <w:r w:rsidRPr="00245598">
              <w:rPr>
                <w:rFonts w:ascii="Book Antiqua" w:eastAsia="MS Mincho" w:hAnsi="Book Antiqua" w:cs="Calibri"/>
                <w:color w:val="000000" w:themeColor="text1"/>
              </w:rPr>
              <w:t>94.5 (82.6; 107.6);</w:t>
            </w:r>
            <w:r w:rsidRPr="00245598">
              <w:rPr>
                <w:rFonts w:ascii="Book Antiqua" w:hAnsi="Book Antiqua" w:cs="Calibri"/>
                <w:color w:val="000000" w:themeColor="text1"/>
                <w:lang w:eastAsia="zh-CN"/>
              </w:rPr>
              <w:t xml:space="preserve"> </w:t>
            </w:r>
            <w:r w:rsidRPr="00245598">
              <w:rPr>
                <w:rFonts w:ascii="Book Antiqua" w:eastAsia="MS Mincho" w:hAnsi="Book Antiqua" w:cs="Calibri"/>
                <w:color w:val="000000" w:themeColor="text1"/>
              </w:rPr>
              <w:t>(</w:t>
            </w:r>
            <w:r w:rsidR="0068608D" w:rsidRPr="00245598">
              <w:rPr>
                <w:rFonts w:ascii="Book Antiqua" w:eastAsia="MS Mincho" w:hAnsi="Book Antiqua" w:cs="Calibri"/>
                <w:i/>
                <w:iCs/>
                <w:color w:val="000000" w:themeColor="text1"/>
              </w:rPr>
              <w:t>n</w:t>
            </w:r>
            <w:r w:rsidRPr="00245598">
              <w:rPr>
                <w:rFonts w:ascii="Book Antiqua" w:eastAsia="MS Mincho" w:hAnsi="Book Antiqua" w:cs="Calibri"/>
                <w:color w:val="000000" w:themeColor="text1"/>
              </w:rPr>
              <w:t xml:space="preserve"> = 137); (58.6-169.1)</w:t>
            </w:r>
          </w:p>
        </w:tc>
        <w:tc>
          <w:tcPr>
            <w:tcW w:w="1696" w:type="dxa"/>
            <w:shd w:val="clear" w:color="auto" w:fill="auto"/>
          </w:tcPr>
          <w:p w14:paraId="1D972702" w14:textId="431BDE83" w:rsidR="00160D54" w:rsidRPr="00245598" w:rsidRDefault="00160D54" w:rsidP="00526BAF">
            <w:pPr>
              <w:spacing w:line="360" w:lineRule="auto"/>
              <w:jc w:val="both"/>
              <w:rPr>
                <w:rFonts w:ascii="Book Antiqua" w:eastAsia="MS Mincho" w:hAnsi="Book Antiqua" w:cs="Calibri"/>
                <w:color w:val="000000" w:themeColor="text1"/>
              </w:rPr>
            </w:pPr>
            <w:r w:rsidRPr="00245598">
              <w:rPr>
                <w:rFonts w:ascii="Book Antiqua" w:eastAsia="MS Mincho" w:hAnsi="Book Antiqua" w:cs="Calibri"/>
                <w:color w:val="000000" w:themeColor="text1"/>
              </w:rPr>
              <w:t>91 (84.2; 101);</w:t>
            </w:r>
            <w:r w:rsidRPr="00245598">
              <w:rPr>
                <w:rFonts w:ascii="Book Antiqua" w:hAnsi="Book Antiqua" w:cs="Calibri"/>
                <w:color w:val="000000" w:themeColor="text1"/>
                <w:lang w:eastAsia="zh-CN"/>
              </w:rPr>
              <w:t xml:space="preserve"> </w:t>
            </w:r>
            <w:r w:rsidRPr="00245598">
              <w:rPr>
                <w:rFonts w:ascii="Book Antiqua" w:eastAsia="MS Mincho" w:hAnsi="Book Antiqua" w:cs="Calibri"/>
                <w:color w:val="000000" w:themeColor="text1"/>
              </w:rPr>
              <w:t>(</w:t>
            </w:r>
            <w:r w:rsidR="0068608D" w:rsidRPr="00245598">
              <w:rPr>
                <w:rFonts w:ascii="Book Antiqua" w:eastAsia="MS Mincho" w:hAnsi="Book Antiqua" w:cs="Calibri"/>
                <w:i/>
                <w:iCs/>
                <w:color w:val="000000" w:themeColor="text1"/>
              </w:rPr>
              <w:t>n</w:t>
            </w:r>
            <w:r w:rsidRPr="00245598">
              <w:rPr>
                <w:rFonts w:ascii="Book Antiqua" w:eastAsia="MS Mincho" w:hAnsi="Book Antiqua" w:cs="Calibri"/>
                <w:color w:val="000000" w:themeColor="text1"/>
              </w:rPr>
              <w:t xml:space="preserve"> = 28)</w:t>
            </w:r>
            <w:r w:rsidRPr="00245598">
              <w:rPr>
                <w:rFonts w:ascii="Book Antiqua" w:hAnsi="Book Antiqua" w:cs="Calibri"/>
                <w:color w:val="000000" w:themeColor="text1"/>
                <w:lang w:eastAsia="zh-CN"/>
              </w:rPr>
              <w:t xml:space="preserve">; </w:t>
            </w:r>
            <w:r w:rsidRPr="00245598">
              <w:rPr>
                <w:rFonts w:ascii="Book Antiqua" w:eastAsia="MS Mincho" w:hAnsi="Book Antiqua" w:cs="Calibri"/>
                <w:color w:val="000000" w:themeColor="text1"/>
              </w:rPr>
              <w:t>(62.7-141.3)</w:t>
            </w:r>
          </w:p>
        </w:tc>
        <w:tc>
          <w:tcPr>
            <w:tcW w:w="1559" w:type="dxa"/>
            <w:shd w:val="clear" w:color="auto" w:fill="auto"/>
          </w:tcPr>
          <w:p w14:paraId="4AC04BA5" w14:textId="2A5D7E8C" w:rsidR="00160D54" w:rsidRPr="00245598" w:rsidRDefault="00160D54" w:rsidP="00234908">
            <w:pPr>
              <w:spacing w:line="360" w:lineRule="auto"/>
              <w:jc w:val="both"/>
              <w:rPr>
                <w:rFonts w:ascii="Book Antiqua" w:eastAsia="MS Mincho" w:hAnsi="Book Antiqua" w:cs="Calibri"/>
                <w:color w:val="000000" w:themeColor="text1"/>
              </w:rPr>
            </w:pPr>
            <w:r w:rsidRPr="00245598">
              <w:rPr>
                <w:rFonts w:ascii="Book Antiqua" w:eastAsia="MS Mincho" w:hAnsi="Book Antiqua" w:cs="Calibri"/>
                <w:color w:val="000000" w:themeColor="text1"/>
              </w:rPr>
              <w:t>94.8 (80.7; 108.1);</w:t>
            </w:r>
            <w:r w:rsidRPr="00245598">
              <w:rPr>
                <w:rFonts w:ascii="Book Antiqua" w:hAnsi="Book Antiqua" w:cs="Calibri"/>
                <w:color w:val="000000" w:themeColor="text1"/>
                <w:lang w:eastAsia="zh-CN"/>
              </w:rPr>
              <w:t xml:space="preserve"> </w:t>
            </w:r>
            <w:r w:rsidRPr="00245598">
              <w:rPr>
                <w:rFonts w:ascii="Book Antiqua" w:eastAsia="MS Mincho" w:hAnsi="Book Antiqua" w:cs="Calibri"/>
                <w:color w:val="000000" w:themeColor="text1"/>
              </w:rPr>
              <w:t>(</w:t>
            </w:r>
            <w:r w:rsidR="0068608D" w:rsidRPr="00245598">
              <w:rPr>
                <w:rFonts w:ascii="Book Antiqua" w:eastAsia="MS Mincho" w:hAnsi="Book Antiqua" w:cs="Calibri"/>
                <w:i/>
                <w:iCs/>
                <w:color w:val="000000" w:themeColor="text1"/>
              </w:rPr>
              <w:t>n</w:t>
            </w:r>
            <w:r w:rsidRPr="00245598">
              <w:rPr>
                <w:rFonts w:ascii="Book Antiqua" w:eastAsia="MS Mincho" w:hAnsi="Book Antiqua" w:cs="Calibri"/>
                <w:color w:val="000000" w:themeColor="text1"/>
              </w:rPr>
              <w:t xml:space="preserve"> = 83);</w:t>
            </w:r>
            <w:r w:rsidRPr="00245598">
              <w:rPr>
                <w:rFonts w:ascii="Book Antiqua" w:hAnsi="Book Antiqua" w:cs="Calibri"/>
                <w:color w:val="000000" w:themeColor="text1"/>
                <w:lang w:eastAsia="zh-CN"/>
              </w:rPr>
              <w:t xml:space="preserve"> </w:t>
            </w:r>
            <w:r w:rsidRPr="00245598">
              <w:rPr>
                <w:rFonts w:ascii="Book Antiqua" w:eastAsia="MS Mincho" w:hAnsi="Book Antiqua" w:cs="Calibri"/>
                <w:color w:val="000000" w:themeColor="text1"/>
              </w:rPr>
              <w:t>(58.6-151.1)</w:t>
            </w:r>
          </w:p>
        </w:tc>
        <w:tc>
          <w:tcPr>
            <w:tcW w:w="1713" w:type="dxa"/>
            <w:shd w:val="clear" w:color="auto" w:fill="auto"/>
          </w:tcPr>
          <w:p w14:paraId="4E22E390" w14:textId="463823A2" w:rsidR="00160D54" w:rsidRPr="00245598" w:rsidRDefault="00160D54" w:rsidP="00234908">
            <w:pPr>
              <w:spacing w:line="360" w:lineRule="auto"/>
              <w:jc w:val="both"/>
              <w:rPr>
                <w:rFonts w:ascii="Book Antiqua" w:eastAsia="MS Mincho" w:hAnsi="Book Antiqua" w:cs="Calibri"/>
                <w:color w:val="000000" w:themeColor="text1"/>
              </w:rPr>
            </w:pPr>
            <w:r w:rsidRPr="00245598">
              <w:rPr>
                <w:rFonts w:ascii="Book Antiqua" w:eastAsia="MS Mincho" w:hAnsi="Book Antiqua" w:cs="Calibri"/>
                <w:color w:val="000000" w:themeColor="text1"/>
              </w:rPr>
              <w:t>95.4 (84.3; 108.4)</w:t>
            </w:r>
            <w:r w:rsidRPr="00245598">
              <w:rPr>
                <w:rFonts w:ascii="Book Antiqua" w:hAnsi="Book Antiqua" w:cs="Calibri"/>
                <w:color w:val="000000" w:themeColor="text1"/>
                <w:lang w:eastAsia="zh-CN"/>
              </w:rPr>
              <w:t xml:space="preserve">; </w:t>
            </w:r>
            <w:r w:rsidRPr="00245598">
              <w:rPr>
                <w:rFonts w:ascii="Book Antiqua" w:eastAsia="MS Mincho" w:hAnsi="Book Antiqua" w:cs="Calibri"/>
                <w:color w:val="000000" w:themeColor="text1"/>
              </w:rPr>
              <w:t>(</w:t>
            </w:r>
            <w:r w:rsidR="0068608D" w:rsidRPr="00245598">
              <w:rPr>
                <w:rFonts w:ascii="Book Antiqua" w:eastAsia="MS Mincho" w:hAnsi="Book Antiqua" w:cs="Calibri"/>
                <w:i/>
                <w:iCs/>
                <w:color w:val="000000" w:themeColor="text1"/>
              </w:rPr>
              <w:t>n</w:t>
            </w:r>
            <w:r w:rsidRPr="00245598">
              <w:rPr>
                <w:rFonts w:ascii="Book Antiqua" w:eastAsia="MS Mincho" w:hAnsi="Book Antiqua" w:cs="Calibri"/>
                <w:color w:val="000000" w:themeColor="text1"/>
              </w:rPr>
              <w:t xml:space="preserve"> = 26); (70.2-169.1)</w:t>
            </w:r>
          </w:p>
        </w:tc>
        <w:tc>
          <w:tcPr>
            <w:tcW w:w="1287" w:type="dxa"/>
            <w:shd w:val="clear" w:color="auto" w:fill="auto"/>
          </w:tcPr>
          <w:p w14:paraId="2B80F75C" w14:textId="6233C570" w:rsidR="00160D54" w:rsidRPr="00245598" w:rsidRDefault="00160D54">
            <w:pPr>
              <w:spacing w:line="360" w:lineRule="auto"/>
              <w:jc w:val="both"/>
              <w:rPr>
                <w:rFonts w:ascii="Book Antiqua" w:eastAsia="MS Mincho" w:hAnsi="Book Antiqua" w:cs="Calibri"/>
                <w:color w:val="000000" w:themeColor="text1"/>
              </w:rPr>
            </w:pPr>
            <w:r w:rsidRPr="00245598">
              <w:rPr>
                <w:rFonts w:ascii="Book Antiqua" w:eastAsia="MS Mincho" w:hAnsi="Book Antiqua" w:cs="Calibri"/>
                <w:color w:val="000000" w:themeColor="text1"/>
              </w:rPr>
              <w:t>0.37</w:t>
            </w:r>
            <w:r w:rsidR="006F0D06" w:rsidRPr="00245598">
              <w:rPr>
                <w:rFonts w:ascii="Book Antiqua" w:eastAsia="MS Mincho" w:hAnsi="Book Antiqua" w:cs="Calibri"/>
                <w:color w:val="000000" w:themeColor="text1"/>
                <w:vertAlign w:val="superscript"/>
              </w:rPr>
              <w:t>2</w:t>
            </w:r>
          </w:p>
        </w:tc>
        <w:tc>
          <w:tcPr>
            <w:tcW w:w="1111" w:type="dxa"/>
            <w:shd w:val="clear" w:color="auto" w:fill="auto"/>
          </w:tcPr>
          <w:p w14:paraId="0D9E5B6B" w14:textId="2C185069" w:rsidR="00160D54" w:rsidRPr="00245598" w:rsidRDefault="00160D54">
            <w:pPr>
              <w:spacing w:line="360" w:lineRule="auto"/>
              <w:jc w:val="both"/>
              <w:rPr>
                <w:rFonts w:ascii="Book Antiqua" w:eastAsia="MS Mincho" w:hAnsi="Book Antiqua" w:cs="Calibri"/>
                <w:color w:val="000000" w:themeColor="text1"/>
              </w:rPr>
            </w:pPr>
            <w:r w:rsidRPr="00245598">
              <w:rPr>
                <w:rFonts w:ascii="Book Antiqua" w:eastAsia="MS Mincho" w:hAnsi="Book Antiqua" w:cs="Calibri"/>
                <w:color w:val="000000" w:themeColor="text1"/>
              </w:rPr>
              <w:t>0.65</w:t>
            </w:r>
            <w:r w:rsidR="006F0D06" w:rsidRPr="00245598">
              <w:rPr>
                <w:rFonts w:ascii="Book Antiqua" w:eastAsia="MS Mincho" w:hAnsi="Book Antiqua" w:cs="Calibri"/>
                <w:color w:val="000000" w:themeColor="text1"/>
                <w:vertAlign w:val="superscript"/>
              </w:rPr>
              <w:t>2</w:t>
            </w:r>
          </w:p>
        </w:tc>
      </w:tr>
      <w:tr w:rsidR="00DE6AEC" w:rsidRPr="00234908" w14:paraId="33EAC953" w14:textId="77777777" w:rsidTr="00E36494">
        <w:trPr>
          <w:trHeight w:val="1507"/>
        </w:trPr>
        <w:tc>
          <w:tcPr>
            <w:tcW w:w="1788" w:type="dxa"/>
            <w:shd w:val="clear" w:color="auto" w:fill="auto"/>
          </w:tcPr>
          <w:p w14:paraId="374D4EA3" w14:textId="7E7A9D2B" w:rsidR="00160D54" w:rsidRPr="00245598" w:rsidRDefault="00160D54" w:rsidP="00DE6AEC">
            <w:pPr>
              <w:spacing w:line="360" w:lineRule="auto"/>
              <w:jc w:val="both"/>
              <w:rPr>
                <w:rFonts w:ascii="Book Antiqua" w:eastAsia="MS Mincho" w:hAnsi="Book Antiqua" w:cs="Arial"/>
                <w:color w:val="000000" w:themeColor="text1"/>
              </w:rPr>
            </w:pPr>
            <w:r w:rsidRPr="00245598">
              <w:rPr>
                <w:rFonts w:ascii="Book Antiqua" w:eastAsia="MS Mincho" w:hAnsi="Book Antiqua" w:cs="Arial"/>
                <w:color w:val="000000" w:themeColor="text1"/>
              </w:rPr>
              <w:t>25(OH)D3</w:t>
            </w:r>
            <w:r w:rsidR="00526BAF" w:rsidRPr="00234908">
              <w:rPr>
                <w:rFonts w:ascii="Book Antiqua" w:eastAsia="MS Mincho" w:hAnsi="Book Antiqua" w:cs="Arial"/>
                <w:color w:val="000000" w:themeColor="text1"/>
              </w:rPr>
              <w:t>,</w:t>
            </w:r>
            <w:r w:rsidRPr="00245598">
              <w:rPr>
                <w:rFonts w:ascii="Book Antiqua" w:eastAsia="MS Mincho" w:hAnsi="Book Antiqua" w:cs="Arial"/>
                <w:color w:val="000000" w:themeColor="text1"/>
              </w:rPr>
              <w:t xml:space="preserve"> ng/mL</w:t>
            </w:r>
          </w:p>
        </w:tc>
        <w:tc>
          <w:tcPr>
            <w:tcW w:w="2328" w:type="dxa"/>
            <w:shd w:val="clear" w:color="auto" w:fill="auto"/>
          </w:tcPr>
          <w:p w14:paraId="2BCE8335" w14:textId="75F54689" w:rsidR="00160D54" w:rsidRPr="00245598" w:rsidRDefault="00160D54" w:rsidP="00102F07">
            <w:pPr>
              <w:spacing w:line="360" w:lineRule="auto"/>
              <w:jc w:val="both"/>
              <w:rPr>
                <w:rFonts w:ascii="Book Antiqua" w:eastAsia="MS Mincho" w:hAnsi="Book Antiqua" w:cs="Calibri"/>
                <w:color w:val="000000" w:themeColor="text1"/>
              </w:rPr>
            </w:pPr>
            <w:r w:rsidRPr="00245598">
              <w:rPr>
                <w:rFonts w:ascii="Book Antiqua" w:eastAsia="MS Mincho" w:hAnsi="Book Antiqua" w:cs="Calibri"/>
                <w:color w:val="000000" w:themeColor="text1"/>
              </w:rPr>
              <w:t>15.9 (9.9; 22.2);</w:t>
            </w:r>
            <w:r w:rsidRPr="00245598">
              <w:rPr>
                <w:rFonts w:ascii="Book Antiqua" w:hAnsi="Book Antiqua" w:cs="Calibri"/>
                <w:color w:val="000000" w:themeColor="text1"/>
                <w:lang w:eastAsia="zh-CN"/>
              </w:rPr>
              <w:t xml:space="preserve"> </w:t>
            </w:r>
            <w:r w:rsidRPr="00245598">
              <w:rPr>
                <w:rFonts w:ascii="Book Antiqua" w:eastAsia="MS Mincho" w:hAnsi="Book Antiqua" w:cs="Calibri"/>
                <w:color w:val="000000" w:themeColor="text1"/>
              </w:rPr>
              <w:t>(</w:t>
            </w:r>
            <w:r w:rsidR="0068608D" w:rsidRPr="00245598">
              <w:rPr>
                <w:rFonts w:ascii="Book Antiqua" w:eastAsia="MS Mincho" w:hAnsi="Book Antiqua" w:cs="Calibri"/>
                <w:i/>
                <w:iCs/>
                <w:color w:val="000000" w:themeColor="text1"/>
              </w:rPr>
              <w:t>n</w:t>
            </w:r>
            <w:r w:rsidRPr="00245598">
              <w:rPr>
                <w:rFonts w:ascii="Book Antiqua" w:eastAsia="MS Mincho" w:hAnsi="Book Antiqua" w:cs="Calibri"/>
                <w:color w:val="000000" w:themeColor="text1"/>
              </w:rPr>
              <w:t xml:space="preserve"> = 130);</w:t>
            </w:r>
            <w:r w:rsidRPr="00245598">
              <w:rPr>
                <w:rFonts w:ascii="Book Antiqua" w:hAnsi="Book Antiqua" w:cs="Calibri"/>
                <w:color w:val="000000" w:themeColor="text1"/>
                <w:lang w:eastAsia="zh-CN"/>
              </w:rPr>
              <w:t xml:space="preserve"> (</w:t>
            </w:r>
            <w:r w:rsidRPr="00245598">
              <w:rPr>
                <w:rFonts w:ascii="Book Antiqua" w:eastAsia="MS Mincho" w:hAnsi="Book Antiqua" w:cs="Calibri"/>
                <w:color w:val="000000" w:themeColor="text1"/>
              </w:rPr>
              <w:t>3.1-55.2)</w:t>
            </w:r>
          </w:p>
        </w:tc>
        <w:tc>
          <w:tcPr>
            <w:tcW w:w="1696" w:type="dxa"/>
            <w:shd w:val="clear" w:color="auto" w:fill="auto"/>
          </w:tcPr>
          <w:p w14:paraId="2C8C4060" w14:textId="0BD68EC8" w:rsidR="00160D54" w:rsidRPr="00245598" w:rsidRDefault="00160D54" w:rsidP="00526BAF">
            <w:pPr>
              <w:spacing w:line="360" w:lineRule="auto"/>
              <w:jc w:val="both"/>
              <w:rPr>
                <w:rFonts w:ascii="Book Antiqua" w:eastAsia="MS Mincho" w:hAnsi="Book Antiqua" w:cs="Calibri"/>
                <w:color w:val="000000" w:themeColor="text1"/>
              </w:rPr>
            </w:pPr>
            <w:r w:rsidRPr="00245598">
              <w:rPr>
                <w:rFonts w:ascii="Book Antiqua" w:eastAsia="MS Mincho" w:hAnsi="Book Antiqua" w:cs="Calibri"/>
                <w:color w:val="000000" w:themeColor="text1"/>
              </w:rPr>
              <w:t>16.8 (12.6; 24.8);</w:t>
            </w:r>
            <w:r w:rsidRPr="00245598">
              <w:rPr>
                <w:rFonts w:ascii="Book Antiqua" w:hAnsi="Book Antiqua" w:cs="Calibri"/>
                <w:color w:val="000000" w:themeColor="text1"/>
                <w:lang w:eastAsia="zh-CN"/>
              </w:rPr>
              <w:t xml:space="preserve"> </w:t>
            </w:r>
            <w:r w:rsidRPr="00245598">
              <w:rPr>
                <w:rFonts w:ascii="Book Antiqua" w:eastAsia="MS Mincho" w:hAnsi="Book Antiqua" w:cs="Calibri"/>
                <w:color w:val="000000" w:themeColor="text1"/>
              </w:rPr>
              <w:t>(</w:t>
            </w:r>
            <w:r w:rsidR="0068608D" w:rsidRPr="00245598">
              <w:rPr>
                <w:rFonts w:ascii="Book Antiqua" w:eastAsia="MS Mincho" w:hAnsi="Book Antiqua" w:cs="Calibri"/>
                <w:i/>
                <w:iCs/>
                <w:color w:val="000000" w:themeColor="text1"/>
              </w:rPr>
              <w:t>n</w:t>
            </w:r>
            <w:r w:rsidRPr="00245598">
              <w:rPr>
                <w:rFonts w:ascii="Book Antiqua" w:eastAsia="MS Mincho" w:hAnsi="Book Antiqua" w:cs="Calibri"/>
                <w:color w:val="000000" w:themeColor="text1"/>
              </w:rPr>
              <w:t xml:space="preserve"> = 26)</w:t>
            </w:r>
            <w:r w:rsidRPr="00245598">
              <w:rPr>
                <w:rFonts w:ascii="Book Antiqua" w:hAnsi="Book Antiqua" w:cs="Calibri"/>
                <w:color w:val="000000" w:themeColor="text1"/>
                <w:lang w:eastAsia="zh-CN"/>
              </w:rPr>
              <w:t xml:space="preserve"> </w:t>
            </w:r>
            <w:r w:rsidRPr="00245598">
              <w:rPr>
                <w:rFonts w:ascii="Book Antiqua" w:eastAsia="MS Mincho" w:hAnsi="Book Antiqua" w:cs="Calibri"/>
                <w:color w:val="000000" w:themeColor="text1"/>
              </w:rPr>
              <w:t>(5-55.2)</w:t>
            </w:r>
          </w:p>
        </w:tc>
        <w:tc>
          <w:tcPr>
            <w:tcW w:w="1559" w:type="dxa"/>
            <w:shd w:val="clear" w:color="auto" w:fill="auto"/>
          </w:tcPr>
          <w:p w14:paraId="1B8E7E97" w14:textId="29C1C4D2" w:rsidR="00160D54" w:rsidRPr="00245598" w:rsidRDefault="00160D54" w:rsidP="00234908">
            <w:pPr>
              <w:spacing w:line="360" w:lineRule="auto"/>
              <w:jc w:val="both"/>
              <w:rPr>
                <w:rFonts w:ascii="Book Antiqua" w:eastAsia="MS Mincho" w:hAnsi="Book Antiqua" w:cs="Calibri"/>
                <w:color w:val="000000" w:themeColor="text1"/>
              </w:rPr>
            </w:pPr>
            <w:r w:rsidRPr="00245598">
              <w:rPr>
                <w:rFonts w:ascii="Book Antiqua" w:eastAsia="MS Mincho" w:hAnsi="Book Antiqua" w:cs="Calibri"/>
                <w:color w:val="000000" w:themeColor="text1"/>
              </w:rPr>
              <w:t>14.8 (9.4; 21);</w:t>
            </w:r>
            <w:r w:rsidRPr="00245598">
              <w:rPr>
                <w:rFonts w:ascii="Book Antiqua" w:hAnsi="Book Antiqua" w:cs="Calibri"/>
                <w:color w:val="000000" w:themeColor="text1"/>
                <w:lang w:eastAsia="zh-CN"/>
              </w:rPr>
              <w:t xml:space="preserve"> </w:t>
            </w:r>
            <w:r w:rsidRPr="00245598">
              <w:rPr>
                <w:rFonts w:ascii="Book Antiqua" w:eastAsia="MS Mincho" w:hAnsi="Book Antiqua" w:cs="Calibri"/>
                <w:color w:val="000000" w:themeColor="text1"/>
              </w:rPr>
              <w:t>(</w:t>
            </w:r>
            <w:r w:rsidR="0068608D" w:rsidRPr="00245598">
              <w:rPr>
                <w:rFonts w:ascii="Book Antiqua" w:eastAsia="MS Mincho" w:hAnsi="Book Antiqua" w:cs="Calibri"/>
                <w:i/>
                <w:iCs/>
                <w:color w:val="000000" w:themeColor="text1"/>
              </w:rPr>
              <w:t>n</w:t>
            </w:r>
            <w:r w:rsidRPr="00245598">
              <w:rPr>
                <w:rFonts w:ascii="Book Antiqua" w:eastAsia="MS Mincho" w:hAnsi="Book Antiqua" w:cs="Calibri"/>
                <w:color w:val="000000" w:themeColor="text1"/>
              </w:rPr>
              <w:t xml:space="preserve"> = 81)</w:t>
            </w:r>
            <w:r w:rsidRPr="00245598">
              <w:rPr>
                <w:rFonts w:ascii="Book Antiqua" w:hAnsi="Book Antiqua" w:cs="Calibri"/>
                <w:color w:val="000000" w:themeColor="text1"/>
                <w:lang w:eastAsia="zh-CN"/>
              </w:rPr>
              <w:t xml:space="preserve">; </w:t>
            </w:r>
            <w:r w:rsidRPr="00245598">
              <w:rPr>
                <w:rFonts w:ascii="Book Antiqua" w:eastAsia="MS Mincho" w:hAnsi="Book Antiqua" w:cs="Calibri"/>
                <w:color w:val="000000" w:themeColor="text1"/>
              </w:rPr>
              <w:t>(4-42.1)</w:t>
            </w:r>
          </w:p>
        </w:tc>
        <w:tc>
          <w:tcPr>
            <w:tcW w:w="1713" w:type="dxa"/>
            <w:shd w:val="clear" w:color="auto" w:fill="auto"/>
          </w:tcPr>
          <w:p w14:paraId="449B26EB" w14:textId="201A7E14" w:rsidR="00160D54" w:rsidRPr="00245598" w:rsidRDefault="00160D54" w:rsidP="00234908">
            <w:pPr>
              <w:spacing w:line="360" w:lineRule="auto"/>
              <w:jc w:val="both"/>
              <w:rPr>
                <w:rFonts w:ascii="Book Antiqua" w:eastAsia="MS Mincho" w:hAnsi="Book Antiqua" w:cs="Calibri"/>
                <w:color w:val="000000" w:themeColor="text1"/>
              </w:rPr>
            </w:pPr>
            <w:r w:rsidRPr="00245598">
              <w:rPr>
                <w:rFonts w:ascii="Book Antiqua" w:eastAsia="MS Mincho" w:hAnsi="Book Antiqua" w:cs="Calibri"/>
                <w:color w:val="000000" w:themeColor="text1"/>
              </w:rPr>
              <w:t>15.3 (9.8; 22.7);</w:t>
            </w:r>
            <w:r w:rsidRPr="00245598">
              <w:rPr>
                <w:rFonts w:ascii="Book Antiqua" w:hAnsi="Book Antiqua" w:cs="Calibri"/>
                <w:color w:val="000000" w:themeColor="text1"/>
                <w:lang w:eastAsia="zh-CN"/>
              </w:rPr>
              <w:t xml:space="preserve"> </w:t>
            </w:r>
            <w:r w:rsidRPr="00245598">
              <w:rPr>
                <w:rFonts w:ascii="Book Antiqua" w:eastAsia="MS Mincho" w:hAnsi="Book Antiqua" w:cs="Calibri"/>
                <w:color w:val="000000" w:themeColor="text1"/>
              </w:rPr>
              <w:t>(</w:t>
            </w:r>
            <w:r w:rsidR="0068608D" w:rsidRPr="00245598">
              <w:rPr>
                <w:rFonts w:ascii="Book Antiqua" w:eastAsia="MS Mincho" w:hAnsi="Book Antiqua" w:cs="Calibri"/>
                <w:i/>
                <w:iCs/>
                <w:color w:val="000000" w:themeColor="text1"/>
              </w:rPr>
              <w:t>n</w:t>
            </w:r>
            <w:r w:rsidRPr="00245598">
              <w:rPr>
                <w:rFonts w:ascii="Book Antiqua" w:eastAsia="MS Mincho" w:hAnsi="Book Antiqua" w:cs="Calibri"/>
                <w:color w:val="000000" w:themeColor="text1"/>
              </w:rPr>
              <w:t xml:space="preserve"> = 23)</w:t>
            </w:r>
            <w:r w:rsidRPr="00245598">
              <w:rPr>
                <w:rFonts w:ascii="Book Antiqua" w:hAnsi="Book Antiqua" w:cs="Calibri"/>
                <w:color w:val="000000" w:themeColor="text1"/>
                <w:lang w:eastAsia="zh-CN"/>
              </w:rPr>
              <w:t xml:space="preserve">; </w:t>
            </w:r>
            <w:r w:rsidRPr="00245598">
              <w:rPr>
                <w:rFonts w:ascii="Book Antiqua" w:eastAsia="MS Mincho" w:hAnsi="Book Antiqua" w:cs="Calibri"/>
                <w:color w:val="000000" w:themeColor="text1"/>
              </w:rPr>
              <w:t>(3.1-36.9)</w:t>
            </w:r>
          </w:p>
        </w:tc>
        <w:tc>
          <w:tcPr>
            <w:tcW w:w="1287" w:type="dxa"/>
            <w:shd w:val="clear" w:color="auto" w:fill="auto"/>
          </w:tcPr>
          <w:p w14:paraId="0F30EAD4" w14:textId="326076B9" w:rsidR="00160D54" w:rsidRPr="00245598" w:rsidRDefault="00160D54">
            <w:pPr>
              <w:spacing w:line="360" w:lineRule="auto"/>
              <w:jc w:val="both"/>
              <w:rPr>
                <w:rFonts w:ascii="Book Antiqua" w:eastAsia="MS Mincho" w:hAnsi="Book Antiqua" w:cs="Calibri"/>
                <w:color w:val="000000" w:themeColor="text1"/>
              </w:rPr>
            </w:pPr>
            <w:r w:rsidRPr="00245598">
              <w:rPr>
                <w:rFonts w:ascii="Book Antiqua" w:eastAsia="MS Mincho" w:hAnsi="Book Antiqua" w:cs="Calibri"/>
                <w:color w:val="000000" w:themeColor="text1"/>
              </w:rPr>
              <w:t>0.27</w:t>
            </w:r>
            <w:r w:rsidR="006F0D06" w:rsidRPr="00245598">
              <w:rPr>
                <w:rFonts w:ascii="Book Antiqua" w:eastAsia="MS Mincho" w:hAnsi="Book Antiqua" w:cs="Calibri"/>
                <w:color w:val="000000" w:themeColor="text1"/>
                <w:vertAlign w:val="superscript"/>
              </w:rPr>
              <w:t>2</w:t>
            </w:r>
          </w:p>
        </w:tc>
        <w:tc>
          <w:tcPr>
            <w:tcW w:w="1111" w:type="dxa"/>
            <w:shd w:val="clear" w:color="auto" w:fill="auto"/>
          </w:tcPr>
          <w:p w14:paraId="62AD783E" w14:textId="72EB1C76" w:rsidR="00160D54" w:rsidRPr="00245598" w:rsidRDefault="00160D54">
            <w:pPr>
              <w:spacing w:line="360" w:lineRule="auto"/>
              <w:jc w:val="both"/>
              <w:rPr>
                <w:rFonts w:ascii="Book Antiqua" w:eastAsia="MS Mincho" w:hAnsi="Book Antiqua" w:cs="Calibri"/>
                <w:color w:val="000000" w:themeColor="text1"/>
              </w:rPr>
            </w:pPr>
            <w:r w:rsidRPr="00245598">
              <w:rPr>
                <w:rFonts w:ascii="Book Antiqua" w:eastAsia="MS Mincho" w:hAnsi="Book Antiqua" w:cs="Calibri"/>
                <w:color w:val="000000" w:themeColor="text1"/>
              </w:rPr>
              <w:t>0.95</w:t>
            </w:r>
            <w:r w:rsidR="006F0D06" w:rsidRPr="00245598">
              <w:rPr>
                <w:rFonts w:ascii="Book Antiqua" w:eastAsia="MS Mincho" w:hAnsi="Book Antiqua" w:cs="Calibri"/>
                <w:color w:val="000000" w:themeColor="text1"/>
                <w:vertAlign w:val="superscript"/>
              </w:rPr>
              <w:t>2</w:t>
            </w:r>
          </w:p>
        </w:tc>
      </w:tr>
      <w:tr w:rsidR="00DE6AEC" w:rsidRPr="00234908" w14:paraId="59B5FDF0" w14:textId="77777777" w:rsidTr="00E36494">
        <w:trPr>
          <w:trHeight w:val="1426"/>
        </w:trPr>
        <w:tc>
          <w:tcPr>
            <w:tcW w:w="1788" w:type="dxa"/>
            <w:shd w:val="clear" w:color="auto" w:fill="auto"/>
          </w:tcPr>
          <w:p w14:paraId="513A5715" w14:textId="05A7EBA0" w:rsidR="00160D54" w:rsidRPr="00245598" w:rsidRDefault="00160D54" w:rsidP="00DE6AEC">
            <w:pPr>
              <w:spacing w:line="360" w:lineRule="auto"/>
              <w:jc w:val="both"/>
              <w:rPr>
                <w:rFonts w:ascii="Book Antiqua" w:eastAsia="MS Mincho" w:hAnsi="Book Antiqua" w:cs="Arial"/>
                <w:color w:val="000000" w:themeColor="text1"/>
              </w:rPr>
            </w:pPr>
            <w:proofErr w:type="spellStart"/>
            <w:r w:rsidRPr="00245598">
              <w:rPr>
                <w:rFonts w:ascii="Book Antiqua" w:eastAsia="MS Mincho" w:hAnsi="Book Antiqua" w:cs="Arial"/>
                <w:color w:val="000000" w:themeColor="text1"/>
              </w:rPr>
              <w:t>TmPi</w:t>
            </w:r>
            <w:proofErr w:type="spellEnd"/>
            <w:r w:rsidRPr="00245598">
              <w:rPr>
                <w:rFonts w:ascii="Book Antiqua" w:eastAsia="MS Mincho" w:hAnsi="Book Antiqua" w:cs="Arial"/>
                <w:color w:val="000000" w:themeColor="text1"/>
              </w:rPr>
              <w:t>/</w:t>
            </w:r>
            <w:r w:rsidR="0051613A" w:rsidRPr="00245598">
              <w:rPr>
                <w:rFonts w:ascii="Book Antiqua" w:eastAsia="MS Mincho" w:hAnsi="Book Antiqua" w:cs="Arial"/>
                <w:color w:val="000000" w:themeColor="text1"/>
              </w:rPr>
              <w:t>eGFR</w:t>
            </w:r>
            <w:r w:rsidR="00526BAF" w:rsidRPr="00234908">
              <w:rPr>
                <w:rFonts w:ascii="Book Antiqua" w:eastAsia="MS Mincho" w:hAnsi="Book Antiqua" w:cs="Arial"/>
                <w:color w:val="000000" w:themeColor="text1"/>
              </w:rPr>
              <w:t>,</w:t>
            </w:r>
            <w:r w:rsidRPr="00245598">
              <w:rPr>
                <w:rFonts w:ascii="Book Antiqua" w:eastAsia="MS Mincho" w:hAnsi="Book Antiqua" w:cs="Arial"/>
                <w:color w:val="000000" w:themeColor="text1"/>
              </w:rPr>
              <w:t xml:space="preserve"> </w:t>
            </w:r>
            <w:proofErr w:type="spellStart"/>
            <w:r w:rsidRPr="00245598">
              <w:rPr>
                <w:rFonts w:ascii="Book Antiqua" w:eastAsia="MS Mincho" w:hAnsi="Book Antiqua" w:cs="Arial"/>
                <w:color w:val="000000" w:themeColor="text1"/>
              </w:rPr>
              <w:t>mmoL</w:t>
            </w:r>
            <w:proofErr w:type="spellEnd"/>
            <w:r w:rsidRPr="00245598">
              <w:rPr>
                <w:rFonts w:ascii="Book Antiqua" w:eastAsia="MS Mincho" w:hAnsi="Book Antiqua" w:cs="Arial"/>
                <w:color w:val="000000" w:themeColor="text1"/>
              </w:rPr>
              <w:t>/L</w:t>
            </w:r>
          </w:p>
        </w:tc>
        <w:tc>
          <w:tcPr>
            <w:tcW w:w="2328" w:type="dxa"/>
            <w:shd w:val="clear" w:color="auto" w:fill="auto"/>
          </w:tcPr>
          <w:p w14:paraId="462BA9FA" w14:textId="51911A66" w:rsidR="00160D54" w:rsidRPr="00245598" w:rsidRDefault="00160D54" w:rsidP="00102F07">
            <w:pPr>
              <w:spacing w:line="360" w:lineRule="auto"/>
              <w:jc w:val="both"/>
              <w:rPr>
                <w:rFonts w:ascii="Book Antiqua" w:hAnsi="Book Antiqua" w:cs="Calibri"/>
                <w:color w:val="000000" w:themeColor="text1"/>
                <w:lang w:eastAsia="zh-CN"/>
              </w:rPr>
            </w:pPr>
            <w:r w:rsidRPr="00245598">
              <w:rPr>
                <w:rFonts w:ascii="Book Antiqua" w:eastAsia="MS Mincho" w:hAnsi="Book Antiqua" w:cs="Calibri"/>
                <w:color w:val="000000" w:themeColor="text1"/>
              </w:rPr>
              <w:t>1 (0.9; 1.1)</w:t>
            </w:r>
            <w:r w:rsidRPr="00245598">
              <w:rPr>
                <w:rFonts w:ascii="Book Antiqua" w:hAnsi="Book Antiqua" w:cs="Calibri"/>
                <w:color w:val="000000" w:themeColor="text1"/>
                <w:lang w:eastAsia="zh-CN"/>
              </w:rPr>
              <w:t xml:space="preserve">; </w:t>
            </w:r>
            <w:r w:rsidRPr="00245598">
              <w:rPr>
                <w:rFonts w:ascii="Book Antiqua" w:eastAsia="MS Mincho" w:hAnsi="Book Antiqua" w:cs="Calibri"/>
                <w:color w:val="000000" w:themeColor="text1"/>
              </w:rPr>
              <w:t>(</w:t>
            </w:r>
            <w:r w:rsidR="0068608D" w:rsidRPr="00245598">
              <w:rPr>
                <w:rFonts w:ascii="Book Antiqua" w:eastAsia="MS Mincho" w:hAnsi="Book Antiqua" w:cs="Calibri"/>
                <w:i/>
                <w:iCs/>
                <w:color w:val="000000" w:themeColor="text1"/>
              </w:rPr>
              <w:t>n</w:t>
            </w:r>
            <w:r w:rsidRPr="00245598">
              <w:rPr>
                <w:rFonts w:ascii="Book Antiqua" w:eastAsia="MS Mincho" w:hAnsi="Book Antiqua" w:cs="Calibri"/>
                <w:color w:val="000000" w:themeColor="text1"/>
              </w:rPr>
              <w:t xml:space="preserve"> = 181); (0.4-1.9)</w:t>
            </w:r>
          </w:p>
        </w:tc>
        <w:tc>
          <w:tcPr>
            <w:tcW w:w="1696" w:type="dxa"/>
            <w:shd w:val="clear" w:color="auto" w:fill="auto"/>
          </w:tcPr>
          <w:p w14:paraId="1424C480" w14:textId="4B3A3F27" w:rsidR="00160D54" w:rsidRPr="00245598" w:rsidRDefault="00160D54" w:rsidP="00526BAF">
            <w:pPr>
              <w:spacing w:line="360" w:lineRule="auto"/>
              <w:jc w:val="both"/>
              <w:rPr>
                <w:rFonts w:ascii="Book Antiqua" w:eastAsia="MS Mincho" w:hAnsi="Book Antiqua" w:cs="Calibri"/>
                <w:color w:val="000000" w:themeColor="text1"/>
              </w:rPr>
            </w:pPr>
            <w:r w:rsidRPr="00245598">
              <w:rPr>
                <w:rFonts w:ascii="Book Antiqua" w:eastAsia="MS Mincho" w:hAnsi="Book Antiqua" w:cs="Calibri"/>
                <w:color w:val="000000" w:themeColor="text1"/>
              </w:rPr>
              <w:t>1 (0.9; 1.2);</w:t>
            </w:r>
            <w:r w:rsidRPr="00245598">
              <w:rPr>
                <w:rFonts w:ascii="Book Antiqua" w:hAnsi="Book Antiqua" w:cs="Calibri"/>
                <w:color w:val="000000" w:themeColor="text1"/>
                <w:lang w:eastAsia="zh-CN"/>
              </w:rPr>
              <w:t xml:space="preserve"> </w:t>
            </w:r>
            <w:r w:rsidRPr="00245598">
              <w:rPr>
                <w:rFonts w:ascii="Book Antiqua" w:eastAsia="MS Mincho" w:hAnsi="Book Antiqua" w:cs="Calibri"/>
                <w:color w:val="000000" w:themeColor="text1"/>
              </w:rPr>
              <w:t>(</w:t>
            </w:r>
            <w:r w:rsidR="0068608D" w:rsidRPr="00245598">
              <w:rPr>
                <w:rFonts w:ascii="Book Antiqua" w:eastAsia="MS Mincho" w:hAnsi="Book Antiqua" w:cs="Calibri"/>
                <w:i/>
                <w:iCs/>
                <w:color w:val="000000" w:themeColor="text1"/>
              </w:rPr>
              <w:t>n</w:t>
            </w:r>
            <w:r w:rsidR="0068608D" w:rsidRPr="00245598">
              <w:rPr>
                <w:rFonts w:ascii="Book Antiqua" w:eastAsia="MS Mincho" w:hAnsi="Book Antiqua" w:cs="Calibri"/>
                <w:color w:val="000000" w:themeColor="text1"/>
              </w:rPr>
              <w:t xml:space="preserve"> </w:t>
            </w:r>
            <w:r w:rsidRPr="00245598">
              <w:rPr>
                <w:rFonts w:ascii="Book Antiqua" w:eastAsia="MS Mincho" w:hAnsi="Book Antiqua" w:cs="Calibri"/>
                <w:color w:val="000000" w:themeColor="text1"/>
              </w:rPr>
              <w:t>= 34);</w:t>
            </w:r>
            <w:r w:rsidRPr="00245598">
              <w:rPr>
                <w:rFonts w:ascii="Book Antiqua" w:hAnsi="Book Antiqua" w:cs="Calibri"/>
                <w:color w:val="000000" w:themeColor="text1"/>
                <w:lang w:eastAsia="zh-CN"/>
              </w:rPr>
              <w:t xml:space="preserve"> </w:t>
            </w:r>
            <w:r w:rsidRPr="00245598">
              <w:rPr>
                <w:rFonts w:ascii="Book Antiqua" w:eastAsia="MS Mincho" w:hAnsi="Book Antiqua" w:cs="Calibri"/>
                <w:color w:val="000000" w:themeColor="text1"/>
              </w:rPr>
              <w:t>(0.7-1.8)</w:t>
            </w:r>
          </w:p>
        </w:tc>
        <w:tc>
          <w:tcPr>
            <w:tcW w:w="1559" w:type="dxa"/>
            <w:shd w:val="clear" w:color="auto" w:fill="auto"/>
          </w:tcPr>
          <w:p w14:paraId="61930C75" w14:textId="5F4CEAE3" w:rsidR="00160D54" w:rsidRPr="00245598" w:rsidRDefault="00160D54" w:rsidP="005E50EC">
            <w:pPr>
              <w:spacing w:line="360" w:lineRule="auto"/>
              <w:jc w:val="both"/>
              <w:rPr>
                <w:rFonts w:ascii="Book Antiqua" w:eastAsia="MS Mincho" w:hAnsi="Book Antiqua" w:cs="Calibri"/>
                <w:color w:val="000000" w:themeColor="text1"/>
              </w:rPr>
            </w:pPr>
            <w:r w:rsidRPr="00245598">
              <w:rPr>
                <w:rFonts w:ascii="Book Antiqua" w:eastAsia="MS Mincho" w:hAnsi="Book Antiqua" w:cs="Calibri"/>
                <w:color w:val="000000" w:themeColor="text1"/>
              </w:rPr>
              <w:t>1 (0.9; 1.1);</w:t>
            </w:r>
            <w:r w:rsidRPr="00245598">
              <w:rPr>
                <w:rFonts w:ascii="Book Antiqua" w:hAnsi="Book Antiqua" w:cs="Calibri"/>
                <w:color w:val="000000" w:themeColor="text1"/>
                <w:lang w:eastAsia="zh-CN"/>
              </w:rPr>
              <w:t xml:space="preserve"> </w:t>
            </w:r>
            <w:r w:rsidRPr="00245598">
              <w:rPr>
                <w:rFonts w:ascii="Book Antiqua" w:eastAsia="MS Mincho" w:hAnsi="Book Antiqua" w:cs="Calibri"/>
                <w:color w:val="000000" w:themeColor="text1"/>
              </w:rPr>
              <w:t>(</w:t>
            </w:r>
            <w:r w:rsidR="0068608D" w:rsidRPr="00245598">
              <w:rPr>
                <w:rFonts w:ascii="Book Antiqua" w:eastAsia="MS Mincho" w:hAnsi="Book Antiqua" w:cs="Calibri"/>
                <w:i/>
                <w:iCs/>
                <w:color w:val="000000" w:themeColor="text1"/>
              </w:rPr>
              <w:t>n</w:t>
            </w:r>
            <w:r w:rsidR="0068608D" w:rsidRPr="00245598">
              <w:rPr>
                <w:rFonts w:ascii="Book Antiqua" w:eastAsia="MS Mincho" w:hAnsi="Book Antiqua" w:cs="Calibri"/>
                <w:color w:val="000000" w:themeColor="text1"/>
              </w:rPr>
              <w:t xml:space="preserve"> </w:t>
            </w:r>
            <w:r w:rsidRPr="00245598">
              <w:rPr>
                <w:rFonts w:ascii="Book Antiqua" w:eastAsia="MS Mincho" w:hAnsi="Book Antiqua" w:cs="Calibri"/>
                <w:color w:val="000000" w:themeColor="text1"/>
              </w:rPr>
              <w:t>= 111);</w:t>
            </w:r>
            <w:r w:rsidRPr="00245598">
              <w:rPr>
                <w:rFonts w:ascii="Book Antiqua" w:hAnsi="Book Antiqua" w:cs="Calibri"/>
                <w:color w:val="000000" w:themeColor="text1"/>
                <w:lang w:eastAsia="zh-CN"/>
              </w:rPr>
              <w:t xml:space="preserve"> </w:t>
            </w:r>
            <w:r w:rsidRPr="00245598">
              <w:rPr>
                <w:rFonts w:ascii="Book Antiqua" w:eastAsia="MS Mincho" w:hAnsi="Book Antiqua" w:cs="Calibri"/>
                <w:color w:val="000000" w:themeColor="text1"/>
              </w:rPr>
              <w:t>(0.4-1.9)</w:t>
            </w:r>
          </w:p>
        </w:tc>
        <w:tc>
          <w:tcPr>
            <w:tcW w:w="1713" w:type="dxa"/>
            <w:shd w:val="clear" w:color="auto" w:fill="auto"/>
          </w:tcPr>
          <w:p w14:paraId="6151D9EA" w14:textId="23E80E9C" w:rsidR="00160D54" w:rsidRPr="00245598" w:rsidRDefault="00160D54" w:rsidP="00234908">
            <w:pPr>
              <w:spacing w:line="360" w:lineRule="auto"/>
              <w:jc w:val="both"/>
              <w:rPr>
                <w:rFonts w:ascii="Book Antiqua" w:eastAsia="MS Mincho" w:hAnsi="Book Antiqua" w:cs="Calibri"/>
                <w:color w:val="000000" w:themeColor="text1"/>
              </w:rPr>
            </w:pPr>
            <w:r w:rsidRPr="00245598">
              <w:rPr>
                <w:rFonts w:ascii="Book Antiqua" w:eastAsia="MS Mincho" w:hAnsi="Book Antiqua" w:cs="Calibri"/>
                <w:color w:val="000000" w:themeColor="text1"/>
              </w:rPr>
              <w:t>1 (0.8; 1.2);</w:t>
            </w:r>
            <w:r w:rsidRPr="00245598">
              <w:rPr>
                <w:rFonts w:ascii="Book Antiqua" w:hAnsi="Book Antiqua" w:cs="Calibri"/>
                <w:color w:val="000000" w:themeColor="text1"/>
                <w:lang w:eastAsia="zh-CN"/>
              </w:rPr>
              <w:t xml:space="preserve"> </w:t>
            </w:r>
            <w:r w:rsidRPr="00245598">
              <w:rPr>
                <w:rFonts w:ascii="Book Antiqua" w:eastAsia="MS Mincho" w:hAnsi="Book Antiqua" w:cs="Calibri"/>
                <w:color w:val="000000" w:themeColor="text1"/>
              </w:rPr>
              <w:t>(</w:t>
            </w:r>
            <w:r w:rsidR="0068608D" w:rsidRPr="00245598">
              <w:rPr>
                <w:rFonts w:ascii="Book Antiqua" w:eastAsia="MS Mincho" w:hAnsi="Book Antiqua" w:cs="Calibri"/>
                <w:i/>
                <w:iCs/>
                <w:color w:val="000000" w:themeColor="text1"/>
              </w:rPr>
              <w:t>n</w:t>
            </w:r>
            <w:r w:rsidRPr="00245598">
              <w:rPr>
                <w:rFonts w:ascii="Book Antiqua" w:eastAsia="MS Mincho" w:hAnsi="Book Antiqua" w:cs="Calibri"/>
                <w:color w:val="000000" w:themeColor="text1"/>
              </w:rPr>
              <w:t xml:space="preserve"> = 36);</w:t>
            </w:r>
            <w:r w:rsidRPr="00245598">
              <w:rPr>
                <w:rFonts w:ascii="Book Antiqua" w:hAnsi="Book Antiqua" w:cs="Calibri"/>
                <w:color w:val="000000" w:themeColor="text1"/>
                <w:lang w:eastAsia="zh-CN"/>
              </w:rPr>
              <w:t xml:space="preserve"> </w:t>
            </w:r>
            <w:r w:rsidRPr="00245598">
              <w:rPr>
                <w:rFonts w:ascii="Book Antiqua" w:eastAsia="MS Mincho" w:hAnsi="Book Antiqua" w:cs="Calibri"/>
                <w:color w:val="000000" w:themeColor="text1"/>
              </w:rPr>
              <w:t>(0.6-1.5)</w:t>
            </w:r>
          </w:p>
        </w:tc>
        <w:tc>
          <w:tcPr>
            <w:tcW w:w="1287" w:type="dxa"/>
            <w:shd w:val="clear" w:color="auto" w:fill="auto"/>
          </w:tcPr>
          <w:p w14:paraId="1C21D80D" w14:textId="4B312549" w:rsidR="00160D54" w:rsidRPr="00245598" w:rsidRDefault="00160D54" w:rsidP="00234908">
            <w:pPr>
              <w:spacing w:line="360" w:lineRule="auto"/>
              <w:jc w:val="both"/>
              <w:rPr>
                <w:rFonts w:ascii="Book Antiqua" w:eastAsia="MS Mincho" w:hAnsi="Book Antiqua" w:cs="Calibri"/>
                <w:color w:val="000000" w:themeColor="text1"/>
              </w:rPr>
            </w:pPr>
            <w:r w:rsidRPr="00245598">
              <w:rPr>
                <w:rFonts w:ascii="Book Antiqua" w:eastAsia="MS Mincho" w:hAnsi="Book Antiqua" w:cs="Calibri"/>
                <w:color w:val="000000" w:themeColor="text1"/>
              </w:rPr>
              <w:t>0.24</w:t>
            </w:r>
            <w:r w:rsidR="006F0D06" w:rsidRPr="00245598">
              <w:rPr>
                <w:rFonts w:ascii="Book Antiqua" w:eastAsia="MS Mincho" w:hAnsi="Book Antiqua" w:cs="Calibri"/>
                <w:color w:val="000000" w:themeColor="text1"/>
                <w:vertAlign w:val="superscript"/>
              </w:rPr>
              <w:t>2</w:t>
            </w:r>
          </w:p>
        </w:tc>
        <w:tc>
          <w:tcPr>
            <w:tcW w:w="1111" w:type="dxa"/>
            <w:shd w:val="clear" w:color="auto" w:fill="auto"/>
          </w:tcPr>
          <w:p w14:paraId="596A2FBB" w14:textId="667437AC" w:rsidR="00160D54" w:rsidRPr="00245598" w:rsidRDefault="00160D54">
            <w:pPr>
              <w:spacing w:line="360" w:lineRule="auto"/>
              <w:jc w:val="both"/>
              <w:rPr>
                <w:rFonts w:ascii="Book Antiqua" w:eastAsia="MS Mincho" w:hAnsi="Book Antiqua" w:cs="Calibri"/>
                <w:color w:val="000000" w:themeColor="text1"/>
              </w:rPr>
            </w:pPr>
            <w:r w:rsidRPr="00245598">
              <w:rPr>
                <w:rFonts w:ascii="Book Antiqua" w:eastAsia="MS Mincho" w:hAnsi="Book Antiqua" w:cs="Calibri"/>
                <w:color w:val="000000" w:themeColor="text1"/>
              </w:rPr>
              <w:t>0.86</w:t>
            </w:r>
            <w:r w:rsidR="006F0D06" w:rsidRPr="00245598">
              <w:rPr>
                <w:rFonts w:ascii="Book Antiqua" w:eastAsia="MS Mincho" w:hAnsi="Book Antiqua" w:cs="Calibri"/>
                <w:color w:val="000000" w:themeColor="text1"/>
                <w:vertAlign w:val="superscript"/>
              </w:rPr>
              <w:t>2</w:t>
            </w:r>
          </w:p>
        </w:tc>
      </w:tr>
      <w:tr w:rsidR="00DE6AEC" w:rsidRPr="00234908" w14:paraId="6D3D0290" w14:textId="77777777" w:rsidTr="00E36494">
        <w:tc>
          <w:tcPr>
            <w:tcW w:w="1788" w:type="dxa"/>
            <w:shd w:val="clear" w:color="auto" w:fill="auto"/>
          </w:tcPr>
          <w:p w14:paraId="35DBB455" w14:textId="27E2BCF7" w:rsidR="00160D54" w:rsidRPr="00245598" w:rsidRDefault="00160D54" w:rsidP="00DE6AEC">
            <w:pPr>
              <w:spacing w:line="360" w:lineRule="auto"/>
              <w:jc w:val="both"/>
              <w:rPr>
                <w:rFonts w:ascii="Book Antiqua" w:eastAsia="MS Mincho" w:hAnsi="Book Antiqua" w:cs="Arial"/>
                <w:color w:val="000000" w:themeColor="text1"/>
              </w:rPr>
            </w:pPr>
            <w:r w:rsidRPr="00245598">
              <w:rPr>
                <w:rFonts w:ascii="Book Antiqua" w:eastAsia="MS Mincho" w:hAnsi="Book Antiqua" w:cs="Arial"/>
                <w:color w:val="000000" w:themeColor="text1"/>
              </w:rPr>
              <w:t>FEUA</w:t>
            </w:r>
            <w:r w:rsidR="00526BAF" w:rsidRPr="00234908">
              <w:rPr>
                <w:rFonts w:ascii="Book Antiqua" w:eastAsia="MS Mincho" w:hAnsi="Book Antiqua" w:cs="Arial"/>
                <w:color w:val="000000" w:themeColor="text1"/>
              </w:rPr>
              <w:t>,</w:t>
            </w:r>
            <w:r w:rsidRPr="00245598">
              <w:rPr>
                <w:rFonts w:ascii="Book Antiqua" w:hAnsi="Book Antiqua" w:cs="Arial"/>
                <w:color w:val="000000" w:themeColor="text1"/>
                <w:lang w:eastAsia="zh-CN"/>
              </w:rPr>
              <w:t xml:space="preserve"> </w:t>
            </w:r>
            <w:r w:rsidRPr="00245598">
              <w:rPr>
                <w:rFonts w:ascii="Book Antiqua" w:eastAsia="MS Mincho" w:hAnsi="Book Antiqua" w:cs="Arial"/>
                <w:color w:val="000000" w:themeColor="text1"/>
              </w:rPr>
              <w:t>%</w:t>
            </w:r>
          </w:p>
        </w:tc>
        <w:tc>
          <w:tcPr>
            <w:tcW w:w="2328" w:type="dxa"/>
            <w:shd w:val="clear" w:color="auto" w:fill="auto"/>
          </w:tcPr>
          <w:p w14:paraId="48A1FA0B" w14:textId="4CB68B8A" w:rsidR="00160D54" w:rsidRPr="00245598" w:rsidRDefault="00160D54" w:rsidP="00102F07">
            <w:pPr>
              <w:spacing w:line="360" w:lineRule="auto"/>
              <w:jc w:val="both"/>
              <w:rPr>
                <w:rFonts w:ascii="Book Antiqua" w:eastAsia="MS Mincho" w:hAnsi="Book Antiqua" w:cs="Calibri"/>
                <w:color w:val="000000" w:themeColor="text1"/>
              </w:rPr>
            </w:pPr>
            <w:r w:rsidRPr="00245598">
              <w:rPr>
                <w:rFonts w:ascii="Book Antiqua" w:eastAsia="MS Mincho" w:hAnsi="Book Antiqua" w:cs="Calibri"/>
                <w:color w:val="000000" w:themeColor="text1"/>
              </w:rPr>
              <w:t>5.8 (4.5; 7.1);</w:t>
            </w:r>
            <w:r w:rsidRPr="00245598">
              <w:rPr>
                <w:rFonts w:ascii="Book Antiqua" w:hAnsi="Book Antiqua" w:cs="Calibri"/>
                <w:color w:val="000000" w:themeColor="text1"/>
                <w:lang w:eastAsia="zh-CN"/>
              </w:rPr>
              <w:t xml:space="preserve"> </w:t>
            </w:r>
            <w:r w:rsidRPr="00245598">
              <w:rPr>
                <w:rFonts w:ascii="Book Antiqua" w:eastAsia="MS Mincho" w:hAnsi="Book Antiqua" w:cs="Calibri"/>
                <w:color w:val="000000" w:themeColor="text1"/>
              </w:rPr>
              <w:t>(</w:t>
            </w:r>
            <w:r w:rsidR="0068608D" w:rsidRPr="00245598">
              <w:rPr>
                <w:rFonts w:ascii="Book Antiqua" w:eastAsia="MS Mincho" w:hAnsi="Book Antiqua" w:cs="Calibri"/>
                <w:i/>
                <w:iCs/>
                <w:color w:val="000000" w:themeColor="text1"/>
              </w:rPr>
              <w:t>n</w:t>
            </w:r>
            <w:r w:rsidRPr="00245598">
              <w:rPr>
                <w:rFonts w:ascii="Book Antiqua" w:eastAsia="MS Mincho" w:hAnsi="Book Antiqua" w:cs="Calibri"/>
                <w:color w:val="000000" w:themeColor="text1"/>
              </w:rPr>
              <w:t xml:space="preserve"> = 112);</w:t>
            </w:r>
            <w:r w:rsidRPr="00245598">
              <w:rPr>
                <w:rFonts w:ascii="Book Antiqua" w:hAnsi="Book Antiqua" w:cs="Calibri"/>
                <w:color w:val="000000" w:themeColor="text1"/>
                <w:lang w:eastAsia="zh-CN"/>
              </w:rPr>
              <w:t xml:space="preserve"> </w:t>
            </w:r>
            <w:r w:rsidRPr="00245598">
              <w:rPr>
                <w:rFonts w:ascii="Book Antiqua" w:eastAsia="MS Mincho" w:hAnsi="Book Antiqua" w:cs="Calibri"/>
                <w:color w:val="000000" w:themeColor="text1"/>
              </w:rPr>
              <w:t>(2.2-9.7)</w:t>
            </w:r>
          </w:p>
        </w:tc>
        <w:tc>
          <w:tcPr>
            <w:tcW w:w="1696" w:type="dxa"/>
            <w:shd w:val="clear" w:color="auto" w:fill="auto"/>
          </w:tcPr>
          <w:p w14:paraId="090257AF" w14:textId="2493192F" w:rsidR="00160D54" w:rsidRPr="00245598" w:rsidRDefault="00160D54" w:rsidP="00526BAF">
            <w:pPr>
              <w:spacing w:line="360" w:lineRule="auto"/>
              <w:jc w:val="both"/>
              <w:rPr>
                <w:rFonts w:ascii="Book Antiqua" w:eastAsia="MS Mincho" w:hAnsi="Book Antiqua" w:cs="Calibri"/>
                <w:color w:val="000000" w:themeColor="text1"/>
              </w:rPr>
            </w:pPr>
            <w:r w:rsidRPr="00245598">
              <w:rPr>
                <w:rFonts w:ascii="Book Antiqua" w:eastAsia="MS Mincho" w:hAnsi="Book Antiqua" w:cs="Calibri"/>
                <w:color w:val="000000" w:themeColor="text1"/>
              </w:rPr>
              <w:t>5.9 (4.7; 7.5);</w:t>
            </w:r>
            <w:r w:rsidRPr="00245598">
              <w:rPr>
                <w:rFonts w:ascii="Book Antiqua" w:hAnsi="Book Antiqua" w:cs="Calibri"/>
                <w:color w:val="000000" w:themeColor="text1"/>
                <w:lang w:eastAsia="zh-CN"/>
              </w:rPr>
              <w:t xml:space="preserve"> </w:t>
            </w:r>
            <w:r w:rsidRPr="00245598">
              <w:rPr>
                <w:rFonts w:ascii="Book Antiqua" w:eastAsia="MS Mincho" w:hAnsi="Book Antiqua" w:cs="Calibri"/>
                <w:color w:val="000000" w:themeColor="text1"/>
              </w:rPr>
              <w:t>(</w:t>
            </w:r>
            <w:r w:rsidR="0068608D" w:rsidRPr="00245598">
              <w:rPr>
                <w:rFonts w:ascii="Book Antiqua" w:eastAsia="MS Mincho" w:hAnsi="Book Antiqua" w:cs="Calibri"/>
                <w:i/>
                <w:iCs/>
                <w:color w:val="000000" w:themeColor="text1"/>
              </w:rPr>
              <w:t>n</w:t>
            </w:r>
            <w:r w:rsidRPr="00245598">
              <w:rPr>
                <w:rFonts w:ascii="Book Antiqua" w:eastAsia="MS Mincho" w:hAnsi="Book Antiqua" w:cs="Calibri"/>
                <w:color w:val="000000" w:themeColor="text1"/>
              </w:rPr>
              <w:t xml:space="preserve"> = 23);</w:t>
            </w:r>
            <w:r w:rsidRPr="00245598">
              <w:rPr>
                <w:rFonts w:ascii="Book Antiqua" w:hAnsi="Book Antiqua" w:cs="Calibri"/>
                <w:color w:val="000000" w:themeColor="text1"/>
                <w:lang w:eastAsia="zh-CN"/>
              </w:rPr>
              <w:t xml:space="preserve"> (</w:t>
            </w:r>
            <w:r w:rsidRPr="00245598">
              <w:rPr>
                <w:rFonts w:ascii="Book Antiqua" w:eastAsia="MS Mincho" w:hAnsi="Book Antiqua" w:cs="Calibri"/>
                <w:color w:val="000000" w:themeColor="text1"/>
              </w:rPr>
              <w:t>2.7-9.1)</w:t>
            </w:r>
          </w:p>
        </w:tc>
        <w:tc>
          <w:tcPr>
            <w:tcW w:w="1559" w:type="dxa"/>
            <w:shd w:val="clear" w:color="auto" w:fill="auto"/>
          </w:tcPr>
          <w:p w14:paraId="39EA8654" w14:textId="5A60F845" w:rsidR="00160D54" w:rsidRPr="00245598" w:rsidRDefault="00160D54" w:rsidP="005E50EC">
            <w:pPr>
              <w:spacing w:line="360" w:lineRule="auto"/>
              <w:jc w:val="both"/>
              <w:rPr>
                <w:rFonts w:ascii="Book Antiqua" w:eastAsia="MS Mincho" w:hAnsi="Book Antiqua" w:cs="Calibri"/>
                <w:color w:val="000000" w:themeColor="text1"/>
              </w:rPr>
            </w:pPr>
            <w:r w:rsidRPr="00245598">
              <w:rPr>
                <w:rFonts w:ascii="Book Antiqua" w:eastAsia="MS Mincho" w:hAnsi="Book Antiqua" w:cs="Calibri"/>
                <w:color w:val="000000" w:themeColor="text1"/>
              </w:rPr>
              <w:t>5.8 (4.4; 7);</w:t>
            </w:r>
            <w:r w:rsidRPr="00245598">
              <w:rPr>
                <w:rFonts w:ascii="Book Antiqua" w:hAnsi="Book Antiqua" w:cs="Calibri"/>
                <w:color w:val="000000" w:themeColor="text1"/>
                <w:lang w:eastAsia="zh-CN"/>
              </w:rPr>
              <w:t xml:space="preserve"> </w:t>
            </w:r>
            <w:r w:rsidRPr="00245598">
              <w:rPr>
                <w:rFonts w:ascii="Book Antiqua" w:eastAsia="MS Mincho" w:hAnsi="Book Antiqua" w:cs="Calibri"/>
                <w:color w:val="000000" w:themeColor="text1"/>
              </w:rPr>
              <w:t>(</w:t>
            </w:r>
            <w:r w:rsidR="0068608D" w:rsidRPr="00245598">
              <w:rPr>
                <w:rFonts w:ascii="Book Antiqua" w:eastAsia="MS Mincho" w:hAnsi="Book Antiqua" w:cs="Calibri"/>
                <w:i/>
                <w:iCs/>
                <w:color w:val="000000" w:themeColor="text1"/>
              </w:rPr>
              <w:t>n</w:t>
            </w:r>
            <w:r w:rsidRPr="00245598">
              <w:rPr>
                <w:rFonts w:ascii="Book Antiqua" w:eastAsia="MS Mincho" w:hAnsi="Book Antiqua" w:cs="Calibri"/>
                <w:color w:val="000000" w:themeColor="text1"/>
              </w:rPr>
              <w:t xml:space="preserve"> = 69);</w:t>
            </w:r>
            <w:r w:rsidRPr="00245598">
              <w:rPr>
                <w:rFonts w:ascii="Book Antiqua" w:hAnsi="Book Antiqua" w:cs="Calibri"/>
                <w:color w:val="000000" w:themeColor="text1"/>
                <w:lang w:eastAsia="zh-CN"/>
              </w:rPr>
              <w:t xml:space="preserve"> </w:t>
            </w:r>
            <w:r w:rsidRPr="00245598">
              <w:rPr>
                <w:rFonts w:ascii="Book Antiqua" w:eastAsia="MS Mincho" w:hAnsi="Book Antiqua" w:cs="Calibri"/>
                <w:color w:val="000000" w:themeColor="text1"/>
              </w:rPr>
              <w:t>(2.2-9.3)</w:t>
            </w:r>
          </w:p>
        </w:tc>
        <w:tc>
          <w:tcPr>
            <w:tcW w:w="1713" w:type="dxa"/>
            <w:shd w:val="clear" w:color="auto" w:fill="auto"/>
          </w:tcPr>
          <w:p w14:paraId="75300F5E" w14:textId="794CFA12" w:rsidR="00160D54" w:rsidRPr="00245598" w:rsidRDefault="00160D54" w:rsidP="00234908">
            <w:pPr>
              <w:spacing w:line="360" w:lineRule="auto"/>
              <w:jc w:val="both"/>
              <w:rPr>
                <w:rFonts w:ascii="Book Antiqua" w:eastAsia="MS Mincho" w:hAnsi="Book Antiqua" w:cs="Calibri"/>
                <w:color w:val="000000" w:themeColor="text1"/>
              </w:rPr>
            </w:pPr>
            <w:r w:rsidRPr="00245598">
              <w:rPr>
                <w:rFonts w:ascii="Book Antiqua" w:eastAsia="MS Mincho" w:hAnsi="Book Antiqua" w:cs="Calibri"/>
                <w:color w:val="000000" w:themeColor="text1"/>
              </w:rPr>
              <w:t>5.5 (4.5; 6.7);</w:t>
            </w:r>
            <w:r w:rsidRPr="00245598">
              <w:rPr>
                <w:rFonts w:ascii="Book Antiqua" w:hAnsi="Book Antiqua" w:cs="Calibri"/>
                <w:color w:val="000000" w:themeColor="text1"/>
                <w:lang w:eastAsia="zh-CN"/>
              </w:rPr>
              <w:t xml:space="preserve"> </w:t>
            </w:r>
            <w:r w:rsidRPr="00245598">
              <w:rPr>
                <w:rFonts w:ascii="Book Antiqua" w:eastAsia="MS Mincho" w:hAnsi="Book Antiqua" w:cs="Calibri"/>
                <w:color w:val="000000" w:themeColor="text1"/>
              </w:rPr>
              <w:t>(</w:t>
            </w:r>
            <w:r w:rsidR="0068608D" w:rsidRPr="00245598">
              <w:rPr>
                <w:rFonts w:ascii="Book Antiqua" w:eastAsia="MS Mincho" w:hAnsi="Book Antiqua" w:cs="Calibri"/>
                <w:i/>
                <w:iCs/>
                <w:color w:val="000000" w:themeColor="text1"/>
              </w:rPr>
              <w:t>n</w:t>
            </w:r>
            <w:r w:rsidRPr="00245598">
              <w:rPr>
                <w:rFonts w:ascii="Book Antiqua" w:eastAsia="MS Mincho" w:hAnsi="Book Antiqua" w:cs="Calibri"/>
                <w:color w:val="000000" w:themeColor="text1"/>
              </w:rPr>
              <w:t xml:space="preserve"> = 20);</w:t>
            </w:r>
            <w:r w:rsidRPr="00245598">
              <w:rPr>
                <w:rFonts w:ascii="Book Antiqua" w:hAnsi="Book Antiqua" w:cs="Calibri"/>
                <w:color w:val="000000" w:themeColor="text1"/>
                <w:lang w:eastAsia="zh-CN"/>
              </w:rPr>
              <w:t xml:space="preserve"> </w:t>
            </w:r>
            <w:r w:rsidRPr="00245598">
              <w:rPr>
                <w:rFonts w:ascii="Book Antiqua" w:eastAsia="MS Mincho" w:hAnsi="Book Antiqua" w:cs="Calibri"/>
                <w:color w:val="000000" w:themeColor="text1"/>
              </w:rPr>
              <w:t>(3.8-9.7)</w:t>
            </w:r>
          </w:p>
        </w:tc>
        <w:tc>
          <w:tcPr>
            <w:tcW w:w="1287" w:type="dxa"/>
            <w:shd w:val="clear" w:color="auto" w:fill="auto"/>
          </w:tcPr>
          <w:p w14:paraId="4FCA7498" w14:textId="059556D0" w:rsidR="00160D54" w:rsidRPr="00245598" w:rsidRDefault="00160D54" w:rsidP="00234908">
            <w:pPr>
              <w:spacing w:line="360" w:lineRule="auto"/>
              <w:jc w:val="both"/>
              <w:rPr>
                <w:rFonts w:ascii="Book Antiqua" w:eastAsia="MS Mincho" w:hAnsi="Book Antiqua" w:cs="Calibri"/>
                <w:color w:val="000000" w:themeColor="text1"/>
              </w:rPr>
            </w:pPr>
            <w:r w:rsidRPr="00245598">
              <w:rPr>
                <w:rFonts w:ascii="Book Antiqua" w:eastAsia="MS Mincho" w:hAnsi="Book Antiqua" w:cs="Calibri"/>
                <w:color w:val="000000" w:themeColor="text1"/>
              </w:rPr>
              <w:t>0.64</w:t>
            </w:r>
            <w:r w:rsidR="006F0D06" w:rsidRPr="00245598">
              <w:rPr>
                <w:rFonts w:ascii="Book Antiqua" w:eastAsia="MS Mincho" w:hAnsi="Book Antiqua" w:cs="Calibri"/>
                <w:color w:val="000000" w:themeColor="text1"/>
                <w:vertAlign w:val="superscript"/>
              </w:rPr>
              <w:t>1</w:t>
            </w:r>
          </w:p>
        </w:tc>
        <w:tc>
          <w:tcPr>
            <w:tcW w:w="1111" w:type="dxa"/>
            <w:shd w:val="clear" w:color="auto" w:fill="auto"/>
          </w:tcPr>
          <w:p w14:paraId="24E7D758" w14:textId="493BA14A" w:rsidR="00160D54" w:rsidRPr="00245598" w:rsidRDefault="00160D54" w:rsidP="00234908">
            <w:pPr>
              <w:spacing w:line="360" w:lineRule="auto"/>
              <w:jc w:val="both"/>
              <w:rPr>
                <w:rFonts w:ascii="Book Antiqua" w:eastAsia="MS Mincho" w:hAnsi="Book Antiqua" w:cs="Calibri"/>
                <w:color w:val="000000" w:themeColor="text1"/>
              </w:rPr>
            </w:pPr>
            <w:r w:rsidRPr="00245598">
              <w:rPr>
                <w:rFonts w:ascii="Book Antiqua" w:eastAsia="MS Mincho" w:hAnsi="Book Antiqua" w:cs="Calibri"/>
                <w:color w:val="000000" w:themeColor="text1"/>
              </w:rPr>
              <w:t>0.95</w:t>
            </w:r>
            <w:r w:rsidR="006F0D06" w:rsidRPr="00245598">
              <w:rPr>
                <w:rFonts w:ascii="Book Antiqua" w:eastAsia="MS Mincho" w:hAnsi="Book Antiqua" w:cs="Calibri"/>
                <w:color w:val="000000" w:themeColor="text1"/>
                <w:vertAlign w:val="superscript"/>
              </w:rPr>
              <w:t>1</w:t>
            </w:r>
          </w:p>
        </w:tc>
      </w:tr>
    </w:tbl>
    <w:p w14:paraId="589845F9" w14:textId="685494A6" w:rsidR="00160D54" w:rsidRPr="00245598" w:rsidRDefault="00D36C1E" w:rsidP="00DE6AEC">
      <w:pPr>
        <w:spacing w:line="360" w:lineRule="auto"/>
        <w:jc w:val="both"/>
        <w:rPr>
          <w:rFonts w:ascii="Book Antiqua" w:hAnsi="Book Antiqua" w:cs="Calibri"/>
          <w:color w:val="000000" w:themeColor="text1"/>
        </w:rPr>
      </w:pPr>
      <w:r w:rsidRPr="00245598">
        <w:rPr>
          <w:rFonts w:ascii="Book Antiqua" w:hAnsi="Book Antiqua"/>
          <w:color w:val="000000" w:themeColor="text1"/>
          <w:vertAlign w:val="superscript"/>
        </w:rPr>
        <w:lastRenderedPageBreak/>
        <w:t>1</w:t>
      </w:r>
      <w:r w:rsidRPr="00245598">
        <w:rPr>
          <w:rFonts w:ascii="Book Antiqua" w:hAnsi="Book Antiqua"/>
          <w:color w:val="000000" w:themeColor="text1"/>
        </w:rPr>
        <w:t>Student</w:t>
      </w:r>
      <w:r w:rsidR="00526BAF" w:rsidRPr="00234908">
        <w:rPr>
          <w:rFonts w:ascii="Book Antiqua" w:hAnsi="Book Antiqua"/>
          <w:color w:val="000000" w:themeColor="text1"/>
        </w:rPr>
        <w:t>’s</w:t>
      </w:r>
      <w:r w:rsidRPr="00245598">
        <w:rPr>
          <w:rFonts w:ascii="Book Antiqua" w:hAnsi="Book Antiqua"/>
          <w:color w:val="000000" w:themeColor="text1"/>
        </w:rPr>
        <w:t xml:space="preserve"> test</w:t>
      </w:r>
      <w:r w:rsidRPr="00245598">
        <w:rPr>
          <w:rFonts w:ascii="Book Antiqua" w:hAnsi="Book Antiqua" w:cs="Calibri"/>
          <w:color w:val="000000" w:themeColor="text1"/>
        </w:rPr>
        <w:t xml:space="preserve">; </w:t>
      </w:r>
      <w:r w:rsidRPr="00245598">
        <w:rPr>
          <w:rFonts w:ascii="Book Antiqua" w:hAnsi="Book Antiqua" w:cs="Calibri"/>
          <w:color w:val="000000" w:themeColor="text1"/>
          <w:vertAlign w:val="superscript"/>
        </w:rPr>
        <w:t>2</w:t>
      </w:r>
      <w:r w:rsidRPr="00245598">
        <w:rPr>
          <w:rFonts w:ascii="Book Antiqua" w:hAnsi="Book Antiqua" w:cs="Calibri"/>
          <w:color w:val="000000" w:themeColor="text1"/>
        </w:rPr>
        <w:t>Mann-</w:t>
      </w:r>
      <w:r w:rsidR="00526BAF" w:rsidRPr="00234908">
        <w:rPr>
          <w:rFonts w:ascii="Book Antiqua" w:hAnsi="Book Antiqua" w:cs="Calibri"/>
          <w:color w:val="000000" w:themeColor="text1"/>
        </w:rPr>
        <w:t>W</w:t>
      </w:r>
      <w:r w:rsidRPr="00245598">
        <w:rPr>
          <w:rFonts w:ascii="Book Antiqua" w:hAnsi="Book Antiqua" w:cs="Calibri"/>
          <w:color w:val="000000" w:themeColor="text1"/>
        </w:rPr>
        <w:t>hitney test</w:t>
      </w:r>
      <w:r w:rsidR="00526BAF" w:rsidRPr="00234908">
        <w:rPr>
          <w:rFonts w:ascii="Book Antiqua" w:hAnsi="Book Antiqua" w:cs="Calibri"/>
          <w:color w:val="000000" w:themeColor="text1"/>
        </w:rPr>
        <w:t>.</w:t>
      </w:r>
      <w:r w:rsidR="00526BAF" w:rsidRPr="00234908">
        <w:rPr>
          <w:rFonts w:ascii="Book Antiqua" w:hAnsi="Book Antiqua"/>
          <w:color w:val="000000" w:themeColor="text1"/>
        </w:rPr>
        <w:t xml:space="preserve"> </w:t>
      </w:r>
      <w:r w:rsidR="00526BAF" w:rsidRPr="00234908">
        <w:rPr>
          <w:rFonts w:ascii="Book Antiqua" w:eastAsia="MS Mincho" w:hAnsi="Book Antiqua" w:cs="Arial"/>
          <w:color w:val="000000" w:themeColor="text1"/>
        </w:rPr>
        <w:t>25(OH)D3:</w:t>
      </w:r>
      <w:r w:rsidR="00526BAF" w:rsidRPr="00234908">
        <w:rPr>
          <w:rFonts w:ascii="Book Antiqua" w:hAnsi="Book Antiqua"/>
          <w:color w:val="000000" w:themeColor="text1"/>
        </w:rPr>
        <w:t xml:space="preserve"> 25-hydroxyvitamin D3; </w:t>
      </w:r>
      <w:r w:rsidR="00526BAF" w:rsidRPr="00234908">
        <w:rPr>
          <w:rFonts w:ascii="Book Antiqua" w:eastAsia="MS Mincho" w:hAnsi="Book Antiqua" w:cs="Arial"/>
          <w:color w:val="000000" w:themeColor="text1"/>
        </w:rPr>
        <w:t xml:space="preserve">eGFR: </w:t>
      </w:r>
      <w:r w:rsidR="00526BAF" w:rsidRPr="00234908">
        <w:rPr>
          <w:rFonts w:ascii="Book Antiqua" w:eastAsia="Book Antiqua" w:hAnsi="Book Antiqua" w:cs="Book Antiqua"/>
          <w:color w:val="000000" w:themeColor="text1"/>
        </w:rPr>
        <w:t>Estimated glomerular filtration rate</w:t>
      </w:r>
      <w:r w:rsidR="00526BAF" w:rsidRPr="00234908">
        <w:rPr>
          <w:rFonts w:ascii="Book Antiqua" w:eastAsia="MS Mincho" w:hAnsi="Book Antiqua" w:cs="Arial"/>
          <w:color w:val="000000" w:themeColor="text1"/>
        </w:rPr>
        <w:t xml:space="preserve">; </w:t>
      </w:r>
      <w:r w:rsidR="00526BAF" w:rsidRPr="00234908">
        <w:rPr>
          <w:rFonts w:ascii="Book Antiqua" w:hAnsi="Book Antiqua"/>
          <w:color w:val="000000" w:themeColor="text1"/>
        </w:rPr>
        <w:t xml:space="preserve">ETV: </w:t>
      </w:r>
      <w:r w:rsidR="00526BAF" w:rsidRPr="00234908">
        <w:rPr>
          <w:rFonts w:ascii="Book Antiqua" w:eastAsia="Book Antiqua" w:hAnsi="Book Antiqua" w:cs="Book Antiqua"/>
          <w:color w:val="000000" w:themeColor="text1"/>
        </w:rPr>
        <w:t>Entecavir</w:t>
      </w:r>
      <w:r w:rsidR="00526BAF" w:rsidRPr="00234908">
        <w:rPr>
          <w:rFonts w:ascii="Book Antiqua" w:hAnsi="Book Antiqua"/>
          <w:color w:val="000000" w:themeColor="text1"/>
        </w:rPr>
        <w:t xml:space="preserve">; </w:t>
      </w:r>
      <w:r w:rsidR="00526BAF" w:rsidRPr="00234908">
        <w:rPr>
          <w:rFonts w:ascii="Book Antiqua" w:hAnsi="Book Antiqua" w:cs="Calibri"/>
          <w:color w:val="000000" w:themeColor="text1"/>
        </w:rPr>
        <w:t xml:space="preserve">FEUA: </w:t>
      </w:r>
      <w:r w:rsidR="00526BAF" w:rsidRPr="00234908">
        <w:rPr>
          <w:rFonts w:ascii="Book Antiqua" w:hAnsi="Book Antiqua"/>
          <w:color w:val="000000" w:themeColor="text1"/>
        </w:rPr>
        <w:t>Fractional excretion rate of uric acid; Max: Maximum; Min: Minimum;</w:t>
      </w:r>
      <w:r w:rsidRPr="00245598">
        <w:rPr>
          <w:rFonts w:ascii="Book Antiqua" w:hAnsi="Book Antiqua" w:cs="Calibri"/>
          <w:color w:val="000000" w:themeColor="text1"/>
        </w:rPr>
        <w:t xml:space="preserve"> </w:t>
      </w:r>
      <w:r w:rsidR="00160D54" w:rsidRPr="00245598">
        <w:rPr>
          <w:rFonts w:ascii="Book Antiqua" w:hAnsi="Book Antiqua"/>
          <w:color w:val="000000" w:themeColor="text1"/>
        </w:rPr>
        <w:t xml:space="preserve">Q1: First quartile; Q3: Third quartile; TDF: </w:t>
      </w:r>
      <w:r w:rsidR="00160D54" w:rsidRPr="00245598">
        <w:rPr>
          <w:rFonts w:ascii="Book Antiqua" w:eastAsia="Book Antiqua" w:hAnsi="Book Antiqua" w:cs="Book Antiqua"/>
          <w:color w:val="000000" w:themeColor="text1"/>
        </w:rPr>
        <w:t>Tenofovir disoproxil</w:t>
      </w:r>
      <w:r w:rsidR="00160D54" w:rsidRPr="00245598">
        <w:rPr>
          <w:rFonts w:ascii="Book Antiqua" w:hAnsi="Book Antiqua"/>
          <w:color w:val="000000" w:themeColor="text1"/>
        </w:rPr>
        <w:t>.</w:t>
      </w:r>
    </w:p>
    <w:p w14:paraId="64C13E71" w14:textId="77777777" w:rsidR="00160D54" w:rsidRPr="00245598" w:rsidRDefault="00160D54">
      <w:pPr>
        <w:spacing w:line="360" w:lineRule="auto"/>
        <w:jc w:val="both"/>
        <w:rPr>
          <w:rFonts w:ascii="Book Antiqua" w:hAnsi="Book Antiqua"/>
          <w:color w:val="000000" w:themeColor="text1"/>
        </w:rPr>
      </w:pPr>
      <w:r w:rsidRPr="00245598">
        <w:rPr>
          <w:rFonts w:ascii="Book Antiqua" w:hAnsi="Book Antiqua"/>
          <w:color w:val="000000" w:themeColor="text1"/>
        </w:rPr>
        <w:br w:type="page"/>
      </w:r>
      <w:r w:rsidRPr="00245598">
        <w:rPr>
          <w:rFonts w:ascii="Book Antiqua" w:hAnsi="Book Antiqua"/>
          <w:b/>
          <w:color w:val="000000" w:themeColor="text1"/>
        </w:rPr>
        <w:lastRenderedPageBreak/>
        <w:t xml:space="preserve">Table 3 </w:t>
      </w:r>
      <w:r w:rsidRPr="00245598">
        <w:rPr>
          <w:rFonts w:ascii="Book Antiqua" w:eastAsia="Book Antiqua" w:hAnsi="Book Antiqua" w:cs="Book Antiqua"/>
          <w:b/>
          <w:bCs/>
          <w:color w:val="000000" w:themeColor="text1"/>
        </w:rPr>
        <w:t>Subclinical proximal tubulopathy</w:t>
      </w:r>
      <w:r w:rsidRPr="00245598">
        <w:rPr>
          <w:rFonts w:ascii="Book Antiqua" w:hAnsi="Book Antiqua"/>
          <w:b/>
          <w:color w:val="000000" w:themeColor="text1"/>
        </w:rPr>
        <w:t xml:space="preserve"> prevalence at month 24 in the </w:t>
      </w:r>
      <w:r w:rsidRPr="00245598">
        <w:rPr>
          <w:rFonts w:ascii="Book Antiqua" w:eastAsia="Book Antiqua" w:hAnsi="Book Antiqua" w:cs="Book Antiqua"/>
          <w:b/>
          <w:bCs/>
          <w:color w:val="000000" w:themeColor="text1"/>
        </w:rPr>
        <w:t>entecavir</w:t>
      </w:r>
      <w:r w:rsidRPr="00245598">
        <w:rPr>
          <w:rFonts w:ascii="Book Antiqua" w:hAnsi="Book Antiqua"/>
          <w:b/>
          <w:color w:val="000000" w:themeColor="text1"/>
        </w:rPr>
        <w:t xml:space="preserve">, naive and </w:t>
      </w:r>
      <w:r w:rsidRPr="00245598">
        <w:rPr>
          <w:rFonts w:ascii="Book Antiqua" w:eastAsia="Book Antiqua" w:hAnsi="Book Antiqua" w:cs="Book Antiqua"/>
          <w:b/>
          <w:color w:val="000000" w:themeColor="text1"/>
        </w:rPr>
        <w:t>tenofovir disoproxil</w:t>
      </w:r>
      <w:r w:rsidRPr="00245598">
        <w:rPr>
          <w:rFonts w:ascii="Book Antiqua" w:hAnsi="Book Antiqua"/>
          <w:b/>
          <w:color w:val="000000" w:themeColor="text1"/>
        </w:rPr>
        <w:t xml:space="preserve"> groups </w:t>
      </w:r>
    </w:p>
    <w:tbl>
      <w:tblPr>
        <w:tblW w:w="9639"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327"/>
        <w:gridCol w:w="1701"/>
        <w:gridCol w:w="1418"/>
        <w:gridCol w:w="1417"/>
        <w:gridCol w:w="1418"/>
        <w:gridCol w:w="1034"/>
        <w:gridCol w:w="42"/>
        <w:gridCol w:w="1282"/>
      </w:tblGrid>
      <w:tr w:rsidR="00DE6AEC" w:rsidRPr="00234908" w14:paraId="7FCD7A90" w14:textId="77777777" w:rsidTr="00AF3DA9">
        <w:trPr>
          <w:trHeight w:val="240"/>
          <w:jc w:val="center"/>
        </w:trPr>
        <w:tc>
          <w:tcPr>
            <w:tcW w:w="1327" w:type="dxa"/>
            <w:tcBorders>
              <w:top w:val="single" w:sz="4" w:space="0" w:color="auto"/>
              <w:bottom w:val="single" w:sz="4" w:space="0" w:color="auto"/>
            </w:tcBorders>
            <w:shd w:val="clear" w:color="auto" w:fill="auto"/>
            <w:noWrap/>
            <w:hideMark/>
          </w:tcPr>
          <w:p w14:paraId="6B9496F4" w14:textId="77777777" w:rsidR="00160D54" w:rsidRPr="00245598" w:rsidRDefault="00160D54">
            <w:pPr>
              <w:spacing w:line="360" w:lineRule="auto"/>
              <w:jc w:val="both"/>
              <w:rPr>
                <w:rFonts w:ascii="Book Antiqua" w:hAnsi="Book Antiqua" w:cs="Calibri"/>
                <w:color w:val="000000" w:themeColor="text1"/>
              </w:rPr>
            </w:pPr>
          </w:p>
        </w:tc>
        <w:tc>
          <w:tcPr>
            <w:tcW w:w="1701" w:type="dxa"/>
            <w:tcBorders>
              <w:top w:val="single" w:sz="4" w:space="0" w:color="auto"/>
              <w:bottom w:val="single" w:sz="4" w:space="0" w:color="auto"/>
            </w:tcBorders>
            <w:shd w:val="clear" w:color="auto" w:fill="auto"/>
            <w:hideMark/>
          </w:tcPr>
          <w:p w14:paraId="3E6FEC9A" w14:textId="68720CD9" w:rsidR="00160D54" w:rsidRPr="00245598" w:rsidRDefault="00160D54">
            <w:pPr>
              <w:spacing w:line="360" w:lineRule="auto"/>
              <w:jc w:val="both"/>
              <w:rPr>
                <w:rFonts w:ascii="Book Antiqua" w:hAnsi="Book Antiqua" w:cs="Calibri"/>
                <w:b/>
                <w:bCs/>
                <w:color w:val="000000" w:themeColor="text1"/>
              </w:rPr>
            </w:pPr>
            <w:r w:rsidRPr="00245598">
              <w:rPr>
                <w:rFonts w:ascii="Book Antiqua" w:hAnsi="Book Antiqua" w:cs="Calibri"/>
                <w:b/>
                <w:bCs/>
                <w:color w:val="000000" w:themeColor="text1"/>
              </w:rPr>
              <w:t>Global (</w:t>
            </w:r>
            <w:r w:rsidRPr="00245598">
              <w:rPr>
                <w:rFonts w:ascii="Book Antiqua" w:hAnsi="Book Antiqua" w:cs="Calibri"/>
                <w:b/>
                <w:bCs/>
                <w:i/>
                <w:iCs/>
                <w:color w:val="000000" w:themeColor="text1"/>
              </w:rPr>
              <w:t>n</w:t>
            </w:r>
            <w:r w:rsidRPr="00245598">
              <w:rPr>
                <w:rFonts w:ascii="Book Antiqua" w:hAnsi="Book Antiqua" w:cs="Calibri"/>
                <w:b/>
                <w:bCs/>
                <w:color w:val="000000" w:themeColor="text1"/>
              </w:rPr>
              <w:t xml:space="preserve"> = 138)</w:t>
            </w:r>
            <w:r w:rsidR="00AF3DA9" w:rsidRPr="00245598">
              <w:rPr>
                <w:rFonts w:ascii="Book Antiqua" w:hAnsi="Book Antiqua" w:cs="Calibri"/>
                <w:b/>
                <w:bCs/>
                <w:color w:val="000000" w:themeColor="text1"/>
              </w:rPr>
              <w:t xml:space="preserve">; </w:t>
            </w:r>
            <w:r w:rsidR="00890AFA" w:rsidRPr="00245598">
              <w:rPr>
                <w:rFonts w:ascii="Book Antiqua" w:hAnsi="Book Antiqua" w:cs="Calibri"/>
                <w:b/>
                <w:bCs/>
                <w:i/>
                <w:iCs/>
                <w:color w:val="000000" w:themeColor="text1"/>
              </w:rPr>
              <w:t>n</w:t>
            </w:r>
            <w:r w:rsidR="00AF3DA9" w:rsidRPr="00245598">
              <w:rPr>
                <w:rFonts w:ascii="Book Antiqua" w:hAnsi="Book Antiqua" w:cs="Calibri"/>
                <w:b/>
                <w:bCs/>
                <w:color w:val="000000" w:themeColor="text1"/>
              </w:rPr>
              <w:t xml:space="preserve"> (%)</w:t>
            </w:r>
            <w:r w:rsidR="00AF3DA9" w:rsidRPr="00245598">
              <w:rPr>
                <w:rFonts w:ascii="Book Antiqua" w:hAnsi="Book Antiqua" w:cs="Calibri"/>
                <w:b/>
                <w:bCs/>
                <w:color w:val="000000" w:themeColor="text1"/>
                <w:lang w:eastAsia="zh-CN"/>
              </w:rPr>
              <w:t xml:space="preserve">; </w:t>
            </w:r>
            <w:r w:rsidR="00AF3DA9" w:rsidRPr="00245598">
              <w:rPr>
                <w:rFonts w:ascii="Book Antiqua" w:hAnsi="Book Antiqua" w:cs="Calibri"/>
                <w:b/>
                <w:bCs/>
                <w:color w:val="000000" w:themeColor="text1"/>
              </w:rPr>
              <w:t>(95%CI)</w:t>
            </w:r>
          </w:p>
        </w:tc>
        <w:tc>
          <w:tcPr>
            <w:tcW w:w="1418" w:type="dxa"/>
            <w:tcBorders>
              <w:top w:val="single" w:sz="4" w:space="0" w:color="auto"/>
              <w:bottom w:val="single" w:sz="4" w:space="0" w:color="auto"/>
            </w:tcBorders>
            <w:shd w:val="clear" w:color="auto" w:fill="auto"/>
            <w:hideMark/>
          </w:tcPr>
          <w:p w14:paraId="66D4A164" w14:textId="636F76F1" w:rsidR="00160D54" w:rsidRPr="00245598" w:rsidRDefault="00160D54">
            <w:pPr>
              <w:spacing w:line="360" w:lineRule="auto"/>
              <w:jc w:val="both"/>
              <w:rPr>
                <w:rFonts w:ascii="Book Antiqua" w:hAnsi="Book Antiqua" w:cs="Calibri"/>
                <w:b/>
                <w:bCs/>
                <w:color w:val="000000" w:themeColor="text1"/>
              </w:rPr>
            </w:pPr>
            <w:r w:rsidRPr="00245598">
              <w:rPr>
                <w:rFonts w:ascii="Book Antiqua" w:hAnsi="Book Antiqua" w:cs="Calibri"/>
                <w:b/>
                <w:bCs/>
                <w:color w:val="000000" w:themeColor="text1"/>
              </w:rPr>
              <w:t>ETV (</w:t>
            </w:r>
            <w:r w:rsidRPr="00245598">
              <w:rPr>
                <w:rFonts w:ascii="Book Antiqua" w:hAnsi="Book Antiqua" w:cs="Calibri"/>
                <w:b/>
                <w:bCs/>
                <w:i/>
                <w:iCs/>
                <w:color w:val="000000" w:themeColor="text1"/>
              </w:rPr>
              <w:t>n</w:t>
            </w:r>
            <w:r w:rsidRPr="00245598">
              <w:rPr>
                <w:rFonts w:ascii="Book Antiqua" w:hAnsi="Book Antiqua" w:cs="Calibri"/>
                <w:b/>
                <w:bCs/>
                <w:color w:val="000000" w:themeColor="text1"/>
              </w:rPr>
              <w:t xml:space="preserve"> = 28)</w:t>
            </w:r>
            <w:r w:rsidR="00AF3DA9" w:rsidRPr="00245598">
              <w:rPr>
                <w:rFonts w:ascii="Book Antiqua" w:hAnsi="Book Antiqua" w:cs="Calibri"/>
                <w:b/>
                <w:bCs/>
                <w:color w:val="000000" w:themeColor="text1"/>
              </w:rPr>
              <w:t xml:space="preserve">; </w:t>
            </w:r>
            <w:r w:rsidR="00890AFA" w:rsidRPr="00245598">
              <w:rPr>
                <w:rFonts w:ascii="Book Antiqua" w:hAnsi="Book Antiqua" w:cs="Calibri"/>
                <w:b/>
                <w:bCs/>
                <w:i/>
                <w:iCs/>
                <w:color w:val="000000" w:themeColor="text1"/>
              </w:rPr>
              <w:t>n</w:t>
            </w:r>
            <w:r w:rsidR="00AF3DA9" w:rsidRPr="00245598">
              <w:rPr>
                <w:rFonts w:ascii="Book Antiqua" w:hAnsi="Book Antiqua" w:cs="Calibri"/>
                <w:b/>
                <w:bCs/>
                <w:color w:val="000000" w:themeColor="text1"/>
              </w:rPr>
              <w:t xml:space="preserve"> (%)</w:t>
            </w:r>
            <w:r w:rsidR="00AF3DA9" w:rsidRPr="00245598">
              <w:rPr>
                <w:rFonts w:ascii="Book Antiqua" w:hAnsi="Book Antiqua" w:cs="Calibri"/>
                <w:b/>
                <w:bCs/>
                <w:color w:val="000000" w:themeColor="text1"/>
                <w:lang w:eastAsia="zh-CN"/>
              </w:rPr>
              <w:t xml:space="preserve">; </w:t>
            </w:r>
            <w:r w:rsidR="00AF3DA9" w:rsidRPr="00245598">
              <w:rPr>
                <w:rFonts w:ascii="Book Antiqua" w:hAnsi="Book Antiqua" w:cs="Calibri"/>
                <w:b/>
                <w:bCs/>
                <w:color w:val="000000" w:themeColor="text1"/>
              </w:rPr>
              <w:t>(95%CI)</w:t>
            </w:r>
          </w:p>
        </w:tc>
        <w:tc>
          <w:tcPr>
            <w:tcW w:w="1417" w:type="dxa"/>
            <w:tcBorders>
              <w:top w:val="single" w:sz="4" w:space="0" w:color="auto"/>
              <w:bottom w:val="single" w:sz="4" w:space="0" w:color="auto"/>
            </w:tcBorders>
            <w:shd w:val="clear" w:color="auto" w:fill="auto"/>
            <w:hideMark/>
          </w:tcPr>
          <w:p w14:paraId="0640642E" w14:textId="29CC10FF" w:rsidR="00160D54" w:rsidRPr="00245598" w:rsidRDefault="00160D54">
            <w:pPr>
              <w:spacing w:line="360" w:lineRule="auto"/>
              <w:jc w:val="both"/>
              <w:rPr>
                <w:rFonts w:ascii="Book Antiqua" w:hAnsi="Book Antiqua" w:cs="Calibri"/>
                <w:b/>
                <w:bCs/>
                <w:color w:val="000000" w:themeColor="text1"/>
              </w:rPr>
            </w:pPr>
            <w:r w:rsidRPr="00245598">
              <w:rPr>
                <w:rFonts w:ascii="Book Antiqua" w:hAnsi="Book Antiqua" w:cs="Calibri"/>
                <w:b/>
                <w:bCs/>
                <w:color w:val="000000" w:themeColor="text1"/>
              </w:rPr>
              <w:t>Naive (</w:t>
            </w:r>
            <w:r w:rsidRPr="00245598">
              <w:rPr>
                <w:rFonts w:ascii="Book Antiqua" w:hAnsi="Book Antiqua" w:cs="Calibri"/>
                <w:b/>
                <w:bCs/>
                <w:i/>
                <w:iCs/>
                <w:color w:val="000000" w:themeColor="text1"/>
              </w:rPr>
              <w:t>n</w:t>
            </w:r>
            <w:r w:rsidRPr="00245598">
              <w:rPr>
                <w:rFonts w:ascii="Book Antiqua" w:hAnsi="Book Antiqua" w:cs="Calibri"/>
                <w:b/>
                <w:bCs/>
                <w:color w:val="000000" w:themeColor="text1"/>
              </w:rPr>
              <w:t xml:space="preserve"> = 84)</w:t>
            </w:r>
            <w:r w:rsidR="00AF3DA9" w:rsidRPr="00245598">
              <w:rPr>
                <w:rFonts w:ascii="Book Antiqua" w:hAnsi="Book Antiqua" w:cs="Calibri"/>
                <w:b/>
                <w:bCs/>
                <w:color w:val="000000" w:themeColor="text1"/>
              </w:rPr>
              <w:t>;</w:t>
            </w:r>
            <w:r w:rsidR="00AF3DA9" w:rsidRPr="00245598">
              <w:rPr>
                <w:rFonts w:ascii="Book Antiqua" w:hAnsi="Book Antiqua" w:cs="Calibri"/>
                <w:b/>
                <w:bCs/>
                <w:i/>
                <w:iCs/>
                <w:color w:val="000000" w:themeColor="text1"/>
              </w:rPr>
              <w:t xml:space="preserve"> </w:t>
            </w:r>
            <w:r w:rsidR="00890AFA" w:rsidRPr="00245598">
              <w:rPr>
                <w:rFonts w:ascii="Book Antiqua" w:hAnsi="Book Antiqua" w:cs="Calibri"/>
                <w:b/>
                <w:bCs/>
                <w:i/>
                <w:iCs/>
                <w:color w:val="000000" w:themeColor="text1"/>
              </w:rPr>
              <w:t>n</w:t>
            </w:r>
            <w:r w:rsidR="00AF3DA9" w:rsidRPr="00245598">
              <w:rPr>
                <w:rFonts w:ascii="Book Antiqua" w:hAnsi="Book Antiqua" w:cs="Calibri"/>
                <w:b/>
                <w:bCs/>
                <w:color w:val="000000" w:themeColor="text1"/>
              </w:rPr>
              <w:t xml:space="preserve"> (%)</w:t>
            </w:r>
            <w:r w:rsidR="00AF3DA9" w:rsidRPr="00245598">
              <w:rPr>
                <w:rFonts w:ascii="Book Antiqua" w:hAnsi="Book Antiqua" w:cs="Calibri"/>
                <w:b/>
                <w:bCs/>
                <w:color w:val="000000" w:themeColor="text1"/>
                <w:lang w:eastAsia="zh-CN"/>
              </w:rPr>
              <w:t xml:space="preserve">; </w:t>
            </w:r>
            <w:r w:rsidR="00AF3DA9" w:rsidRPr="00245598">
              <w:rPr>
                <w:rFonts w:ascii="Book Antiqua" w:hAnsi="Book Antiqua" w:cs="Calibri"/>
                <w:b/>
                <w:bCs/>
                <w:color w:val="000000" w:themeColor="text1"/>
              </w:rPr>
              <w:t>(95%CI)</w:t>
            </w:r>
          </w:p>
        </w:tc>
        <w:tc>
          <w:tcPr>
            <w:tcW w:w="1418" w:type="dxa"/>
            <w:tcBorders>
              <w:top w:val="single" w:sz="4" w:space="0" w:color="auto"/>
              <w:bottom w:val="single" w:sz="4" w:space="0" w:color="auto"/>
            </w:tcBorders>
            <w:shd w:val="clear" w:color="auto" w:fill="auto"/>
            <w:hideMark/>
          </w:tcPr>
          <w:p w14:paraId="6F4FECEF" w14:textId="7A763598" w:rsidR="00160D54" w:rsidRPr="00245598" w:rsidRDefault="00160D54">
            <w:pPr>
              <w:spacing w:line="360" w:lineRule="auto"/>
              <w:jc w:val="both"/>
              <w:rPr>
                <w:rFonts w:ascii="Book Antiqua" w:hAnsi="Book Antiqua" w:cs="Calibri"/>
                <w:b/>
                <w:bCs/>
                <w:color w:val="000000" w:themeColor="text1"/>
              </w:rPr>
            </w:pPr>
            <w:r w:rsidRPr="00245598">
              <w:rPr>
                <w:rFonts w:ascii="Book Antiqua" w:hAnsi="Book Antiqua" w:cs="Calibri"/>
                <w:b/>
                <w:bCs/>
                <w:color w:val="000000" w:themeColor="text1"/>
              </w:rPr>
              <w:t>TDF (</w:t>
            </w:r>
            <w:r w:rsidRPr="00245598">
              <w:rPr>
                <w:rFonts w:ascii="Book Antiqua" w:hAnsi="Book Antiqua" w:cs="Calibri"/>
                <w:b/>
                <w:bCs/>
                <w:i/>
                <w:iCs/>
                <w:color w:val="000000" w:themeColor="text1"/>
              </w:rPr>
              <w:t>n</w:t>
            </w:r>
            <w:r w:rsidRPr="00245598">
              <w:rPr>
                <w:rFonts w:ascii="Book Antiqua" w:hAnsi="Book Antiqua" w:cs="Calibri"/>
                <w:b/>
                <w:bCs/>
                <w:color w:val="000000" w:themeColor="text1"/>
              </w:rPr>
              <w:t xml:space="preserve"> = 26)</w:t>
            </w:r>
            <w:r w:rsidR="00AF3DA9" w:rsidRPr="00245598">
              <w:rPr>
                <w:rFonts w:ascii="Book Antiqua" w:hAnsi="Book Antiqua" w:cs="Calibri"/>
                <w:b/>
                <w:bCs/>
                <w:color w:val="000000" w:themeColor="text1"/>
              </w:rPr>
              <w:t xml:space="preserve">; </w:t>
            </w:r>
            <w:r w:rsidR="00890AFA" w:rsidRPr="00245598">
              <w:rPr>
                <w:rFonts w:ascii="Book Antiqua" w:hAnsi="Book Antiqua" w:cs="Calibri"/>
                <w:b/>
                <w:bCs/>
                <w:i/>
                <w:iCs/>
                <w:color w:val="000000" w:themeColor="text1"/>
              </w:rPr>
              <w:t>n</w:t>
            </w:r>
            <w:r w:rsidR="00AF3DA9" w:rsidRPr="00245598">
              <w:rPr>
                <w:rFonts w:ascii="Book Antiqua" w:hAnsi="Book Antiqua" w:cs="Calibri"/>
                <w:b/>
                <w:bCs/>
                <w:color w:val="000000" w:themeColor="text1"/>
              </w:rPr>
              <w:t xml:space="preserve"> (%)</w:t>
            </w:r>
            <w:r w:rsidR="00AF3DA9" w:rsidRPr="00245598">
              <w:rPr>
                <w:rFonts w:ascii="Book Antiqua" w:hAnsi="Book Antiqua" w:cs="Calibri"/>
                <w:b/>
                <w:bCs/>
                <w:color w:val="000000" w:themeColor="text1"/>
                <w:lang w:eastAsia="zh-CN"/>
              </w:rPr>
              <w:t xml:space="preserve">; </w:t>
            </w:r>
            <w:r w:rsidR="00AF3DA9" w:rsidRPr="00245598">
              <w:rPr>
                <w:rFonts w:ascii="Book Antiqua" w:hAnsi="Book Antiqua" w:cs="Calibri"/>
                <w:b/>
                <w:bCs/>
                <w:color w:val="000000" w:themeColor="text1"/>
              </w:rPr>
              <w:t>(95%CI)</w:t>
            </w:r>
          </w:p>
        </w:tc>
        <w:tc>
          <w:tcPr>
            <w:tcW w:w="1076" w:type="dxa"/>
            <w:gridSpan w:val="2"/>
            <w:tcBorders>
              <w:top w:val="single" w:sz="4" w:space="0" w:color="auto"/>
              <w:bottom w:val="single" w:sz="4" w:space="0" w:color="auto"/>
            </w:tcBorders>
            <w:shd w:val="clear" w:color="auto" w:fill="auto"/>
            <w:hideMark/>
          </w:tcPr>
          <w:p w14:paraId="68417DD0" w14:textId="39CAAEA4" w:rsidR="00160D54" w:rsidRPr="00245598" w:rsidRDefault="00160D54">
            <w:pPr>
              <w:spacing w:line="360" w:lineRule="auto"/>
              <w:jc w:val="both"/>
              <w:rPr>
                <w:rFonts w:ascii="Book Antiqua" w:hAnsi="Book Antiqua" w:cs="Calibri"/>
                <w:b/>
                <w:bCs/>
                <w:color w:val="000000" w:themeColor="text1"/>
              </w:rPr>
            </w:pPr>
            <w:r w:rsidRPr="00245598">
              <w:rPr>
                <w:rFonts w:ascii="Book Antiqua" w:hAnsi="Book Antiqua" w:cs="Calibri"/>
                <w:b/>
                <w:bCs/>
                <w:i/>
                <w:iCs/>
                <w:color w:val="000000" w:themeColor="text1"/>
              </w:rPr>
              <w:t>P</w:t>
            </w:r>
            <w:r w:rsidRPr="00245598">
              <w:rPr>
                <w:rFonts w:ascii="Book Antiqua" w:hAnsi="Book Antiqua" w:cs="Calibri"/>
                <w:b/>
                <w:bCs/>
                <w:color w:val="000000" w:themeColor="text1"/>
              </w:rPr>
              <w:t xml:space="preserve"> value</w:t>
            </w:r>
            <w:r w:rsidR="00AF3DA9" w:rsidRPr="00245598">
              <w:rPr>
                <w:rFonts w:ascii="Book Antiqua" w:hAnsi="Book Antiqua" w:cs="Calibri"/>
                <w:b/>
                <w:bCs/>
                <w:color w:val="000000" w:themeColor="text1"/>
              </w:rPr>
              <w:t xml:space="preserve">; ETV </w:t>
            </w:r>
            <w:r w:rsidR="00AF3DA9" w:rsidRPr="00245598">
              <w:rPr>
                <w:rFonts w:ascii="Book Antiqua" w:hAnsi="Book Antiqua" w:cs="Calibri"/>
                <w:b/>
                <w:bCs/>
                <w:i/>
                <w:iCs/>
                <w:color w:val="000000" w:themeColor="text1"/>
              </w:rPr>
              <w:t>vs</w:t>
            </w:r>
            <w:r w:rsidR="00AF3DA9" w:rsidRPr="00245598">
              <w:rPr>
                <w:rFonts w:ascii="Book Antiqua" w:hAnsi="Book Antiqua" w:cs="Calibri"/>
                <w:b/>
                <w:bCs/>
                <w:color w:val="000000" w:themeColor="text1"/>
              </w:rPr>
              <w:t xml:space="preserve"> naive</w:t>
            </w:r>
          </w:p>
        </w:tc>
        <w:tc>
          <w:tcPr>
            <w:tcW w:w="1282" w:type="dxa"/>
            <w:tcBorders>
              <w:top w:val="single" w:sz="4" w:space="0" w:color="auto"/>
              <w:bottom w:val="single" w:sz="4" w:space="0" w:color="auto"/>
            </w:tcBorders>
            <w:shd w:val="clear" w:color="auto" w:fill="auto"/>
            <w:hideMark/>
          </w:tcPr>
          <w:p w14:paraId="33849178" w14:textId="44D6046A" w:rsidR="00160D54" w:rsidRPr="00245598" w:rsidRDefault="00160D54">
            <w:pPr>
              <w:spacing w:line="360" w:lineRule="auto"/>
              <w:jc w:val="both"/>
              <w:rPr>
                <w:rFonts w:ascii="Book Antiqua" w:hAnsi="Book Antiqua" w:cs="Calibri"/>
                <w:b/>
                <w:bCs/>
                <w:color w:val="000000" w:themeColor="text1"/>
              </w:rPr>
            </w:pPr>
            <w:r w:rsidRPr="00245598">
              <w:rPr>
                <w:rFonts w:ascii="Book Antiqua" w:hAnsi="Book Antiqua" w:cs="Calibri"/>
                <w:b/>
                <w:bCs/>
                <w:i/>
                <w:iCs/>
                <w:color w:val="000000" w:themeColor="text1"/>
              </w:rPr>
              <w:t>P</w:t>
            </w:r>
            <w:r w:rsidRPr="00245598">
              <w:rPr>
                <w:rFonts w:ascii="Book Antiqua" w:hAnsi="Book Antiqua" w:cs="Calibri"/>
                <w:b/>
                <w:bCs/>
                <w:color w:val="000000" w:themeColor="text1"/>
              </w:rPr>
              <w:t xml:space="preserve"> value</w:t>
            </w:r>
            <w:r w:rsidR="00AF3DA9" w:rsidRPr="00245598">
              <w:rPr>
                <w:rFonts w:ascii="Book Antiqua" w:hAnsi="Book Antiqua" w:cs="Calibri"/>
                <w:b/>
                <w:bCs/>
                <w:color w:val="000000" w:themeColor="text1"/>
              </w:rPr>
              <w:t xml:space="preserve">; TDF </w:t>
            </w:r>
            <w:r w:rsidR="00AF3DA9" w:rsidRPr="00245598">
              <w:rPr>
                <w:rFonts w:ascii="Book Antiqua" w:hAnsi="Book Antiqua" w:cs="Calibri"/>
                <w:b/>
                <w:bCs/>
                <w:i/>
                <w:iCs/>
                <w:color w:val="000000" w:themeColor="text1"/>
              </w:rPr>
              <w:t>vs</w:t>
            </w:r>
            <w:r w:rsidR="00AF3DA9" w:rsidRPr="00245598">
              <w:rPr>
                <w:rFonts w:ascii="Book Antiqua" w:hAnsi="Book Antiqua" w:cs="Calibri"/>
                <w:b/>
                <w:bCs/>
                <w:color w:val="000000" w:themeColor="text1"/>
              </w:rPr>
              <w:t xml:space="preserve"> naive</w:t>
            </w:r>
          </w:p>
        </w:tc>
      </w:tr>
      <w:tr w:rsidR="00DE6AEC" w:rsidRPr="00234908" w14:paraId="31DFCD6F" w14:textId="77777777" w:rsidTr="00893AF6">
        <w:trPr>
          <w:trHeight w:val="1190"/>
          <w:jc w:val="center"/>
        </w:trPr>
        <w:tc>
          <w:tcPr>
            <w:tcW w:w="1327" w:type="dxa"/>
            <w:shd w:val="clear" w:color="auto" w:fill="auto"/>
            <w:noWrap/>
            <w:hideMark/>
          </w:tcPr>
          <w:p w14:paraId="55D6BBE1" w14:textId="77777777" w:rsidR="001E061E" w:rsidRPr="00245598" w:rsidRDefault="001E061E" w:rsidP="00DE6AEC">
            <w:pPr>
              <w:spacing w:line="360" w:lineRule="auto"/>
              <w:jc w:val="both"/>
              <w:rPr>
                <w:rFonts w:ascii="Book Antiqua" w:hAnsi="Book Antiqua" w:cs="Calibri"/>
                <w:bCs/>
                <w:color w:val="000000" w:themeColor="text1"/>
              </w:rPr>
            </w:pPr>
            <w:r w:rsidRPr="00245598">
              <w:rPr>
                <w:rFonts w:ascii="Book Antiqua" w:hAnsi="Book Antiqua" w:cs="Calibri"/>
                <w:bCs/>
                <w:color w:val="000000" w:themeColor="text1"/>
              </w:rPr>
              <w:t>Missing values</w:t>
            </w:r>
          </w:p>
        </w:tc>
        <w:tc>
          <w:tcPr>
            <w:tcW w:w="1701" w:type="dxa"/>
            <w:shd w:val="clear" w:color="auto" w:fill="auto"/>
            <w:noWrap/>
            <w:hideMark/>
          </w:tcPr>
          <w:p w14:paraId="29F28BAB" w14:textId="77777777" w:rsidR="001E061E" w:rsidRPr="00245598" w:rsidRDefault="001E061E" w:rsidP="00102F07">
            <w:pPr>
              <w:spacing w:line="360" w:lineRule="auto"/>
              <w:jc w:val="both"/>
              <w:rPr>
                <w:rFonts w:ascii="Book Antiqua" w:hAnsi="Book Antiqua" w:cs="Calibri"/>
                <w:bCs/>
                <w:color w:val="000000" w:themeColor="text1"/>
              </w:rPr>
            </w:pPr>
            <w:r w:rsidRPr="00245598">
              <w:rPr>
                <w:rFonts w:ascii="Book Antiqua" w:hAnsi="Book Antiqua" w:cs="Calibri"/>
                <w:bCs/>
                <w:color w:val="000000" w:themeColor="text1"/>
              </w:rPr>
              <w:t xml:space="preserve">45 </w:t>
            </w:r>
          </w:p>
        </w:tc>
        <w:tc>
          <w:tcPr>
            <w:tcW w:w="1418" w:type="dxa"/>
            <w:shd w:val="clear" w:color="auto" w:fill="auto"/>
            <w:noWrap/>
            <w:hideMark/>
          </w:tcPr>
          <w:p w14:paraId="58E4EC4C" w14:textId="77777777" w:rsidR="001E061E" w:rsidRPr="00245598" w:rsidRDefault="001E061E" w:rsidP="00234908">
            <w:pPr>
              <w:spacing w:line="360" w:lineRule="auto"/>
              <w:jc w:val="both"/>
              <w:rPr>
                <w:rFonts w:ascii="Book Antiqua" w:hAnsi="Book Antiqua" w:cs="Calibri"/>
                <w:bCs/>
                <w:color w:val="000000" w:themeColor="text1"/>
              </w:rPr>
            </w:pPr>
            <w:r w:rsidRPr="00245598">
              <w:rPr>
                <w:rFonts w:ascii="Book Antiqua" w:hAnsi="Book Antiqua" w:cs="Calibri"/>
                <w:bCs/>
                <w:color w:val="000000" w:themeColor="text1"/>
              </w:rPr>
              <w:t xml:space="preserve">9 </w:t>
            </w:r>
          </w:p>
        </w:tc>
        <w:tc>
          <w:tcPr>
            <w:tcW w:w="1417" w:type="dxa"/>
            <w:shd w:val="clear" w:color="auto" w:fill="auto"/>
            <w:noWrap/>
            <w:hideMark/>
          </w:tcPr>
          <w:p w14:paraId="6149FCE5" w14:textId="77777777" w:rsidR="001E061E" w:rsidRPr="00245598" w:rsidRDefault="001E061E" w:rsidP="00234908">
            <w:pPr>
              <w:spacing w:line="360" w:lineRule="auto"/>
              <w:jc w:val="both"/>
              <w:rPr>
                <w:rFonts w:ascii="Book Antiqua" w:hAnsi="Book Antiqua" w:cs="Calibri"/>
                <w:bCs/>
                <w:color w:val="000000" w:themeColor="text1"/>
              </w:rPr>
            </w:pPr>
            <w:r w:rsidRPr="00245598">
              <w:rPr>
                <w:rFonts w:ascii="Book Antiqua" w:hAnsi="Book Antiqua" w:cs="Calibri"/>
                <w:bCs/>
                <w:color w:val="000000" w:themeColor="text1"/>
              </w:rPr>
              <w:t>22</w:t>
            </w:r>
          </w:p>
        </w:tc>
        <w:tc>
          <w:tcPr>
            <w:tcW w:w="1418" w:type="dxa"/>
            <w:shd w:val="clear" w:color="auto" w:fill="auto"/>
            <w:noWrap/>
            <w:hideMark/>
          </w:tcPr>
          <w:p w14:paraId="6E77BC7F" w14:textId="77777777" w:rsidR="001E061E" w:rsidRPr="00245598" w:rsidRDefault="001E061E">
            <w:pPr>
              <w:spacing w:line="360" w:lineRule="auto"/>
              <w:jc w:val="both"/>
              <w:rPr>
                <w:rFonts w:ascii="Book Antiqua" w:hAnsi="Book Antiqua" w:cs="Calibri"/>
                <w:bCs/>
                <w:color w:val="000000" w:themeColor="text1"/>
              </w:rPr>
            </w:pPr>
            <w:r w:rsidRPr="00245598">
              <w:rPr>
                <w:rFonts w:ascii="Book Antiqua" w:hAnsi="Book Antiqua" w:cs="Calibri"/>
                <w:bCs/>
                <w:color w:val="000000" w:themeColor="text1"/>
              </w:rPr>
              <w:t>14</w:t>
            </w:r>
          </w:p>
        </w:tc>
        <w:tc>
          <w:tcPr>
            <w:tcW w:w="1034" w:type="dxa"/>
            <w:shd w:val="clear" w:color="auto" w:fill="auto"/>
            <w:noWrap/>
            <w:hideMark/>
          </w:tcPr>
          <w:p w14:paraId="7068FCD2" w14:textId="0ABE89FD" w:rsidR="001E061E" w:rsidRPr="00245598" w:rsidRDefault="001E061E">
            <w:pPr>
              <w:spacing w:line="360" w:lineRule="auto"/>
              <w:jc w:val="both"/>
              <w:rPr>
                <w:rFonts w:ascii="Book Antiqua" w:hAnsi="Book Antiqua" w:cs="Calibri"/>
                <w:color w:val="000000" w:themeColor="text1"/>
              </w:rPr>
            </w:pPr>
          </w:p>
        </w:tc>
        <w:tc>
          <w:tcPr>
            <w:tcW w:w="1324" w:type="dxa"/>
            <w:gridSpan w:val="2"/>
            <w:shd w:val="clear" w:color="auto" w:fill="auto"/>
          </w:tcPr>
          <w:p w14:paraId="1D005C40" w14:textId="53250FB8" w:rsidR="001E061E" w:rsidRPr="00245598" w:rsidRDefault="001E061E">
            <w:pPr>
              <w:spacing w:line="360" w:lineRule="auto"/>
              <w:jc w:val="both"/>
              <w:rPr>
                <w:rFonts w:ascii="Book Antiqua" w:hAnsi="Book Antiqua" w:cs="Calibri"/>
                <w:color w:val="000000" w:themeColor="text1"/>
              </w:rPr>
            </w:pPr>
          </w:p>
        </w:tc>
      </w:tr>
      <w:tr w:rsidR="00DE6AEC" w:rsidRPr="00234908" w14:paraId="3CBA3E84" w14:textId="77777777" w:rsidTr="00AF3DA9">
        <w:trPr>
          <w:trHeight w:val="240"/>
          <w:jc w:val="center"/>
        </w:trPr>
        <w:tc>
          <w:tcPr>
            <w:tcW w:w="1327" w:type="dxa"/>
            <w:shd w:val="clear" w:color="auto" w:fill="auto"/>
            <w:noWrap/>
            <w:hideMark/>
          </w:tcPr>
          <w:p w14:paraId="71D8DF0F" w14:textId="39C594F4" w:rsidR="001E061E" w:rsidRPr="00245598" w:rsidRDefault="001E061E" w:rsidP="00DE6AEC">
            <w:pPr>
              <w:spacing w:line="360" w:lineRule="auto"/>
              <w:jc w:val="both"/>
              <w:rPr>
                <w:rFonts w:ascii="Book Antiqua" w:hAnsi="Book Antiqua" w:cs="Calibri"/>
                <w:bCs/>
                <w:color w:val="000000" w:themeColor="text1"/>
              </w:rPr>
            </w:pPr>
            <w:r w:rsidRPr="00245598">
              <w:rPr>
                <w:rFonts w:ascii="Book Antiqua" w:hAnsi="Book Antiqua" w:cs="Calibri"/>
                <w:bCs/>
                <w:color w:val="000000" w:themeColor="text1"/>
              </w:rPr>
              <w:t>SPT prevalence at M24; (</w:t>
            </w:r>
            <w:r w:rsidR="00890AFA" w:rsidRPr="00245598">
              <w:rPr>
                <w:rFonts w:ascii="Book Antiqua" w:hAnsi="Book Antiqua" w:cs="Calibri"/>
                <w:bCs/>
                <w:i/>
                <w:iCs/>
                <w:color w:val="000000" w:themeColor="text1"/>
              </w:rPr>
              <w:t>n</w:t>
            </w:r>
            <w:r w:rsidRPr="00245598">
              <w:rPr>
                <w:rFonts w:ascii="Book Antiqua" w:hAnsi="Book Antiqua" w:cs="Calibri"/>
                <w:bCs/>
                <w:color w:val="000000" w:themeColor="text1"/>
              </w:rPr>
              <w:t xml:space="preserve"> = 93)</w:t>
            </w:r>
          </w:p>
        </w:tc>
        <w:tc>
          <w:tcPr>
            <w:tcW w:w="1701" w:type="dxa"/>
            <w:shd w:val="clear" w:color="auto" w:fill="auto"/>
            <w:noWrap/>
            <w:hideMark/>
          </w:tcPr>
          <w:p w14:paraId="27F22415" w14:textId="77777777" w:rsidR="001E061E" w:rsidRPr="00245598" w:rsidRDefault="001E061E" w:rsidP="00102F07">
            <w:pPr>
              <w:spacing w:line="360" w:lineRule="auto"/>
              <w:jc w:val="both"/>
              <w:rPr>
                <w:rFonts w:ascii="Book Antiqua" w:hAnsi="Book Antiqua" w:cs="Calibri"/>
                <w:bCs/>
                <w:color w:val="000000" w:themeColor="text1"/>
              </w:rPr>
            </w:pPr>
            <w:r w:rsidRPr="00245598">
              <w:rPr>
                <w:rFonts w:ascii="Book Antiqua" w:hAnsi="Book Antiqua" w:cs="Calibri"/>
                <w:bCs/>
                <w:color w:val="000000" w:themeColor="text1"/>
              </w:rPr>
              <w:t>29 (31.2%); (22.0-41.6)</w:t>
            </w:r>
          </w:p>
        </w:tc>
        <w:tc>
          <w:tcPr>
            <w:tcW w:w="1418" w:type="dxa"/>
            <w:shd w:val="clear" w:color="auto" w:fill="auto"/>
            <w:noWrap/>
            <w:hideMark/>
          </w:tcPr>
          <w:p w14:paraId="0F5F072F" w14:textId="77777777" w:rsidR="001E061E" w:rsidRPr="00245598" w:rsidRDefault="001E061E" w:rsidP="005E50EC">
            <w:pPr>
              <w:spacing w:line="360" w:lineRule="auto"/>
              <w:jc w:val="both"/>
              <w:rPr>
                <w:rFonts w:ascii="Book Antiqua" w:hAnsi="Book Antiqua" w:cs="Calibri"/>
                <w:bCs/>
                <w:color w:val="000000" w:themeColor="text1"/>
              </w:rPr>
            </w:pPr>
            <w:r w:rsidRPr="00245598">
              <w:rPr>
                <w:rFonts w:ascii="Book Antiqua" w:hAnsi="Book Antiqua" w:cs="Calibri"/>
                <w:bCs/>
                <w:color w:val="000000" w:themeColor="text1"/>
              </w:rPr>
              <w:t>4 (21.1%); (6.1-45.6)</w:t>
            </w:r>
          </w:p>
        </w:tc>
        <w:tc>
          <w:tcPr>
            <w:tcW w:w="1417" w:type="dxa"/>
            <w:shd w:val="clear" w:color="auto" w:fill="auto"/>
            <w:noWrap/>
            <w:hideMark/>
          </w:tcPr>
          <w:p w14:paraId="4BA3497A" w14:textId="77777777" w:rsidR="001E061E" w:rsidRPr="00245598" w:rsidRDefault="001E061E" w:rsidP="00234908">
            <w:pPr>
              <w:spacing w:line="360" w:lineRule="auto"/>
              <w:jc w:val="both"/>
              <w:rPr>
                <w:rFonts w:ascii="Book Antiqua" w:hAnsi="Book Antiqua" w:cs="Calibri"/>
                <w:bCs/>
                <w:color w:val="000000" w:themeColor="text1"/>
              </w:rPr>
            </w:pPr>
            <w:r w:rsidRPr="00245598">
              <w:rPr>
                <w:rFonts w:ascii="Book Antiqua" w:hAnsi="Book Antiqua" w:cs="Calibri"/>
                <w:bCs/>
                <w:color w:val="000000" w:themeColor="text1"/>
              </w:rPr>
              <w:t>19 (30.7%); (19.6-43.7)</w:t>
            </w:r>
          </w:p>
        </w:tc>
        <w:tc>
          <w:tcPr>
            <w:tcW w:w="1418" w:type="dxa"/>
            <w:shd w:val="clear" w:color="auto" w:fill="auto"/>
            <w:noWrap/>
            <w:hideMark/>
          </w:tcPr>
          <w:p w14:paraId="52469806" w14:textId="77777777" w:rsidR="001E061E" w:rsidRPr="00245598" w:rsidRDefault="001E061E" w:rsidP="00234908">
            <w:pPr>
              <w:spacing w:line="360" w:lineRule="auto"/>
              <w:jc w:val="both"/>
              <w:rPr>
                <w:rFonts w:ascii="Book Antiqua" w:hAnsi="Book Antiqua" w:cs="Calibri"/>
                <w:bCs/>
                <w:color w:val="000000" w:themeColor="text1"/>
              </w:rPr>
            </w:pPr>
            <w:r w:rsidRPr="00245598">
              <w:rPr>
                <w:rFonts w:ascii="Book Antiqua" w:hAnsi="Book Antiqua" w:cs="Calibri"/>
                <w:bCs/>
                <w:color w:val="000000" w:themeColor="text1"/>
              </w:rPr>
              <w:t>6 (50.00%); (21.1-78.9)</w:t>
            </w:r>
          </w:p>
        </w:tc>
        <w:tc>
          <w:tcPr>
            <w:tcW w:w="1034" w:type="dxa"/>
            <w:shd w:val="clear" w:color="auto" w:fill="auto"/>
            <w:noWrap/>
            <w:hideMark/>
          </w:tcPr>
          <w:p w14:paraId="31C39558" w14:textId="4AC05C8B" w:rsidR="001E061E" w:rsidRPr="00245598" w:rsidRDefault="001E061E">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0.42</w:t>
            </w:r>
            <w:r w:rsidRPr="00245598">
              <w:rPr>
                <w:rFonts w:ascii="Book Antiqua" w:hAnsi="Book Antiqua" w:cs="Calibri"/>
                <w:color w:val="000000" w:themeColor="text1"/>
                <w:vertAlign w:val="superscript"/>
              </w:rPr>
              <w:t>1</w:t>
            </w:r>
          </w:p>
        </w:tc>
        <w:tc>
          <w:tcPr>
            <w:tcW w:w="1324" w:type="dxa"/>
            <w:gridSpan w:val="2"/>
            <w:shd w:val="clear" w:color="auto" w:fill="auto"/>
          </w:tcPr>
          <w:p w14:paraId="19BE8327" w14:textId="4FD8D7BD" w:rsidR="001E061E" w:rsidRPr="00245598" w:rsidRDefault="001E061E">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0.32</w:t>
            </w:r>
            <w:r w:rsidRPr="00245598">
              <w:rPr>
                <w:rFonts w:ascii="Book Antiqua" w:hAnsi="Book Antiqua" w:cs="Calibri"/>
                <w:color w:val="000000" w:themeColor="text1"/>
                <w:vertAlign w:val="superscript"/>
              </w:rPr>
              <w:t>2</w:t>
            </w:r>
          </w:p>
        </w:tc>
      </w:tr>
    </w:tbl>
    <w:p w14:paraId="4FFD3581" w14:textId="1F0DD7F7" w:rsidR="00160D54" w:rsidRPr="00245598" w:rsidRDefault="00160D54" w:rsidP="00DE6AEC">
      <w:pPr>
        <w:spacing w:line="360" w:lineRule="auto"/>
        <w:jc w:val="both"/>
        <w:rPr>
          <w:rFonts w:ascii="Book Antiqua" w:hAnsi="Book Antiqua"/>
          <w:color w:val="000000" w:themeColor="text1"/>
        </w:rPr>
      </w:pPr>
      <w:r w:rsidRPr="00245598">
        <w:rPr>
          <w:rFonts w:ascii="Book Antiqua" w:hAnsi="Book Antiqua"/>
          <w:color w:val="000000" w:themeColor="text1"/>
          <w:vertAlign w:val="superscript"/>
        </w:rPr>
        <w:t>1</w:t>
      </w:r>
      <w:r w:rsidRPr="00245598">
        <w:rPr>
          <w:rFonts w:ascii="Book Antiqua" w:hAnsi="Book Antiqua"/>
          <w:color w:val="000000" w:themeColor="text1"/>
        </w:rPr>
        <w:t>Chi</w:t>
      </w:r>
      <w:r w:rsidRPr="00245598">
        <w:rPr>
          <w:rFonts w:ascii="Book Antiqua" w:hAnsi="Book Antiqua"/>
          <w:color w:val="000000" w:themeColor="text1"/>
          <w:vertAlign w:val="superscript"/>
        </w:rPr>
        <w:t xml:space="preserve">2 </w:t>
      </w:r>
      <w:r w:rsidRPr="00245598">
        <w:rPr>
          <w:rFonts w:ascii="Book Antiqua" w:hAnsi="Book Antiqua"/>
          <w:color w:val="000000" w:themeColor="text1"/>
        </w:rPr>
        <w:t xml:space="preserve">test; </w:t>
      </w:r>
      <w:r w:rsidRPr="00245598">
        <w:rPr>
          <w:rFonts w:ascii="Book Antiqua" w:hAnsi="Book Antiqua" w:cs="Calibri"/>
          <w:color w:val="000000" w:themeColor="text1"/>
          <w:vertAlign w:val="superscript"/>
        </w:rPr>
        <w:t>2</w:t>
      </w:r>
      <w:r w:rsidRPr="00245598">
        <w:rPr>
          <w:rFonts w:ascii="Book Antiqua" w:hAnsi="Book Antiqua" w:cs="Calibri"/>
          <w:color w:val="000000" w:themeColor="text1"/>
        </w:rPr>
        <w:t>Fisher</w:t>
      </w:r>
      <w:r w:rsidR="007A671B" w:rsidRPr="00234908">
        <w:rPr>
          <w:rFonts w:ascii="Book Antiqua" w:hAnsi="Book Antiqua" w:cs="Calibri"/>
          <w:color w:val="000000" w:themeColor="text1"/>
        </w:rPr>
        <w:t>’s</w:t>
      </w:r>
      <w:r w:rsidRPr="00245598">
        <w:rPr>
          <w:rFonts w:ascii="Book Antiqua" w:hAnsi="Book Antiqua" w:cs="Calibri"/>
          <w:color w:val="000000" w:themeColor="text1"/>
        </w:rPr>
        <w:t xml:space="preserve"> exact test. </w:t>
      </w:r>
      <w:r w:rsidR="007A671B" w:rsidRPr="00234908">
        <w:rPr>
          <w:rFonts w:ascii="Book Antiqua" w:eastAsia="Book Antiqua" w:hAnsi="Book Antiqua" w:cs="Book Antiqua"/>
          <w:color w:val="000000" w:themeColor="text1"/>
        </w:rPr>
        <w:t>CI: Confidence interval;</w:t>
      </w:r>
      <w:r w:rsidR="007A671B" w:rsidRPr="00234908">
        <w:rPr>
          <w:rFonts w:ascii="Book Antiqua" w:hAnsi="Book Antiqua"/>
          <w:color w:val="000000" w:themeColor="text1"/>
        </w:rPr>
        <w:t xml:space="preserve"> </w:t>
      </w:r>
      <w:r w:rsidRPr="00245598">
        <w:rPr>
          <w:rFonts w:ascii="Book Antiqua" w:hAnsi="Book Antiqua"/>
          <w:color w:val="000000" w:themeColor="text1"/>
        </w:rPr>
        <w:t xml:space="preserve">ETV: </w:t>
      </w:r>
      <w:r w:rsidRPr="00245598">
        <w:rPr>
          <w:rFonts w:ascii="Book Antiqua" w:eastAsia="Book Antiqua" w:hAnsi="Book Antiqua" w:cs="Book Antiqua"/>
          <w:color w:val="000000" w:themeColor="text1"/>
        </w:rPr>
        <w:t>Entecavir</w:t>
      </w:r>
      <w:r w:rsidRPr="00245598">
        <w:rPr>
          <w:rFonts w:ascii="Book Antiqua" w:hAnsi="Book Antiqua"/>
          <w:color w:val="000000" w:themeColor="text1"/>
        </w:rPr>
        <w:t xml:space="preserve">; </w:t>
      </w:r>
      <w:r w:rsidRPr="00245598">
        <w:rPr>
          <w:rFonts w:ascii="Book Antiqua" w:hAnsi="Book Antiqua" w:cs="Calibri"/>
          <w:color w:val="000000" w:themeColor="text1"/>
        </w:rPr>
        <w:t xml:space="preserve">SPT: </w:t>
      </w:r>
      <w:r w:rsidRPr="00245598">
        <w:rPr>
          <w:rFonts w:ascii="Book Antiqua" w:eastAsia="Book Antiqua" w:hAnsi="Book Antiqua" w:cs="Book Antiqua"/>
          <w:color w:val="000000" w:themeColor="text1"/>
        </w:rPr>
        <w:t>Subclinical proximal tubulopathy</w:t>
      </w:r>
      <w:r w:rsidR="006D2226" w:rsidRPr="00245598">
        <w:rPr>
          <w:rFonts w:ascii="Book Antiqua" w:eastAsia="Book Antiqua" w:hAnsi="Book Antiqua" w:cs="Book Antiqua"/>
          <w:color w:val="000000" w:themeColor="text1"/>
        </w:rPr>
        <w:t xml:space="preserve">; </w:t>
      </w:r>
      <w:r w:rsidR="007A671B" w:rsidRPr="00234908">
        <w:rPr>
          <w:rFonts w:ascii="Book Antiqua" w:hAnsi="Book Antiqua"/>
          <w:color w:val="000000" w:themeColor="text1"/>
        </w:rPr>
        <w:t xml:space="preserve">TDF: </w:t>
      </w:r>
      <w:r w:rsidR="007A671B" w:rsidRPr="00234908">
        <w:rPr>
          <w:rFonts w:ascii="Book Antiqua" w:eastAsia="Book Antiqua" w:hAnsi="Book Antiqua" w:cs="Book Antiqua"/>
          <w:color w:val="000000" w:themeColor="text1"/>
        </w:rPr>
        <w:t>Tenofovir disoproxil</w:t>
      </w:r>
      <w:r w:rsidRPr="00245598">
        <w:rPr>
          <w:rFonts w:ascii="Book Antiqua" w:hAnsi="Book Antiqua" w:cs="Calibri"/>
          <w:color w:val="000000" w:themeColor="text1"/>
        </w:rPr>
        <w:t>.</w:t>
      </w:r>
    </w:p>
    <w:p w14:paraId="3FFA70C0" w14:textId="77777777" w:rsidR="00160D54" w:rsidRPr="00245598" w:rsidRDefault="00160D54">
      <w:pPr>
        <w:spacing w:line="360" w:lineRule="auto"/>
        <w:jc w:val="both"/>
        <w:rPr>
          <w:rFonts w:ascii="Book Antiqua" w:hAnsi="Book Antiqua" w:cs="Cambria"/>
          <w:b/>
          <w:color w:val="000000" w:themeColor="text1"/>
        </w:rPr>
      </w:pPr>
      <w:r w:rsidRPr="00245598">
        <w:rPr>
          <w:rFonts w:ascii="Book Antiqua" w:hAnsi="Book Antiqua"/>
          <w:color w:val="000000" w:themeColor="text1"/>
        </w:rPr>
        <w:br w:type="page"/>
      </w:r>
      <w:r w:rsidRPr="00245598">
        <w:rPr>
          <w:rFonts w:ascii="Book Antiqua" w:hAnsi="Book Antiqua"/>
          <w:b/>
          <w:color w:val="000000" w:themeColor="text1"/>
        </w:rPr>
        <w:lastRenderedPageBreak/>
        <w:t xml:space="preserve">Table 4 </w:t>
      </w:r>
      <w:r w:rsidRPr="00245598">
        <w:rPr>
          <w:rFonts w:ascii="Book Antiqua" w:hAnsi="Book Antiqua" w:cs="Cambria"/>
          <w:b/>
          <w:color w:val="000000" w:themeColor="text1"/>
        </w:rPr>
        <w:t xml:space="preserve">Potential confounding factors at baseline susceptible to influence the prevalence of </w:t>
      </w:r>
      <w:r w:rsidRPr="00245598">
        <w:rPr>
          <w:rFonts w:ascii="Book Antiqua" w:eastAsia="Book Antiqua" w:hAnsi="Book Antiqua" w:cs="Book Antiqua"/>
          <w:b/>
          <w:bCs/>
          <w:color w:val="000000" w:themeColor="text1"/>
        </w:rPr>
        <w:t>subclinical proximal tubulopathy</w:t>
      </w:r>
      <w:r w:rsidRPr="00245598">
        <w:rPr>
          <w:rFonts w:ascii="Book Antiqua" w:hAnsi="Book Antiqua" w:cs="Cambria"/>
          <w:b/>
          <w:color w:val="000000" w:themeColor="text1"/>
        </w:rPr>
        <w:t xml:space="preserve"> at month 24 between the different groups in univariate analysis</w:t>
      </w:r>
    </w:p>
    <w:tbl>
      <w:tblPr>
        <w:tblW w:w="11761"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328"/>
        <w:gridCol w:w="3588"/>
        <w:gridCol w:w="2445"/>
        <w:gridCol w:w="1200"/>
        <w:gridCol w:w="1200"/>
      </w:tblGrid>
      <w:tr w:rsidR="00DE6AEC" w:rsidRPr="00234908" w14:paraId="1915C1FD" w14:textId="77777777" w:rsidTr="00E36494">
        <w:trPr>
          <w:trHeight w:val="80"/>
          <w:jc w:val="center"/>
        </w:trPr>
        <w:tc>
          <w:tcPr>
            <w:tcW w:w="3328" w:type="dxa"/>
            <w:tcBorders>
              <w:top w:val="single" w:sz="4" w:space="0" w:color="auto"/>
              <w:bottom w:val="single" w:sz="4" w:space="0" w:color="auto"/>
            </w:tcBorders>
            <w:shd w:val="clear" w:color="auto" w:fill="auto"/>
            <w:vAlign w:val="center"/>
            <w:hideMark/>
          </w:tcPr>
          <w:p w14:paraId="5913EFAC" w14:textId="77777777" w:rsidR="00160D54" w:rsidRPr="00245598" w:rsidRDefault="00160D54">
            <w:pPr>
              <w:spacing w:line="360" w:lineRule="auto"/>
              <w:jc w:val="both"/>
              <w:rPr>
                <w:rFonts w:ascii="Book Antiqua" w:hAnsi="Book Antiqua" w:cs="Calibri"/>
                <w:b/>
                <w:bCs/>
                <w:color w:val="000000" w:themeColor="text1"/>
              </w:rPr>
            </w:pPr>
          </w:p>
        </w:tc>
        <w:tc>
          <w:tcPr>
            <w:tcW w:w="3588" w:type="dxa"/>
            <w:tcBorders>
              <w:top w:val="single" w:sz="4" w:space="0" w:color="auto"/>
              <w:bottom w:val="single" w:sz="4" w:space="0" w:color="auto"/>
            </w:tcBorders>
          </w:tcPr>
          <w:p w14:paraId="6CDE6CF4" w14:textId="77777777" w:rsidR="00160D54" w:rsidRPr="00245598" w:rsidRDefault="00160D54">
            <w:pPr>
              <w:spacing w:line="360" w:lineRule="auto"/>
              <w:jc w:val="both"/>
              <w:rPr>
                <w:rFonts w:ascii="Book Antiqua" w:hAnsi="Book Antiqua" w:cs="Calibri"/>
                <w:b/>
                <w:bCs/>
                <w:color w:val="000000" w:themeColor="text1"/>
              </w:rPr>
            </w:pPr>
          </w:p>
        </w:tc>
        <w:tc>
          <w:tcPr>
            <w:tcW w:w="2445" w:type="dxa"/>
            <w:tcBorders>
              <w:top w:val="single" w:sz="4" w:space="0" w:color="auto"/>
              <w:bottom w:val="single" w:sz="4" w:space="0" w:color="auto"/>
            </w:tcBorders>
            <w:shd w:val="clear" w:color="auto" w:fill="auto"/>
            <w:vAlign w:val="center"/>
            <w:hideMark/>
          </w:tcPr>
          <w:p w14:paraId="2C06B3D2" w14:textId="77777777" w:rsidR="00160D54" w:rsidRPr="00245598" w:rsidRDefault="00160D54">
            <w:pPr>
              <w:spacing w:line="360" w:lineRule="auto"/>
              <w:jc w:val="both"/>
              <w:rPr>
                <w:rFonts w:ascii="Book Antiqua" w:hAnsi="Book Antiqua" w:cs="Calibri"/>
                <w:b/>
                <w:bCs/>
                <w:color w:val="000000" w:themeColor="text1"/>
              </w:rPr>
            </w:pPr>
            <w:r w:rsidRPr="00245598">
              <w:rPr>
                <w:rFonts w:ascii="Book Antiqua" w:hAnsi="Book Antiqua" w:cs="Calibri"/>
                <w:b/>
                <w:bCs/>
                <w:color w:val="000000" w:themeColor="text1"/>
              </w:rPr>
              <w:t>HR (95%CI)</w:t>
            </w:r>
          </w:p>
        </w:tc>
        <w:tc>
          <w:tcPr>
            <w:tcW w:w="1200" w:type="dxa"/>
            <w:tcBorders>
              <w:top w:val="single" w:sz="4" w:space="0" w:color="auto"/>
              <w:bottom w:val="single" w:sz="4" w:space="0" w:color="auto"/>
            </w:tcBorders>
            <w:shd w:val="clear" w:color="auto" w:fill="auto"/>
            <w:vAlign w:val="center"/>
            <w:hideMark/>
          </w:tcPr>
          <w:p w14:paraId="182D376A" w14:textId="77777777" w:rsidR="00160D54" w:rsidRPr="00245598" w:rsidRDefault="00160D54">
            <w:pPr>
              <w:spacing w:line="360" w:lineRule="auto"/>
              <w:jc w:val="both"/>
              <w:rPr>
                <w:rFonts w:ascii="Book Antiqua" w:hAnsi="Book Antiqua" w:cs="Calibri"/>
                <w:b/>
                <w:bCs/>
                <w:color w:val="000000" w:themeColor="text1"/>
              </w:rPr>
            </w:pPr>
            <w:r w:rsidRPr="00245598">
              <w:rPr>
                <w:rFonts w:ascii="Book Antiqua" w:hAnsi="Book Antiqua" w:cs="Calibri"/>
                <w:b/>
                <w:bCs/>
                <w:i/>
                <w:iCs/>
                <w:color w:val="000000" w:themeColor="text1"/>
              </w:rPr>
              <w:t>P</w:t>
            </w:r>
            <w:r w:rsidRPr="00245598">
              <w:rPr>
                <w:rFonts w:ascii="Book Antiqua" w:hAnsi="Book Antiqua" w:cs="Calibri"/>
                <w:b/>
                <w:bCs/>
                <w:color w:val="000000" w:themeColor="text1"/>
              </w:rPr>
              <w:t xml:space="preserve"> value </w:t>
            </w:r>
          </w:p>
        </w:tc>
        <w:tc>
          <w:tcPr>
            <w:tcW w:w="1200" w:type="dxa"/>
            <w:tcBorders>
              <w:top w:val="single" w:sz="4" w:space="0" w:color="auto"/>
              <w:bottom w:val="single" w:sz="4" w:space="0" w:color="auto"/>
            </w:tcBorders>
            <w:shd w:val="clear" w:color="auto" w:fill="auto"/>
            <w:vAlign w:val="center"/>
            <w:hideMark/>
          </w:tcPr>
          <w:p w14:paraId="19B392DC" w14:textId="77777777" w:rsidR="00160D54" w:rsidRPr="00245598" w:rsidRDefault="00160D54">
            <w:pPr>
              <w:spacing w:line="360" w:lineRule="auto"/>
              <w:jc w:val="both"/>
              <w:rPr>
                <w:rFonts w:ascii="Book Antiqua" w:hAnsi="Book Antiqua" w:cs="Calibri"/>
                <w:b/>
                <w:bCs/>
                <w:color w:val="000000" w:themeColor="text1"/>
              </w:rPr>
            </w:pPr>
            <w:r w:rsidRPr="00245598">
              <w:rPr>
                <w:rFonts w:ascii="Book Antiqua" w:hAnsi="Book Antiqua" w:cs="Calibri"/>
                <w:b/>
                <w:bCs/>
                <w:color w:val="000000" w:themeColor="text1"/>
              </w:rPr>
              <w:t xml:space="preserve">Global </w:t>
            </w:r>
            <w:r w:rsidRPr="00245598">
              <w:rPr>
                <w:rFonts w:ascii="Book Antiqua" w:hAnsi="Book Antiqua" w:cs="Calibri"/>
                <w:b/>
                <w:bCs/>
                <w:i/>
                <w:iCs/>
                <w:color w:val="000000" w:themeColor="text1"/>
              </w:rPr>
              <w:t>P</w:t>
            </w:r>
            <w:r w:rsidRPr="00245598">
              <w:rPr>
                <w:rFonts w:ascii="Book Antiqua" w:hAnsi="Book Antiqua" w:cs="Calibri"/>
                <w:b/>
                <w:bCs/>
                <w:color w:val="000000" w:themeColor="text1"/>
              </w:rPr>
              <w:t xml:space="preserve"> value </w:t>
            </w:r>
          </w:p>
        </w:tc>
      </w:tr>
      <w:tr w:rsidR="00DE6AEC" w:rsidRPr="00234908" w14:paraId="113D095C" w14:textId="77777777" w:rsidTr="00E36494">
        <w:trPr>
          <w:trHeight w:val="80"/>
          <w:jc w:val="center"/>
        </w:trPr>
        <w:tc>
          <w:tcPr>
            <w:tcW w:w="3328" w:type="dxa"/>
            <w:tcBorders>
              <w:top w:val="single" w:sz="4" w:space="0" w:color="auto"/>
            </w:tcBorders>
            <w:shd w:val="clear" w:color="auto" w:fill="auto"/>
            <w:hideMark/>
          </w:tcPr>
          <w:p w14:paraId="72BFC5FF" w14:textId="77777777" w:rsidR="00160D54" w:rsidRPr="00245598" w:rsidRDefault="00160D54" w:rsidP="00DE6AEC">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Fibrosis</w:t>
            </w:r>
          </w:p>
        </w:tc>
        <w:tc>
          <w:tcPr>
            <w:tcW w:w="3588" w:type="dxa"/>
            <w:tcBorders>
              <w:top w:val="single" w:sz="4" w:space="0" w:color="auto"/>
            </w:tcBorders>
            <w:vAlign w:val="center"/>
          </w:tcPr>
          <w:p w14:paraId="421BC597" w14:textId="77777777" w:rsidR="00160D54" w:rsidRPr="00245598" w:rsidRDefault="00160D54" w:rsidP="00102F07">
            <w:pPr>
              <w:spacing w:line="360" w:lineRule="auto"/>
              <w:jc w:val="both"/>
              <w:rPr>
                <w:rFonts w:ascii="Book Antiqua" w:hAnsi="Book Antiqua" w:cs="Calibri"/>
                <w:color w:val="000000" w:themeColor="text1"/>
              </w:rPr>
            </w:pPr>
            <w:r w:rsidRPr="00245598">
              <w:rPr>
                <w:rFonts w:ascii="Book Antiqua" w:hAnsi="Book Antiqua" w:cs="Calibri" w:hint="eastAsia"/>
                <w:color w:val="000000" w:themeColor="text1"/>
              </w:rPr>
              <w:t>≥</w:t>
            </w:r>
            <w:r w:rsidRPr="00245598">
              <w:rPr>
                <w:rFonts w:ascii="Book Antiqua" w:hAnsi="Book Antiqua" w:cs="Calibri" w:hint="eastAsia"/>
                <w:color w:val="000000" w:themeColor="text1"/>
              </w:rPr>
              <w:t xml:space="preserve"> </w:t>
            </w:r>
            <w:r w:rsidRPr="00245598">
              <w:rPr>
                <w:rFonts w:ascii="Book Antiqua" w:hAnsi="Book Antiqua" w:cs="Calibri"/>
                <w:bCs/>
                <w:iCs/>
                <w:color w:val="000000" w:themeColor="text1"/>
              </w:rPr>
              <w:t xml:space="preserve">F2 </w:t>
            </w:r>
            <w:r w:rsidRPr="00245598">
              <w:rPr>
                <w:rFonts w:ascii="Book Antiqua" w:hAnsi="Book Antiqua" w:cs="Calibri"/>
                <w:bCs/>
                <w:i/>
                <w:color w:val="000000" w:themeColor="text1"/>
              </w:rPr>
              <w:t>vs</w:t>
            </w:r>
            <w:r w:rsidRPr="00245598">
              <w:rPr>
                <w:rFonts w:ascii="Book Antiqua" w:hAnsi="Book Antiqua" w:cs="Calibri"/>
                <w:bCs/>
                <w:iCs/>
                <w:color w:val="000000" w:themeColor="text1"/>
              </w:rPr>
              <w:t xml:space="preserve"> F0/F1</w:t>
            </w:r>
          </w:p>
        </w:tc>
        <w:tc>
          <w:tcPr>
            <w:tcW w:w="2445" w:type="dxa"/>
            <w:tcBorders>
              <w:top w:val="single" w:sz="4" w:space="0" w:color="auto"/>
            </w:tcBorders>
            <w:shd w:val="clear" w:color="auto" w:fill="auto"/>
            <w:hideMark/>
          </w:tcPr>
          <w:p w14:paraId="3E7818BC"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1.09 (0.32-3.67)</w:t>
            </w:r>
          </w:p>
        </w:tc>
        <w:tc>
          <w:tcPr>
            <w:tcW w:w="1200" w:type="dxa"/>
            <w:tcBorders>
              <w:top w:val="single" w:sz="4" w:space="0" w:color="auto"/>
            </w:tcBorders>
            <w:shd w:val="clear" w:color="auto" w:fill="auto"/>
            <w:hideMark/>
          </w:tcPr>
          <w:p w14:paraId="2059A6D6"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0.89</w:t>
            </w:r>
          </w:p>
        </w:tc>
        <w:tc>
          <w:tcPr>
            <w:tcW w:w="1200" w:type="dxa"/>
            <w:tcBorders>
              <w:top w:val="single" w:sz="4" w:space="0" w:color="auto"/>
            </w:tcBorders>
            <w:shd w:val="clear" w:color="auto" w:fill="auto"/>
            <w:hideMark/>
          </w:tcPr>
          <w:p w14:paraId="2A621E9C"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0.89</w:t>
            </w:r>
          </w:p>
        </w:tc>
      </w:tr>
      <w:tr w:rsidR="00DE6AEC" w:rsidRPr="00234908" w14:paraId="3D38B550" w14:textId="77777777" w:rsidTr="00E36494">
        <w:trPr>
          <w:trHeight w:val="80"/>
          <w:jc w:val="center"/>
        </w:trPr>
        <w:tc>
          <w:tcPr>
            <w:tcW w:w="3328" w:type="dxa"/>
            <w:shd w:val="clear" w:color="auto" w:fill="auto"/>
            <w:vAlign w:val="center"/>
          </w:tcPr>
          <w:p w14:paraId="6D9CDB39" w14:textId="77777777" w:rsidR="00160D54" w:rsidRPr="00245598" w:rsidRDefault="00160D54" w:rsidP="00DE6AEC">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Group</w:t>
            </w:r>
          </w:p>
        </w:tc>
        <w:tc>
          <w:tcPr>
            <w:tcW w:w="3588" w:type="dxa"/>
            <w:vAlign w:val="center"/>
          </w:tcPr>
          <w:p w14:paraId="3592FA84" w14:textId="77777777" w:rsidR="00160D54" w:rsidRPr="00245598" w:rsidRDefault="00160D54" w:rsidP="00102F07">
            <w:pPr>
              <w:spacing w:line="360" w:lineRule="auto"/>
              <w:jc w:val="both"/>
              <w:rPr>
                <w:rFonts w:ascii="Book Antiqua" w:hAnsi="Book Antiqua" w:cs="Calibri"/>
                <w:color w:val="000000" w:themeColor="text1"/>
              </w:rPr>
            </w:pPr>
            <w:r w:rsidRPr="00245598">
              <w:rPr>
                <w:rFonts w:ascii="Book Antiqua" w:hAnsi="Book Antiqua" w:cs="Calibri"/>
                <w:bCs/>
                <w:iCs/>
                <w:color w:val="000000" w:themeColor="text1"/>
              </w:rPr>
              <w:t xml:space="preserve">ETV </w:t>
            </w:r>
            <w:r w:rsidRPr="00245598">
              <w:rPr>
                <w:rFonts w:ascii="Book Antiqua" w:hAnsi="Book Antiqua" w:cs="Calibri"/>
                <w:bCs/>
                <w:i/>
                <w:color w:val="000000" w:themeColor="text1"/>
              </w:rPr>
              <w:t>vs</w:t>
            </w:r>
            <w:r w:rsidRPr="00245598">
              <w:rPr>
                <w:rFonts w:ascii="Book Antiqua" w:hAnsi="Book Antiqua" w:cs="Calibri"/>
                <w:bCs/>
                <w:iCs/>
                <w:color w:val="000000" w:themeColor="text1"/>
              </w:rPr>
              <w:t xml:space="preserve"> naive</w:t>
            </w:r>
          </w:p>
        </w:tc>
        <w:tc>
          <w:tcPr>
            <w:tcW w:w="2445" w:type="dxa"/>
            <w:shd w:val="clear" w:color="auto" w:fill="auto"/>
            <w:hideMark/>
          </w:tcPr>
          <w:p w14:paraId="62A16781"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0.41 (0.09-1.83)</w:t>
            </w:r>
          </w:p>
        </w:tc>
        <w:tc>
          <w:tcPr>
            <w:tcW w:w="1200" w:type="dxa"/>
            <w:shd w:val="clear" w:color="auto" w:fill="auto"/>
            <w:hideMark/>
          </w:tcPr>
          <w:p w14:paraId="650C99A0"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0.24</w:t>
            </w:r>
          </w:p>
        </w:tc>
        <w:tc>
          <w:tcPr>
            <w:tcW w:w="1200" w:type="dxa"/>
            <w:shd w:val="clear" w:color="auto" w:fill="auto"/>
            <w:hideMark/>
          </w:tcPr>
          <w:p w14:paraId="2F6E8031" w14:textId="77777777" w:rsidR="00160D54" w:rsidRPr="00245598" w:rsidRDefault="00160D54">
            <w:pPr>
              <w:spacing w:line="360" w:lineRule="auto"/>
              <w:jc w:val="both"/>
              <w:rPr>
                <w:rFonts w:ascii="Book Antiqua" w:hAnsi="Book Antiqua" w:cs="Calibri"/>
                <w:bCs/>
                <w:color w:val="000000" w:themeColor="text1"/>
              </w:rPr>
            </w:pPr>
            <w:r w:rsidRPr="00245598">
              <w:rPr>
                <w:rFonts w:ascii="Book Antiqua" w:hAnsi="Book Antiqua" w:cs="Calibri"/>
                <w:bCs/>
                <w:color w:val="000000" w:themeColor="text1"/>
              </w:rPr>
              <w:t>0.043</w:t>
            </w:r>
          </w:p>
        </w:tc>
      </w:tr>
      <w:tr w:rsidR="00DE6AEC" w:rsidRPr="00234908" w14:paraId="3FDE68D4" w14:textId="77777777" w:rsidTr="00E36494">
        <w:trPr>
          <w:trHeight w:val="80"/>
          <w:jc w:val="center"/>
        </w:trPr>
        <w:tc>
          <w:tcPr>
            <w:tcW w:w="3328" w:type="dxa"/>
            <w:shd w:val="clear" w:color="auto" w:fill="auto"/>
            <w:vAlign w:val="center"/>
          </w:tcPr>
          <w:p w14:paraId="43908BEA" w14:textId="77777777" w:rsidR="00160D54" w:rsidRPr="00245598" w:rsidRDefault="00160D54" w:rsidP="00DE6AEC">
            <w:pPr>
              <w:spacing w:line="360" w:lineRule="auto"/>
              <w:ind w:firstLineChars="200" w:firstLine="480"/>
              <w:jc w:val="both"/>
              <w:rPr>
                <w:rFonts w:ascii="Book Antiqua" w:hAnsi="Book Antiqua" w:cs="Calibri"/>
                <w:iCs/>
                <w:color w:val="000000" w:themeColor="text1"/>
              </w:rPr>
            </w:pPr>
          </w:p>
        </w:tc>
        <w:tc>
          <w:tcPr>
            <w:tcW w:w="3588" w:type="dxa"/>
            <w:vAlign w:val="center"/>
          </w:tcPr>
          <w:p w14:paraId="1B545F49" w14:textId="77777777" w:rsidR="00160D54" w:rsidRPr="00245598" w:rsidRDefault="00160D54" w:rsidP="00102F07">
            <w:pPr>
              <w:spacing w:line="360" w:lineRule="auto"/>
              <w:jc w:val="both"/>
              <w:rPr>
                <w:rFonts w:ascii="Book Antiqua" w:hAnsi="Book Antiqua" w:cs="Calibri"/>
                <w:color w:val="000000" w:themeColor="text1"/>
              </w:rPr>
            </w:pPr>
            <w:r w:rsidRPr="00245598">
              <w:rPr>
                <w:rFonts w:ascii="Book Antiqua" w:hAnsi="Book Antiqua" w:cs="Calibri"/>
                <w:bCs/>
                <w:iCs/>
                <w:color w:val="000000" w:themeColor="text1"/>
              </w:rPr>
              <w:t xml:space="preserve">TDF </w:t>
            </w:r>
            <w:r w:rsidRPr="00245598">
              <w:rPr>
                <w:rFonts w:ascii="Book Antiqua" w:hAnsi="Book Antiqua" w:cs="Calibri"/>
                <w:bCs/>
                <w:i/>
                <w:color w:val="000000" w:themeColor="text1"/>
              </w:rPr>
              <w:t>vs</w:t>
            </w:r>
            <w:r w:rsidRPr="00245598">
              <w:rPr>
                <w:rFonts w:ascii="Book Antiqua" w:hAnsi="Book Antiqua" w:cs="Calibri"/>
                <w:bCs/>
                <w:iCs/>
                <w:color w:val="000000" w:themeColor="text1"/>
              </w:rPr>
              <w:t xml:space="preserve"> naive</w:t>
            </w:r>
          </w:p>
        </w:tc>
        <w:tc>
          <w:tcPr>
            <w:tcW w:w="2445" w:type="dxa"/>
            <w:shd w:val="clear" w:color="auto" w:fill="auto"/>
            <w:hideMark/>
          </w:tcPr>
          <w:p w14:paraId="0ED82DBE"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2.28 (0.98-5.30)</w:t>
            </w:r>
          </w:p>
        </w:tc>
        <w:tc>
          <w:tcPr>
            <w:tcW w:w="1200" w:type="dxa"/>
            <w:shd w:val="clear" w:color="auto" w:fill="auto"/>
            <w:hideMark/>
          </w:tcPr>
          <w:p w14:paraId="165F8AAC"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0.05</w:t>
            </w:r>
          </w:p>
        </w:tc>
        <w:tc>
          <w:tcPr>
            <w:tcW w:w="1200" w:type="dxa"/>
            <w:shd w:val="clear" w:color="auto" w:fill="auto"/>
            <w:hideMark/>
          </w:tcPr>
          <w:p w14:paraId="6A57A83F" w14:textId="77777777" w:rsidR="00160D54" w:rsidRPr="00245598" w:rsidRDefault="00160D54">
            <w:pPr>
              <w:spacing w:line="360" w:lineRule="auto"/>
              <w:jc w:val="both"/>
              <w:rPr>
                <w:rFonts w:ascii="Book Antiqua" w:hAnsi="Book Antiqua" w:cs="Calibri"/>
                <w:color w:val="000000" w:themeColor="text1"/>
              </w:rPr>
            </w:pPr>
          </w:p>
        </w:tc>
      </w:tr>
      <w:tr w:rsidR="00DE6AEC" w:rsidRPr="00234908" w14:paraId="135169CB" w14:textId="77777777" w:rsidTr="00E36494">
        <w:trPr>
          <w:trHeight w:val="80"/>
          <w:jc w:val="center"/>
        </w:trPr>
        <w:tc>
          <w:tcPr>
            <w:tcW w:w="3328" w:type="dxa"/>
            <w:shd w:val="clear" w:color="auto" w:fill="auto"/>
            <w:vAlign w:val="center"/>
            <w:hideMark/>
          </w:tcPr>
          <w:p w14:paraId="52687517" w14:textId="77777777" w:rsidR="00160D54" w:rsidRPr="00245598" w:rsidRDefault="00160D54" w:rsidP="00DE6AEC">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Sex</w:t>
            </w:r>
          </w:p>
        </w:tc>
        <w:tc>
          <w:tcPr>
            <w:tcW w:w="3588" w:type="dxa"/>
          </w:tcPr>
          <w:p w14:paraId="0C60D8A9" w14:textId="77777777" w:rsidR="00160D54" w:rsidRPr="00245598" w:rsidRDefault="00160D54" w:rsidP="00102F07">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F</w:t>
            </w:r>
            <w:r w:rsidRPr="00245598">
              <w:rPr>
                <w:rFonts w:ascii="Book Antiqua" w:hAnsi="Book Antiqua" w:cs="Calibri"/>
                <w:bCs/>
                <w:iCs/>
                <w:color w:val="000000" w:themeColor="text1"/>
              </w:rPr>
              <w:t xml:space="preserve">emale </w:t>
            </w:r>
            <w:r w:rsidRPr="00245598">
              <w:rPr>
                <w:rFonts w:ascii="Book Antiqua" w:hAnsi="Book Antiqua" w:cs="Calibri"/>
                <w:bCs/>
                <w:i/>
                <w:color w:val="000000" w:themeColor="text1"/>
              </w:rPr>
              <w:t>vs</w:t>
            </w:r>
            <w:r w:rsidRPr="00245598">
              <w:rPr>
                <w:rFonts w:ascii="Book Antiqua" w:hAnsi="Book Antiqua" w:cs="Calibri"/>
                <w:bCs/>
                <w:iCs/>
                <w:color w:val="000000" w:themeColor="text1"/>
              </w:rPr>
              <w:t xml:space="preserve"> male</w:t>
            </w:r>
          </w:p>
        </w:tc>
        <w:tc>
          <w:tcPr>
            <w:tcW w:w="2445" w:type="dxa"/>
            <w:shd w:val="clear" w:color="auto" w:fill="auto"/>
            <w:hideMark/>
          </w:tcPr>
          <w:p w14:paraId="7A64950C"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0.85 (0.38-1.87)</w:t>
            </w:r>
          </w:p>
        </w:tc>
        <w:tc>
          <w:tcPr>
            <w:tcW w:w="1200" w:type="dxa"/>
            <w:shd w:val="clear" w:color="auto" w:fill="auto"/>
            <w:hideMark/>
          </w:tcPr>
          <w:p w14:paraId="7FB6DC66"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0.68</w:t>
            </w:r>
          </w:p>
        </w:tc>
        <w:tc>
          <w:tcPr>
            <w:tcW w:w="1200" w:type="dxa"/>
            <w:shd w:val="clear" w:color="auto" w:fill="auto"/>
            <w:hideMark/>
          </w:tcPr>
          <w:p w14:paraId="25323CC0"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0.68</w:t>
            </w:r>
          </w:p>
        </w:tc>
      </w:tr>
      <w:tr w:rsidR="00DE6AEC" w:rsidRPr="00234908" w14:paraId="65B2366F" w14:textId="77777777" w:rsidTr="00E36494">
        <w:trPr>
          <w:trHeight w:val="98"/>
          <w:jc w:val="center"/>
        </w:trPr>
        <w:tc>
          <w:tcPr>
            <w:tcW w:w="3328" w:type="dxa"/>
            <w:shd w:val="clear" w:color="auto" w:fill="auto"/>
            <w:vAlign w:val="center"/>
          </w:tcPr>
          <w:p w14:paraId="355454A2" w14:textId="77777777" w:rsidR="00160D54" w:rsidRPr="00245598" w:rsidRDefault="00160D54" w:rsidP="00DE6AEC">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Ethnicity</w:t>
            </w:r>
          </w:p>
        </w:tc>
        <w:tc>
          <w:tcPr>
            <w:tcW w:w="3588" w:type="dxa"/>
            <w:vAlign w:val="center"/>
          </w:tcPr>
          <w:p w14:paraId="7F3F940E" w14:textId="77777777" w:rsidR="00160D54" w:rsidRPr="00245598" w:rsidRDefault="00160D54" w:rsidP="00102F07">
            <w:pPr>
              <w:spacing w:line="360" w:lineRule="auto"/>
              <w:jc w:val="both"/>
              <w:rPr>
                <w:rFonts w:ascii="Book Antiqua" w:hAnsi="Book Antiqua" w:cs="Calibri"/>
                <w:color w:val="000000" w:themeColor="text1"/>
              </w:rPr>
            </w:pPr>
            <w:r w:rsidRPr="00245598">
              <w:rPr>
                <w:rFonts w:ascii="Book Antiqua" w:hAnsi="Book Antiqua" w:cs="Calibri"/>
                <w:bCs/>
                <w:iCs/>
                <w:color w:val="000000" w:themeColor="text1"/>
              </w:rPr>
              <w:t xml:space="preserve">African </w:t>
            </w:r>
            <w:r w:rsidRPr="00245598">
              <w:rPr>
                <w:rFonts w:ascii="Book Antiqua" w:hAnsi="Book Antiqua" w:cs="Calibri"/>
                <w:bCs/>
                <w:i/>
                <w:color w:val="000000" w:themeColor="text1"/>
              </w:rPr>
              <w:t>vs</w:t>
            </w:r>
            <w:r w:rsidRPr="00245598">
              <w:rPr>
                <w:rFonts w:ascii="Book Antiqua" w:hAnsi="Book Antiqua" w:cs="Calibri"/>
                <w:bCs/>
                <w:iCs/>
                <w:color w:val="000000" w:themeColor="text1"/>
              </w:rPr>
              <w:t xml:space="preserve"> White</w:t>
            </w:r>
          </w:p>
        </w:tc>
        <w:tc>
          <w:tcPr>
            <w:tcW w:w="2445" w:type="dxa"/>
            <w:shd w:val="clear" w:color="auto" w:fill="auto"/>
            <w:hideMark/>
          </w:tcPr>
          <w:p w14:paraId="451FC8AF"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0.91 (0.41-2.04)</w:t>
            </w:r>
          </w:p>
        </w:tc>
        <w:tc>
          <w:tcPr>
            <w:tcW w:w="1200" w:type="dxa"/>
            <w:shd w:val="clear" w:color="auto" w:fill="auto"/>
            <w:hideMark/>
          </w:tcPr>
          <w:p w14:paraId="6F62B51E"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0.83</w:t>
            </w:r>
          </w:p>
        </w:tc>
        <w:tc>
          <w:tcPr>
            <w:tcW w:w="1200" w:type="dxa"/>
            <w:shd w:val="clear" w:color="auto" w:fill="auto"/>
            <w:hideMark/>
          </w:tcPr>
          <w:p w14:paraId="38CB2E0B"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0.63</w:t>
            </w:r>
          </w:p>
        </w:tc>
      </w:tr>
      <w:tr w:rsidR="00DE6AEC" w:rsidRPr="00234908" w14:paraId="5E04A98F" w14:textId="77777777" w:rsidTr="00E36494">
        <w:trPr>
          <w:trHeight w:val="80"/>
          <w:jc w:val="center"/>
        </w:trPr>
        <w:tc>
          <w:tcPr>
            <w:tcW w:w="3328" w:type="dxa"/>
            <w:shd w:val="clear" w:color="auto" w:fill="auto"/>
            <w:vAlign w:val="center"/>
          </w:tcPr>
          <w:p w14:paraId="00DF2362" w14:textId="77777777" w:rsidR="00160D54" w:rsidRPr="00245598" w:rsidRDefault="00160D54" w:rsidP="00DE6AEC">
            <w:pPr>
              <w:spacing w:line="360" w:lineRule="auto"/>
              <w:jc w:val="both"/>
              <w:rPr>
                <w:rFonts w:ascii="Book Antiqua" w:hAnsi="Book Antiqua" w:cs="Calibri"/>
                <w:color w:val="000000" w:themeColor="text1"/>
              </w:rPr>
            </w:pPr>
          </w:p>
        </w:tc>
        <w:tc>
          <w:tcPr>
            <w:tcW w:w="3588" w:type="dxa"/>
            <w:vAlign w:val="center"/>
          </w:tcPr>
          <w:p w14:paraId="0B5D1F07" w14:textId="77777777" w:rsidR="00160D54" w:rsidRPr="00245598" w:rsidRDefault="00160D54" w:rsidP="00102F07">
            <w:pPr>
              <w:spacing w:line="360" w:lineRule="auto"/>
              <w:jc w:val="both"/>
              <w:rPr>
                <w:rFonts w:ascii="Book Antiqua" w:hAnsi="Book Antiqua" w:cs="Calibri"/>
                <w:color w:val="000000" w:themeColor="text1"/>
              </w:rPr>
            </w:pPr>
            <w:r w:rsidRPr="00245598">
              <w:rPr>
                <w:rFonts w:ascii="Book Antiqua" w:hAnsi="Book Antiqua" w:cs="Calibri"/>
                <w:bCs/>
                <w:iCs/>
                <w:color w:val="000000" w:themeColor="text1"/>
              </w:rPr>
              <w:t xml:space="preserve">Asian </w:t>
            </w:r>
            <w:r w:rsidRPr="00245598">
              <w:rPr>
                <w:rFonts w:ascii="Book Antiqua" w:hAnsi="Book Antiqua" w:cs="Calibri"/>
                <w:bCs/>
                <w:i/>
                <w:color w:val="000000" w:themeColor="text1"/>
              </w:rPr>
              <w:t>vs</w:t>
            </w:r>
            <w:r w:rsidRPr="00245598">
              <w:rPr>
                <w:rFonts w:ascii="Book Antiqua" w:hAnsi="Book Antiqua" w:cs="Calibri"/>
                <w:bCs/>
                <w:iCs/>
                <w:color w:val="000000" w:themeColor="text1"/>
              </w:rPr>
              <w:t xml:space="preserve"> White</w:t>
            </w:r>
          </w:p>
        </w:tc>
        <w:tc>
          <w:tcPr>
            <w:tcW w:w="2445" w:type="dxa"/>
            <w:shd w:val="clear" w:color="auto" w:fill="auto"/>
            <w:hideMark/>
          </w:tcPr>
          <w:p w14:paraId="0E7BFA68"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0.36 (0.05-2.84)</w:t>
            </w:r>
          </w:p>
        </w:tc>
        <w:tc>
          <w:tcPr>
            <w:tcW w:w="1200" w:type="dxa"/>
            <w:shd w:val="clear" w:color="auto" w:fill="auto"/>
            <w:hideMark/>
          </w:tcPr>
          <w:p w14:paraId="454222DD"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0.33</w:t>
            </w:r>
          </w:p>
        </w:tc>
        <w:tc>
          <w:tcPr>
            <w:tcW w:w="1200" w:type="dxa"/>
            <w:shd w:val="clear" w:color="auto" w:fill="auto"/>
            <w:hideMark/>
          </w:tcPr>
          <w:p w14:paraId="15404786" w14:textId="77777777" w:rsidR="00160D54" w:rsidRPr="00245598" w:rsidRDefault="00160D54">
            <w:pPr>
              <w:spacing w:line="360" w:lineRule="auto"/>
              <w:jc w:val="both"/>
              <w:rPr>
                <w:rFonts w:ascii="Book Antiqua" w:hAnsi="Book Antiqua" w:cs="Calibri"/>
                <w:color w:val="000000" w:themeColor="text1"/>
              </w:rPr>
            </w:pPr>
          </w:p>
        </w:tc>
      </w:tr>
      <w:tr w:rsidR="00DE6AEC" w:rsidRPr="00234908" w14:paraId="26DA5556" w14:textId="77777777" w:rsidTr="00E36494">
        <w:trPr>
          <w:trHeight w:val="80"/>
          <w:jc w:val="center"/>
        </w:trPr>
        <w:tc>
          <w:tcPr>
            <w:tcW w:w="3328" w:type="dxa"/>
            <w:shd w:val="clear" w:color="auto" w:fill="auto"/>
            <w:vAlign w:val="center"/>
            <w:hideMark/>
          </w:tcPr>
          <w:p w14:paraId="73E9B088" w14:textId="77777777" w:rsidR="00160D54" w:rsidRPr="00245598" w:rsidRDefault="00160D54" w:rsidP="00DE6AEC">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Diabetes</w:t>
            </w:r>
          </w:p>
        </w:tc>
        <w:tc>
          <w:tcPr>
            <w:tcW w:w="3588" w:type="dxa"/>
          </w:tcPr>
          <w:p w14:paraId="67264C96" w14:textId="77777777" w:rsidR="00160D54" w:rsidRPr="00245598" w:rsidRDefault="00160D54" w:rsidP="00102F07">
            <w:pPr>
              <w:spacing w:line="360" w:lineRule="auto"/>
              <w:jc w:val="both"/>
              <w:rPr>
                <w:rFonts w:ascii="Book Antiqua" w:hAnsi="Book Antiqua" w:cs="Calibri"/>
                <w:color w:val="000000" w:themeColor="text1"/>
              </w:rPr>
            </w:pPr>
            <w:proofErr w:type="gramStart"/>
            <w:r w:rsidRPr="00245598">
              <w:rPr>
                <w:rFonts w:ascii="Book Antiqua" w:hAnsi="Book Antiqua" w:cs="Calibri"/>
                <w:bCs/>
                <w:iCs/>
                <w:color w:val="000000" w:themeColor="text1"/>
              </w:rPr>
              <w:t>Yes</w:t>
            </w:r>
            <w:proofErr w:type="gramEnd"/>
            <w:r w:rsidRPr="00245598">
              <w:rPr>
                <w:rFonts w:ascii="Book Antiqua" w:hAnsi="Book Antiqua" w:cs="Calibri"/>
                <w:bCs/>
                <w:iCs/>
                <w:color w:val="000000" w:themeColor="text1"/>
              </w:rPr>
              <w:t xml:space="preserve"> </w:t>
            </w:r>
            <w:r w:rsidRPr="00245598">
              <w:rPr>
                <w:rFonts w:ascii="Book Antiqua" w:hAnsi="Book Antiqua" w:cs="Calibri"/>
                <w:bCs/>
                <w:i/>
                <w:color w:val="000000" w:themeColor="text1"/>
              </w:rPr>
              <w:t>vs</w:t>
            </w:r>
            <w:r w:rsidRPr="00245598">
              <w:rPr>
                <w:rFonts w:ascii="Book Antiqua" w:hAnsi="Book Antiqua" w:cs="Calibri"/>
                <w:bCs/>
                <w:iCs/>
                <w:color w:val="000000" w:themeColor="text1"/>
              </w:rPr>
              <w:t xml:space="preserve"> no</w:t>
            </w:r>
          </w:p>
        </w:tc>
        <w:tc>
          <w:tcPr>
            <w:tcW w:w="2445" w:type="dxa"/>
            <w:shd w:val="clear" w:color="auto" w:fill="auto"/>
            <w:hideMark/>
          </w:tcPr>
          <w:p w14:paraId="43550802"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0.63 (0.08-4.67)</w:t>
            </w:r>
          </w:p>
        </w:tc>
        <w:tc>
          <w:tcPr>
            <w:tcW w:w="1200" w:type="dxa"/>
            <w:shd w:val="clear" w:color="auto" w:fill="auto"/>
            <w:hideMark/>
          </w:tcPr>
          <w:p w14:paraId="302115AF"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0.65</w:t>
            </w:r>
          </w:p>
        </w:tc>
        <w:tc>
          <w:tcPr>
            <w:tcW w:w="1200" w:type="dxa"/>
            <w:shd w:val="clear" w:color="auto" w:fill="auto"/>
            <w:hideMark/>
          </w:tcPr>
          <w:p w14:paraId="0049B611"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0.65</w:t>
            </w:r>
          </w:p>
        </w:tc>
      </w:tr>
      <w:tr w:rsidR="00DE6AEC" w:rsidRPr="00234908" w14:paraId="39A31342" w14:textId="77777777" w:rsidTr="00E36494">
        <w:trPr>
          <w:trHeight w:val="80"/>
          <w:jc w:val="center"/>
        </w:trPr>
        <w:tc>
          <w:tcPr>
            <w:tcW w:w="3328" w:type="dxa"/>
            <w:shd w:val="clear" w:color="auto" w:fill="auto"/>
            <w:vAlign w:val="center"/>
            <w:hideMark/>
          </w:tcPr>
          <w:p w14:paraId="21088FB3" w14:textId="77777777" w:rsidR="00160D54" w:rsidRPr="00245598" w:rsidRDefault="00160D54" w:rsidP="00DE6AEC">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Previous hypertension</w:t>
            </w:r>
          </w:p>
        </w:tc>
        <w:tc>
          <w:tcPr>
            <w:tcW w:w="3588" w:type="dxa"/>
          </w:tcPr>
          <w:p w14:paraId="607D8484" w14:textId="77777777" w:rsidR="00160D54" w:rsidRPr="00245598" w:rsidRDefault="00160D54" w:rsidP="00102F07">
            <w:pPr>
              <w:spacing w:line="360" w:lineRule="auto"/>
              <w:jc w:val="both"/>
              <w:rPr>
                <w:rFonts w:ascii="Book Antiqua" w:hAnsi="Book Antiqua" w:cs="Calibri"/>
                <w:color w:val="000000" w:themeColor="text1"/>
              </w:rPr>
            </w:pPr>
            <w:proofErr w:type="gramStart"/>
            <w:r w:rsidRPr="00245598">
              <w:rPr>
                <w:rFonts w:ascii="Book Antiqua" w:hAnsi="Book Antiqua" w:cs="Calibri"/>
                <w:bCs/>
                <w:iCs/>
                <w:color w:val="000000" w:themeColor="text1"/>
              </w:rPr>
              <w:t>Yes</w:t>
            </w:r>
            <w:proofErr w:type="gramEnd"/>
            <w:r w:rsidRPr="00245598">
              <w:rPr>
                <w:rFonts w:ascii="Book Antiqua" w:hAnsi="Book Antiqua" w:cs="Calibri"/>
                <w:bCs/>
                <w:iCs/>
                <w:color w:val="000000" w:themeColor="text1"/>
              </w:rPr>
              <w:t xml:space="preserve"> </w:t>
            </w:r>
            <w:r w:rsidRPr="00245598">
              <w:rPr>
                <w:rFonts w:ascii="Book Antiqua" w:hAnsi="Book Antiqua" w:cs="Calibri"/>
                <w:bCs/>
                <w:i/>
                <w:color w:val="000000" w:themeColor="text1"/>
              </w:rPr>
              <w:t xml:space="preserve">vs </w:t>
            </w:r>
            <w:r w:rsidRPr="00245598">
              <w:rPr>
                <w:rFonts w:ascii="Book Antiqua" w:hAnsi="Book Antiqua" w:cs="Calibri"/>
                <w:bCs/>
                <w:iCs/>
                <w:color w:val="000000" w:themeColor="text1"/>
              </w:rPr>
              <w:t>no</w:t>
            </w:r>
          </w:p>
        </w:tc>
        <w:tc>
          <w:tcPr>
            <w:tcW w:w="2445" w:type="dxa"/>
            <w:shd w:val="clear" w:color="auto" w:fill="auto"/>
            <w:hideMark/>
          </w:tcPr>
          <w:p w14:paraId="4A51A886"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1.26 (0.50-3.17)</w:t>
            </w:r>
          </w:p>
        </w:tc>
        <w:tc>
          <w:tcPr>
            <w:tcW w:w="1200" w:type="dxa"/>
            <w:shd w:val="clear" w:color="auto" w:fill="auto"/>
            <w:hideMark/>
          </w:tcPr>
          <w:p w14:paraId="39BAFE16"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0.63</w:t>
            </w:r>
          </w:p>
        </w:tc>
        <w:tc>
          <w:tcPr>
            <w:tcW w:w="1200" w:type="dxa"/>
            <w:shd w:val="clear" w:color="auto" w:fill="auto"/>
            <w:hideMark/>
          </w:tcPr>
          <w:p w14:paraId="55B270ED"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0.63</w:t>
            </w:r>
          </w:p>
        </w:tc>
      </w:tr>
      <w:tr w:rsidR="00DE6AEC" w:rsidRPr="00234908" w14:paraId="6883BE09" w14:textId="77777777" w:rsidTr="00E36494">
        <w:trPr>
          <w:trHeight w:val="80"/>
          <w:jc w:val="center"/>
        </w:trPr>
        <w:tc>
          <w:tcPr>
            <w:tcW w:w="3328" w:type="dxa"/>
            <w:shd w:val="clear" w:color="auto" w:fill="auto"/>
            <w:vAlign w:val="center"/>
          </w:tcPr>
          <w:p w14:paraId="402698AD" w14:textId="77777777" w:rsidR="00160D54" w:rsidRPr="00245598" w:rsidRDefault="00160D54" w:rsidP="00DE6AEC">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Viral load</w:t>
            </w:r>
          </w:p>
        </w:tc>
        <w:tc>
          <w:tcPr>
            <w:tcW w:w="3588" w:type="dxa"/>
            <w:vAlign w:val="center"/>
          </w:tcPr>
          <w:p w14:paraId="23BC0C8D" w14:textId="77777777" w:rsidR="00160D54" w:rsidRPr="00245598" w:rsidRDefault="00160D54" w:rsidP="00102F07">
            <w:pPr>
              <w:spacing w:line="360" w:lineRule="auto"/>
              <w:jc w:val="both"/>
              <w:rPr>
                <w:rFonts w:ascii="Book Antiqua" w:hAnsi="Book Antiqua" w:cs="Calibri"/>
                <w:color w:val="000000" w:themeColor="text1"/>
              </w:rPr>
            </w:pPr>
            <w:r w:rsidRPr="00245598">
              <w:rPr>
                <w:rFonts w:ascii="Book Antiqua" w:hAnsi="Book Antiqua" w:cs="Calibri"/>
                <w:bCs/>
                <w:iCs/>
                <w:color w:val="000000" w:themeColor="text1"/>
              </w:rPr>
              <w:t xml:space="preserve">Low </w:t>
            </w:r>
            <w:r w:rsidRPr="00245598">
              <w:rPr>
                <w:rFonts w:ascii="Book Antiqua" w:hAnsi="Book Antiqua" w:cs="Calibri"/>
                <w:bCs/>
                <w:i/>
                <w:color w:val="000000" w:themeColor="text1"/>
              </w:rPr>
              <w:t>vs</w:t>
            </w:r>
            <w:r w:rsidRPr="00245598">
              <w:rPr>
                <w:rFonts w:ascii="Book Antiqua" w:hAnsi="Book Antiqua" w:cs="Calibri"/>
                <w:bCs/>
                <w:iCs/>
                <w:color w:val="000000" w:themeColor="text1"/>
              </w:rPr>
              <w:t xml:space="preserve"> very low</w:t>
            </w:r>
          </w:p>
        </w:tc>
        <w:tc>
          <w:tcPr>
            <w:tcW w:w="2445" w:type="dxa"/>
            <w:shd w:val="clear" w:color="auto" w:fill="auto"/>
            <w:hideMark/>
          </w:tcPr>
          <w:p w14:paraId="003A3FB0"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0.94 (0.30-2.89)</w:t>
            </w:r>
          </w:p>
        </w:tc>
        <w:tc>
          <w:tcPr>
            <w:tcW w:w="1200" w:type="dxa"/>
            <w:shd w:val="clear" w:color="auto" w:fill="auto"/>
            <w:hideMark/>
          </w:tcPr>
          <w:p w14:paraId="55A9FAD5"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0.91</w:t>
            </w:r>
          </w:p>
        </w:tc>
        <w:tc>
          <w:tcPr>
            <w:tcW w:w="1200" w:type="dxa"/>
            <w:shd w:val="clear" w:color="auto" w:fill="auto"/>
            <w:hideMark/>
          </w:tcPr>
          <w:p w14:paraId="7508AA8C"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0.46</w:t>
            </w:r>
          </w:p>
        </w:tc>
      </w:tr>
      <w:tr w:rsidR="00DE6AEC" w:rsidRPr="00234908" w14:paraId="23AB40E5" w14:textId="77777777" w:rsidTr="00E36494">
        <w:trPr>
          <w:trHeight w:val="80"/>
          <w:jc w:val="center"/>
        </w:trPr>
        <w:tc>
          <w:tcPr>
            <w:tcW w:w="3328" w:type="dxa"/>
            <w:shd w:val="clear" w:color="auto" w:fill="auto"/>
            <w:vAlign w:val="center"/>
          </w:tcPr>
          <w:p w14:paraId="211E3ECE" w14:textId="77777777" w:rsidR="00160D54" w:rsidRPr="00245598" w:rsidRDefault="00160D54" w:rsidP="00DE6AEC">
            <w:pPr>
              <w:spacing w:line="360" w:lineRule="auto"/>
              <w:ind w:firstLineChars="200" w:firstLine="480"/>
              <w:jc w:val="both"/>
              <w:rPr>
                <w:rFonts w:ascii="Book Antiqua" w:hAnsi="Book Antiqua" w:cs="Calibri"/>
                <w:color w:val="000000" w:themeColor="text1"/>
              </w:rPr>
            </w:pPr>
          </w:p>
        </w:tc>
        <w:tc>
          <w:tcPr>
            <w:tcW w:w="3588" w:type="dxa"/>
            <w:vAlign w:val="center"/>
          </w:tcPr>
          <w:p w14:paraId="205C2F04" w14:textId="77777777" w:rsidR="00160D54" w:rsidRPr="00245598" w:rsidRDefault="00160D54" w:rsidP="00102F07">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Elevated</w:t>
            </w:r>
            <w:r w:rsidRPr="00245598">
              <w:rPr>
                <w:rFonts w:ascii="Book Antiqua" w:hAnsi="Book Antiqua" w:cs="Calibri"/>
                <w:bCs/>
                <w:iCs/>
                <w:color w:val="000000" w:themeColor="text1"/>
              </w:rPr>
              <w:t xml:space="preserve"> </w:t>
            </w:r>
            <w:r w:rsidRPr="00245598">
              <w:rPr>
                <w:rFonts w:ascii="Book Antiqua" w:hAnsi="Book Antiqua" w:cs="Calibri"/>
                <w:bCs/>
                <w:i/>
                <w:color w:val="000000" w:themeColor="text1"/>
              </w:rPr>
              <w:t xml:space="preserve">vs </w:t>
            </w:r>
            <w:r w:rsidRPr="00245598">
              <w:rPr>
                <w:rFonts w:ascii="Book Antiqua" w:hAnsi="Book Antiqua" w:cs="Calibri"/>
                <w:bCs/>
                <w:iCs/>
                <w:color w:val="000000" w:themeColor="text1"/>
              </w:rPr>
              <w:t>very low</w:t>
            </w:r>
          </w:p>
        </w:tc>
        <w:tc>
          <w:tcPr>
            <w:tcW w:w="2445" w:type="dxa"/>
            <w:shd w:val="clear" w:color="auto" w:fill="auto"/>
            <w:hideMark/>
          </w:tcPr>
          <w:p w14:paraId="0B847F8D"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2.38 (0.77-7.34)</w:t>
            </w:r>
          </w:p>
        </w:tc>
        <w:tc>
          <w:tcPr>
            <w:tcW w:w="1200" w:type="dxa"/>
            <w:shd w:val="clear" w:color="auto" w:fill="auto"/>
            <w:hideMark/>
          </w:tcPr>
          <w:p w14:paraId="751E088E"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0.13</w:t>
            </w:r>
          </w:p>
        </w:tc>
        <w:tc>
          <w:tcPr>
            <w:tcW w:w="1200" w:type="dxa"/>
            <w:shd w:val="clear" w:color="auto" w:fill="auto"/>
            <w:hideMark/>
          </w:tcPr>
          <w:p w14:paraId="1C3B229A" w14:textId="77777777" w:rsidR="00160D54" w:rsidRPr="00245598" w:rsidRDefault="00160D54">
            <w:pPr>
              <w:spacing w:line="360" w:lineRule="auto"/>
              <w:jc w:val="both"/>
              <w:rPr>
                <w:rFonts w:ascii="Book Antiqua" w:hAnsi="Book Antiqua" w:cs="Calibri"/>
                <w:color w:val="000000" w:themeColor="text1"/>
              </w:rPr>
            </w:pPr>
          </w:p>
        </w:tc>
      </w:tr>
      <w:tr w:rsidR="00DE6AEC" w:rsidRPr="00234908" w14:paraId="11249CF2" w14:textId="77777777" w:rsidTr="00E36494">
        <w:trPr>
          <w:trHeight w:val="55"/>
          <w:jc w:val="center"/>
        </w:trPr>
        <w:tc>
          <w:tcPr>
            <w:tcW w:w="3328" w:type="dxa"/>
            <w:shd w:val="clear" w:color="auto" w:fill="auto"/>
            <w:vAlign w:val="center"/>
          </w:tcPr>
          <w:p w14:paraId="7BE54796" w14:textId="77777777" w:rsidR="00160D54" w:rsidRPr="00245598" w:rsidRDefault="00160D54" w:rsidP="00DE6AEC">
            <w:pPr>
              <w:spacing w:line="360" w:lineRule="auto"/>
              <w:ind w:firstLineChars="200" w:firstLine="480"/>
              <w:jc w:val="both"/>
              <w:rPr>
                <w:rFonts w:ascii="Book Antiqua" w:hAnsi="Book Antiqua" w:cs="Calibri"/>
                <w:color w:val="000000" w:themeColor="text1"/>
              </w:rPr>
            </w:pPr>
          </w:p>
        </w:tc>
        <w:tc>
          <w:tcPr>
            <w:tcW w:w="3588" w:type="dxa"/>
            <w:vAlign w:val="center"/>
          </w:tcPr>
          <w:p w14:paraId="25F840C0" w14:textId="77777777" w:rsidR="00160D54" w:rsidRPr="00245598" w:rsidRDefault="00160D54" w:rsidP="00102F07">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Very elevated</w:t>
            </w:r>
            <w:r w:rsidRPr="00245598">
              <w:rPr>
                <w:rFonts w:ascii="Book Antiqua" w:hAnsi="Book Antiqua" w:cs="Calibri"/>
                <w:bCs/>
                <w:iCs/>
                <w:color w:val="000000" w:themeColor="text1"/>
              </w:rPr>
              <w:t xml:space="preserve"> </w:t>
            </w:r>
            <w:r w:rsidRPr="00245598">
              <w:rPr>
                <w:rFonts w:ascii="Book Antiqua" w:hAnsi="Book Antiqua" w:cs="Calibri"/>
                <w:bCs/>
                <w:i/>
                <w:color w:val="000000" w:themeColor="text1"/>
              </w:rPr>
              <w:t>vs</w:t>
            </w:r>
            <w:r w:rsidRPr="00245598">
              <w:rPr>
                <w:rFonts w:ascii="Book Antiqua" w:hAnsi="Book Antiqua" w:cs="Calibri"/>
                <w:bCs/>
                <w:iCs/>
                <w:color w:val="000000" w:themeColor="text1"/>
              </w:rPr>
              <w:t xml:space="preserve"> very low</w:t>
            </w:r>
          </w:p>
        </w:tc>
        <w:tc>
          <w:tcPr>
            <w:tcW w:w="2445" w:type="dxa"/>
            <w:shd w:val="clear" w:color="auto" w:fill="auto"/>
            <w:hideMark/>
          </w:tcPr>
          <w:p w14:paraId="3FD8D7F2"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1.40 (0.40-4.93)</w:t>
            </w:r>
          </w:p>
        </w:tc>
        <w:tc>
          <w:tcPr>
            <w:tcW w:w="1200" w:type="dxa"/>
            <w:shd w:val="clear" w:color="auto" w:fill="auto"/>
            <w:hideMark/>
          </w:tcPr>
          <w:p w14:paraId="7CE142B7"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0.60</w:t>
            </w:r>
          </w:p>
        </w:tc>
        <w:tc>
          <w:tcPr>
            <w:tcW w:w="1200" w:type="dxa"/>
            <w:shd w:val="clear" w:color="auto" w:fill="auto"/>
            <w:hideMark/>
          </w:tcPr>
          <w:p w14:paraId="68C96495" w14:textId="77777777" w:rsidR="00160D54" w:rsidRPr="00245598" w:rsidRDefault="00160D54">
            <w:pPr>
              <w:spacing w:line="360" w:lineRule="auto"/>
              <w:jc w:val="both"/>
              <w:rPr>
                <w:rFonts w:ascii="Book Antiqua" w:hAnsi="Book Antiqua" w:cs="Calibri"/>
                <w:color w:val="000000" w:themeColor="text1"/>
              </w:rPr>
            </w:pPr>
          </w:p>
        </w:tc>
      </w:tr>
      <w:tr w:rsidR="00DE6AEC" w:rsidRPr="00234908" w14:paraId="3D037112" w14:textId="77777777" w:rsidTr="00E36494">
        <w:trPr>
          <w:trHeight w:val="55"/>
          <w:jc w:val="center"/>
        </w:trPr>
        <w:tc>
          <w:tcPr>
            <w:tcW w:w="3328" w:type="dxa"/>
            <w:shd w:val="clear" w:color="auto" w:fill="auto"/>
            <w:vAlign w:val="center"/>
            <w:hideMark/>
          </w:tcPr>
          <w:p w14:paraId="44A5AA35" w14:textId="77777777" w:rsidR="00160D54" w:rsidRPr="00245598" w:rsidRDefault="00160D54" w:rsidP="00DE6AEC">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Previous HBV therapy</w:t>
            </w:r>
          </w:p>
        </w:tc>
        <w:tc>
          <w:tcPr>
            <w:tcW w:w="3588" w:type="dxa"/>
          </w:tcPr>
          <w:p w14:paraId="227F993C" w14:textId="77777777" w:rsidR="00160D54" w:rsidRPr="00245598" w:rsidRDefault="00160D54" w:rsidP="00102F07">
            <w:pPr>
              <w:spacing w:line="360" w:lineRule="auto"/>
              <w:jc w:val="both"/>
              <w:rPr>
                <w:rFonts w:ascii="Book Antiqua" w:hAnsi="Book Antiqua" w:cs="Calibri"/>
                <w:color w:val="000000" w:themeColor="text1"/>
              </w:rPr>
            </w:pPr>
            <w:proofErr w:type="gramStart"/>
            <w:r w:rsidRPr="00245598">
              <w:rPr>
                <w:rFonts w:ascii="Book Antiqua" w:hAnsi="Book Antiqua" w:cs="Calibri"/>
                <w:bCs/>
                <w:iCs/>
                <w:color w:val="000000" w:themeColor="text1"/>
              </w:rPr>
              <w:t>Yes</w:t>
            </w:r>
            <w:proofErr w:type="gramEnd"/>
            <w:r w:rsidRPr="00245598">
              <w:rPr>
                <w:rFonts w:ascii="Book Antiqua" w:hAnsi="Book Antiqua" w:cs="Calibri"/>
                <w:bCs/>
                <w:iCs/>
                <w:color w:val="000000" w:themeColor="text1"/>
              </w:rPr>
              <w:t xml:space="preserve"> </w:t>
            </w:r>
            <w:r w:rsidRPr="00245598">
              <w:rPr>
                <w:rFonts w:ascii="Book Antiqua" w:hAnsi="Book Antiqua" w:cs="Calibri"/>
                <w:bCs/>
                <w:i/>
                <w:color w:val="000000" w:themeColor="text1"/>
              </w:rPr>
              <w:t>vs</w:t>
            </w:r>
            <w:r w:rsidRPr="00245598">
              <w:rPr>
                <w:rFonts w:ascii="Book Antiqua" w:hAnsi="Book Antiqua" w:cs="Calibri"/>
                <w:bCs/>
                <w:iCs/>
                <w:color w:val="000000" w:themeColor="text1"/>
              </w:rPr>
              <w:t xml:space="preserve"> no</w:t>
            </w:r>
          </w:p>
        </w:tc>
        <w:tc>
          <w:tcPr>
            <w:tcW w:w="2445" w:type="dxa"/>
            <w:shd w:val="clear" w:color="auto" w:fill="auto"/>
            <w:hideMark/>
          </w:tcPr>
          <w:p w14:paraId="14264E71"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1.11 (0.33-3.74)</w:t>
            </w:r>
          </w:p>
        </w:tc>
        <w:tc>
          <w:tcPr>
            <w:tcW w:w="1200" w:type="dxa"/>
            <w:shd w:val="clear" w:color="auto" w:fill="auto"/>
            <w:hideMark/>
          </w:tcPr>
          <w:p w14:paraId="1C9C0F02"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0.86</w:t>
            </w:r>
          </w:p>
        </w:tc>
        <w:tc>
          <w:tcPr>
            <w:tcW w:w="1200" w:type="dxa"/>
            <w:shd w:val="clear" w:color="auto" w:fill="auto"/>
            <w:hideMark/>
          </w:tcPr>
          <w:p w14:paraId="29F87DEB"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0.86</w:t>
            </w:r>
          </w:p>
        </w:tc>
      </w:tr>
      <w:tr w:rsidR="00DE6AEC" w:rsidRPr="00234908" w14:paraId="2F2FF854" w14:textId="77777777" w:rsidTr="00E36494">
        <w:trPr>
          <w:trHeight w:val="80"/>
          <w:jc w:val="center"/>
        </w:trPr>
        <w:tc>
          <w:tcPr>
            <w:tcW w:w="3328" w:type="dxa"/>
            <w:shd w:val="clear" w:color="auto" w:fill="auto"/>
            <w:hideMark/>
          </w:tcPr>
          <w:p w14:paraId="48158B11" w14:textId="77777777" w:rsidR="00160D54" w:rsidRPr="00245598" w:rsidRDefault="00160D54" w:rsidP="00DE6AEC">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 xml:space="preserve">Age at inclusion </w:t>
            </w:r>
          </w:p>
        </w:tc>
        <w:tc>
          <w:tcPr>
            <w:tcW w:w="3588" w:type="dxa"/>
          </w:tcPr>
          <w:p w14:paraId="7D84E89C" w14:textId="77777777" w:rsidR="00160D54" w:rsidRPr="00245598" w:rsidRDefault="00160D54" w:rsidP="00102F07">
            <w:pPr>
              <w:spacing w:line="360" w:lineRule="auto"/>
              <w:jc w:val="both"/>
              <w:rPr>
                <w:rFonts w:ascii="Book Antiqua" w:hAnsi="Book Antiqua" w:cs="Calibri"/>
                <w:color w:val="000000" w:themeColor="text1"/>
              </w:rPr>
            </w:pPr>
          </w:p>
        </w:tc>
        <w:tc>
          <w:tcPr>
            <w:tcW w:w="2445" w:type="dxa"/>
            <w:shd w:val="clear" w:color="auto" w:fill="auto"/>
            <w:hideMark/>
          </w:tcPr>
          <w:p w14:paraId="6EDC95EA"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1.02 (0.98-1.05)</w:t>
            </w:r>
          </w:p>
        </w:tc>
        <w:tc>
          <w:tcPr>
            <w:tcW w:w="1200" w:type="dxa"/>
            <w:shd w:val="clear" w:color="auto" w:fill="auto"/>
            <w:hideMark/>
          </w:tcPr>
          <w:p w14:paraId="1F702BEB" w14:textId="77777777" w:rsidR="00160D54" w:rsidRPr="00245598" w:rsidRDefault="00160D54" w:rsidP="00234908">
            <w:pPr>
              <w:spacing w:line="360" w:lineRule="auto"/>
              <w:jc w:val="both"/>
              <w:rPr>
                <w:rFonts w:ascii="Book Antiqua" w:hAnsi="Book Antiqua" w:cs="Calibri"/>
                <w:color w:val="000000" w:themeColor="text1"/>
              </w:rPr>
            </w:pPr>
          </w:p>
        </w:tc>
        <w:tc>
          <w:tcPr>
            <w:tcW w:w="1200" w:type="dxa"/>
            <w:shd w:val="clear" w:color="auto" w:fill="auto"/>
            <w:hideMark/>
          </w:tcPr>
          <w:p w14:paraId="2D519E3B"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0.35</w:t>
            </w:r>
          </w:p>
        </w:tc>
      </w:tr>
      <w:tr w:rsidR="00DE6AEC" w:rsidRPr="00234908" w14:paraId="2957EE09" w14:textId="77777777" w:rsidTr="00E36494">
        <w:trPr>
          <w:trHeight w:val="80"/>
          <w:jc w:val="center"/>
        </w:trPr>
        <w:tc>
          <w:tcPr>
            <w:tcW w:w="3328" w:type="dxa"/>
            <w:shd w:val="clear" w:color="auto" w:fill="auto"/>
            <w:hideMark/>
          </w:tcPr>
          <w:p w14:paraId="5E567F83" w14:textId="77777777" w:rsidR="00160D54" w:rsidRPr="00245598" w:rsidRDefault="00160D54" w:rsidP="00DE6AEC">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BMI at inclusion</w:t>
            </w:r>
          </w:p>
        </w:tc>
        <w:tc>
          <w:tcPr>
            <w:tcW w:w="3588" w:type="dxa"/>
          </w:tcPr>
          <w:p w14:paraId="3766ABFE" w14:textId="77777777" w:rsidR="00160D54" w:rsidRPr="00245598" w:rsidRDefault="00160D54" w:rsidP="00102F07">
            <w:pPr>
              <w:spacing w:line="360" w:lineRule="auto"/>
              <w:jc w:val="both"/>
              <w:rPr>
                <w:rFonts w:ascii="Book Antiqua" w:hAnsi="Book Antiqua" w:cs="Calibri"/>
                <w:color w:val="000000" w:themeColor="text1"/>
              </w:rPr>
            </w:pPr>
          </w:p>
        </w:tc>
        <w:tc>
          <w:tcPr>
            <w:tcW w:w="2445" w:type="dxa"/>
            <w:shd w:val="clear" w:color="auto" w:fill="auto"/>
            <w:hideMark/>
          </w:tcPr>
          <w:p w14:paraId="78E0FC39"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0.98 (0.89-1.08)</w:t>
            </w:r>
          </w:p>
        </w:tc>
        <w:tc>
          <w:tcPr>
            <w:tcW w:w="1200" w:type="dxa"/>
            <w:shd w:val="clear" w:color="auto" w:fill="auto"/>
            <w:hideMark/>
          </w:tcPr>
          <w:p w14:paraId="6A390573" w14:textId="77777777" w:rsidR="00160D54" w:rsidRPr="00245598" w:rsidRDefault="00160D54" w:rsidP="00234908">
            <w:pPr>
              <w:spacing w:line="360" w:lineRule="auto"/>
              <w:jc w:val="both"/>
              <w:rPr>
                <w:rFonts w:ascii="Book Antiqua" w:hAnsi="Book Antiqua" w:cs="Calibri"/>
                <w:color w:val="000000" w:themeColor="text1"/>
              </w:rPr>
            </w:pPr>
          </w:p>
        </w:tc>
        <w:tc>
          <w:tcPr>
            <w:tcW w:w="1200" w:type="dxa"/>
            <w:shd w:val="clear" w:color="auto" w:fill="auto"/>
            <w:hideMark/>
          </w:tcPr>
          <w:p w14:paraId="2892F89A" w14:textId="77777777" w:rsidR="00160D54" w:rsidRPr="00245598" w:rsidRDefault="00160D54">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0.67</w:t>
            </w:r>
          </w:p>
        </w:tc>
      </w:tr>
      <w:tr w:rsidR="00DE6AEC" w:rsidRPr="00234908" w14:paraId="6D2061CD" w14:textId="77777777" w:rsidTr="00E36494">
        <w:trPr>
          <w:trHeight w:val="80"/>
          <w:jc w:val="center"/>
        </w:trPr>
        <w:tc>
          <w:tcPr>
            <w:tcW w:w="3328" w:type="dxa"/>
            <w:shd w:val="clear" w:color="auto" w:fill="auto"/>
            <w:hideMark/>
          </w:tcPr>
          <w:p w14:paraId="2D538AB0" w14:textId="77777777" w:rsidR="00160D54" w:rsidRPr="00245598" w:rsidRDefault="00160D54" w:rsidP="00DE6AEC">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ALAT at inclusion</w:t>
            </w:r>
          </w:p>
        </w:tc>
        <w:tc>
          <w:tcPr>
            <w:tcW w:w="3588" w:type="dxa"/>
          </w:tcPr>
          <w:p w14:paraId="78FC5D59" w14:textId="77777777" w:rsidR="00160D54" w:rsidRPr="00245598" w:rsidRDefault="00160D54" w:rsidP="00102F07">
            <w:pPr>
              <w:spacing w:line="360" w:lineRule="auto"/>
              <w:jc w:val="both"/>
              <w:rPr>
                <w:rFonts w:ascii="Book Antiqua" w:hAnsi="Book Antiqua" w:cs="Calibri"/>
                <w:color w:val="000000" w:themeColor="text1"/>
              </w:rPr>
            </w:pPr>
          </w:p>
        </w:tc>
        <w:tc>
          <w:tcPr>
            <w:tcW w:w="2445" w:type="dxa"/>
            <w:shd w:val="clear" w:color="auto" w:fill="auto"/>
            <w:hideMark/>
          </w:tcPr>
          <w:p w14:paraId="04961041" w14:textId="77777777" w:rsidR="00160D54" w:rsidRPr="00245598" w:rsidRDefault="00160D54" w:rsidP="00234908">
            <w:pPr>
              <w:spacing w:line="360" w:lineRule="auto"/>
              <w:jc w:val="both"/>
              <w:rPr>
                <w:rFonts w:ascii="Book Antiqua" w:hAnsi="Book Antiqua" w:cs="Calibri"/>
                <w:color w:val="000000" w:themeColor="text1"/>
              </w:rPr>
            </w:pPr>
            <w:r w:rsidRPr="00245598">
              <w:rPr>
                <w:rFonts w:ascii="Book Antiqua" w:hAnsi="Book Antiqua" w:cs="Calibri"/>
                <w:color w:val="000000" w:themeColor="text1"/>
              </w:rPr>
              <w:t>1.00 (0.99-1.01)</w:t>
            </w:r>
          </w:p>
        </w:tc>
        <w:tc>
          <w:tcPr>
            <w:tcW w:w="1200" w:type="dxa"/>
            <w:shd w:val="clear" w:color="auto" w:fill="auto"/>
            <w:hideMark/>
          </w:tcPr>
          <w:p w14:paraId="0BFA36E7" w14:textId="77777777" w:rsidR="00160D54" w:rsidRPr="00245598" w:rsidRDefault="00160D54" w:rsidP="00234908">
            <w:pPr>
              <w:spacing w:line="360" w:lineRule="auto"/>
              <w:jc w:val="both"/>
              <w:rPr>
                <w:rFonts w:ascii="Book Antiqua" w:hAnsi="Book Antiqua" w:cs="Calibri"/>
                <w:color w:val="000000" w:themeColor="text1"/>
              </w:rPr>
            </w:pPr>
          </w:p>
        </w:tc>
        <w:tc>
          <w:tcPr>
            <w:tcW w:w="1200" w:type="dxa"/>
            <w:shd w:val="clear" w:color="auto" w:fill="auto"/>
            <w:hideMark/>
          </w:tcPr>
          <w:p w14:paraId="1918F29E" w14:textId="77777777" w:rsidR="00160D54" w:rsidRPr="00245598" w:rsidRDefault="00160D54">
            <w:pPr>
              <w:keepNext/>
              <w:spacing w:line="360" w:lineRule="auto"/>
              <w:jc w:val="both"/>
              <w:rPr>
                <w:rFonts w:ascii="Book Antiqua" w:hAnsi="Book Antiqua" w:cs="Calibri"/>
                <w:color w:val="000000" w:themeColor="text1"/>
              </w:rPr>
            </w:pPr>
            <w:r w:rsidRPr="00245598">
              <w:rPr>
                <w:rFonts w:ascii="Book Antiqua" w:hAnsi="Book Antiqua" w:cs="Calibri"/>
                <w:color w:val="000000" w:themeColor="text1"/>
              </w:rPr>
              <w:t>0.67</w:t>
            </w:r>
          </w:p>
        </w:tc>
      </w:tr>
    </w:tbl>
    <w:p w14:paraId="4E262720" w14:textId="6D98A771" w:rsidR="00F60F02" w:rsidRPr="00245598" w:rsidRDefault="00955EFA" w:rsidP="00245598">
      <w:pPr>
        <w:spacing w:line="360" w:lineRule="auto"/>
        <w:jc w:val="both"/>
        <w:rPr>
          <w:rFonts w:hint="eastAsia"/>
          <w:lang w:eastAsia="zh-CN"/>
        </w:rPr>
      </w:pPr>
      <w:r w:rsidRPr="00234908">
        <w:rPr>
          <w:rFonts w:ascii="Book Antiqua" w:hAnsi="Book Antiqua"/>
          <w:color w:val="000000" w:themeColor="text1"/>
          <w:lang w:eastAsia="zh-CN"/>
        </w:rPr>
        <w:t xml:space="preserve">ALAT: Alanine aminotransferase; BMI: </w:t>
      </w:r>
      <w:r w:rsidRPr="00234908">
        <w:rPr>
          <w:rFonts w:ascii="Book Antiqua" w:hAnsi="Book Antiqua"/>
          <w:color w:val="000000" w:themeColor="text1"/>
        </w:rPr>
        <w:t>Body mass index</w:t>
      </w:r>
      <w:r w:rsidRPr="00234908">
        <w:rPr>
          <w:rFonts w:ascii="Book Antiqua" w:hAnsi="Book Antiqua"/>
          <w:color w:val="000000" w:themeColor="text1"/>
          <w:lang w:eastAsia="zh-CN"/>
        </w:rPr>
        <w:t xml:space="preserve">; </w:t>
      </w:r>
      <w:r w:rsidRPr="00234908">
        <w:rPr>
          <w:rFonts w:ascii="Book Antiqua" w:hAnsi="Book Antiqua"/>
          <w:color w:val="000000" w:themeColor="text1"/>
        </w:rPr>
        <w:t xml:space="preserve">ETV: </w:t>
      </w:r>
      <w:r w:rsidRPr="00234908">
        <w:rPr>
          <w:rFonts w:ascii="Book Antiqua" w:eastAsia="Book Antiqua" w:hAnsi="Book Antiqua" w:cs="Book Antiqua"/>
          <w:color w:val="000000" w:themeColor="text1"/>
        </w:rPr>
        <w:t>Entecavir</w:t>
      </w:r>
      <w:r w:rsidRPr="00234908">
        <w:rPr>
          <w:rFonts w:ascii="Book Antiqua" w:hAnsi="Book Antiqua"/>
          <w:color w:val="000000" w:themeColor="text1"/>
        </w:rPr>
        <w:t xml:space="preserve">; </w:t>
      </w:r>
      <w:r w:rsidRPr="00234908">
        <w:rPr>
          <w:rFonts w:ascii="Book Antiqua" w:hAnsi="Book Antiqua"/>
          <w:color w:val="000000" w:themeColor="text1"/>
          <w:lang w:eastAsia="zh-CN"/>
        </w:rPr>
        <w:t>HBV</w:t>
      </w:r>
      <w:r w:rsidRPr="00234908">
        <w:rPr>
          <w:rFonts w:ascii="Book Antiqua" w:eastAsia="Book Antiqua" w:hAnsi="Book Antiqua" w:cs="Book Antiqua"/>
          <w:color w:val="000000" w:themeColor="text1"/>
        </w:rPr>
        <w:t xml:space="preserve">: Hepatitis B virus; </w:t>
      </w:r>
      <w:r w:rsidR="00160D54" w:rsidRPr="00245598">
        <w:rPr>
          <w:rFonts w:ascii="Book Antiqua" w:hAnsi="Book Antiqua"/>
          <w:color w:val="000000" w:themeColor="text1"/>
          <w:lang w:eastAsia="zh-CN"/>
        </w:rPr>
        <w:t xml:space="preserve">HR: </w:t>
      </w:r>
      <w:r w:rsidR="00160D54" w:rsidRPr="00245598">
        <w:rPr>
          <w:rFonts w:ascii="Book Antiqua" w:hAnsi="Book Antiqua"/>
          <w:color w:val="000000" w:themeColor="text1"/>
        </w:rPr>
        <w:t>Hazard ratio</w:t>
      </w:r>
      <w:r w:rsidR="00160D54" w:rsidRPr="00245598">
        <w:rPr>
          <w:rFonts w:ascii="Book Antiqua" w:hAnsi="Book Antiqua"/>
          <w:color w:val="000000" w:themeColor="text1"/>
          <w:lang w:eastAsia="zh-CN"/>
        </w:rPr>
        <w:t xml:space="preserve">; </w:t>
      </w:r>
      <w:r w:rsidR="00160D54" w:rsidRPr="00245598">
        <w:rPr>
          <w:rFonts w:ascii="Book Antiqua" w:hAnsi="Book Antiqua"/>
          <w:color w:val="000000" w:themeColor="text1"/>
        </w:rPr>
        <w:t xml:space="preserve">TDF: </w:t>
      </w:r>
      <w:r w:rsidR="00160D54" w:rsidRPr="00245598">
        <w:rPr>
          <w:rFonts w:ascii="Book Antiqua" w:eastAsia="Book Antiqua" w:hAnsi="Book Antiqua" w:cs="Book Antiqua"/>
          <w:color w:val="000000" w:themeColor="text1"/>
        </w:rPr>
        <w:t>Tenofovir disoproxil</w:t>
      </w:r>
      <w:r w:rsidRPr="00234908">
        <w:rPr>
          <w:rFonts w:ascii="Book Antiqua" w:eastAsia="Book Antiqua" w:hAnsi="Book Antiqua" w:cs="Book Antiqua"/>
          <w:color w:val="000000" w:themeColor="text1"/>
        </w:rPr>
        <w:t>.</w:t>
      </w:r>
      <w:r w:rsidR="00160D54" w:rsidRPr="00245598">
        <w:rPr>
          <w:rFonts w:ascii="Book Antiqua" w:hAnsi="Book Antiqua"/>
          <w:color w:val="000000" w:themeColor="text1"/>
          <w:lang w:eastAsia="zh-CN"/>
        </w:rPr>
        <w:t xml:space="preserve"> </w:t>
      </w:r>
    </w:p>
    <w:sectPr w:rsidR="00F60F02" w:rsidRPr="002455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B3995" w14:textId="77777777" w:rsidR="00E5411F" w:rsidRDefault="00E5411F" w:rsidP="00C23B97">
      <w:r>
        <w:separator/>
      </w:r>
    </w:p>
  </w:endnote>
  <w:endnote w:type="continuationSeparator" w:id="0">
    <w:p w14:paraId="05152D82" w14:textId="77777777" w:rsidR="00E5411F" w:rsidRDefault="00E5411F" w:rsidP="00C23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Garamond-BoldItalic">
    <w:panose1 w:val="00000000000000000000"/>
    <w:charset w:val="00"/>
    <w:family w:val="auto"/>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AGaramond-Regular">
    <w:altName w:val="MS Mincho"/>
    <w:panose1 w:val="00000000000000000000"/>
    <w:charset w:val="80"/>
    <w:family w:val="auto"/>
    <w:notTrueType/>
    <w:pitch w:val="default"/>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343056119"/>
      <w:docPartObj>
        <w:docPartGallery w:val="Page Numbers (Bottom of Page)"/>
        <w:docPartUnique/>
      </w:docPartObj>
    </w:sdtPr>
    <w:sdtEndPr>
      <w:rPr>
        <w:noProof/>
      </w:rPr>
    </w:sdtEndPr>
    <w:sdtContent>
      <w:p w14:paraId="55DC1E82" w14:textId="66520E35" w:rsidR="00DE6AEC" w:rsidRPr="00245598" w:rsidRDefault="00DE6AEC">
        <w:pPr>
          <w:pStyle w:val="a7"/>
          <w:jc w:val="right"/>
          <w:rPr>
            <w:rFonts w:ascii="Book Antiqua" w:hAnsi="Book Antiqua"/>
            <w:sz w:val="24"/>
            <w:szCs w:val="24"/>
          </w:rPr>
        </w:pPr>
        <w:r w:rsidRPr="00245598">
          <w:rPr>
            <w:rFonts w:ascii="Book Antiqua" w:hAnsi="Book Antiqua"/>
            <w:sz w:val="24"/>
            <w:szCs w:val="24"/>
          </w:rPr>
          <w:fldChar w:fldCharType="begin"/>
        </w:r>
        <w:r w:rsidRPr="00245598">
          <w:rPr>
            <w:rFonts w:ascii="Book Antiqua" w:hAnsi="Book Antiqua"/>
            <w:sz w:val="24"/>
            <w:szCs w:val="24"/>
          </w:rPr>
          <w:instrText xml:space="preserve"> PAGE   \* MERGEFORMAT </w:instrText>
        </w:r>
        <w:r w:rsidRPr="00245598">
          <w:rPr>
            <w:rFonts w:ascii="Book Antiqua" w:hAnsi="Book Antiqua"/>
            <w:sz w:val="24"/>
            <w:szCs w:val="24"/>
          </w:rPr>
          <w:fldChar w:fldCharType="separate"/>
        </w:r>
        <w:r w:rsidRPr="00245598">
          <w:rPr>
            <w:rFonts w:ascii="Book Antiqua" w:hAnsi="Book Antiqua"/>
            <w:noProof/>
            <w:sz w:val="24"/>
            <w:szCs w:val="24"/>
          </w:rPr>
          <w:t>2</w:t>
        </w:r>
        <w:r w:rsidRPr="00245598">
          <w:rPr>
            <w:rFonts w:ascii="Book Antiqua" w:hAnsi="Book Antiqua"/>
            <w:noProof/>
            <w:sz w:val="24"/>
            <w:szCs w:val="24"/>
          </w:rPr>
          <w:fldChar w:fldCharType="end"/>
        </w:r>
        <w:r>
          <w:rPr>
            <w:rFonts w:ascii="Book Antiqua" w:hAnsi="Book Antiqua"/>
            <w:noProof/>
            <w:sz w:val="24"/>
            <w:szCs w:val="24"/>
          </w:rPr>
          <w:t xml:space="preserve"> </w:t>
        </w:r>
        <w:r w:rsidRPr="00245598">
          <w:rPr>
            <w:rFonts w:ascii="Book Antiqua" w:hAnsi="Book Antiqua"/>
            <w:noProof/>
            <w:sz w:val="24"/>
            <w:szCs w:val="24"/>
          </w:rPr>
          <w:t>/</w:t>
        </w:r>
        <w:r>
          <w:rPr>
            <w:rFonts w:ascii="Book Antiqua" w:hAnsi="Book Antiqua"/>
            <w:noProof/>
            <w:sz w:val="24"/>
            <w:szCs w:val="24"/>
          </w:rPr>
          <w:t xml:space="preserve"> </w:t>
        </w:r>
        <w:r w:rsidR="00245598">
          <w:rPr>
            <w:rFonts w:ascii="Book Antiqua" w:hAnsi="Book Antiqua"/>
            <w:noProof/>
            <w:sz w:val="24"/>
            <w:szCs w:val="24"/>
          </w:rPr>
          <w:t>40</w:t>
        </w:r>
      </w:p>
    </w:sdtContent>
  </w:sdt>
  <w:p w14:paraId="42CA969A" w14:textId="77777777" w:rsidR="00DE6AEC" w:rsidRDefault="00DE6AE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4E6AB" w14:textId="77777777" w:rsidR="00E5411F" w:rsidRDefault="00E5411F" w:rsidP="00C23B97">
      <w:r>
        <w:separator/>
      </w:r>
    </w:p>
  </w:footnote>
  <w:footnote w:type="continuationSeparator" w:id="0">
    <w:p w14:paraId="0EA43C0E" w14:textId="77777777" w:rsidR="00E5411F" w:rsidRDefault="00E5411F" w:rsidP="00C23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E66AB"/>
    <w:multiLevelType w:val="multilevel"/>
    <w:tmpl w:val="DE76166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583EAD"/>
    <w:multiLevelType w:val="hybridMultilevel"/>
    <w:tmpl w:val="31B09196"/>
    <w:lvl w:ilvl="0" w:tplc="F3349E7A">
      <w:start w:val="1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AA4864"/>
    <w:multiLevelType w:val="multilevel"/>
    <w:tmpl w:val="E06ABC3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13C544F"/>
    <w:multiLevelType w:val="multilevel"/>
    <w:tmpl w:val="3F167BCE"/>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776" w:hanging="36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036" w:hanging="1080"/>
      </w:pPr>
      <w:rPr>
        <w:rFonts w:hint="default"/>
      </w:rPr>
    </w:lvl>
    <w:lvl w:ilvl="8">
      <w:start w:val="1"/>
      <w:numFmt w:val="decimal"/>
      <w:lvlText w:val="%1.%2.%3.%4.%5.%6.%7.%8.%9"/>
      <w:lvlJc w:val="left"/>
      <w:pPr>
        <w:ind w:left="7104" w:hanging="1440"/>
      </w:pPr>
      <w:rPr>
        <w:rFonts w:hint="default"/>
      </w:rPr>
    </w:lvl>
  </w:abstractNum>
  <w:abstractNum w:abstractNumId="4" w15:restartNumberingAfterBreak="0">
    <w:nsid w:val="68CA6D98"/>
    <w:multiLevelType w:val="multilevel"/>
    <w:tmpl w:val="699C27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BE1772D"/>
    <w:multiLevelType w:val="multilevel"/>
    <w:tmpl w:val="B226FE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D1D491E"/>
    <w:multiLevelType w:val="multilevel"/>
    <w:tmpl w:val="94AE5A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41F0A45"/>
    <w:multiLevelType w:val="multilevel"/>
    <w:tmpl w:val="6FB6096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776" w:hanging="36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036" w:hanging="1080"/>
      </w:pPr>
      <w:rPr>
        <w:rFonts w:hint="default"/>
      </w:rPr>
    </w:lvl>
    <w:lvl w:ilvl="8">
      <w:start w:val="1"/>
      <w:numFmt w:val="decimal"/>
      <w:lvlText w:val="%1.%2.%3.%4.%5.%6.%7.%8.%9"/>
      <w:lvlJc w:val="left"/>
      <w:pPr>
        <w:ind w:left="7104" w:hanging="1440"/>
      </w:pPr>
      <w:rPr>
        <w:rFonts w:hint="default"/>
      </w:rPr>
    </w:lvl>
  </w:abstractNum>
  <w:abstractNum w:abstractNumId="8" w15:restartNumberingAfterBreak="0">
    <w:nsid w:val="76B145A6"/>
    <w:multiLevelType w:val="multilevel"/>
    <w:tmpl w:val="810E8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6"/>
  </w:num>
  <w:num w:numId="3">
    <w:abstractNumId w:val="8"/>
  </w:num>
  <w:num w:numId="4">
    <w:abstractNumId w:val="7"/>
  </w:num>
  <w:num w:numId="5">
    <w:abstractNumId w:val="3"/>
  </w:num>
  <w:num w:numId="6">
    <w:abstractNumId w:val="5"/>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27D"/>
    <w:rsid w:val="00017ED2"/>
    <w:rsid w:val="00021AC4"/>
    <w:rsid w:val="00023232"/>
    <w:rsid w:val="00026550"/>
    <w:rsid w:val="00031EE4"/>
    <w:rsid w:val="00063FE6"/>
    <w:rsid w:val="00076319"/>
    <w:rsid w:val="00092461"/>
    <w:rsid w:val="000A77B5"/>
    <w:rsid w:val="000F2C56"/>
    <w:rsid w:val="000F3C6C"/>
    <w:rsid w:val="00102917"/>
    <w:rsid w:val="00102F07"/>
    <w:rsid w:val="0010660E"/>
    <w:rsid w:val="0012692A"/>
    <w:rsid w:val="001308BB"/>
    <w:rsid w:val="00137B2E"/>
    <w:rsid w:val="001468F2"/>
    <w:rsid w:val="00147119"/>
    <w:rsid w:val="001509AA"/>
    <w:rsid w:val="00160D54"/>
    <w:rsid w:val="00161FF7"/>
    <w:rsid w:val="00174378"/>
    <w:rsid w:val="00183500"/>
    <w:rsid w:val="00186548"/>
    <w:rsid w:val="001A1BC3"/>
    <w:rsid w:val="001A707C"/>
    <w:rsid w:val="001A7824"/>
    <w:rsid w:val="001B4297"/>
    <w:rsid w:val="001C5E5A"/>
    <w:rsid w:val="001D1537"/>
    <w:rsid w:val="001E061E"/>
    <w:rsid w:val="001E0D30"/>
    <w:rsid w:val="00202292"/>
    <w:rsid w:val="00234908"/>
    <w:rsid w:val="00236412"/>
    <w:rsid w:val="00242A38"/>
    <w:rsid w:val="00245598"/>
    <w:rsid w:val="00247324"/>
    <w:rsid w:val="002739D8"/>
    <w:rsid w:val="002747CE"/>
    <w:rsid w:val="00282731"/>
    <w:rsid w:val="00283C69"/>
    <w:rsid w:val="002A2A12"/>
    <w:rsid w:val="002A3ED9"/>
    <w:rsid w:val="002A5174"/>
    <w:rsid w:val="002B4E31"/>
    <w:rsid w:val="002D5040"/>
    <w:rsid w:val="002D5CEF"/>
    <w:rsid w:val="002E78A5"/>
    <w:rsid w:val="002F6889"/>
    <w:rsid w:val="003055CC"/>
    <w:rsid w:val="00306B61"/>
    <w:rsid w:val="00312FCD"/>
    <w:rsid w:val="00313F11"/>
    <w:rsid w:val="00315E14"/>
    <w:rsid w:val="003826B7"/>
    <w:rsid w:val="00393DC5"/>
    <w:rsid w:val="00395310"/>
    <w:rsid w:val="0039584B"/>
    <w:rsid w:val="003D2F49"/>
    <w:rsid w:val="003D6835"/>
    <w:rsid w:val="003E2B95"/>
    <w:rsid w:val="003F1700"/>
    <w:rsid w:val="003F5E02"/>
    <w:rsid w:val="004047EC"/>
    <w:rsid w:val="0040483A"/>
    <w:rsid w:val="004166BD"/>
    <w:rsid w:val="00422B97"/>
    <w:rsid w:val="00445FB0"/>
    <w:rsid w:val="00446CE3"/>
    <w:rsid w:val="0044774C"/>
    <w:rsid w:val="004573FE"/>
    <w:rsid w:val="0046321D"/>
    <w:rsid w:val="00465ED6"/>
    <w:rsid w:val="00474502"/>
    <w:rsid w:val="00487B74"/>
    <w:rsid w:val="00490BCC"/>
    <w:rsid w:val="00493017"/>
    <w:rsid w:val="004A0947"/>
    <w:rsid w:val="004B2289"/>
    <w:rsid w:val="004B6641"/>
    <w:rsid w:val="004B6E7B"/>
    <w:rsid w:val="004D49D7"/>
    <w:rsid w:val="004D63CE"/>
    <w:rsid w:val="004E2DA3"/>
    <w:rsid w:val="004E4D15"/>
    <w:rsid w:val="004F4DDC"/>
    <w:rsid w:val="005051C6"/>
    <w:rsid w:val="00514766"/>
    <w:rsid w:val="0051613A"/>
    <w:rsid w:val="0052332F"/>
    <w:rsid w:val="00526BAF"/>
    <w:rsid w:val="00536A2D"/>
    <w:rsid w:val="0054314D"/>
    <w:rsid w:val="00553357"/>
    <w:rsid w:val="005B3C38"/>
    <w:rsid w:val="005C5F6A"/>
    <w:rsid w:val="005C7CDB"/>
    <w:rsid w:val="005D67E4"/>
    <w:rsid w:val="005D6F64"/>
    <w:rsid w:val="005D78E1"/>
    <w:rsid w:val="005E50EC"/>
    <w:rsid w:val="005F2D33"/>
    <w:rsid w:val="00601DE7"/>
    <w:rsid w:val="00602BAB"/>
    <w:rsid w:val="006045A5"/>
    <w:rsid w:val="00610D5D"/>
    <w:rsid w:val="006115F7"/>
    <w:rsid w:val="00617C33"/>
    <w:rsid w:val="00621A47"/>
    <w:rsid w:val="006406F7"/>
    <w:rsid w:val="006445C2"/>
    <w:rsid w:val="00655C14"/>
    <w:rsid w:val="00657681"/>
    <w:rsid w:val="0067313D"/>
    <w:rsid w:val="0068063B"/>
    <w:rsid w:val="00681BD7"/>
    <w:rsid w:val="0068608D"/>
    <w:rsid w:val="0068770E"/>
    <w:rsid w:val="00687C41"/>
    <w:rsid w:val="00693113"/>
    <w:rsid w:val="00693A6C"/>
    <w:rsid w:val="006B28F9"/>
    <w:rsid w:val="006B4203"/>
    <w:rsid w:val="006B57BF"/>
    <w:rsid w:val="006B7411"/>
    <w:rsid w:val="006C22F1"/>
    <w:rsid w:val="006D2226"/>
    <w:rsid w:val="006D5710"/>
    <w:rsid w:val="006E19D9"/>
    <w:rsid w:val="006E33DB"/>
    <w:rsid w:val="006F0783"/>
    <w:rsid w:val="006F0D06"/>
    <w:rsid w:val="006F6B7A"/>
    <w:rsid w:val="006F75FA"/>
    <w:rsid w:val="00701E39"/>
    <w:rsid w:val="007319AE"/>
    <w:rsid w:val="00733223"/>
    <w:rsid w:val="007477C6"/>
    <w:rsid w:val="00771B87"/>
    <w:rsid w:val="007838E4"/>
    <w:rsid w:val="0078689F"/>
    <w:rsid w:val="007936D9"/>
    <w:rsid w:val="007A23B9"/>
    <w:rsid w:val="007A38A2"/>
    <w:rsid w:val="007A3A7B"/>
    <w:rsid w:val="007A4EE0"/>
    <w:rsid w:val="007A5B6B"/>
    <w:rsid w:val="007A63F2"/>
    <w:rsid w:val="007A671B"/>
    <w:rsid w:val="007C4D57"/>
    <w:rsid w:val="007D1B4B"/>
    <w:rsid w:val="007D51A6"/>
    <w:rsid w:val="007E4407"/>
    <w:rsid w:val="007F6D96"/>
    <w:rsid w:val="00807482"/>
    <w:rsid w:val="00821336"/>
    <w:rsid w:val="0082554F"/>
    <w:rsid w:val="00830E45"/>
    <w:rsid w:val="0083347D"/>
    <w:rsid w:val="008432AC"/>
    <w:rsid w:val="00844359"/>
    <w:rsid w:val="00851696"/>
    <w:rsid w:val="00853F08"/>
    <w:rsid w:val="00861F8C"/>
    <w:rsid w:val="0087241E"/>
    <w:rsid w:val="00873616"/>
    <w:rsid w:val="0088361A"/>
    <w:rsid w:val="00890AFA"/>
    <w:rsid w:val="00892076"/>
    <w:rsid w:val="00893AF6"/>
    <w:rsid w:val="008A1001"/>
    <w:rsid w:val="008C3D96"/>
    <w:rsid w:val="008E1227"/>
    <w:rsid w:val="008F1101"/>
    <w:rsid w:val="0092313C"/>
    <w:rsid w:val="009274FC"/>
    <w:rsid w:val="00955448"/>
    <w:rsid w:val="00955EFA"/>
    <w:rsid w:val="00970FAD"/>
    <w:rsid w:val="00973756"/>
    <w:rsid w:val="00977CBD"/>
    <w:rsid w:val="0099128E"/>
    <w:rsid w:val="00994DED"/>
    <w:rsid w:val="0099660B"/>
    <w:rsid w:val="009A0332"/>
    <w:rsid w:val="009B0ABD"/>
    <w:rsid w:val="009C22C1"/>
    <w:rsid w:val="009C30A6"/>
    <w:rsid w:val="009C61C9"/>
    <w:rsid w:val="009D2195"/>
    <w:rsid w:val="009F69E3"/>
    <w:rsid w:val="009F7E29"/>
    <w:rsid w:val="00A05BA8"/>
    <w:rsid w:val="00A13022"/>
    <w:rsid w:val="00A21C3E"/>
    <w:rsid w:val="00A24909"/>
    <w:rsid w:val="00A5673A"/>
    <w:rsid w:val="00A56D2B"/>
    <w:rsid w:val="00A671E2"/>
    <w:rsid w:val="00A77B3E"/>
    <w:rsid w:val="00A874DC"/>
    <w:rsid w:val="00A87FBD"/>
    <w:rsid w:val="00A95F07"/>
    <w:rsid w:val="00A9677E"/>
    <w:rsid w:val="00AA1D84"/>
    <w:rsid w:val="00AA47CF"/>
    <w:rsid w:val="00AB55D3"/>
    <w:rsid w:val="00AF3DA9"/>
    <w:rsid w:val="00AF527B"/>
    <w:rsid w:val="00AF5E1D"/>
    <w:rsid w:val="00B205CF"/>
    <w:rsid w:val="00B248B4"/>
    <w:rsid w:val="00B33E76"/>
    <w:rsid w:val="00B60C47"/>
    <w:rsid w:val="00B65F99"/>
    <w:rsid w:val="00B67278"/>
    <w:rsid w:val="00B67508"/>
    <w:rsid w:val="00B72A3E"/>
    <w:rsid w:val="00B847F3"/>
    <w:rsid w:val="00B85A99"/>
    <w:rsid w:val="00BB3D5E"/>
    <w:rsid w:val="00BC04EC"/>
    <w:rsid w:val="00BC4583"/>
    <w:rsid w:val="00BD3F44"/>
    <w:rsid w:val="00BD5098"/>
    <w:rsid w:val="00BE37C4"/>
    <w:rsid w:val="00BE50E4"/>
    <w:rsid w:val="00BF1D1C"/>
    <w:rsid w:val="00BF3741"/>
    <w:rsid w:val="00BF6EB3"/>
    <w:rsid w:val="00C07F76"/>
    <w:rsid w:val="00C106B6"/>
    <w:rsid w:val="00C23B97"/>
    <w:rsid w:val="00C3187B"/>
    <w:rsid w:val="00C31D08"/>
    <w:rsid w:val="00C32E21"/>
    <w:rsid w:val="00C41A36"/>
    <w:rsid w:val="00C575DA"/>
    <w:rsid w:val="00C61CDE"/>
    <w:rsid w:val="00C71C9D"/>
    <w:rsid w:val="00C752A6"/>
    <w:rsid w:val="00C771B1"/>
    <w:rsid w:val="00C80549"/>
    <w:rsid w:val="00CA2A55"/>
    <w:rsid w:val="00CA34C0"/>
    <w:rsid w:val="00CA5330"/>
    <w:rsid w:val="00CD427A"/>
    <w:rsid w:val="00CD51C2"/>
    <w:rsid w:val="00CE053D"/>
    <w:rsid w:val="00CE0A9E"/>
    <w:rsid w:val="00CF1A77"/>
    <w:rsid w:val="00D07334"/>
    <w:rsid w:val="00D1180B"/>
    <w:rsid w:val="00D1326F"/>
    <w:rsid w:val="00D160CD"/>
    <w:rsid w:val="00D1732F"/>
    <w:rsid w:val="00D20A34"/>
    <w:rsid w:val="00D2124D"/>
    <w:rsid w:val="00D22FF7"/>
    <w:rsid w:val="00D36C1E"/>
    <w:rsid w:val="00D54399"/>
    <w:rsid w:val="00D80577"/>
    <w:rsid w:val="00D919B2"/>
    <w:rsid w:val="00D95F8E"/>
    <w:rsid w:val="00D9739F"/>
    <w:rsid w:val="00DB0AAF"/>
    <w:rsid w:val="00DB64A1"/>
    <w:rsid w:val="00DD2C0F"/>
    <w:rsid w:val="00DD610A"/>
    <w:rsid w:val="00DE6726"/>
    <w:rsid w:val="00DE6AEC"/>
    <w:rsid w:val="00E13604"/>
    <w:rsid w:val="00E211DF"/>
    <w:rsid w:val="00E36494"/>
    <w:rsid w:val="00E50F43"/>
    <w:rsid w:val="00E5411F"/>
    <w:rsid w:val="00E769EA"/>
    <w:rsid w:val="00E91FCF"/>
    <w:rsid w:val="00E956AF"/>
    <w:rsid w:val="00EA74A7"/>
    <w:rsid w:val="00EC13A7"/>
    <w:rsid w:val="00EC17F1"/>
    <w:rsid w:val="00EC4EC1"/>
    <w:rsid w:val="00EC5E7D"/>
    <w:rsid w:val="00ED0883"/>
    <w:rsid w:val="00ED2721"/>
    <w:rsid w:val="00F02628"/>
    <w:rsid w:val="00F0331D"/>
    <w:rsid w:val="00F05112"/>
    <w:rsid w:val="00F21C99"/>
    <w:rsid w:val="00F30AB6"/>
    <w:rsid w:val="00F33A93"/>
    <w:rsid w:val="00F4492B"/>
    <w:rsid w:val="00F46B47"/>
    <w:rsid w:val="00F52157"/>
    <w:rsid w:val="00F5306F"/>
    <w:rsid w:val="00F60F02"/>
    <w:rsid w:val="00F81248"/>
    <w:rsid w:val="00F84784"/>
    <w:rsid w:val="00FA1338"/>
    <w:rsid w:val="00FB1826"/>
    <w:rsid w:val="00FB1915"/>
    <w:rsid w:val="00FC2008"/>
    <w:rsid w:val="00FC7564"/>
    <w:rsid w:val="00FD50C4"/>
    <w:rsid w:val="00FD5F52"/>
    <w:rsid w:val="00FD6073"/>
    <w:rsid w:val="00FE0F36"/>
    <w:rsid w:val="00FE31F9"/>
    <w:rsid w:val="00FE63CF"/>
    <w:rsid w:val="00FF4E8F"/>
    <w:rsid w:val="00FF5D84"/>
    <w:rsid w:val="00FF7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3DFF8"/>
  <w15:docId w15:val="{FBC65FD0-2466-4B0E-9756-93FE85321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A34"/>
    <w:pPr>
      <w:ind w:left="720"/>
      <w:contextualSpacing/>
    </w:pPr>
    <w:rPr>
      <w:rFonts w:ascii="Cambria" w:eastAsia="MS Mincho" w:hAnsi="Cambria"/>
      <w:lang w:val="fr-FR" w:eastAsia="fr-FR"/>
    </w:rPr>
  </w:style>
  <w:style w:type="paragraph" w:customStyle="1" w:styleId="Bibliographie2">
    <w:name w:val="Bibliographie2"/>
    <w:basedOn w:val="a"/>
    <w:link w:val="BibliographyCar"/>
    <w:rsid w:val="00D20A34"/>
    <w:pPr>
      <w:tabs>
        <w:tab w:val="left" w:pos="500"/>
      </w:tabs>
      <w:spacing w:after="240"/>
      <w:ind w:left="504" w:hanging="504"/>
      <w:jc w:val="both"/>
    </w:pPr>
    <w:rPr>
      <w:rFonts w:ascii="Book Antiqua" w:eastAsia="MS Mincho" w:hAnsi="Book Antiqua"/>
      <w:lang w:eastAsia="fr-FR"/>
    </w:rPr>
  </w:style>
  <w:style w:type="character" w:customStyle="1" w:styleId="BibliographyCar">
    <w:name w:val="Bibliography Car"/>
    <w:link w:val="Bibliographie2"/>
    <w:rsid w:val="00D20A34"/>
    <w:rPr>
      <w:rFonts w:ascii="Book Antiqua" w:eastAsia="MS Mincho" w:hAnsi="Book Antiqua"/>
      <w:sz w:val="24"/>
      <w:szCs w:val="24"/>
      <w:lang w:eastAsia="fr-FR"/>
    </w:rPr>
  </w:style>
  <w:style w:type="paragraph" w:styleId="a4">
    <w:name w:val="caption"/>
    <w:basedOn w:val="a"/>
    <w:next w:val="a"/>
    <w:uiPriority w:val="35"/>
    <w:unhideWhenUsed/>
    <w:qFormat/>
    <w:rsid w:val="00D20A34"/>
    <w:pPr>
      <w:spacing w:after="200"/>
    </w:pPr>
    <w:rPr>
      <w:rFonts w:ascii="Arial" w:eastAsia="MS Mincho" w:hAnsi="Arial" w:cs="Arial"/>
      <w:b/>
      <w:bCs/>
      <w:color w:val="4F81BD"/>
      <w:sz w:val="18"/>
      <w:szCs w:val="18"/>
      <w:lang w:val="fr-FR" w:eastAsia="fr-FR"/>
    </w:rPr>
  </w:style>
  <w:style w:type="paragraph" w:styleId="a5">
    <w:name w:val="header"/>
    <w:basedOn w:val="a"/>
    <w:link w:val="a6"/>
    <w:unhideWhenUsed/>
    <w:rsid w:val="00C23B9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C23B97"/>
    <w:rPr>
      <w:sz w:val="18"/>
      <w:szCs w:val="18"/>
    </w:rPr>
  </w:style>
  <w:style w:type="paragraph" w:styleId="a7">
    <w:name w:val="footer"/>
    <w:basedOn w:val="a"/>
    <w:link w:val="a8"/>
    <w:uiPriority w:val="99"/>
    <w:unhideWhenUsed/>
    <w:rsid w:val="00C23B97"/>
    <w:pPr>
      <w:tabs>
        <w:tab w:val="center" w:pos="4153"/>
        <w:tab w:val="right" w:pos="8306"/>
      </w:tabs>
      <w:snapToGrid w:val="0"/>
    </w:pPr>
    <w:rPr>
      <w:sz w:val="18"/>
      <w:szCs w:val="18"/>
    </w:rPr>
  </w:style>
  <w:style w:type="character" w:customStyle="1" w:styleId="a8">
    <w:name w:val="页脚 字符"/>
    <w:basedOn w:val="a0"/>
    <w:link w:val="a7"/>
    <w:uiPriority w:val="99"/>
    <w:rsid w:val="00C23B97"/>
    <w:rPr>
      <w:sz w:val="18"/>
      <w:szCs w:val="18"/>
    </w:rPr>
  </w:style>
  <w:style w:type="paragraph" w:styleId="a9">
    <w:name w:val="Balloon Text"/>
    <w:basedOn w:val="a"/>
    <w:link w:val="aa"/>
    <w:rsid w:val="00ED2721"/>
    <w:rPr>
      <w:sz w:val="18"/>
      <w:szCs w:val="18"/>
    </w:rPr>
  </w:style>
  <w:style w:type="character" w:customStyle="1" w:styleId="aa">
    <w:name w:val="批注框文本 字符"/>
    <w:basedOn w:val="a0"/>
    <w:link w:val="a9"/>
    <w:rsid w:val="00ED2721"/>
    <w:rPr>
      <w:sz w:val="18"/>
      <w:szCs w:val="18"/>
    </w:rPr>
  </w:style>
  <w:style w:type="character" w:customStyle="1" w:styleId="dxdefaultcursor">
    <w:name w:val="dxdefaultcursor"/>
    <w:basedOn w:val="a0"/>
    <w:rsid w:val="00ED2721"/>
  </w:style>
  <w:style w:type="character" w:customStyle="1" w:styleId="apple-converted-space">
    <w:name w:val="apple-converted-space"/>
    <w:basedOn w:val="a0"/>
    <w:rsid w:val="00A87FBD"/>
  </w:style>
  <w:style w:type="table" w:styleId="ab">
    <w:name w:val="Light Shading"/>
    <w:basedOn w:val="a1"/>
    <w:uiPriority w:val="60"/>
    <w:rsid w:val="008432AC"/>
    <w:rPr>
      <w:rFonts w:ascii="Arial" w:hAnsi="Arial" w:cs="Arial"/>
      <w:color w:val="000000" w:themeColor="text1" w:themeShade="BF"/>
      <w:sz w:val="18"/>
      <w:szCs w:val="18"/>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c">
    <w:name w:val="Hyperlink"/>
    <w:basedOn w:val="a0"/>
    <w:unhideWhenUsed/>
    <w:rsid w:val="00CF1A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443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40</Pages>
  <Words>8656</Words>
  <Characters>49343</Characters>
  <Application>Microsoft Office Word</Application>
  <DocSecurity>0</DocSecurity>
  <Lines>411</Lines>
  <Paragraphs>115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wdm</cp:lastModifiedBy>
  <cp:revision>12</cp:revision>
  <dcterms:created xsi:type="dcterms:W3CDTF">2020-10-29T15:49:00Z</dcterms:created>
  <dcterms:modified xsi:type="dcterms:W3CDTF">2020-11-02T09:26:00Z</dcterms:modified>
</cp:coreProperties>
</file>