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320A3" w14:textId="77777777" w:rsidR="00803385" w:rsidRPr="005B2AA7" w:rsidRDefault="00803385" w:rsidP="00253009">
      <w:pPr>
        <w:adjustRightInd w:val="0"/>
        <w:snapToGrid w:val="0"/>
        <w:spacing w:line="360" w:lineRule="auto"/>
        <w:jc w:val="both"/>
        <w:rPr>
          <w:rFonts w:ascii="Book Antiqua" w:hAnsi="Book Antiqua"/>
          <w:b/>
          <w:color w:val="0000FF"/>
        </w:rPr>
      </w:pPr>
      <w:r w:rsidRPr="005B2AA7">
        <w:rPr>
          <w:rFonts w:ascii="Book Antiqua" w:eastAsia="Times New Roman" w:hAnsi="Book Antiqua" w:cs="宋体"/>
          <w:b/>
          <w:color w:val="000000"/>
        </w:rPr>
        <w:t xml:space="preserve">Name of Journal: </w:t>
      </w:r>
      <w:r w:rsidRPr="005B2AA7">
        <w:rPr>
          <w:rFonts w:ascii="Book Antiqua" w:eastAsia="Times New Roman" w:hAnsi="Book Antiqua" w:cs="宋体"/>
          <w:i/>
          <w:color w:val="000000"/>
        </w:rPr>
        <w:t>World Journal of Gastroenterology</w:t>
      </w:r>
    </w:p>
    <w:p w14:paraId="6F67DF7C" w14:textId="783FC341" w:rsidR="00803385" w:rsidRPr="005B2AA7" w:rsidRDefault="00803385" w:rsidP="00253009">
      <w:pPr>
        <w:adjustRightInd w:val="0"/>
        <w:snapToGrid w:val="0"/>
        <w:spacing w:line="360" w:lineRule="auto"/>
        <w:jc w:val="both"/>
        <w:rPr>
          <w:rFonts w:ascii="Book Antiqua" w:eastAsia="Times New Roman" w:hAnsi="Book Antiqua" w:cs="宋体"/>
          <w:b/>
          <w:i/>
          <w:color w:val="000000"/>
        </w:rPr>
      </w:pPr>
      <w:r w:rsidRPr="005B2AA7">
        <w:rPr>
          <w:rFonts w:ascii="Book Antiqua" w:hAnsi="Book Antiqua" w:cs="Arial"/>
          <w:b/>
          <w:color w:val="000000"/>
          <w:lang w:val="en"/>
        </w:rPr>
        <w:t xml:space="preserve">Manuscript NO: </w:t>
      </w:r>
      <w:r w:rsidR="00A93D13" w:rsidRPr="005B2AA7">
        <w:rPr>
          <w:rFonts w:ascii="Book Antiqua" w:hAnsi="Book Antiqua" w:cs="Arial"/>
          <w:bCs/>
          <w:color w:val="000000"/>
          <w:lang w:val="en"/>
        </w:rPr>
        <w:t>56375</w:t>
      </w:r>
    </w:p>
    <w:p w14:paraId="7EF582D1" w14:textId="77777777" w:rsidR="00803385" w:rsidRPr="005B2AA7" w:rsidRDefault="00803385" w:rsidP="00253009">
      <w:pPr>
        <w:adjustRightInd w:val="0"/>
        <w:snapToGrid w:val="0"/>
        <w:spacing w:line="360" w:lineRule="auto"/>
        <w:jc w:val="both"/>
        <w:rPr>
          <w:rFonts w:ascii="Book Antiqua" w:eastAsia="幼圆" w:hAnsi="Book Antiqua"/>
          <w:b/>
          <w:i/>
          <w:color w:val="000000"/>
        </w:rPr>
      </w:pPr>
      <w:bookmarkStart w:id="0" w:name="OLE_LINK4"/>
      <w:r w:rsidRPr="005B2AA7">
        <w:rPr>
          <w:rFonts w:ascii="Book Antiqua" w:hAnsi="Book Antiqua"/>
          <w:b/>
          <w:color w:val="000000"/>
          <w:shd w:val="clear" w:color="auto" w:fill="FFFFFF"/>
        </w:rPr>
        <w:t>Manuscript Type</w:t>
      </w:r>
      <w:bookmarkEnd w:id="0"/>
      <w:r w:rsidRPr="005B2AA7">
        <w:rPr>
          <w:rFonts w:ascii="Book Antiqua" w:hAnsi="Book Antiqua"/>
          <w:b/>
          <w:color w:val="000000"/>
        </w:rPr>
        <w:t xml:space="preserve">: </w:t>
      </w:r>
      <w:r w:rsidRPr="005B2AA7">
        <w:rPr>
          <w:rFonts w:ascii="Book Antiqua" w:hAnsi="Book Antiqua"/>
        </w:rPr>
        <w:t>ORIGINAL ARTICLE</w:t>
      </w:r>
    </w:p>
    <w:p w14:paraId="2BA885FC" w14:textId="77777777" w:rsidR="00803385" w:rsidRPr="005B2AA7" w:rsidRDefault="00803385" w:rsidP="00253009">
      <w:pPr>
        <w:adjustRightInd w:val="0"/>
        <w:snapToGrid w:val="0"/>
        <w:spacing w:line="360" w:lineRule="auto"/>
        <w:jc w:val="both"/>
        <w:rPr>
          <w:rFonts w:ascii="Book Antiqua" w:hAnsi="Book Antiqua"/>
          <w:b/>
          <w:color w:val="000000"/>
        </w:rPr>
      </w:pPr>
    </w:p>
    <w:p w14:paraId="7B28EA56" w14:textId="77777777" w:rsidR="00803385" w:rsidRPr="005B2AA7" w:rsidRDefault="00803385" w:rsidP="00253009">
      <w:pPr>
        <w:adjustRightInd w:val="0"/>
        <w:snapToGrid w:val="0"/>
        <w:spacing w:line="360" w:lineRule="auto"/>
        <w:jc w:val="both"/>
        <w:rPr>
          <w:rFonts w:ascii="Book Antiqua" w:hAnsi="Book Antiqua"/>
          <w:b/>
          <w:i/>
          <w:color w:val="000000"/>
        </w:rPr>
      </w:pPr>
      <w:r w:rsidRPr="005B2AA7">
        <w:rPr>
          <w:rFonts w:ascii="Book Antiqua" w:eastAsia="幼圆" w:hAnsi="Book Antiqua"/>
          <w:b/>
          <w:i/>
          <w:color w:val="000000"/>
        </w:rPr>
        <w:t>Observational Study</w:t>
      </w:r>
    </w:p>
    <w:p w14:paraId="547AEA75" w14:textId="334CDE4D" w:rsidR="00E93CF6" w:rsidRPr="005B2AA7" w:rsidRDefault="000D7565" w:rsidP="00253009">
      <w:pPr>
        <w:adjustRightInd w:val="0"/>
        <w:snapToGrid w:val="0"/>
        <w:spacing w:line="360" w:lineRule="auto"/>
        <w:jc w:val="both"/>
        <w:rPr>
          <w:rFonts w:ascii="Book Antiqua" w:hAnsi="Book Antiqua" w:cs="Times New Roman"/>
          <w:b/>
          <w:lang w:val="en-US"/>
        </w:rPr>
      </w:pPr>
      <w:bookmarkStart w:id="1" w:name="OLE_LINK18"/>
      <w:r w:rsidRPr="005B2AA7">
        <w:rPr>
          <w:rFonts w:ascii="Book Antiqua" w:hAnsi="Book Antiqua" w:cs="Times New Roman"/>
          <w:b/>
          <w:lang w:val="en-US"/>
        </w:rPr>
        <w:t>Patients' perspectives on smoking and inflammatory bowel disease:</w:t>
      </w:r>
      <w:r w:rsidR="003A6B0E" w:rsidRPr="005B2AA7">
        <w:rPr>
          <w:rFonts w:ascii="Book Antiqua" w:hAnsi="Book Antiqua" w:cs="Times New Roman"/>
          <w:b/>
          <w:lang w:val="en-US"/>
        </w:rPr>
        <w:t xml:space="preserve"> </w:t>
      </w:r>
      <w:r w:rsidR="00803385" w:rsidRPr="005B2AA7">
        <w:rPr>
          <w:rFonts w:ascii="Book Antiqua" w:hAnsi="Book Antiqua" w:cs="Times New Roman"/>
          <w:b/>
          <w:lang w:val="en-US"/>
        </w:rPr>
        <w:t>A</w:t>
      </w:r>
      <w:r w:rsidR="00C77589" w:rsidRPr="005B2AA7">
        <w:rPr>
          <w:rFonts w:ascii="Book Antiqua" w:hAnsi="Book Antiqua" w:cs="Times New Roman"/>
          <w:b/>
          <w:lang w:val="en-US"/>
        </w:rPr>
        <w:t xml:space="preserve">n online survey in </w:t>
      </w:r>
      <w:bookmarkStart w:id="2" w:name="OLE_LINK3"/>
      <w:bookmarkStart w:id="3" w:name="OLE_LINK5"/>
      <w:r w:rsidR="00C77589" w:rsidRPr="005B2AA7">
        <w:rPr>
          <w:rFonts w:ascii="Book Antiqua" w:hAnsi="Book Antiqua" w:cs="Times New Roman"/>
          <w:b/>
          <w:lang w:val="en-US"/>
        </w:rPr>
        <w:t>collaboration with</w:t>
      </w:r>
      <w:bookmarkEnd w:id="2"/>
      <w:bookmarkEnd w:id="3"/>
      <w:r w:rsidR="00C77589" w:rsidRPr="005B2AA7">
        <w:rPr>
          <w:rFonts w:ascii="Book Antiqua" w:hAnsi="Book Antiqua" w:cs="Times New Roman"/>
          <w:b/>
          <w:lang w:val="en-US"/>
        </w:rPr>
        <w:t xml:space="preserve"> </w:t>
      </w:r>
      <w:r w:rsidRPr="005B2AA7">
        <w:rPr>
          <w:rFonts w:ascii="Book Antiqua" w:hAnsi="Book Antiqua" w:cs="Times New Roman"/>
          <w:b/>
          <w:lang w:val="en-US"/>
        </w:rPr>
        <w:t xml:space="preserve">European </w:t>
      </w:r>
      <w:r w:rsidR="00E93CF6" w:rsidRPr="005B2AA7">
        <w:rPr>
          <w:rFonts w:ascii="Book Antiqua" w:hAnsi="Book Antiqua" w:cs="Times New Roman"/>
          <w:b/>
          <w:lang w:val="en-US"/>
        </w:rPr>
        <w:t>Federation of Crohn's and Ulcerative Colitis Associations</w:t>
      </w:r>
    </w:p>
    <w:bookmarkEnd w:id="1"/>
    <w:p w14:paraId="0A816971" w14:textId="77777777" w:rsidR="00193B99" w:rsidRPr="005B2AA7" w:rsidRDefault="00193B99" w:rsidP="00253009">
      <w:pPr>
        <w:adjustRightInd w:val="0"/>
        <w:snapToGrid w:val="0"/>
        <w:spacing w:line="360" w:lineRule="auto"/>
        <w:jc w:val="both"/>
        <w:rPr>
          <w:rFonts w:ascii="Book Antiqua" w:hAnsi="Book Antiqua" w:cs="Times New Roman"/>
          <w:lang w:val="en-US"/>
        </w:rPr>
      </w:pPr>
    </w:p>
    <w:p w14:paraId="444200CE" w14:textId="41A2C9AD" w:rsidR="00AE5E30" w:rsidRPr="005B2AA7" w:rsidRDefault="0027716D" w:rsidP="00253009">
      <w:pPr>
        <w:adjustRightInd w:val="0"/>
        <w:snapToGrid w:val="0"/>
        <w:spacing w:line="360" w:lineRule="auto"/>
        <w:jc w:val="both"/>
        <w:rPr>
          <w:rFonts w:ascii="Book Antiqua" w:hAnsi="Book Antiqua" w:cs="Times New Roman"/>
          <w:bCs/>
          <w:lang w:val="en-US"/>
        </w:rPr>
      </w:pPr>
      <w:r w:rsidRPr="005B2AA7">
        <w:rPr>
          <w:rFonts w:ascii="Book Antiqua" w:hAnsi="Book Antiqua" w:cs="Times New Roman"/>
        </w:rPr>
        <w:t>Le Berre</w:t>
      </w:r>
      <w:r w:rsidR="00AE5E30" w:rsidRPr="005B2AA7">
        <w:rPr>
          <w:rFonts w:ascii="Book Antiqua" w:hAnsi="Book Antiqua" w:cs="Times New Roman"/>
        </w:rPr>
        <w:t xml:space="preserve"> C </w:t>
      </w:r>
      <w:r w:rsidR="00AE5E30" w:rsidRPr="005B2AA7">
        <w:rPr>
          <w:rFonts w:ascii="Book Antiqua" w:hAnsi="Book Antiqua"/>
          <w:i/>
          <w:color w:val="000000"/>
        </w:rPr>
        <w:t>et al</w:t>
      </w:r>
      <w:r w:rsidR="00AE5E30" w:rsidRPr="005B2AA7">
        <w:rPr>
          <w:rFonts w:ascii="Book Antiqua" w:hAnsi="Book Antiqua"/>
          <w:color w:val="000000"/>
        </w:rPr>
        <w:t xml:space="preserve">. </w:t>
      </w:r>
      <w:r w:rsidR="00AE5E30" w:rsidRPr="005B2AA7">
        <w:rPr>
          <w:rFonts w:ascii="Book Antiqua" w:hAnsi="Book Antiqua" w:cs="Times New Roman"/>
          <w:bCs/>
          <w:lang w:val="en-US"/>
        </w:rPr>
        <w:t>Patients' perspectives on smoking and IBD</w:t>
      </w:r>
    </w:p>
    <w:p w14:paraId="4DCD3989" w14:textId="77777777" w:rsidR="00AE5E30" w:rsidRPr="005B2AA7" w:rsidRDefault="00AE5E30" w:rsidP="00253009">
      <w:pPr>
        <w:adjustRightInd w:val="0"/>
        <w:snapToGrid w:val="0"/>
        <w:spacing w:line="360" w:lineRule="auto"/>
        <w:jc w:val="both"/>
        <w:rPr>
          <w:rFonts w:ascii="Book Antiqua" w:hAnsi="Book Antiqua"/>
          <w:bCs/>
          <w:color w:val="000000"/>
        </w:rPr>
      </w:pPr>
    </w:p>
    <w:p w14:paraId="21B6CCD9" w14:textId="49B83DA7" w:rsidR="00193B99" w:rsidRPr="005B2AA7" w:rsidRDefault="00AE5E30" w:rsidP="00253009">
      <w:pPr>
        <w:adjustRightInd w:val="0"/>
        <w:snapToGrid w:val="0"/>
        <w:spacing w:line="360" w:lineRule="auto"/>
        <w:jc w:val="both"/>
        <w:rPr>
          <w:rFonts w:ascii="Book Antiqua" w:hAnsi="Book Antiqua" w:cs="Times New Roman"/>
        </w:rPr>
      </w:pPr>
      <w:r w:rsidRPr="005B2AA7">
        <w:rPr>
          <w:rFonts w:ascii="Book Antiqua" w:hAnsi="Book Antiqua" w:cs="Times New Roman"/>
          <w:bCs/>
        </w:rPr>
        <w:t xml:space="preserve">Catherine Le Berre, </w:t>
      </w:r>
      <w:bookmarkStart w:id="4" w:name="OLE_LINK10"/>
      <w:bookmarkStart w:id="5" w:name="OLE_LINK11"/>
      <w:r w:rsidR="0027716D" w:rsidRPr="005B2AA7">
        <w:rPr>
          <w:rFonts w:ascii="Book Antiqua" w:hAnsi="Book Antiqua" w:cs="Times New Roman"/>
        </w:rPr>
        <w:t>Laura</w:t>
      </w:r>
      <w:bookmarkEnd w:id="4"/>
      <w:bookmarkEnd w:id="5"/>
      <w:r w:rsidR="0027716D" w:rsidRPr="005B2AA7">
        <w:rPr>
          <w:rFonts w:ascii="Book Antiqua" w:hAnsi="Book Antiqua" w:cs="Times New Roman"/>
        </w:rPr>
        <w:t xml:space="preserve"> Loy,</w:t>
      </w:r>
      <w:r w:rsidRPr="005B2AA7">
        <w:rPr>
          <w:rFonts w:ascii="Book Antiqua" w:hAnsi="Book Antiqua" w:cs="Times New Roman"/>
        </w:rPr>
        <w:t xml:space="preserve"> </w:t>
      </w:r>
      <w:bookmarkStart w:id="6" w:name="OLE_LINK12"/>
      <w:bookmarkStart w:id="7" w:name="OLE_LINK13"/>
      <w:r w:rsidR="0027716D" w:rsidRPr="005B2AA7">
        <w:rPr>
          <w:rFonts w:ascii="Book Antiqua" w:hAnsi="Book Antiqua" w:cs="Times New Roman"/>
        </w:rPr>
        <w:t>Sanna</w:t>
      </w:r>
      <w:bookmarkEnd w:id="6"/>
      <w:bookmarkEnd w:id="7"/>
      <w:r w:rsidR="0027716D" w:rsidRPr="005B2AA7">
        <w:rPr>
          <w:rFonts w:ascii="Book Antiqua" w:hAnsi="Book Antiqua" w:cs="Times New Roman"/>
        </w:rPr>
        <w:t xml:space="preserve"> </w:t>
      </w:r>
      <w:bookmarkStart w:id="8" w:name="OLE_LINK24"/>
      <w:r w:rsidR="0027716D" w:rsidRPr="005B2AA7">
        <w:rPr>
          <w:rFonts w:ascii="Book Antiqua" w:hAnsi="Book Antiqua" w:cs="Times New Roman"/>
        </w:rPr>
        <w:t>L</w:t>
      </w:r>
      <w:r w:rsidR="007B4FD5" w:rsidRPr="005B2AA7">
        <w:rPr>
          <w:rFonts w:ascii="Book Antiqua" w:hAnsi="Book Antiqua" w:cs="Times New Roman"/>
        </w:rPr>
        <w:t>ö</w:t>
      </w:r>
      <w:r w:rsidR="0027716D" w:rsidRPr="005B2AA7">
        <w:rPr>
          <w:rFonts w:ascii="Book Antiqua" w:hAnsi="Book Antiqua" w:cs="Times New Roman"/>
        </w:rPr>
        <w:t>nnfors</w:t>
      </w:r>
      <w:bookmarkEnd w:id="8"/>
      <w:r w:rsidR="0027716D" w:rsidRPr="005B2AA7">
        <w:rPr>
          <w:rFonts w:ascii="Book Antiqua" w:hAnsi="Book Antiqua" w:cs="Times New Roman"/>
        </w:rPr>
        <w:t xml:space="preserve">, </w:t>
      </w:r>
      <w:bookmarkStart w:id="9" w:name="OLE_LINK14"/>
      <w:bookmarkStart w:id="10" w:name="OLE_LINK15"/>
      <w:r w:rsidR="0027716D" w:rsidRPr="005B2AA7">
        <w:rPr>
          <w:rFonts w:ascii="Book Antiqua" w:hAnsi="Book Antiqua" w:cs="Times New Roman"/>
        </w:rPr>
        <w:t>Luisa</w:t>
      </w:r>
      <w:bookmarkEnd w:id="9"/>
      <w:bookmarkEnd w:id="10"/>
      <w:r w:rsidR="0027716D" w:rsidRPr="005B2AA7">
        <w:rPr>
          <w:rFonts w:ascii="Book Antiqua" w:hAnsi="Book Antiqua" w:cs="Times New Roman"/>
        </w:rPr>
        <w:t xml:space="preserve"> </w:t>
      </w:r>
      <w:bookmarkStart w:id="11" w:name="OLE_LINK25"/>
      <w:bookmarkStart w:id="12" w:name="OLE_LINK26"/>
      <w:r w:rsidR="0027716D" w:rsidRPr="005B2AA7">
        <w:rPr>
          <w:rFonts w:ascii="Book Antiqua" w:hAnsi="Book Antiqua" w:cs="Times New Roman"/>
        </w:rPr>
        <w:t>Avedano</w:t>
      </w:r>
      <w:bookmarkEnd w:id="11"/>
      <w:bookmarkEnd w:id="12"/>
      <w:r w:rsidR="0027716D" w:rsidRPr="005B2AA7">
        <w:rPr>
          <w:rFonts w:ascii="Book Antiqua" w:hAnsi="Book Antiqua" w:cs="Times New Roman"/>
        </w:rPr>
        <w:t>, Daniele Piovani</w:t>
      </w:r>
    </w:p>
    <w:p w14:paraId="195DBAED" w14:textId="77777777" w:rsidR="0027716D" w:rsidRPr="005B2AA7" w:rsidRDefault="0027716D" w:rsidP="00253009">
      <w:pPr>
        <w:adjustRightInd w:val="0"/>
        <w:snapToGrid w:val="0"/>
        <w:spacing w:line="360" w:lineRule="auto"/>
        <w:jc w:val="both"/>
        <w:rPr>
          <w:rFonts w:ascii="Book Antiqua" w:hAnsi="Book Antiqua" w:cs="Times New Roman"/>
        </w:rPr>
      </w:pPr>
    </w:p>
    <w:p w14:paraId="07AD59E0" w14:textId="025DDB74" w:rsidR="00D316AE" w:rsidRPr="005B2AA7" w:rsidRDefault="007F67D2" w:rsidP="00253009">
      <w:pPr>
        <w:adjustRightInd w:val="0"/>
        <w:snapToGrid w:val="0"/>
        <w:spacing w:line="360" w:lineRule="auto"/>
        <w:jc w:val="both"/>
        <w:rPr>
          <w:rFonts w:ascii="Book Antiqua" w:hAnsi="Book Antiqua" w:cs="Times New Roman"/>
        </w:rPr>
      </w:pPr>
      <w:bookmarkStart w:id="13" w:name="OLE_LINK6"/>
      <w:r w:rsidRPr="005B2AA7">
        <w:rPr>
          <w:rFonts w:ascii="Book Antiqua" w:hAnsi="Book Antiqua" w:cs="Times New Roman"/>
          <w:b/>
        </w:rPr>
        <w:t xml:space="preserve">Catherine </w:t>
      </w:r>
      <w:bookmarkStart w:id="14" w:name="OLE_LINK22"/>
      <w:bookmarkStart w:id="15" w:name="OLE_LINK23"/>
      <w:r w:rsidRPr="005B2AA7">
        <w:rPr>
          <w:rFonts w:ascii="Book Antiqua" w:hAnsi="Book Antiqua" w:cs="Times New Roman"/>
          <w:b/>
        </w:rPr>
        <w:t>Le Berre</w:t>
      </w:r>
      <w:bookmarkEnd w:id="13"/>
      <w:bookmarkEnd w:id="14"/>
      <w:bookmarkEnd w:id="15"/>
      <w:r w:rsidRPr="005B2AA7">
        <w:rPr>
          <w:rFonts w:ascii="Book Antiqua" w:hAnsi="Book Antiqua" w:cs="Times New Roman"/>
          <w:b/>
        </w:rPr>
        <w:t>,</w:t>
      </w:r>
      <w:r w:rsidR="00D316AE" w:rsidRPr="005B2AA7">
        <w:rPr>
          <w:rFonts w:ascii="Book Antiqua" w:hAnsi="Book Antiqua" w:cs="Times New Roman"/>
        </w:rPr>
        <w:t xml:space="preserve"> Institut des Maladies de l'Appareil Digestif, Nantes University Hospital, </w:t>
      </w:r>
      <w:bookmarkStart w:id="16" w:name="OLE_LINK7"/>
      <w:bookmarkStart w:id="17" w:name="OLE_LINK8"/>
      <w:bookmarkStart w:id="18" w:name="OLE_LINK9"/>
      <w:bookmarkStart w:id="19" w:name="OLE_LINK1"/>
      <w:bookmarkStart w:id="20" w:name="OLE_LINK2"/>
      <w:r w:rsidR="00AE5E30" w:rsidRPr="005B2AA7">
        <w:rPr>
          <w:rFonts w:ascii="Book Antiqua" w:hAnsi="Book Antiqua" w:cs="Times New Roman"/>
        </w:rPr>
        <w:t xml:space="preserve">Nantes </w:t>
      </w:r>
      <w:bookmarkEnd w:id="16"/>
      <w:bookmarkEnd w:id="17"/>
      <w:bookmarkEnd w:id="18"/>
      <w:r w:rsidR="00D316AE" w:rsidRPr="005B2AA7">
        <w:rPr>
          <w:rFonts w:ascii="Book Antiqua" w:hAnsi="Book Antiqua" w:cs="Times New Roman"/>
        </w:rPr>
        <w:t>440</w:t>
      </w:r>
      <w:r w:rsidR="00EF5CB9" w:rsidRPr="005B2AA7">
        <w:rPr>
          <w:rFonts w:ascii="Book Antiqua" w:hAnsi="Book Antiqua" w:cs="Times New Roman"/>
        </w:rPr>
        <w:t>00</w:t>
      </w:r>
      <w:bookmarkEnd w:id="19"/>
      <w:bookmarkEnd w:id="20"/>
      <w:r w:rsidR="00D316AE" w:rsidRPr="005B2AA7">
        <w:rPr>
          <w:rFonts w:ascii="Book Antiqua" w:hAnsi="Book Antiqua" w:cs="Times New Roman"/>
        </w:rPr>
        <w:t>, France</w:t>
      </w:r>
    </w:p>
    <w:p w14:paraId="781DFBF8" w14:textId="77777777" w:rsidR="00AE5E30" w:rsidRPr="005B2AA7" w:rsidRDefault="00AE5E30" w:rsidP="00253009">
      <w:pPr>
        <w:adjustRightInd w:val="0"/>
        <w:snapToGrid w:val="0"/>
        <w:spacing w:line="360" w:lineRule="auto"/>
        <w:jc w:val="both"/>
        <w:rPr>
          <w:rStyle w:val="aa"/>
          <w:rFonts w:ascii="Book Antiqua" w:hAnsi="Book Antiqua" w:cs="Times New Roman"/>
          <w:u w:val="none"/>
        </w:rPr>
      </w:pPr>
    </w:p>
    <w:p w14:paraId="70F2FF92" w14:textId="5F3E6FAF" w:rsidR="00D316AE" w:rsidRPr="005B2AA7" w:rsidRDefault="007F67D2"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b/>
          <w:lang w:val="en-US"/>
        </w:rPr>
        <w:t>Laura Loy,</w:t>
      </w:r>
      <w:r w:rsidR="00D316AE" w:rsidRPr="005B2AA7">
        <w:rPr>
          <w:rFonts w:ascii="Book Antiqua" w:hAnsi="Book Antiqua" w:cs="Times New Roman"/>
          <w:lang w:val="en-US"/>
        </w:rPr>
        <w:t xml:space="preserve"> </w:t>
      </w:r>
      <w:r w:rsidR="002D0AB3" w:rsidRPr="005B2AA7">
        <w:rPr>
          <w:rFonts w:ascii="Book Antiqua" w:hAnsi="Book Antiqua" w:cs="Times New Roman"/>
          <w:lang w:val="en-US"/>
        </w:rPr>
        <w:t>IBD Center, Department of Gastroenterology, Humanitas Clinical and Research Institute,</w:t>
      </w:r>
      <w:r w:rsidR="00AE5E30" w:rsidRPr="005B2AA7">
        <w:rPr>
          <w:rFonts w:ascii="Book Antiqua" w:hAnsi="Book Antiqua" w:cs="Times New Roman"/>
          <w:lang w:val="en-US"/>
        </w:rPr>
        <w:t xml:space="preserve"> Rozzano, Milan</w:t>
      </w:r>
      <w:r w:rsidR="002D0AB3" w:rsidRPr="005B2AA7">
        <w:rPr>
          <w:rFonts w:ascii="Book Antiqua" w:hAnsi="Book Antiqua" w:cs="Times New Roman"/>
          <w:lang w:val="en-US"/>
        </w:rPr>
        <w:t xml:space="preserve"> 20089, Italy</w:t>
      </w:r>
    </w:p>
    <w:p w14:paraId="6A17B69D" w14:textId="77777777" w:rsidR="00AE5E30" w:rsidRPr="005B2AA7" w:rsidRDefault="00AE5E30" w:rsidP="00253009">
      <w:pPr>
        <w:adjustRightInd w:val="0"/>
        <w:snapToGrid w:val="0"/>
        <w:spacing w:line="360" w:lineRule="auto"/>
        <w:jc w:val="both"/>
        <w:rPr>
          <w:rStyle w:val="aa"/>
          <w:rFonts w:ascii="Book Antiqua" w:hAnsi="Book Antiqua" w:cs="Times New Roman"/>
          <w:u w:val="none"/>
          <w:lang w:val="en-US"/>
        </w:rPr>
      </w:pPr>
    </w:p>
    <w:p w14:paraId="1FDCD63D" w14:textId="34CC2B7A" w:rsidR="00292675" w:rsidRPr="005B2AA7" w:rsidRDefault="007F67D2" w:rsidP="00253009">
      <w:pPr>
        <w:adjustRightInd w:val="0"/>
        <w:snapToGrid w:val="0"/>
        <w:spacing w:line="360" w:lineRule="auto"/>
        <w:jc w:val="both"/>
        <w:rPr>
          <w:rStyle w:val="aa"/>
          <w:rFonts w:ascii="Book Antiqua" w:hAnsi="Book Antiqua" w:cs="Times New Roman"/>
          <w:color w:val="000000" w:themeColor="text1"/>
          <w:u w:val="none"/>
          <w:lang w:val="en-US"/>
        </w:rPr>
      </w:pPr>
      <w:r w:rsidRPr="005B2AA7">
        <w:rPr>
          <w:rStyle w:val="aa"/>
          <w:rFonts w:ascii="Book Antiqua" w:hAnsi="Book Antiqua" w:cs="Times New Roman"/>
          <w:b/>
          <w:color w:val="000000" w:themeColor="text1"/>
          <w:u w:val="none"/>
          <w:lang w:val="en-US"/>
        </w:rPr>
        <w:t>Sanna Lönnfors, Luisa Avedano,</w:t>
      </w:r>
      <w:r w:rsidR="00292675" w:rsidRPr="005B2AA7">
        <w:rPr>
          <w:rStyle w:val="aa"/>
          <w:rFonts w:ascii="Book Antiqua" w:hAnsi="Book Antiqua" w:cs="Times New Roman"/>
          <w:color w:val="000000" w:themeColor="text1"/>
          <w:u w:val="none"/>
          <w:lang w:val="en-US"/>
        </w:rPr>
        <w:t xml:space="preserve"> European Federation of Crohn's and Ulcerative Colitis Associations,</w:t>
      </w:r>
      <w:r w:rsidR="00EF5CB9" w:rsidRPr="005B2AA7">
        <w:rPr>
          <w:rStyle w:val="aa"/>
          <w:rFonts w:ascii="Book Antiqua" w:hAnsi="Book Antiqua" w:cs="Times New Roman"/>
          <w:color w:val="000000" w:themeColor="text1"/>
          <w:u w:val="none"/>
          <w:lang w:val="en-US"/>
        </w:rPr>
        <w:t xml:space="preserve"> </w:t>
      </w:r>
      <w:r w:rsidR="00956485" w:rsidRPr="005B2AA7">
        <w:rPr>
          <w:rStyle w:val="aa"/>
          <w:rFonts w:ascii="Book Antiqua" w:hAnsi="Book Antiqua" w:cs="Times New Roman"/>
          <w:color w:val="000000" w:themeColor="text1"/>
          <w:u w:val="none"/>
          <w:lang w:val="en-US"/>
        </w:rPr>
        <w:t>Brussels B-1000, Belgium</w:t>
      </w:r>
    </w:p>
    <w:p w14:paraId="7A0D9E9E" w14:textId="77777777" w:rsidR="00EF5CB9" w:rsidRPr="005B2AA7" w:rsidRDefault="00EF5CB9" w:rsidP="00253009">
      <w:pPr>
        <w:adjustRightInd w:val="0"/>
        <w:snapToGrid w:val="0"/>
        <w:spacing w:line="360" w:lineRule="auto"/>
        <w:jc w:val="both"/>
        <w:rPr>
          <w:rStyle w:val="aa"/>
          <w:rFonts w:ascii="Book Antiqua" w:hAnsi="Book Antiqua" w:cs="Times New Roman"/>
          <w:color w:val="000000" w:themeColor="text1"/>
          <w:u w:val="none"/>
          <w:lang w:val="en-US"/>
        </w:rPr>
      </w:pPr>
    </w:p>
    <w:p w14:paraId="1F01E9A3" w14:textId="6A54D25E" w:rsidR="00EF5CB9" w:rsidRPr="005B2AA7" w:rsidRDefault="007F67D2" w:rsidP="00253009">
      <w:pPr>
        <w:adjustRightInd w:val="0"/>
        <w:snapToGrid w:val="0"/>
        <w:spacing w:line="360" w:lineRule="auto"/>
        <w:jc w:val="both"/>
        <w:rPr>
          <w:rStyle w:val="aa"/>
          <w:rFonts w:ascii="Book Antiqua" w:hAnsi="Book Antiqua" w:cs="Times New Roman"/>
          <w:color w:val="000000" w:themeColor="text1"/>
          <w:u w:val="none"/>
          <w:lang w:val="en-US"/>
        </w:rPr>
      </w:pPr>
      <w:r w:rsidRPr="005B2AA7">
        <w:rPr>
          <w:rStyle w:val="aa"/>
          <w:rFonts w:ascii="Book Antiqua" w:hAnsi="Book Antiqua" w:cs="Times New Roman"/>
          <w:b/>
          <w:color w:val="000000" w:themeColor="text1"/>
          <w:u w:val="none"/>
          <w:lang w:val="en-US"/>
        </w:rPr>
        <w:t>Daniele Piovani,</w:t>
      </w:r>
      <w:r w:rsidR="00EF5CB9" w:rsidRPr="005B2AA7">
        <w:rPr>
          <w:rStyle w:val="aa"/>
          <w:rFonts w:ascii="Book Antiqua" w:hAnsi="Book Antiqua" w:cs="Times New Roman"/>
          <w:color w:val="000000" w:themeColor="text1"/>
          <w:u w:val="none"/>
          <w:lang w:val="en-US"/>
        </w:rPr>
        <w:t xml:space="preserve"> </w:t>
      </w:r>
      <w:r w:rsidR="002D0AB3" w:rsidRPr="005B2AA7">
        <w:rPr>
          <w:rStyle w:val="aa"/>
          <w:rFonts w:ascii="Book Antiqua" w:hAnsi="Book Antiqua" w:cs="Times New Roman"/>
          <w:color w:val="000000" w:themeColor="text1"/>
          <w:u w:val="none"/>
          <w:lang w:val="en-US"/>
        </w:rPr>
        <w:t xml:space="preserve">Department of Biomedical Sciences, Humanitas University, </w:t>
      </w:r>
      <w:r w:rsidR="00EF5CB9" w:rsidRPr="005B2AA7">
        <w:rPr>
          <w:rStyle w:val="aa"/>
          <w:rFonts w:ascii="Book Antiqua" w:hAnsi="Book Antiqua" w:cs="Times New Roman"/>
          <w:color w:val="000000" w:themeColor="text1"/>
          <w:u w:val="none"/>
          <w:lang w:val="en-US"/>
        </w:rPr>
        <w:t xml:space="preserve">Pieve Emanuele MI, Milan </w:t>
      </w:r>
      <w:r w:rsidR="0081625F" w:rsidRPr="005B2AA7">
        <w:rPr>
          <w:rStyle w:val="aa"/>
          <w:rFonts w:ascii="Book Antiqua" w:hAnsi="Book Antiqua" w:cs="Times New Roman"/>
          <w:color w:val="000000" w:themeColor="text1"/>
          <w:u w:val="none"/>
          <w:lang w:val="en-US"/>
        </w:rPr>
        <w:t>20090</w:t>
      </w:r>
      <w:r w:rsidR="00EF5CB9" w:rsidRPr="005B2AA7">
        <w:rPr>
          <w:rStyle w:val="aa"/>
          <w:rFonts w:ascii="Book Antiqua" w:hAnsi="Book Antiqua" w:cs="Times New Roman"/>
          <w:color w:val="000000" w:themeColor="text1"/>
          <w:u w:val="none"/>
          <w:lang w:val="en-US"/>
        </w:rPr>
        <w:t xml:space="preserve">, </w:t>
      </w:r>
      <w:r w:rsidR="002D0AB3" w:rsidRPr="005B2AA7">
        <w:rPr>
          <w:rStyle w:val="aa"/>
          <w:rFonts w:ascii="Book Antiqua" w:hAnsi="Book Antiqua" w:cs="Times New Roman"/>
          <w:color w:val="000000" w:themeColor="text1"/>
          <w:u w:val="none"/>
          <w:lang w:val="en-US"/>
        </w:rPr>
        <w:t>Italy</w:t>
      </w:r>
    </w:p>
    <w:p w14:paraId="53175F4D" w14:textId="77777777" w:rsidR="00EF5CB9" w:rsidRPr="005B2AA7" w:rsidRDefault="00EF5CB9" w:rsidP="00253009">
      <w:pPr>
        <w:adjustRightInd w:val="0"/>
        <w:snapToGrid w:val="0"/>
        <w:spacing w:line="360" w:lineRule="auto"/>
        <w:jc w:val="both"/>
        <w:rPr>
          <w:rStyle w:val="aa"/>
          <w:rFonts w:ascii="Book Antiqua" w:hAnsi="Book Antiqua" w:cs="Times New Roman"/>
          <w:color w:val="000000" w:themeColor="text1"/>
          <w:u w:val="none"/>
          <w:lang w:val="en-US"/>
        </w:rPr>
      </w:pPr>
    </w:p>
    <w:p w14:paraId="7565C0D6" w14:textId="17ACB613" w:rsidR="00292675" w:rsidRPr="005B2AA7" w:rsidRDefault="00EF5CB9" w:rsidP="00253009">
      <w:pPr>
        <w:adjustRightInd w:val="0"/>
        <w:snapToGrid w:val="0"/>
        <w:spacing w:line="360" w:lineRule="auto"/>
        <w:jc w:val="both"/>
        <w:rPr>
          <w:rStyle w:val="aa"/>
          <w:rFonts w:ascii="Book Antiqua" w:hAnsi="Book Antiqua" w:cs="Times New Roman"/>
          <w:color w:val="000000" w:themeColor="text1"/>
          <w:u w:val="none"/>
          <w:lang w:val="en-US"/>
        </w:rPr>
      </w:pPr>
      <w:r w:rsidRPr="005B2AA7">
        <w:rPr>
          <w:rStyle w:val="aa"/>
          <w:rFonts w:ascii="Book Antiqua" w:hAnsi="Book Antiqua" w:cs="Times New Roman"/>
          <w:b/>
          <w:color w:val="000000" w:themeColor="text1"/>
          <w:u w:val="none"/>
          <w:lang w:val="en-US"/>
        </w:rPr>
        <w:t xml:space="preserve">Daniele Piovani, </w:t>
      </w:r>
      <w:r w:rsidR="002D0AB3" w:rsidRPr="005B2AA7">
        <w:rPr>
          <w:rStyle w:val="aa"/>
          <w:rFonts w:ascii="Book Antiqua" w:hAnsi="Book Antiqua" w:cs="Times New Roman"/>
          <w:color w:val="000000" w:themeColor="text1"/>
          <w:u w:val="none"/>
          <w:lang w:val="en-US"/>
        </w:rPr>
        <w:t xml:space="preserve">Humanitas Clinical and Research Center - IRCCS, </w:t>
      </w:r>
      <w:r w:rsidRPr="005B2AA7">
        <w:rPr>
          <w:rStyle w:val="aa"/>
          <w:rFonts w:ascii="Book Antiqua" w:hAnsi="Book Antiqua" w:cs="Times New Roman"/>
          <w:color w:val="000000" w:themeColor="text1"/>
          <w:u w:val="none"/>
          <w:lang w:val="en-US"/>
        </w:rPr>
        <w:t xml:space="preserve">Milan, Rozzano </w:t>
      </w:r>
      <w:r w:rsidR="0081625F" w:rsidRPr="005B2AA7">
        <w:rPr>
          <w:rStyle w:val="aa"/>
          <w:rFonts w:ascii="Book Antiqua" w:hAnsi="Book Antiqua" w:cs="Times New Roman"/>
          <w:color w:val="000000" w:themeColor="text1"/>
          <w:u w:val="none"/>
          <w:lang w:val="en-US"/>
        </w:rPr>
        <w:t xml:space="preserve">20089, </w:t>
      </w:r>
      <w:r w:rsidR="002D0AB3" w:rsidRPr="005B2AA7">
        <w:rPr>
          <w:rStyle w:val="aa"/>
          <w:rFonts w:ascii="Book Antiqua" w:hAnsi="Book Antiqua" w:cs="Times New Roman"/>
          <w:color w:val="000000" w:themeColor="text1"/>
          <w:u w:val="none"/>
          <w:lang w:val="en-US"/>
        </w:rPr>
        <w:t>Italy</w:t>
      </w:r>
      <w:r w:rsidR="002D0AB3" w:rsidRPr="005B2AA7">
        <w:rPr>
          <w:rStyle w:val="aa"/>
          <w:rFonts w:ascii="Times New Roman" w:eastAsia="MS Gothic" w:hAnsi="Times New Roman" w:cs="Times New Roman"/>
          <w:color w:val="000000" w:themeColor="text1"/>
          <w:u w:val="none"/>
          <w:lang w:val="en-US"/>
        </w:rPr>
        <w:t>​</w:t>
      </w:r>
    </w:p>
    <w:p w14:paraId="6A823500" w14:textId="77777777" w:rsidR="00DF3B82" w:rsidRPr="005B2AA7" w:rsidRDefault="00DF3B82" w:rsidP="00253009">
      <w:pPr>
        <w:adjustRightInd w:val="0"/>
        <w:snapToGrid w:val="0"/>
        <w:spacing w:line="360" w:lineRule="auto"/>
        <w:jc w:val="both"/>
        <w:rPr>
          <w:rStyle w:val="aa"/>
          <w:rFonts w:ascii="Book Antiqua" w:hAnsi="Book Antiqua" w:cs="Times New Roman"/>
          <w:color w:val="000000" w:themeColor="text1"/>
          <w:u w:val="none"/>
          <w:lang w:val="en-US"/>
        </w:rPr>
      </w:pPr>
    </w:p>
    <w:p w14:paraId="0E816007" w14:textId="08E2A600" w:rsidR="00A93D13" w:rsidRPr="005B2AA7" w:rsidRDefault="00EF5CB9" w:rsidP="00253009">
      <w:pPr>
        <w:adjustRightInd w:val="0"/>
        <w:snapToGrid w:val="0"/>
        <w:spacing w:line="360" w:lineRule="auto"/>
        <w:jc w:val="both"/>
        <w:rPr>
          <w:rFonts w:ascii="Book Antiqua" w:hAnsi="Book Antiqua" w:cs="Times New Roman"/>
          <w:lang w:val="en-US"/>
        </w:rPr>
      </w:pPr>
      <w:r w:rsidRPr="005B2AA7">
        <w:rPr>
          <w:rFonts w:ascii="Book Antiqua" w:hAnsi="Book Antiqua"/>
          <w:b/>
          <w:color w:val="000000"/>
        </w:rPr>
        <w:t>Author contributions:</w:t>
      </w:r>
      <w:r w:rsidRPr="005B2AA7">
        <w:rPr>
          <w:rFonts w:ascii="Book Antiqua" w:hAnsi="Book Antiqua"/>
          <w:bCs/>
          <w:color w:val="000000"/>
        </w:rPr>
        <w:t xml:space="preserve"> </w:t>
      </w:r>
      <w:r w:rsidR="006E507F" w:rsidRPr="005B2AA7">
        <w:rPr>
          <w:rFonts w:ascii="Book Antiqua" w:hAnsi="Book Antiqua" w:cs="Times New Roman"/>
          <w:bCs/>
        </w:rPr>
        <w:t>Le Berre C</w:t>
      </w:r>
      <w:r w:rsidR="003767C9" w:rsidRPr="005B2AA7">
        <w:rPr>
          <w:rFonts w:ascii="Book Antiqua" w:hAnsi="Book Antiqua" w:cs="Times New Roman"/>
          <w:bCs/>
          <w:lang w:val="en-US"/>
        </w:rPr>
        <w:t xml:space="preserve"> </w:t>
      </w:r>
      <w:r w:rsidR="003767C9" w:rsidRPr="005B2AA7">
        <w:rPr>
          <w:rFonts w:ascii="Book Antiqua" w:hAnsi="Book Antiqua" w:cs="Times New Roman"/>
          <w:lang w:val="en-US"/>
        </w:rPr>
        <w:t xml:space="preserve">and </w:t>
      </w:r>
      <w:r w:rsidR="006E507F" w:rsidRPr="005B2AA7">
        <w:rPr>
          <w:rFonts w:ascii="Book Antiqua" w:hAnsi="Book Antiqua" w:cs="Times New Roman"/>
        </w:rPr>
        <w:t>Loy</w:t>
      </w:r>
      <w:r w:rsidR="006E507F" w:rsidRPr="005B2AA7">
        <w:rPr>
          <w:rFonts w:ascii="Book Antiqua" w:hAnsi="Book Antiqua" w:cs="Times New Roman"/>
          <w:lang w:val="en-US"/>
        </w:rPr>
        <w:t xml:space="preserve"> </w:t>
      </w:r>
      <w:r w:rsidR="003767C9" w:rsidRPr="005B2AA7">
        <w:rPr>
          <w:rFonts w:ascii="Book Antiqua" w:hAnsi="Book Antiqua" w:cs="Times New Roman"/>
          <w:lang w:val="en-US"/>
        </w:rPr>
        <w:t>L</w:t>
      </w:r>
      <w:r w:rsidRPr="005B2AA7">
        <w:rPr>
          <w:rFonts w:ascii="Book Antiqua" w:hAnsi="Book Antiqua" w:cs="Times New Roman"/>
          <w:lang w:val="en-US"/>
        </w:rPr>
        <w:t xml:space="preserve"> </w:t>
      </w:r>
      <w:r w:rsidRPr="005B2AA7">
        <w:rPr>
          <w:rFonts w:ascii="Book Antiqua" w:hAnsi="Book Antiqua" w:cs="Times New Roman"/>
          <w:lang w:val="en-US" w:eastAsia="zh-CN"/>
        </w:rPr>
        <w:t>was</w:t>
      </w:r>
      <w:r w:rsidRPr="005B2AA7">
        <w:rPr>
          <w:rFonts w:ascii="Book Antiqua" w:hAnsi="Book Antiqua" w:cs="Times New Roman"/>
          <w:lang w:val="en-US"/>
        </w:rPr>
        <w:t xml:space="preserve"> </w:t>
      </w:r>
      <w:r w:rsidRPr="005B2AA7">
        <w:rPr>
          <w:rFonts w:ascii="Book Antiqua" w:hAnsi="Book Antiqua" w:cs="Times New Roman"/>
          <w:lang w:val="en-US" w:eastAsia="zh-CN"/>
        </w:rPr>
        <w:t>the</w:t>
      </w:r>
      <w:r w:rsidRPr="005B2AA7">
        <w:rPr>
          <w:rFonts w:ascii="Book Antiqua" w:hAnsi="Book Antiqua" w:cs="Times New Roman"/>
          <w:lang w:val="en-US"/>
        </w:rPr>
        <w:t xml:space="preserve"> </w:t>
      </w:r>
      <w:r w:rsidR="003767C9" w:rsidRPr="005B2AA7">
        <w:rPr>
          <w:rFonts w:ascii="Book Antiqua" w:hAnsi="Book Antiqua" w:cs="Times New Roman"/>
          <w:lang w:val="en-US"/>
        </w:rPr>
        <w:t xml:space="preserve">conception and design of the study, interpretation of data, and drafting the article; </w:t>
      </w:r>
      <w:r w:rsidR="006E507F" w:rsidRPr="005B2AA7">
        <w:rPr>
          <w:rFonts w:ascii="Book Antiqua" w:hAnsi="Book Antiqua" w:cs="Times New Roman"/>
        </w:rPr>
        <w:t>Lönnfors</w:t>
      </w:r>
      <w:r w:rsidRPr="005B2AA7">
        <w:rPr>
          <w:rFonts w:ascii="Book Antiqua" w:hAnsi="Book Antiqua" w:cs="Times New Roman"/>
          <w:lang w:val="en-US"/>
        </w:rPr>
        <w:t xml:space="preserve"> </w:t>
      </w:r>
      <w:r w:rsidR="006E507F" w:rsidRPr="005B2AA7">
        <w:rPr>
          <w:rFonts w:ascii="Book Antiqua" w:hAnsi="Book Antiqua" w:cs="Times New Roman"/>
          <w:lang w:val="en-US"/>
        </w:rPr>
        <w:t>S</w:t>
      </w:r>
      <w:r w:rsidR="003767C9" w:rsidRPr="005B2AA7">
        <w:rPr>
          <w:rFonts w:ascii="Book Antiqua" w:hAnsi="Book Antiqua" w:cs="Times New Roman"/>
          <w:lang w:val="en-US"/>
        </w:rPr>
        <w:t xml:space="preserve"> and </w:t>
      </w:r>
      <w:r w:rsidR="000D3DFB" w:rsidRPr="005B2AA7">
        <w:rPr>
          <w:rFonts w:ascii="Book Antiqua" w:hAnsi="Book Antiqua" w:cs="Times New Roman"/>
        </w:rPr>
        <w:lastRenderedPageBreak/>
        <w:t>Avedano</w:t>
      </w:r>
      <w:r w:rsidRPr="005B2AA7">
        <w:rPr>
          <w:rFonts w:ascii="Book Antiqua" w:hAnsi="Book Antiqua" w:cs="Times New Roman"/>
          <w:lang w:val="en-US"/>
        </w:rPr>
        <w:t xml:space="preserve"> </w:t>
      </w:r>
      <w:r w:rsidR="000D3DFB" w:rsidRPr="005B2AA7">
        <w:rPr>
          <w:rFonts w:ascii="Book Antiqua" w:hAnsi="Book Antiqua" w:cs="Times New Roman"/>
          <w:lang w:val="en-US"/>
        </w:rPr>
        <w:t>L</w:t>
      </w:r>
      <w:r w:rsidRPr="005B2AA7">
        <w:rPr>
          <w:rFonts w:ascii="Book Antiqua" w:hAnsi="Book Antiqua" w:cs="Times New Roman"/>
          <w:lang w:val="en-US"/>
        </w:rPr>
        <w:t xml:space="preserve"> </w:t>
      </w:r>
      <w:bookmarkStart w:id="21" w:name="OLE_LINK16"/>
      <w:bookmarkStart w:id="22" w:name="OLE_LINK17"/>
      <w:r w:rsidRPr="005B2AA7">
        <w:rPr>
          <w:rFonts w:ascii="Book Antiqua" w:hAnsi="Book Antiqua" w:cs="Times New Roman"/>
          <w:lang w:val="en-US" w:eastAsia="zh-CN"/>
        </w:rPr>
        <w:t>was</w:t>
      </w:r>
      <w:r w:rsidRPr="005B2AA7">
        <w:rPr>
          <w:rFonts w:ascii="Book Antiqua" w:hAnsi="Book Antiqua" w:cs="Times New Roman"/>
          <w:lang w:val="en-US"/>
        </w:rPr>
        <w:t xml:space="preserve"> </w:t>
      </w:r>
      <w:r w:rsidRPr="005B2AA7">
        <w:rPr>
          <w:rFonts w:ascii="Book Antiqua" w:hAnsi="Book Antiqua" w:cs="Times New Roman"/>
          <w:lang w:val="en-US" w:eastAsia="zh-CN"/>
        </w:rPr>
        <w:t>the</w:t>
      </w:r>
      <w:bookmarkEnd w:id="21"/>
      <w:bookmarkEnd w:id="22"/>
      <w:r w:rsidRPr="005B2AA7">
        <w:rPr>
          <w:rFonts w:ascii="Book Antiqua" w:hAnsi="Book Antiqua" w:cs="Times New Roman"/>
          <w:lang w:val="en-US"/>
        </w:rPr>
        <w:t xml:space="preserve"> </w:t>
      </w:r>
      <w:r w:rsidR="003767C9" w:rsidRPr="005B2AA7">
        <w:rPr>
          <w:rFonts w:ascii="Book Antiqua" w:hAnsi="Book Antiqua" w:cs="Times New Roman"/>
          <w:lang w:val="en-US"/>
        </w:rPr>
        <w:t>acquisition of data, making critical revisions related to important intellectual content of the manuscript</w:t>
      </w:r>
      <w:r w:rsidR="002D03FC" w:rsidRPr="005B2AA7">
        <w:rPr>
          <w:rFonts w:ascii="Book Antiqua" w:hAnsi="Book Antiqua" w:cs="Times New Roman"/>
          <w:lang w:val="en-US"/>
        </w:rPr>
        <w:t xml:space="preserve">; </w:t>
      </w:r>
      <w:r w:rsidR="000D3DFB" w:rsidRPr="005B2AA7">
        <w:rPr>
          <w:rFonts w:ascii="Book Antiqua" w:hAnsi="Book Antiqua" w:cs="Times New Roman"/>
        </w:rPr>
        <w:t>Piovani</w:t>
      </w:r>
      <w:r w:rsidRPr="005B2AA7">
        <w:rPr>
          <w:rFonts w:ascii="Book Antiqua" w:hAnsi="Book Antiqua" w:cs="Times New Roman"/>
          <w:lang w:val="en-US"/>
        </w:rPr>
        <w:t xml:space="preserve"> </w:t>
      </w:r>
      <w:r w:rsidR="000D3DFB" w:rsidRPr="005B2AA7">
        <w:rPr>
          <w:rFonts w:ascii="Book Antiqua" w:hAnsi="Book Antiqua" w:cs="Times New Roman"/>
          <w:lang w:val="en-US"/>
        </w:rPr>
        <w:t>D</w:t>
      </w:r>
      <w:r w:rsidR="00A93D13" w:rsidRPr="005B2AA7">
        <w:rPr>
          <w:rFonts w:ascii="Book Antiqua" w:hAnsi="Book Antiqua" w:cs="Times New Roman"/>
          <w:lang w:val="en-US" w:eastAsia="zh-CN"/>
        </w:rPr>
        <w:t xml:space="preserve"> was</w:t>
      </w:r>
      <w:r w:rsidR="00A93D13" w:rsidRPr="005B2AA7">
        <w:rPr>
          <w:rFonts w:ascii="Book Antiqua" w:hAnsi="Book Antiqua" w:cs="Times New Roman"/>
          <w:lang w:val="en-US"/>
        </w:rPr>
        <w:t xml:space="preserve"> </w:t>
      </w:r>
      <w:r w:rsidR="00A93D13" w:rsidRPr="005B2AA7">
        <w:rPr>
          <w:rFonts w:ascii="Book Antiqua" w:hAnsi="Book Antiqua" w:cs="Times New Roman"/>
          <w:lang w:val="en-US" w:eastAsia="zh-CN"/>
        </w:rPr>
        <w:t>the</w:t>
      </w:r>
      <w:r w:rsidR="00A93D13" w:rsidRPr="005B2AA7">
        <w:rPr>
          <w:rFonts w:ascii="Book Antiqua" w:hAnsi="Book Antiqua" w:cs="Times New Roman"/>
          <w:lang w:val="en-US"/>
        </w:rPr>
        <w:t xml:space="preserve"> </w:t>
      </w:r>
      <w:r w:rsidR="002D03FC" w:rsidRPr="005B2AA7">
        <w:rPr>
          <w:rFonts w:ascii="Book Antiqua" w:hAnsi="Book Antiqua" w:cs="Times New Roman"/>
          <w:lang w:val="en-US"/>
        </w:rPr>
        <w:t>analysis and interpretation of data, drafting the article</w:t>
      </w:r>
      <w:r w:rsidR="00A93D13" w:rsidRPr="005B2AA7">
        <w:rPr>
          <w:rFonts w:ascii="Book Antiqua" w:hAnsi="Book Antiqua" w:cs="Times New Roman"/>
          <w:lang w:val="en-US" w:eastAsia="zh-CN"/>
        </w:rPr>
        <w:t xml:space="preserve">; </w:t>
      </w:r>
      <w:r w:rsidR="003767C9" w:rsidRPr="005B2AA7">
        <w:rPr>
          <w:rFonts w:ascii="Book Antiqua" w:hAnsi="Book Antiqua" w:cs="Times New Roman"/>
          <w:lang w:val="en-US"/>
        </w:rPr>
        <w:t>All authors read and approved the final version of the article to be published.</w:t>
      </w:r>
    </w:p>
    <w:p w14:paraId="03C0F1CF" w14:textId="77777777" w:rsidR="00A93D13" w:rsidRPr="005B2AA7" w:rsidRDefault="00A93D13" w:rsidP="00253009">
      <w:pPr>
        <w:adjustRightInd w:val="0"/>
        <w:snapToGrid w:val="0"/>
        <w:spacing w:line="360" w:lineRule="auto"/>
        <w:jc w:val="both"/>
        <w:rPr>
          <w:rFonts w:ascii="Book Antiqua" w:hAnsi="Book Antiqua" w:cs="Times New Roman"/>
          <w:lang w:val="en-US"/>
        </w:rPr>
      </w:pPr>
    </w:p>
    <w:p w14:paraId="58B43F23" w14:textId="6511D6CE" w:rsidR="00416F05" w:rsidRPr="005B2AA7" w:rsidRDefault="00A93D13" w:rsidP="00253009">
      <w:pPr>
        <w:adjustRightInd w:val="0"/>
        <w:snapToGrid w:val="0"/>
        <w:spacing w:line="360" w:lineRule="auto"/>
        <w:jc w:val="both"/>
        <w:rPr>
          <w:rFonts w:ascii="Book Antiqua" w:hAnsi="Book Antiqua" w:cs="Times New Roman"/>
          <w:lang w:val="en-US" w:eastAsia="zh-CN"/>
        </w:rPr>
      </w:pPr>
      <w:r w:rsidRPr="005B2AA7">
        <w:rPr>
          <w:rFonts w:ascii="Book Antiqua" w:hAnsi="Book Antiqua"/>
          <w:b/>
          <w:color w:val="000000"/>
        </w:rPr>
        <w:t>Supported by</w:t>
      </w:r>
      <w:r w:rsidR="003767C9" w:rsidRPr="005B2AA7">
        <w:rPr>
          <w:rFonts w:ascii="Book Antiqua" w:hAnsi="Book Antiqua" w:cs="Times New Roman"/>
          <w:lang w:val="en-US"/>
        </w:rPr>
        <w:t xml:space="preserve"> </w:t>
      </w:r>
      <w:bookmarkStart w:id="23" w:name="OLE_LINK20"/>
      <w:r w:rsidRPr="005B2AA7">
        <w:rPr>
          <w:rFonts w:ascii="Book Antiqua" w:hAnsi="Book Antiqua" w:cs="Times New Roman"/>
          <w:lang w:val="en-US"/>
        </w:rPr>
        <w:t>Philip Morris Products SA</w:t>
      </w:r>
      <w:r w:rsidR="00956485" w:rsidRPr="005B2AA7">
        <w:rPr>
          <w:rFonts w:ascii="Book Antiqua" w:hAnsi="Book Antiqua" w:cs="Times New Roman"/>
          <w:lang w:val="en-US" w:eastAsia="zh-CN"/>
        </w:rPr>
        <w:t xml:space="preserve"> and coordinated by Linkt Health Ltd</w:t>
      </w:r>
      <w:bookmarkEnd w:id="23"/>
      <w:r w:rsidR="00956485" w:rsidRPr="005B2AA7">
        <w:rPr>
          <w:rFonts w:ascii="Book Antiqua" w:hAnsi="Book Antiqua" w:cs="Times New Roman"/>
          <w:lang w:val="en-US" w:eastAsia="zh-CN"/>
        </w:rPr>
        <w:t>.</w:t>
      </w:r>
    </w:p>
    <w:p w14:paraId="24F3B47F" w14:textId="34603E09" w:rsidR="002C4AC3" w:rsidRPr="005B2AA7" w:rsidRDefault="002C4AC3" w:rsidP="00253009">
      <w:pPr>
        <w:adjustRightInd w:val="0"/>
        <w:snapToGrid w:val="0"/>
        <w:spacing w:line="360" w:lineRule="auto"/>
        <w:jc w:val="both"/>
        <w:rPr>
          <w:rFonts w:ascii="Book Antiqua" w:hAnsi="Book Antiqua" w:cs="Times New Roman"/>
          <w:lang w:val="en-US" w:eastAsia="zh-CN"/>
        </w:rPr>
      </w:pPr>
    </w:p>
    <w:p w14:paraId="3191AA66" w14:textId="4607F942" w:rsidR="002E5A65" w:rsidRPr="005B2AA7" w:rsidRDefault="002C4AC3" w:rsidP="00253009">
      <w:pPr>
        <w:adjustRightInd w:val="0"/>
        <w:snapToGrid w:val="0"/>
        <w:spacing w:line="360" w:lineRule="auto"/>
        <w:jc w:val="both"/>
        <w:rPr>
          <w:rStyle w:val="aa"/>
          <w:rFonts w:ascii="Book Antiqua" w:eastAsia="宋体" w:hAnsi="Book Antiqua"/>
          <w:kern w:val="2"/>
          <w:lang w:val="en-US" w:eastAsia="zh-CN"/>
        </w:rPr>
      </w:pPr>
      <w:r w:rsidRPr="005B2AA7">
        <w:rPr>
          <w:rFonts w:ascii="Book Antiqua" w:hAnsi="Book Antiqua"/>
          <w:b/>
          <w:color w:val="000000"/>
        </w:rPr>
        <w:t>Corresponding author:</w:t>
      </w:r>
      <w:r w:rsidR="002E5A65" w:rsidRPr="005B2AA7">
        <w:rPr>
          <w:rFonts w:ascii="Book Antiqua" w:hAnsi="Book Antiqua" w:cs="Times New Roman"/>
          <w:b/>
        </w:rPr>
        <w:t xml:space="preserve"> Catherine Le Berre, MD,</w:t>
      </w:r>
      <w:r w:rsidR="00956485" w:rsidRPr="005B2AA7">
        <w:rPr>
          <w:rFonts w:ascii="Book Antiqua" w:hAnsi="Book Antiqua"/>
        </w:rPr>
        <w:t xml:space="preserve"> </w:t>
      </w:r>
      <w:r w:rsidR="00956485" w:rsidRPr="005B2AA7">
        <w:rPr>
          <w:rFonts w:ascii="Book Antiqua" w:hAnsi="Book Antiqua" w:cs="Times New Roman"/>
          <w:b/>
        </w:rPr>
        <w:t>Doctor,</w:t>
      </w:r>
      <w:r w:rsidR="002E5A65" w:rsidRPr="005B2AA7">
        <w:rPr>
          <w:rFonts w:ascii="Book Antiqua" w:hAnsi="Book Antiqua" w:cs="Times New Roman"/>
        </w:rPr>
        <w:t xml:space="preserve"> Institut des Maladies de l'Appareil Digestif, Nantes University Hospital, 1 place Alexis Ricordeau, </w:t>
      </w:r>
      <w:r w:rsidR="00A57C9E" w:rsidRPr="005B2AA7">
        <w:rPr>
          <w:rFonts w:ascii="Book Antiqua" w:hAnsi="Book Antiqua" w:cs="Times New Roman"/>
        </w:rPr>
        <w:t>Nantes 44000</w:t>
      </w:r>
      <w:r w:rsidR="00956485" w:rsidRPr="005B2AA7">
        <w:rPr>
          <w:rFonts w:ascii="Book Antiqua" w:hAnsi="Book Antiqua" w:cs="Times New Roman"/>
          <w:lang w:eastAsia="zh-CN"/>
        </w:rPr>
        <w:t>,</w:t>
      </w:r>
      <w:r w:rsidR="002E5A65" w:rsidRPr="005B2AA7">
        <w:rPr>
          <w:rFonts w:ascii="Book Antiqua" w:hAnsi="Book Antiqua" w:cs="Times New Roman"/>
        </w:rPr>
        <w:t xml:space="preserve"> France. </w:t>
      </w:r>
      <w:hyperlink r:id="rId9" w:history="1">
        <w:r w:rsidR="002E5A65" w:rsidRPr="005B2AA7">
          <w:rPr>
            <w:rStyle w:val="aa"/>
            <w:rFonts w:ascii="Book Antiqua" w:eastAsia="宋体" w:hAnsi="Book Antiqua"/>
            <w:kern w:val="2"/>
            <w:lang w:val="en-US" w:eastAsia="zh-CN"/>
          </w:rPr>
          <w:t>catherine@leberre.org</w:t>
        </w:r>
      </w:hyperlink>
      <w:r w:rsidR="002E5A65" w:rsidRPr="005B2AA7">
        <w:rPr>
          <w:rStyle w:val="aa"/>
          <w:rFonts w:ascii="Book Antiqua" w:eastAsia="宋体" w:hAnsi="Book Antiqua"/>
          <w:kern w:val="2"/>
          <w:lang w:val="en-US" w:eastAsia="zh-CN"/>
        </w:rPr>
        <w:t>.</w:t>
      </w:r>
    </w:p>
    <w:p w14:paraId="17B2F51F" w14:textId="24C8C58B" w:rsidR="002E5A65" w:rsidRPr="005B2AA7" w:rsidRDefault="002E5A65" w:rsidP="00253009">
      <w:pPr>
        <w:adjustRightInd w:val="0"/>
        <w:snapToGrid w:val="0"/>
        <w:spacing w:line="360" w:lineRule="auto"/>
        <w:jc w:val="both"/>
        <w:rPr>
          <w:rStyle w:val="aa"/>
          <w:rFonts w:ascii="Book Antiqua" w:eastAsia="宋体" w:hAnsi="Book Antiqua"/>
          <w:kern w:val="2"/>
          <w:lang w:val="en-US" w:eastAsia="zh-CN"/>
        </w:rPr>
      </w:pPr>
    </w:p>
    <w:p w14:paraId="07C876C3" w14:textId="4272D616" w:rsidR="002E5A65" w:rsidRPr="005B2AA7" w:rsidRDefault="002E5A65" w:rsidP="00253009">
      <w:pPr>
        <w:adjustRightInd w:val="0"/>
        <w:snapToGrid w:val="0"/>
        <w:spacing w:line="360" w:lineRule="auto"/>
        <w:jc w:val="both"/>
        <w:rPr>
          <w:rFonts w:ascii="Book Antiqua" w:hAnsi="Book Antiqua"/>
          <w:b/>
          <w:color w:val="000000"/>
        </w:rPr>
      </w:pPr>
      <w:r w:rsidRPr="005B2AA7">
        <w:rPr>
          <w:rFonts w:ascii="Book Antiqua" w:hAnsi="Book Antiqua"/>
          <w:b/>
          <w:color w:val="000000"/>
        </w:rPr>
        <w:t xml:space="preserve">Received: </w:t>
      </w:r>
      <w:hyperlink r:id="rId10" w:history="1">
        <w:r w:rsidRPr="005B2AA7">
          <w:rPr>
            <w:rFonts w:ascii="Book Antiqua" w:hAnsi="Book Antiqua"/>
            <w:color w:val="000000"/>
          </w:rPr>
          <w:t>April</w:t>
        </w:r>
      </w:hyperlink>
      <w:r w:rsidRPr="005B2AA7">
        <w:rPr>
          <w:rFonts w:ascii="Book Antiqua" w:hAnsi="Book Antiqua"/>
          <w:color w:val="000000"/>
        </w:rPr>
        <w:t xml:space="preserve"> 29, 20</w:t>
      </w:r>
      <w:r w:rsidRPr="005B2AA7">
        <w:rPr>
          <w:rFonts w:ascii="Book Antiqua" w:hAnsi="Book Antiqua"/>
          <w:color w:val="000000"/>
          <w:lang w:eastAsia="zh-CN"/>
        </w:rPr>
        <w:t>20</w:t>
      </w:r>
    </w:p>
    <w:p w14:paraId="3080CAFE" w14:textId="59397388" w:rsidR="002E5A65" w:rsidRPr="005B2AA7" w:rsidRDefault="002E5A65" w:rsidP="00253009">
      <w:pPr>
        <w:adjustRightInd w:val="0"/>
        <w:snapToGrid w:val="0"/>
        <w:spacing w:line="360" w:lineRule="auto"/>
        <w:jc w:val="both"/>
        <w:rPr>
          <w:rFonts w:ascii="Book Antiqua" w:hAnsi="Book Antiqua"/>
          <w:b/>
          <w:color w:val="000000"/>
        </w:rPr>
      </w:pPr>
      <w:r w:rsidRPr="005B2AA7">
        <w:rPr>
          <w:rFonts w:ascii="Book Antiqua" w:hAnsi="Book Antiqua"/>
          <w:b/>
          <w:color w:val="000000"/>
        </w:rPr>
        <w:t xml:space="preserve">Revised: </w:t>
      </w:r>
      <w:r w:rsidRPr="005B2AA7">
        <w:rPr>
          <w:rFonts w:ascii="Book Antiqua" w:hAnsi="Book Antiqua"/>
          <w:color w:val="000000"/>
        </w:rPr>
        <w:t xml:space="preserve">May </w:t>
      </w:r>
      <w:r w:rsidRPr="005B2AA7">
        <w:rPr>
          <w:rFonts w:ascii="Book Antiqua" w:hAnsi="Book Antiqua"/>
          <w:color w:val="000000"/>
          <w:lang w:eastAsia="zh-CN"/>
        </w:rPr>
        <w:t>25</w:t>
      </w:r>
      <w:r w:rsidRPr="005B2AA7">
        <w:rPr>
          <w:rFonts w:ascii="Book Antiqua" w:hAnsi="Book Antiqua"/>
          <w:color w:val="000000"/>
        </w:rPr>
        <w:t>, 20</w:t>
      </w:r>
      <w:r w:rsidRPr="005B2AA7">
        <w:rPr>
          <w:rFonts w:ascii="Book Antiqua" w:hAnsi="Book Antiqua"/>
          <w:color w:val="000000"/>
          <w:lang w:eastAsia="zh-CN"/>
        </w:rPr>
        <w:t>20</w:t>
      </w:r>
      <w:r w:rsidRPr="005B2AA7">
        <w:rPr>
          <w:rFonts w:ascii="Book Antiqua" w:hAnsi="Book Antiqua"/>
          <w:b/>
          <w:color w:val="000000"/>
        </w:rPr>
        <w:t xml:space="preserve"> </w:t>
      </w:r>
    </w:p>
    <w:p w14:paraId="57F835EF" w14:textId="34F27288" w:rsidR="002E5A65" w:rsidRPr="005B2AA7" w:rsidRDefault="002E5A65" w:rsidP="00F562E4">
      <w:pPr>
        <w:snapToGrid w:val="0"/>
        <w:spacing w:line="360" w:lineRule="auto"/>
        <w:rPr>
          <w:rFonts w:ascii="Book Antiqua" w:hAnsi="Book Antiqua" w:cs="Arial"/>
          <w:color w:val="000000" w:themeColor="text1"/>
          <w:shd w:val="clear" w:color="auto" w:fill="FFFFFF"/>
        </w:rPr>
      </w:pPr>
      <w:r w:rsidRPr="005B2AA7">
        <w:rPr>
          <w:rFonts w:ascii="Book Antiqua" w:hAnsi="Book Antiqua"/>
          <w:b/>
          <w:color w:val="000000"/>
        </w:rPr>
        <w:t xml:space="preserve">Accepted: </w:t>
      </w:r>
      <w:r w:rsidR="00F562E4" w:rsidRPr="005B2AA7">
        <w:rPr>
          <w:rFonts w:ascii="Book Antiqua" w:hAnsi="Book Antiqua" w:cs="Arial"/>
          <w:color w:val="000000" w:themeColor="text1"/>
          <w:shd w:val="clear" w:color="auto" w:fill="FFFFFF"/>
        </w:rPr>
        <w:t>July 22, 2020</w:t>
      </w:r>
    </w:p>
    <w:p w14:paraId="6839EC7C" w14:textId="590F6255" w:rsidR="00953E4D" w:rsidRPr="005B2AA7" w:rsidRDefault="002E5A65" w:rsidP="00253009">
      <w:pPr>
        <w:adjustRightInd w:val="0"/>
        <w:snapToGrid w:val="0"/>
        <w:spacing w:line="360" w:lineRule="auto"/>
        <w:jc w:val="both"/>
        <w:rPr>
          <w:rFonts w:ascii="Book Antiqua" w:hAnsi="Book Antiqua" w:hint="eastAsia"/>
          <w:b/>
          <w:color w:val="000000"/>
          <w:lang w:eastAsia="zh-CN"/>
        </w:rPr>
      </w:pPr>
      <w:r w:rsidRPr="005B2AA7">
        <w:rPr>
          <w:rFonts w:ascii="Book Antiqua" w:hAnsi="Book Antiqua"/>
          <w:b/>
          <w:color w:val="000000"/>
        </w:rPr>
        <w:t>Published online:</w:t>
      </w:r>
      <w:r w:rsidR="0042481F" w:rsidRPr="005B2AA7">
        <w:rPr>
          <w:rFonts w:ascii="Book Antiqua" w:hAnsi="Book Antiqua" w:hint="eastAsia"/>
          <w:b/>
          <w:color w:val="000000"/>
          <w:lang w:eastAsia="zh-CN"/>
        </w:rPr>
        <w:t xml:space="preserve"> </w:t>
      </w:r>
      <w:r w:rsidR="0042481F" w:rsidRPr="005B2AA7">
        <w:rPr>
          <w:rFonts w:ascii="Book Antiqua" w:hAnsi="Book Antiqua" w:hint="eastAsia"/>
          <w:color w:val="000000"/>
          <w:lang w:eastAsia="zh-CN"/>
        </w:rPr>
        <w:t>August 7, 2020</w:t>
      </w:r>
    </w:p>
    <w:p w14:paraId="64BEE54C" w14:textId="77777777" w:rsidR="00953E4D" w:rsidRPr="005B2AA7" w:rsidRDefault="00953E4D" w:rsidP="00253009">
      <w:pPr>
        <w:adjustRightInd w:val="0"/>
        <w:snapToGrid w:val="0"/>
        <w:spacing w:line="360" w:lineRule="auto"/>
        <w:jc w:val="both"/>
        <w:rPr>
          <w:rFonts w:ascii="Book Antiqua" w:hAnsi="Book Antiqua"/>
          <w:b/>
          <w:color w:val="000000"/>
        </w:rPr>
      </w:pPr>
      <w:r w:rsidRPr="005B2AA7">
        <w:rPr>
          <w:rFonts w:ascii="Book Antiqua" w:hAnsi="Book Antiqua"/>
          <w:b/>
          <w:color w:val="000000"/>
        </w:rPr>
        <w:br w:type="page"/>
      </w:r>
    </w:p>
    <w:p w14:paraId="0F1D0228" w14:textId="77777777" w:rsidR="00953E4D" w:rsidRPr="005B2AA7" w:rsidRDefault="00953E4D" w:rsidP="00253009">
      <w:pPr>
        <w:adjustRightInd w:val="0"/>
        <w:snapToGrid w:val="0"/>
        <w:spacing w:line="360" w:lineRule="auto"/>
        <w:jc w:val="both"/>
        <w:rPr>
          <w:rFonts w:ascii="Book Antiqua" w:hAnsi="Book Antiqua"/>
          <w:b/>
          <w:color w:val="008000"/>
        </w:rPr>
      </w:pPr>
      <w:r w:rsidRPr="005B2AA7">
        <w:rPr>
          <w:rFonts w:ascii="Book Antiqua" w:hAnsi="Book Antiqua"/>
          <w:b/>
          <w:color w:val="000000"/>
        </w:rPr>
        <w:lastRenderedPageBreak/>
        <w:t>Abstract</w:t>
      </w:r>
    </w:p>
    <w:p w14:paraId="66E87B4A" w14:textId="77777777" w:rsidR="00953E4D" w:rsidRPr="005B2AA7" w:rsidRDefault="00953E4D" w:rsidP="00253009">
      <w:pPr>
        <w:adjustRightInd w:val="0"/>
        <w:snapToGrid w:val="0"/>
        <w:spacing w:line="360" w:lineRule="auto"/>
        <w:jc w:val="both"/>
        <w:rPr>
          <w:rFonts w:ascii="Book Antiqua" w:hAnsi="Book Antiqua"/>
          <w:color w:val="000000"/>
        </w:rPr>
      </w:pPr>
      <w:r w:rsidRPr="005B2AA7">
        <w:rPr>
          <w:rFonts w:ascii="Book Antiqua" w:hAnsi="Book Antiqua"/>
          <w:color w:val="000000"/>
        </w:rPr>
        <w:t>BACKGROUND</w:t>
      </w:r>
    </w:p>
    <w:p w14:paraId="248B8BFC" w14:textId="62DB38C0" w:rsidR="001063F4" w:rsidRPr="005B2AA7" w:rsidRDefault="001063F4"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lang w:val="en-US"/>
        </w:rPr>
        <w:t xml:space="preserve">Smoking has detrimental effects on Crohn’s disease (CD) activity while data on ulcerative colitis (UC) are conflicting. Little is known about the use and impact of alternative </w:t>
      </w:r>
      <w:r w:rsidR="00386D81" w:rsidRPr="005B2AA7">
        <w:rPr>
          <w:rFonts w:ascii="Book Antiqua" w:hAnsi="Book Antiqua" w:cs="Times New Roman"/>
          <w:lang w:val="en-US"/>
        </w:rPr>
        <w:t>smoking</w:t>
      </w:r>
      <w:r w:rsidRPr="005B2AA7">
        <w:rPr>
          <w:rFonts w:ascii="Book Antiqua" w:hAnsi="Book Antiqua" w:cs="Times New Roman"/>
          <w:lang w:val="en-US"/>
        </w:rPr>
        <w:t xml:space="preserve"> products in inflammatory bowel diseases (IBD).</w:t>
      </w:r>
    </w:p>
    <w:p w14:paraId="20D9D71A" w14:textId="77777777" w:rsidR="00E612AE" w:rsidRPr="005B2AA7" w:rsidRDefault="00E612AE" w:rsidP="00253009">
      <w:pPr>
        <w:adjustRightInd w:val="0"/>
        <w:snapToGrid w:val="0"/>
        <w:spacing w:line="360" w:lineRule="auto"/>
        <w:jc w:val="both"/>
        <w:rPr>
          <w:rFonts w:ascii="Book Antiqua" w:hAnsi="Book Antiqua" w:cs="Times New Roman"/>
          <w:b/>
          <w:i/>
          <w:lang w:val="en-US"/>
        </w:rPr>
      </w:pPr>
    </w:p>
    <w:p w14:paraId="596BA297" w14:textId="77777777" w:rsidR="00953E4D" w:rsidRPr="005B2AA7" w:rsidRDefault="00953E4D" w:rsidP="00253009">
      <w:pPr>
        <w:adjustRightInd w:val="0"/>
        <w:snapToGrid w:val="0"/>
        <w:spacing w:line="360" w:lineRule="auto"/>
        <w:jc w:val="both"/>
        <w:rPr>
          <w:rFonts w:ascii="Book Antiqua" w:hAnsi="Book Antiqua"/>
          <w:color w:val="0000FF"/>
          <w:lang w:val="en"/>
        </w:rPr>
      </w:pPr>
      <w:r w:rsidRPr="005B2AA7">
        <w:rPr>
          <w:rFonts w:ascii="Book Antiqua" w:hAnsi="Book Antiqua"/>
          <w:color w:val="000000"/>
        </w:rPr>
        <w:t>AIM</w:t>
      </w:r>
    </w:p>
    <w:p w14:paraId="6C7AE90B" w14:textId="12907EA4" w:rsidR="001063F4" w:rsidRPr="005B2AA7" w:rsidRDefault="00953E4D" w:rsidP="00253009">
      <w:pPr>
        <w:adjustRightInd w:val="0"/>
        <w:snapToGrid w:val="0"/>
        <w:spacing w:line="360" w:lineRule="auto"/>
        <w:jc w:val="both"/>
        <w:rPr>
          <w:rFonts w:ascii="Book Antiqua" w:hAnsi="Book Antiqua" w:cs="Times New Roman"/>
          <w:lang w:val="en-US"/>
        </w:rPr>
      </w:pPr>
      <w:r w:rsidRPr="005B2AA7">
        <w:rPr>
          <w:rFonts w:ascii="Book Antiqua" w:hAnsi="Book Antiqua"/>
          <w:color w:val="000000"/>
        </w:rPr>
        <w:t>To</w:t>
      </w:r>
      <w:r w:rsidR="008F398C" w:rsidRPr="005B2AA7">
        <w:rPr>
          <w:rFonts w:ascii="Book Antiqua" w:hAnsi="Book Antiqua" w:cs="Times New Roman"/>
          <w:lang w:val="en-US"/>
        </w:rPr>
        <w:t xml:space="preserve"> </w:t>
      </w:r>
      <w:r w:rsidR="001063F4" w:rsidRPr="005B2AA7">
        <w:rPr>
          <w:rFonts w:ascii="Book Antiqua" w:hAnsi="Book Antiqua" w:cs="Times New Roman"/>
          <w:lang w:val="en-US"/>
        </w:rPr>
        <w:t>understand</w:t>
      </w:r>
      <w:r w:rsidR="00E575BB" w:rsidRPr="005B2AA7">
        <w:rPr>
          <w:rFonts w:ascii="Book Antiqua" w:hAnsi="Book Antiqua" w:cs="Times New Roman"/>
          <w:lang w:val="en-US"/>
        </w:rPr>
        <w:t xml:space="preserve"> </w:t>
      </w:r>
      <w:r w:rsidR="001063F4" w:rsidRPr="005B2AA7">
        <w:rPr>
          <w:rFonts w:ascii="Book Antiqua" w:hAnsi="Book Antiqua" w:cs="Times New Roman"/>
          <w:lang w:val="en-US"/>
        </w:rPr>
        <w:t xml:space="preserve">the patients’ perceptions </w:t>
      </w:r>
      <w:r w:rsidR="00932A78" w:rsidRPr="005B2AA7">
        <w:rPr>
          <w:rFonts w:ascii="Book Antiqua" w:hAnsi="Book Antiqua" w:cs="Times New Roman"/>
          <w:lang w:val="en-US"/>
        </w:rPr>
        <w:t xml:space="preserve">of the impact of </w:t>
      </w:r>
      <w:r w:rsidR="001063F4" w:rsidRPr="005B2AA7">
        <w:rPr>
          <w:rFonts w:ascii="Book Antiqua" w:hAnsi="Book Antiqua" w:cs="Times New Roman"/>
          <w:lang w:val="en-US"/>
        </w:rPr>
        <w:t xml:space="preserve">smoking </w:t>
      </w:r>
      <w:r w:rsidR="00932A78" w:rsidRPr="005B2AA7">
        <w:rPr>
          <w:rFonts w:ascii="Book Antiqua" w:hAnsi="Book Antiqua" w:cs="Times New Roman"/>
          <w:lang w:val="en-US"/>
        </w:rPr>
        <w:t>on</w:t>
      </w:r>
      <w:r w:rsidR="001063F4" w:rsidRPr="005B2AA7">
        <w:rPr>
          <w:rFonts w:ascii="Book Antiqua" w:hAnsi="Book Antiqua" w:cs="Times New Roman"/>
          <w:lang w:val="en-US"/>
        </w:rPr>
        <w:t xml:space="preserve"> their IBD and to assess differences between CD and UC patients.</w:t>
      </w:r>
    </w:p>
    <w:p w14:paraId="722F8C80" w14:textId="77777777" w:rsidR="00E612AE" w:rsidRPr="005B2AA7" w:rsidRDefault="00E612AE" w:rsidP="00253009">
      <w:pPr>
        <w:adjustRightInd w:val="0"/>
        <w:snapToGrid w:val="0"/>
        <w:spacing w:line="360" w:lineRule="auto"/>
        <w:jc w:val="both"/>
        <w:rPr>
          <w:rFonts w:ascii="Book Antiqua" w:hAnsi="Book Antiqua" w:cs="Times New Roman"/>
          <w:b/>
          <w:i/>
          <w:lang w:val="en-US"/>
        </w:rPr>
      </w:pPr>
    </w:p>
    <w:p w14:paraId="0EEDBA04" w14:textId="77777777" w:rsidR="00953E4D" w:rsidRPr="005B2AA7" w:rsidRDefault="00953E4D" w:rsidP="00253009">
      <w:pPr>
        <w:adjustRightInd w:val="0"/>
        <w:snapToGrid w:val="0"/>
        <w:spacing w:line="360" w:lineRule="auto"/>
        <w:jc w:val="both"/>
        <w:rPr>
          <w:rFonts w:ascii="Book Antiqua" w:hAnsi="Book Antiqua"/>
          <w:color w:val="0000FF"/>
          <w:lang w:val="en"/>
        </w:rPr>
      </w:pPr>
      <w:r w:rsidRPr="005B2AA7">
        <w:rPr>
          <w:rFonts w:ascii="Book Antiqua" w:hAnsi="Book Antiqua"/>
          <w:color w:val="000000"/>
        </w:rPr>
        <w:t>METHODS</w:t>
      </w:r>
    </w:p>
    <w:p w14:paraId="4A201147" w14:textId="0762412E" w:rsidR="001063F4" w:rsidRPr="005B2AA7" w:rsidRDefault="003C1DB8"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lang w:val="en-US"/>
        </w:rPr>
        <w:t xml:space="preserve">The questionnaire was developed by </w:t>
      </w:r>
      <w:r w:rsidRPr="005B2AA7">
        <w:rPr>
          <w:rFonts w:ascii="Book Antiqua" w:eastAsia="Times New Roman" w:hAnsi="Book Antiqua" w:cs="Times New Roman"/>
          <w:color w:val="000000" w:themeColor="text1"/>
          <w:shd w:val="clear" w:color="auto" w:fill="FFFFFF"/>
          <w:lang w:val="en-US" w:eastAsia="fr-FR"/>
        </w:rPr>
        <w:t>Philip Morris Products SA</w:t>
      </w:r>
      <w:r w:rsidRPr="005B2AA7">
        <w:rPr>
          <w:rFonts w:ascii="Book Antiqua" w:hAnsi="Book Antiqua" w:cs="Times New Roman"/>
          <w:lang w:val="en-US"/>
        </w:rPr>
        <w:t xml:space="preserve"> in cooperation with European Federation of Crohn's and Ulcerative Colitis Associations. The final survey questionnaire consisted of 41 questions divided in 8 categories:</w:t>
      </w:r>
      <w:r w:rsidR="00A2169F" w:rsidRPr="005B2AA7">
        <w:rPr>
          <w:rFonts w:ascii="Book Antiqua" w:hAnsi="Book Antiqua" w:cs="Times New Roman"/>
          <w:lang w:val="en-US"/>
        </w:rPr>
        <w:t xml:space="preserve"> </w:t>
      </w:r>
      <w:r w:rsidR="00A2169F" w:rsidRPr="005B2AA7">
        <w:rPr>
          <w:rFonts w:ascii="Book Antiqua" w:hAnsi="Book Antiqua" w:cs="Times New Roman"/>
          <w:lang w:val="en-US" w:eastAsia="zh-CN"/>
        </w:rPr>
        <w:t>(</w:t>
      </w:r>
      <w:r w:rsidR="00290C4F" w:rsidRPr="005B2AA7">
        <w:rPr>
          <w:rFonts w:ascii="Book Antiqua" w:hAnsi="Book Antiqua" w:cs="Times New Roman"/>
          <w:lang w:val="en-US"/>
        </w:rPr>
        <w:t>1) subject screener</w:t>
      </w:r>
      <w:r w:rsidR="00290C4F" w:rsidRPr="005B2AA7">
        <w:rPr>
          <w:rFonts w:ascii="Book Antiqua" w:hAnsi="Book Antiqua" w:cs="Times New Roman"/>
          <w:lang w:val="en-US" w:eastAsia="zh-CN"/>
        </w:rPr>
        <w:t>;</w:t>
      </w:r>
      <w:r w:rsidRPr="005B2AA7">
        <w:rPr>
          <w:rFonts w:ascii="Book Antiqua" w:hAnsi="Book Antiqua" w:cs="Times New Roman"/>
          <w:lang w:val="en-US"/>
        </w:rPr>
        <w:t xml:space="preserve"> </w:t>
      </w:r>
      <w:r w:rsidR="00A2169F" w:rsidRPr="005B2AA7">
        <w:rPr>
          <w:rFonts w:ascii="Book Antiqua" w:hAnsi="Book Antiqua" w:cs="Times New Roman"/>
          <w:lang w:val="en-US"/>
        </w:rPr>
        <w:t>(</w:t>
      </w:r>
      <w:r w:rsidR="00290C4F" w:rsidRPr="005B2AA7">
        <w:rPr>
          <w:rFonts w:ascii="Book Antiqua" w:hAnsi="Book Antiqua" w:cs="Times New Roman"/>
          <w:lang w:val="en-US"/>
        </w:rPr>
        <w:t>2) smoking history;</w:t>
      </w:r>
      <w:r w:rsidRPr="005B2AA7">
        <w:rPr>
          <w:rFonts w:ascii="Book Antiqua" w:hAnsi="Book Antiqua" w:cs="Times New Roman"/>
          <w:lang w:val="en-US"/>
        </w:rPr>
        <w:t xml:space="preserve"> </w:t>
      </w:r>
      <w:r w:rsidR="00A2169F" w:rsidRPr="005B2AA7">
        <w:rPr>
          <w:rFonts w:ascii="Book Antiqua" w:hAnsi="Book Antiqua" w:cs="Times New Roman"/>
          <w:lang w:val="en-US"/>
        </w:rPr>
        <w:t>(</w:t>
      </w:r>
      <w:r w:rsidR="00290C4F" w:rsidRPr="005B2AA7">
        <w:rPr>
          <w:rFonts w:ascii="Book Antiqua" w:hAnsi="Book Antiqua" w:cs="Times New Roman"/>
          <w:lang w:val="en-US"/>
        </w:rPr>
        <w:t>3) background information;</w:t>
      </w:r>
      <w:r w:rsidRPr="005B2AA7">
        <w:rPr>
          <w:rFonts w:ascii="Book Antiqua" w:hAnsi="Book Antiqua" w:cs="Times New Roman"/>
          <w:lang w:val="en-US"/>
        </w:rPr>
        <w:t xml:space="preserve"> </w:t>
      </w:r>
      <w:r w:rsidR="00A2169F" w:rsidRPr="005B2AA7">
        <w:rPr>
          <w:rFonts w:ascii="Book Antiqua" w:hAnsi="Book Antiqua" w:cs="Times New Roman"/>
          <w:lang w:val="en-US"/>
        </w:rPr>
        <w:t>(</w:t>
      </w:r>
      <w:r w:rsidR="00290C4F" w:rsidRPr="005B2AA7">
        <w:rPr>
          <w:rFonts w:ascii="Book Antiqua" w:hAnsi="Book Antiqua" w:cs="Times New Roman"/>
          <w:lang w:val="en-US"/>
        </w:rPr>
        <w:t>4) IBD disease background;</w:t>
      </w:r>
      <w:r w:rsidRPr="005B2AA7">
        <w:rPr>
          <w:rFonts w:ascii="Book Antiqua" w:hAnsi="Book Antiqua" w:cs="Times New Roman"/>
          <w:lang w:val="en-US"/>
        </w:rPr>
        <w:t xml:space="preserve"> </w:t>
      </w:r>
      <w:r w:rsidR="00A2169F" w:rsidRPr="005B2AA7">
        <w:rPr>
          <w:rFonts w:ascii="Book Antiqua" w:hAnsi="Book Antiqua" w:cs="Times New Roman"/>
          <w:lang w:val="en-US"/>
        </w:rPr>
        <w:t>(</w:t>
      </w:r>
      <w:r w:rsidR="00290C4F" w:rsidRPr="005B2AA7">
        <w:rPr>
          <w:rFonts w:ascii="Book Antiqua" w:hAnsi="Book Antiqua" w:cs="Times New Roman"/>
          <w:lang w:val="en-US"/>
        </w:rPr>
        <w:t>5) current disease status;</w:t>
      </w:r>
      <w:r w:rsidRPr="005B2AA7">
        <w:rPr>
          <w:rFonts w:ascii="Book Antiqua" w:hAnsi="Book Antiqua" w:cs="Times New Roman"/>
          <w:lang w:val="en-US"/>
        </w:rPr>
        <w:t xml:space="preserve"> </w:t>
      </w:r>
      <w:r w:rsidR="00A2169F" w:rsidRPr="005B2AA7">
        <w:rPr>
          <w:rFonts w:ascii="Book Antiqua" w:hAnsi="Book Antiqua" w:cs="Times New Roman"/>
          <w:lang w:val="en-US"/>
        </w:rPr>
        <w:t>(</w:t>
      </w:r>
      <w:r w:rsidRPr="005B2AA7">
        <w:rPr>
          <w:rFonts w:ascii="Book Antiqua" w:hAnsi="Book Antiqua" w:cs="Times New Roman"/>
          <w:lang w:val="en-US"/>
        </w:rPr>
        <w:t>6) curren</w:t>
      </w:r>
      <w:r w:rsidR="00290C4F" w:rsidRPr="005B2AA7">
        <w:rPr>
          <w:rFonts w:ascii="Book Antiqua" w:hAnsi="Book Antiqua" w:cs="Times New Roman"/>
          <w:lang w:val="en-US"/>
        </w:rPr>
        <w:t xml:space="preserve">t therapeutics and medications; </w:t>
      </w:r>
      <w:r w:rsidR="00E575BB" w:rsidRPr="005B2AA7">
        <w:rPr>
          <w:rFonts w:ascii="Book Antiqua" w:hAnsi="Book Antiqua" w:cs="Times New Roman"/>
          <w:lang w:val="en-US"/>
        </w:rPr>
        <w:t xml:space="preserve">and </w:t>
      </w:r>
      <w:r w:rsidR="00A2169F" w:rsidRPr="005B2AA7">
        <w:rPr>
          <w:rFonts w:ascii="Book Antiqua" w:hAnsi="Book Antiqua" w:cs="Times New Roman"/>
          <w:lang w:val="en-US"/>
        </w:rPr>
        <w:t>(</w:t>
      </w:r>
      <w:r w:rsidRPr="005B2AA7">
        <w:rPr>
          <w:rFonts w:ascii="Book Antiqua" w:hAnsi="Book Antiqua" w:cs="Times New Roman"/>
          <w:lang w:val="en-US"/>
        </w:rPr>
        <w:t>7) current nicotine/cigarettes use</w:t>
      </w:r>
      <w:r w:rsidR="00A2169F" w:rsidRPr="005B2AA7">
        <w:rPr>
          <w:rFonts w:ascii="Book Antiqua" w:hAnsi="Book Antiqua" w:cs="Times New Roman"/>
          <w:lang w:val="en-US"/>
        </w:rPr>
        <w:t xml:space="preserve"> </w:t>
      </w:r>
      <w:r w:rsidR="00A2169F" w:rsidRPr="005B2AA7">
        <w:rPr>
          <w:rFonts w:ascii="Book Antiqua" w:hAnsi="Book Antiqua" w:cs="Times New Roman"/>
          <w:lang w:val="en-US" w:eastAsia="zh-CN"/>
        </w:rPr>
        <w:t>and</w:t>
      </w:r>
      <w:r w:rsidR="00A2169F" w:rsidRPr="005B2AA7">
        <w:rPr>
          <w:rFonts w:ascii="Book Antiqua" w:hAnsi="Book Antiqua" w:cs="Times New Roman"/>
          <w:lang w:val="en-US"/>
        </w:rPr>
        <w:t xml:space="preserve"> </w:t>
      </w:r>
      <w:r w:rsidRPr="005B2AA7">
        <w:rPr>
          <w:rFonts w:ascii="Book Antiqua" w:hAnsi="Book Antiqua" w:cs="Times New Roman"/>
          <w:lang w:val="en-US"/>
        </w:rPr>
        <w:t>awareness of the impacts of smoking on IBD. The questionnaire was submitted online from 4</w:t>
      </w:r>
      <w:r w:rsidRPr="005B2AA7">
        <w:rPr>
          <w:rFonts w:ascii="Book Antiqua" w:hAnsi="Book Antiqua" w:cs="Times New Roman"/>
          <w:vertAlign w:val="superscript"/>
          <w:lang w:val="en-US"/>
        </w:rPr>
        <w:t>th</w:t>
      </w:r>
      <w:r w:rsidRPr="005B2AA7">
        <w:rPr>
          <w:rFonts w:ascii="Book Antiqua" w:hAnsi="Book Antiqua" w:cs="Times New Roman"/>
          <w:lang w:val="en-US"/>
        </w:rPr>
        <w:t xml:space="preserve"> November 2019 to 11th March 2020 through the </w:t>
      </w:r>
      <w:r w:rsidR="00953E4D" w:rsidRPr="005B2AA7">
        <w:rPr>
          <w:rFonts w:ascii="Book Antiqua" w:hAnsi="Book Antiqua" w:cs="Times New Roman"/>
          <w:lang w:val="en-US"/>
        </w:rPr>
        <w:t>European Federation of Crohn's and Ulcerative Colitis Associations</w:t>
      </w:r>
      <w:r w:rsidRPr="005B2AA7">
        <w:rPr>
          <w:rFonts w:ascii="Book Antiqua" w:hAnsi="Book Antiqua" w:cs="Times New Roman"/>
          <w:lang w:val="en-US"/>
        </w:rPr>
        <w:t xml:space="preserve"> website to IBD patients who were current smokers or had a history of smoking.</w:t>
      </w:r>
    </w:p>
    <w:p w14:paraId="31802D47" w14:textId="77777777" w:rsidR="00953E4D" w:rsidRPr="005B2AA7" w:rsidRDefault="00953E4D" w:rsidP="00253009">
      <w:pPr>
        <w:adjustRightInd w:val="0"/>
        <w:snapToGrid w:val="0"/>
        <w:spacing w:line="360" w:lineRule="auto"/>
        <w:jc w:val="both"/>
        <w:rPr>
          <w:rFonts w:ascii="Book Antiqua" w:hAnsi="Book Antiqua" w:cs="Times New Roman"/>
          <w:b/>
          <w:i/>
          <w:lang w:val="en-US"/>
        </w:rPr>
      </w:pPr>
    </w:p>
    <w:p w14:paraId="5F658A0D" w14:textId="77777777" w:rsidR="00DF3B82" w:rsidRPr="005B2AA7" w:rsidRDefault="00953E4D" w:rsidP="00253009">
      <w:pPr>
        <w:adjustRightInd w:val="0"/>
        <w:snapToGrid w:val="0"/>
        <w:spacing w:line="360" w:lineRule="auto"/>
        <w:jc w:val="both"/>
        <w:rPr>
          <w:rFonts w:ascii="Book Antiqua" w:hAnsi="Book Antiqua"/>
          <w:color w:val="0000FF"/>
          <w:lang w:val="en"/>
        </w:rPr>
      </w:pPr>
      <w:r w:rsidRPr="005B2AA7">
        <w:rPr>
          <w:rFonts w:ascii="Book Antiqua" w:hAnsi="Book Antiqua"/>
          <w:color w:val="000000"/>
        </w:rPr>
        <w:t>RESULTS</w:t>
      </w:r>
    </w:p>
    <w:p w14:paraId="70C7A508" w14:textId="59813CB3" w:rsidR="001063F4" w:rsidRPr="005B2AA7" w:rsidRDefault="009246B3"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lang w:val="en-US"/>
        </w:rPr>
        <w:t>In total 1050 IBD patients speaking nine language</w:t>
      </w:r>
      <w:r w:rsidR="00140929" w:rsidRPr="005B2AA7">
        <w:rPr>
          <w:rFonts w:ascii="Book Antiqua" w:hAnsi="Book Antiqua" w:cs="Times New Roman"/>
          <w:lang w:val="en-US"/>
        </w:rPr>
        <w:t>s</w:t>
      </w:r>
      <w:r w:rsidRPr="005B2AA7">
        <w:rPr>
          <w:rFonts w:ascii="Book Antiqua" w:hAnsi="Book Antiqua" w:cs="Times New Roman"/>
          <w:lang w:val="en-US"/>
        </w:rPr>
        <w:t xml:space="preserve"> participated to the survey</w:t>
      </w:r>
      <w:r w:rsidR="00140929" w:rsidRPr="005B2AA7">
        <w:rPr>
          <w:rFonts w:ascii="Book Antiqua" w:hAnsi="Book Antiqua" w:cs="Times New Roman"/>
          <w:lang w:val="en-US"/>
        </w:rPr>
        <w:t xml:space="preserve">. Among them, 807 (76.9%) patients declared to have ever smoked or consumed an alternative smoking product, </w:t>
      </w:r>
      <w:r w:rsidRPr="005B2AA7">
        <w:rPr>
          <w:rFonts w:ascii="Book Antiqua" w:hAnsi="Book Antiqua" w:cs="Times New Roman"/>
          <w:lang w:val="en-US"/>
        </w:rPr>
        <w:t xml:space="preserve">with a higher proportion of current cigarette smokers among CD patients (CD: 63.1% </w:t>
      </w:r>
      <w:r w:rsidRPr="005B2AA7">
        <w:rPr>
          <w:rFonts w:ascii="Book Antiqua" w:hAnsi="Book Antiqua" w:cs="Times New Roman"/>
          <w:i/>
          <w:iCs/>
          <w:lang w:val="en-US"/>
        </w:rPr>
        <w:t>vs</w:t>
      </w:r>
      <w:r w:rsidRPr="005B2AA7">
        <w:rPr>
          <w:rFonts w:ascii="Book Antiqua" w:hAnsi="Book Antiqua" w:cs="Times New Roman"/>
          <w:lang w:val="en-US"/>
        </w:rPr>
        <w:t xml:space="preserve"> UC: 54.1%, </w:t>
      </w:r>
      <w:r w:rsidR="00953E4D" w:rsidRPr="005B2AA7">
        <w:rPr>
          <w:rFonts w:ascii="Book Antiqua" w:hAnsi="Book Antiqua" w:cs="Times New Roman"/>
          <w:i/>
          <w:iCs/>
          <w:lang w:val="en-US"/>
        </w:rPr>
        <w:t>P</w:t>
      </w:r>
      <w:r w:rsidR="00953E4D" w:rsidRPr="005B2AA7">
        <w:rPr>
          <w:rFonts w:ascii="Book Antiqua" w:hAnsi="Book Antiqua" w:cs="Times New Roman"/>
          <w:lang w:val="en-US"/>
        </w:rPr>
        <w:t xml:space="preserve"> </w:t>
      </w:r>
      <w:r w:rsidRPr="005B2AA7">
        <w:rPr>
          <w:rFonts w:ascii="Book Antiqua" w:hAnsi="Book Antiqua" w:cs="Times New Roman"/>
          <w:lang w:val="en-US"/>
        </w:rPr>
        <w:t>=</w:t>
      </w:r>
      <w:r w:rsidR="00953E4D" w:rsidRPr="005B2AA7">
        <w:rPr>
          <w:rFonts w:ascii="Book Antiqua" w:hAnsi="Book Antiqua" w:cs="Times New Roman"/>
          <w:lang w:val="en-US"/>
        </w:rPr>
        <w:t xml:space="preserve"> </w:t>
      </w:r>
      <w:r w:rsidRPr="005B2AA7">
        <w:rPr>
          <w:rFonts w:ascii="Book Antiqua" w:hAnsi="Book Antiqua" w:cs="Times New Roman"/>
          <w:lang w:val="en-US"/>
        </w:rPr>
        <w:t>0.012). About two-thirds of the participants declared to have ever stopped cigarette smoking and restarted (67.0%), with a significantly higher proportion among UC patients compared to CD patients (73.1%</w:t>
      </w:r>
      <w:r w:rsidR="003C0BE6" w:rsidRPr="005B2AA7">
        <w:rPr>
          <w:rFonts w:ascii="Book Antiqua" w:hAnsi="Book Antiqua" w:cs="Times New Roman"/>
          <w:lang w:val="en-US"/>
        </w:rPr>
        <w:t xml:space="preserve"> </w:t>
      </w:r>
      <w:r w:rsidRPr="005B2AA7">
        <w:rPr>
          <w:rFonts w:ascii="Book Antiqua" w:hAnsi="Book Antiqua" w:cs="Times New Roman"/>
          <w:i/>
          <w:iCs/>
          <w:lang w:val="en-US"/>
        </w:rPr>
        <w:t>vs</w:t>
      </w:r>
      <w:r w:rsidRPr="005B2AA7">
        <w:rPr>
          <w:rFonts w:ascii="Book Antiqua" w:hAnsi="Book Antiqua" w:cs="Times New Roman"/>
          <w:lang w:val="en-US"/>
        </w:rPr>
        <w:t xml:space="preserve"> 62.0%, </w:t>
      </w:r>
      <w:r w:rsidR="003C0BE6" w:rsidRPr="005B2AA7">
        <w:rPr>
          <w:rFonts w:ascii="Book Antiqua" w:hAnsi="Book Antiqua" w:cs="Times New Roman"/>
          <w:i/>
          <w:iCs/>
          <w:lang w:val="en-US"/>
        </w:rPr>
        <w:t>P</w:t>
      </w:r>
      <w:r w:rsidR="003C0BE6" w:rsidRPr="005B2AA7">
        <w:rPr>
          <w:rFonts w:ascii="Book Antiqua" w:hAnsi="Book Antiqua" w:cs="Times New Roman"/>
          <w:lang w:val="en-US"/>
        </w:rPr>
        <w:t xml:space="preserve"> </w:t>
      </w:r>
      <w:r w:rsidRPr="005B2AA7">
        <w:rPr>
          <w:rFonts w:ascii="Book Antiqua" w:hAnsi="Book Antiqua" w:cs="Times New Roman"/>
          <w:lang w:val="en-US"/>
        </w:rPr>
        <w:t>=</w:t>
      </w:r>
      <w:r w:rsidR="003C0BE6" w:rsidRPr="005B2AA7">
        <w:rPr>
          <w:rFonts w:ascii="Book Antiqua" w:hAnsi="Book Antiqua" w:cs="Times New Roman"/>
          <w:lang w:val="en-US"/>
        </w:rPr>
        <w:t xml:space="preserve"> </w:t>
      </w:r>
      <w:r w:rsidRPr="005B2AA7">
        <w:rPr>
          <w:rFonts w:ascii="Book Antiqua" w:hAnsi="Book Antiqua" w:cs="Times New Roman"/>
          <w:lang w:val="en-US"/>
        </w:rPr>
        <w:t xml:space="preserve">0.001). We also found significant differences between CD and UC patients in </w:t>
      </w:r>
      <w:r w:rsidRPr="005B2AA7">
        <w:rPr>
          <w:rFonts w:ascii="Book Antiqua" w:hAnsi="Book Antiqua" w:cs="Times New Roman"/>
          <w:lang w:val="en-US"/>
        </w:rPr>
        <w:lastRenderedPageBreak/>
        <w:t>the awareness of the health consequences of smoking in their disease and in the</w:t>
      </w:r>
      <w:r w:rsidR="000E4F36" w:rsidRPr="005B2AA7">
        <w:rPr>
          <w:rFonts w:ascii="Book Antiqua" w:hAnsi="Book Antiqua" w:cs="Times New Roman"/>
          <w:lang w:val="en-US"/>
        </w:rPr>
        <w:t xml:space="preserve"> </w:t>
      </w:r>
      <w:r w:rsidRPr="005B2AA7">
        <w:rPr>
          <w:rFonts w:ascii="Book Antiqua" w:hAnsi="Book Antiqua" w:cs="Times New Roman"/>
          <w:lang w:val="en-US"/>
        </w:rPr>
        <w:t xml:space="preserve">perceived impact of smoking on disease activity, for both cigarettes and </w:t>
      </w:r>
      <w:r w:rsidRPr="005B2AA7">
        <w:rPr>
          <w:rFonts w:ascii="Book Antiqua" w:hAnsi="Book Antiqua" w:cs="Times New Roman"/>
          <w:bCs/>
          <w:lang w:val="en-US"/>
        </w:rPr>
        <w:t xml:space="preserve">alternative </w:t>
      </w:r>
      <w:r w:rsidR="00386D81" w:rsidRPr="005B2AA7">
        <w:rPr>
          <w:rFonts w:ascii="Book Antiqua" w:hAnsi="Book Antiqua" w:cs="Times New Roman"/>
          <w:bCs/>
          <w:lang w:val="en-US"/>
        </w:rPr>
        <w:t>smoking</w:t>
      </w:r>
      <w:r w:rsidRPr="005B2AA7">
        <w:rPr>
          <w:rFonts w:ascii="Book Antiqua" w:hAnsi="Book Antiqua" w:cs="Times New Roman"/>
          <w:bCs/>
          <w:lang w:val="en-US"/>
        </w:rPr>
        <w:t xml:space="preserve"> products.</w:t>
      </w:r>
    </w:p>
    <w:p w14:paraId="736BA0FA" w14:textId="77777777" w:rsidR="00E612AE" w:rsidRPr="005B2AA7" w:rsidRDefault="00E612AE" w:rsidP="00253009">
      <w:pPr>
        <w:adjustRightInd w:val="0"/>
        <w:snapToGrid w:val="0"/>
        <w:spacing w:line="360" w:lineRule="auto"/>
        <w:jc w:val="both"/>
        <w:rPr>
          <w:rFonts w:ascii="Book Antiqua" w:hAnsi="Book Antiqua" w:cs="Times New Roman"/>
          <w:b/>
          <w:i/>
          <w:lang w:val="en-US"/>
        </w:rPr>
      </w:pPr>
    </w:p>
    <w:p w14:paraId="2DAE2731" w14:textId="77777777" w:rsidR="00C71F41" w:rsidRPr="005B2AA7" w:rsidRDefault="00C71F41" w:rsidP="00253009">
      <w:pPr>
        <w:adjustRightInd w:val="0"/>
        <w:snapToGrid w:val="0"/>
        <w:spacing w:line="360" w:lineRule="auto"/>
        <w:jc w:val="both"/>
        <w:rPr>
          <w:rFonts w:ascii="Book Antiqua" w:hAnsi="Book Antiqua"/>
        </w:rPr>
      </w:pPr>
      <w:r w:rsidRPr="005B2AA7">
        <w:rPr>
          <w:rFonts w:ascii="Book Antiqua" w:hAnsi="Book Antiqua"/>
          <w:color w:val="000000"/>
        </w:rPr>
        <w:t>CONCLUSION</w:t>
      </w:r>
    </w:p>
    <w:p w14:paraId="5FE9B8A6" w14:textId="44207ED2" w:rsidR="003C1DB8" w:rsidRPr="005B2AA7" w:rsidRDefault="003C1DB8" w:rsidP="00253009">
      <w:pPr>
        <w:adjustRightInd w:val="0"/>
        <w:snapToGrid w:val="0"/>
        <w:spacing w:line="360" w:lineRule="auto"/>
        <w:jc w:val="both"/>
        <w:rPr>
          <w:rFonts w:ascii="Book Antiqua" w:hAnsi="Book Antiqua"/>
        </w:rPr>
      </w:pPr>
      <w:r w:rsidRPr="005B2AA7">
        <w:rPr>
          <w:rFonts w:ascii="Book Antiqua" w:hAnsi="Book Antiqua" w:cs="Times New Roman"/>
          <w:lang w:val="en-US"/>
        </w:rPr>
        <w:t xml:space="preserve">This survey found significant differences between CD and UC patients in both awareness and perception of the impact of smoking on their disease. Further efforts should be done to encourage smoking cessation for all IBD patients, including UC patients. </w:t>
      </w:r>
    </w:p>
    <w:p w14:paraId="581461E2" w14:textId="77777777" w:rsidR="00C71F41" w:rsidRPr="005B2AA7" w:rsidRDefault="00C71F41" w:rsidP="00253009">
      <w:pPr>
        <w:adjustRightInd w:val="0"/>
        <w:snapToGrid w:val="0"/>
        <w:spacing w:line="360" w:lineRule="auto"/>
        <w:jc w:val="both"/>
        <w:rPr>
          <w:rFonts w:ascii="Book Antiqua" w:hAnsi="Book Antiqua"/>
          <w:color w:val="000000"/>
        </w:rPr>
      </w:pPr>
    </w:p>
    <w:p w14:paraId="1D865188" w14:textId="171FE21F" w:rsidR="004A21CD" w:rsidRPr="005B2AA7" w:rsidRDefault="00C71F41" w:rsidP="00253009">
      <w:pPr>
        <w:adjustRightInd w:val="0"/>
        <w:snapToGrid w:val="0"/>
        <w:spacing w:line="360" w:lineRule="auto"/>
        <w:jc w:val="both"/>
        <w:rPr>
          <w:rFonts w:ascii="Book Antiqua" w:hAnsi="Book Antiqua" w:cs="Times New Roman"/>
          <w:lang w:val="en-US"/>
        </w:rPr>
      </w:pPr>
      <w:r w:rsidRPr="005B2AA7">
        <w:rPr>
          <w:rFonts w:ascii="Book Antiqua" w:hAnsi="Book Antiqua"/>
          <w:b/>
          <w:color w:val="000000"/>
        </w:rPr>
        <w:t>Key words:</w:t>
      </w:r>
      <w:r w:rsidR="00DF3B82" w:rsidRPr="005B2AA7">
        <w:rPr>
          <w:rFonts w:ascii="Book Antiqua" w:hAnsi="Book Antiqua"/>
          <w:b/>
          <w:color w:val="000000"/>
        </w:rPr>
        <w:t xml:space="preserve"> </w:t>
      </w:r>
      <w:r w:rsidR="00F0511C" w:rsidRPr="005B2AA7">
        <w:rPr>
          <w:rFonts w:ascii="Book Antiqua" w:hAnsi="Book Antiqua" w:cs="Times New Roman"/>
          <w:lang w:val="en-US"/>
        </w:rPr>
        <w:t>Inflammatory bowel disease</w:t>
      </w:r>
      <w:r w:rsidR="00290C4F" w:rsidRPr="005B2AA7">
        <w:rPr>
          <w:rFonts w:ascii="Book Antiqua" w:hAnsi="Book Antiqua" w:cs="Times New Roman"/>
          <w:lang w:val="en-US"/>
        </w:rPr>
        <w:t>;</w:t>
      </w:r>
      <w:r w:rsidR="00F0511C" w:rsidRPr="005B2AA7">
        <w:rPr>
          <w:rFonts w:ascii="Book Antiqua" w:hAnsi="Book Antiqua" w:cs="Times New Roman"/>
          <w:lang w:val="en-US"/>
        </w:rPr>
        <w:t xml:space="preserve"> Ulcerative colitis</w:t>
      </w:r>
      <w:r w:rsidR="00290C4F" w:rsidRPr="005B2AA7">
        <w:rPr>
          <w:rFonts w:ascii="Book Antiqua" w:hAnsi="Book Antiqua" w:cs="Times New Roman"/>
          <w:lang w:val="en-US"/>
        </w:rPr>
        <w:t>;</w:t>
      </w:r>
      <w:r w:rsidR="00F0511C" w:rsidRPr="005B2AA7">
        <w:rPr>
          <w:rFonts w:ascii="Book Antiqua" w:hAnsi="Book Antiqua" w:cs="Times New Roman"/>
          <w:lang w:val="en-US"/>
        </w:rPr>
        <w:t xml:space="preserve"> Crohn's disease</w:t>
      </w:r>
      <w:r w:rsidR="00290C4F" w:rsidRPr="005B2AA7">
        <w:rPr>
          <w:rFonts w:ascii="Book Antiqua" w:hAnsi="Book Antiqua" w:cs="Times New Roman"/>
          <w:lang w:val="en-US"/>
        </w:rPr>
        <w:t>;</w:t>
      </w:r>
      <w:r w:rsidR="00F0511C" w:rsidRPr="005B2AA7">
        <w:rPr>
          <w:rFonts w:ascii="Book Antiqua" w:hAnsi="Book Antiqua" w:cs="Times New Roman"/>
          <w:lang w:val="en-US"/>
        </w:rPr>
        <w:t xml:space="preserve"> </w:t>
      </w:r>
      <w:r w:rsidRPr="005B2AA7">
        <w:rPr>
          <w:rFonts w:ascii="Book Antiqua" w:hAnsi="Book Antiqua" w:cs="Times New Roman"/>
          <w:lang w:val="en-US"/>
        </w:rPr>
        <w:t>C</w:t>
      </w:r>
      <w:r w:rsidR="00F0511C" w:rsidRPr="005B2AA7">
        <w:rPr>
          <w:rFonts w:ascii="Book Antiqua" w:hAnsi="Book Antiqua" w:cs="Times New Roman"/>
          <w:lang w:val="en-US"/>
        </w:rPr>
        <w:t>igarettes</w:t>
      </w:r>
      <w:r w:rsidR="00290C4F" w:rsidRPr="005B2AA7">
        <w:rPr>
          <w:rFonts w:ascii="Book Antiqua" w:hAnsi="Book Antiqua" w:cs="Times New Roman"/>
          <w:lang w:val="en-US"/>
        </w:rPr>
        <w:t>;</w:t>
      </w:r>
      <w:r w:rsidR="00F0511C" w:rsidRPr="005B2AA7">
        <w:rPr>
          <w:rFonts w:ascii="Book Antiqua" w:hAnsi="Book Antiqua" w:cs="Times New Roman"/>
          <w:lang w:val="en-US"/>
        </w:rPr>
        <w:t xml:space="preserve"> </w:t>
      </w:r>
      <w:r w:rsidRPr="005B2AA7">
        <w:rPr>
          <w:rFonts w:ascii="Book Antiqua" w:hAnsi="Book Antiqua" w:cs="Times New Roman"/>
          <w:lang w:val="en-US"/>
        </w:rPr>
        <w:t>A</w:t>
      </w:r>
      <w:r w:rsidR="00F0511C" w:rsidRPr="005B2AA7">
        <w:rPr>
          <w:rFonts w:ascii="Book Antiqua" w:hAnsi="Book Antiqua" w:cs="Times New Roman"/>
          <w:lang w:val="en-US"/>
        </w:rPr>
        <w:t xml:space="preserve">lternative </w:t>
      </w:r>
      <w:r w:rsidR="00386D81" w:rsidRPr="005B2AA7">
        <w:rPr>
          <w:rFonts w:ascii="Book Antiqua" w:hAnsi="Book Antiqua" w:cs="Times New Roman"/>
          <w:lang w:val="en-US"/>
        </w:rPr>
        <w:t xml:space="preserve">smoking </w:t>
      </w:r>
      <w:r w:rsidR="00F0511C" w:rsidRPr="005B2AA7">
        <w:rPr>
          <w:rFonts w:ascii="Book Antiqua" w:hAnsi="Book Antiqua" w:cs="Times New Roman"/>
          <w:lang w:val="en-US"/>
        </w:rPr>
        <w:t>products</w:t>
      </w:r>
      <w:r w:rsidR="00290C4F" w:rsidRPr="005B2AA7">
        <w:rPr>
          <w:rFonts w:ascii="Book Antiqua" w:hAnsi="Book Antiqua" w:cs="Times New Roman"/>
          <w:lang w:val="en-US"/>
        </w:rPr>
        <w:t>;</w:t>
      </w:r>
      <w:r w:rsidR="009A0F18" w:rsidRPr="005B2AA7">
        <w:rPr>
          <w:rFonts w:ascii="Book Antiqua" w:hAnsi="Book Antiqua" w:cs="Times New Roman"/>
          <w:lang w:val="en-US"/>
        </w:rPr>
        <w:t xml:space="preserve"> </w:t>
      </w:r>
      <w:r w:rsidRPr="005B2AA7">
        <w:rPr>
          <w:rFonts w:ascii="Book Antiqua" w:hAnsi="Book Antiqua" w:cs="Times New Roman"/>
          <w:lang w:val="en-US"/>
        </w:rPr>
        <w:t>T</w:t>
      </w:r>
      <w:r w:rsidR="004B4F42" w:rsidRPr="005B2AA7">
        <w:rPr>
          <w:rFonts w:ascii="Book Antiqua" w:hAnsi="Book Antiqua" w:cs="Times New Roman"/>
          <w:lang w:val="en-US"/>
        </w:rPr>
        <w:t>obacco</w:t>
      </w:r>
      <w:r w:rsidR="00290C4F" w:rsidRPr="005B2AA7">
        <w:rPr>
          <w:rFonts w:ascii="Book Antiqua" w:hAnsi="Book Antiqua" w:cs="Times New Roman"/>
          <w:lang w:val="en-US"/>
        </w:rPr>
        <w:t>;</w:t>
      </w:r>
      <w:r w:rsidR="004B4F42" w:rsidRPr="005B2AA7">
        <w:rPr>
          <w:rFonts w:ascii="Book Antiqua" w:hAnsi="Book Antiqua" w:cs="Times New Roman"/>
          <w:lang w:val="en-US"/>
        </w:rPr>
        <w:t xml:space="preserve"> </w:t>
      </w:r>
      <w:r w:rsidRPr="005B2AA7">
        <w:rPr>
          <w:rFonts w:ascii="Book Antiqua" w:hAnsi="Book Antiqua" w:cs="Times New Roman"/>
          <w:lang w:val="en-US"/>
        </w:rPr>
        <w:t>N</w:t>
      </w:r>
      <w:r w:rsidR="004B4F42" w:rsidRPr="005B2AA7">
        <w:rPr>
          <w:rFonts w:ascii="Book Antiqua" w:hAnsi="Book Antiqua" w:cs="Times New Roman"/>
          <w:lang w:val="en-US"/>
        </w:rPr>
        <w:t>icotine</w:t>
      </w:r>
      <w:r w:rsidR="00290C4F" w:rsidRPr="005B2AA7">
        <w:rPr>
          <w:rFonts w:ascii="Book Antiqua" w:hAnsi="Book Antiqua" w:cs="Times New Roman"/>
          <w:lang w:val="en-US"/>
        </w:rPr>
        <w:t>;</w:t>
      </w:r>
      <w:r w:rsidR="00A648AF" w:rsidRPr="005B2AA7">
        <w:rPr>
          <w:rFonts w:ascii="Book Antiqua" w:hAnsi="Book Antiqua" w:cs="Times New Roman"/>
          <w:lang w:val="en-US"/>
        </w:rPr>
        <w:t xml:space="preserve"> </w:t>
      </w:r>
      <w:r w:rsidRPr="005B2AA7">
        <w:rPr>
          <w:rFonts w:ascii="Book Antiqua" w:hAnsi="Book Antiqua" w:cs="Times New Roman"/>
          <w:lang w:val="en-US"/>
        </w:rPr>
        <w:t>M</w:t>
      </w:r>
      <w:r w:rsidR="00A648AF" w:rsidRPr="005B2AA7">
        <w:rPr>
          <w:rFonts w:ascii="Book Antiqua" w:hAnsi="Book Antiqua" w:cs="Times New Roman"/>
          <w:lang w:val="en-US"/>
        </w:rPr>
        <w:t>arijuana</w:t>
      </w:r>
    </w:p>
    <w:p w14:paraId="7B382981" w14:textId="349D26CF" w:rsidR="006E507F" w:rsidRPr="005B2AA7" w:rsidRDefault="006E507F" w:rsidP="00253009">
      <w:pPr>
        <w:adjustRightInd w:val="0"/>
        <w:snapToGrid w:val="0"/>
        <w:spacing w:line="360" w:lineRule="auto"/>
        <w:jc w:val="both"/>
        <w:rPr>
          <w:rFonts w:ascii="Book Antiqua" w:hAnsi="Book Antiqua" w:cs="Times New Roman"/>
          <w:lang w:val="en-US"/>
        </w:rPr>
      </w:pPr>
    </w:p>
    <w:p w14:paraId="712B6796" w14:textId="77777777" w:rsidR="0042481F" w:rsidRPr="005B2AA7" w:rsidRDefault="0042481F" w:rsidP="0042481F">
      <w:pPr>
        <w:adjustRightInd w:val="0"/>
        <w:snapToGrid w:val="0"/>
        <w:spacing w:line="360" w:lineRule="auto"/>
        <w:jc w:val="both"/>
        <w:rPr>
          <w:rFonts w:ascii="Book Antiqua" w:hAnsi="Book Antiqua" w:hint="eastAsia"/>
          <w:bCs/>
          <w:lang w:eastAsia="zh-CN"/>
        </w:rPr>
      </w:pPr>
      <w:bookmarkStart w:id="24" w:name="OLE_LINK36"/>
      <w:bookmarkStart w:id="25" w:name="OLE_LINK37"/>
      <w:r w:rsidRPr="005B2AA7">
        <w:rPr>
          <w:rFonts w:ascii="Book Antiqua" w:hAnsi="Book Antiqua" w:cs="Times New Roman" w:hint="eastAsia"/>
          <w:b/>
          <w:bCs/>
          <w:lang w:eastAsia="zh-CN"/>
        </w:rPr>
        <w:t>Citation</w:t>
      </w:r>
      <w:r w:rsidRPr="005B2AA7">
        <w:rPr>
          <w:rFonts w:ascii="Book Antiqua" w:hAnsi="Book Antiqua" w:cs="Times New Roman"/>
          <w:b/>
          <w:bCs/>
          <w:lang w:eastAsia="zh-CN"/>
        </w:rPr>
        <w:t> </w:t>
      </w:r>
      <w:r w:rsidRPr="005B2AA7">
        <w:rPr>
          <w:rFonts w:ascii="Book Antiqua" w:hAnsi="Book Antiqua" w:cs="Times New Roman" w:hint="eastAsia"/>
          <w:b/>
          <w:bCs/>
          <w:lang w:eastAsia="zh-CN"/>
        </w:rPr>
        <w:t>:</w:t>
      </w:r>
      <w:r w:rsidRPr="005B2AA7">
        <w:rPr>
          <w:rFonts w:ascii="Book Antiqua" w:hAnsi="Book Antiqua" w:cs="Times New Roman" w:hint="eastAsia"/>
          <w:bCs/>
          <w:lang w:eastAsia="zh-CN"/>
        </w:rPr>
        <w:t xml:space="preserve"> </w:t>
      </w:r>
      <w:r w:rsidRPr="005B2AA7">
        <w:rPr>
          <w:rFonts w:ascii="Book Antiqua" w:hAnsi="Book Antiqua" w:cs="Times New Roman"/>
          <w:bCs/>
        </w:rPr>
        <w:t>Le Berre C</w:t>
      </w:r>
      <w:r w:rsidRPr="005B2AA7">
        <w:rPr>
          <w:rFonts w:ascii="Book Antiqua" w:hAnsi="Book Antiqua"/>
          <w:lang w:eastAsia="zh-CN"/>
        </w:rPr>
        <w:t xml:space="preserve">, </w:t>
      </w:r>
      <w:r w:rsidRPr="005B2AA7">
        <w:rPr>
          <w:rFonts w:ascii="Book Antiqua" w:hAnsi="Book Antiqua" w:cs="Times New Roman"/>
        </w:rPr>
        <w:t>Loy</w:t>
      </w:r>
      <w:r w:rsidRPr="005B2AA7">
        <w:rPr>
          <w:rFonts w:ascii="Book Antiqua" w:hAnsi="Book Antiqua" w:cs="Times New Roman"/>
          <w:lang w:val="en-US"/>
        </w:rPr>
        <w:t xml:space="preserve"> L</w:t>
      </w:r>
      <w:r w:rsidRPr="005B2AA7">
        <w:rPr>
          <w:rFonts w:ascii="Book Antiqua" w:hAnsi="Book Antiqua"/>
          <w:lang w:eastAsia="zh-CN"/>
        </w:rPr>
        <w:t xml:space="preserve">, </w:t>
      </w:r>
      <w:r w:rsidRPr="005B2AA7">
        <w:rPr>
          <w:rFonts w:ascii="Book Antiqua" w:hAnsi="Book Antiqua" w:cs="Times New Roman"/>
        </w:rPr>
        <w:t>Lönnfors</w:t>
      </w:r>
      <w:r w:rsidRPr="005B2AA7">
        <w:rPr>
          <w:rFonts w:ascii="Book Antiqua" w:hAnsi="Book Antiqua" w:cs="Times New Roman"/>
          <w:lang w:val="en-US"/>
        </w:rPr>
        <w:t xml:space="preserve"> S</w:t>
      </w:r>
      <w:r w:rsidRPr="005B2AA7">
        <w:rPr>
          <w:rFonts w:ascii="Book Antiqua" w:hAnsi="Book Antiqua"/>
          <w:lang w:eastAsia="zh-CN"/>
        </w:rPr>
        <w:t xml:space="preserve">, </w:t>
      </w:r>
      <w:r w:rsidRPr="005B2AA7">
        <w:rPr>
          <w:rFonts w:ascii="Book Antiqua" w:hAnsi="Book Antiqua" w:cs="Times New Roman"/>
        </w:rPr>
        <w:t>Avedano</w:t>
      </w:r>
      <w:r w:rsidRPr="005B2AA7">
        <w:rPr>
          <w:rFonts w:ascii="Book Antiqua" w:hAnsi="Book Antiqua" w:cs="Times New Roman"/>
          <w:lang w:val="en-US"/>
        </w:rPr>
        <w:t xml:space="preserve"> L</w:t>
      </w:r>
      <w:r w:rsidRPr="005B2AA7">
        <w:rPr>
          <w:rFonts w:ascii="Book Antiqua" w:hAnsi="Book Antiqua"/>
          <w:lang w:eastAsia="zh-CN"/>
        </w:rPr>
        <w:t xml:space="preserve">, </w:t>
      </w:r>
      <w:r w:rsidRPr="005B2AA7">
        <w:rPr>
          <w:rFonts w:ascii="Book Antiqua" w:hAnsi="Book Antiqua" w:cs="Times New Roman"/>
        </w:rPr>
        <w:t>Piovani</w:t>
      </w:r>
      <w:r w:rsidRPr="005B2AA7">
        <w:rPr>
          <w:rFonts w:ascii="Book Antiqua" w:hAnsi="Book Antiqua" w:cs="Times New Roman"/>
          <w:lang w:val="en-US"/>
        </w:rPr>
        <w:t xml:space="preserve"> D.</w:t>
      </w:r>
      <w:r w:rsidRPr="005B2AA7">
        <w:rPr>
          <w:rFonts w:ascii="Book Antiqua" w:hAnsi="Book Antiqua" w:cs="Times New Roman"/>
          <w:bCs/>
          <w:lang w:val="en-US"/>
        </w:rPr>
        <w:t xml:space="preserve"> Patients' perspectives on smoking and inflammatory bowel disease: An online survey in collaboration with European Federation of Crohn's and Ulcerative Colitis Associations. </w:t>
      </w:r>
      <w:r w:rsidRPr="005B2AA7">
        <w:rPr>
          <w:rFonts w:ascii="Book Antiqua" w:hAnsi="Book Antiqua"/>
          <w:i/>
          <w:color w:val="000000"/>
        </w:rPr>
        <w:t>World J Gastroenterol</w:t>
      </w:r>
      <w:r w:rsidRPr="005B2AA7">
        <w:rPr>
          <w:rFonts w:ascii="Book Antiqua" w:hAnsi="Book Antiqua"/>
          <w:color w:val="000000"/>
        </w:rPr>
        <w:t xml:space="preserve"> 20</w:t>
      </w:r>
      <w:r w:rsidRPr="005B2AA7">
        <w:rPr>
          <w:rFonts w:ascii="Book Antiqua" w:hAnsi="Book Antiqua"/>
          <w:color w:val="000000"/>
          <w:lang w:eastAsia="zh-CN"/>
        </w:rPr>
        <w:t>20</w:t>
      </w:r>
      <w:r w:rsidRPr="005B2AA7">
        <w:rPr>
          <w:rFonts w:ascii="Book Antiqua" w:hAnsi="Book Antiqua"/>
          <w:color w:val="000000"/>
        </w:rPr>
        <w:t xml:space="preserve">; </w:t>
      </w:r>
      <w:bookmarkEnd w:id="24"/>
      <w:bookmarkEnd w:id="25"/>
      <w:r w:rsidRPr="005B2AA7">
        <w:rPr>
          <w:rFonts w:ascii="Book Antiqua" w:hAnsi="Book Antiqua"/>
          <w:bCs/>
        </w:rPr>
        <w:t xml:space="preserve">26(29): </w:t>
      </w:r>
      <w:r w:rsidRPr="005B2AA7">
        <w:rPr>
          <w:rFonts w:ascii="Book Antiqua" w:hAnsi="Book Antiqua" w:hint="eastAsia"/>
          <w:bCs/>
          <w:lang w:eastAsia="zh-CN"/>
        </w:rPr>
        <w:t>4343</w:t>
      </w:r>
      <w:r w:rsidRPr="005B2AA7">
        <w:rPr>
          <w:rFonts w:ascii="Book Antiqua" w:hAnsi="Book Antiqua"/>
          <w:bCs/>
        </w:rPr>
        <w:t>-</w:t>
      </w:r>
      <w:r w:rsidRPr="005B2AA7">
        <w:rPr>
          <w:rFonts w:ascii="Book Antiqua" w:hAnsi="Book Antiqua" w:hint="eastAsia"/>
          <w:bCs/>
          <w:lang w:eastAsia="zh-CN"/>
        </w:rPr>
        <w:t>4355</w:t>
      </w:r>
      <w:r w:rsidRPr="005B2AA7">
        <w:rPr>
          <w:rFonts w:ascii="Book Antiqua" w:hAnsi="Book Antiqua"/>
          <w:bCs/>
        </w:rPr>
        <w:t xml:space="preserve">  </w:t>
      </w:r>
    </w:p>
    <w:p w14:paraId="765A7C78" w14:textId="77777777" w:rsidR="0042481F" w:rsidRPr="005B2AA7" w:rsidRDefault="0042481F" w:rsidP="0042481F">
      <w:pPr>
        <w:adjustRightInd w:val="0"/>
        <w:snapToGrid w:val="0"/>
        <w:spacing w:line="360" w:lineRule="auto"/>
        <w:jc w:val="both"/>
        <w:rPr>
          <w:rFonts w:ascii="Book Antiqua" w:hAnsi="Book Antiqua" w:hint="eastAsia"/>
          <w:bCs/>
          <w:lang w:eastAsia="zh-CN"/>
        </w:rPr>
      </w:pPr>
      <w:r w:rsidRPr="005B2AA7">
        <w:rPr>
          <w:rFonts w:ascii="Book Antiqua" w:hAnsi="Book Antiqua"/>
          <w:b/>
          <w:bCs/>
        </w:rPr>
        <w:t>URL:</w:t>
      </w:r>
      <w:r w:rsidRPr="005B2AA7">
        <w:rPr>
          <w:rFonts w:ascii="Book Antiqua" w:hAnsi="Book Antiqua"/>
          <w:bCs/>
        </w:rPr>
        <w:t xml:space="preserve"> https://www.wjgnet.com/1007-9327/full/v26/i29/</w:t>
      </w:r>
      <w:r w:rsidRPr="005B2AA7">
        <w:rPr>
          <w:rFonts w:ascii="Book Antiqua" w:hAnsi="Book Antiqua" w:hint="eastAsia"/>
          <w:bCs/>
          <w:lang w:eastAsia="zh-CN"/>
        </w:rPr>
        <w:t>4343</w:t>
      </w:r>
      <w:r w:rsidRPr="005B2AA7">
        <w:rPr>
          <w:rFonts w:ascii="Book Antiqua" w:hAnsi="Book Antiqua"/>
          <w:bCs/>
        </w:rPr>
        <w:t xml:space="preserve">.htm  </w:t>
      </w:r>
    </w:p>
    <w:p w14:paraId="293C50F4" w14:textId="0865F3CB" w:rsidR="0042481F" w:rsidRPr="005B2AA7" w:rsidRDefault="0042481F" w:rsidP="0042481F">
      <w:pPr>
        <w:adjustRightInd w:val="0"/>
        <w:snapToGrid w:val="0"/>
        <w:spacing w:line="360" w:lineRule="auto"/>
        <w:jc w:val="both"/>
        <w:rPr>
          <w:rFonts w:ascii="Book Antiqua" w:hAnsi="Book Antiqua" w:cs="Times New Roman" w:hint="eastAsia"/>
          <w:lang w:val="en-US" w:eastAsia="zh-CN"/>
        </w:rPr>
      </w:pPr>
      <w:r w:rsidRPr="005B2AA7">
        <w:rPr>
          <w:rFonts w:ascii="Book Antiqua" w:hAnsi="Book Antiqua"/>
          <w:b/>
          <w:bCs/>
        </w:rPr>
        <w:t>DOI:</w:t>
      </w:r>
      <w:r w:rsidRPr="005B2AA7">
        <w:rPr>
          <w:rFonts w:ascii="Book Antiqua" w:hAnsi="Book Antiqua"/>
          <w:bCs/>
        </w:rPr>
        <w:t xml:space="preserve"> https://dx.doi.org/10.3748/wjg.v26.i29.</w:t>
      </w:r>
      <w:r w:rsidRPr="005B2AA7">
        <w:rPr>
          <w:rFonts w:ascii="Book Antiqua" w:hAnsi="Book Antiqua" w:hint="eastAsia"/>
          <w:bCs/>
          <w:lang w:eastAsia="zh-CN"/>
        </w:rPr>
        <w:t>4343</w:t>
      </w:r>
    </w:p>
    <w:p w14:paraId="0414DC8C" w14:textId="77777777" w:rsidR="00E612AE" w:rsidRPr="005B2AA7" w:rsidRDefault="00E612AE" w:rsidP="00253009">
      <w:pPr>
        <w:adjustRightInd w:val="0"/>
        <w:snapToGrid w:val="0"/>
        <w:spacing w:line="360" w:lineRule="auto"/>
        <w:jc w:val="both"/>
        <w:rPr>
          <w:rFonts w:ascii="Book Antiqua" w:hAnsi="Book Antiqua" w:cs="Times New Roman"/>
          <w:lang w:val="en-US"/>
        </w:rPr>
      </w:pPr>
    </w:p>
    <w:p w14:paraId="2F5D8D4D" w14:textId="3B23C115" w:rsidR="00E612AE" w:rsidRPr="005B2AA7" w:rsidRDefault="00E612AE" w:rsidP="00253009">
      <w:pPr>
        <w:adjustRightInd w:val="0"/>
        <w:snapToGrid w:val="0"/>
        <w:spacing w:line="360" w:lineRule="auto"/>
        <w:jc w:val="both"/>
        <w:rPr>
          <w:rFonts w:ascii="Book Antiqua" w:hAnsi="Book Antiqua" w:cs="Times New Roman"/>
          <w:lang w:val="en-US"/>
        </w:rPr>
        <w:sectPr w:rsidR="00E612AE" w:rsidRPr="005B2AA7" w:rsidSect="00A812CC">
          <w:headerReference w:type="even" r:id="rId11"/>
          <w:headerReference w:type="default" r:id="rId12"/>
          <w:footerReference w:type="default" r:id="rId13"/>
          <w:pgSz w:w="11900" w:h="16840"/>
          <w:pgMar w:top="1440" w:right="1800" w:bottom="1440" w:left="1800" w:header="708" w:footer="708" w:gutter="0"/>
          <w:cols w:space="708"/>
          <w:docGrid w:linePitch="360"/>
        </w:sectPr>
      </w:pPr>
      <w:r w:rsidRPr="005B2AA7">
        <w:rPr>
          <w:rFonts w:ascii="Book Antiqua" w:hAnsi="Book Antiqua" w:cs="Times New Roman"/>
          <w:b/>
          <w:lang w:val="en-US"/>
        </w:rPr>
        <w:t xml:space="preserve">Core tip: </w:t>
      </w:r>
      <w:bookmarkStart w:id="26" w:name="OLE_LINK30"/>
      <w:bookmarkStart w:id="27" w:name="OLE_LINK35"/>
      <w:r w:rsidRPr="005B2AA7">
        <w:rPr>
          <w:rFonts w:ascii="Book Antiqua" w:hAnsi="Book Antiqua" w:cs="Times New Roman"/>
          <w:lang w:val="en-US"/>
        </w:rPr>
        <w:t xml:space="preserve">We performed a European-wide online survey to understand the patients’ perceptions on how smoking has impacted their </w:t>
      </w:r>
      <w:r w:rsidR="00261908" w:rsidRPr="005B2AA7">
        <w:rPr>
          <w:rFonts w:ascii="Book Antiqua" w:hAnsi="Book Antiqua" w:cs="Times New Roman"/>
          <w:lang w:val="en-US"/>
        </w:rPr>
        <w:t>inflammatory bowel diseases (IBD)</w:t>
      </w:r>
      <w:r w:rsidR="00290C4F" w:rsidRPr="005B2AA7">
        <w:rPr>
          <w:rFonts w:ascii="Book Antiqua" w:hAnsi="Book Antiqua" w:cs="Times New Roman"/>
          <w:lang w:val="en-US"/>
        </w:rPr>
        <w:t>. In total 1050 IBD patients [</w:t>
      </w:r>
      <w:r w:rsidRPr="005B2AA7">
        <w:rPr>
          <w:rFonts w:ascii="Book Antiqua" w:hAnsi="Book Antiqua" w:cs="Times New Roman"/>
          <w:lang w:val="en-US"/>
        </w:rPr>
        <w:t xml:space="preserve">427 with </w:t>
      </w:r>
      <w:r w:rsidR="007E5DA6" w:rsidRPr="005B2AA7">
        <w:rPr>
          <w:rFonts w:ascii="Book Antiqua" w:hAnsi="Book Antiqua" w:cs="Times New Roman"/>
          <w:lang w:val="en-US"/>
        </w:rPr>
        <w:t>Crohn’s disease (CD)</w:t>
      </w:r>
      <w:r w:rsidRPr="005B2AA7">
        <w:rPr>
          <w:rFonts w:ascii="Book Antiqua" w:hAnsi="Book Antiqua" w:cs="Times New Roman"/>
          <w:lang w:val="en-US"/>
        </w:rPr>
        <w:t xml:space="preserve">, 355 with </w:t>
      </w:r>
      <w:r w:rsidR="00290C4F" w:rsidRPr="005B2AA7">
        <w:rPr>
          <w:rFonts w:ascii="Book Antiqua" w:hAnsi="Book Antiqua" w:cs="Times New Roman"/>
          <w:lang w:val="en-US"/>
        </w:rPr>
        <w:t>ulcerative colitis (UC)]</w:t>
      </w:r>
      <w:r w:rsidRPr="005B2AA7">
        <w:rPr>
          <w:rFonts w:ascii="Book Antiqua" w:hAnsi="Book Antiqua" w:cs="Times New Roman"/>
          <w:lang w:val="en-US"/>
        </w:rPr>
        <w:t xml:space="preserve"> participated to the survey, with a higher proportion of cigarette smokers among CD patients. About two-thirds of the participants declared to have ever stopped cigarette smoking and restarted, with a higher proportion among UC compared to CD patients (73.1% </w:t>
      </w:r>
      <w:r w:rsidRPr="005B2AA7">
        <w:rPr>
          <w:rFonts w:ascii="Book Antiqua" w:hAnsi="Book Antiqua" w:cs="Times New Roman"/>
          <w:i/>
          <w:iCs/>
          <w:lang w:val="en-US"/>
        </w:rPr>
        <w:t>vs</w:t>
      </w:r>
      <w:r w:rsidRPr="005B2AA7">
        <w:rPr>
          <w:rFonts w:ascii="Book Antiqua" w:hAnsi="Book Antiqua" w:cs="Times New Roman"/>
          <w:lang w:val="en-US"/>
        </w:rPr>
        <w:t xml:space="preserve"> 62.0%, </w:t>
      </w:r>
      <w:r w:rsidR="000F6320" w:rsidRPr="005B2AA7">
        <w:rPr>
          <w:rFonts w:ascii="Book Antiqua" w:hAnsi="Book Antiqua" w:cs="Times New Roman"/>
          <w:i/>
          <w:iCs/>
          <w:lang w:val="en-US"/>
        </w:rPr>
        <w:t>P</w:t>
      </w:r>
      <w:r w:rsidR="000F6320" w:rsidRPr="005B2AA7">
        <w:rPr>
          <w:rFonts w:ascii="Book Antiqua" w:hAnsi="Book Antiqua" w:cs="Times New Roman"/>
          <w:lang w:val="en-US"/>
        </w:rPr>
        <w:t xml:space="preserve"> </w:t>
      </w:r>
      <w:r w:rsidRPr="005B2AA7">
        <w:rPr>
          <w:rFonts w:ascii="Book Antiqua" w:hAnsi="Book Antiqua" w:cs="Times New Roman"/>
          <w:lang w:val="en-US"/>
        </w:rPr>
        <w:t>=</w:t>
      </w:r>
      <w:r w:rsidR="000F6320" w:rsidRPr="005B2AA7">
        <w:rPr>
          <w:rFonts w:ascii="Book Antiqua" w:hAnsi="Book Antiqua" w:cs="Times New Roman"/>
          <w:lang w:val="en-US"/>
        </w:rPr>
        <w:t xml:space="preserve"> </w:t>
      </w:r>
      <w:r w:rsidRPr="005B2AA7">
        <w:rPr>
          <w:rFonts w:ascii="Book Antiqua" w:hAnsi="Book Antiqua" w:cs="Times New Roman"/>
          <w:lang w:val="en-US"/>
        </w:rPr>
        <w:t>0.001). There were also differences between CD and UC patients in the awareness of the health consequences of smoking and in the perceived impact of smoking on disease activity.</w:t>
      </w:r>
    </w:p>
    <w:bookmarkEnd w:id="26"/>
    <w:bookmarkEnd w:id="27"/>
    <w:p w14:paraId="4E93F321" w14:textId="77777777" w:rsidR="00631E5C" w:rsidRPr="005B2AA7" w:rsidRDefault="00631E5C" w:rsidP="00253009">
      <w:pPr>
        <w:adjustRightInd w:val="0"/>
        <w:snapToGrid w:val="0"/>
        <w:spacing w:line="360" w:lineRule="auto"/>
        <w:jc w:val="both"/>
        <w:rPr>
          <w:rFonts w:ascii="Book Antiqua" w:hAnsi="Book Antiqua" w:cs="Times New Roman"/>
          <w:lang w:val="en-US"/>
        </w:rPr>
      </w:pPr>
      <w:r w:rsidRPr="005B2AA7">
        <w:rPr>
          <w:rFonts w:ascii="Book Antiqua" w:hAnsi="Book Antiqua"/>
          <w:b/>
          <w:color w:val="000000"/>
          <w:u w:val="single"/>
        </w:rPr>
        <w:lastRenderedPageBreak/>
        <w:t>INTRODUCTION</w:t>
      </w:r>
      <w:r w:rsidRPr="005B2AA7">
        <w:rPr>
          <w:rFonts w:ascii="Book Antiqua" w:hAnsi="Book Antiqua" w:cs="Times New Roman"/>
          <w:lang w:val="en-US"/>
        </w:rPr>
        <w:t xml:space="preserve"> </w:t>
      </w:r>
    </w:p>
    <w:p w14:paraId="616BF516" w14:textId="62F6FBD3" w:rsidR="0018561E" w:rsidRPr="005B2AA7" w:rsidRDefault="007F7846"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lang w:val="en-US"/>
        </w:rPr>
        <w:t xml:space="preserve">Environmental factors are probably primarily responsible for </w:t>
      </w:r>
      <w:r w:rsidR="00AC4E89" w:rsidRPr="005B2AA7">
        <w:rPr>
          <w:rFonts w:ascii="Book Antiqua" w:hAnsi="Book Antiqua" w:cs="Times New Roman"/>
          <w:lang w:val="en-US"/>
        </w:rPr>
        <w:t xml:space="preserve">the </w:t>
      </w:r>
      <w:r w:rsidRPr="005B2AA7">
        <w:rPr>
          <w:rFonts w:ascii="Book Antiqua" w:hAnsi="Book Antiqua" w:cs="Times New Roman"/>
          <w:lang w:val="en-US"/>
        </w:rPr>
        <w:t xml:space="preserve">growing incidence </w:t>
      </w:r>
      <w:r w:rsidR="001063F4" w:rsidRPr="005B2AA7">
        <w:rPr>
          <w:rFonts w:ascii="Book Antiqua" w:hAnsi="Book Antiqua" w:cs="Times New Roman"/>
          <w:lang w:val="en-US"/>
        </w:rPr>
        <w:t xml:space="preserve">of inflammatory bowel diseases (IBD), encompassing Crohn's disease (CD) and ulcerative colitis (UC), </w:t>
      </w:r>
      <w:r w:rsidRPr="005B2AA7">
        <w:rPr>
          <w:rFonts w:ascii="Book Antiqua" w:hAnsi="Book Antiqua" w:cs="Times New Roman"/>
          <w:lang w:val="en-US"/>
        </w:rPr>
        <w:t>around the globe</w:t>
      </w:r>
      <w:r w:rsidR="001063F4" w:rsidRPr="005B2AA7">
        <w:rPr>
          <w:rFonts w:ascii="Book Antiqua" w:hAnsi="Book Antiqua" w:cs="Times New Roman"/>
          <w:lang w:val="en-US"/>
        </w:rPr>
        <w:t xml:space="preserve"> over the last decades</w:t>
      </w:r>
      <w:r w:rsidR="001063F4" w:rsidRPr="005B2AA7">
        <w:rPr>
          <w:rFonts w:ascii="Book Antiqua" w:hAnsi="Book Antiqua" w:cs="Times New Roman"/>
          <w:lang w:val="en-US"/>
        </w:rPr>
        <w:fldChar w:fldCharType="begin"/>
      </w:r>
      <w:r w:rsidR="001063F4" w:rsidRPr="005B2AA7">
        <w:rPr>
          <w:rFonts w:ascii="Book Antiqua" w:hAnsi="Book Antiqua" w:cs="Times New Roman"/>
          <w:lang w:val="en-US"/>
        </w:rPr>
        <w:instrText xml:space="preserve"> ADDIN ZOTERO_ITEM CSL_CITATION {"citationID":"cH9rMcSF","properties":{"formattedCitation":"\\super [1\\uc0\\u8211{}3]\\nosupersub{}","plainCitation":"[1–3]","noteIndex":0},"citationItems":[{"id":750,"uris":["http://zotero.org/users/3734960/items/9FH739EY"],"uri":["http://zotero.org/users/3734960/items/9FH739EY"],"itemData":{"id":750,"type":"article-journal","abstract":"BACKGROUND: Inflammatory bowel disease is a global disease in the 21st century. We aimed to assess the changing incidence and prevalence of inflammatory bowel disease around the world.\nMETHODS: We searched MEDLINE and Embase up to and including Dec 31, 2016, to identify observational, population-based studies reporting the incidence or prevalence of Crohn's disease or ulcerative colitis from 1990 or later. A study was regarded as population-based if it involved all residents within a specific area and the patients were representative of that area. To be included in the systematic review, ulcerative colitis and Crohn's disease needed to be reported separately. Studies that did not report original data and studies that reported only the incidence or prevalence of paediatric-onset inflammatory bowel disease (diagnosis at age &lt;16 years) were excluded. We created choropleth maps for the incidence (119 studies) and prevalence (69 studies) of Crohn's disease and ulcerative colitis. We used temporal trend analyses to report changes as an annual percentage change (APC) with 95% CI.\nFINDINGS: We identified 147 studies that were eligible for final inclusion in the systematic review, including 119 studies of incidence and 69 studies of prevalence. The highest reported prevalence values were in Europe (ulcerative colitis 505 per 100</w:instrText>
      </w:r>
      <w:r w:rsidR="001063F4" w:rsidRPr="005B2AA7">
        <w:rPr>
          <w:rFonts w:ascii="MS Gothic" w:eastAsia="MS Gothic" w:hAnsi="MS Gothic" w:cs="MS Gothic"/>
          <w:lang w:val="en-US"/>
        </w:rPr>
        <w:instrText> </w:instrText>
      </w:r>
      <w:r w:rsidR="001063F4" w:rsidRPr="005B2AA7">
        <w:rPr>
          <w:rFonts w:ascii="Book Antiqua" w:hAnsi="Book Antiqua" w:cs="Times New Roman"/>
          <w:lang w:val="en-US"/>
        </w:rPr>
        <w:instrText>000 in Norway; Crohn's disease 322 per 100</w:instrText>
      </w:r>
      <w:r w:rsidR="001063F4" w:rsidRPr="005B2AA7">
        <w:rPr>
          <w:rFonts w:ascii="MS Gothic" w:eastAsia="MS Gothic" w:hAnsi="MS Gothic" w:cs="MS Gothic"/>
          <w:lang w:val="en-US"/>
        </w:rPr>
        <w:instrText> </w:instrText>
      </w:r>
      <w:r w:rsidR="001063F4" w:rsidRPr="005B2AA7">
        <w:rPr>
          <w:rFonts w:ascii="Book Antiqua" w:hAnsi="Book Antiqua" w:cs="Times New Roman"/>
          <w:lang w:val="en-US"/>
        </w:rPr>
        <w:instrText>000 in Germany) and North America (ulcerative colitis 286 per 100</w:instrText>
      </w:r>
      <w:r w:rsidR="001063F4" w:rsidRPr="005B2AA7">
        <w:rPr>
          <w:rFonts w:ascii="MS Gothic" w:eastAsia="MS Gothic" w:hAnsi="MS Gothic" w:cs="MS Gothic"/>
          <w:lang w:val="en-US"/>
        </w:rPr>
        <w:instrText> </w:instrText>
      </w:r>
      <w:r w:rsidR="001063F4" w:rsidRPr="005B2AA7">
        <w:rPr>
          <w:rFonts w:ascii="Book Antiqua" w:hAnsi="Book Antiqua" w:cs="Times New Roman"/>
          <w:lang w:val="en-US"/>
        </w:rPr>
        <w:instrText>000 in the USA; Crohn's disease 319 per 100</w:instrText>
      </w:r>
      <w:r w:rsidR="001063F4" w:rsidRPr="005B2AA7">
        <w:rPr>
          <w:rFonts w:ascii="MS Gothic" w:eastAsia="MS Gothic" w:hAnsi="MS Gothic" w:cs="MS Gothic"/>
          <w:lang w:val="en-US"/>
        </w:rPr>
        <w:instrText> </w:instrText>
      </w:r>
      <w:r w:rsidR="001063F4" w:rsidRPr="005B2AA7">
        <w:rPr>
          <w:rFonts w:ascii="Book Antiqua" w:hAnsi="Book Antiqua" w:cs="Times New Roman"/>
          <w:lang w:val="en-US"/>
        </w:rPr>
        <w:instrText xml:space="preserve">000 in Canada). The prevalence of inflammatory bowel disease exceeded 0·3% in North America, Oceania, and many countries in Europe. Overall, 16 (72·7%) of 22 studies on Crohn's disease and 15 (83·3%) of 18 studies on ulcerative colitis reported stable or decreasing incidence of inflammatory bowel disease in North America and Europe. Since 1990, incidence has been rising in newly industrialised countries in Africa, Asia, and South America, including Brazil (APC for Crohn's disease +11·1% [95% CI 4·8-17·8] and APC for ulcerative colitis +14·9% [10·4-19·6]) and Taiwan (APC for Crohn's disease +4·0% [1·0-7·1] and APC for ulcerative colitis +4·8% [1·8-8·0]).\nINTERPRETATION: At the turn of the 21st century, inflammatory bowel disease has become a global disease with accelerating incidence in newly industrialised countries whose societies have become more westernised. Although incidence is stabilising in western countries, burden remains high as prevalence surpasses 0·3%. These data highlight the need for research into prevention of inflammatory bowel disease and innovations in health-care systems to manage this complex and costly disease.\nFUNDING: None.","container-title":"Lancet (London, England)","DOI":"10.1016/S0140-6736(17)32448-0","ISSN":"1474-547X","issue":"10114","journalAbbreviation":"Lancet","language":"eng","note":"PMID: 29050646","page":"2769-2778","source":"PubMed","title":"Worldwide incidence and prevalence of inflammatory bowel disease in the 21st century: a systematic review of population-based studies","title-short":"Worldwide incidence and prevalence of inflammatory bowel disease in the 21st century","volume":"390","author":[{"family":"Ng","given":"Siew C."},{"family":"Shi","given":"Hai Yun"},{"family":"Hamidi","given":"Nima"},{"family":"Underwood","given":"Fox E."},{"family":"Tang","given":"Whitney"},{"family":"Benchimol","given":"Eric I."},{"family":"Panaccione","given":"Remo"},{"family":"Ghosh","given":"Subrata"},{"family":"Wu","given":"Justin C. Y."},{"family":"Chan","given":"Francis K. L."},{"family":"Sung","given":"Joseph J. Y."},{"family":"Kaplan","given":"Gilaad G."}],"issued":{"date-parts":[["2018"]],"season":"23"}}},{"id":3957,"uris":["http://zotero.org/users/3734960/items/JTNDWUI7"],"uri":["http://zotero.org/users/3734960/items/JTNDWUI7"],"itemData":{"id":3957,"type":"article-journal","abstract":"Crohn's disease is a chronic inflammatory disease of the gastrointestinal tract, with increasing incidence worldwide. Crohn's disease might result from a complex interplay between genetic susceptibility, environmental factors, and altered gut microbiota, leading to dysregulated innate and adaptive immune responses. The typical clinical scenario is a young patient presenting with abdominal pain, chronic diarrhoea, weight loss, and fatigue. Assessment of disease extent and of prognostic factors for complications is paramount to guide therapeutic decisions. Current strategies aim for deep and long-lasting remission, with the goal of preventing complications, such as surgery, and blocking disease progression. Central to these strategies is the introduction of early immunosuppression or combination therapy with biologicals in high-risk patients, combined with a tight and frequent control of inflammation, and adjustment of therapy on the basis of that assessment (treat to target strategy). The therapeutic armamentarium for Crohn's disease is expanding, and therefore the need to develop biomarkers that can predict response to therapies will become increasingly important for personalised medicine decisions in the near future. In this Seminar, we provide a physician-oriented overview of Crohn's disease in adults, ranging from epidemiology and cause to clinical diagnosis, natural history, patient stratification and clinical management, and ending with an overview of emerging therapies and future directions for research.","container-title":"Lancet (London, England)","DOI":"10.1016/S0140-6736(16)31711-1","ISSN":"1474-547X","issue":"10080","journalAbbreviation":"Lancet","language":"eng","note":"PMID: 27914655","page":"1741-1755","source":"PubMed","title":"Crohn's disease","volume":"389","author":[{"family":"Torres","given":"Joana"},{"family":"Mehandru","given":"Saurabh"},{"family":"Colombel","given":"Jean-Frédéric"},{"family":"Peyrin-Biroulet","given":"Laurent"}],"issued":{"date-parts":[["2017"]],"season":"29"}}},{"id":3954,"uris":["http://zotero.org/users/3734960/items/6WWGVN3H"],"uri":["http://zotero.org/users/3734960/items/6WWGVN3H"],"itemData":{"id":3954,"type":"article-journal","abstract":"Ulcerative colitis is a chronic inflammatory disease affecting the colon, and its incidence is rising worldwide. The pathogenesis is multifactorial, involving genetic predisposition, epithelial barrier defects, dysregulated immune responses, and environmental factors. Patients with ulcerative colitis have mucosal inflammation starting in the rectum that can extend continuously to proximal segments of the colon. Ulcerative colitis usually presents with bloody diarrhoea and is diagnosed by colonoscopy and histological findings. The aim of management is to induce and then maintain remission, defined as resolution of symptoms and endoscopic healing. Treatments for ulcerative colitis include 5-aminosalicylic acid drugs, steroids, and immunosuppressants. Some patients can require colectomy for medically refractory disease or to treat colonic neoplasia. The therapeutic armamentarium for ulcerative colitis is expanding, and the number of drugs with new targets will rapidly increase in coming years.","container-title":"Lancet (London, England)","DOI":"10.1016/S0140-6736(16)32126-2","ISSN":"1474-547X","issue":"10080","journalAbbreviation":"Lancet","language":"eng","note":"PMID: 27914657\nPMCID: PMC6487890","page":"1756-1770","source":"PubMed","title":"Ulcerative colitis","volume":"389","author":[{"family":"Ungaro","given":"Ryan"},{"family":"Mehandru","given":"Saurabh"},{"family":"Allen","given":"Patrick B."},{"family":"Peyrin-Biroulet","given":"Laurent"},{"family":"Colombel","given":"Jean-Frédéric"}],"issued":{"date-parts":[["2017"]],"season":"29"}}}],"schema":"https://github.com/citation-style-language/schema/raw/master/csl-citation.json"} </w:instrText>
      </w:r>
      <w:r w:rsidR="001063F4" w:rsidRPr="005B2AA7">
        <w:rPr>
          <w:rFonts w:ascii="Book Antiqua" w:hAnsi="Book Antiqua" w:cs="Times New Roman"/>
          <w:lang w:val="en-US"/>
        </w:rPr>
        <w:fldChar w:fldCharType="separate"/>
      </w:r>
      <w:r w:rsidR="001063F4" w:rsidRPr="005B2AA7">
        <w:rPr>
          <w:rFonts w:ascii="Book Antiqua" w:hAnsi="Book Antiqua" w:cs="Times New Roman"/>
          <w:vertAlign w:val="superscript"/>
          <w:lang w:val="en-US"/>
        </w:rPr>
        <w:t>[1</w:t>
      </w:r>
      <w:r w:rsidR="00670F65" w:rsidRPr="005B2AA7">
        <w:rPr>
          <w:rFonts w:ascii="Book Antiqua" w:hAnsi="Book Antiqua" w:cs="Times New Roman"/>
          <w:vertAlign w:val="superscript"/>
          <w:lang w:val="en-US"/>
        </w:rPr>
        <w:t>-</w:t>
      </w:r>
      <w:r w:rsidR="001063F4" w:rsidRPr="005B2AA7">
        <w:rPr>
          <w:rFonts w:ascii="Book Antiqua" w:hAnsi="Book Antiqua" w:cs="Times New Roman"/>
          <w:vertAlign w:val="superscript"/>
          <w:lang w:val="en-US"/>
        </w:rPr>
        <w:t>3]</w:t>
      </w:r>
      <w:r w:rsidR="001063F4" w:rsidRPr="005B2AA7">
        <w:rPr>
          <w:rFonts w:ascii="Book Antiqua" w:hAnsi="Book Antiqua" w:cs="Times New Roman"/>
          <w:lang w:val="en-US"/>
        </w:rPr>
        <w:fldChar w:fldCharType="end"/>
      </w:r>
      <w:r w:rsidRPr="005B2AA7">
        <w:rPr>
          <w:rFonts w:ascii="Book Antiqua" w:hAnsi="Book Antiqua" w:cs="Times New Roman"/>
          <w:lang w:val="en-US"/>
        </w:rPr>
        <w:t xml:space="preserve">. Accumulating evidence supports an association between IBD and </w:t>
      </w:r>
      <w:r w:rsidR="00AC4E89" w:rsidRPr="005B2AA7">
        <w:rPr>
          <w:rFonts w:ascii="Book Antiqua" w:hAnsi="Book Antiqua" w:cs="Times New Roman"/>
          <w:lang w:val="en-US"/>
        </w:rPr>
        <w:t>several</w:t>
      </w:r>
      <w:r w:rsidRPr="005B2AA7">
        <w:rPr>
          <w:rFonts w:ascii="Book Antiqua" w:hAnsi="Book Antiqua" w:cs="Times New Roman"/>
          <w:lang w:val="en-US"/>
        </w:rPr>
        <w:t xml:space="preserve"> environmental factors, including smoking, diet,</w:t>
      </w:r>
      <w:r w:rsidR="00D93F84" w:rsidRPr="005B2AA7">
        <w:rPr>
          <w:rFonts w:ascii="Book Antiqua" w:hAnsi="Book Antiqua" w:cs="Times New Roman"/>
          <w:lang w:val="en-US"/>
        </w:rPr>
        <w:t xml:space="preserve"> </w:t>
      </w:r>
      <w:r w:rsidRPr="005B2AA7">
        <w:rPr>
          <w:rFonts w:ascii="Book Antiqua" w:hAnsi="Book Antiqua" w:cs="Times New Roman"/>
          <w:lang w:val="en-US"/>
        </w:rPr>
        <w:t>drugs, geographical and social status, stress, microbial agents, intestinal permeability and appendectomy</w:t>
      </w:r>
      <w:r w:rsidR="00F02F5B" w:rsidRPr="005B2AA7">
        <w:rPr>
          <w:rFonts w:ascii="Book Antiqua" w:hAnsi="Book Antiqua" w:cs="Times New Roman"/>
          <w:lang w:val="en-US"/>
        </w:rPr>
        <w:fldChar w:fldCharType="begin"/>
      </w:r>
      <w:r w:rsidR="00F92A9F" w:rsidRPr="005B2AA7">
        <w:rPr>
          <w:rFonts w:ascii="Book Antiqua" w:hAnsi="Book Antiqua" w:cs="Times New Roman"/>
          <w:lang w:val="en-US"/>
        </w:rPr>
        <w:instrText xml:space="preserve"> ADDIN ZOTERO_ITEM CSL_CITATION {"citationID":"wsdMR7ZP","properties":{"formattedCitation":"\\super [4,5]\\nosupersub{}","plainCitation":"[4,5]","noteIndex":0},"citationItems":[{"id":3965,"uris":["http://zotero.org/users/3734960/items/WJSGNCZ7"],"uri":["http://zotero.org/users/3734960/items/WJSGNCZ7"],"itemData":{"id":3965,"type":"article-journal","abstract":"Environmental factors are essential components of the pathogenesis of inflammatory bowel disease (IBD) and primarily responsible for its growing incidence around the globe. Epidemiological, clinical and experimental evidence support an association between IBD and a large number of seemingly unrelated environmental factors, which include smoking, diet, drugs, geographical and social status, stress, microbial agents, intestinal permeability and appendectomy. Data supporting the involvement of each of these factors in predisposing to, triggering, or modulating the course or outcome of IBD vary from strong to tenuous. Smoking and the enteric bacterial flora are the ones for which the most solid evidence is currently available. Smoking increases the risk of Crohn's disease (CD) and worsens its clinical course, but has a protective effect in ulcerative colitis (UC). Presence of enteric bacteria is indispensable to develop gut inflammation in most animal models of IBD, and modulation of the quantity or quality of the flora can be beneficial in patients with IBD. Surprisingly, evidence for a major role of the diet in inducing or modifying IBD is limited, while that for nonsteroidal anti-inflammatory drugs is more convincing than for oral contraceptives. Northern geographic location, and a high social, economical, educational or occupational status increase the risk of IBD, an observation fitting the hygiene hypothesis for allergic and autoimmune diseases. Stress is also associated with IBD, but more as a modifier than an inducing factor, and its contribution is more obvious in IBD animal models than human IBD. Finally, an increased intestinal permeability may increase the risk for developing CD, whereas an appendectomy lowers the risk of developing UC.","container-title":"Autoimmunity Reviews","DOI":"10.1016/j.autrev.2004.03.002","ISSN":"1568-9972","issue":"5","journalAbbreviation":"Autoimmun Rev","language":"eng","note":"PMID: 15288007","page":"394-400","source":"PubMed","title":"Inflammatory bowel disease: the role of environmental factors","title-short":"Inflammatory bowel disease","volume":"3","author":[{"family":"Danese","given":"Silvio"},{"family":"Sans","given":"Miquel"},{"family":"Fiocchi","given":"Claudio"}],"issued":{"date-parts":[["2004",7]]}}},{"id":4022,"uris":["http://zotero.org/users/3734960/items/HCWYQ62R"],"uri":["http://zotero.org/users/3734960/items/HCWYQ62R"],"itemData":{"id":4022,"type":"article-journal","abstract":"BACKGROUND &amp; AIMS: Multiple environmental factors have been associated with the development of inflammatory bowel diseases (IBDs). We performed an umbrella review of meta-analyses to summarize available epidemiologic evidence and assess its credibility.\nMETHODS: We systematically identified and appraised meta-analyses of observational studies examining environmental factors and risk of IBD (Crohn's disease [CD] or ulcerative colitis [UC]). For each meta-analysis, we considered the random effects estimate, its 95% confidence interval, the estimates of heterogeneity, and small-study effects, and we graded the evidence according to prespecified criteria. Methodologic quality was assessed with AMSTAR (ie, A Measurement Tool to Assess Systematic Reviews) 2.\nRESULTS: We examined 183 estimates in 53 meta-analyses of 71 environmental factors related to lifestyles and hygiene, surgeries, drug exposures, diet, microorganisms, and vaccinations. We identified 9 factors that increase risk of IBD: smoking (CD), urban living (CD and IBD), appendectomy (CD), tonsillectomy (CD), antibiotic exposure (IBD), oral contraceptive use (IBD), consumption of soft drinks (UC), vitamin D deficiency (IBD), and non-Helicobacter pylori-like enterohepatic Helicobacter species (IBD). We identified 7 factors that reduce risk of IBD: physical activity (CD), breastfeeding (IBD), bed sharing (CD), tea consumption (UC), high levels of folate (IBD), high levels of vitamin D (CD), and H pylori infection (CD, UC, and IBD). Epidemiologic evidence for all of these associations was of high to moderate strength; we identified another 11 factors associated with increased risk and 16 factors associated with reduced risk with weak credibility. Methodologic quality varied considerably among meta-analyses. Several associations were based on findings from retrospective studies, so it is not possible to determine if these are effects of IBD or the results of recall bias.\nCONCLUSIONS: In an umbrella review of meta-analyses, we found varying levels of evidence for associations of different environmental factors with risk of IBD. High-quality prospective studies with analyses of samples from patients with recent diagnoses of IBD are needed to determine whether these factors cause or are results of IBD and their pathogenic mechanisms.","container-title":"Gastroenterology","DOI":"10.1053/j.gastro.2019.04.016","ISSN":"1528-0012","issue":"3","journalAbbreviation":"Gastroenterology","language":"eng","note":"PMID: 31014995","page":"647-659.e4","source":"PubMed","title":"Environmental Risk Factors for Inflammatory Bowel Diseases: An Umbrella Review of Meta-analyses","title-short":"Environmental Risk Factors for Inflammatory Bowel Diseases","volume":"157","author":[{"family":"Piovani","given":"Daniele"},{"family":"Danese","given":"Silvio"},{"family":"Peyrin-Biroulet","given":"Laurent"},{"family":"Nikolopoulos","given":"Georgios K."},{"family":"Lytras","given":"Theodore"},{"family":"Bonovas","given":"Stefanos"}],"issued":{"date-parts":[["2019"]]}}}],"schema":"https://github.com/citation-style-language/schema/raw/master/csl-citation.json"} </w:instrText>
      </w:r>
      <w:r w:rsidR="00F02F5B" w:rsidRPr="005B2AA7">
        <w:rPr>
          <w:rFonts w:ascii="Book Antiqua" w:hAnsi="Book Antiqua" w:cs="Times New Roman"/>
          <w:lang w:val="en-US"/>
        </w:rPr>
        <w:fldChar w:fldCharType="separate"/>
      </w:r>
      <w:r w:rsidR="00F92A9F" w:rsidRPr="005B2AA7">
        <w:rPr>
          <w:rFonts w:ascii="Book Antiqua" w:hAnsi="Book Antiqua" w:cs="Times New Roman"/>
          <w:vertAlign w:val="superscript"/>
          <w:lang w:val="en-US"/>
        </w:rPr>
        <w:t>[4,5]</w:t>
      </w:r>
      <w:r w:rsidR="00F02F5B" w:rsidRPr="005B2AA7">
        <w:rPr>
          <w:rFonts w:ascii="Book Antiqua" w:hAnsi="Book Antiqua" w:cs="Times New Roman"/>
          <w:lang w:val="en-US"/>
        </w:rPr>
        <w:fldChar w:fldCharType="end"/>
      </w:r>
      <w:r w:rsidRPr="005B2AA7">
        <w:rPr>
          <w:rFonts w:ascii="Book Antiqua" w:hAnsi="Book Antiqua" w:cs="Times New Roman"/>
          <w:lang w:val="en-US"/>
        </w:rPr>
        <w:t xml:space="preserve">. </w:t>
      </w:r>
      <w:r w:rsidR="00072209" w:rsidRPr="005B2AA7">
        <w:rPr>
          <w:rFonts w:ascii="Book Antiqua" w:hAnsi="Book Antiqua" w:cs="Times New Roman"/>
          <w:lang w:val="en-US"/>
        </w:rPr>
        <w:t>Among these factors</w:t>
      </w:r>
      <w:r w:rsidRPr="005B2AA7">
        <w:rPr>
          <w:rFonts w:ascii="Book Antiqua" w:hAnsi="Book Antiqua" w:cs="Times New Roman"/>
          <w:lang w:val="en-US"/>
        </w:rPr>
        <w:t>, smoking is the one for which the most solid evidence is currently available</w:t>
      </w:r>
      <w:r w:rsidR="009A0F18" w:rsidRPr="005B2AA7">
        <w:rPr>
          <w:rFonts w:ascii="Book Antiqua" w:hAnsi="Book Antiqua" w:cs="Times New Roman"/>
          <w:lang w:val="en-US"/>
        </w:rPr>
        <w:fldChar w:fldCharType="begin"/>
      </w:r>
      <w:r w:rsidR="00F92A9F" w:rsidRPr="005B2AA7">
        <w:rPr>
          <w:rFonts w:ascii="Book Antiqua" w:hAnsi="Book Antiqua" w:cs="Times New Roman"/>
          <w:lang w:val="en-US"/>
        </w:rPr>
        <w:instrText xml:space="preserve"> ADDIN ZOTERO_ITEM CSL_CITATION {"citationID":"8IQ1cZpE","properties":{"formattedCitation":"\\super [5]\\nosupersub{}","plainCitation":"[5]","noteIndex":0},"citationItems":[{"id":4022,"uris":["http://zotero.org/users/3734960/items/HCWYQ62R"],"uri":["http://zotero.org/users/3734960/items/HCWYQ62R"],"itemData":{"id":4022,"type":"article-journal","abstract":"BACKGROUND &amp; AIMS: Multiple environmental factors have been associated with the development of inflammatory bowel diseases (IBDs). We performed an umbrella review of meta-analyses to summarize available epidemiologic evidence and assess its credibility.\nMETHODS: We systematically identified and appraised meta-analyses of observational studies examining environmental factors and risk of IBD (Crohn's disease [CD] or ulcerative colitis [UC]). For each meta-analysis, we considered the random effects estimate, its 95% confidence interval, the estimates of heterogeneity, and small-study effects, and we graded the evidence according to prespecified criteria. Methodologic quality was assessed with AMSTAR (ie, A Measurement Tool to Assess Systematic Reviews) 2.\nRESULTS: We examined 183 estimates in 53 meta-analyses of 71 environmental factors related to lifestyles and hygiene, surgeries, drug exposures, diet, microorganisms, and vaccinations. We identified 9 factors that increase risk of IBD: smoking (CD), urban living (CD and IBD), appendectomy (CD), tonsillectomy (CD), antibiotic exposure (IBD), oral contraceptive use (IBD), consumption of soft drinks (UC), vitamin D deficiency (IBD), and non-Helicobacter pylori-like enterohepatic Helicobacter species (IBD). We identified 7 factors that reduce risk of IBD: physical activity (CD), breastfeeding (IBD), bed sharing (CD), tea consumption (UC), high levels of folate (IBD), high levels of vitamin D (CD), and H pylori infection (CD, UC, and IBD). Epidemiologic evidence for all of these associations was of high to moderate strength; we identified another 11 factors associated with increased risk and 16 factors associated with reduced risk with weak credibility. Methodologic quality varied considerably among meta-analyses. Several associations were based on findings from retrospective studies, so it is not possible to determine if these are effects of IBD or the results of recall bias.\nCONCLUSIONS: In an umbrella review of meta-analyses, we found varying levels of evidence for associations of different environmental factors with risk of IBD. High-quality prospective studies with analyses of samples from patients with recent diagnoses of IBD are needed to determine whether these factors cause or are results of IBD and their pathogenic mechanisms.","container-title":"Gastroenterology","DOI":"10.1053/j.gastro.2019.04.016","ISSN":"1528-0012","issue":"3","journalAbbreviation":"Gastroenterology","language":"eng","note":"PMID: 31014995","page":"647-659.e4","source":"PubMed","title":"Environmental Risk Factors for Inflammatory Bowel Diseases: An Umbrella Review of Meta-analyses","title-short":"Environmental Risk Factors for Inflammatory Bowel Diseases","volume":"157","author":[{"family":"Piovani","given":"Daniele"},{"family":"Danese","given":"Silvio"},{"family":"Peyrin-Biroulet","given":"Laurent"},{"family":"Nikolopoulos","given":"Georgios K."},{"family":"Lytras","given":"Theodore"},{"family":"Bonovas","given":"Stefanos"}],"issued":{"date-parts":[["2019"]]}}}],"schema":"https://github.com/citation-style-language/schema/raw/master/csl-citation.json"} </w:instrText>
      </w:r>
      <w:r w:rsidR="009A0F18" w:rsidRPr="005B2AA7">
        <w:rPr>
          <w:rFonts w:ascii="Book Antiqua" w:hAnsi="Book Antiqua" w:cs="Times New Roman"/>
          <w:lang w:val="en-US"/>
        </w:rPr>
        <w:fldChar w:fldCharType="separate"/>
      </w:r>
      <w:r w:rsidR="00F92A9F" w:rsidRPr="005B2AA7">
        <w:rPr>
          <w:rFonts w:ascii="Book Antiqua" w:hAnsi="Book Antiqua" w:cs="Times New Roman"/>
          <w:vertAlign w:val="superscript"/>
          <w:lang w:val="en-US"/>
        </w:rPr>
        <w:t>[5]</w:t>
      </w:r>
      <w:r w:rsidR="009A0F18" w:rsidRPr="005B2AA7">
        <w:rPr>
          <w:rFonts w:ascii="Book Antiqua" w:hAnsi="Book Antiqua" w:cs="Times New Roman"/>
          <w:lang w:val="en-US"/>
        </w:rPr>
        <w:fldChar w:fldCharType="end"/>
      </w:r>
      <w:r w:rsidRPr="005B2AA7">
        <w:rPr>
          <w:rFonts w:ascii="Book Antiqua" w:hAnsi="Book Antiqua" w:cs="Times New Roman"/>
          <w:lang w:val="en-US"/>
        </w:rPr>
        <w:t>. Smoking increases the risk of CD and worsens its clinical course</w:t>
      </w:r>
      <w:r w:rsidR="00F02F5B" w:rsidRPr="005B2AA7">
        <w:rPr>
          <w:rFonts w:ascii="Book Antiqua" w:hAnsi="Book Antiqua" w:cs="Times New Roman"/>
          <w:lang w:val="en-US"/>
        </w:rPr>
        <w:fldChar w:fldCharType="begin"/>
      </w:r>
      <w:r w:rsidR="00F92A9F" w:rsidRPr="005B2AA7">
        <w:rPr>
          <w:rFonts w:ascii="Book Antiqua" w:hAnsi="Book Antiqua" w:cs="Times New Roman"/>
          <w:lang w:val="en-US"/>
        </w:rPr>
        <w:instrText xml:space="preserve"> ADDIN ZOTERO_ITEM CSL_CITATION {"citationID":"CIeYKP1f","properties":{"formattedCitation":"\\super [6,7]\\nosupersub{}","plainCitation":"[6,7]","noteIndex":0},"citationItems":[{"id":3970,"uris":["http://zotero.org/users/3734960/items/VW8ZGRM9"],"uri":["http://zotero.org/users/3734960/items/VW8ZGRM9"],"itemData":{"id":3970,"type":"article-journal","abstract":"OBJECTIVE: To assess whether there is a true effect of smoking on the 2 most prevalent forms of inflammatory bowel disease (IBD): Crohn disease (CD) and ulcerative colitis (UC).\nMETHODS: For this meta-analysis, we searched multiple health care databases, including MEDLINE and EMBASE (January 1980 to January 2006), to examine the relationship between smoking and IBD. Keywords searched included smoking, Inflammatory bowel disease, Crohn's disease, and ulcerative colitis. Data were abstracted using predefined inclusion and exclusion criteria. An odds ratio (OR) was recalculated for each study using the random-effects model, and a combined OR was calculated.\nRESULTS: A total of 245 articles were obtained through an electronic search of health care databases. Thirteen studies examined the relationship between UC and smoking, whereas 9 examined the relationship between CD and smoking. We found evidence of an association between current smoking and CD (OR, 1.76; 95% confidence interval [CI], 1.40-2.22) and former smoking and UC (OR, 1.79; 95% CI, 1.37-2.34). Current smoking had a protective effect on the development of UC when compared with controls (OR, 0.58; 95% CI, 0.45-0.75).\nCONCLUSION: This is the first meta-analysis, to our knowledge, to evaluate the relationship between smoking and IBD using accepted quality standards for meta-analysis reporting. Our meta-analyses confirm that smoking is an important environmental factor in IBD with differing effects in UC and CD. By using predefined inclusion criteria and testing for homogeneity, the current analysis provides an estimate of the effect of smoking on both these forms of IBD.","container-title":"Mayo Clinic Proceedings","DOI":"10.4065/81.11.1462","ISSN":"0025-6196","issue":"11","journalAbbreviation":"Mayo Clin. Proc.","language":"eng","note":"PMID: 17120402","page":"1462-1471","source":"PubMed","title":"Smoking and inflammatory bowel disease: a meta-analysis","title-short":"Smoking and inflammatory bowel disease","volume":"81","author":[{"family":"Mahid","given":"Suhal S."},{"family":"Minor","given":"Kyle S."},{"family":"Soto","given":"Roberto E."},{"family":"Hornung","given":"Carlton A."},{"family":"Galandiuk","given":"Susan"}],"issued":{"date-parts":[["2006",11]]}}},{"id":3974,"uris":["http://zotero.org/users/3734960/items/L3YZII44"],"uri":["http://zotero.org/users/3734960/items/L3YZII44"],"itemData":{"id":3974,"type":"article-journal","abstract":"BACKGROUND: Smoking demonstrates divergent effects in Crohn's disease (CD) and ulcerative colitis (UC). Smoking frequency is greater in CD and deleterious to its disease course. Conversely, UC is primarily a disease of nonsmokers and ex-smokers, with reports of disease amelioration in active smoking.\nAIM: To determine the prevalence of smoking and its effects on disease progression and surgery in a well-characterised cohort of inflammatory bowel diseases (IBD) patients.\nMETHODS: Patients with smoking data of the Sydney IBD Cohort were included. Demographic, phenotypic, medical, surgical and hospitalisation data were analysed and reported on the basis of patient smoking status.\nRESULTS: 1203 IBD patients were identified comprising 626 CD and 557 UC with 6725 and 6672 patient-years of follow-up, respectively. CD patients were more likely to smoke than UC patients (19.2% vs. 10.2%, P &lt; 0.001). A history of smoking in CD was associated with an increased proportional surgery rate (45.8% vs. 37.8%, P = 0.045), requirement for IBD-related hospitalisation (P = 0.009) and incidence of peripheral arthritis (29.8% vs. 22.0%, P = 0.027). Current smokers with UC demonstrated reduced corticosteroid utilisation (24.1% vs. 37.5%, P = 0.045), yet no reduction in the rates of colectomy (3.4% vs. 6.6%, P = 0.34) or hospital admission (P = 0.25) relative to nonsmokers. Ex-smokers with UC required proportionately greater immunosuppressive (36.2% vs. 26.3%, P = 0.041) and corticosteroid (43.7% vs. 34.5%, P = 0.078) therapies compared with current and never smokers.\nCONCLUSIONS: This study confirms the detrimental effects of smoking in CD, yet failed to demonstrate substantial benefit from smoking in UC. These data should encourage all patients with IBD to quit smoking.","container-title":"Alimentary Pharmacology &amp; Therapeutics","DOI":"10.1111/apt.13239","ISSN":"1365-2036","issue":"1","journalAbbreviation":"Aliment. Pharmacol. Ther.","language":"eng","note":"PMID: 25968332","page":"61-70","source":"PubMed","title":"Smoking prevalence and its influence on disease course and surgery in Crohn's disease and ulcerative colitis","volume":"42","author":[{"family":"Lunney","given":"P. C."},{"family":"Kariyawasam","given":"V. C."},{"family":"Wang","given":"R. R."},{"family":"Middleton","given":"K. L."},{"family":"Huang","given":"T."},{"family":"Selinger","given":"C. P."},{"family":"Andrews","given":"J. M."},{"family":"Katelaris","given":"P. H."},{"family":"Leong","given":"R. W. L."}],"issued":{"date-parts":[["2015",7]]}}}],"schema":"https://github.com/citation-style-language/schema/raw/master/csl-citation.json"} </w:instrText>
      </w:r>
      <w:r w:rsidR="00F02F5B" w:rsidRPr="005B2AA7">
        <w:rPr>
          <w:rFonts w:ascii="Book Antiqua" w:hAnsi="Book Antiqua" w:cs="Times New Roman"/>
          <w:lang w:val="en-US"/>
        </w:rPr>
        <w:fldChar w:fldCharType="separate"/>
      </w:r>
      <w:r w:rsidR="00F92A9F" w:rsidRPr="005B2AA7">
        <w:rPr>
          <w:rFonts w:ascii="Book Antiqua" w:hAnsi="Book Antiqua" w:cs="Times New Roman"/>
          <w:vertAlign w:val="superscript"/>
        </w:rPr>
        <w:t>[6,7]</w:t>
      </w:r>
      <w:r w:rsidR="00F02F5B" w:rsidRPr="005B2AA7">
        <w:rPr>
          <w:rFonts w:ascii="Book Antiqua" w:hAnsi="Book Antiqua" w:cs="Times New Roman"/>
          <w:lang w:val="en-US"/>
        </w:rPr>
        <w:fldChar w:fldCharType="end"/>
      </w:r>
      <w:r w:rsidR="00E43A1F" w:rsidRPr="005B2AA7">
        <w:rPr>
          <w:rFonts w:ascii="Book Antiqua" w:hAnsi="Book Antiqua" w:cs="Times New Roman"/>
          <w:lang w:val="en-US"/>
        </w:rPr>
        <w:t>, especially after digestive surgery</w:t>
      </w:r>
      <w:r w:rsidR="00F02F5B" w:rsidRPr="005B2AA7">
        <w:rPr>
          <w:rFonts w:ascii="Book Antiqua" w:hAnsi="Book Antiqua" w:cs="Times New Roman"/>
          <w:lang w:val="en-US"/>
        </w:rPr>
        <w:fldChar w:fldCharType="begin"/>
      </w:r>
      <w:r w:rsidR="00F92A9F" w:rsidRPr="005B2AA7">
        <w:rPr>
          <w:rFonts w:ascii="Book Antiqua" w:hAnsi="Book Antiqua" w:cs="Times New Roman"/>
          <w:lang w:val="en-US"/>
        </w:rPr>
        <w:instrText xml:space="preserve"> ADDIN ZOTERO_ITEM CSL_CITATION {"citationID":"gNzHilEJ","properties":{"formattedCitation":"\\super [8]\\nosupersub{}","plainCitation":"[8]","noteIndex":0},"citationItems":[{"id":256,"uris":["http://zotero.org/users/3734960/items/6JMRA8IW"],"uri":["http://zotero.org/users/3734960/items/6JMRA8IW"],"itemData":{"id":256,"type":"article-journal","abstract":"OBJECTIVE: The aim of the study was to quantify the risk of disease recurrence associated with cigarette smoking for individuals with Crohn's disease after disease-modifying surgery.\nDESIGN: Meta-analysis of observational studies.\nDATA SOURCES: Medline, Embase, Ovid and the Cochrane database.\nMATERIALS AND METHODS: A literature search was performed to identify studies published between 1966 and 2007 comparing outcomes of smokers, ex-smokers and non-smokers with Crohn's disease. Random-effect meta-analytical techniques were employed to assess the risk of medical or surgical recurrence.\nRESULTS: Sixteen studies encompassing 2,962 patients including 1,425 non-smokers (48.1%), 1,393 smokers (47.0%) and 137 ex-smokers (4.6%) were included. Smokers had significantly higher clinical post-operative recurrence than non-smokers (odds ratio [OR] = 2.15; 95%CI = 1.42, 3.27; p &lt; 0.001). Smokers were also more likely to experience surgical recurrence by 5 (OR = 1.06; 95%CI = 0.32; 3.53, p = 0.04) and 10 years of follow-up (OR = 2.56; 95%CI = 1.79, 3.67; p &lt; 0.001) compared to non-smokers, although the crude re-operation rate was not statistically significant. When matched for operation and disease site, smokers had significantly higher re-operation rates to non-smokers (OR = 2.3; 95%CI = 1.29, 4.08; p = 0.005). There was no significant difference between ex-smokers and non-smokers in re-operation rate at 10 years (OR = 0.30; 95%CI = 0.09, 1.07; p = 0.10) or in post-operative acute relapses (OR = 1.54; 95%CI = 0.78, 3.02; p = 0.21).\nCONCLUSIONS: Patients with Crohn's disease who smoke have a 2.5-fold increased risk of surgical recurrence and a twofold risk of clinical recurrence compared to non-smokers. Patients with Crohn's disease should be encouraged to stop smoking since the risk of disease relapse is minimised upon its cessation.","container-title":"International Journal of Colorectal Disease","DOI":"10.1007/s00384-008-0542-9","ISSN":"0179-1958","issue":"12","journalAbbreviation":"Int J Colorectal Dis","language":"eng","note":"PMID: 18762954","page":"1213-1221","source":"PubMed","title":"The effect of smoking after surgery for Crohn's disease: a meta-analysis of observational studies","title-short":"The effect of smoking after surgery for Crohn's disease","volume":"23","author":[{"family":"Reese","given":"George E."},{"family":"Nanidis","given":"Theodore"},{"family":"Borysiewicz","given":"Catherine"},{"family":"Yamamoto","given":"Takayuki"},{"family":"Orchard","given":"Timothy"},{"family":"Tekkis","given":"Paris P."}],"issued":{"date-parts":[["2008",12]]}}}],"schema":"https://github.com/citation-style-language/schema/raw/master/csl-citation.json"} </w:instrText>
      </w:r>
      <w:r w:rsidR="00F02F5B" w:rsidRPr="005B2AA7">
        <w:rPr>
          <w:rFonts w:ascii="Book Antiqua" w:hAnsi="Book Antiqua" w:cs="Times New Roman"/>
          <w:lang w:val="en-US"/>
        </w:rPr>
        <w:fldChar w:fldCharType="separate"/>
      </w:r>
      <w:r w:rsidR="00F92A9F" w:rsidRPr="005B2AA7">
        <w:rPr>
          <w:rFonts w:ascii="Book Antiqua" w:hAnsi="Book Antiqua" w:cs="Times New Roman"/>
          <w:vertAlign w:val="superscript"/>
          <w:lang w:val="en-US"/>
        </w:rPr>
        <w:t>[8]</w:t>
      </w:r>
      <w:r w:rsidR="00F02F5B" w:rsidRPr="005B2AA7">
        <w:rPr>
          <w:rFonts w:ascii="Book Antiqua" w:hAnsi="Book Antiqua" w:cs="Times New Roman"/>
          <w:lang w:val="en-US"/>
        </w:rPr>
        <w:fldChar w:fldCharType="end"/>
      </w:r>
      <w:r w:rsidR="00BC568F" w:rsidRPr="005B2AA7">
        <w:rPr>
          <w:rFonts w:ascii="Book Antiqua" w:hAnsi="Book Antiqua" w:cs="Times New Roman"/>
          <w:lang w:val="en-US"/>
        </w:rPr>
        <w:t>,</w:t>
      </w:r>
      <w:r w:rsidR="00FA32EC" w:rsidRPr="005B2AA7">
        <w:rPr>
          <w:rFonts w:ascii="Book Antiqua" w:hAnsi="Book Antiqua" w:cs="Times New Roman"/>
          <w:lang w:val="en-US"/>
        </w:rPr>
        <w:t xml:space="preserve"> </w:t>
      </w:r>
      <w:r w:rsidRPr="005B2AA7">
        <w:rPr>
          <w:rFonts w:ascii="Book Antiqua" w:hAnsi="Book Antiqua" w:cs="Times New Roman"/>
          <w:lang w:val="en-US"/>
        </w:rPr>
        <w:t>but has a protective effect in UC</w:t>
      </w:r>
      <w:r w:rsidR="00F02F5B" w:rsidRPr="005B2AA7">
        <w:rPr>
          <w:rFonts w:ascii="Book Antiqua" w:hAnsi="Book Antiqua" w:cs="Times New Roman"/>
          <w:lang w:val="en-US"/>
        </w:rPr>
        <w:fldChar w:fldCharType="begin"/>
      </w:r>
      <w:r w:rsidR="00F92A9F" w:rsidRPr="005B2AA7">
        <w:rPr>
          <w:rFonts w:ascii="Book Antiqua" w:hAnsi="Book Antiqua" w:cs="Times New Roman"/>
          <w:lang w:val="en-US"/>
        </w:rPr>
        <w:instrText xml:space="preserve"> ADDIN ZOTERO_ITEM CSL_CITATION {"citationID":"rH3I2tdP","properties":{"formattedCitation":"\\super [6,9]\\nosupersub{}","plainCitation":"[6,9]","noteIndex":0},"citationItems":[{"id":3970,"uris":["http://zotero.org/users/3734960/items/VW8ZGRM9"],"uri":["http://zotero.org/users/3734960/items/VW8ZGRM9"],"itemData":{"id":3970,"type":"article-journal","abstract":"OBJECTIVE: To assess whether there is a true effect of smoking on the 2 most prevalent forms of inflammatory bowel disease (IBD): Crohn disease (CD) and ulcerative colitis (UC).\nMETHODS: For this meta-analysis, we searched multiple health care databases, including MEDLINE and EMBASE (January 1980 to January 2006), to examine the relationship between smoking and IBD. Keywords searched included smoking, Inflammatory bowel disease, Crohn's disease, and ulcerative colitis. Data were abstracted using predefined inclusion and exclusion criteria. An odds ratio (OR) was recalculated for each study using the random-effects model, and a combined OR was calculated.\nRESULTS: A total of 245 articles were obtained through an electronic search of health care databases. Thirteen studies examined the relationship between UC and smoking, whereas 9 examined the relationship between CD and smoking. We found evidence of an association between current smoking and CD (OR, 1.76; 95% confidence interval [CI], 1.40-2.22) and former smoking and UC (OR, 1.79; 95% CI, 1.37-2.34). Current smoking had a protective effect on the development of UC when compared with controls (OR, 0.58; 95% CI, 0.45-0.75).\nCONCLUSION: This is the first meta-analysis, to our knowledge, to evaluate the relationship between smoking and IBD using accepted quality standards for meta-analysis reporting. Our meta-analyses confirm that smoking is an important environmental factor in IBD with differing effects in UC and CD. By using predefined inclusion criteria and testing for homogeneity, the current analysis provides an estimate of the effect of smoking on both these forms of IBD.","container-title":"Mayo Clinic Proceedings","DOI":"10.4065/81.11.1462","ISSN":"0025-6196","issue":"11","journalAbbreviation":"Mayo Clin. Proc.","language":"eng","note":"PMID: 17120402","page":"1462-1471","source":"PubMed","title":"Smoking and inflammatory bowel disease: a meta-analysis","title-short":"Smoking and inflammatory bowel disease","volume":"81","author":[{"family":"Mahid","given":"Suhal S."},{"family":"Minor","given":"Kyle S."},{"family":"Soto","given":"Roberto E."},{"family":"Hornung","given":"Carlton A."},{"family":"Galandiuk","given":"Susan"}],"issued":{"date-parts":[["2006",11]]}}},{"id":3976,"uris":["http://zotero.org/users/3734960/items/AI4TVR4N"],"uri":["http://zotero.org/users/3734960/items/AI4TVR4N"],"itemData":{"id":3976,"type":"article-journal","abstract":"Smoking is a major environmental factor that interferes in the establishment and clinical course of ulcerative colitis (UC). Firstly, the risk of smoking status impact in the development of UC is reviewed, showing that current smoking has a protective association with UC. Similarly, being a former smoker is associated with an increased risk of UC. The concept that smoking could have a role in determining the inflammatory bowel disease phenotype is also discussed. Gender may also be considered, as current smoking delays disease onset in men but not in women. No clear conclusions can be driven from the studies trying to clarify whether childhood passive smoking or prenatal smoke exposure have an influence on the development of UC, mainly due to methodology flaws. The influence of smoking on disease course is the second aspect analysed. Some studies show a disease course more benign in smokers that in non-smokers, with lower hospitalizations rates, less flare-ups, lower use of oral steroids and even less risk of proximal extension. This is not verified by some other studies. Similarly, the rate of colectomy does not seem to be determined by the smoking status of the patient. The third issue reviewed is the use of nicotine as a therapeutic agent. The place of nicotine in the treatment of UC is unclear, although it could be useful in selected cases, particularly in recent ex-smokers with moderate but refractory attacks of UC. Finally, the effect of smoking cessation in UC patients is summarised. Given that smoking represents a major worldwide cause of death, for inpatients with UC the risks of smoking far outweigh any possible benefit. Thus, physicians should advise, encourage and assist UC patients who smoke to quit.","container-title":"World Journal of Gastroenterology","DOI":"10.3748/wjg.v17.i22.2740","ISSN":"2219-2840","issue":"22","journalAbbreviation":"World J. Gastroenterol.","language":"eng","note":"PMID: 21734782\nPMCID: PMC3122262","page":"2740-2747","source":"PubMed","title":"Ulcerative colitis in smokers, non-smokers and ex-smokers","volume":"17","author":[{"family":"Bastida","given":"Guillermo"},{"family":"Beltrán","given":"Belén"}],"issued":{"date-parts":[["2011",6,14]]}}}],"schema":"https://github.com/citation-style-language/schema/raw/master/csl-citation.json"} </w:instrText>
      </w:r>
      <w:r w:rsidR="00F02F5B" w:rsidRPr="005B2AA7">
        <w:rPr>
          <w:rFonts w:ascii="Book Antiqua" w:hAnsi="Book Antiqua" w:cs="Times New Roman"/>
          <w:lang w:val="en-US"/>
        </w:rPr>
        <w:fldChar w:fldCharType="separate"/>
      </w:r>
      <w:r w:rsidR="00F92A9F" w:rsidRPr="005B2AA7">
        <w:rPr>
          <w:rFonts w:ascii="Book Antiqua" w:hAnsi="Book Antiqua" w:cs="Times New Roman"/>
          <w:vertAlign w:val="superscript"/>
          <w:lang w:val="en-US"/>
        </w:rPr>
        <w:t>[6,9]</w:t>
      </w:r>
      <w:r w:rsidR="00F02F5B" w:rsidRPr="005B2AA7">
        <w:rPr>
          <w:rFonts w:ascii="Book Antiqua" w:hAnsi="Book Antiqua" w:cs="Times New Roman"/>
          <w:lang w:val="en-US"/>
        </w:rPr>
        <w:fldChar w:fldCharType="end"/>
      </w:r>
      <w:r w:rsidRPr="005B2AA7">
        <w:rPr>
          <w:rFonts w:ascii="Book Antiqua" w:hAnsi="Book Antiqua" w:cs="Times New Roman"/>
          <w:lang w:val="en-US"/>
        </w:rPr>
        <w:t>.</w:t>
      </w:r>
      <w:r w:rsidR="00FA32EC" w:rsidRPr="005B2AA7">
        <w:rPr>
          <w:rFonts w:ascii="Book Antiqua" w:hAnsi="Book Antiqua" w:cs="Times New Roman"/>
          <w:lang w:val="en-US"/>
        </w:rPr>
        <w:t xml:space="preserve"> Thus, smoking habits are much more frequent in CD patients than in UC patients, except in Jewish patients in Israel in whom the stronger genetic tendency in CD may contribute to this discrepancy</w:t>
      </w:r>
      <w:r w:rsidR="00FA32EC" w:rsidRPr="005B2AA7">
        <w:rPr>
          <w:rFonts w:ascii="Book Antiqua" w:hAnsi="Book Antiqua" w:cs="Times New Roman"/>
          <w:lang w:val="en-US"/>
        </w:rPr>
        <w:fldChar w:fldCharType="begin"/>
      </w:r>
      <w:r w:rsidR="00FA32EC" w:rsidRPr="005B2AA7">
        <w:rPr>
          <w:rFonts w:ascii="Book Antiqua" w:hAnsi="Book Antiqua" w:cs="Times New Roman"/>
          <w:lang w:val="en-US"/>
        </w:rPr>
        <w:instrText xml:space="preserve"> ADDIN ZOTERO_ITEM CSL_CITATION {"citationID":"WKOli24f","properties":{"formattedCitation":"\\super [10]\\nosupersub{}","plainCitation":"[10]","noteIndex":0},"citationItems":[{"id":4148,"uris":["http://zotero.org/users/3734960/items/2F45E2SQ"],"uri":["http://zotero.org/users/3734960/items/2F45E2SQ"],"itemData":{"id":4148,"type":"article-journal","abstract":"OBJECTIVE: The association between smoking and inflammatory bowel disease (IBD) is well established, but data in Jewish patients in Israel were discrepant. The aim of this study was to examine the smoking habits of Jewish IBD patients in Israel in a large scale, multicenter study.\nMETHODS: Patients with established IBD aged 18-70 yr were interviewed in relation to smoking and other habits. Two controls (one clinic and one neighborhood control matched by age, sex, community group, and education) were sought for each subject.\nRESULTS: A total of 534 patients (273 ulcerative colitis [UC], and 261 Crohn's disease [CD]), along with 478 clinic controls and 430 neighborhood controls, were interviewed. There was no significant difference in the smoking habits between CD patients and their controls. Of patients with CD, 24.5% were current smokers, as compared to 19.9% of clinic controls and 25.2% of neighborhood controls (NS). The odds ratio for CD in current smokers was 1.30 (95% confidence interval 0.85-1.99) versus clinic controls, and 0.96 (0.63-1.46) versus neighborhood controls. There were also no significant differences in the proportion of ex-smokers between the groups. Only 12.9% of UC patients were current smokers versus 21.9. % Clinic controls, and 26.4% community controls (p&lt;0.005). The proportions of ex-smokers were higher in UC patients 29.7% versus 25.9%, and 19.5% in their respective controls (p&lt;0.001 vs. community controls). No significant differences were found in the proportions of never-smokers between IBD patients and controls. All the above trends were similar in four different parts of the country. The proportion of current smokers in UC decreased with the extent of disease (19.7% in proctitis, 13.6% in left-sided, and 4.5% in total colitis) (p&lt;0.05). Patients with UC were more likely to be light smokers(1-10 cigarettes/day), whereas patients with CD were more likely to be moderate smokers (11-20 cigarettes/day) in comparison to their controls.\nCONCLUSIONS: The lack of association between smoking and CD has now been established in Jewish patients in Israel. The association was found in UC. The stronger genetic tendency in CD may contribute to this discrepancy.","container-title":"The American Journal of Gastroenterology","DOI":"10.1111/j.1572-0241.2000.01771.x","ISSN":"0002-9270","issue":"2","journalAbbreviation":"Am. J. Gastroenterol.","language":"eng","note":"PMID: 10685753","page":"474-478","source":"PubMed","title":"Lack of association between smoking and Crohn's disease but the usual association with ulcerative colitis in Jewish patients in Israel: a multicenter study","title-short":"Lack of association between smoking and Crohn's disease but the usual association with ulcerative colitis in Jewish patients in Israel","volume":"95","author":[{"family":"Reif","given":"S."},{"family":"Lavy","given":"A."},{"family":"Keter","given":"D."},{"family":"Fich","given":"A."},{"family":"Eliakim","given":"R."},{"family":"Halak","given":"A."},{"family":"Broide","given":"E."},{"family":"Niv","given":"Y."},{"family":"Ron","given":"Y."},{"family":"Patz","given":"J."},{"family":"Odes","given":"S."},{"family":"Villa","given":"Y."},{"family":"Gilat","given":"T."}],"issued":{"date-parts":[["2000",2]]}}}],"schema":"https://github.com/citation-style-language/schema/raw/master/csl-citation.json"} </w:instrText>
      </w:r>
      <w:r w:rsidR="00FA32EC" w:rsidRPr="005B2AA7">
        <w:rPr>
          <w:rFonts w:ascii="Book Antiqua" w:hAnsi="Book Antiqua" w:cs="Times New Roman"/>
          <w:lang w:val="en-US"/>
        </w:rPr>
        <w:fldChar w:fldCharType="separate"/>
      </w:r>
      <w:r w:rsidR="00FA32EC" w:rsidRPr="005B2AA7">
        <w:rPr>
          <w:rFonts w:ascii="Book Antiqua" w:hAnsi="Book Antiqua" w:cs="Times New Roman"/>
          <w:vertAlign w:val="superscript"/>
          <w:lang w:val="en-US"/>
        </w:rPr>
        <w:t>[10]</w:t>
      </w:r>
      <w:r w:rsidR="00FA32EC" w:rsidRPr="005B2AA7">
        <w:rPr>
          <w:rFonts w:ascii="Book Antiqua" w:hAnsi="Book Antiqua" w:cs="Times New Roman"/>
          <w:lang w:val="en-US"/>
        </w:rPr>
        <w:fldChar w:fldCharType="end"/>
      </w:r>
      <w:r w:rsidR="00FA32EC" w:rsidRPr="005B2AA7">
        <w:rPr>
          <w:rFonts w:ascii="Book Antiqua" w:hAnsi="Book Antiqua" w:cs="Times New Roman"/>
          <w:lang w:val="en-US"/>
        </w:rPr>
        <w:t>.</w:t>
      </w:r>
    </w:p>
    <w:p w14:paraId="05A63093" w14:textId="1EDE277E" w:rsidR="00422B6F" w:rsidRPr="005B2AA7" w:rsidRDefault="00AA5EB5" w:rsidP="00253009">
      <w:pPr>
        <w:adjustRightInd w:val="0"/>
        <w:snapToGrid w:val="0"/>
        <w:spacing w:line="360" w:lineRule="auto"/>
        <w:ind w:firstLineChars="100" w:firstLine="240"/>
        <w:jc w:val="both"/>
        <w:rPr>
          <w:rFonts w:ascii="Book Antiqua" w:hAnsi="Book Antiqua" w:cs="Times New Roman"/>
          <w:lang w:val="en-US"/>
        </w:rPr>
      </w:pPr>
      <w:r w:rsidRPr="005B2AA7">
        <w:rPr>
          <w:rFonts w:ascii="Book Antiqua" w:hAnsi="Book Antiqua" w:cs="Times New Roman"/>
          <w:lang w:val="en-US"/>
        </w:rPr>
        <w:t>In CD, t</w:t>
      </w:r>
      <w:r w:rsidR="00933671" w:rsidRPr="005B2AA7">
        <w:rPr>
          <w:rFonts w:ascii="Book Antiqua" w:hAnsi="Book Antiqua" w:cs="Times New Roman"/>
          <w:lang w:val="en-US"/>
        </w:rPr>
        <w:t>he odds of flare of disease activity, flare after surgery, need for first and second surgery among ex-smokers di</w:t>
      </w:r>
      <w:r w:rsidRPr="005B2AA7">
        <w:rPr>
          <w:rFonts w:ascii="Book Antiqua" w:hAnsi="Book Antiqua" w:cs="Times New Roman"/>
          <w:lang w:val="en-US"/>
        </w:rPr>
        <w:t>minish upon smoking cessation</w:t>
      </w:r>
      <w:r w:rsidR="00AC4E89" w:rsidRPr="005B2AA7">
        <w:rPr>
          <w:rFonts w:ascii="Book Antiqua" w:hAnsi="Book Antiqua" w:cs="Times New Roman"/>
          <w:lang w:val="en-US"/>
        </w:rPr>
        <w:t xml:space="preserve"> </w:t>
      </w:r>
      <w:r w:rsidR="00422B6F" w:rsidRPr="005B2AA7">
        <w:rPr>
          <w:rFonts w:ascii="Book Antiqua" w:hAnsi="Book Antiqua" w:cs="Times New Roman"/>
          <w:lang w:val="en-US"/>
        </w:rPr>
        <w:t>and bec</w:t>
      </w:r>
      <w:r w:rsidR="00AC4E89" w:rsidRPr="005B2AA7">
        <w:rPr>
          <w:rFonts w:ascii="Book Antiqua" w:hAnsi="Book Antiqua" w:cs="Times New Roman"/>
          <w:lang w:val="en-US"/>
        </w:rPr>
        <w:t>o</w:t>
      </w:r>
      <w:r w:rsidR="00422B6F" w:rsidRPr="005B2AA7">
        <w:rPr>
          <w:rFonts w:ascii="Book Antiqua" w:hAnsi="Book Antiqua" w:cs="Times New Roman"/>
          <w:lang w:val="en-US"/>
        </w:rPr>
        <w:t>me</w:t>
      </w:r>
      <w:r w:rsidR="00933671" w:rsidRPr="005B2AA7">
        <w:rPr>
          <w:rFonts w:ascii="Book Antiqua" w:hAnsi="Book Antiqua" w:cs="Times New Roman"/>
          <w:lang w:val="en-US"/>
        </w:rPr>
        <w:t xml:space="preserve"> comparable to non</w:t>
      </w:r>
      <w:r w:rsidR="00AC4E89" w:rsidRPr="005B2AA7">
        <w:rPr>
          <w:rFonts w:ascii="Book Antiqua" w:hAnsi="Book Antiqua" w:cs="Times New Roman"/>
          <w:lang w:val="en-US"/>
        </w:rPr>
        <w:t>-</w:t>
      </w:r>
      <w:r w:rsidR="00933671" w:rsidRPr="005B2AA7">
        <w:rPr>
          <w:rFonts w:ascii="Book Antiqua" w:hAnsi="Book Antiqua" w:cs="Times New Roman"/>
          <w:lang w:val="en-US"/>
        </w:rPr>
        <w:t>smok</w:t>
      </w:r>
      <w:r w:rsidR="001C4A11" w:rsidRPr="005B2AA7">
        <w:rPr>
          <w:rFonts w:ascii="Book Antiqua" w:hAnsi="Book Antiqua" w:cs="Times New Roman"/>
          <w:lang w:val="en-US"/>
        </w:rPr>
        <w:t>ers</w:t>
      </w:r>
      <w:r w:rsidR="00F02F5B" w:rsidRPr="005B2AA7">
        <w:rPr>
          <w:rFonts w:ascii="Book Antiqua" w:hAnsi="Book Antiqua" w:cs="Times New Roman"/>
          <w:lang w:val="en-US"/>
        </w:rPr>
        <w:fldChar w:fldCharType="begin"/>
      </w:r>
      <w:r w:rsidR="00FA32EC" w:rsidRPr="005B2AA7">
        <w:rPr>
          <w:rFonts w:ascii="Book Antiqua" w:hAnsi="Book Antiqua" w:cs="Times New Roman"/>
          <w:lang w:val="en-US"/>
        </w:rPr>
        <w:instrText xml:space="preserve"> ADDIN ZOTERO_ITEM CSL_CITATION {"citationID":"MCmChTxW","properties":{"formattedCitation":"\\super [11]\\nosupersub{}","plainCitation":"[11]","noteIndex":0},"citationItems":[{"id":3983,"uris":["http://zotero.org/users/3734960/items/KMFJ7GKC"],"uri":["http://zotero.org/users/3734960/items/KMFJ7GKC"],"itemData":{"id":3983,"type":"article-journal","abstract":"BACKGROUND: Tobacco smoking is a well-established risk factor for the development of Crohn's disease, and this may lead to a more complicated disease course. However, recent evidence suggests that many patients with Crohn's disease are unaware of this fact.\nAIM: To perform a systematic review and meta-analysis of the effects of smoking on disease course in Crohn's disease.\nMETHODS: A search of MEDLINE, EMBASE and EMBASE classic was carried out (up to July 2015) to identify observational studies reporting data on smoking and rates of surgery or flares of disease activity in patients with Crohn's disease. Dichotomous data were pooled to obtain odds ratios (ORs) for flares of disease activity or need for surgery, with 95% confidence intervals (CIs).\nRESULTS: The search identified 33 eligible studies. Compared with nonsmokers, smokers had increased odds of flare of disease activity (OR, 1.56; 95% CI, 1.21-2.01), flare after surgery (OR, 1.97; 95% CI, 1.36-2.85), need for first surgery (OR, 1.68; 95% CI, 1.33-2.12) and need for second surgery (OR, 2.17; 95% CI, 1.63-2.89). The odds of these outcomes among ex-smokers diminished upon smoking cessation, with ORs comparable to those among nonsmokers and, in the case of flare or second surgery, significantly lower than smokers.\nCONCLUSIONS: Smokers with Crohn's disease have a more complicated disease course than nonsmokers, and quitting smoking may ameliorate this. Patients should be reminded of the detrimental effects of smoking on the course of their disease, and smoking cessation advice should be provided to reduce disease burden and costs in these patients.","container-title":"Alimentary Pharmacology &amp; Therapeutics","DOI":"10.1111/apt.13511","ISSN":"1365-2036","issue":"5","journalAbbreviation":"Aliment. Pharmacol. Ther.","language":"eng","note":"PMID: 26749371","page":"549-561","source":"PubMed","title":"Systematic review with meta-analysis: the adverse effects of tobacco smoking on the natural history of Crohn's disease","title-short":"Systematic review with meta-analysis","volume":"43","author":[{"family":"To","given":"N."},{"family":"Gracie","given":"D. J."},{"family":"Ford","given":"A. C."}],"issued":{"date-parts":[["2016",3]]}}}],"schema":"https://github.com/citation-style-language/schema/raw/master/csl-citation.json"} </w:instrText>
      </w:r>
      <w:r w:rsidR="00F02F5B" w:rsidRPr="005B2AA7">
        <w:rPr>
          <w:rFonts w:ascii="Book Antiqua" w:hAnsi="Book Antiqua" w:cs="Times New Roman"/>
          <w:lang w:val="en-US"/>
        </w:rPr>
        <w:fldChar w:fldCharType="separate"/>
      </w:r>
      <w:r w:rsidR="00FA32EC" w:rsidRPr="005B2AA7">
        <w:rPr>
          <w:rFonts w:ascii="Book Antiqua" w:hAnsi="Book Antiqua" w:cs="Times New Roman"/>
          <w:vertAlign w:val="superscript"/>
          <w:lang w:val="en-US"/>
        </w:rPr>
        <w:t>[11]</w:t>
      </w:r>
      <w:r w:rsidR="00F02F5B" w:rsidRPr="005B2AA7">
        <w:rPr>
          <w:rFonts w:ascii="Book Antiqua" w:hAnsi="Book Antiqua" w:cs="Times New Roman"/>
          <w:lang w:val="en-US"/>
        </w:rPr>
        <w:fldChar w:fldCharType="end"/>
      </w:r>
      <w:r w:rsidR="00933671" w:rsidRPr="005B2AA7">
        <w:rPr>
          <w:rFonts w:ascii="Book Antiqua" w:hAnsi="Book Antiqua" w:cs="Times New Roman"/>
          <w:lang w:val="en-US"/>
        </w:rPr>
        <w:t>.</w:t>
      </w:r>
      <w:r w:rsidR="00422B6F" w:rsidRPr="005B2AA7">
        <w:rPr>
          <w:rFonts w:ascii="Book Antiqua" w:hAnsi="Book Antiqua" w:cs="Times New Roman"/>
          <w:lang w:val="en-US"/>
        </w:rPr>
        <w:t xml:space="preserve"> In UC, nicotine has been </w:t>
      </w:r>
      <w:r w:rsidR="002411ED" w:rsidRPr="005B2AA7">
        <w:rPr>
          <w:rFonts w:ascii="Book Antiqua" w:hAnsi="Book Antiqua" w:cs="Times New Roman"/>
          <w:lang w:val="en-US"/>
        </w:rPr>
        <w:t>tested</w:t>
      </w:r>
      <w:r w:rsidR="00422B6F" w:rsidRPr="005B2AA7">
        <w:rPr>
          <w:rFonts w:ascii="Book Antiqua" w:hAnsi="Book Antiqua" w:cs="Times New Roman"/>
          <w:lang w:val="en-US"/>
        </w:rPr>
        <w:t xml:space="preserve"> as a therapeutic agent in the form of chewing gum, transdermal patches, and nicotine-based enemas</w:t>
      </w:r>
      <w:r w:rsidR="00F02F5B" w:rsidRPr="005B2AA7">
        <w:rPr>
          <w:rFonts w:ascii="Book Antiqua" w:hAnsi="Book Antiqua" w:cs="Times New Roman"/>
          <w:lang w:val="en-US"/>
        </w:rPr>
        <w:fldChar w:fldCharType="begin"/>
      </w:r>
      <w:r w:rsidR="00FA32EC" w:rsidRPr="005B2AA7">
        <w:rPr>
          <w:rFonts w:ascii="Book Antiqua" w:hAnsi="Book Antiqua" w:cs="Times New Roman"/>
          <w:lang w:val="en-US"/>
        </w:rPr>
        <w:instrText xml:space="preserve"> ADDIN ZOTERO_ITEM CSL_CITATION {"citationID":"GVt8dYUS","properties":{"formattedCitation":"\\super [12\\uc0\\u8211{}17]\\nosupersub{}","plainCitation":"[12–17]","noteIndex":0},"citationItems":[{"id":3991,"uris":["http://zotero.org/users/3734960/items/4U282ATN"],"uri":["http://zotero.org/users/3734960/items/4U282ATN"],"itemData":{"id":3991,"type":"article-journal","abstract":"Epidemiologic studies have documented an association between nonsmoking and ulcerative colitis and case reports have demonstrated that symptoms improve with smoking and worsen with removal of a nicotine source. A double-blind randomized crossover trial for individual ulcerative colitis patients (single-patient trial, or N of 1 clinical trial) was designed to study the safety, patient acceptance, and the effectiveness of nicotine gum in improving patient symptoms and proctoscopic appearance of involved colon. Seven nonsmoking patients chewed up to 10 squares/day (20 mg) of nicotine gum or placebo gum for two weeks. Therapy was crossed-over every two weeks over the eight-week trial. Effectiveness was judged from comparisons between nicotine-gum and placebo-gum periods of patient self-reported symptoms at the conclusion of each two-week period using visual analog scales and proctoscopic appearance using ordered categorical scales. Three of seven patients, all three of whom were former smokers, demonstrated sufficient improvement without adverse effects to warrant institution of nicotine gum into their drug treatment regimens. Three patients demonstrated an uncertain response, despite tolerating the drug, and have not had nicotine gum added to their regimens. One patient could not tolerate the medication and was withdrawn from the study. No serious side effects were noted. We conclude that a randomized trial for an individual patient is a useful method for evaluating treatment regimens for ulcerative colitis and that nicotine gum may be effective therapy for individual patients with ulcerative colitis who demonstrate an objective response with few adverse effects.","container-title":"Digestive Diseases and Sciences","DOI":"10.1007/bf01536795","ISSN":"0163-2116","issue":"7","journalAbbreviation":"Dig. Dis. Sci.","language":"eng","note":"PMID: 2194767","page":"827-832","source":"PubMed","title":"Testing nicotine gum for ulcerative colitis patients. Experience with single-patient trials","volume":"35","author":[{"family":"Lashner","given":"B. A."},{"family":"Hanauer","given":"S. B."},{"family":"Silverstein","given":"M. D."}],"issued":{"date-parts":[["1990",7]]}}},{"id":3993,"uris":["http://zotero.org/users/3734960/items/4TZNTTN7"],"uri":["http://zotero.org/users/3734960/items/4TZNTTN7"],"itemData":{"id":3993,"type":"article-journal","abstract":"Most patients with ulcerative colitis are nonsmokers, and patients with a history of smoking usually acquire their disease within a few years after they have stopped smoking1–4. Among patients who continue to smoke, symptoms may improve, suggesting that smoking may have a beneficial effect5,6. Given the possibility that nicotine is the ingredient of tobacco smoke responsible for improvement, we treated 16 patients with active ulcerative colitis in an uncontrolled fashion with transdermal nicotine patches, and symptoms improved in 127. We report here the results of a randomized, double-blind, controlled trial of transdermal nicotine in patients . . .","container-title":"New England Journal of Medicine","DOI":"10.1056/NEJM199403243301202","ISSN":"0028-4793","issue":"12","note":"publisher: Massachusetts Medical Society\n_eprint: https://doi.org/10.1056/NEJM199403243301202\nPMID: 8114833","page":"811-815","source":"Taylor and Francis+NEJM","title":"Transdermal Nicotine for Active Ulcerative Colitis","volume":"330","author":[{"family":"Pullan","given":"Rupert D."},{"family":"Rhodes","given":"John"},{"family":"Ganesh","given":"Subramanian"},{"family":"Mani","given":"Venk"},{"family":"Morris","given":"John S."},{"family":"Williams","given":"Geraint T."},{"family":"Newcombe","given":"Robert G."},{"family":"Russell","given":"Michael"},{"family":"Feyerabend","given":"Colin"},{"family":"Thomas","given":"Gareth"},{"family":"Sawe","given":"Urbain"}],"issued":{"date-parts":[["1994",3,24]]}}},{"id":4001,"uris":["http://zotero.org/users/3734960/items/26Q8CTH3"],"uri":["http://zotero.org/users/3734960/items/26Q8CTH3"],"itemData":{"id":4001,"type":"article-journal","abstract":"BACKGROUND: Ulcerative colitis is largely a disease of non-smokers. Previous controlled trials have shown benefit with transdermal nicotine when given with 5-aminosalicylic acid in active disease but not when given alone as maintenance therapy.\nOBJECTIVE: To examine nicotine alone compared with prednisolone in active disease.\nPATIENTS AND METHODS: Sixty-one patients with active ulcerative colitis were treated with either transdermal nicotine patches or 15 mg prednisolone for 6 weeks in a randomized, double-blind study. Incremental doses of nicotine were given for the first 9 days; patients tolerated between 15 and 25 mg daily. Most patients were taking mesalazine at entry which was discontinued at day 10; a few were taking topical steroids which were discontinued at the onset. Clinical, sigmoidoscopic and histological assessments were made at baseline and 6 weeks, or at premature withdrawal. Symptoms were recorded on a diary card, and the clinician made a global clinical assessment. Side effects and serum nicotine and cotinine concentrations were monitored throughout the study.\nRESULTS: Forty-three patients completed the 6-week trial; of these, 6 of 19 in the nicotine group achieved full sigmoidoscopic remission compared with 14 of 24 with prednisolone (P = 0.08). In those who completed the 6-week study, there was significant improvement within both the nicotine and prednisolone group for the St Mark's score (P &lt; 0.05 and P &lt; 0.01, respectively), Global Clinical Grade (P &lt; 0.01 for both), blood in the stool (P &lt; 0.05 and P &lt; 0.01), abdominal pain (P &lt; 0.05 and P &lt; 0.01) and sigmoidoscopic score (P &lt; 0.01 and P &lt; 0.001); differences between groups tend to favour prednisolone, but none reach statistical significance. However, on intention-to-treat analyses there is little clear evidence of improvement in either group apart from sigmoidoscopic score in which prednisolone was associated with a significantly greater improvement than nicotine (P &lt; or = 0.05). The nicotine group had more withdrawals than the prednisolone group, 11 versus 7, respectively (P = 0.23), both for deterioration (6 vs. 5) and side effects (5 vs. 2, P = 0.15). Side effects were more frequently reported in the nicotine group (average 1.47 episodes per person) than the prednisolone group (average 0.61; P = 0.03), the most common of which were nausea, light-headedness and tremor.\nCONCLUSION: In those who managed to complete the 6-week study, nicotine alone appeared to be of only very modest benefit in acute colitis and was not as effective as 15 mg of prednisolone daily.","container-title":"European Journal of Gastroenterology &amp; Hepatology","ISSN":"0954-691X","issue":"8","journalAbbreviation":"Eur J Gastroenterol Hepatol","language":"eng","note":"PMID: 8864674","page":"769-776","source":"PubMed","title":"Transdermal nicotine compared with oral prednisolone therapy for active ulcerative colitis","volume":"8","author":[{"family":"Thomas","given":"G. A."},{"family":"Rhodes","given":"J."},{"family":"Ragunath","given":"K."},{"family":"Mani","given":"V."},{"family":"Williams","given":"G. T."},{"family":"Newcombe","given":"R. G."},{"family":"Russell","given":"M. A."},{"family":"Feyerabend","given":"C."}],"issued":{"date-parts":[["1996",8]]}}},{"id":3998,"uris":["http://zotero.org/users/3734960/items/LIP37XZ4"],"uri":["http://zotero.org/users/3734960/items/LIP37XZ4"],"itemData":{"id":3998,"type":"article-journal","abstract":"BACKGROUND: Ulcerative colitis is predominantly a disease of non-smokers, and transdermal nicotine is therapeutic but often results in side-effects. Administration of nicotine as a liquid rectal enema results in less systemic nicotine absorption.\nAIM: To determine the safety and clinical response of nicotine tartrate liquid enemas for active left-side ulcerative colitis in a pilot study.\nMETHODS: Ten non-smoking patients with mildly to moderately active left-sided ulcerative colitis unresponsive to first-line therapy were treated in an open protocol with nightly nicotine tartrate liquid enemas at a dose of 3 mg nicotine base for 1 week then 6 mg for 3 weeks. Clinical assessments were determined at baseline and 4 weeks by endoscopy, physician assessment and a patient diary of daily symptoms. Peak and trough serum nicotine and trough plasma cotinine were determined by gas chromatography/mass spectrometry and high performance liquid chromatography, respectively.\nRESULTS: After 4 weeks of treatment, 5/7 patients (71%) showed clinical and sigmoidoscopic improvement (per protocol analysis). The other three patients discontinued therapy within 7 days because of inability to retain the liquid enemas. No patients showed histologic improvement. Six of the patients who completed the 4-week study had peak and trough serum nicotine concentration determined, only 1 of 6 patients had a detectable peak nicotine concentration (value 2.3 ng/mL), and all six patients had undetectable trough nicotine concentrations. The mean trough plasma cotinine concentration was 13 +/- 10 ng/mL. Transient and mild adverse events occurred in 4/10 patients (nausea, lightheadedness, tremor, sleep disturbance). Given the low or undetectable serum nicotine concentrations, these adverse events are not likely to be related to the nicotine enemas.\nCONCLUSIONS: Nicotine tartrate liquid enemas administrated at a dose of 3 mg nicotine base/day for 1 week and then 6 mg/day for 3 weeks are safe and appear to result in clinical improvement in some patients with mildly to moderately active, left-sided ulcerative colitis unresponsive to first-line therapy. Placebo-controlled trials are warranted to confirm these preliminary findings.","container-title":"Alimentary Pharmacology &amp; Therapeutics","DOI":"10.1046/j.1365-2036.1997.00208.x","ISSN":"0269-2813","issue":"4","journalAbbreviation":"Aliment. Pharmacol. Ther.","language":"eng","note":"PMID: 9305473","page":"663-671","source":"PubMed","title":"Nicotine tartrate liquid enemas for mildly to moderately active left-sided ulcerative colitis unresponsive to first-line therapy: a pilot study","title-short":"Nicotine tartrate liquid enemas for mildly to moderately active left-sided ulcerative colitis unresponsive to first-line therapy","volume":"11","author":[{"family":"Sandborn","given":"W. J."},{"family":"Tremaine","given":"W. J."},{"family":"Leighton","given":"J. A."},{"family":"Lawson","given":"G. M."},{"family":"Zins","given":"B. J."},{"family":"Compton","given":"R. F."},{"family":"Mays","given":"D. C."},{"family":"Lipsky","given":"J. J."},{"family":"Batts","given":"K. P."},{"family":"Offord","given":"K. P."},{"family":"Hurt","given":"R. D."},{"family":"Green","given":"J."}],"issued":{"date-parts":[["1997",8]]}}},{"id":4003,"uris":["http://zotero.org/users/3734960/items/9ZCJ5U6E"],"uri":["http://zotero.org/users/3734960/items/9ZCJ5U6E"],"itemData":{"id":4003,"type":"article-journal","abstract":"BACKGROUND: Distal ulcerative colitis usually responds to treatment with rectal mesalamine, but the management of refractory cases is poorly defined.\nAIM: To evaluate the possible therapeutic benefit of transdermal nicotine versus oral mesalamine.\nPATIENTS AND METHODS: Thirty patients with left-sided ulcerative colitis unresponsive to treatment with a mesalamine 4 g enema at bedtime were randomly allocated to additional therapy with either transdermal nicotine 15 mg daily or oral mesalamine 800 mg tid for four weeks. Clinical remission was evaluated by Rachmilewitz's activity index and confirmed by sigmoidoscopy.\nRESULTS: Remission was observed in 12 of 15 patients receiving additional treatment with nicotine and in five of 15 patients receiving additional treatment with oral mesalamine (P=0.027).\nCONCLUSIONS: The addition of transdermal nicotine to treatment with mesalamine enemas is significantly superior to combined therapy with oral and rectal mesalamine in patients with distal ulcerative colitis refractory to rectal mesalamine alone.","container-title":"Canadian Journal of Gastroenterology = Journal Canadien De Gastroenterologie","DOI":"10.1155/2002/307218","ISSN":"0835-7900","issue":"5","journalAbbreviation":"Can. J. Gastroenterol.","language":"eng","note":"PMID: 12045777","page":"293-296","source":"PubMed","title":"Distal ulcerative colitis refractory to rectal mesalamine: role of transdermal nicotine versus oral mesalamine","title-short":"Distal ulcerative colitis refractory to rectal mesalamine","volume":"16","author":[{"family":"Guslandi","given":"Mario"},{"family":"Frego","given":"Roberto"},{"family":"Viale","given":"Edi"},{"family":"Testoni","given":"Pier Alberto"}],"issued":{"date-parts":[["2002",5]]}}},{"id":3989,"uris":["http://zotero.org/users/3734960/items/XJ4A8T5A"],"uri":["http://zotero.org/users/3734960/items/XJ4A8T5A"],"itemData":{"id":3989,"type":"article-journal","abstract":"BACKGROUND &amp; AIMS: Ulcerative colitis (UC) is largely a disease of nonsmokers in which transdermal nicotine improves the symptoms but often causes adverse events (AEs). Nicotine enemas cause fewer AEs and were used as supplemental treatment for active UC.\nMETHODS: We treated 104 patients with active UC with either 6-mg nicotine enemas or placebo enemas for 6 weeks in a randomized double-blind study. Patients continued their oral therapy, if any, for UC: 68 patients were taking mesalamine, 15 patients were taking prednisolone, and 12 patients were taking thiopurines during the study. Clinical, sigmoidoscopic, and histologic assessments were made at baseline and at the end of the study and symptoms were recorded daily on a diary card. The primary end point was induction of clinical remission and clinical improvement also was measured by the UC disease activity index. After the study, patients then used nicotine enemas daily for 4 weeks and sigmoidoscopy with a biopsy examination was repeated. AEs and salivary cotinine levels were monitored throughout the study.\nRESULTS: Clinical remission was achieved in 14 of 52 (27%) patients on active treatment and 14 of 43 (33%) patients on placebo (P = .55). The UC disease activity index improved by 1.45 points in the active group and by 1.65 points for those on placebo (P = .88). Only 1 patient discontinued treatment because of an AE (abdominal pain). In the 47 patients taking mesalamine only, active treatment conferred benefit that was not statistically significant; disease remission occurred in 9 of 25 patients on active therapy and 4 of 21 patients on placebo (P = .20).\nCONCLUSIONS: Six-milligram nicotine enemas were well tolerated but were not found to be efficacious for active UC.","container-title":"Clinical Gastroenterology and Hepatology: The Official Clinical Practice Journal of the American Gastroenterological Association","DOI":"10.1016/s1542-3565(05)00849-9","ISSN":"1542-3565","issue":"11","journalAbbreviation":"Clin. Gastroenterol. Hepatol.","language":"eng","note":"PMID: 16271342","page":"1107-1114","source":"PubMed","title":"A randomized trial of nicotine enemas for active ulcerative colitis","volume":"3","author":[{"family":"Ingram","given":"John R."},{"family":"Thomas","given":"Gareth A. O."},{"family":"Rhodes","given":"John"},{"family":"Green","given":"John T."},{"family":"Hawkes","given":"Neil D."},{"family":"Swift","given":"Jill L."},{"family":"Srivastava","given":"Emmanuel D."},{"family":"Evans","given":"Brian K."},{"family":"Williams","given":"Geraint T."},{"family":"Newcombe","given":"Robert G."},{"family":"Courtney","given":"Edward"},{"family":"Pillai","given":"Suresh"}],"issued":{"date-parts":[["2005",11]]}}}],"schema":"https://github.com/citation-style-language/schema/raw/master/csl-citation.json"} </w:instrText>
      </w:r>
      <w:r w:rsidR="00F02F5B" w:rsidRPr="005B2AA7">
        <w:rPr>
          <w:rFonts w:ascii="Book Antiqua" w:hAnsi="Book Antiqua" w:cs="Times New Roman"/>
          <w:lang w:val="en-US"/>
        </w:rPr>
        <w:fldChar w:fldCharType="separate"/>
      </w:r>
      <w:r w:rsidR="00FA32EC" w:rsidRPr="005B2AA7">
        <w:rPr>
          <w:rFonts w:ascii="Book Antiqua" w:hAnsi="Book Antiqua" w:cs="Times New Roman"/>
          <w:vertAlign w:val="superscript"/>
          <w:lang w:val="en-US"/>
        </w:rPr>
        <w:t>[12–17]</w:t>
      </w:r>
      <w:r w:rsidR="00F02F5B" w:rsidRPr="005B2AA7">
        <w:rPr>
          <w:rFonts w:ascii="Book Antiqua" w:hAnsi="Book Antiqua" w:cs="Times New Roman"/>
          <w:lang w:val="en-US"/>
        </w:rPr>
        <w:fldChar w:fldCharType="end"/>
      </w:r>
      <w:r w:rsidR="002411ED" w:rsidRPr="005B2AA7">
        <w:rPr>
          <w:rFonts w:ascii="Book Antiqua" w:hAnsi="Book Antiqua" w:cs="Times New Roman"/>
          <w:lang w:val="en-US"/>
        </w:rPr>
        <w:t>, with</w:t>
      </w:r>
      <w:r w:rsidR="000737B4" w:rsidRPr="005B2AA7">
        <w:rPr>
          <w:rFonts w:ascii="Book Antiqua" w:hAnsi="Book Antiqua" w:cs="Times New Roman"/>
          <w:lang w:val="en-US"/>
        </w:rPr>
        <w:t xml:space="preserve"> </w:t>
      </w:r>
      <w:r w:rsidR="003F7E76" w:rsidRPr="005B2AA7">
        <w:rPr>
          <w:rFonts w:ascii="Book Antiqua" w:hAnsi="Book Antiqua" w:cs="Times New Roman"/>
          <w:lang w:val="en-US"/>
        </w:rPr>
        <w:t xml:space="preserve">conflicting results and </w:t>
      </w:r>
      <w:r w:rsidR="002411ED" w:rsidRPr="005B2AA7">
        <w:rPr>
          <w:rFonts w:ascii="Book Antiqua" w:hAnsi="Book Antiqua" w:cs="Times New Roman"/>
          <w:lang w:val="en-US"/>
        </w:rPr>
        <w:t xml:space="preserve">variable efficacy in the induction of remission when compared to placebo and conventional </w:t>
      </w:r>
      <w:r w:rsidR="001C4A11" w:rsidRPr="005B2AA7">
        <w:rPr>
          <w:rFonts w:ascii="Book Antiqua" w:hAnsi="Book Antiqua" w:cs="Times New Roman"/>
          <w:lang w:val="en-US"/>
        </w:rPr>
        <w:t>treatments</w:t>
      </w:r>
      <w:r w:rsidR="00F02F5B" w:rsidRPr="005B2AA7">
        <w:rPr>
          <w:rFonts w:ascii="Book Antiqua" w:hAnsi="Book Antiqua" w:cs="Times New Roman"/>
          <w:lang w:val="en-US"/>
        </w:rPr>
        <w:fldChar w:fldCharType="begin"/>
      </w:r>
      <w:r w:rsidR="00FA32EC" w:rsidRPr="005B2AA7">
        <w:rPr>
          <w:rFonts w:ascii="Book Antiqua" w:hAnsi="Book Antiqua" w:cs="Times New Roman"/>
          <w:lang w:val="en-US"/>
        </w:rPr>
        <w:instrText xml:space="preserve"> ADDIN ZOTERO_ITEM CSL_CITATION {"citationID":"Cd5ik816","properties":{"formattedCitation":"\\super [18\\uc0\\u8211{}20]\\nosupersub{}","plainCitation":"[18–20]","noteIndex":0},"citationItems":[{"id":4008,"uris":["http://zotero.org/users/3734960/items/QZTCZYVK"],"uri":["http://zotero.org/users/3734960/items/QZTCZYVK"],"itemData":{"id":4008,"type":"article-journal","abstract":"BACKGROUND: Ulcerative colitis is largely a disease of nonsmokers. Intermittent smokers often experience improvement in their symptoms while smoking. Nonsmokers with ulcerative colitis who begin smoking may go into remission. Randomized controlled trials were developed to test the efficacy of transdermal nicotine for the induction of remission in ulcerative colitis.\nOBJECTIVES: (1) To determine the efficacy of transdermal nicotine for induction of remission in ulcerative colitis. (2) To assess adverse events associated with transdermal nicotine therapy for ulcerative colitis\nSEARCH STRATEGY: The MEDLINE (via PubMed) and EMBASE databases were searched using the search criteria \"ulcerative colitis\" and \"transdermal nicotine\" or \"nicotine\" to identify relevant papers published between 1970 and December 2003. Manual searches of reference lists from potentially relevant papers were performed to identify additional studies. Abstracts from major gastroenterological meetings were searched to identify research submitted in abstract form only. The Cochrane Central Register of Controlled Trials and the Cochrane Inflammatory Bowel Disease Group Specialized Trials Register were also searched.\nSELECTION CRITERIA: We included only randomized controlled trials in which patients with active mild to moderate ulcerative colitis were randomly allocated to receive transdermal nicotine (15 to 25 mg/day) or a placebo or another treatment (corticosteroids or mesalamine).\nDATA COLLECTION AND ANALYSIS: Data extraction and assessment of the methodological quality of each trial were independently performed by each author. Any disagreement among reviewers was resolved by consensus. The primary outcome measure was the number of patients achieving clinical or sigmoidoscopic remission as defined by the primary studies (e.g. no symptoms of ulcerative colitis), and expressed as a percentage of the patients randomized (intention to treat analysis). Secondary outcomes included clinical response, adverse events and withdrawal because of adverse events.\nMAIN RESULTS: Seven studies were identified, five of which met the inclusion criteria. A meta-analysis of two trials in which 71 patients were randomized to nicotine and 70 to placebo showed a statistically significant benefit for nicotine treatment. After four to six weeks of treatment 19 of 71 patients treated with transdermal nicotine were in clinical remission compared to 9 of 70 treated with placebo (OR=2.56, 95% CI 1.02-6.45). In the same group of patients improvement or remission was noted in 29 of the 71 patients assigned to nicotine compared to 14 of 70 patients assigned to placebo (OR=2.72, 95% CI 1.28 - 5.81). For patients with left sided colitis the odds ratio was 2.31 (95% CI 1.05-5.10). When transdermal nicotine was compared to standard medical therapy no significant benefit for nicotine was observed. After four to six weeks of standard therapy (oral prednisone or mesalamine), 34 of 63 patients were in clinical or sigmoidoscopic remission compared to 33 of 66 patients treated with transdermal nicotine (OR=0.77, 95% CI 0.37-1.60). A meta-analysis of all five studies which included 137 patients treated with transdermal nicotine and 133 patients treated with a placebo or standard therapy demonstrated no statistically significant benefit of nicotine therapy (OR=1.23; 95% CI 0.71-2.14). Patients treated with transdermal nicotine were significantly more likely to withdrawal due to adverse events than patients treated with placebo or standard medical therapy (OR=5.82, 95% CI, 1.66 - 20.47) and were significantly more likely to suffer from an adverse event than patients treated with placebo or standard medical therapy (OR=3.54, 95% CI, 2.07 - 6.08).\nREVIEWERS' CONCLUSIONS: The results of this review provide evidence that transdermal nicotine is superior to placebo for the induction of remission in patient's with ulcerative colitis. The review did not identify any significant advantage for transdermal nicotine therapy compared to standard medical therapy. Adverse events associated with transdermal nicotine are significant and limit its use in some patients.","container-title":"The Cochrane Database of Systematic Reviews","DOI":"10.1002/14651858.CD004722.pub2","ISSN":"1469-493X","issue":"4","journalAbbreviation":"Cochrane Database Syst Rev","language":"eng","note":"PMID: 15495126","page":"CD004722","source":"PubMed","title":"Transdermal nicotine for induction of remission in ulcerative colitis","author":[{"family":"McGrath","given":"J."},{"family":"McDonald","given":"J. W. D."},{"family":"Macdonald","given":"J. K."}],"issued":{"date-parts":[["2004",10,18]]}}},{"id":4006,"uris":["http://zotero.org/users/3734960/items/YLCASZCD"],"uri":["http://zotero.org/users/3734960/items/YLCASZCD"],"itemData":{"id":4006,"type":"article-journal","abstract":"BACKGROUND: Findings from clinical studies of the efficacy and tolerability of nicotine preparations in maintaining remission of ulcerative colitis (UC) have been inconsistent.\nOBJECTIVES: This systematic review and meta-analysis aimed to assess the efficacy and tolerability of nicotine preparations in inducing remission in UC.\nMETHODS: A literature search (1966 August 2010) of Scopus (EMBASE), PubMed, Web of Science, and the Cochrane Central Register of Controlled Trials was conducted for clinical trials that investigated the efficacy and/or tolerability (any adverse events [AEs] and withdrawals due to AEs) of any nicotine preparation for the induction of remission in UC.\nRESULTS: The electronic searches yielded 788 items. Of these, 3 placebo-controlled trials representing 233 patients with UC and 2 randomized controlled trials that compared nicotine to corticosteroids in 81 patients with UC were included in meta-analysis. The summary relative risks (RRs) (95% CI) in comparing nicotine to placebo were 1.40 (0.63-3.12) (P = NS) for clinical remission, 1.95 (1.38-2.78) (P &lt; 0.001) for AEs, and 3.44 (0.71-16.71) (P = NS) for withdrawal due to AEs. The summary RRs in comparing nicotine to corticosteroids (prednisolone/prednisone) were 0.74 (0.5-1.09) (P = NS) for clinical remission in 2 trials and 2.28 (0.76-6.83) (P = NS) for withdrawal due to AEs.\nCONCLUSION: The findings from this meta-analysis do not support the efficacy or tolerability of nicotine preparations in inducing remission in UC.","container-title":"Clinical Therapeutics","DOI":"10.1016/j.clinthera.2011.01.004","ISSN":"1879-114X","issue":"14","journalAbbreviation":"Clin Ther","language":"eng","note":"PMID: 21353102","page":"2304-2315","source":"PubMed","title":"Systematic review and meta-analysis of the efficacy and tolerability of nicotine preparations in active ulcerative colitis","volume":"32","author":[{"family":"Nikfar","given":"Shekoufeh"},{"family":"Ehteshami-Ashar","given":"Solmaz"},{"family":"Rahimi","given":"Roja"},{"family":"Abdollahi","given":"Mohammad"}],"issued":{"date-parts":[["2010",12]]}}},{"id":3996,"uris":["http://zotero.org/users/3734960/items/SPR745UF"],"uri":["http://zotero.org/users/3734960/items/SPR745UF"],"itemData":{"id":3996,"type":"article-journal","abstract":"BACKGROUND: Smoking is the best-characterised environmental association of ulcerative colitis (UC). Smoking has been observed to exert protective effects on both the development and progression of UC.\nAIMS: To examine the association between UC and smoking, possible pathogenic mechanisms and the potential of nicotine as a therapeutic agent in the treatment of UC.\nMETHODS: A literature search was conducted through MEDLINE, using the MeSH search terms 'ulcerative colitis' and 'smoking' or 'nicotine'. Relevant articles were identified through manual review. The reference lists of these articles were reviewed to include further appropriate articles.\nRESULTS: Ulcerative colitis is less prevalent in smokers. Current smokers with a prior diagnosis of UC are more likely to exhibit milder disease than ex-smokers and nonsmokers. There is conflicting evidence for smokers having reduced rates of hospitalisation, colectomy and need for oral corticosteroids and immunosuppressants to manage their disease. Multiple potential active mediators in smoke may be responsible for these clinical effects, including nicotine and carbon monoxide, but the precise mechanism remains unknown. Nicotine has demonstrated variable efficacy in the induction of remission in UC when compared to placebo and conventional medicines. Despite this, the high frequency of adverse events limits its clinical significance.\nCONCLUSIONS: Nicotine's application as a therapeutic treatment in ulcerative colitis is limited. Presently, it may be an option considered only in selected cases of acute ulcerative colitis refractory to conventional treatment options. This review also questions whether nicotine is the active component of smoking that modifies risk and inflammation in ulcerative colitis.","container-title":"Alimentary Pharmacology &amp; Therapeutics","DOI":"10.1111/apt.12086","ISSN":"1365-2036","issue":"11-12","journalAbbreviation":"Aliment. Pharmacol. Ther.","language":"eng","note":"PMID: 23072629","page":"997-1008","source":"PubMed","title":"Review article: Ulcerative colitis, smoking and nicotine therapy","title-short":"Review article","volume":"36","author":[{"family":"Lunney","given":"P. C."},{"family":"Leong","given":"R. W. L."}],"issued":{"date-parts":[["2012",12]]}}}],"schema":"https://github.com/citation-style-language/schema/raw/master/csl-citation.json"} </w:instrText>
      </w:r>
      <w:r w:rsidR="00F02F5B" w:rsidRPr="005B2AA7">
        <w:rPr>
          <w:rFonts w:ascii="Book Antiqua" w:hAnsi="Book Antiqua" w:cs="Times New Roman"/>
          <w:lang w:val="en-US"/>
        </w:rPr>
        <w:fldChar w:fldCharType="separate"/>
      </w:r>
      <w:r w:rsidR="00FA32EC" w:rsidRPr="005B2AA7">
        <w:rPr>
          <w:rFonts w:ascii="Book Antiqua" w:hAnsi="Book Antiqua" w:cs="Times New Roman"/>
          <w:vertAlign w:val="superscript"/>
          <w:lang w:val="en-US"/>
        </w:rPr>
        <w:t>[18–20]</w:t>
      </w:r>
      <w:r w:rsidR="00F02F5B" w:rsidRPr="005B2AA7">
        <w:rPr>
          <w:rFonts w:ascii="Book Antiqua" w:hAnsi="Book Antiqua" w:cs="Times New Roman"/>
          <w:lang w:val="en-US"/>
        </w:rPr>
        <w:fldChar w:fldCharType="end"/>
      </w:r>
      <w:r w:rsidR="00422B6F" w:rsidRPr="005B2AA7">
        <w:rPr>
          <w:rFonts w:ascii="Book Antiqua" w:hAnsi="Book Antiqua" w:cs="Times New Roman"/>
          <w:lang w:val="en-US"/>
        </w:rPr>
        <w:t>.</w:t>
      </w:r>
      <w:r w:rsidR="0094669C" w:rsidRPr="005B2AA7">
        <w:rPr>
          <w:rFonts w:ascii="Book Antiqua" w:hAnsi="Book Antiqua" w:cs="Times New Roman"/>
          <w:lang w:val="en-US"/>
        </w:rPr>
        <w:t xml:space="preserve"> However, </w:t>
      </w:r>
      <w:r w:rsidR="007A4543" w:rsidRPr="005B2AA7">
        <w:rPr>
          <w:rFonts w:ascii="Book Antiqua" w:hAnsi="Book Antiqua" w:cs="Times New Roman"/>
          <w:lang w:val="en-US"/>
        </w:rPr>
        <w:t xml:space="preserve">it is clear that </w:t>
      </w:r>
      <w:r w:rsidR="00422B6F" w:rsidRPr="005B2AA7">
        <w:rPr>
          <w:rFonts w:ascii="Book Antiqua" w:hAnsi="Book Antiqua" w:cs="Times New Roman"/>
          <w:lang w:val="en-US"/>
        </w:rPr>
        <w:t>the protective effect of cigarette smoking in UC is temporary, since the relative risk of developing the disease increases after smoking cessation compared with patients who have never smoked</w:t>
      </w:r>
      <w:r w:rsidR="00F02F5B" w:rsidRPr="005B2AA7">
        <w:rPr>
          <w:rFonts w:ascii="Book Antiqua" w:hAnsi="Book Antiqua" w:cs="Times New Roman"/>
          <w:lang w:val="en-US"/>
        </w:rPr>
        <w:fldChar w:fldCharType="begin"/>
      </w:r>
      <w:r w:rsidR="00FA32EC" w:rsidRPr="005B2AA7">
        <w:rPr>
          <w:rFonts w:ascii="Book Antiqua" w:hAnsi="Book Antiqua" w:cs="Times New Roman"/>
          <w:lang w:val="en-US"/>
        </w:rPr>
        <w:instrText xml:space="preserve"> ADDIN ZOTERO_ITEM CSL_CITATION {"citationID":"RlgBSRAN","properties":{"formattedCitation":"\\super [21]\\nosupersub{}","plainCitation":"[21]","noteIndex":0},"citationItems":[{"id":824,"uris":["http://zotero.org/users/3734960/items/TCAUWZ4G"],"uri":["http://zotero.org/users/3734960/items/TCAUWZ4G"],"itemData":{"id":824,"type":"article-journal","abstract":"A relationship between not smoking and ulcerative colitis has been examined in all English reports. This paper evaluates the ulcerative colitis/nonsmoking and the Crohn's disease/smoking association by meta-analysis and against causality criterion for chronic diseases. A review of the literature, meta-analysis of selected studies, and assessment of causality criterion all suggest that not smoking and ulcerative colitis and smoking and Crohn's disease are consistent with a causal relationship. It is not inconceivable that tobacco may contain some substance beneficial to ulcerative colitis patients. Identification of the specific product in tobacco producing a beneficial effect would be a prudent next step in the study of this association. In spite of the findings of this review and analysis, the author finds no justification for health care providers to change the Surgeon General's recommendations on smoking or tobacco use for ulcerative colitis patients specifically.","container-title":"Digestive Diseases and Sciences","ISSN":"0163-2116","issue":"12","journalAbbreviation":"Dig. Dis. Sci.","language":"eng","note":"PMID: 2598752","page":"1841-1854","source":"PubMed","title":"A meta-analysis of the role of smoking in inflammatory bowel disease","volume":"34","author":[{"family":"Calkins","given":"B. M."}],"issued":{"date-parts":[["1989",12]]}}}],"schema":"https://github.com/citation-style-language/schema/raw/master/csl-citation.json"} </w:instrText>
      </w:r>
      <w:r w:rsidR="00F02F5B" w:rsidRPr="005B2AA7">
        <w:rPr>
          <w:rFonts w:ascii="Book Antiqua" w:hAnsi="Book Antiqua" w:cs="Times New Roman"/>
          <w:lang w:val="en-US"/>
        </w:rPr>
        <w:fldChar w:fldCharType="separate"/>
      </w:r>
      <w:r w:rsidR="00FA32EC" w:rsidRPr="005B2AA7">
        <w:rPr>
          <w:rFonts w:ascii="Book Antiqua" w:hAnsi="Book Antiqua" w:cs="Times New Roman"/>
          <w:vertAlign w:val="superscript"/>
        </w:rPr>
        <w:t>[21]</w:t>
      </w:r>
      <w:r w:rsidR="00F02F5B" w:rsidRPr="005B2AA7">
        <w:rPr>
          <w:rFonts w:ascii="Book Antiqua" w:hAnsi="Book Antiqua" w:cs="Times New Roman"/>
          <w:lang w:val="en-US"/>
        </w:rPr>
        <w:fldChar w:fldCharType="end"/>
      </w:r>
      <w:r w:rsidR="00422B6F" w:rsidRPr="005B2AA7">
        <w:rPr>
          <w:rFonts w:ascii="Book Antiqua" w:hAnsi="Book Antiqua" w:cs="Times New Roman"/>
          <w:lang w:val="en-US"/>
        </w:rPr>
        <w:t>.</w:t>
      </w:r>
    </w:p>
    <w:p w14:paraId="11A110E7" w14:textId="4306F973" w:rsidR="00D267FF" w:rsidRPr="005B2AA7" w:rsidRDefault="00D267FF" w:rsidP="00253009">
      <w:pPr>
        <w:adjustRightInd w:val="0"/>
        <w:snapToGrid w:val="0"/>
        <w:spacing w:line="360" w:lineRule="auto"/>
        <w:ind w:firstLineChars="100" w:firstLine="240"/>
        <w:jc w:val="both"/>
        <w:rPr>
          <w:rFonts w:ascii="Book Antiqua" w:hAnsi="Book Antiqua" w:cs="Times New Roman"/>
          <w:lang w:val="en-US"/>
        </w:rPr>
      </w:pPr>
      <w:r w:rsidRPr="005B2AA7">
        <w:rPr>
          <w:rFonts w:ascii="Book Antiqua" w:hAnsi="Book Antiqua" w:cs="Times New Roman"/>
          <w:lang w:val="en-US"/>
        </w:rPr>
        <w:t xml:space="preserve">Until now, there has been little patient-centered research aiming at assessing the perceived impact of smoking or nicotine use on IBD symptoms by patients who are current adult smokers and/or nicotine-containing products users. Few studies </w:t>
      </w:r>
      <w:r w:rsidR="0017258C" w:rsidRPr="005B2AA7">
        <w:rPr>
          <w:rFonts w:ascii="Book Antiqua" w:hAnsi="Book Antiqua" w:cs="Times New Roman"/>
          <w:lang w:val="en-US"/>
        </w:rPr>
        <w:t xml:space="preserve">demonstrated that </w:t>
      </w:r>
      <w:r w:rsidRPr="005B2AA7">
        <w:rPr>
          <w:rFonts w:ascii="Book Antiqua" w:hAnsi="Book Antiqua" w:cs="Times New Roman"/>
          <w:lang w:val="en-US"/>
        </w:rPr>
        <w:t xml:space="preserve">a </w:t>
      </w:r>
      <w:r w:rsidR="0017258C" w:rsidRPr="005B2AA7">
        <w:rPr>
          <w:rFonts w:ascii="Book Antiqua" w:hAnsi="Book Antiqua" w:cs="Times New Roman"/>
          <w:lang w:val="en-US"/>
        </w:rPr>
        <w:t>high</w:t>
      </w:r>
      <w:r w:rsidRPr="005B2AA7">
        <w:rPr>
          <w:rFonts w:ascii="Book Antiqua" w:hAnsi="Book Antiqua" w:cs="Times New Roman"/>
          <w:lang w:val="en-US"/>
        </w:rPr>
        <w:t xml:space="preserve"> proportion of patients with</w:t>
      </w:r>
      <w:r w:rsidR="000737B4" w:rsidRPr="005B2AA7">
        <w:rPr>
          <w:rFonts w:ascii="Book Antiqua" w:hAnsi="Book Antiqua" w:cs="Times New Roman"/>
          <w:lang w:val="en-US"/>
        </w:rPr>
        <w:t xml:space="preserve"> </w:t>
      </w:r>
      <w:r w:rsidRPr="005B2AA7">
        <w:rPr>
          <w:rFonts w:ascii="Book Antiqua" w:hAnsi="Book Antiqua" w:cs="Times New Roman"/>
          <w:lang w:val="en-US"/>
        </w:rPr>
        <w:t>IBD are unaware of the effects of tobacco on their disease,</w:t>
      </w:r>
      <w:r w:rsidR="0017258C" w:rsidRPr="005B2AA7">
        <w:rPr>
          <w:rFonts w:ascii="Book Antiqua" w:hAnsi="Book Antiqua" w:cs="Times New Roman"/>
          <w:lang w:val="en-US"/>
        </w:rPr>
        <w:t xml:space="preserve"> but these limited available data are solely based on small-scale studies</w:t>
      </w:r>
      <w:r w:rsidR="00F02F5B" w:rsidRPr="005B2AA7">
        <w:rPr>
          <w:rFonts w:ascii="Book Antiqua" w:hAnsi="Book Antiqua" w:cs="Times New Roman"/>
          <w:lang w:val="en-US"/>
        </w:rPr>
        <w:fldChar w:fldCharType="begin"/>
      </w:r>
      <w:r w:rsidR="00FA32EC" w:rsidRPr="005B2AA7">
        <w:rPr>
          <w:rFonts w:ascii="Book Antiqua" w:hAnsi="Book Antiqua" w:cs="Times New Roman"/>
          <w:lang w:val="en-US"/>
        </w:rPr>
        <w:instrText xml:space="preserve"> ADDIN ZOTERO_ITEM CSL_CITATION {"citationID":"QzjEj6MJ","properties":{"formattedCitation":"\\super [22\\uc0\\u8211{}26]\\nosupersub{}","plainCitation":"[22–26]","noteIndex":0},"citationItems":[{"id":4016,"uris":["http://zotero.org/users/3734960/items/M7UBBNSZ"],"uri":["http://zotero.org/users/3734960/items/M7UBBNSZ"],"itemData":{"id":4016,"type":"article-journal","container-title":"BMJ : British Medical Journal","ISSN":"0959-8138","issue":"7052","journalAbbreviation":"BMJ","note":"PMID: 8704536\nPMCID: PMC2351654","page":"265-266","source":"PubMed Central","title":"Patients' awareness of adverse relation between Crohn's disease and their smoking: questionnaire survey.","title-short":"Patients' awareness of adverse relation between Crohn's disease and their smoking","volume":"313","author":[{"family":"Shields","given":"P. L."},{"family":"Low-Beer","given":"T. S."}],"issued":{"date-parts":[["1996",8,3]]}}},{"id":4012,"uris":["http://zotero.org/users/3734960/items/JJ3NMW3B"],"uri":["http://zotero.org/users/3734960/items/JJ3NMW3B"],"itemData":{"id":4012,"type":"article-journal","abstract":"Smoking, both in quantity and duration, increases the risk of recurrent Crohn's disease (CD) and the need for surgical treatment of CD. This study assessed awareness among patients with CD of the risks of smoking on their disease. We distributed self-administered questionnaires to 714 CD patients under follow-up at the University Hospital Birmingham, United Kingdom. We asked the patients eight multiple-choice (yes/uncertain/no) questions about the effects of smoking on health and on CD. We also determined relevant patient demographics, smoking history, and medical history. A total of 312 patients completed the questionnaire. Patients acknowledged the dangers of smoking on overall health (91.5%), lung cancer (89.6%), lung disease (90.8%), and cardiovascular disease (85.3%). Employed, educated, and homeowning patients demonstrated significantly more recognition of these smoking risks. Conversely, few patients recognized that smoking increases the risks of development of CD (9.5%) and of reoperation for CD (12.0%). Moreover, few patients recognized that both the quantity of cigarettes smoked (11.4%) and the duration of smoking (17.4%) increase the risk of reoperation. Patients with CD are unaware of the risks that smoking has on their disease, indicating a need for increased patient education with regard to the effects of smoking on CD.","container-title":"Journal of Gastrointestinal Surgery: Official Journal of the Society for Surgery of the Alimentary Tract","DOI":"10.1016/s1091-255x(03)00066-0","ISSN":"1091-255X","issue":"5","journalAbbreviation":"J. Gastrointest. Surg.","language":"eng","note":"PMID: 12850686","page":"706-711","source":"PubMed","title":"Patients with Crohn's disease are unaware of the risks that smoking has on their disease","volume":"7","author":[{"family":"Ryan","given":"William R."},{"family":"Ley","given":"Catherine"},{"family":"Allan","given":"Robert N."},{"family":"Keighley","given":"Michael R. B."}],"issued":{"date-parts":[["2003",8]]}}},{"id":4018,"uris":["http://zotero.org/users/3734960/items/SK3SGV5K"],"uri":["http://zotero.org/users/3734960/items/SK3SGV5K"],"itemData":{"id":4018,"type":"article-journal","abstract":"BACKGROUND: Smoking is a remarkable risk factor in inflammatory bowel disease (IBD), with negative effects on Crohn's disease (CD) and positive effects on ulcerative colitis (UC). This makes different changes in smoking behaviour after diagnosis between CD and UC likely. Changes in active smoking, cessation plans and passive smoking were studied in IBD patients.\nMETHODS: 820 IBD patients were sent a questionnaire on active and passive smoking, and cessation plans. A total of 675 (82%) patients (380 CD and 295 UC) responded.\nRESULTS: More ever smoking UC patients stopped smoking before diagnosis than CD patients (63% vs 22%; p&lt;0.001), resulting in 30% former smokers at diagnosis in UC and 13% in CD (p&lt;0.001). The smoking cessation rates at and after diagnosis are equal between CD and UC. Half of the CD patients stopped smoking after diagnosis leading to less present smokers in CD than in a control population (26% (95% confidence interval: 21.1%-29.9%) vs 33%). For both CD (22% vs 35%; p=0.044) and UC (24% vs 53%; p=0.024) continuing smokers after diagnosis were less often higher educated than quitters. Cessation plans (89%), passive smoking in childhood and present passive smoking were not different between CD and UC patients.\nCONCLUSION: There are no differences in changes in smoking behaviour at and after diagnosis between CD and UC patients, suggesting a lack of knowledge in these patients about the link between their disease and smoking behaviour. However, CD patients seem less refractory to smoking cessation than the general population. Therefore it is worthwhile putting energy in helping CD patients stop smoking.","container-title":"Journal of Crohn's &amp; Colitis","DOI":"10.1016/j.crohns.2009.09.005","ISSN":"1876-4479","issue":"2","journalAbbreviation":"J Crohns Colitis","language":"eng","note":"PMID: 21122495","page":"125-131","source":"PubMed","title":"Active and passive smoking behaviour and cessation plans of patients with Crohn's disease and ulcerative colitis","volume":"4","author":[{"family":"Heide","given":"Frans","non-dropping-particle":"van der"},{"family":"Dijkstra","given":"Arie"},{"family":"Albersnagel","given":"Frans A."},{"family":"Kleibeuker","given":"Jan H."},{"family":"Dijkstra","given":"Gerard"}],"issued":{"date-parts":[["2010",6]]}}},{"id":4014,"uris":["http://zotero.org/users/3734960/items/A3K26HLW"],"uri":["http://zotero.org/users/3734960/items/A3K26HLW"],"itemData":{"id":4014,"type":"article-journal","abstract":"BACKGROUND AND AIM: Smoking is a risk factor for developing Crohn's disease (CD) and worsens its outcome. Conversely, in ulcerative colitis (UC), the onset may be triggered by the smoking cessation and smoking may be beneficial. To help to ascertain whether patients with inflammatory bowel disease (IBD) would benefit from attending a smoking cessation clinic, we assessed: first, the prevalence of smoking; second, patients' awareness of the effects of smoking, and finally nicotine dependence in IBD patients compared with the healthy and disease-matched controls.\nMETHODS: A total of 246 consecutive IBD outpatients (173 patients with CD, 73 patients with UC) completed a questionnaire on smoking habits and its effect on IBD. Smokers were assessed for dependence using the Fagerstrom test for nicotine dependence (FTND) score and their results were compared with those of age, sex, and ethnicity-matched healthy (five controls for each IBD patient) and asthma controls (one control for each IBD patient) attending a smoking cessation clinic.\nRESULTS: Thirty five out of 173 patients (20%) with CD and nine out of 73 patients (12%) with UC were current smokers, with 52 out of 173 patients (30%) with CD and 28 out of 73 patients (38%) with UC being ex-smokers. Ninety out of 173 patients (52%) with CD knew that smoking worsens CD, whereas only 15 out of 73 patients (21%) with UC knew of the beneficial effects of smoking on their disease (P=0.032). Knowledge was unrelated to smoking status. In patients with CD, the median (range) FTND score was 3 (0-8) compared with 7 (2-10) in healthy (P&lt;0.001) and 6 (2-9) in asthma controls (P&lt;0.0001). Only seven of the 35 (20%) smoking patients with CD were highly dependent (FTND score ≥6). Similarly, in the patients with UC, the FTND score was 1 (0-4), lower than in healthy, [6 (2-10)], and asthma controls, [7 (4-10); (P&lt;0.004 for both groups)].\nCONCLUSION: Patients with CD were better informed about the effects of smoking on their own disease than the patients with UC. Nicotine dependence in IBD patients is lower than in smokers' clinic clients and comparable with that of the general population. Their low nicotine dependence suggests that most IBD patients could be weaned off the smoking habit successfully in the IBD clinic and referral to a smoking cessation clinic was offered to the highly dependent minority and others expressing interest in attending.","container-title":"European Journal of Gastroenterology &amp; Hepatology","DOI":"10.1097/MEG.0b013e32834108ce","ISSN":"1473-5687","issue":"1","journalAbbreviation":"Eur J Gastroenterol Hepatol","language":"eng","note":"PMID: 21030867","page":"90-94","source":"PubMed","title":"Tobacco dependence and awareness of health risks of smoking in patients with inflammatory bowel disease","volume":"23","author":[{"family":"Wahed","given":"Mahmood"},{"family":"Goodhand","given":"James R."},{"family":"West","given":"Oliver"},{"family":"McDermott","given":"Adam"},{"family":"Hajek","given":"Peter"},{"family":"Rampton","given":"David S."}],"issued":{"date-parts":[["2011",1]]}}},{"id":4010,"uris":["http://zotero.org/users/3734960/items/DY7FWPSY"],"uri":["http://zotero.org/users/3734960/items/DY7FWPSY"],"itemData":{"id":4010,"type":"article-journal","abstract":"BACKGOUND: Tobacco is one of the most significant risk factors for inflammatory bowel disease (IBD).\nGOALS: The main objective was to assess the knowledge of patients with IBD regarding the effects of tobacco on their disease. Secondary objectives were to determine the source of their knowledge, the influence of their knowledge on their intent to quit smoking, and the association between patients' characteristics and their knowledge.\nSTUDY: Patients with IBD completed a self-administered questionnaire on demographic data, severity of disease, and effects of tobacco on their disease.\nRESULTS: In total 259 patients [182 with Crohn's disease, 77 with ulcerative colitis (UC)] participated. The prevalence of current smokers, exsmokers, and nonsmokers was 19.6%, 40.2%, and 40.2%, respectively. Patients with Crohn's disease were more aware of the effects of tobacco on their disease compared with those with UC (57.7% vs. 13.0%, P&lt;0.0001). In informed patients, the main source of information was the gastroenterologist (56.9%). The intent to quit smoking was superior in informed patients compared with those uninformed (78.6% vs. 47.8%, P=0.046). Older patients (odds ratio=0.97, P=0.01) and patients with UC (odds ratio=0.11, P&lt;0.0001) were less likely to be informed.\nCONCLUSIONS: Only half of patients with IBD are aware of the risks of smoking associated with their disease, whereas their intent to quit smoking is directly related to their awareness. In the scope of IBD's treatment, management of smoking cessation should be undertaken in all smokers.","container-title":"Journal of Clinical Gastroenterology","DOI":"10.1097/MCG.0000000000000386","ISSN":"1539-2031","issue":"6","journalAbbreviation":"J. Clin. Gastroenterol.","language":"eng","note":"PMID: 26196475","page":"490-497","source":"PubMed","title":"Patients With Inflammatory Bowel Disease Are Unaware of the Impact of Smoking on Their Disease","volume":"50","author":[{"family":"Ducharme-Bénard","given":"Stéphanie"},{"family":"Côté-Daigneault","given":"Justin"},{"family":"Lemoyne","given":"Michel"},{"family":"Orlicka","given":"Katarzyna"},{"family":"Lahaie","given":"Raymond"},{"family":"Weber","given":"Audrey"},{"family":"Bouin","given":"Mickael"}],"issued":{"date-parts":[["2016"]]}}}],"schema":"https://github.com/citation-style-language/schema/raw/master/csl-citation.json"} </w:instrText>
      </w:r>
      <w:r w:rsidR="00F02F5B" w:rsidRPr="005B2AA7">
        <w:rPr>
          <w:rFonts w:ascii="Book Antiqua" w:hAnsi="Book Antiqua" w:cs="Times New Roman"/>
          <w:lang w:val="en-US"/>
        </w:rPr>
        <w:fldChar w:fldCharType="separate"/>
      </w:r>
      <w:r w:rsidR="00FA32EC" w:rsidRPr="005B2AA7">
        <w:rPr>
          <w:rFonts w:ascii="Book Antiqua" w:hAnsi="Book Antiqua" w:cs="Times New Roman"/>
          <w:vertAlign w:val="superscript"/>
          <w:lang w:val="en-US"/>
        </w:rPr>
        <w:t>[22–26]</w:t>
      </w:r>
      <w:r w:rsidR="00F02F5B" w:rsidRPr="005B2AA7">
        <w:rPr>
          <w:rFonts w:ascii="Book Antiqua" w:hAnsi="Book Antiqua" w:cs="Times New Roman"/>
          <w:lang w:val="en-US"/>
        </w:rPr>
        <w:fldChar w:fldCharType="end"/>
      </w:r>
      <w:r w:rsidR="0017258C" w:rsidRPr="005B2AA7">
        <w:rPr>
          <w:rFonts w:ascii="Book Antiqua" w:hAnsi="Book Antiqua" w:cs="Times New Roman"/>
          <w:lang w:val="en-US"/>
        </w:rPr>
        <w:t>.</w:t>
      </w:r>
      <w:r w:rsidR="00306F24" w:rsidRPr="005B2AA7">
        <w:rPr>
          <w:rFonts w:ascii="Book Antiqua" w:hAnsi="Book Antiqua" w:cs="Times New Roman"/>
          <w:lang w:val="en-US"/>
        </w:rPr>
        <w:t xml:space="preserve"> </w:t>
      </w:r>
      <w:r w:rsidR="0017258C" w:rsidRPr="005B2AA7">
        <w:rPr>
          <w:rFonts w:ascii="Book Antiqua" w:hAnsi="Book Antiqua" w:cs="Times New Roman"/>
          <w:lang w:val="en-US"/>
        </w:rPr>
        <w:t xml:space="preserve">Yet, making patients aware of the impact of nicotine use on the course of their IBD </w:t>
      </w:r>
      <w:r w:rsidRPr="005B2AA7">
        <w:rPr>
          <w:rFonts w:ascii="Book Antiqua" w:hAnsi="Book Antiqua" w:cs="Times New Roman"/>
          <w:lang w:val="en-US"/>
        </w:rPr>
        <w:lastRenderedPageBreak/>
        <w:t xml:space="preserve">is essential </w:t>
      </w:r>
      <w:r w:rsidR="00810434" w:rsidRPr="005B2AA7">
        <w:rPr>
          <w:rFonts w:ascii="Book Antiqua" w:hAnsi="Book Antiqua" w:cs="Times New Roman"/>
          <w:lang w:val="en-US"/>
        </w:rPr>
        <w:t>to expect</w:t>
      </w:r>
      <w:r w:rsidRPr="005B2AA7">
        <w:rPr>
          <w:rFonts w:ascii="Book Antiqua" w:hAnsi="Book Antiqua" w:cs="Times New Roman"/>
          <w:lang w:val="en-US"/>
        </w:rPr>
        <w:t xml:space="preserve"> smoking cessation and</w:t>
      </w:r>
      <w:r w:rsidR="001C4A11" w:rsidRPr="005B2AA7">
        <w:rPr>
          <w:rFonts w:ascii="Book Antiqua" w:hAnsi="Book Antiqua" w:cs="Times New Roman"/>
          <w:lang w:val="en-US"/>
        </w:rPr>
        <w:t xml:space="preserve"> </w:t>
      </w:r>
      <w:r w:rsidR="00810434" w:rsidRPr="005B2AA7">
        <w:rPr>
          <w:rFonts w:ascii="Book Antiqua" w:hAnsi="Book Antiqua" w:cs="Times New Roman"/>
          <w:lang w:val="en-US"/>
        </w:rPr>
        <w:t xml:space="preserve">improve </w:t>
      </w:r>
      <w:r w:rsidRPr="005B2AA7">
        <w:rPr>
          <w:rFonts w:ascii="Book Antiqua" w:hAnsi="Book Antiqua" w:cs="Times New Roman"/>
          <w:lang w:val="en-US"/>
        </w:rPr>
        <w:t>the management of their disease</w:t>
      </w:r>
      <w:r w:rsidR="0017258C" w:rsidRPr="005B2AA7">
        <w:rPr>
          <w:rFonts w:ascii="Book Antiqua" w:hAnsi="Book Antiqua" w:cs="Times New Roman"/>
          <w:lang w:val="en-US"/>
        </w:rPr>
        <w:t>.</w:t>
      </w:r>
    </w:p>
    <w:p w14:paraId="6B12201E" w14:textId="20950C1E" w:rsidR="00D93FA8" w:rsidRPr="005B2AA7" w:rsidRDefault="00F165FE"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lang w:val="en-US"/>
        </w:rPr>
        <w:t>Thus, t</w:t>
      </w:r>
      <w:r w:rsidR="00D93FA8" w:rsidRPr="005B2AA7">
        <w:rPr>
          <w:rFonts w:ascii="Book Antiqua" w:hAnsi="Book Antiqua" w:cs="Times New Roman"/>
          <w:lang w:val="en-US"/>
        </w:rPr>
        <w:t xml:space="preserve">he objectives of this </w:t>
      </w:r>
      <w:r w:rsidRPr="005B2AA7">
        <w:rPr>
          <w:rFonts w:ascii="Book Antiqua" w:hAnsi="Book Antiqua" w:cs="Times New Roman"/>
          <w:lang w:val="en-US"/>
        </w:rPr>
        <w:t xml:space="preserve">European-wide </w:t>
      </w:r>
      <w:r w:rsidR="00D93FA8" w:rsidRPr="005B2AA7">
        <w:rPr>
          <w:rFonts w:ascii="Book Antiqua" w:hAnsi="Book Antiqua" w:cs="Times New Roman"/>
          <w:lang w:val="en-US"/>
        </w:rPr>
        <w:t>online</w:t>
      </w:r>
      <w:r w:rsidR="00A2136A" w:rsidRPr="005B2AA7">
        <w:rPr>
          <w:rFonts w:ascii="Book Antiqua" w:hAnsi="Book Antiqua" w:cs="Times New Roman"/>
          <w:lang w:val="en-US"/>
        </w:rPr>
        <w:t xml:space="preserve"> survey developed</w:t>
      </w:r>
      <w:r w:rsidR="00267F35" w:rsidRPr="005B2AA7">
        <w:rPr>
          <w:rFonts w:ascii="Book Antiqua" w:hAnsi="Book Antiqua" w:cs="Times New Roman"/>
          <w:lang w:val="en-US"/>
        </w:rPr>
        <w:t xml:space="preserve"> </w:t>
      </w:r>
      <w:r w:rsidR="002D2B5C" w:rsidRPr="005B2AA7">
        <w:rPr>
          <w:rFonts w:ascii="Book Antiqua" w:hAnsi="Book Antiqua" w:cs="Times New Roman"/>
          <w:lang w:val="en-US"/>
        </w:rPr>
        <w:t>in collaboration with</w:t>
      </w:r>
      <w:r w:rsidR="001C4A11" w:rsidRPr="005B2AA7">
        <w:rPr>
          <w:rFonts w:ascii="Book Antiqua" w:hAnsi="Book Antiqua" w:cs="Times New Roman"/>
          <w:lang w:val="en-US"/>
        </w:rPr>
        <w:t xml:space="preserve"> </w:t>
      </w:r>
      <w:r w:rsidR="00A2136A" w:rsidRPr="005B2AA7">
        <w:rPr>
          <w:rFonts w:ascii="Book Antiqua" w:hAnsi="Book Antiqua" w:cs="Times New Roman"/>
          <w:lang w:val="en-US"/>
        </w:rPr>
        <w:t>European Federation of Crohn’s and Ulcerative Colitis</w:t>
      </w:r>
      <w:r w:rsidR="00D93FA8" w:rsidRPr="005B2AA7">
        <w:rPr>
          <w:rFonts w:ascii="Book Antiqua" w:hAnsi="Book Antiqua" w:cs="Times New Roman"/>
          <w:lang w:val="en-US"/>
        </w:rPr>
        <w:t xml:space="preserve"> Association (EFCCA) were to understand the patient</w:t>
      </w:r>
      <w:r w:rsidR="001C4A11" w:rsidRPr="005B2AA7">
        <w:rPr>
          <w:rFonts w:ascii="Book Antiqua" w:hAnsi="Book Antiqua" w:cs="Times New Roman"/>
          <w:lang w:val="en-US"/>
        </w:rPr>
        <w:t>s’</w:t>
      </w:r>
      <w:r w:rsidR="00D93FA8" w:rsidRPr="005B2AA7">
        <w:rPr>
          <w:rFonts w:ascii="Book Antiqua" w:hAnsi="Book Antiqua" w:cs="Times New Roman"/>
          <w:lang w:val="en-US"/>
        </w:rPr>
        <w:t xml:space="preserve"> perceptions on </w:t>
      </w:r>
      <w:r w:rsidR="001C4A11" w:rsidRPr="005B2AA7">
        <w:rPr>
          <w:rFonts w:ascii="Book Antiqua" w:hAnsi="Book Antiqua" w:cs="Times New Roman"/>
          <w:lang w:val="en-US"/>
        </w:rPr>
        <w:t xml:space="preserve">the impact of </w:t>
      </w:r>
      <w:r w:rsidR="00D93FA8" w:rsidRPr="005B2AA7">
        <w:rPr>
          <w:rFonts w:ascii="Book Antiqua" w:hAnsi="Book Antiqua" w:cs="Times New Roman"/>
          <w:lang w:val="en-US"/>
        </w:rPr>
        <w:t xml:space="preserve">smoking </w:t>
      </w:r>
      <w:r w:rsidR="001C4A11" w:rsidRPr="005B2AA7">
        <w:rPr>
          <w:rFonts w:ascii="Book Antiqua" w:hAnsi="Book Antiqua" w:cs="Times New Roman"/>
          <w:lang w:val="en-US"/>
        </w:rPr>
        <w:t>on</w:t>
      </w:r>
      <w:r w:rsidR="00D93FA8" w:rsidRPr="005B2AA7">
        <w:rPr>
          <w:rFonts w:ascii="Book Antiqua" w:hAnsi="Book Antiqua" w:cs="Times New Roman"/>
          <w:lang w:val="en-US"/>
        </w:rPr>
        <w:t xml:space="preserve"> their IBD</w:t>
      </w:r>
      <w:r w:rsidR="001C4A11" w:rsidRPr="005B2AA7">
        <w:rPr>
          <w:rFonts w:ascii="Book Antiqua" w:hAnsi="Book Antiqua" w:cs="Times New Roman"/>
          <w:lang w:val="en-US"/>
        </w:rPr>
        <w:t xml:space="preserve"> and</w:t>
      </w:r>
      <w:r w:rsidR="00D93FA8" w:rsidRPr="005B2AA7">
        <w:rPr>
          <w:rFonts w:ascii="Book Antiqua" w:hAnsi="Book Antiqua" w:cs="Times New Roman"/>
          <w:lang w:val="en-US"/>
        </w:rPr>
        <w:t xml:space="preserve"> to assess differences of </w:t>
      </w:r>
      <w:r w:rsidR="00887D49" w:rsidRPr="005B2AA7">
        <w:rPr>
          <w:rFonts w:ascii="Book Antiqua" w:hAnsi="Book Antiqua" w:cs="Times New Roman"/>
          <w:lang w:val="en-US"/>
        </w:rPr>
        <w:t>these</w:t>
      </w:r>
      <w:r w:rsidR="00D93FA8" w:rsidRPr="005B2AA7">
        <w:rPr>
          <w:rFonts w:ascii="Book Antiqua" w:hAnsi="Book Antiqua" w:cs="Times New Roman"/>
          <w:lang w:val="en-US"/>
        </w:rPr>
        <w:t xml:space="preserve"> perceptions between CD and UC patients.</w:t>
      </w:r>
      <w:r w:rsidR="00887D49" w:rsidRPr="005B2AA7">
        <w:rPr>
          <w:rFonts w:ascii="Book Antiqua" w:hAnsi="Book Antiqua" w:cs="Times New Roman"/>
          <w:lang w:val="en-US"/>
        </w:rPr>
        <w:t xml:space="preserve"> </w:t>
      </w:r>
      <w:r w:rsidR="001C4A11" w:rsidRPr="005B2AA7">
        <w:rPr>
          <w:rFonts w:ascii="Book Antiqua" w:hAnsi="Book Antiqua" w:cs="Times New Roman"/>
          <w:lang w:val="en-US"/>
        </w:rPr>
        <w:t>T</w:t>
      </w:r>
      <w:r w:rsidR="00887D49" w:rsidRPr="005B2AA7">
        <w:rPr>
          <w:rFonts w:ascii="Book Antiqua" w:hAnsi="Book Antiqua" w:cs="Times New Roman"/>
          <w:lang w:val="en-US"/>
        </w:rPr>
        <w:t>he results of this study will be shared with the IBD community through EFCCA in order to facilitate the management of smoking cessation</w:t>
      </w:r>
      <w:r w:rsidR="00560B5B" w:rsidRPr="005B2AA7">
        <w:rPr>
          <w:rFonts w:ascii="Book Antiqua" w:hAnsi="Book Antiqua" w:cs="Times New Roman"/>
          <w:lang w:val="en-US"/>
        </w:rPr>
        <w:t xml:space="preserve"> </w:t>
      </w:r>
      <w:r w:rsidR="001C4A11" w:rsidRPr="005B2AA7">
        <w:rPr>
          <w:rFonts w:ascii="Book Antiqua" w:hAnsi="Book Antiqua" w:cs="Times New Roman"/>
          <w:lang w:val="en-US"/>
        </w:rPr>
        <w:t>among</w:t>
      </w:r>
      <w:r w:rsidR="00560B5B" w:rsidRPr="005B2AA7">
        <w:rPr>
          <w:rFonts w:ascii="Book Antiqua" w:hAnsi="Book Antiqua" w:cs="Times New Roman"/>
          <w:lang w:val="en-US"/>
        </w:rPr>
        <w:t xml:space="preserve"> patients</w:t>
      </w:r>
      <w:r w:rsidR="00887D49" w:rsidRPr="005B2AA7">
        <w:rPr>
          <w:rFonts w:ascii="Book Antiqua" w:hAnsi="Book Antiqua" w:cs="Times New Roman"/>
          <w:lang w:val="en-US"/>
        </w:rPr>
        <w:t>.</w:t>
      </w:r>
    </w:p>
    <w:p w14:paraId="0CE120D4" w14:textId="77777777" w:rsidR="00E55C81" w:rsidRPr="005B2AA7" w:rsidRDefault="00E55C81" w:rsidP="00253009">
      <w:pPr>
        <w:adjustRightInd w:val="0"/>
        <w:snapToGrid w:val="0"/>
        <w:spacing w:line="360" w:lineRule="auto"/>
        <w:jc w:val="both"/>
        <w:rPr>
          <w:rFonts w:ascii="Book Antiqua" w:hAnsi="Book Antiqua" w:cs="Times New Roman"/>
          <w:lang w:val="en-US"/>
        </w:rPr>
      </w:pPr>
    </w:p>
    <w:p w14:paraId="4EEBB1B0" w14:textId="4400DC63" w:rsidR="00E55C81" w:rsidRPr="005B2AA7" w:rsidRDefault="00E55C81" w:rsidP="00253009">
      <w:pPr>
        <w:adjustRightInd w:val="0"/>
        <w:snapToGrid w:val="0"/>
        <w:spacing w:line="360" w:lineRule="auto"/>
        <w:jc w:val="both"/>
        <w:rPr>
          <w:rFonts w:ascii="Book Antiqua" w:hAnsi="Book Antiqua"/>
          <w:b/>
          <w:color w:val="000000"/>
          <w:u w:val="single"/>
        </w:rPr>
      </w:pPr>
      <w:r w:rsidRPr="005B2AA7">
        <w:rPr>
          <w:rFonts w:ascii="Book Antiqua" w:hAnsi="Book Antiqua"/>
          <w:b/>
          <w:color w:val="000000"/>
          <w:u w:val="single"/>
        </w:rPr>
        <w:t>MATERIALS AND METHODS</w:t>
      </w:r>
    </w:p>
    <w:p w14:paraId="2D431664" w14:textId="77777777" w:rsidR="004A21CD" w:rsidRPr="005B2AA7" w:rsidRDefault="00E55C81" w:rsidP="00253009">
      <w:pPr>
        <w:adjustRightInd w:val="0"/>
        <w:snapToGrid w:val="0"/>
        <w:spacing w:line="360" w:lineRule="auto"/>
        <w:jc w:val="both"/>
        <w:rPr>
          <w:rFonts w:ascii="Book Antiqua" w:hAnsi="Book Antiqua" w:cs="Times New Roman"/>
          <w:b/>
          <w:i/>
          <w:iCs/>
          <w:lang w:val="en-US"/>
        </w:rPr>
      </w:pPr>
      <w:r w:rsidRPr="005B2AA7">
        <w:rPr>
          <w:rFonts w:ascii="Book Antiqua" w:hAnsi="Book Antiqua" w:cs="Times New Roman"/>
          <w:b/>
          <w:i/>
          <w:iCs/>
          <w:lang w:val="en-US"/>
        </w:rPr>
        <w:t>Questionnaire development</w:t>
      </w:r>
    </w:p>
    <w:p w14:paraId="01BEC9AE" w14:textId="4A75F4AB" w:rsidR="00E55C81" w:rsidRPr="005B2AA7" w:rsidRDefault="00E55C81"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lang w:val="en-US"/>
        </w:rPr>
        <w:t xml:space="preserve">The questionnaire was developed by </w:t>
      </w:r>
      <w:r w:rsidRPr="005B2AA7">
        <w:rPr>
          <w:rFonts w:ascii="Book Antiqua" w:eastAsia="Times New Roman" w:hAnsi="Book Antiqua" w:cs="Times New Roman"/>
          <w:color w:val="000000" w:themeColor="text1"/>
          <w:shd w:val="clear" w:color="auto" w:fill="FFFFFF"/>
          <w:lang w:val="en-US" w:eastAsia="fr-FR"/>
        </w:rPr>
        <w:t>Philip Morris Products SA</w:t>
      </w:r>
      <w:r w:rsidRPr="005B2AA7">
        <w:rPr>
          <w:rFonts w:ascii="Book Antiqua" w:hAnsi="Book Antiqua" w:cs="Times New Roman"/>
          <w:lang w:val="en-US"/>
        </w:rPr>
        <w:t xml:space="preserve"> in cooperation with EFCCA and reviewed prior to use by health informaticians. </w:t>
      </w:r>
      <w:r w:rsidR="00A2169F" w:rsidRPr="005B2AA7">
        <w:rPr>
          <w:rFonts w:ascii="Book Antiqua" w:hAnsi="Book Antiqua" w:cs="Times New Roman"/>
          <w:bCs/>
        </w:rPr>
        <w:t>Le Berre C</w:t>
      </w:r>
      <w:r w:rsidR="00A2169F" w:rsidRPr="005B2AA7">
        <w:rPr>
          <w:rFonts w:ascii="Book Antiqua" w:hAnsi="Book Antiqua" w:cs="Times New Roman"/>
          <w:bCs/>
          <w:lang w:val="en-US"/>
        </w:rPr>
        <w:t xml:space="preserve"> </w:t>
      </w:r>
      <w:r w:rsidR="00A2169F" w:rsidRPr="005B2AA7">
        <w:rPr>
          <w:rFonts w:ascii="Book Antiqua" w:hAnsi="Book Antiqua" w:cs="Times New Roman"/>
          <w:lang w:val="en-US"/>
        </w:rPr>
        <w:t xml:space="preserve">and </w:t>
      </w:r>
      <w:r w:rsidR="00A2169F" w:rsidRPr="005B2AA7">
        <w:rPr>
          <w:rFonts w:ascii="Book Antiqua" w:hAnsi="Book Antiqua" w:cs="Times New Roman"/>
        </w:rPr>
        <w:t>Loy</w:t>
      </w:r>
      <w:r w:rsidR="00A2169F" w:rsidRPr="005B2AA7">
        <w:rPr>
          <w:rFonts w:ascii="Book Antiqua" w:hAnsi="Book Antiqua" w:cs="Times New Roman"/>
          <w:lang w:val="en-US"/>
        </w:rPr>
        <w:t xml:space="preserve"> L</w:t>
      </w:r>
      <w:r w:rsidRPr="005B2AA7">
        <w:rPr>
          <w:rFonts w:ascii="Book Antiqua" w:hAnsi="Book Antiqua" w:cs="Times New Roman"/>
          <w:lang w:val="en-US"/>
        </w:rPr>
        <w:t xml:space="preserve"> also participated in the design of the questionnaire.</w:t>
      </w:r>
      <w:r w:rsidR="00A2169F" w:rsidRPr="005B2AA7">
        <w:rPr>
          <w:rFonts w:ascii="Book Antiqua" w:hAnsi="Book Antiqua" w:cs="Times New Roman"/>
          <w:lang w:val="en-US"/>
        </w:rPr>
        <w:t xml:space="preserve"> </w:t>
      </w:r>
      <w:r w:rsidRPr="005B2AA7">
        <w:rPr>
          <w:rFonts w:ascii="Book Antiqua" w:hAnsi="Book Antiqua" w:cs="Times New Roman"/>
          <w:lang w:val="en-US"/>
        </w:rPr>
        <w:t>The final survey questionnaire consisted of 41 questions divided in 8 categories:</w:t>
      </w:r>
      <w:r w:rsidR="00B20227" w:rsidRPr="005B2AA7">
        <w:rPr>
          <w:rFonts w:ascii="Book Antiqua" w:hAnsi="Book Antiqua" w:cs="Times New Roman"/>
          <w:lang w:val="en-US"/>
        </w:rPr>
        <w:t xml:space="preserve"> </w:t>
      </w:r>
      <w:r w:rsidR="00B20227" w:rsidRPr="005B2AA7">
        <w:rPr>
          <w:rFonts w:ascii="Book Antiqua" w:hAnsi="Book Antiqua" w:cs="Times New Roman"/>
          <w:lang w:val="en-US" w:eastAsia="zh-CN"/>
        </w:rPr>
        <w:t>(</w:t>
      </w:r>
      <w:r w:rsidRPr="005B2AA7">
        <w:rPr>
          <w:rFonts w:ascii="Book Antiqua" w:hAnsi="Book Antiqua" w:cs="Times New Roman"/>
          <w:lang w:val="en-US"/>
        </w:rPr>
        <w:t>1) subject screener</w:t>
      </w:r>
      <w:r w:rsidR="00290C4F" w:rsidRPr="005B2AA7">
        <w:rPr>
          <w:rFonts w:ascii="Book Antiqua" w:hAnsi="Book Antiqua" w:cs="Times New Roman"/>
          <w:lang w:val="en-US"/>
        </w:rPr>
        <w:t>;</w:t>
      </w:r>
      <w:r w:rsidRPr="005B2AA7">
        <w:rPr>
          <w:rFonts w:ascii="Book Antiqua" w:hAnsi="Book Antiqua" w:cs="Times New Roman"/>
          <w:lang w:val="en-US"/>
        </w:rPr>
        <w:t xml:space="preserve"> </w:t>
      </w:r>
      <w:r w:rsidR="00B20227" w:rsidRPr="005B2AA7">
        <w:rPr>
          <w:rFonts w:ascii="Book Antiqua" w:hAnsi="Book Antiqua" w:cs="Times New Roman"/>
          <w:lang w:val="en-US"/>
        </w:rPr>
        <w:t>(</w:t>
      </w:r>
      <w:r w:rsidRPr="005B2AA7">
        <w:rPr>
          <w:rFonts w:ascii="Book Antiqua" w:hAnsi="Book Antiqua" w:cs="Times New Roman"/>
          <w:lang w:val="en-US"/>
        </w:rPr>
        <w:t>2) smoking history</w:t>
      </w:r>
      <w:r w:rsidR="00290C4F" w:rsidRPr="005B2AA7">
        <w:rPr>
          <w:rFonts w:ascii="Book Antiqua" w:hAnsi="Book Antiqua" w:cs="Times New Roman"/>
          <w:lang w:val="en-US"/>
        </w:rPr>
        <w:t>;</w:t>
      </w:r>
      <w:r w:rsidRPr="005B2AA7">
        <w:rPr>
          <w:rFonts w:ascii="Book Antiqua" w:hAnsi="Book Antiqua" w:cs="Times New Roman"/>
          <w:lang w:val="en-US"/>
        </w:rPr>
        <w:t xml:space="preserve"> </w:t>
      </w:r>
      <w:r w:rsidR="00B20227" w:rsidRPr="005B2AA7">
        <w:rPr>
          <w:rFonts w:ascii="Book Antiqua" w:hAnsi="Book Antiqua" w:cs="Times New Roman"/>
          <w:lang w:val="en-US"/>
        </w:rPr>
        <w:t>(</w:t>
      </w:r>
      <w:r w:rsidRPr="005B2AA7">
        <w:rPr>
          <w:rFonts w:ascii="Book Antiqua" w:hAnsi="Book Antiqua" w:cs="Times New Roman"/>
          <w:lang w:val="en-US"/>
        </w:rPr>
        <w:t>3) background information</w:t>
      </w:r>
      <w:r w:rsidR="00290C4F" w:rsidRPr="005B2AA7">
        <w:rPr>
          <w:rFonts w:ascii="Book Antiqua" w:hAnsi="Book Antiqua" w:cs="Times New Roman"/>
          <w:lang w:val="en-US"/>
        </w:rPr>
        <w:t>;</w:t>
      </w:r>
      <w:r w:rsidRPr="005B2AA7">
        <w:rPr>
          <w:rFonts w:ascii="Book Antiqua" w:hAnsi="Book Antiqua" w:cs="Times New Roman"/>
          <w:lang w:val="en-US"/>
        </w:rPr>
        <w:t xml:space="preserve"> </w:t>
      </w:r>
      <w:r w:rsidR="00B20227" w:rsidRPr="005B2AA7">
        <w:rPr>
          <w:rFonts w:ascii="Book Antiqua" w:hAnsi="Book Antiqua" w:cs="Times New Roman"/>
          <w:lang w:val="en-US"/>
        </w:rPr>
        <w:t>(</w:t>
      </w:r>
      <w:r w:rsidRPr="005B2AA7">
        <w:rPr>
          <w:rFonts w:ascii="Book Antiqua" w:hAnsi="Book Antiqua" w:cs="Times New Roman"/>
          <w:lang w:val="en-US"/>
        </w:rPr>
        <w:t>4) IBD disease background</w:t>
      </w:r>
      <w:r w:rsidR="00290C4F" w:rsidRPr="005B2AA7">
        <w:rPr>
          <w:rFonts w:ascii="Book Antiqua" w:hAnsi="Book Antiqua" w:cs="Times New Roman"/>
          <w:lang w:val="en-US"/>
        </w:rPr>
        <w:t>;</w:t>
      </w:r>
      <w:r w:rsidRPr="005B2AA7">
        <w:rPr>
          <w:rFonts w:ascii="Book Antiqua" w:hAnsi="Book Antiqua" w:cs="Times New Roman"/>
          <w:lang w:val="en-US"/>
        </w:rPr>
        <w:t xml:space="preserve"> </w:t>
      </w:r>
      <w:r w:rsidR="00B20227" w:rsidRPr="005B2AA7">
        <w:rPr>
          <w:rFonts w:ascii="Book Antiqua" w:hAnsi="Book Antiqua" w:cs="Times New Roman"/>
          <w:lang w:val="en-US"/>
        </w:rPr>
        <w:t>(</w:t>
      </w:r>
      <w:r w:rsidRPr="005B2AA7">
        <w:rPr>
          <w:rFonts w:ascii="Book Antiqua" w:hAnsi="Book Antiqua" w:cs="Times New Roman"/>
          <w:lang w:val="en-US"/>
        </w:rPr>
        <w:t>5) current disease status</w:t>
      </w:r>
      <w:r w:rsidR="00290C4F" w:rsidRPr="005B2AA7">
        <w:rPr>
          <w:rFonts w:ascii="Book Antiqua" w:hAnsi="Book Antiqua" w:cs="Times New Roman"/>
          <w:lang w:val="en-US"/>
        </w:rPr>
        <w:t>;</w:t>
      </w:r>
      <w:r w:rsidRPr="005B2AA7">
        <w:rPr>
          <w:rFonts w:ascii="Book Antiqua" w:hAnsi="Book Antiqua" w:cs="Times New Roman"/>
          <w:lang w:val="en-US"/>
        </w:rPr>
        <w:t xml:space="preserve"> </w:t>
      </w:r>
      <w:r w:rsidR="00B20227" w:rsidRPr="005B2AA7">
        <w:rPr>
          <w:rFonts w:ascii="Book Antiqua" w:hAnsi="Book Antiqua" w:cs="Times New Roman"/>
          <w:lang w:val="en-US"/>
        </w:rPr>
        <w:t>(</w:t>
      </w:r>
      <w:r w:rsidRPr="005B2AA7">
        <w:rPr>
          <w:rFonts w:ascii="Book Antiqua" w:hAnsi="Book Antiqua" w:cs="Times New Roman"/>
          <w:lang w:val="en-US"/>
        </w:rPr>
        <w:t>6) current therapeutics and medications</w:t>
      </w:r>
      <w:r w:rsidR="00290C4F" w:rsidRPr="005B2AA7">
        <w:rPr>
          <w:rFonts w:ascii="Book Antiqua" w:hAnsi="Book Antiqua" w:cs="Times New Roman"/>
          <w:lang w:val="en-US"/>
        </w:rPr>
        <w:t>;</w:t>
      </w:r>
      <w:r w:rsidRPr="005B2AA7">
        <w:rPr>
          <w:rFonts w:ascii="Book Antiqua" w:hAnsi="Book Antiqua" w:cs="Times New Roman"/>
          <w:lang w:val="en-US"/>
        </w:rPr>
        <w:t xml:space="preserve"> </w:t>
      </w:r>
      <w:r w:rsidR="00290C4F" w:rsidRPr="005B2AA7">
        <w:rPr>
          <w:rFonts w:ascii="Book Antiqua" w:hAnsi="Book Antiqua" w:cs="Times New Roman"/>
          <w:lang w:val="en-US"/>
        </w:rPr>
        <w:t xml:space="preserve">and </w:t>
      </w:r>
      <w:r w:rsidR="00B20227" w:rsidRPr="005B2AA7">
        <w:rPr>
          <w:rFonts w:ascii="Book Antiqua" w:hAnsi="Book Antiqua" w:cs="Times New Roman"/>
          <w:lang w:val="en-US"/>
        </w:rPr>
        <w:t>(</w:t>
      </w:r>
      <w:r w:rsidRPr="005B2AA7">
        <w:rPr>
          <w:rFonts w:ascii="Book Antiqua" w:hAnsi="Book Antiqua" w:cs="Times New Roman"/>
          <w:lang w:val="en-US"/>
        </w:rPr>
        <w:t>7) current nicotine/cigarettes use</w:t>
      </w:r>
      <w:r w:rsidR="00B20227" w:rsidRPr="005B2AA7">
        <w:rPr>
          <w:rFonts w:ascii="Book Antiqua" w:hAnsi="Book Antiqua" w:cs="Times New Roman"/>
          <w:lang w:val="en-US"/>
        </w:rPr>
        <w:t xml:space="preserve"> </w:t>
      </w:r>
      <w:r w:rsidR="00B20227" w:rsidRPr="005B2AA7">
        <w:rPr>
          <w:rFonts w:ascii="Book Antiqua" w:hAnsi="Book Antiqua" w:cs="Times New Roman"/>
          <w:lang w:val="en-US" w:eastAsia="zh-CN"/>
        </w:rPr>
        <w:t>and</w:t>
      </w:r>
      <w:r w:rsidRPr="005B2AA7">
        <w:rPr>
          <w:rFonts w:ascii="Book Antiqua" w:hAnsi="Book Antiqua" w:cs="Times New Roman"/>
          <w:lang w:val="en-US"/>
        </w:rPr>
        <w:t xml:space="preserve"> awareness of the impacts of smoking on IBD (Supplemental document).</w:t>
      </w:r>
    </w:p>
    <w:p w14:paraId="0F4BD967" w14:textId="484F1C1B" w:rsidR="00E55C81" w:rsidRPr="005B2AA7" w:rsidRDefault="00E55C81" w:rsidP="00253009">
      <w:pPr>
        <w:adjustRightInd w:val="0"/>
        <w:snapToGrid w:val="0"/>
        <w:spacing w:line="360" w:lineRule="auto"/>
        <w:ind w:firstLineChars="100" w:firstLine="240"/>
        <w:jc w:val="both"/>
        <w:rPr>
          <w:rFonts w:ascii="Book Antiqua" w:hAnsi="Book Antiqua" w:cs="Times New Roman"/>
          <w:lang w:val="en-US"/>
        </w:rPr>
      </w:pPr>
      <w:r w:rsidRPr="005B2AA7">
        <w:rPr>
          <w:rFonts w:ascii="Book Antiqua" w:hAnsi="Book Antiqua" w:cs="Times New Roman"/>
          <w:lang w:val="en-US"/>
        </w:rPr>
        <w:t>In most questions, participants were allowed to tick one applicable option. In some questions, such as those concerning the type of alternative smoking products that were used, several options could be chosen. In others, such as questions concerning the duration of use of nicotine products, therapy change due to smoking habits or use of alternative smoking products, or the perceived impact of nicotine use on disease activity, participants were give</w:t>
      </w:r>
      <w:r w:rsidR="00290C4F" w:rsidRPr="005B2AA7">
        <w:rPr>
          <w:rFonts w:ascii="Book Antiqua" w:hAnsi="Book Antiqua" w:cs="Times New Roman"/>
          <w:lang w:val="en-US"/>
        </w:rPr>
        <w:t>n multiple categorical options.</w:t>
      </w:r>
    </w:p>
    <w:p w14:paraId="6BDFF8F1" w14:textId="5283802D" w:rsidR="00E55C81" w:rsidRPr="005B2AA7" w:rsidRDefault="00E55C81" w:rsidP="00253009">
      <w:pPr>
        <w:adjustRightInd w:val="0"/>
        <w:snapToGrid w:val="0"/>
        <w:spacing w:line="360" w:lineRule="auto"/>
        <w:ind w:firstLineChars="100" w:firstLine="240"/>
        <w:jc w:val="both"/>
        <w:rPr>
          <w:rFonts w:ascii="Book Antiqua" w:hAnsi="Book Antiqua" w:cs="Times New Roman"/>
          <w:lang w:val="en-US"/>
        </w:rPr>
      </w:pPr>
      <w:r w:rsidRPr="005B2AA7">
        <w:rPr>
          <w:rFonts w:ascii="Book Antiqua" w:hAnsi="Book Antiqua" w:cs="Times New Roman"/>
          <w:lang w:val="en-US"/>
        </w:rPr>
        <w:t xml:space="preserve">The survey was made available in English, French, German, Spanish, Portuguese, Italian, Greek, Finnish and Slovenian. Translations were made by translators that EFCCA has previously worked with. They were proofread by native speakers from EFCCA's member associations and revised, if necessary. </w:t>
      </w:r>
      <w:bookmarkStart w:id="28" w:name="OLE_LINK27"/>
      <w:bookmarkStart w:id="29" w:name="OLE_LINK28"/>
      <w:r w:rsidRPr="005B2AA7">
        <w:rPr>
          <w:rFonts w:ascii="Book Antiqua" w:eastAsia="Times New Roman" w:hAnsi="Book Antiqua" w:cs="Times New Roman"/>
          <w:color w:val="000000" w:themeColor="text1"/>
          <w:shd w:val="clear" w:color="auto" w:fill="FFFFFF"/>
          <w:lang w:val="en-US" w:eastAsia="fr-FR"/>
        </w:rPr>
        <w:lastRenderedPageBreak/>
        <w:t>Philip Morris International</w:t>
      </w:r>
      <w:r w:rsidRPr="005B2AA7">
        <w:rPr>
          <w:rFonts w:ascii="Book Antiqua" w:hAnsi="Book Antiqua" w:cs="Times New Roman"/>
          <w:lang w:val="en-US"/>
        </w:rPr>
        <w:t xml:space="preserve"> </w:t>
      </w:r>
      <w:bookmarkEnd w:id="28"/>
      <w:bookmarkEnd w:id="29"/>
      <w:r w:rsidRPr="005B2AA7">
        <w:rPr>
          <w:rFonts w:ascii="Book Antiqua" w:hAnsi="Book Antiqua" w:cs="Times New Roman"/>
          <w:lang w:val="en-US"/>
        </w:rPr>
        <w:t>did final checks and revisions on the translations in order to have a double validation before the survey was launched.</w:t>
      </w:r>
    </w:p>
    <w:p w14:paraId="68D5B2D0" w14:textId="77777777" w:rsidR="00B20227" w:rsidRPr="005B2AA7" w:rsidRDefault="00B20227" w:rsidP="00253009">
      <w:pPr>
        <w:adjustRightInd w:val="0"/>
        <w:snapToGrid w:val="0"/>
        <w:spacing w:line="360" w:lineRule="auto"/>
        <w:jc w:val="both"/>
        <w:rPr>
          <w:rFonts w:ascii="Book Antiqua" w:hAnsi="Book Antiqua" w:cs="Times New Roman"/>
          <w:b/>
          <w:i/>
          <w:iCs/>
          <w:lang w:val="en-US"/>
        </w:rPr>
      </w:pPr>
    </w:p>
    <w:p w14:paraId="2C541623" w14:textId="77777777" w:rsidR="00DF3B82" w:rsidRPr="005B2AA7" w:rsidRDefault="00B20227"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b/>
          <w:i/>
          <w:iCs/>
          <w:lang w:val="en-US"/>
        </w:rPr>
        <w:t>Questionnaire administration</w:t>
      </w:r>
      <w:r w:rsidRPr="005B2AA7">
        <w:rPr>
          <w:rFonts w:ascii="Book Antiqua" w:hAnsi="Book Antiqua" w:cs="Times New Roman"/>
          <w:lang w:val="en-US"/>
        </w:rPr>
        <w:t xml:space="preserve"> </w:t>
      </w:r>
    </w:p>
    <w:p w14:paraId="0AF0217D" w14:textId="75493A19" w:rsidR="00B20227" w:rsidRPr="005B2AA7" w:rsidRDefault="00B20227"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lang w:val="en-US"/>
        </w:rPr>
        <w:t>The questionnaire was submitted through EFCCA to IBD patients who were current smokers or had a history of smoking. Patients were not pre-screened and were eligible</w:t>
      </w:r>
      <w:r w:rsidR="007F1EE8" w:rsidRPr="005B2AA7">
        <w:rPr>
          <w:rFonts w:ascii="Book Antiqua" w:hAnsi="Book Antiqua" w:cs="Times New Roman"/>
          <w:lang w:val="en-US" w:eastAsia="zh-CN"/>
        </w:rPr>
        <w:t xml:space="preserve"> </w:t>
      </w:r>
      <w:r w:rsidRPr="005B2AA7">
        <w:rPr>
          <w:rFonts w:ascii="Book Antiqua" w:hAnsi="Book Antiqua" w:cs="Times New Roman"/>
          <w:lang w:val="en-US"/>
        </w:rPr>
        <w:t>for inclusion if they were aged over 18 years and had a confirmed diagnosis of IBD, including CD or UC. Patients gave their consent and were not paid for participating.</w:t>
      </w:r>
    </w:p>
    <w:p w14:paraId="27E84FA3" w14:textId="77777777" w:rsidR="00482E5B" w:rsidRPr="005B2AA7" w:rsidRDefault="00482E5B"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lang w:val="en-US"/>
        </w:rPr>
        <w:t>The online survey was open from 4</w:t>
      </w:r>
      <w:r w:rsidRPr="005B2AA7">
        <w:rPr>
          <w:rFonts w:ascii="Book Antiqua" w:hAnsi="Book Antiqua" w:cs="Times New Roman"/>
          <w:vertAlign w:val="superscript"/>
          <w:lang w:val="en-US"/>
        </w:rPr>
        <w:t>th</w:t>
      </w:r>
      <w:r w:rsidRPr="005B2AA7">
        <w:rPr>
          <w:rFonts w:ascii="Book Antiqua" w:hAnsi="Book Antiqua" w:cs="Times New Roman"/>
          <w:lang w:val="en-US"/>
        </w:rPr>
        <w:t xml:space="preserve"> November 2019 to 11</w:t>
      </w:r>
      <w:r w:rsidRPr="005B2AA7">
        <w:rPr>
          <w:rFonts w:ascii="Book Antiqua" w:hAnsi="Book Antiqua" w:cs="Times New Roman"/>
          <w:vertAlign w:val="superscript"/>
          <w:lang w:val="en-US"/>
        </w:rPr>
        <w:t>th</w:t>
      </w:r>
      <w:r w:rsidRPr="005B2AA7">
        <w:rPr>
          <w:rFonts w:ascii="Book Antiqua" w:hAnsi="Book Antiqua" w:cs="Times New Roman"/>
          <w:lang w:val="en-US"/>
        </w:rPr>
        <w:t xml:space="preserve"> March 2020 on the EFCCA website. National associations were encouraged to promote the survey online by providing their members with an online link on their website. Information on this survey was also displayed in posters and flyers at the clinic of each participating investigator. The survey was closed after having enrolled more than 1000 participants, whatever their characteristics in terms of gender or nationality.</w:t>
      </w:r>
    </w:p>
    <w:p w14:paraId="1643F03E" w14:textId="5D1C7F38" w:rsidR="00EC3B11" w:rsidRPr="005B2AA7" w:rsidRDefault="00EC3B11" w:rsidP="00253009">
      <w:pPr>
        <w:adjustRightInd w:val="0"/>
        <w:snapToGrid w:val="0"/>
        <w:spacing w:line="360" w:lineRule="auto"/>
        <w:ind w:firstLineChars="100" w:firstLine="240"/>
        <w:jc w:val="both"/>
        <w:rPr>
          <w:rFonts w:ascii="Book Antiqua" w:hAnsi="Book Antiqua" w:cs="Times New Roman"/>
          <w:lang w:val="en-US"/>
        </w:rPr>
      </w:pPr>
      <w:r w:rsidRPr="005B2AA7">
        <w:rPr>
          <w:rFonts w:ascii="Book Antiqua" w:hAnsi="Book Antiqua" w:cs="Times New Roman"/>
          <w:lang w:val="en-US"/>
        </w:rPr>
        <w:t>As this was a non-interventional survey, ethics committee approval was not required. Data was collected anonymously online, and participation was entirely optional. Since it was an anonymous survey, there was no data or user tracking. EFCCA strictly follows the General Data Protection Regulation and does not own the data that was transferred in a secured way to the biostatistician.</w:t>
      </w:r>
    </w:p>
    <w:p w14:paraId="29497F61" w14:textId="77777777" w:rsidR="00EC3B11" w:rsidRPr="005B2AA7" w:rsidRDefault="00EC3B11" w:rsidP="00253009">
      <w:pPr>
        <w:adjustRightInd w:val="0"/>
        <w:snapToGrid w:val="0"/>
        <w:spacing w:line="360" w:lineRule="auto"/>
        <w:jc w:val="both"/>
        <w:rPr>
          <w:rFonts w:ascii="Book Antiqua" w:hAnsi="Book Antiqua" w:cs="Times New Roman"/>
          <w:lang w:val="en-US"/>
        </w:rPr>
      </w:pPr>
    </w:p>
    <w:p w14:paraId="7259034F" w14:textId="77777777" w:rsidR="00EC3B11" w:rsidRPr="005B2AA7" w:rsidRDefault="00EC3B11" w:rsidP="00253009">
      <w:pPr>
        <w:adjustRightInd w:val="0"/>
        <w:snapToGrid w:val="0"/>
        <w:spacing w:line="360" w:lineRule="auto"/>
        <w:jc w:val="both"/>
        <w:rPr>
          <w:rFonts w:ascii="Book Antiqua" w:hAnsi="Book Antiqua" w:cs="Times New Roman"/>
          <w:b/>
          <w:i/>
          <w:iCs/>
          <w:lang w:val="en-US"/>
        </w:rPr>
      </w:pPr>
      <w:r w:rsidRPr="005B2AA7">
        <w:rPr>
          <w:rFonts w:ascii="Book Antiqua" w:hAnsi="Book Antiqua" w:cs="Times New Roman"/>
          <w:b/>
          <w:i/>
          <w:iCs/>
          <w:lang w:val="en-US"/>
        </w:rPr>
        <w:t>Statistical analysis</w:t>
      </w:r>
    </w:p>
    <w:p w14:paraId="2D3C8551" w14:textId="68E069F0" w:rsidR="005F44B2" w:rsidRPr="005B2AA7" w:rsidRDefault="00EC3B11" w:rsidP="00253009">
      <w:pPr>
        <w:adjustRightInd w:val="0"/>
        <w:snapToGrid w:val="0"/>
        <w:spacing w:line="360" w:lineRule="auto"/>
        <w:jc w:val="both"/>
        <w:rPr>
          <w:rFonts w:ascii="Book Antiqua" w:hAnsi="Book Antiqua"/>
          <w:b/>
          <w:color w:val="000000"/>
          <w:u w:val="single"/>
        </w:rPr>
      </w:pPr>
      <w:r w:rsidRPr="005B2AA7">
        <w:rPr>
          <w:rFonts w:ascii="Book Antiqua" w:hAnsi="Book Antiqua" w:cs="Times New Roman"/>
          <w:lang w:val="en-US"/>
        </w:rPr>
        <w:t xml:space="preserve">Descriptive statistics included means with standard deviations and medians with </w:t>
      </w:r>
      <w:bookmarkStart w:id="30" w:name="OLE_LINK21"/>
      <w:bookmarkStart w:id="31" w:name="OLE_LINK29"/>
      <w:r w:rsidRPr="005B2AA7">
        <w:rPr>
          <w:rFonts w:ascii="Book Antiqua" w:hAnsi="Book Antiqua" w:cs="Times New Roman"/>
          <w:lang w:val="en-US"/>
        </w:rPr>
        <w:t>interquartile ranges</w:t>
      </w:r>
      <w:bookmarkEnd w:id="30"/>
      <w:bookmarkEnd w:id="31"/>
      <w:r w:rsidRPr="005B2AA7">
        <w:rPr>
          <w:rFonts w:ascii="Book Antiqua" w:hAnsi="Book Antiqua" w:cs="Times New Roman"/>
          <w:lang w:val="en-US"/>
        </w:rPr>
        <w:t xml:space="preserve"> (IQR) for continuous variables, and frequency analyses (percentages) for categorical variables. The association between categorical variables was investigated with the Fisher’s exact test. Stata 15.0 software was used for all the analyses (Stata Corp, College Station, </w:t>
      </w:r>
      <w:hyperlink r:id="rId14" w:history="1">
        <w:r w:rsidRPr="005B2AA7">
          <w:rPr>
            <w:rFonts w:ascii="Book Antiqua" w:hAnsi="Book Antiqua" w:cs="Times New Roman"/>
            <w:lang w:val="en-US"/>
          </w:rPr>
          <w:t>T</w:t>
        </w:r>
        <w:r w:rsidR="00670F65" w:rsidRPr="005B2AA7">
          <w:rPr>
            <w:rFonts w:ascii="Book Antiqua" w:hAnsi="Book Antiqua" w:cs="Times New Roman"/>
            <w:lang w:val="en-US"/>
          </w:rPr>
          <w:t>X</w:t>
        </w:r>
      </w:hyperlink>
      <w:r w:rsidRPr="005B2AA7">
        <w:rPr>
          <w:rFonts w:ascii="Book Antiqua" w:hAnsi="Book Antiqua" w:cs="Times New Roman"/>
          <w:lang w:val="en-US"/>
        </w:rPr>
        <w:t>, U</w:t>
      </w:r>
      <w:r w:rsidRPr="005B2AA7">
        <w:rPr>
          <w:rFonts w:ascii="Book Antiqua" w:hAnsi="Book Antiqua" w:cs="Times New Roman"/>
          <w:lang w:val="en-US" w:eastAsia="zh-CN"/>
        </w:rPr>
        <w:t>nited</w:t>
      </w:r>
      <w:r w:rsidRPr="005B2AA7">
        <w:rPr>
          <w:rFonts w:ascii="Book Antiqua" w:hAnsi="Book Antiqua" w:cs="Times New Roman"/>
          <w:lang w:val="en-US"/>
        </w:rPr>
        <w:t xml:space="preserve"> </w:t>
      </w:r>
      <w:r w:rsidRPr="005B2AA7">
        <w:rPr>
          <w:rFonts w:ascii="Book Antiqua" w:hAnsi="Book Antiqua" w:cs="Times New Roman"/>
          <w:lang w:val="en-US" w:eastAsia="zh-CN"/>
        </w:rPr>
        <w:t>States</w:t>
      </w:r>
      <w:r w:rsidRPr="005B2AA7">
        <w:rPr>
          <w:rFonts w:ascii="Book Antiqua" w:hAnsi="Book Antiqua" w:cs="Times New Roman"/>
          <w:lang w:val="en-US"/>
        </w:rPr>
        <w:t xml:space="preserve">). </w:t>
      </w:r>
      <w:r w:rsidRPr="005B2AA7">
        <w:rPr>
          <w:rFonts w:ascii="Book Antiqua" w:hAnsi="Book Antiqua" w:cs="Times New Roman"/>
          <w:i/>
          <w:iCs/>
          <w:lang w:val="en-US"/>
        </w:rPr>
        <w:t>P</w:t>
      </w:r>
      <w:r w:rsidR="00290C4F" w:rsidRPr="005B2AA7">
        <w:rPr>
          <w:rFonts w:ascii="Book Antiqua" w:hAnsi="Book Antiqua" w:cs="Times New Roman"/>
          <w:lang w:val="en-US"/>
        </w:rPr>
        <w:t xml:space="preserve"> </w:t>
      </w:r>
      <w:r w:rsidRPr="005B2AA7">
        <w:rPr>
          <w:rFonts w:ascii="Book Antiqua" w:hAnsi="Book Antiqua" w:cs="Times New Roman"/>
          <w:lang w:val="en-US"/>
        </w:rPr>
        <w:t>values less than 0.05 were considered statistically significant. All statistical tests were two-sided.</w:t>
      </w:r>
      <w:r w:rsidR="005F44B2" w:rsidRPr="005B2AA7">
        <w:rPr>
          <w:rFonts w:ascii="Book Antiqua" w:hAnsi="Book Antiqua"/>
          <w:b/>
          <w:color w:val="000000"/>
          <w:u w:val="single"/>
        </w:rPr>
        <w:t xml:space="preserve"> </w:t>
      </w:r>
    </w:p>
    <w:p w14:paraId="1123E7E5" w14:textId="77777777" w:rsidR="00154834" w:rsidRPr="005B2AA7" w:rsidRDefault="00154834" w:rsidP="00253009">
      <w:pPr>
        <w:adjustRightInd w:val="0"/>
        <w:snapToGrid w:val="0"/>
        <w:spacing w:line="360" w:lineRule="auto"/>
        <w:jc w:val="both"/>
        <w:rPr>
          <w:rFonts w:ascii="Book Antiqua" w:hAnsi="Book Antiqua"/>
          <w:b/>
          <w:color w:val="000000"/>
          <w:u w:val="single"/>
        </w:rPr>
      </w:pPr>
    </w:p>
    <w:p w14:paraId="7D202DA9" w14:textId="77777777" w:rsidR="00EC3B11" w:rsidRPr="005B2AA7" w:rsidRDefault="005F44B2" w:rsidP="00253009">
      <w:pPr>
        <w:adjustRightInd w:val="0"/>
        <w:snapToGrid w:val="0"/>
        <w:spacing w:line="360" w:lineRule="auto"/>
        <w:jc w:val="both"/>
        <w:rPr>
          <w:rFonts w:ascii="Book Antiqua" w:hAnsi="Book Antiqua"/>
          <w:b/>
          <w:color w:val="000000"/>
          <w:u w:val="single"/>
        </w:rPr>
      </w:pPr>
      <w:r w:rsidRPr="005B2AA7">
        <w:rPr>
          <w:rFonts w:ascii="Book Antiqua" w:hAnsi="Book Antiqua"/>
          <w:b/>
          <w:color w:val="000000"/>
          <w:u w:val="single"/>
        </w:rPr>
        <w:t>RESULTS</w:t>
      </w:r>
    </w:p>
    <w:p w14:paraId="5684A567" w14:textId="044D046B" w:rsidR="00154834" w:rsidRPr="005B2AA7" w:rsidRDefault="00154834"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lang w:val="en-US"/>
        </w:rPr>
        <w:t>This survey enrolled 1180 IBD patients speaking nine different languages. However, 130 patients only selected their language and did not answer the first question (</w:t>
      </w:r>
      <w:r w:rsidRPr="005B2AA7">
        <w:rPr>
          <w:rFonts w:ascii="Book Antiqua" w:hAnsi="Book Antiqua" w:cs="Times New Roman"/>
          <w:i/>
          <w:iCs/>
          <w:lang w:val="en-US"/>
        </w:rPr>
        <w:t>i.e.</w:t>
      </w:r>
      <w:r w:rsidR="00670F65" w:rsidRPr="005B2AA7">
        <w:rPr>
          <w:rFonts w:ascii="Book Antiqua" w:hAnsi="Book Antiqua" w:cs="Times New Roman"/>
          <w:iCs/>
          <w:lang w:val="en-US"/>
        </w:rPr>
        <w:t>,</w:t>
      </w:r>
      <w:r w:rsidRPr="005B2AA7">
        <w:rPr>
          <w:rFonts w:ascii="Book Antiqua" w:hAnsi="Book Antiqua" w:cs="Times New Roman"/>
          <w:lang w:val="en-US"/>
        </w:rPr>
        <w:t xml:space="preserve"> if they have ever smoked or consumed an alternative smoking product). This group of patients was excluded, and we considered 1050 patients as participants. The most represented countries were Italy (20.3%), Finland (13.9%) and Portugal (13.9%). Among them, 807 (76.9%) patients declared to have ever smoked or consumed an alternative smoking product and proceeded to complete the rest of the questionnaire.</w:t>
      </w:r>
    </w:p>
    <w:p w14:paraId="51697EC9" w14:textId="77777777" w:rsidR="00DF3B82" w:rsidRPr="005B2AA7" w:rsidRDefault="00DF3B82" w:rsidP="00253009">
      <w:pPr>
        <w:adjustRightInd w:val="0"/>
        <w:snapToGrid w:val="0"/>
        <w:spacing w:line="360" w:lineRule="auto"/>
        <w:jc w:val="both"/>
        <w:rPr>
          <w:rFonts w:ascii="Book Antiqua" w:hAnsi="Book Antiqua"/>
          <w:b/>
          <w:color w:val="000000"/>
          <w:u w:val="single"/>
        </w:rPr>
      </w:pPr>
    </w:p>
    <w:p w14:paraId="06428813" w14:textId="77777777" w:rsidR="00DF3B82" w:rsidRPr="005B2AA7" w:rsidRDefault="00DF3B82" w:rsidP="00253009">
      <w:pPr>
        <w:adjustRightInd w:val="0"/>
        <w:snapToGrid w:val="0"/>
        <w:spacing w:line="360" w:lineRule="auto"/>
        <w:jc w:val="both"/>
        <w:rPr>
          <w:rFonts w:ascii="Book Antiqua" w:hAnsi="Book Antiqua" w:cs="Times New Roman"/>
          <w:b/>
          <w:bCs/>
          <w:i/>
          <w:iCs/>
          <w:lang w:val="en-US"/>
        </w:rPr>
      </w:pPr>
      <w:r w:rsidRPr="005B2AA7">
        <w:rPr>
          <w:rFonts w:ascii="Book Antiqua" w:hAnsi="Book Antiqua"/>
          <w:b/>
          <w:bCs/>
          <w:i/>
          <w:iCs/>
        </w:rPr>
        <w:t>Baseline characteristics and treatmen</w:t>
      </w:r>
      <w:r w:rsidRPr="005B2AA7">
        <w:rPr>
          <w:rFonts w:ascii="Book Antiqua" w:hAnsi="Book Antiqua" w:cs="Times New Roman"/>
          <w:b/>
          <w:bCs/>
          <w:i/>
          <w:iCs/>
          <w:lang w:val="en-US"/>
        </w:rPr>
        <w:t xml:space="preserve"> </w:t>
      </w:r>
    </w:p>
    <w:p w14:paraId="30B69275" w14:textId="021BF995" w:rsidR="007F6FF7" w:rsidRPr="005B2AA7" w:rsidRDefault="007F6FF7"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lang w:val="en-US"/>
        </w:rPr>
        <w:t>Participants were mainly females (65.4%) with a median age of 40 (IQR: 32</w:t>
      </w:r>
      <w:r w:rsidRPr="005B2AA7">
        <w:rPr>
          <w:rFonts w:ascii="Times New Roman" w:eastAsia="MS Gothic" w:hAnsi="Times New Roman" w:cs="Times New Roman"/>
          <w:lang w:val="en-US"/>
        </w:rPr>
        <w:t>‒</w:t>
      </w:r>
      <w:r w:rsidRPr="005B2AA7">
        <w:rPr>
          <w:rFonts w:ascii="Book Antiqua" w:hAnsi="Book Antiqua" w:cs="Times New Roman"/>
          <w:lang w:val="en-US"/>
        </w:rPr>
        <w:t>51) years o</w:t>
      </w:r>
      <w:r w:rsidR="00B96101" w:rsidRPr="005B2AA7">
        <w:rPr>
          <w:rFonts w:ascii="Book Antiqua" w:hAnsi="Book Antiqua" w:cs="Times New Roman"/>
          <w:lang w:val="en-US"/>
        </w:rPr>
        <w:t>ld. Most patients were diagnosed</w:t>
      </w:r>
      <w:r w:rsidRPr="005B2AA7">
        <w:rPr>
          <w:rFonts w:ascii="Book Antiqua" w:hAnsi="Book Antiqua" w:cs="Times New Roman"/>
          <w:lang w:val="en-US"/>
        </w:rPr>
        <w:t xml:space="preserve"> with CD (53.5%) with a disease duration of 11 (IQR: </w:t>
      </w:r>
      <w:r w:rsidR="00980D8C" w:rsidRPr="005B2AA7">
        <w:rPr>
          <w:rFonts w:ascii="Book Antiqua" w:hAnsi="Book Antiqua" w:cs="Times New Roman"/>
          <w:lang w:val="en-US" w:eastAsia="zh-CN"/>
        </w:rPr>
        <w:t>5</w:t>
      </w:r>
      <w:r w:rsidR="00980D8C" w:rsidRPr="005B2AA7">
        <w:rPr>
          <w:rFonts w:ascii="Book Antiqua" w:hAnsi="Book Antiqua" w:cs="MS Gothic"/>
          <w:lang w:val="en-US" w:eastAsia="zh-CN"/>
        </w:rPr>
        <w:t>-</w:t>
      </w:r>
      <w:r w:rsidRPr="005B2AA7">
        <w:rPr>
          <w:rFonts w:ascii="Book Antiqua" w:hAnsi="Book Antiqua" w:cs="Times New Roman"/>
          <w:lang w:val="en-US"/>
        </w:rPr>
        <w:t xml:space="preserve">20) years. Patients diagnosed with UC (44.5%) had a shorter median disease duration (4 years; IQR: 1-8). About one quarter of the participants perceived their disease as severe (26.2%) and 28.8% </w:t>
      </w:r>
      <w:r w:rsidR="00D576B9" w:rsidRPr="005B2AA7">
        <w:rPr>
          <w:rFonts w:ascii="Book Antiqua" w:hAnsi="Book Antiqua" w:cs="Times New Roman"/>
          <w:lang w:val="en-US"/>
        </w:rPr>
        <w:t>ha</w:t>
      </w:r>
      <w:r w:rsidR="00496004" w:rsidRPr="005B2AA7">
        <w:rPr>
          <w:rFonts w:ascii="Book Antiqua" w:hAnsi="Book Antiqua" w:cs="Times New Roman"/>
          <w:lang w:val="en-US"/>
        </w:rPr>
        <w:t>d</w:t>
      </w:r>
      <w:r w:rsidR="00D576B9" w:rsidRPr="005B2AA7">
        <w:rPr>
          <w:rFonts w:ascii="Book Antiqua" w:hAnsi="Book Antiqua" w:cs="Times New Roman"/>
          <w:lang w:val="en-US"/>
        </w:rPr>
        <w:t xml:space="preserve"> undergone</w:t>
      </w:r>
      <w:r w:rsidRPr="005B2AA7">
        <w:rPr>
          <w:rFonts w:ascii="Book Antiqua" w:hAnsi="Book Antiqua" w:cs="Times New Roman"/>
          <w:lang w:val="en-US"/>
        </w:rPr>
        <w:t xml:space="preserve"> surgery. The most common type of surgery was ileocaecal resection (11.8%). The most common drug treatm</w:t>
      </w:r>
      <w:r w:rsidR="00B96101" w:rsidRPr="005B2AA7">
        <w:rPr>
          <w:rFonts w:ascii="Book Antiqua" w:hAnsi="Book Antiqua" w:cs="Times New Roman"/>
          <w:lang w:val="en-US"/>
        </w:rPr>
        <w:t>ent regimens were oral aminosalicy</w:t>
      </w:r>
      <w:r w:rsidRPr="005B2AA7">
        <w:rPr>
          <w:rFonts w:ascii="Book Antiqua" w:hAnsi="Book Antiqua" w:cs="Times New Roman"/>
          <w:lang w:val="en-US"/>
        </w:rPr>
        <w:t>lates</w:t>
      </w:r>
      <w:r w:rsidR="00EE2C11" w:rsidRPr="005B2AA7">
        <w:rPr>
          <w:rFonts w:ascii="Book Antiqua" w:hAnsi="Book Antiqua" w:cs="Times New Roman"/>
          <w:lang w:val="en-US"/>
        </w:rPr>
        <w:t xml:space="preserve"> </w:t>
      </w:r>
      <w:r w:rsidRPr="005B2AA7">
        <w:rPr>
          <w:rFonts w:ascii="Book Antiqua" w:hAnsi="Book Antiqua" w:cs="Times New Roman"/>
          <w:lang w:val="en-US"/>
        </w:rPr>
        <w:t xml:space="preserve">(39.8%), anti-TNF agents (28.2%) and immunomodulators (26.7%). </w:t>
      </w:r>
      <w:r w:rsidR="00B96101" w:rsidRPr="005B2AA7">
        <w:rPr>
          <w:rFonts w:ascii="Book Antiqua" w:hAnsi="Book Antiqua" w:cs="Times New Roman"/>
          <w:lang w:val="en-US"/>
        </w:rPr>
        <w:t>B</w:t>
      </w:r>
      <w:r w:rsidRPr="005B2AA7">
        <w:rPr>
          <w:rFonts w:ascii="Book Antiqua" w:hAnsi="Book Antiqua" w:cs="Times New Roman"/>
          <w:lang w:val="en-US"/>
        </w:rPr>
        <w:t xml:space="preserve">aseline characteristics </w:t>
      </w:r>
      <w:r w:rsidR="00496004" w:rsidRPr="005B2AA7">
        <w:rPr>
          <w:rFonts w:ascii="Book Antiqua" w:hAnsi="Book Antiqua" w:cs="Times New Roman"/>
          <w:lang w:val="en-US"/>
        </w:rPr>
        <w:t xml:space="preserve">reported by the patients </w:t>
      </w:r>
      <w:r w:rsidRPr="005B2AA7">
        <w:rPr>
          <w:rFonts w:ascii="Book Antiqua" w:hAnsi="Book Antiqua" w:cs="Times New Roman"/>
          <w:lang w:val="en-US"/>
        </w:rPr>
        <w:t xml:space="preserve">are </w:t>
      </w:r>
      <w:r w:rsidR="00496004" w:rsidRPr="005B2AA7">
        <w:rPr>
          <w:rFonts w:ascii="Book Antiqua" w:hAnsi="Book Antiqua" w:cs="Times New Roman"/>
          <w:lang w:val="en-US"/>
        </w:rPr>
        <w:t xml:space="preserve">detailed </w:t>
      </w:r>
      <w:r w:rsidRPr="005B2AA7">
        <w:rPr>
          <w:rFonts w:ascii="Book Antiqua" w:hAnsi="Book Antiqua" w:cs="Times New Roman"/>
          <w:lang w:val="en-US"/>
        </w:rPr>
        <w:t xml:space="preserve">in </w:t>
      </w:r>
      <w:r w:rsidR="00EE2C11" w:rsidRPr="005B2AA7">
        <w:rPr>
          <w:rFonts w:ascii="Book Antiqua" w:hAnsi="Book Antiqua" w:cs="Times New Roman"/>
          <w:lang w:val="en-US"/>
        </w:rPr>
        <w:t>(</w:t>
      </w:r>
      <w:r w:rsidRPr="005B2AA7">
        <w:rPr>
          <w:rFonts w:ascii="Book Antiqua" w:hAnsi="Book Antiqua" w:cs="Times New Roman"/>
          <w:lang w:val="en-US"/>
        </w:rPr>
        <w:t>Table 1</w:t>
      </w:r>
      <w:r w:rsidR="00EE2C11" w:rsidRPr="005B2AA7">
        <w:rPr>
          <w:rFonts w:ascii="Book Antiqua" w:hAnsi="Book Antiqua" w:cs="Times New Roman"/>
          <w:lang w:val="en-US"/>
        </w:rPr>
        <w:t xml:space="preserve"> and</w:t>
      </w:r>
      <w:r w:rsidR="00EE2C11" w:rsidRPr="005B2AA7">
        <w:rPr>
          <w:rFonts w:ascii="Book Antiqua" w:hAnsi="Book Antiqua" w:cs="Times New Roman"/>
          <w:lang w:val="en-US" w:eastAsia="zh-CN"/>
        </w:rPr>
        <w:t xml:space="preserve"> </w:t>
      </w:r>
      <w:r w:rsidR="003A58A9" w:rsidRPr="005B2AA7">
        <w:rPr>
          <w:rFonts w:ascii="Book Antiqua" w:hAnsi="Book Antiqua" w:cs="Times New Roman"/>
          <w:lang w:val="en-US"/>
        </w:rPr>
        <w:t xml:space="preserve">Supplemental </w:t>
      </w:r>
      <w:r w:rsidR="00943805" w:rsidRPr="005B2AA7">
        <w:rPr>
          <w:rFonts w:ascii="Book Antiqua" w:hAnsi="Book Antiqua" w:cs="Times New Roman"/>
          <w:lang w:val="en-US"/>
        </w:rPr>
        <w:t>Table 1</w:t>
      </w:r>
      <w:r w:rsidR="00EE2C11" w:rsidRPr="005B2AA7">
        <w:rPr>
          <w:rFonts w:ascii="Book Antiqua" w:hAnsi="Book Antiqua" w:cs="Times New Roman"/>
          <w:lang w:val="en-US"/>
        </w:rPr>
        <w:t>)</w:t>
      </w:r>
      <w:r w:rsidR="00943805" w:rsidRPr="005B2AA7">
        <w:rPr>
          <w:rFonts w:ascii="Book Antiqua" w:hAnsi="Book Antiqua" w:cs="Times New Roman"/>
          <w:bCs/>
          <w:lang w:val="en-US"/>
        </w:rPr>
        <w:t xml:space="preserve"> </w:t>
      </w:r>
      <w:r w:rsidR="006A56B7" w:rsidRPr="005B2AA7">
        <w:rPr>
          <w:rFonts w:ascii="Book Antiqua" w:hAnsi="Book Antiqua" w:cs="Times New Roman"/>
          <w:bCs/>
          <w:lang w:val="en-US"/>
        </w:rPr>
        <w:t>compares</w:t>
      </w:r>
      <w:r w:rsidR="00943805" w:rsidRPr="005B2AA7">
        <w:rPr>
          <w:rFonts w:ascii="Book Antiqua" w:hAnsi="Book Antiqua" w:cs="Times New Roman"/>
          <w:bCs/>
          <w:lang w:val="en-US"/>
        </w:rPr>
        <w:t xml:space="preserve"> these baseline characteristics by type of IBD diagnosis</w:t>
      </w:r>
      <w:r w:rsidRPr="005B2AA7">
        <w:rPr>
          <w:rFonts w:ascii="Book Antiqua" w:hAnsi="Book Antiqua" w:cs="Times New Roman"/>
          <w:lang w:val="en-US"/>
        </w:rPr>
        <w:t>.</w:t>
      </w:r>
    </w:p>
    <w:p w14:paraId="671D7269" w14:textId="77777777" w:rsidR="007F6FF7" w:rsidRPr="005B2AA7" w:rsidRDefault="007F6FF7" w:rsidP="00253009">
      <w:pPr>
        <w:adjustRightInd w:val="0"/>
        <w:snapToGrid w:val="0"/>
        <w:spacing w:line="360" w:lineRule="auto"/>
        <w:jc w:val="both"/>
        <w:rPr>
          <w:rFonts w:ascii="Book Antiqua" w:hAnsi="Book Antiqua" w:cs="Times New Roman"/>
          <w:lang w:val="en-US"/>
        </w:rPr>
      </w:pPr>
    </w:p>
    <w:p w14:paraId="6FBB132A" w14:textId="1FC35F5E" w:rsidR="007F6FF7" w:rsidRPr="005B2AA7" w:rsidRDefault="007F6FF7" w:rsidP="00253009">
      <w:pPr>
        <w:adjustRightInd w:val="0"/>
        <w:snapToGrid w:val="0"/>
        <w:spacing w:line="360" w:lineRule="auto"/>
        <w:jc w:val="both"/>
        <w:rPr>
          <w:rFonts w:ascii="Book Antiqua" w:hAnsi="Book Antiqua" w:cs="Times New Roman"/>
          <w:b/>
          <w:bCs/>
          <w:i/>
          <w:iCs/>
          <w:lang w:val="en-US"/>
        </w:rPr>
      </w:pPr>
      <w:r w:rsidRPr="005B2AA7">
        <w:rPr>
          <w:rFonts w:ascii="Book Antiqua" w:hAnsi="Book Antiqua" w:cs="Times New Roman"/>
          <w:b/>
          <w:bCs/>
          <w:i/>
          <w:iCs/>
          <w:lang w:val="en-US"/>
        </w:rPr>
        <w:t xml:space="preserve">Smoking habits and use of alternative </w:t>
      </w:r>
      <w:r w:rsidR="00386D81" w:rsidRPr="005B2AA7">
        <w:rPr>
          <w:rFonts w:ascii="Book Antiqua" w:hAnsi="Book Antiqua" w:cs="Times New Roman"/>
          <w:b/>
          <w:bCs/>
          <w:i/>
          <w:iCs/>
          <w:lang w:val="en-US"/>
        </w:rPr>
        <w:t xml:space="preserve">smoking </w:t>
      </w:r>
      <w:r w:rsidRPr="005B2AA7">
        <w:rPr>
          <w:rFonts w:ascii="Book Antiqua" w:hAnsi="Book Antiqua" w:cs="Times New Roman"/>
          <w:b/>
          <w:bCs/>
          <w:i/>
          <w:iCs/>
          <w:lang w:val="en-US"/>
        </w:rPr>
        <w:t>products</w:t>
      </w:r>
    </w:p>
    <w:p w14:paraId="76DB171C" w14:textId="336BBEBD" w:rsidR="00B96101" w:rsidRPr="005B2AA7" w:rsidRDefault="007F6FF7"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lang w:val="en-US"/>
        </w:rPr>
        <w:t xml:space="preserve">Among patients declaring themselves as having ever smoked cigarettes or having ever used an alternative </w:t>
      </w:r>
      <w:r w:rsidR="00386D81" w:rsidRPr="005B2AA7">
        <w:rPr>
          <w:rFonts w:ascii="Book Antiqua" w:hAnsi="Book Antiqua" w:cs="Times New Roman"/>
          <w:lang w:val="en-US"/>
        </w:rPr>
        <w:t xml:space="preserve">smoking </w:t>
      </w:r>
      <w:r w:rsidRPr="005B2AA7">
        <w:rPr>
          <w:rFonts w:ascii="Book Antiqua" w:hAnsi="Book Antiqua" w:cs="Times New Roman"/>
          <w:lang w:val="en-US"/>
        </w:rPr>
        <w:t xml:space="preserve">product, more than half were current cigarette smokers (59.0%). This proportion was significantly higher in CD than in UC patients (63.1% </w:t>
      </w:r>
      <w:r w:rsidRPr="005B2AA7">
        <w:rPr>
          <w:rFonts w:ascii="Book Antiqua" w:hAnsi="Book Antiqua" w:cs="Times New Roman"/>
          <w:i/>
          <w:iCs/>
          <w:lang w:val="en-US"/>
        </w:rPr>
        <w:t>vs</w:t>
      </w:r>
      <w:r w:rsidRPr="005B2AA7">
        <w:rPr>
          <w:rFonts w:ascii="Book Antiqua" w:hAnsi="Book Antiqua" w:cs="Times New Roman"/>
          <w:lang w:val="en-US"/>
        </w:rPr>
        <w:t xml:space="preserve"> 54.1%, </w:t>
      </w:r>
      <w:r w:rsidR="00EE2C11" w:rsidRPr="005B2AA7">
        <w:rPr>
          <w:rFonts w:ascii="Book Antiqua" w:hAnsi="Book Antiqua" w:cs="Times New Roman"/>
          <w:i/>
          <w:iCs/>
          <w:lang w:val="en-US"/>
        </w:rPr>
        <w:t>P</w:t>
      </w:r>
      <w:r w:rsidR="00EE2C11" w:rsidRPr="005B2AA7">
        <w:rPr>
          <w:rFonts w:ascii="Book Antiqua" w:hAnsi="Book Antiqua" w:cs="Times New Roman"/>
          <w:lang w:val="en-US"/>
        </w:rPr>
        <w:t xml:space="preserve"> = </w:t>
      </w:r>
      <w:r w:rsidRPr="005B2AA7">
        <w:rPr>
          <w:rFonts w:ascii="Book Antiqua" w:hAnsi="Book Antiqua" w:cs="Times New Roman"/>
          <w:lang w:val="en-US"/>
        </w:rPr>
        <w:t xml:space="preserve">0.012) (Table </w:t>
      </w:r>
      <w:r w:rsidR="00943805" w:rsidRPr="005B2AA7">
        <w:rPr>
          <w:rFonts w:ascii="Book Antiqua" w:hAnsi="Book Antiqua" w:cs="Times New Roman"/>
          <w:lang w:val="en-US"/>
        </w:rPr>
        <w:t>2</w:t>
      </w:r>
      <w:r w:rsidRPr="005B2AA7">
        <w:rPr>
          <w:rFonts w:ascii="Book Antiqua" w:hAnsi="Book Antiqua" w:cs="Times New Roman"/>
          <w:bCs/>
          <w:lang w:val="en-US"/>
        </w:rPr>
        <w:t>)</w:t>
      </w:r>
      <w:r w:rsidR="00B96101" w:rsidRPr="005B2AA7">
        <w:rPr>
          <w:rFonts w:ascii="Book Antiqua" w:hAnsi="Book Antiqua" w:cs="Times New Roman"/>
          <w:lang w:val="en-US"/>
        </w:rPr>
        <w:t>. Most ever smokers</w:t>
      </w:r>
      <w:r w:rsidRPr="005B2AA7">
        <w:rPr>
          <w:rFonts w:ascii="Book Antiqua" w:hAnsi="Book Antiqua" w:cs="Times New Roman"/>
          <w:lang w:val="en-US"/>
        </w:rPr>
        <w:t xml:space="preserve"> smoked cigarettes for more than 10 years (63.4%) and declared to have consumed on average more than 10 cigarettes per day (50.6%). The </w:t>
      </w:r>
      <w:r w:rsidRPr="005B2AA7">
        <w:rPr>
          <w:rFonts w:ascii="Book Antiqua" w:hAnsi="Book Antiqua" w:cs="Times New Roman"/>
          <w:lang w:val="en-US"/>
        </w:rPr>
        <w:lastRenderedPageBreak/>
        <w:t xml:space="preserve">extent of </w:t>
      </w:r>
      <w:r w:rsidR="00B75F56" w:rsidRPr="005B2AA7">
        <w:rPr>
          <w:rFonts w:ascii="Book Antiqua" w:hAnsi="Book Antiqua" w:cs="Times New Roman"/>
          <w:lang w:val="en-US"/>
        </w:rPr>
        <w:t>cigarette smoking</w:t>
      </w:r>
      <w:r w:rsidRPr="005B2AA7">
        <w:rPr>
          <w:rFonts w:ascii="Book Antiqua" w:hAnsi="Book Antiqua" w:cs="Times New Roman"/>
          <w:lang w:val="en-US"/>
        </w:rPr>
        <w:t xml:space="preserve"> was significantly higher in CD than in UC patients (</w:t>
      </w:r>
      <w:r w:rsidR="00EE2C11" w:rsidRPr="005B2AA7">
        <w:rPr>
          <w:rFonts w:ascii="Book Antiqua" w:hAnsi="Book Antiqua" w:cs="Times New Roman"/>
          <w:i/>
          <w:iCs/>
          <w:lang w:val="en-US"/>
        </w:rPr>
        <w:t xml:space="preserve">P </w:t>
      </w:r>
      <w:r w:rsidRPr="005B2AA7">
        <w:rPr>
          <w:rFonts w:ascii="Book Antiqua" w:hAnsi="Book Antiqua" w:cs="Times New Roman"/>
          <w:lang w:val="en-US"/>
        </w:rPr>
        <w:t>&lt;</w:t>
      </w:r>
      <w:r w:rsidR="00EE2C11" w:rsidRPr="005B2AA7">
        <w:rPr>
          <w:rFonts w:ascii="Book Antiqua" w:hAnsi="Book Antiqua" w:cs="Times New Roman"/>
          <w:lang w:val="en-US"/>
        </w:rPr>
        <w:t xml:space="preserve"> </w:t>
      </w:r>
      <w:r w:rsidRPr="005B2AA7">
        <w:rPr>
          <w:rFonts w:ascii="Book Antiqua" w:hAnsi="Book Antiqua" w:cs="Times New Roman"/>
          <w:lang w:val="en-US"/>
        </w:rPr>
        <w:t xml:space="preserve">0.001). The most commonly used products were cigarettes (91.6%), followed by </w:t>
      </w:r>
      <w:r w:rsidR="00DC5DF5" w:rsidRPr="005B2AA7">
        <w:rPr>
          <w:rFonts w:ascii="Book Antiqua" w:hAnsi="Book Antiqua" w:cs="Times New Roman"/>
          <w:lang w:val="en-US"/>
        </w:rPr>
        <w:t>e</w:t>
      </w:r>
      <w:r w:rsidRPr="005B2AA7">
        <w:rPr>
          <w:rFonts w:ascii="Book Antiqua" w:hAnsi="Book Antiqua" w:cs="Times New Roman"/>
          <w:lang w:val="en-US"/>
        </w:rPr>
        <w:t xml:space="preserve">-cigarettes (19.2%) and marijuana (17.0%). There were no significant differences in the use of any nicotine-containing product between CD and UC patients. </w:t>
      </w:r>
    </w:p>
    <w:p w14:paraId="3E0375DA" w14:textId="25CD0B95" w:rsidR="00B6592C" w:rsidRPr="005B2AA7" w:rsidRDefault="007F6FF7" w:rsidP="00253009">
      <w:pPr>
        <w:adjustRightInd w:val="0"/>
        <w:snapToGrid w:val="0"/>
        <w:spacing w:line="360" w:lineRule="auto"/>
        <w:ind w:firstLineChars="100" w:firstLine="240"/>
        <w:jc w:val="both"/>
        <w:rPr>
          <w:rFonts w:ascii="Book Antiqua" w:hAnsi="Book Antiqua" w:cs="Times New Roman"/>
          <w:lang w:val="en-US"/>
        </w:rPr>
      </w:pPr>
      <w:r w:rsidRPr="005B2AA7">
        <w:rPr>
          <w:rFonts w:ascii="Book Antiqua" w:hAnsi="Book Antiqua" w:cs="Times New Roman"/>
          <w:lang w:val="en-US"/>
        </w:rPr>
        <w:t xml:space="preserve">The vast majority of patients declared to be aware of the adverse health consequences of smoking (97.0%) and started </w:t>
      </w:r>
      <w:r w:rsidR="00B75F56" w:rsidRPr="005B2AA7">
        <w:rPr>
          <w:rFonts w:ascii="Book Antiqua" w:hAnsi="Book Antiqua" w:cs="Times New Roman"/>
          <w:lang w:val="en-US"/>
        </w:rPr>
        <w:t>cigarette smoking</w:t>
      </w:r>
      <w:r w:rsidRPr="005B2AA7">
        <w:rPr>
          <w:rFonts w:ascii="Book Antiqua" w:hAnsi="Book Antiqua" w:cs="Times New Roman"/>
          <w:lang w:val="en-US"/>
        </w:rPr>
        <w:t xml:space="preserve"> before IBD diagnosis (88.7%). This proportion was significantly higher in CD than in UC patients (92.0% </w:t>
      </w:r>
      <w:r w:rsidRPr="005B2AA7">
        <w:rPr>
          <w:rFonts w:ascii="Book Antiqua" w:hAnsi="Book Antiqua" w:cs="Times New Roman"/>
          <w:i/>
          <w:iCs/>
          <w:lang w:val="en-US"/>
        </w:rPr>
        <w:t>vs</w:t>
      </w:r>
      <w:r w:rsidRPr="005B2AA7">
        <w:rPr>
          <w:rFonts w:ascii="Book Antiqua" w:hAnsi="Book Antiqua" w:cs="Times New Roman"/>
          <w:lang w:val="en-US"/>
        </w:rPr>
        <w:t xml:space="preserve"> </w:t>
      </w:r>
      <w:r w:rsidR="00B96101" w:rsidRPr="005B2AA7">
        <w:rPr>
          <w:rFonts w:ascii="Book Antiqua" w:hAnsi="Book Antiqua" w:cs="Times New Roman"/>
          <w:lang w:val="en-US"/>
        </w:rPr>
        <w:t xml:space="preserve">84.6%, </w:t>
      </w:r>
      <w:r w:rsidR="00EE2C11" w:rsidRPr="005B2AA7">
        <w:rPr>
          <w:rFonts w:ascii="Book Antiqua" w:hAnsi="Book Antiqua" w:cs="Times New Roman"/>
          <w:i/>
          <w:iCs/>
          <w:lang w:val="en-US"/>
        </w:rPr>
        <w:t>P</w:t>
      </w:r>
      <w:r w:rsidR="00EE2C11" w:rsidRPr="005B2AA7">
        <w:rPr>
          <w:rFonts w:ascii="Book Antiqua" w:hAnsi="Book Antiqua" w:cs="Times New Roman"/>
          <w:lang w:val="en-US"/>
        </w:rPr>
        <w:t xml:space="preserve"> </w:t>
      </w:r>
      <w:r w:rsidR="00B96101" w:rsidRPr="005B2AA7">
        <w:rPr>
          <w:rFonts w:ascii="Book Antiqua" w:hAnsi="Book Antiqua" w:cs="Times New Roman"/>
          <w:lang w:val="en-US"/>
        </w:rPr>
        <w:t>=</w:t>
      </w:r>
      <w:r w:rsidR="00EE2C11" w:rsidRPr="005B2AA7">
        <w:rPr>
          <w:rFonts w:ascii="Book Antiqua" w:hAnsi="Book Antiqua" w:cs="Times New Roman"/>
          <w:lang w:val="en-US"/>
        </w:rPr>
        <w:t xml:space="preserve"> </w:t>
      </w:r>
      <w:r w:rsidR="00B96101" w:rsidRPr="005B2AA7">
        <w:rPr>
          <w:rFonts w:ascii="Book Antiqua" w:hAnsi="Book Antiqua" w:cs="Times New Roman"/>
          <w:lang w:val="en-US"/>
        </w:rPr>
        <w:t>0.001). About two-thirds</w:t>
      </w:r>
      <w:r w:rsidRPr="005B2AA7">
        <w:rPr>
          <w:rFonts w:ascii="Book Antiqua" w:hAnsi="Book Antiqua" w:cs="Times New Roman"/>
          <w:lang w:val="en-US"/>
        </w:rPr>
        <w:t xml:space="preserve"> of the participants declared to have ever stopped </w:t>
      </w:r>
      <w:r w:rsidR="00B75F56" w:rsidRPr="005B2AA7">
        <w:rPr>
          <w:rFonts w:ascii="Book Antiqua" w:hAnsi="Book Antiqua" w:cs="Times New Roman"/>
          <w:lang w:val="en-US"/>
        </w:rPr>
        <w:t>cigarette smoking</w:t>
      </w:r>
      <w:r w:rsidRPr="005B2AA7">
        <w:rPr>
          <w:rFonts w:ascii="Book Antiqua" w:hAnsi="Book Antiqua" w:cs="Times New Roman"/>
          <w:lang w:val="en-US"/>
        </w:rPr>
        <w:t xml:space="preserve"> and restarted (67.0%), with a significantly higher proportion among UC patients compared to CD patients (</w:t>
      </w:r>
      <w:r w:rsidR="00B96101" w:rsidRPr="005B2AA7">
        <w:rPr>
          <w:rFonts w:ascii="Book Antiqua" w:hAnsi="Book Antiqua" w:cs="Times New Roman"/>
          <w:lang w:val="en-US"/>
        </w:rPr>
        <w:t xml:space="preserve">73.1% </w:t>
      </w:r>
      <w:r w:rsidR="00B96101" w:rsidRPr="005B2AA7">
        <w:rPr>
          <w:rFonts w:ascii="Book Antiqua" w:hAnsi="Book Antiqua" w:cs="Times New Roman"/>
          <w:i/>
          <w:iCs/>
          <w:lang w:val="en-US"/>
        </w:rPr>
        <w:t>vs</w:t>
      </w:r>
      <w:r w:rsidR="00B96101" w:rsidRPr="005B2AA7">
        <w:rPr>
          <w:rFonts w:ascii="Book Antiqua" w:hAnsi="Book Antiqua" w:cs="Times New Roman"/>
          <w:lang w:val="en-US"/>
        </w:rPr>
        <w:t xml:space="preserve"> 62.0%, </w:t>
      </w:r>
      <w:r w:rsidR="00EE2C11" w:rsidRPr="005B2AA7">
        <w:rPr>
          <w:rFonts w:ascii="Book Antiqua" w:hAnsi="Book Antiqua" w:cs="Times New Roman"/>
          <w:i/>
          <w:iCs/>
          <w:lang w:val="en-US"/>
        </w:rPr>
        <w:t>P</w:t>
      </w:r>
      <w:r w:rsidR="00EE2C11" w:rsidRPr="005B2AA7">
        <w:rPr>
          <w:rFonts w:ascii="Book Antiqua" w:hAnsi="Book Antiqua" w:cs="Times New Roman"/>
          <w:lang w:val="en-US"/>
        </w:rPr>
        <w:t xml:space="preserve"> </w:t>
      </w:r>
      <w:r w:rsidR="00B96101" w:rsidRPr="005B2AA7">
        <w:rPr>
          <w:rFonts w:ascii="Book Antiqua" w:hAnsi="Book Antiqua" w:cs="Times New Roman"/>
          <w:lang w:val="en-US"/>
        </w:rPr>
        <w:t>=</w:t>
      </w:r>
      <w:r w:rsidR="00EE2C11" w:rsidRPr="005B2AA7">
        <w:rPr>
          <w:rFonts w:ascii="Book Antiqua" w:hAnsi="Book Antiqua" w:cs="Times New Roman"/>
          <w:lang w:val="en-US"/>
        </w:rPr>
        <w:t xml:space="preserve"> </w:t>
      </w:r>
      <w:r w:rsidR="00B96101" w:rsidRPr="005B2AA7">
        <w:rPr>
          <w:rFonts w:ascii="Book Antiqua" w:hAnsi="Book Antiqua" w:cs="Times New Roman"/>
          <w:lang w:val="en-US"/>
        </w:rPr>
        <w:t>0.001). M</w:t>
      </w:r>
      <w:r w:rsidRPr="005B2AA7">
        <w:rPr>
          <w:rFonts w:ascii="Book Antiqua" w:hAnsi="Book Antiqua" w:cs="Times New Roman"/>
          <w:lang w:val="en-US"/>
        </w:rPr>
        <w:t xml:space="preserve">ost UC patients stopped </w:t>
      </w:r>
      <w:r w:rsidR="00B75F56" w:rsidRPr="005B2AA7">
        <w:rPr>
          <w:rFonts w:ascii="Book Antiqua" w:hAnsi="Book Antiqua" w:cs="Times New Roman"/>
          <w:lang w:val="en-US"/>
        </w:rPr>
        <w:t>cigarette smoking</w:t>
      </w:r>
      <w:r w:rsidRPr="005B2AA7">
        <w:rPr>
          <w:rFonts w:ascii="Book Antiqua" w:hAnsi="Book Antiqua" w:cs="Times New Roman"/>
          <w:lang w:val="en-US"/>
        </w:rPr>
        <w:t xml:space="preserve"> before diagnosi</w:t>
      </w:r>
      <w:r w:rsidR="00B96101" w:rsidRPr="005B2AA7">
        <w:rPr>
          <w:rFonts w:ascii="Book Antiqua" w:hAnsi="Book Antiqua" w:cs="Times New Roman"/>
          <w:lang w:val="en-US"/>
        </w:rPr>
        <w:t>s (59.1%), while this was true for only about one-</w:t>
      </w:r>
      <w:r w:rsidRPr="005B2AA7">
        <w:rPr>
          <w:rFonts w:ascii="Book Antiqua" w:hAnsi="Book Antiqua" w:cs="Times New Roman"/>
          <w:lang w:val="en-US"/>
        </w:rPr>
        <w:t>third of CD patients (34.0%).</w:t>
      </w:r>
    </w:p>
    <w:p w14:paraId="0651F61C" w14:textId="1C5D7659" w:rsidR="00DF3B82" w:rsidRPr="005B2AA7" w:rsidRDefault="00B6592C" w:rsidP="00253009">
      <w:pPr>
        <w:adjustRightInd w:val="0"/>
        <w:snapToGrid w:val="0"/>
        <w:spacing w:line="360" w:lineRule="auto"/>
        <w:ind w:firstLineChars="100" w:firstLine="240"/>
        <w:jc w:val="both"/>
        <w:rPr>
          <w:rFonts w:ascii="Book Antiqua" w:hAnsi="Book Antiqua" w:cs="Times New Roman"/>
          <w:lang w:val="en-US"/>
        </w:rPr>
      </w:pPr>
      <w:r w:rsidRPr="005B2AA7">
        <w:rPr>
          <w:rFonts w:ascii="Book Antiqua" w:hAnsi="Book Antiqua" w:cs="Times New Roman"/>
          <w:lang w:val="en-US"/>
        </w:rPr>
        <w:t xml:space="preserve">Among patients declaring to have ever smoked cigarettes or used an alternative </w:t>
      </w:r>
      <w:r w:rsidR="00DF3B82" w:rsidRPr="005B2AA7">
        <w:rPr>
          <w:rFonts w:ascii="Book Antiqua" w:hAnsi="Book Antiqua" w:cs="Times New Roman"/>
          <w:lang w:val="en-US"/>
        </w:rPr>
        <w:t>smoking product, 20.0% were current users of an alternative smoking product. Differently from cigarette smokers, most users of these products declared a duration of use of less than one year (56.1%). Most users of alternative smoking products started using them (57.0%) or switched from cigarettes to these products after IBD diagnosis (59.6%).</w:t>
      </w:r>
    </w:p>
    <w:p w14:paraId="2FE4C18C" w14:textId="77777777" w:rsidR="007F6FF7" w:rsidRPr="005B2AA7" w:rsidRDefault="007F6FF7" w:rsidP="00253009">
      <w:pPr>
        <w:adjustRightInd w:val="0"/>
        <w:snapToGrid w:val="0"/>
        <w:spacing w:line="360" w:lineRule="auto"/>
        <w:jc w:val="both"/>
        <w:rPr>
          <w:rFonts w:ascii="Book Antiqua" w:hAnsi="Book Antiqua" w:cs="Times New Roman"/>
          <w:lang w:val="en-US"/>
        </w:rPr>
      </w:pPr>
    </w:p>
    <w:p w14:paraId="75E1F3A5" w14:textId="4756BCC3" w:rsidR="007F6FF7" w:rsidRPr="005B2AA7" w:rsidRDefault="007F6FF7" w:rsidP="00253009">
      <w:pPr>
        <w:adjustRightInd w:val="0"/>
        <w:snapToGrid w:val="0"/>
        <w:spacing w:line="360" w:lineRule="auto"/>
        <w:jc w:val="both"/>
        <w:rPr>
          <w:rFonts w:ascii="Book Antiqua" w:hAnsi="Book Antiqua" w:cs="Times New Roman"/>
          <w:b/>
          <w:bCs/>
          <w:i/>
          <w:iCs/>
          <w:lang w:val="en-US"/>
        </w:rPr>
      </w:pPr>
      <w:r w:rsidRPr="005B2AA7">
        <w:rPr>
          <w:rFonts w:ascii="Book Antiqua" w:hAnsi="Book Antiqua" w:cs="Times New Roman"/>
          <w:b/>
          <w:bCs/>
          <w:i/>
          <w:iCs/>
          <w:lang w:val="en-US"/>
        </w:rPr>
        <w:t xml:space="preserve">Impact of cigarette smoking or use of alternative </w:t>
      </w:r>
      <w:r w:rsidR="00386D81" w:rsidRPr="005B2AA7">
        <w:rPr>
          <w:rFonts w:ascii="Book Antiqua" w:hAnsi="Book Antiqua" w:cs="Times New Roman"/>
          <w:b/>
          <w:bCs/>
          <w:i/>
          <w:iCs/>
          <w:lang w:val="en-US"/>
        </w:rPr>
        <w:t xml:space="preserve">smoking </w:t>
      </w:r>
      <w:r w:rsidRPr="005B2AA7">
        <w:rPr>
          <w:rFonts w:ascii="Book Antiqua" w:hAnsi="Book Antiqua" w:cs="Times New Roman"/>
          <w:b/>
          <w:bCs/>
          <w:i/>
          <w:iCs/>
          <w:lang w:val="en-US"/>
        </w:rPr>
        <w:t>products on IBD</w:t>
      </w:r>
    </w:p>
    <w:p w14:paraId="784CEE55" w14:textId="021D8D88" w:rsidR="007F6FF7" w:rsidRPr="005B2AA7" w:rsidRDefault="007F6FF7"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lang w:val="en-US"/>
        </w:rPr>
        <w:t xml:space="preserve">Most cigarette smoking patients perceived </w:t>
      </w:r>
      <w:r w:rsidR="006A56B7" w:rsidRPr="005B2AA7">
        <w:rPr>
          <w:rFonts w:ascii="Book Antiqua" w:hAnsi="Book Antiqua" w:cs="Times New Roman"/>
          <w:lang w:val="en-US"/>
        </w:rPr>
        <w:t>that smoking</w:t>
      </w:r>
      <w:r w:rsidRPr="005B2AA7">
        <w:rPr>
          <w:rFonts w:ascii="Book Antiqua" w:hAnsi="Book Antiqua" w:cs="Times New Roman"/>
          <w:lang w:val="en-US"/>
        </w:rPr>
        <w:t xml:space="preserve"> significantly or moderately worsened disease activity (60.9%), while a lower proportion of patients using alternative </w:t>
      </w:r>
      <w:r w:rsidR="00386D81" w:rsidRPr="005B2AA7">
        <w:rPr>
          <w:rFonts w:ascii="Book Antiqua" w:hAnsi="Book Antiqua" w:cs="Times New Roman"/>
          <w:lang w:val="en-US"/>
        </w:rPr>
        <w:t xml:space="preserve">smoking </w:t>
      </w:r>
      <w:r w:rsidRPr="005B2AA7">
        <w:rPr>
          <w:rFonts w:ascii="Book Antiqua" w:hAnsi="Book Antiqua" w:cs="Times New Roman"/>
          <w:lang w:val="en-US"/>
        </w:rPr>
        <w:t>products had the same impression (15.3%).</w:t>
      </w:r>
      <w:r w:rsidR="00EE2C11" w:rsidRPr="005B2AA7">
        <w:rPr>
          <w:rFonts w:ascii="Book Antiqua" w:hAnsi="Book Antiqua" w:cs="Times New Roman"/>
          <w:lang w:val="en-US"/>
        </w:rPr>
        <w:t xml:space="preserve"> </w:t>
      </w:r>
      <w:r w:rsidRPr="005B2AA7">
        <w:rPr>
          <w:rFonts w:ascii="Book Antiqua" w:hAnsi="Book Antiqua" w:cs="Times New Roman"/>
          <w:lang w:val="en-US"/>
        </w:rPr>
        <w:t xml:space="preserve">A much lower proportion of patients believed their habit had no impact on disease activity among cigarette smokers (8.3%) than among users of alternative </w:t>
      </w:r>
      <w:r w:rsidR="00386D81" w:rsidRPr="005B2AA7">
        <w:rPr>
          <w:rFonts w:ascii="Book Antiqua" w:hAnsi="Book Antiqua" w:cs="Times New Roman"/>
          <w:lang w:val="en-US"/>
        </w:rPr>
        <w:t xml:space="preserve">smoking </w:t>
      </w:r>
      <w:r w:rsidRPr="005B2AA7">
        <w:rPr>
          <w:rFonts w:ascii="Book Antiqua" w:hAnsi="Book Antiqua" w:cs="Times New Roman"/>
          <w:lang w:val="en-US"/>
        </w:rPr>
        <w:t>products (66.4%).</w:t>
      </w:r>
    </w:p>
    <w:p w14:paraId="4CDA8363" w14:textId="6B5F3488" w:rsidR="006A56B7" w:rsidRPr="005B2AA7" w:rsidRDefault="000C2785" w:rsidP="00253009">
      <w:pPr>
        <w:adjustRightInd w:val="0"/>
        <w:snapToGrid w:val="0"/>
        <w:spacing w:line="360" w:lineRule="auto"/>
        <w:ind w:firstLineChars="100" w:firstLine="240"/>
        <w:jc w:val="both"/>
        <w:rPr>
          <w:rFonts w:ascii="Book Antiqua" w:hAnsi="Book Antiqua" w:cs="Times New Roman"/>
          <w:lang w:val="en-US"/>
        </w:rPr>
      </w:pPr>
      <w:r w:rsidRPr="005B2AA7">
        <w:rPr>
          <w:rFonts w:ascii="Book Antiqua" w:hAnsi="Book Antiqua" w:cs="Times New Roman"/>
          <w:lang w:val="en-US"/>
        </w:rPr>
        <w:t xml:space="preserve">Most patients did not have any therapy change due to smoking habits or use of alternative smoking products (66.7% after starting smoking, 79.2% after restarting smoking, 75.2% after stopping smoking, 90.1% after switching to </w:t>
      </w:r>
      <w:r w:rsidRPr="005B2AA7">
        <w:rPr>
          <w:rFonts w:ascii="Book Antiqua" w:hAnsi="Book Antiqua" w:cs="Times New Roman"/>
          <w:lang w:val="en-US"/>
        </w:rPr>
        <w:lastRenderedPageBreak/>
        <w:t>alternative smoking products and 89.7% after starting to use an alternative smoking product).</w:t>
      </w:r>
    </w:p>
    <w:p w14:paraId="3A603A93" w14:textId="1D67E512" w:rsidR="007F6FF7" w:rsidRPr="005B2AA7" w:rsidRDefault="007F6FF7" w:rsidP="00253009">
      <w:pPr>
        <w:adjustRightInd w:val="0"/>
        <w:snapToGrid w:val="0"/>
        <w:spacing w:line="360" w:lineRule="auto"/>
        <w:ind w:firstLineChars="100" w:firstLine="240"/>
        <w:jc w:val="both"/>
        <w:rPr>
          <w:rFonts w:ascii="Book Antiqua" w:hAnsi="Book Antiqua" w:cs="Times New Roman"/>
          <w:lang w:val="en-US"/>
        </w:rPr>
      </w:pPr>
      <w:r w:rsidRPr="005B2AA7">
        <w:rPr>
          <w:rFonts w:ascii="Book Antiqua" w:hAnsi="Book Antiqua" w:cs="Times New Roman"/>
          <w:lang w:val="en-US"/>
        </w:rPr>
        <w:t>The perception of the impact of cigarette smoking significantly differed between CD and UC patients (</w:t>
      </w:r>
      <w:bookmarkStart w:id="32" w:name="OLE_LINK31"/>
      <w:bookmarkStart w:id="33" w:name="OLE_LINK32"/>
      <w:r w:rsidR="00EE2C11" w:rsidRPr="005B2AA7">
        <w:rPr>
          <w:rFonts w:ascii="Book Antiqua" w:hAnsi="Book Antiqua" w:cs="Times New Roman"/>
          <w:i/>
          <w:iCs/>
          <w:lang w:val="en-US"/>
        </w:rPr>
        <w:t>P</w:t>
      </w:r>
      <w:r w:rsidR="00EE2C11" w:rsidRPr="005B2AA7">
        <w:rPr>
          <w:rFonts w:ascii="Book Antiqua" w:hAnsi="Book Antiqua" w:cs="Times New Roman"/>
          <w:lang w:val="en-US"/>
        </w:rPr>
        <w:t xml:space="preserve"> </w:t>
      </w:r>
      <w:r w:rsidRPr="005B2AA7">
        <w:rPr>
          <w:rFonts w:ascii="Book Antiqua" w:hAnsi="Book Antiqua" w:cs="Times New Roman"/>
          <w:lang w:val="en-US"/>
        </w:rPr>
        <w:t>&lt;</w:t>
      </w:r>
      <w:r w:rsidR="00EE2C11" w:rsidRPr="005B2AA7">
        <w:rPr>
          <w:rFonts w:ascii="Book Antiqua" w:hAnsi="Book Antiqua" w:cs="Times New Roman"/>
          <w:lang w:val="en-US"/>
        </w:rPr>
        <w:t xml:space="preserve"> </w:t>
      </w:r>
      <w:bookmarkEnd w:id="32"/>
      <w:bookmarkEnd w:id="33"/>
      <w:r w:rsidRPr="005B2AA7">
        <w:rPr>
          <w:rFonts w:ascii="Book Antiqua" w:hAnsi="Book Antiqua" w:cs="Times New Roman"/>
          <w:lang w:val="en-US"/>
        </w:rPr>
        <w:t>0.001)</w:t>
      </w:r>
      <w:r w:rsidR="00943805" w:rsidRPr="005B2AA7">
        <w:rPr>
          <w:rFonts w:ascii="Book Antiqua" w:hAnsi="Book Antiqua" w:cs="Times New Roman"/>
          <w:lang w:val="en-US"/>
        </w:rPr>
        <w:t xml:space="preserve"> (Table 3)</w:t>
      </w:r>
      <w:r w:rsidRPr="005B2AA7">
        <w:rPr>
          <w:rFonts w:ascii="Book Antiqua" w:hAnsi="Book Antiqua" w:cs="Times New Roman"/>
          <w:lang w:val="en-US"/>
        </w:rPr>
        <w:t xml:space="preserve">. </w:t>
      </w:r>
      <w:r w:rsidR="009036F4" w:rsidRPr="005B2AA7">
        <w:rPr>
          <w:rFonts w:ascii="Book Antiqua" w:hAnsi="Book Antiqua" w:cs="Times New Roman"/>
          <w:lang w:val="en-US"/>
        </w:rPr>
        <w:t>More than three-quarters (</w:t>
      </w:r>
      <w:r w:rsidRPr="005B2AA7">
        <w:rPr>
          <w:rFonts w:ascii="Book Antiqua" w:hAnsi="Book Antiqua" w:cs="Times New Roman"/>
          <w:lang w:val="en-US"/>
        </w:rPr>
        <w:t>79.2%</w:t>
      </w:r>
      <w:r w:rsidR="009036F4" w:rsidRPr="005B2AA7">
        <w:rPr>
          <w:rFonts w:ascii="Book Antiqua" w:hAnsi="Book Antiqua" w:cs="Times New Roman"/>
          <w:lang w:val="en-US"/>
        </w:rPr>
        <w:t>)</w:t>
      </w:r>
      <w:r w:rsidRPr="005B2AA7">
        <w:rPr>
          <w:rFonts w:ascii="Book Antiqua" w:hAnsi="Book Antiqua" w:cs="Times New Roman"/>
          <w:lang w:val="en-US"/>
        </w:rPr>
        <w:t xml:space="preserve"> of CD patients perceived </w:t>
      </w:r>
      <w:r w:rsidR="009036F4" w:rsidRPr="005B2AA7">
        <w:rPr>
          <w:rFonts w:ascii="Book Antiqua" w:hAnsi="Book Antiqua" w:cs="Times New Roman"/>
          <w:lang w:val="en-US"/>
        </w:rPr>
        <w:t xml:space="preserve">that smoking </w:t>
      </w:r>
      <w:r w:rsidRPr="005B2AA7">
        <w:rPr>
          <w:rFonts w:ascii="Book Antiqua" w:hAnsi="Book Antiqua" w:cs="Times New Roman"/>
          <w:lang w:val="en-US"/>
        </w:rPr>
        <w:t>significantly o</w:t>
      </w:r>
      <w:r w:rsidR="009036F4" w:rsidRPr="005B2AA7">
        <w:rPr>
          <w:rFonts w:ascii="Book Antiqua" w:hAnsi="Book Antiqua" w:cs="Times New Roman"/>
          <w:lang w:val="en-US"/>
        </w:rPr>
        <w:t>r</w:t>
      </w:r>
      <w:r w:rsidRPr="005B2AA7">
        <w:rPr>
          <w:rFonts w:ascii="Book Antiqua" w:hAnsi="Book Antiqua" w:cs="Times New Roman"/>
          <w:lang w:val="en-US"/>
        </w:rPr>
        <w:t xml:space="preserve"> moderately worsened disease activity </w:t>
      </w:r>
      <w:r w:rsidR="009036F4" w:rsidRPr="005B2AA7">
        <w:rPr>
          <w:rFonts w:ascii="Book Antiqua" w:hAnsi="Book Antiqua" w:cs="Times New Roman"/>
          <w:lang w:val="en-US"/>
        </w:rPr>
        <w:t>versus</w:t>
      </w:r>
      <w:r w:rsidRPr="005B2AA7">
        <w:rPr>
          <w:rFonts w:ascii="Book Antiqua" w:hAnsi="Book Antiqua" w:cs="Times New Roman"/>
          <w:lang w:val="en-US"/>
        </w:rPr>
        <w:t xml:space="preserve"> 34.0% of UC patients. Similarly, the perceived impact of using alternative </w:t>
      </w:r>
      <w:r w:rsidR="00386D81" w:rsidRPr="005B2AA7">
        <w:rPr>
          <w:rFonts w:ascii="Book Antiqua" w:hAnsi="Book Antiqua" w:cs="Times New Roman"/>
          <w:lang w:val="en-US"/>
        </w:rPr>
        <w:t xml:space="preserve">smoking </w:t>
      </w:r>
      <w:r w:rsidRPr="005B2AA7">
        <w:rPr>
          <w:rFonts w:ascii="Book Antiqua" w:hAnsi="Book Antiqua" w:cs="Times New Roman"/>
          <w:lang w:val="en-US"/>
        </w:rPr>
        <w:t>products on disease activity significantly differed between CD and UC patients (</w:t>
      </w:r>
      <w:r w:rsidR="00EE2C11" w:rsidRPr="005B2AA7">
        <w:rPr>
          <w:rFonts w:ascii="Book Antiqua" w:hAnsi="Book Antiqua" w:cs="Times New Roman"/>
          <w:i/>
          <w:iCs/>
          <w:lang w:val="en-US"/>
        </w:rPr>
        <w:t>P</w:t>
      </w:r>
      <w:r w:rsidR="00EE2C11" w:rsidRPr="005B2AA7">
        <w:rPr>
          <w:rFonts w:ascii="Book Antiqua" w:hAnsi="Book Antiqua" w:cs="Times New Roman"/>
          <w:lang w:val="en-US"/>
        </w:rPr>
        <w:t xml:space="preserve"> </w:t>
      </w:r>
      <w:r w:rsidRPr="005B2AA7">
        <w:rPr>
          <w:rFonts w:ascii="Book Antiqua" w:hAnsi="Book Antiqua" w:cs="Times New Roman"/>
          <w:lang w:val="en-US"/>
        </w:rPr>
        <w:t>=</w:t>
      </w:r>
      <w:r w:rsidR="00EE2C11" w:rsidRPr="005B2AA7">
        <w:rPr>
          <w:rFonts w:ascii="Book Antiqua" w:hAnsi="Book Antiqua" w:cs="Times New Roman"/>
          <w:lang w:val="en-US"/>
        </w:rPr>
        <w:t xml:space="preserve"> </w:t>
      </w:r>
      <w:r w:rsidRPr="005B2AA7">
        <w:rPr>
          <w:rFonts w:ascii="Book Antiqua" w:hAnsi="Book Antiqua" w:cs="Times New Roman"/>
          <w:lang w:val="en-US"/>
        </w:rPr>
        <w:t>0.004), even though the magnitude of the effect was less strong (Table 3</w:t>
      </w:r>
      <w:r w:rsidRPr="005B2AA7">
        <w:rPr>
          <w:rFonts w:ascii="Book Antiqua" w:hAnsi="Book Antiqua" w:cs="Times New Roman"/>
          <w:bCs/>
          <w:lang w:val="en-US"/>
        </w:rPr>
        <w:t>)</w:t>
      </w:r>
      <w:r w:rsidRPr="005B2AA7">
        <w:rPr>
          <w:rFonts w:ascii="Book Antiqua" w:hAnsi="Book Antiqua" w:cs="Times New Roman"/>
          <w:lang w:val="en-US"/>
        </w:rPr>
        <w:t>.</w:t>
      </w:r>
    </w:p>
    <w:p w14:paraId="18B3F172" w14:textId="77777777" w:rsidR="007F6FF7" w:rsidRPr="005B2AA7" w:rsidRDefault="007F6FF7" w:rsidP="00253009">
      <w:pPr>
        <w:adjustRightInd w:val="0"/>
        <w:snapToGrid w:val="0"/>
        <w:spacing w:line="360" w:lineRule="auto"/>
        <w:jc w:val="both"/>
        <w:rPr>
          <w:rFonts w:ascii="Book Antiqua" w:hAnsi="Book Antiqua" w:cs="Times New Roman"/>
          <w:lang w:val="en-US"/>
        </w:rPr>
      </w:pPr>
    </w:p>
    <w:p w14:paraId="4A42664C" w14:textId="77777777" w:rsidR="007F6FF7" w:rsidRPr="005B2AA7" w:rsidRDefault="007F6FF7" w:rsidP="00253009">
      <w:pPr>
        <w:adjustRightInd w:val="0"/>
        <w:snapToGrid w:val="0"/>
        <w:spacing w:line="360" w:lineRule="auto"/>
        <w:jc w:val="both"/>
        <w:rPr>
          <w:rFonts w:ascii="Book Antiqua" w:hAnsi="Book Antiqua" w:cs="Times New Roman"/>
          <w:b/>
          <w:bCs/>
          <w:i/>
          <w:iCs/>
          <w:lang w:val="en-US"/>
        </w:rPr>
      </w:pPr>
      <w:r w:rsidRPr="005B2AA7">
        <w:rPr>
          <w:rFonts w:ascii="Book Antiqua" w:hAnsi="Book Antiqua" w:cs="Times New Roman"/>
          <w:b/>
          <w:bCs/>
          <w:i/>
          <w:iCs/>
          <w:lang w:val="en-US"/>
        </w:rPr>
        <w:t>Discussion with own physician about the effect of smoking on IBD</w:t>
      </w:r>
    </w:p>
    <w:p w14:paraId="705B612D" w14:textId="568EFCA9" w:rsidR="007F6FF7" w:rsidRPr="005B2AA7" w:rsidRDefault="007F6FF7" w:rsidP="00253009">
      <w:pPr>
        <w:adjustRightInd w:val="0"/>
        <w:snapToGrid w:val="0"/>
        <w:spacing w:line="360" w:lineRule="auto"/>
        <w:jc w:val="both"/>
        <w:rPr>
          <w:rFonts w:ascii="Book Antiqua" w:hAnsi="Book Antiqua" w:cs="Times New Roman"/>
          <w:i/>
          <w:iCs/>
          <w:lang w:val="en-US"/>
        </w:rPr>
      </w:pPr>
      <w:r w:rsidRPr="005B2AA7">
        <w:rPr>
          <w:rFonts w:ascii="Book Antiqua" w:hAnsi="Book Antiqua" w:cs="Times New Roman"/>
          <w:lang w:val="en-US"/>
        </w:rPr>
        <w:t xml:space="preserve">Among patients having ever smoked cigarettes, 31.7% did not </w:t>
      </w:r>
      <w:r w:rsidR="00782520" w:rsidRPr="005B2AA7">
        <w:rPr>
          <w:rFonts w:ascii="Book Antiqua" w:hAnsi="Book Antiqua" w:cs="Times New Roman"/>
          <w:lang w:val="en-US"/>
        </w:rPr>
        <w:t xml:space="preserve">receive any information from their physician on </w:t>
      </w:r>
      <w:r w:rsidRPr="005B2AA7">
        <w:rPr>
          <w:rFonts w:ascii="Book Antiqua" w:hAnsi="Book Antiqua" w:cs="Times New Roman"/>
          <w:lang w:val="en-US"/>
        </w:rPr>
        <w:t xml:space="preserve">the effect of smoking on disease activity, </w:t>
      </w:r>
      <w:r w:rsidR="00782520" w:rsidRPr="005B2AA7">
        <w:rPr>
          <w:rFonts w:ascii="Book Antiqua" w:hAnsi="Book Antiqua" w:cs="Times New Roman"/>
          <w:lang w:val="en-US"/>
        </w:rPr>
        <w:t xml:space="preserve">while </w:t>
      </w:r>
      <w:r w:rsidRPr="005B2AA7">
        <w:rPr>
          <w:rFonts w:ascii="Book Antiqua" w:hAnsi="Book Antiqua" w:cs="Times New Roman"/>
          <w:lang w:val="en-US"/>
        </w:rPr>
        <w:t xml:space="preserve">45.4% of them received the information that smoking is detrimental to disease activity. These proportions were significantly different in CD than in UC patients (not discussed: 21.6% </w:t>
      </w:r>
      <w:r w:rsidRPr="005B2AA7">
        <w:rPr>
          <w:rFonts w:ascii="Book Antiqua" w:hAnsi="Book Antiqua" w:cs="Times New Roman"/>
          <w:i/>
          <w:iCs/>
          <w:lang w:val="en-US"/>
        </w:rPr>
        <w:t>vs</w:t>
      </w:r>
      <w:r w:rsidRPr="005B2AA7">
        <w:rPr>
          <w:rFonts w:ascii="Book Antiqua" w:hAnsi="Book Antiqua" w:cs="Times New Roman"/>
          <w:lang w:val="en-US"/>
        </w:rPr>
        <w:t xml:space="preserve"> 44.6%; detrimental: 69.4% </w:t>
      </w:r>
      <w:r w:rsidRPr="005B2AA7">
        <w:rPr>
          <w:rFonts w:ascii="Book Antiqua" w:hAnsi="Book Antiqua" w:cs="Times New Roman"/>
          <w:i/>
          <w:iCs/>
          <w:lang w:val="en-US"/>
        </w:rPr>
        <w:t xml:space="preserve">vs </w:t>
      </w:r>
      <w:r w:rsidRPr="005B2AA7">
        <w:rPr>
          <w:rFonts w:ascii="Book Antiqua" w:hAnsi="Book Antiqua" w:cs="Times New Roman"/>
          <w:lang w:val="en-US"/>
        </w:rPr>
        <w:t>14.6%;</w:t>
      </w:r>
      <w:r w:rsidR="00EE2C11" w:rsidRPr="005B2AA7">
        <w:rPr>
          <w:rFonts w:ascii="Book Antiqua" w:hAnsi="Book Antiqua" w:cs="Times New Roman"/>
          <w:i/>
          <w:iCs/>
          <w:lang w:val="en-US"/>
        </w:rPr>
        <w:t xml:space="preserve"> P</w:t>
      </w:r>
      <w:r w:rsidR="00EE2C11" w:rsidRPr="005B2AA7">
        <w:rPr>
          <w:rFonts w:ascii="Book Antiqua" w:hAnsi="Book Antiqua" w:cs="Times New Roman"/>
          <w:lang w:val="en-US"/>
        </w:rPr>
        <w:t xml:space="preserve"> &lt; </w:t>
      </w:r>
      <w:r w:rsidRPr="005B2AA7">
        <w:rPr>
          <w:rFonts w:ascii="Book Antiqua" w:hAnsi="Book Antiqua" w:cs="Times New Roman"/>
          <w:lang w:val="en-US"/>
        </w:rPr>
        <w:t xml:space="preserve">0.001) (Table </w:t>
      </w:r>
      <w:r w:rsidR="00943805" w:rsidRPr="005B2AA7">
        <w:rPr>
          <w:rFonts w:ascii="Book Antiqua" w:hAnsi="Book Antiqua" w:cs="Times New Roman"/>
          <w:lang w:val="en-US"/>
        </w:rPr>
        <w:t>4</w:t>
      </w:r>
      <w:r w:rsidRPr="005B2AA7">
        <w:rPr>
          <w:rFonts w:ascii="Book Antiqua" w:hAnsi="Book Antiqua" w:cs="Times New Roman"/>
          <w:lang w:val="en-US"/>
        </w:rPr>
        <w:t>).</w:t>
      </w:r>
    </w:p>
    <w:p w14:paraId="7CABE6F1" w14:textId="24B403C3" w:rsidR="007F6FF7" w:rsidRPr="005B2AA7" w:rsidRDefault="007F6FF7" w:rsidP="00253009">
      <w:pPr>
        <w:adjustRightInd w:val="0"/>
        <w:snapToGrid w:val="0"/>
        <w:spacing w:line="360" w:lineRule="auto"/>
        <w:ind w:firstLineChars="100" w:firstLine="240"/>
        <w:jc w:val="both"/>
        <w:rPr>
          <w:rFonts w:ascii="Book Antiqua" w:hAnsi="Book Antiqua" w:cs="Times New Roman"/>
          <w:lang w:val="en-US"/>
        </w:rPr>
      </w:pPr>
      <w:r w:rsidRPr="005B2AA7">
        <w:rPr>
          <w:rFonts w:ascii="Book Antiqua" w:hAnsi="Book Antiqua" w:cs="Times New Roman"/>
          <w:lang w:val="en-US"/>
        </w:rPr>
        <w:t xml:space="preserve">Among patients having ever used alternative </w:t>
      </w:r>
      <w:r w:rsidR="00386D81" w:rsidRPr="005B2AA7">
        <w:rPr>
          <w:rFonts w:ascii="Book Antiqua" w:hAnsi="Book Antiqua" w:cs="Times New Roman"/>
          <w:lang w:val="en-US"/>
        </w:rPr>
        <w:t xml:space="preserve">smoking </w:t>
      </w:r>
      <w:r w:rsidRPr="005B2AA7">
        <w:rPr>
          <w:rFonts w:ascii="Book Antiqua" w:hAnsi="Book Antiqua" w:cs="Times New Roman"/>
          <w:lang w:val="en-US"/>
        </w:rPr>
        <w:t>products, 56.8% did not discuss the effect of these products on disease activity, and 25.2% of th</w:t>
      </w:r>
      <w:r w:rsidR="00371CF6" w:rsidRPr="005B2AA7">
        <w:rPr>
          <w:rFonts w:ascii="Book Antiqua" w:hAnsi="Book Antiqua" w:cs="Times New Roman"/>
          <w:lang w:val="en-US"/>
        </w:rPr>
        <w:t xml:space="preserve">em received the information that </w:t>
      </w:r>
      <w:r w:rsidRPr="005B2AA7">
        <w:rPr>
          <w:rFonts w:ascii="Book Antiqua" w:hAnsi="Book Antiqua" w:cs="Times New Roman"/>
          <w:lang w:val="en-US"/>
        </w:rPr>
        <w:t>using them is detrimental to disease activity</w:t>
      </w:r>
      <w:r w:rsidR="00371CF6" w:rsidRPr="005B2AA7">
        <w:rPr>
          <w:rFonts w:ascii="Book Antiqua" w:hAnsi="Book Antiqua" w:cs="Times New Roman"/>
          <w:lang w:val="en-US"/>
        </w:rPr>
        <w:t>.</w:t>
      </w:r>
      <w:r w:rsidRPr="005B2AA7">
        <w:rPr>
          <w:rFonts w:ascii="Book Antiqua" w:hAnsi="Book Antiqua" w:cs="Times New Roman"/>
          <w:lang w:val="en-US"/>
        </w:rPr>
        <w:t xml:space="preserve"> These proportions were significantly different in CD than in UC patients (not discussed: 51.8% </w:t>
      </w:r>
      <w:r w:rsidRPr="005B2AA7">
        <w:rPr>
          <w:rFonts w:ascii="Book Antiqua" w:hAnsi="Book Antiqua" w:cs="Times New Roman"/>
          <w:i/>
          <w:iCs/>
          <w:lang w:val="en-US"/>
        </w:rPr>
        <w:t>vs</w:t>
      </w:r>
      <w:r w:rsidRPr="005B2AA7">
        <w:rPr>
          <w:rFonts w:ascii="Book Antiqua" w:hAnsi="Book Antiqua" w:cs="Times New Roman"/>
          <w:lang w:val="en-US"/>
        </w:rPr>
        <w:t xml:space="preserve"> 62.5%; detrimental: 37.4% </w:t>
      </w:r>
      <w:r w:rsidRPr="005B2AA7">
        <w:rPr>
          <w:rFonts w:ascii="Book Antiqua" w:hAnsi="Book Antiqua" w:cs="Times New Roman"/>
          <w:i/>
          <w:iCs/>
          <w:lang w:val="en-US"/>
        </w:rPr>
        <w:t>vs</w:t>
      </w:r>
      <w:r w:rsidRPr="005B2AA7">
        <w:rPr>
          <w:rFonts w:ascii="Book Antiqua" w:hAnsi="Book Antiqua" w:cs="Times New Roman"/>
          <w:lang w:val="en-US"/>
        </w:rPr>
        <w:t xml:space="preserve"> 11.1%; </w:t>
      </w:r>
      <w:r w:rsidR="00375D78" w:rsidRPr="005B2AA7">
        <w:rPr>
          <w:rFonts w:ascii="Book Antiqua" w:hAnsi="Book Antiqua" w:cs="Times New Roman"/>
          <w:i/>
          <w:iCs/>
          <w:lang w:val="en-US"/>
        </w:rPr>
        <w:t>P</w:t>
      </w:r>
      <w:r w:rsidR="00375D78" w:rsidRPr="005B2AA7">
        <w:rPr>
          <w:rFonts w:ascii="Book Antiqua" w:hAnsi="Book Antiqua" w:cs="Times New Roman"/>
          <w:lang w:val="en-US"/>
        </w:rPr>
        <w:t xml:space="preserve"> &lt; </w:t>
      </w:r>
      <w:r w:rsidRPr="005B2AA7">
        <w:rPr>
          <w:rFonts w:ascii="Book Antiqua" w:hAnsi="Book Antiqua" w:cs="Times New Roman"/>
          <w:lang w:val="en-US"/>
        </w:rPr>
        <w:t xml:space="preserve">0.001) (Table </w:t>
      </w:r>
      <w:r w:rsidR="00943805" w:rsidRPr="005B2AA7">
        <w:rPr>
          <w:rFonts w:ascii="Book Antiqua" w:hAnsi="Book Antiqua" w:cs="Times New Roman"/>
          <w:lang w:val="en-US"/>
        </w:rPr>
        <w:t>4</w:t>
      </w:r>
      <w:r w:rsidRPr="005B2AA7">
        <w:rPr>
          <w:rFonts w:ascii="Book Antiqua" w:hAnsi="Book Antiqua" w:cs="Times New Roman"/>
          <w:bCs/>
          <w:lang w:val="en-US"/>
        </w:rPr>
        <w:t>)</w:t>
      </w:r>
      <w:r w:rsidRPr="005B2AA7">
        <w:rPr>
          <w:rFonts w:ascii="Book Antiqua" w:hAnsi="Book Antiqua" w:cs="Times New Roman"/>
          <w:lang w:val="en-US"/>
        </w:rPr>
        <w:t>.</w:t>
      </w:r>
    </w:p>
    <w:p w14:paraId="07C2D1EB" w14:textId="77777777" w:rsidR="00375D78" w:rsidRPr="005B2AA7" w:rsidRDefault="00375D78" w:rsidP="00253009">
      <w:pPr>
        <w:adjustRightInd w:val="0"/>
        <w:snapToGrid w:val="0"/>
        <w:spacing w:line="360" w:lineRule="auto"/>
        <w:jc w:val="both"/>
        <w:rPr>
          <w:rFonts w:ascii="Book Antiqua" w:hAnsi="Book Antiqua"/>
          <w:color w:val="000000"/>
        </w:rPr>
      </w:pPr>
    </w:p>
    <w:p w14:paraId="04426BFB" w14:textId="77777777" w:rsidR="004A21CD" w:rsidRPr="005B2AA7" w:rsidRDefault="00375D78" w:rsidP="00253009">
      <w:pPr>
        <w:adjustRightInd w:val="0"/>
        <w:snapToGrid w:val="0"/>
        <w:spacing w:line="360" w:lineRule="auto"/>
        <w:jc w:val="both"/>
        <w:rPr>
          <w:rFonts w:ascii="Book Antiqua" w:hAnsi="Book Antiqua"/>
          <w:b/>
          <w:color w:val="000000"/>
          <w:u w:val="single"/>
        </w:rPr>
      </w:pPr>
      <w:r w:rsidRPr="005B2AA7">
        <w:rPr>
          <w:rFonts w:ascii="Book Antiqua" w:hAnsi="Book Antiqua"/>
          <w:b/>
          <w:color w:val="000000"/>
          <w:u w:val="single"/>
        </w:rPr>
        <w:t>DISCUSSION</w:t>
      </w:r>
    </w:p>
    <w:p w14:paraId="21782CDB" w14:textId="77777777" w:rsidR="00A812CC" w:rsidRPr="005B2AA7" w:rsidRDefault="00045E63"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lang w:val="en-US"/>
        </w:rPr>
        <w:t xml:space="preserve">Our first objective was to assess patients’ perceptions about the impact of smoking on their disease, and next to assess differences of these perceptions between CD and UC patients, with the aim to understand how different smoker profiles perceived the </w:t>
      </w:r>
      <w:r w:rsidR="00A812CC" w:rsidRPr="005B2AA7">
        <w:rPr>
          <w:rFonts w:ascii="Book Antiqua" w:hAnsi="Book Antiqua" w:cs="Times New Roman"/>
          <w:lang w:val="en-US"/>
        </w:rPr>
        <w:t>impact of smoking on their IBD.</w:t>
      </w:r>
    </w:p>
    <w:p w14:paraId="0222C521" w14:textId="2CCD5A6D" w:rsidR="00045E63" w:rsidRPr="005B2AA7" w:rsidRDefault="00045E63" w:rsidP="00253009">
      <w:pPr>
        <w:adjustRightInd w:val="0"/>
        <w:snapToGrid w:val="0"/>
        <w:spacing w:line="360" w:lineRule="auto"/>
        <w:ind w:firstLineChars="100" w:firstLine="240"/>
        <w:jc w:val="both"/>
        <w:rPr>
          <w:rFonts w:ascii="Book Antiqua" w:hAnsi="Book Antiqua" w:cs="Times New Roman"/>
          <w:lang w:val="en-US"/>
        </w:rPr>
      </w:pPr>
      <w:r w:rsidRPr="005B2AA7">
        <w:rPr>
          <w:rFonts w:ascii="Book Antiqua" w:hAnsi="Book Antiqua" w:cs="Times New Roman"/>
          <w:lang w:val="en-US"/>
        </w:rPr>
        <w:t xml:space="preserve">Most patients were aware of the adverse health consequences of smoking and started cigarette smoking before IBD diagnosis. However, CD and UC patients showed different awareness about the impact of smoking cigarettes </w:t>
      </w:r>
      <w:r w:rsidRPr="005B2AA7">
        <w:rPr>
          <w:rFonts w:ascii="Book Antiqua" w:hAnsi="Book Antiqua" w:cs="Times New Roman"/>
          <w:lang w:val="en-US"/>
        </w:rPr>
        <w:lastRenderedPageBreak/>
        <w:t>on their disease activity. Indeed, most CD patients were aware of a detrimental effect of smoking, and a large proportion of UC patients was aware of possible beneficial impact of smoking on their disease activity. Interestingly, most UC patients did not discuss this topic with their own physician. This is in line with previous studies conducted on this issue</w:t>
      </w:r>
      <w:r w:rsidRPr="005B2AA7">
        <w:rPr>
          <w:rFonts w:ascii="Book Antiqua" w:hAnsi="Book Antiqua" w:cs="Times New Roman"/>
          <w:lang w:val="en-US"/>
        </w:rPr>
        <w:fldChar w:fldCharType="begin"/>
      </w:r>
      <w:r w:rsidRPr="005B2AA7">
        <w:rPr>
          <w:rFonts w:ascii="Book Antiqua" w:hAnsi="Book Antiqua" w:cs="Times New Roman"/>
          <w:lang w:val="en-US"/>
        </w:rPr>
        <w:instrText xml:space="preserve"> ADDIN ZOTERO_ITEM CSL_CITATION {"citationID":"O0F3g2K7","properties":{"formattedCitation":"\\super [25,26]\\nosupersub{}","plainCitation":"[25,26]","noteIndex":0},"citationItems":[{"id":4014,"uris":["http://zotero.org/users/3734960/items/A3K26HLW"],"uri":["http://zotero.org/users/3734960/items/A3K26HLW"],"itemData":{"id":4014,"type":"article-journal","abstract":"BACKGROUND AND AIM: Smoking is a risk factor for developing Crohn's disease (CD) and worsens its outcome. Conversely, in ulcerative colitis (UC), the onset may be triggered by the smoking cessation and smoking may be beneficial. To help to ascertain whether patients with inflammatory bowel disease (IBD) would benefit from attending a smoking cessation clinic, we assessed: first, the prevalence of smoking; second, patients' awareness of the effects of smoking, and finally nicotine dependence in IBD patients compared with the healthy and disease-matched controls.\nMETHODS: A total of 246 consecutive IBD outpatients (173 patients with CD, 73 patients with UC) completed a questionnaire on smoking habits and its effect on IBD. Smokers were assessed for dependence using the Fagerstrom test for nicotine dependence (FTND) score and their results were compared with those of age, sex, and ethnicity-matched healthy (five controls for each IBD patient) and asthma controls (one control for each IBD patient) attending a smoking cessation clinic.\nRESULTS: Thirty five out of 173 patients (20%) with CD and nine out of 73 patients (12%) with UC were current smokers, with 52 out of 173 patients (30%) with CD and 28 out of 73 patients (38%) with UC being ex-smokers. Ninety out of 173 patients (52%) with CD knew that smoking worsens CD, whereas only 15 out of 73 patients (21%) with UC knew of the beneficial effects of smoking on their disease (P=0.032). Knowledge was unrelated to smoking status. In patients with CD, the median (range) FTND score was 3 (0-8) compared with 7 (2-10) in healthy (P&lt;0.001) and 6 (2-9) in asthma controls (P&lt;0.0001). Only seven of the 35 (20%) smoking patients with CD were highly dependent (FTND score ≥6). Similarly, in the patients with UC, the FTND score was 1 (0-4), lower than in healthy, [6 (2-10)], and asthma controls, [7 (4-10); (P&lt;0.004 for both groups)].\nCONCLUSION: Patients with CD were better informed about the effects of smoking on their own disease than the patients with UC. Nicotine dependence in IBD patients is lower than in smokers' clinic clients and comparable with that of the general population. Their low nicotine dependence suggests that most IBD patients could be weaned off the smoking habit successfully in the IBD clinic and referral to a smoking cessation clinic was offered to the highly dependent minority and others expressing interest in attending.","container-title":"European Journal of Gastroenterology &amp; Hepatology","DOI":"10.1097/MEG.0b013e32834108ce","ISSN":"1473-5687","issue":"1","journalAbbreviation":"Eur J Gastroenterol Hepatol","language":"eng","note":"PMID: 21030867","page":"90-94","source":"PubMed","title":"Tobacco dependence and awareness of health risks of smoking in patients with inflammatory bowel disease","volume":"23","author":[{"family":"Wahed","given":"Mahmood"},{"family":"Goodhand","given":"James R."},{"family":"West","given":"Oliver"},{"family":"McDermott","given":"Adam"},{"family":"Hajek","given":"Peter"},{"family":"Rampton","given":"David S."}],"issued":{"date-parts":[["2011",1]]}}},{"id":4010,"uris":["http://zotero.org/users/3734960/items/DY7FWPSY"],"uri":["http://zotero.org/users/3734960/items/DY7FWPSY"],"itemData":{"id":4010,"type":"article-journal","abstract":"BACKGOUND: Tobacco is one of the most significant risk factors for inflammatory bowel disease (IBD).\nGOALS: The main objective was to assess the knowledge of patients with IBD regarding the effects of tobacco on their disease. Secondary objectives were to determine the source of their knowledge, the influence of their knowledge on their intent to quit smoking, and the association between patients' characteristics and their knowledge.\nSTUDY: Patients with IBD completed a self-administered questionnaire on demographic data, severity of disease, and effects of tobacco on their disease.\nRESULTS: In total 259 patients [182 with Crohn's disease, 77 with ulcerative colitis (UC)] participated. The prevalence of current smokers, exsmokers, and nonsmokers was 19.6%, 40.2%, and 40.2%, respectively. Patients with Crohn's disease were more aware of the effects of tobacco on their disease compared with those with UC (57.7% vs. 13.0%, P&lt;0.0001). In informed patients, the main source of information was the gastroenterologist (56.9%). The intent to quit smoking was superior in informed patients compared with those uninformed (78.6% vs. 47.8%, P=0.046). Older patients (odds ratio=0.97, P=0.01) and patients with UC (odds ratio=0.11, P&lt;0.0001) were less likely to be informed.\nCONCLUSIONS: Only half of patients with IBD are aware of the risks of smoking associated with their disease, whereas their intent to quit smoking is directly related to their awareness. In the scope of IBD's treatment, management of smoking cessation should be undertaken in all smokers.","container-title":"Journal of Clinical Gastroenterology","DOI":"10.1097/MCG.0000000000000386","ISSN":"1539-2031","issue":"6","journalAbbreviation":"J. Clin. Gastroenterol.","language":"eng","note":"PMID: 26196475","page":"490-497","source":"PubMed","title":"Patients With Inflammatory Bowel Disease Are Unaware of the Impact of Smoking on Their Disease","volume":"50","author":[{"family":"Ducharme-Bénard","given":"Stéphanie"},{"family":"Côté-Daigneault","given":"Justin"},{"family":"Lemoyne","given":"Michel"},{"family":"Orlicka","given":"Katarzyna"},{"family":"Lahaie","given":"Raymond"},{"family":"Weber","given":"Audrey"},{"family":"Bouin","given":"Mickael"}],"issued":{"date-parts":[["2016"]]}}}],"schema":"https://github.com/citation-style-language/schema/raw/master/csl-citation.json"} </w:instrText>
      </w:r>
      <w:r w:rsidRPr="005B2AA7">
        <w:rPr>
          <w:rFonts w:ascii="Book Antiqua" w:hAnsi="Book Antiqua" w:cs="Times New Roman"/>
          <w:lang w:val="en-US"/>
        </w:rPr>
        <w:fldChar w:fldCharType="separate"/>
      </w:r>
      <w:r w:rsidRPr="005B2AA7">
        <w:rPr>
          <w:rFonts w:ascii="Book Antiqua" w:hAnsi="Book Antiqua" w:cs="Times New Roman"/>
          <w:vertAlign w:val="superscript"/>
        </w:rPr>
        <w:t>[25,26]</w:t>
      </w:r>
      <w:r w:rsidRPr="005B2AA7">
        <w:rPr>
          <w:rFonts w:ascii="Book Antiqua" w:hAnsi="Book Antiqua" w:cs="Times New Roman"/>
          <w:lang w:val="en-US"/>
        </w:rPr>
        <w:fldChar w:fldCharType="end"/>
      </w:r>
      <w:r w:rsidRPr="005B2AA7">
        <w:rPr>
          <w:rFonts w:ascii="Book Antiqua" w:hAnsi="Book Antiqua" w:cs="Times New Roman"/>
          <w:lang w:val="en-US"/>
        </w:rPr>
        <w:t>. Both Wahed</w:t>
      </w:r>
      <w:r w:rsidRPr="005B2AA7">
        <w:rPr>
          <w:rFonts w:ascii="Book Antiqua" w:hAnsi="Book Antiqua" w:cs="Times New Roman"/>
          <w:i/>
          <w:iCs/>
          <w:lang w:val="en-US"/>
        </w:rPr>
        <w:t xml:space="preserve"> et al</w:t>
      </w:r>
      <w:r w:rsidRPr="005B2AA7">
        <w:rPr>
          <w:rFonts w:ascii="Book Antiqua" w:hAnsi="Book Antiqua" w:cs="Times New Roman"/>
          <w:lang w:val="en-US"/>
        </w:rPr>
        <w:fldChar w:fldCharType="begin"/>
      </w:r>
      <w:r w:rsidRPr="005B2AA7">
        <w:rPr>
          <w:rFonts w:ascii="Book Antiqua" w:hAnsi="Book Antiqua" w:cs="Times New Roman"/>
          <w:lang w:val="en-US"/>
        </w:rPr>
        <w:instrText xml:space="preserve"> ADDIN ZOTERO_ITEM CSL_CITATION {"citationID":"nFg0I3P8","properties":{"formattedCitation":"\\super [25]\\nosupersub{}","plainCitation":"[25]","noteIndex":0},"citationItems":[{"id":4014,"uris":["http://zotero.org/users/3734960/items/A3K26HLW"],"uri":["http://zotero.org/users/3734960/items/A3K26HLW"],"itemData":{"id":4014,"type":"article-journal","abstract":"BACKGROUND AND AIM: Smoking is a risk factor for developing Crohn's disease (CD) and worsens its outcome. Conversely, in ulcerative colitis (UC), the onset may be triggered by the smoking cessation and smoking may be beneficial. To help to ascertain whether patients with inflammatory bowel disease (IBD) would benefit from attending a smoking cessation clinic, we assessed: first, the prevalence of smoking; second, patients' awareness of the effects of smoking, and finally nicotine dependence in IBD patients compared with the healthy and disease-matched controls.\nMETHODS: A total of 246 consecutive IBD outpatients (173 patients with CD, 73 patients with UC) completed a questionnaire on smoking habits and its effect on IBD. Smokers were assessed for dependence using the Fagerstrom test for nicotine dependence (FTND) score and their results were compared with those of age, sex, and ethnicity-matched healthy (five controls for each IBD patient) and asthma controls (one control for each IBD patient) attending a smoking cessation clinic.\nRESULTS: Thirty five out of 173 patients (20%) with CD and nine out of 73 patients (12%) with UC were current smokers, with 52 out of 173 patients (30%) with CD and 28 out of 73 patients (38%) with UC being ex-smokers. Ninety out of 173 patients (52%) with CD knew that smoking worsens CD, whereas only 15 out of 73 patients (21%) with UC knew of the beneficial effects of smoking on their disease (P=0.032). Knowledge was unrelated to smoking status. In patients with CD, the median (range) FTND score was 3 (0-8) compared with 7 (2-10) in healthy (P&lt;0.001) and 6 (2-9) in asthma controls (P&lt;0.0001). Only seven of the 35 (20%) smoking patients with CD were highly dependent (FTND score ≥6). Similarly, in the patients with UC, the FTND score was 1 (0-4), lower than in healthy, [6 (2-10)], and asthma controls, [7 (4-10); (P&lt;0.004 for both groups)].\nCONCLUSION: Patients with CD were better informed about the effects of smoking on their own disease than the patients with UC. Nicotine dependence in IBD patients is lower than in smokers' clinic clients and comparable with that of the general population. Their low nicotine dependence suggests that most IBD patients could be weaned off the smoking habit successfully in the IBD clinic and referral to a smoking cessation clinic was offered to the highly dependent minority and others expressing interest in attending.","container-title":"European Journal of Gastroenterology &amp; Hepatology","DOI":"10.1097/MEG.0b013e32834108ce","ISSN":"1473-5687","issue":"1","journalAbbreviation":"Eur J Gastroenterol Hepatol","language":"eng","note":"PMID: 21030867","page":"90-94","source":"PubMed","title":"Tobacco dependence and awareness of health risks of smoking in patients with inflammatory bowel disease","volume":"23","author":[{"family":"Wahed","given":"Mahmood"},{"family":"Goodhand","given":"James R."},{"family":"West","given":"Oliver"},{"family":"McDermott","given":"Adam"},{"family":"Hajek","given":"Peter"},{"family":"Rampton","given":"David S."}],"issued":{"date-parts":[["2011",1]]}}}],"schema":"https://github.com/citation-style-language/schema/raw/master/csl-citation.json"} </w:instrText>
      </w:r>
      <w:r w:rsidRPr="005B2AA7">
        <w:rPr>
          <w:rFonts w:ascii="Book Antiqua" w:hAnsi="Book Antiqua" w:cs="Times New Roman"/>
          <w:lang w:val="en-US"/>
        </w:rPr>
        <w:fldChar w:fldCharType="separate"/>
      </w:r>
      <w:r w:rsidRPr="005B2AA7">
        <w:rPr>
          <w:rFonts w:ascii="Book Antiqua" w:hAnsi="Book Antiqua" w:cs="Times New Roman"/>
          <w:vertAlign w:val="superscript"/>
        </w:rPr>
        <w:t>[25]</w:t>
      </w:r>
      <w:r w:rsidRPr="005B2AA7">
        <w:rPr>
          <w:rFonts w:ascii="Book Antiqua" w:hAnsi="Book Antiqua" w:cs="Times New Roman"/>
          <w:lang w:val="en-US"/>
        </w:rPr>
        <w:fldChar w:fldCharType="end"/>
      </w:r>
      <w:r w:rsidRPr="005B2AA7">
        <w:rPr>
          <w:rFonts w:ascii="Book Antiqua" w:hAnsi="Book Antiqua" w:cs="Times New Roman"/>
        </w:rPr>
        <w:t xml:space="preserve"> and Ducharme-Bénard </w:t>
      </w:r>
      <w:r w:rsidRPr="005B2AA7">
        <w:rPr>
          <w:rFonts w:ascii="Book Antiqua" w:hAnsi="Book Antiqua" w:cs="Times New Roman"/>
          <w:i/>
          <w:iCs/>
        </w:rPr>
        <w:t>et al</w:t>
      </w:r>
      <w:r w:rsidRPr="005B2AA7">
        <w:rPr>
          <w:rFonts w:ascii="Book Antiqua" w:hAnsi="Book Antiqua" w:cs="Times New Roman"/>
          <w:lang w:val="en-US"/>
        </w:rPr>
        <w:fldChar w:fldCharType="begin"/>
      </w:r>
      <w:r w:rsidRPr="005B2AA7">
        <w:rPr>
          <w:rFonts w:ascii="Book Antiqua" w:hAnsi="Book Antiqua" w:cs="Times New Roman"/>
        </w:rPr>
        <w:instrText xml:space="preserve"> ADDIN ZOTERO_ITEM CSL_CITATION {"citationID":"fJzoECow","properties":{"formattedCitation":"\\super [26]\\nosupersub{}","plainCitation":"[26]","noteIndex":0},"citationItems":[{"id":4010,"uris":["http://zotero.org/users/3734960/items/DY7FWPSY"],"uri":["http://zotero.org/users/3734960/items/DY7FWPSY"],"itemData":{"id":4010,"type":"article-journal","abstract":"BACKGOUND: Tobacco is one of the most significant risk factors for inflammatory bowel disease (IBD).\nGOALS: The main objective was to assess the knowledge of patients with IBD regarding the effects of tobacco on their disease. Secondary objectives were to determine the source of their knowledge, the influence of their knowledge on their intent to quit smoking, and the association between patients' characteristics and their knowledge.\nSTUDY: Patients with IBD completed a self-administered questionnaire on demographic data, severity of disease, and effects of tobacco on their disease.\nRESULTS: In total 259 patients [182 with Crohn's disease, 77 with ulcerative colitis (UC)] participated. The prevalence of current smokers, exsmokers, and nonsmokers was 19.6%, 40.2%, and 40.2%, respectively. Patients with Crohn's disease were more aware of the effects of tobacco on their disease compared with those with UC (57.7% vs. 13.0%, P&lt;0.0001). In informed patients, the main source of information was the gastroenterologist (56.9%). The intent to quit smoking was superior in informed patients compared with those uninformed (78.6% vs. 47.8%, P=0.046). Older patients (odds ratio=0.97, P=0.01) and patients with UC (odds ratio=0.11, P&lt;0.0001) were less likely to be informed.\nCONCLUSIONS: Only half of patients with IBD are aware of the risks of smoking associated with their disease, whereas their intent to quit smoking is directly related to their awareness. In the scope of IBD's treatment, management of smoking cessation should be undertaken in all smokers.","container-title":"Journal of Clinical Gastroenterology","DOI":"10.1097/MCG.0000000000000386","ISSN":"1539-2031","issue":"6","journalAbbreviation":"J. Clin. Gastroenterol.","language":"eng","note":"PMID: 26196475","page":"490-497","source":"PubMed","title":"Patients With Inflammatory Bowel Disease Are Unaware of the Impact of Smoking on Their Disease","volume":"50","author":[{"family":"Ducharme-Bénard","given":"Stéphanie"},{"family":"Côté-Daigneault","given":"Justin"},{"family":"Lemoyne","given":"Michel"},{"family":"Orlicka","given":"Katarzyna"},{"family":"Lahaie","given":"Raymond"},{"family":"Weber","given":"Audrey"},{"family":"Bouin","given":"Mickael"}],"issued":{"date-parts":[["2016"]]}}}],"schema":"https://github.com/citation-style-language/schema/raw/master/csl-citation.json"} </w:instrText>
      </w:r>
      <w:r w:rsidRPr="005B2AA7">
        <w:rPr>
          <w:rFonts w:ascii="Book Antiqua" w:hAnsi="Book Antiqua" w:cs="Times New Roman"/>
          <w:lang w:val="en-US"/>
        </w:rPr>
        <w:fldChar w:fldCharType="separate"/>
      </w:r>
      <w:r w:rsidRPr="005B2AA7">
        <w:rPr>
          <w:rFonts w:ascii="Book Antiqua" w:hAnsi="Book Antiqua" w:cs="Times New Roman"/>
          <w:vertAlign w:val="superscript"/>
          <w:lang w:val="en-US"/>
        </w:rPr>
        <w:t>[26]</w:t>
      </w:r>
      <w:r w:rsidRPr="005B2AA7">
        <w:rPr>
          <w:rFonts w:ascii="Book Antiqua" w:hAnsi="Book Antiqua" w:cs="Times New Roman"/>
          <w:lang w:val="en-US"/>
        </w:rPr>
        <w:fldChar w:fldCharType="end"/>
      </w:r>
      <w:r w:rsidRPr="005B2AA7">
        <w:rPr>
          <w:rFonts w:ascii="Book Antiqua" w:hAnsi="Book Antiqua" w:cs="Times New Roman"/>
          <w:lang w:val="en-US"/>
        </w:rPr>
        <w:t xml:space="preserve"> reported informed rates of 52% and 57.7% in patients with CD, whilst this was the case in only 21% and 13% of patients with UC Saadoune </w:t>
      </w:r>
      <w:r w:rsidRPr="005B2AA7">
        <w:rPr>
          <w:rFonts w:ascii="Book Antiqua" w:hAnsi="Book Antiqua" w:cs="Times New Roman"/>
          <w:i/>
          <w:iCs/>
          <w:lang w:val="en-US"/>
        </w:rPr>
        <w:t>et al</w:t>
      </w:r>
      <w:r w:rsidR="000224D9" w:rsidRPr="005B2AA7">
        <w:rPr>
          <w:rFonts w:ascii="Book Antiqua" w:hAnsi="Book Antiqua" w:cs="Times New Roman"/>
          <w:lang w:val="en-US"/>
        </w:rPr>
        <w:fldChar w:fldCharType="begin"/>
      </w:r>
      <w:r w:rsidR="000224D9" w:rsidRPr="005B2AA7">
        <w:rPr>
          <w:rFonts w:ascii="Book Antiqua" w:hAnsi="Book Antiqua" w:cs="Times New Roman"/>
          <w:lang w:val="en-US"/>
        </w:rPr>
        <w:instrText xml:space="preserve"> ADDIN ZOTERO_ITEM CSL_CITATION {"citationID":"8V8IE3N0","properties":{"formattedCitation":"\\super [27]\\nosupersub{}","plainCitation":"[27]","noteIndex":0},"citationItems":[{"id":4025,"uris":["http://zotero.org/users/3734960/items/SJ322QC9"],"uri":["http://zotero.org/users/3734960/items/SJ322QC9"],"itemData":{"id":4025,"type":"article-journal","abstract":"BACKGROUND AND AIMS: We investigated the beliefs and behaviours about tobacco among inflammatory bowel disease (IBD) patients.\nMATERIALS AND METHODS: A questionnaire of 18 items was developed and administered to all consecutive patients followed for IBD at Nancy University Hospital from October 2012 to March 2013.\nRESULTS: Two hundred and thirty-one patients participated in the survey [Crohn's disease (CD)=171, ulcerative colitis (UC)=60]. Among IBD patients who were smokers at diagnosis, 10.5% of CD patients versus 14.3% of UC patients believed that tobacco could have triggered their IBD; about half the CD smokers at diagnosis were not aware that smoking might promote their disease. Three quarters of smokers after diagnosis knew that tobacco was not beneficial for their CD, whereas all UC were aware that smoking had a beneficial effect on their disease course. About half of the CD patients had stopped smoking during a flare-up. Four former smokers with UC (21.1%) resumed smoking during a relapse. Nearly 90% of IBD current smokers wished to quit smoking. About half the IBD patients were aware of the relation between smoking and IBD, and the Internet was a source for 24.3% of these patients.\nCONCLUSION: The majority of IBD patients are unaware of the effects of tobacco on their disease. Better information through a therapeutic education programme should be systematically recommended in IBD.","container-title":"European Journal of Gastroenterology &amp; Hepatology","DOI":"10.1097/MEG.0000000000000371","ISSN":"1473-5687","issue":"7","journalAbbreviation":"Eur J Gastroenterol Hepatol","language":"eng","note":"PMID: 25919776","page":"797-803","source":"PubMed","title":"Beliefs and behaviour about smoking among inflammatory bowel disease patients","volume":"27","author":[{"family":"Saadoune","given":"Nafissa"},{"family":"Peyrin-Biroulet","given":"Laurent"},{"family":"Baumann","given":"Cédric"},{"family":"Bigard","given":"Marc-André"},{"family":"Wirth","given":"Nathalie"},{"family":"Martinet","given":"Yves"},{"family":"Peyrin-Biroulet","given":"Carina"}],"issued":{"date-parts":[["2015",7]]}}}],"schema":"https://github.com/citation-style-language/schema/raw/master/csl-citation.json"} </w:instrText>
      </w:r>
      <w:r w:rsidR="000224D9" w:rsidRPr="005B2AA7">
        <w:rPr>
          <w:rFonts w:ascii="Book Antiqua" w:hAnsi="Book Antiqua" w:cs="Times New Roman"/>
          <w:lang w:val="en-US"/>
        </w:rPr>
        <w:fldChar w:fldCharType="separate"/>
      </w:r>
      <w:r w:rsidR="000224D9" w:rsidRPr="005B2AA7">
        <w:rPr>
          <w:rFonts w:ascii="Book Antiqua" w:hAnsi="Book Antiqua" w:cs="Times New Roman"/>
          <w:vertAlign w:val="superscript"/>
          <w:lang w:val="en-US"/>
        </w:rPr>
        <w:t>[27]</w:t>
      </w:r>
      <w:r w:rsidR="000224D9" w:rsidRPr="005B2AA7">
        <w:rPr>
          <w:rFonts w:ascii="Book Antiqua" w:hAnsi="Book Antiqua" w:cs="Times New Roman"/>
          <w:lang w:val="en-US"/>
        </w:rPr>
        <w:fldChar w:fldCharType="end"/>
      </w:r>
      <w:r w:rsidRPr="005B2AA7">
        <w:rPr>
          <w:rFonts w:ascii="Book Antiqua" w:hAnsi="Book Antiqua" w:cs="Times New Roman"/>
          <w:lang w:val="en-US"/>
        </w:rPr>
        <w:t xml:space="preserve"> Reported about two-thirds of smoking CD patients were aware of the harmful effects on the course of disease, whereas all UC patients were aware of its protective role</w:t>
      </w:r>
      <w:r w:rsidRPr="005B2AA7">
        <w:rPr>
          <w:rFonts w:ascii="Book Antiqua" w:hAnsi="Book Antiqua" w:cs="Times New Roman"/>
          <w:lang w:val="en-US"/>
        </w:rPr>
        <w:fldChar w:fldCharType="begin"/>
      </w:r>
      <w:r w:rsidRPr="005B2AA7">
        <w:rPr>
          <w:rFonts w:ascii="Book Antiqua" w:hAnsi="Book Antiqua" w:cs="Times New Roman"/>
          <w:lang w:val="en-US"/>
        </w:rPr>
        <w:instrText xml:space="preserve"> ADDIN ZOTERO_ITEM CSL_CITATION {"citationID":"8V8IE3N0","properties":{"formattedCitation":"\\super [27]\\nosupersub{}","plainCitation":"[27]","noteIndex":0},"citationItems":[{"id":4025,"uris":["http://zotero.org/users/3734960/items/SJ322QC9"],"uri":["http://zotero.org/users/3734960/items/SJ322QC9"],"itemData":{"id":4025,"type":"article-journal","abstract":"BACKGROUND AND AIMS: We investigated the beliefs and behaviours about tobacco among inflammatory bowel disease (IBD) patients.\nMATERIALS AND METHODS: A questionnaire of 18 items was developed and administered to all consecutive patients followed for IBD at Nancy University Hospital from October 2012 to March 2013.\nRESULTS: Two hundred and thirty-one patients participated in the survey [Crohn's disease (CD)=171, ulcerative colitis (UC)=60]. Among IBD patients who were smokers at diagnosis, 10.5% of CD patients versus 14.3% of UC patients believed that tobacco could have triggered their IBD; about half the CD smokers at diagnosis were not aware that smoking might promote their disease. Three quarters of smokers after diagnosis knew that tobacco was not beneficial for their CD, whereas all UC were aware that smoking had a beneficial effect on their disease course. About half of the CD patients had stopped smoking during a flare-up. Four former smokers with UC (21.1%) resumed smoking during a relapse. Nearly 90% of IBD current smokers wished to quit smoking. About half the IBD patients were aware of the relation between smoking and IBD, and the Internet was a source for 24.3% of these patients.\nCONCLUSION: The majority of IBD patients are unaware of the effects of tobacco on their disease. Better information through a therapeutic education programme should be systematically recommended in IBD.","container-title":"European Journal of Gastroenterology &amp; Hepatology","DOI":"10.1097/MEG.0000000000000371","ISSN":"1473-5687","issue":"7","journalAbbreviation":"Eur J Gastroenterol Hepatol","language":"eng","note":"PMID: 25919776","page":"797-803","source":"PubMed","title":"Beliefs and behaviour about smoking among inflammatory bowel disease patients","volume":"27","author":[{"family":"Saadoune","given":"Nafissa"},{"family":"Peyrin-Biroulet","given":"Laurent"},{"family":"Baumann","given":"Cédric"},{"family":"Bigard","given":"Marc-André"},{"family":"Wirth","given":"Nathalie"},{"family":"Martinet","given":"Yves"},{"family":"Peyrin-Biroulet","given":"Carina"}],"issued":{"date-parts":[["2015",7]]}}}],"schema":"https://github.com/citation-style-language/schema/raw/master/csl-citation.json"} </w:instrText>
      </w:r>
      <w:r w:rsidRPr="005B2AA7">
        <w:rPr>
          <w:rFonts w:ascii="Book Antiqua" w:hAnsi="Book Antiqua" w:cs="Times New Roman"/>
          <w:lang w:val="en-US"/>
        </w:rPr>
        <w:fldChar w:fldCharType="separate"/>
      </w:r>
      <w:r w:rsidRPr="005B2AA7">
        <w:rPr>
          <w:rFonts w:ascii="Book Antiqua" w:hAnsi="Book Antiqua" w:cs="Times New Roman"/>
          <w:vertAlign w:val="superscript"/>
          <w:lang w:val="en-US"/>
        </w:rPr>
        <w:t>[27]</w:t>
      </w:r>
      <w:r w:rsidRPr="005B2AA7">
        <w:rPr>
          <w:rFonts w:ascii="Book Antiqua" w:hAnsi="Book Antiqua" w:cs="Times New Roman"/>
          <w:lang w:val="en-US"/>
        </w:rPr>
        <w:fldChar w:fldCharType="end"/>
      </w:r>
      <w:r w:rsidRPr="005B2AA7">
        <w:rPr>
          <w:rFonts w:ascii="Book Antiqua" w:hAnsi="Book Antiqua" w:cs="Times New Roman"/>
          <w:lang w:val="en-US"/>
        </w:rPr>
        <w:t>. The detrimental effects of smoking on CD are well-established in the literature. On the contrary, health professionals might be reticent to explain the apparent and less-proven benefit of smoking to UC patients, by fear of discouraging them to stop</w:t>
      </w:r>
      <w:r w:rsidRPr="005B2AA7">
        <w:rPr>
          <w:rFonts w:ascii="Book Antiqua" w:hAnsi="Book Antiqua" w:cs="Times New Roman"/>
          <w:lang w:val="en-US"/>
        </w:rPr>
        <w:fldChar w:fldCharType="begin"/>
      </w:r>
      <w:r w:rsidRPr="005B2AA7">
        <w:rPr>
          <w:rFonts w:ascii="Book Antiqua" w:hAnsi="Book Antiqua" w:cs="Times New Roman"/>
          <w:lang w:val="en-US"/>
        </w:rPr>
        <w:instrText xml:space="preserve"> ADDIN ZOTERO_ITEM CSL_CITATION {"citationID":"m2aFE64U","properties":{"formattedCitation":"\\super [28\\uc0\\u8211{}30]\\nosupersub{}","plainCitation":"[28–30]","noteIndex":0},"citationItems":[{"id":4027,"uris":["http://zotero.org/users/3734960/items/9W7PC5F2"],"uri":["http://zotero.org/users/3734960/items/9W7PC5F2"],"itemData":{"id":4027,"type":"article-journal","abstract":"BACKGROUND AND AIMS: We followed a population based cohort of patients with inflammatory bowel disease (IBD) from Olmsted County, Minnesota, in order to analyse long term survival and cause specific mortality.\nMATERIAL AND METHODS: A total of 692 patients were followed for a median of 14 years. Standardised mortality ratios (SMRs, observed/expected deaths) were calculated for specific causes of death. Cox proportional hazards regression was used to determine if clinical variables were independently associated with mortality.\nRESULTS: Fifty six of 314 Crohn's disease patients died compared with 46.0 expected (SMR 1.2 (95% confidence interval (CI) 0.9-1.6)), and 62 of 378 ulcerative colitis (UC) patients died compared with 79.2 expected (SMR 0.8 (95% CI 0.6-1.0)). Eighteen patients with Crohn's disease (32%) died from disease related complications, and 12 patients (19%) died from causes related to UC. In Crohn's disease, an increased risk of dying from non-malignant gastrointestinal causes (SMR 6.4 (95% CI 3.2-11.5)), gastrointestinal malignancies (SMR 4.7 (95% CI 1.7-10.2)), and chronic obstructive pulmonary disease (COPD) (SMR 3.5 (95% CI 1.3-7.5)) was observed. In UC, cardiovascular death was reduced (SMR 0.6 (95% CI 0.4-0.9)). Increased age at diagnosis and male sex were associated with mortality in both subtypes. In UC but not Crohn's disease, a diagnosis after 1980 was associated with decreased mortality.\nCONCLUSIONS: In this population based study of IBD patients from North America, overall survival was similar to that expected in the US White population. Crohn's disease patients were at increased risk of dying from gastrointestinal disease and COPD whereas UC patients had a decreased risk of cardiovascular death.","container-title":"Gut","DOI":"10.1136/gut.2005.079350","ISSN":"0017-5749","issue":"9","journalAbbreviation":"Gut","language":"eng","note":"PMID: 16423890\nPMCID: PMC1860022","page":"1248-1254","source":"PubMed","title":"Survival and cause specific mortality in patients with inflammatory bowel disease: a long term outcome study in Olmsted County, Minnesota, 1940-2004","title-short":"Survival and cause specific mortality in patients with inflammatory bowel disease","volume":"55","author":[{"family":"Jess","given":"T."},{"family":"Loftus","given":"E. V."},{"family":"Harmsen","given":"W. S."},{"family":"Zinsmeister","given":"A. R."},{"family":"Tremaine","given":"W. J."},{"family":"Melton","given":"L. J."},{"family":"Munkholm","given":"P."},{"family":"Sandborn","given":"W. J."}],"issued":{"date-parts":[["2006",9]]}}},{"id":4030,"uris":["http://zotero.org/users/3734960/items/VYBDCK2P"],"uri":["http://zotero.org/users/3734960/items/VYBDCK2P"],"itemData":{"id":4030,"type":"article-journal","abstract":"BACKGROUND &amp; AIMS: A population-based cohort from Copenhagen County comprising 1160 patients diagnosed with ulcerative colitis between 1962 and 1987 was followed-up until 1997 to describe survival and cause-specific mortality.\nMETHODS: Observed vs. expected deaths were presented as standardized mortality ratio (SMR) with exact 95% confidence intervals (CI) calculated by using individually registered person-years at risk and Danish 1995 mortality rates. Cumulative survival curves were calculated.\nRESULTS: A total of 261 deaths occurred, not significantly different from the expected number of 249 (SMR, 1.05; 95% CI, 0.92-1.19). The median age at death among men was 70 years (range, 6-96 years) and among women 74 years (range, 25-96 years). Twenty-five deaths (9.6%) were caused by complications to ulcerative colitis, mostly infectious and cardiovascular postoperative complications. Patients older than 50 years of age at diagnosis and with extensive colitis showed an increased mortality within the first 2 years because of ulcerative colitis-associated causes. The mortality from colorectal cancer was not increased and that of cancer in general was significantly lower than expected: 50 vs. 71 (SMR, 0.70; 95% CI, 0.52-0.93). A significantly increased mortality from pulmonary embolism and pneumonia was found. Among women only, death from genitourinary tract diseases and suicide was significantly increased.\nCONCLUSIONS: Despite an overall normal life expectancy for patients with ulcerative colitis, patients &gt;50 years of age and with extensive colitis at diagnosis had increased mortality within the first 2 years after diagnosis, owing to colitis-associated postoperative complications and comorbidity.","container-title":"Gastroenterology","DOI":"10.1053/j.gastro.2003.09.036","ISSN":"0016-5085","issue":"6","journalAbbreviation":"Gastroenterology","language":"eng","note":"PMID: 14724807","page":"1576-1582","source":"PubMed","title":"Survival and cause-specific mortality in ulcerative colitis: follow-up of a population-based cohort in Copenhagen County","title-short":"Survival and cause-specific mortality in ulcerative colitis","volume":"125","author":[{"family":"Winther","given":"Karen Vanessa"},{"family":"Jess","given":"Tine"},{"family":"Langholz","given":"Ebbe"},{"family":"Munkholm","given":"Pia"},{"family":"Binder","given":"Vibeke"}],"issued":{"date-parts":[["2003",12]]}}},{"id":4032,"uris":["http://zotero.org/users/3734960/items/CZ75DQV7"],"uri":["http://zotero.org/users/3734960/items/CZ75DQV7"],"itemData":{"id":4032,"type":"article-journal","abstract":"BACKGROUND AND AIMS: Two divergent patterns of mortality for smoking related diseases in ulcerative colitis and Crohn's disease patients were suggested in a previous population based study in Florence, Italy. Long term follow up (median 15 years) was completed to re-evaluate mortality in this Mediterranean cohort.\nPATIENTS AND METHODS: Overall, 920 patients with inflammatory bowel disease were followed until December 2001 or death, with seven patients (0.8%) lost to follow up. A total of 14 040 person years were available for analysis; 118 deaths were observed (81/689 in ulcerative colitis and 37/231 in Crohn's disease). Expected deaths were estimated using age, sex, and calendar specific national and local mortality rates; standardised mortality ratios (SMR) and 95% confidence interval (CI) were calculated.\nRESULTS: Among Crohn's disease patients, mortality was strongly increased for gastrointestinal diseases (SMR 4.49 (95% CI 1.80-9.25)), all cancers (SMR 2.10 (95% CI 1.22-3.36)), and lung cancer (SMR 4.00 (95% CI 1.60-8.24)), leading to a significant 50% excess total mortality. Ulcerative colitis patients showed a significantly reduced total mortality because of lower cardiovascular (SMR 0.67 (95% CI 0.45-0.95)) and lung cancer (SMR 0.32 (95% CI 0.07-0.95)) mortality. No significant excess for colorectal cancer mortality was evident in this extended follow up.\nCONCLUSIONS: These clearly divergent patterns of mortality correlate with documented differences in smoking habits between Crohn's disease and ulcerative colitis patients. Family doctors and gastroenterologists should consider stopping cigarette smoking a specific priority for Crohn's disease patients; the latter should be offered free participation in structured programmes for smoking cessation, with the aim of reducing smoking related excess mortality. Overall, no evidence of an increased mortality for large bowel cancer emerged in this series.","container-title":"Gut","DOI":"10.1136/gut.2003.031476","ISSN":"0017-5749","issue":"9","journalAbbreviation":"Gut","language":"eng","note":"PMID: 15306591\nPMCID: PMC1774198","page":"1309-1313","source":"PubMed","title":"Divergent patterns of total and cancer mortality in ulcerative colitis and Crohn's disease patients: the Florence IBD study 1978-2001","title-short":"Divergent patterns of total and cancer mortality in ulcerative colitis and Crohn's disease patients","volume":"53","author":[{"family":"Masala","given":"G."},{"family":"Bagnoli","given":"S."},{"family":"Ceroti","given":"M."},{"family":"Saieva","given":"C."},{"family":"Trallori","given":"G."},{"family":"Zanna","given":"I."},{"family":"D'Albasio","given":"G."},{"family":"Palli","given":"D."}],"issued":{"date-parts":[["2004",9]]}}}],"schema":"https://github.com/citation-style-language/schema/raw/master/csl-citation.json"} </w:instrText>
      </w:r>
      <w:r w:rsidRPr="005B2AA7">
        <w:rPr>
          <w:rFonts w:ascii="Book Antiqua" w:hAnsi="Book Antiqua" w:cs="Times New Roman"/>
          <w:lang w:val="en-US"/>
        </w:rPr>
        <w:fldChar w:fldCharType="separate"/>
      </w:r>
      <w:r w:rsidRPr="005B2AA7">
        <w:rPr>
          <w:rFonts w:ascii="Book Antiqua" w:hAnsi="Book Antiqua" w:cs="Times New Roman"/>
          <w:vertAlign w:val="superscript"/>
          <w:lang w:val="en-US"/>
        </w:rPr>
        <w:t>[28–30]</w:t>
      </w:r>
      <w:r w:rsidRPr="005B2AA7">
        <w:rPr>
          <w:rFonts w:ascii="Book Antiqua" w:hAnsi="Book Antiqua" w:cs="Times New Roman"/>
          <w:lang w:val="en-US"/>
        </w:rPr>
        <w:fldChar w:fldCharType="end"/>
      </w:r>
      <w:r w:rsidR="00B6592C" w:rsidRPr="005B2AA7">
        <w:rPr>
          <w:rFonts w:ascii="Book Antiqua" w:hAnsi="Book Antiqua" w:cs="Times New Roman"/>
          <w:lang w:val="en-US" w:eastAsia="zh-CN"/>
        </w:rPr>
        <w:t>.</w:t>
      </w:r>
    </w:p>
    <w:p w14:paraId="22B24620" w14:textId="2CACBAE1" w:rsidR="00A812CC" w:rsidRPr="005B2AA7" w:rsidRDefault="00B6592C" w:rsidP="00253009">
      <w:pPr>
        <w:widowControl w:val="0"/>
        <w:adjustRightInd w:val="0"/>
        <w:snapToGrid w:val="0"/>
        <w:spacing w:line="360" w:lineRule="auto"/>
        <w:ind w:firstLineChars="100" w:firstLine="240"/>
        <w:jc w:val="both"/>
        <w:rPr>
          <w:rFonts w:ascii="Book Antiqua" w:hAnsi="Book Antiqua" w:cs="Times New Roman"/>
          <w:lang w:val="en-US"/>
        </w:rPr>
      </w:pPr>
      <w:r w:rsidRPr="005B2AA7">
        <w:rPr>
          <w:rFonts w:ascii="Book Antiqua" w:hAnsi="Book Antiqua" w:cs="Times New Roman"/>
          <w:lang w:val="en-US"/>
        </w:rPr>
        <w:t>We also can presume that a different perception of smoking on IBD activity between CD and UC patients could influence the need to be informed about risks and benefits of smoking habits. In our cohort, the large majority of CD patients perceived their disease activity significantly or moderately worsened by cigarette smoking, while 59.7% of UC patients perceived a positive effect of cigarette smoking on their disease activity. Patients’ perceptions in our cohort thus confirm previous results in literature on this topic</w:t>
      </w:r>
      <w:r w:rsidRPr="005B2AA7">
        <w:rPr>
          <w:rFonts w:ascii="Book Antiqua" w:hAnsi="Book Antiqua" w:cs="Times New Roman"/>
          <w:lang w:val="en-US"/>
        </w:rPr>
        <w:fldChar w:fldCharType="begin"/>
      </w:r>
      <w:r w:rsidRPr="005B2AA7">
        <w:rPr>
          <w:rFonts w:ascii="Book Antiqua" w:hAnsi="Book Antiqua" w:cs="Times New Roman"/>
          <w:lang w:val="en-US"/>
        </w:rPr>
        <w:instrText xml:space="preserve"> ADDIN ZOTERO_ITEM CSL_CITATION {"citationID":"ozFzMAdD","properties":{"formattedCitation":"\\super [11,18\\uc0\\u8211{}21]\\nosupersub{}","plainCitation":"[11,18–21]","noteIndex":0},"citationItems":[{"id":3983,"uris":["http://zotero.org/users/3734960/items/KMFJ7GKC"],"uri":["http://zotero.org/users/3734960/items/KMFJ7GKC"],"itemData":{"id":3983,"type":"article-journal","abstract":"BACKGROUND: Tobacco smoking is a well-established risk factor for the development of Crohn's disease, and this may lead to a more complicated disease course. However, recent evidence suggests that many patients with Crohn's disease are unaware of this fact.\nAIM: To perform a systematic review and meta-analysis of the effects of smoking on disease course in Crohn's disease.\nMETHODS: A search of MEDLINE, EMBASE and EMBASE classic was carried out (up to July 2015) to identify observational studies reporting data on smoking and rates of surgery or flares of disease activity in patients with Crohn's disease. Dichotomous data were pooled to obtain odds ratios (ORs) for flares of disease activity or need for surgery, with 95% confidence intervals (CIs).\nRESULTS: The search identified 33 eligible studies. Compared with nonsmokers, smokers had increased odds of flare of disease activity (OR, 1.56; 95% CI, 1.21-2.01), flare after surgery (OR, 1.97; 95% CI, 1.36-2.85), need for first surgery (OR, 1.68; 95% CI, 1.33-2.12) and need for second surgery (OR, 2.17; 95% CI, 1.63-2.89). The odds of these outcomes among ex-smokers diminished upon smoking cessation, with ORs comparable to those among nonsmokers and, in the case of flare or second surgery, significantly lower than smokers.\nCONCLUSIONS: Smokers with Crohn's disease have a more complicated disease course than nonsmokers, and quitting smoking may ameliorate this. Patients should be reminded of the detrimental effects of smoking on the course of their disease, and smoking cessation advice should be provided to reduce disease burden and costs in these patients.","container-title":"Alimentary Pharmacology &amp; Therapeutics","DOI":"10.1111/apt.13511","ISSN":"1365-2036","issue":"5","journalAbbreviation":"Aliment. Pharmacol. Ther.","language":"eng","note":"PMID: 26749371","page":"549-561","source":"PubMed","title":"Systematic review with meta-analysis: the adverse effects of tobacco smoking on the natural history of Crohn's disease","title-short":"Systematic review with meta-analysis","volume":"43","author":[{"family":"To","given":"N."},{"family":"Gracie","given":"D. J."},{"family":"Ford","given":"A. C."}],"issued":{"date-parts":[["2016",3]]}}},{"id":4008,"uris":["http://zotero.org/users/3734960/items/QZTCZYVK"],"uri":["http://zotero.org/users/3734960/items/QZTCZYVK"],"itemData":{"id":4008,"type":"article-journal","abstract":"BACKGROUND: Ulcerative colitis is largely a disease of nonsmokers. Intermittent smokers often experience improvement in their symptoms while smoking. Nonsmokers with ulcerative colitis who begin smoking may go into remission. Randomized controlled trials were developed to test the efficacy of transdermal nicotine for the induction of remission in ulcerative colitis.\nOBJECTIVES: (1) To determine the efficacy of transdermal nicotine for induction of remission in ulcerative colitis. (2) To assess adverse events associated with transdermal nicotine therapy for ulcerative colitis\nSEARCH STRATEGY: The MEDLINE (via PubMed) and EMBASE databases were searched using the search criteria \"ulcerative colitis\" and \"transdermal nicotine\" or \"nicotine\" to identify relevant papers published between 1970 and December 2003. Manual searches of reference lists from potentially relevant papers were performed to identify additional studies. Abstracts from major gastroenterological meetings were searched to identify research submitted in abstract form only. The Cochrane Central Register of Controlled Trials and the Cochrane Inflammatory Bowel Disease Group Specialized Trials Register were also searched.\nSELECTION CRITERIA: We included only randomized controlled trials in which patients with active mild to moderate ulcerative colitis were randomly allocated to receive transdermal nicotine (15 to 25 mg/day) or a placebo or another treatment (corticosteroids or mesalamine).\nDATA COLLECTION AND ANALYSIS: Data extraction and assessment of the methodological quality of each trial were independently performed by each author. Any disagreement among reviewers was resolved by consensus. The primary outcome measure was the number of patients achieving clinical or sigmoidoscopic remission as defined by the primary studies (e.g. no symptoms of ulcerative colitis), and expressed as a percentage of the patients randomized (intention to treat analysis). Secondary outcomes included clinical response, adverse events and withdrawal because of adverse events.\nMAIN RESULTS: Seven studies were identified, five of which met the inclusion criteria. A meta-analysis of two trials in which 71 patients were randomized to nicotine and 70 to placebo showed a statistically significant benefit for nicotine treatment. After four to six weeks of treatment 19 of 71 patients treated with transdermal nicotine were in clinical remission compared to 9 of 70 treated with placebo (OR=2.56, 95% CI 1.02-6.45). In the same group of patients improvement or remission was noted in 29 of the 71 patients assigned to nicotine compared to 14 of 70 patients assigned to placebo (OR=2.72, 95% CI 1.28 - 5.81). For patients with left sided colitis the odds ratio was 2.31 (95% CI 1.05-5.10). When transdermal nicotine was compared to standard medical therapy no significant benefit for nicotine was observed. After four to six weeks of standard therapy (oral prednisone or mesalamine), 34 of 63 patients were in clinical or sigmoidoscopic remission compared to 33 of 66 patients treated with transdermal nicotine (OR=0.77, 95% CI 0.37-1.60). A meta-analysis of all five studies which included 137 patients treated with transdermal nicotine and 133 patients treated with a placebo or standard therapy demonstrated no statistically significant benefit of nicotine therapy (OR=1.23; 95% CI 0.71-2.14). Patients treated with transdermal nicotine were significantly more likely to withdrawal due to adverse events than patients treated with placebo or standard medical therapy (OR=5.82, 95% CI, 1.66 - 20.47) and were significantly more likely to suffer from an adverse event than patients treated with placebo or standard medical therapy (OR=3.54, 95% CI, 2.07 - 6.08).\nREVIEWERS' CONCLUSIONS: The results of this review provide evidence that transdermal nicotine is superior to placebo for the induction of remission in patient's with ulcerative colitis. The review did not identify any significant advantage for transdermal nicotine therapy compared to standard medical therapy. Adverse events associated with transdermal nicotine are significant and limit its use in some patients.","container-title":"The Cochrane Database of Systematic Reviews","DOI":"10.1002/14651858.CD004722.pub2","ISSN":"1469-493X","issue":"4","journalAbbreviation":"Cochrane Database Syst Rev","language":"eng","note":"PMID: 15495126","page":"CD004722","source":"PubMed","title":"Transdermal nicotine for induction of remission in ulcerative colitis","author":[{"family":"McGrath","given":"J."},{"family":"McDonald","given":"J. W. D."},{"family":"Macdonald","given":"J. K."}],"issued":{"date-parts":[["2004",10,18]]}}},{"id":4006,"uris":["http://zotero.org/users/3734960/items/YLCASZCD"],"uri":["http://zotero.org/users/3734960/items/YLCASZCD"],"itemData":{"id":4006,"type":"article-journal","abstract":"BACKGROUND: Findings from clinical studies of the efficacy and tolerability of nicotine preparations in maintaining remission of ulcerative colitis (UC) have been inconsistent.\nOBJECTIVES: This systematic review and meta-analysis aimed to assess the efficacy and tolerability of nicotine preparations in inducing remission in UC.\nMETHODS: A literature search (1966 August 2010) of Scopus (EMBASE), PubMed, Web of Science, and the Cochrane Central Register of Controlled Trials was conducted for clinical trials that investigated the efficacy and/or tolerability (any adverse events [AEs] and withdrawals due to AEs) of any nicotine preparation for the induction of remission in UC.\nRESULTS: The electronic searches yielded 788 items. Of these, 3 placebo-controlled trials representing 233 patients with UC and 2 randomized controlled trials that compared nicotine to corticosteroids in 81 patients with UC were included in meta-analysis. The summary relative risks (RRs) (95% CI) in comparing nicotine to placebo were 1.40 (0.63-3.12) (P = NS) for clinical remission, 1.95 (1.38-2.78) (P &lt; 0.001) for AEs, and 3.44 (0.71-16.71) (P = NS) for withdrawal due to AEs. The summary RRs in comparing nicotine to corticosteroids (prednisolone/prednisone) were 0.74 (0.5-1.09) (P = NS) for clinical remission in 2 trials and 2.28 (0.76-6.83) (P = NS) for withdrawal due to AEs.\nCONCLUSION: The findings from this meta-analysis do not support the efficacy or tolerability of nicotine preparations in inducing remission in UC.","container-title":"Clinical Therapeutics","DOI":"10.1016/j.clinthera.2011.01.004","ISSN":"1879-114X","issue":"14","journalAbbreviation":"Clin Ther","language":"eng","note":"PMID: 21353102","page":"2304-2315","source":"PubMed","title":"Systematic review and meta-analysis of the efficacy and tolerability of nicotine preparations in active ulcerative colitis","volume":"32","author":[{"family":"Nikfar","given":"Shekoufeh"},{"family":"Ehteshami-Ashar","given":"Solmaz"},{"family":"Rahimi","given":"Roja"},{"family":"Abdollahi","given":"Mohammad"}],"issued":{"date-parts":[["2010",12]]}}},{"id":3996,"uris":["http://zotero.org/users/3734960/items/SPR745UF"],"uri":["http://zotero.org/users/3734960/items/SPR745UF"],"itemData":{"id":3996,"type":"article-journal","abstract":"BACKGROUND: Smoking is the best-characterised environmental association of ulcerative colitis (UC). Smoking has been observed to exert protective effects on both the development and progression of UC.\nAIMS: To examine the association between UC and smoking, possible pathogenic mechanisms and the potential of nicotine as a therapeutic agent in the treatment of UC.\nMETHODS: A literature search was conducted through MEDLINE, using the MeSH search terms 'ulcerative colitis' and 'smoking' or 'nicotine'. Relevant articles were identified through manual review. The reference lists of these articles were reviewed to include further appropriate articles.\nRESULTS: Ulcerative colitis is less prevalent in smokers. Current smokers with a prior diagnosis of UC are more likely to exhibit milder disease than ex-smokers and nonsmokers. There is conflicting evidence for smokers having reduced rates of hospitalisation, colectomy and need for oral corticosteroids and immunosuppressants to manage their disease. Multiple potential active mediators in smoke may be responsible for these clinical effects, including nicotine and carbon monoxide, but the precise mechanism remains unknown. Nicotine has demonstrated variable efficacy in the induction of remission in UC when compared to placebo and conventional medicines. Despite this, the high frequency of adverse events limits its clinical significance.\nCONCLUSIONS: Nicotine's application as a therapeutic treatment in ulcerative colitis is limited. Presently, it may be an option considered only in selected cases of acute ulcerative colitis refractory to conventional treatment options. This review also questions whether nicotine is the active component of smoking that modifies risk and inflammation in ulcerative colitis.","container-title":"Alimentary Pharmacology &amp; Therapeutics","DOI":"10.1111/apt.12086","ISSN":"1365-2036","issue":"11-12","journalAbbreviation":"Aliment. Pharmacol. Ther.","language":"eng","note":"PMID: 23072629","page":"997-1008","source":"PubMed","title":"Review article: Ulcerative colitis, smoking and nicotine therapy","title-short":"Review article","volume":"36","author":[{"family":"Lunney","given":"P. C."},{"family":"Leong","given":"R. W. L."}],"issued":{"date-parts":[["2012",12]]}}},{"id":824,"uris":["http://zotero.org/users/3734960/items/TCAUWZ4G"],"uri":["http://zotero.org/users/3734960/items/TCAUWZ4G"],"itemData":{"id":824,"type":"article-journal","abstract":"A relationship between not smoking and ulcerative colitis has been examined in all English reports. This paper evaluates the ulcerative colitis/nonsmoking and the Crohn's disease/smoking association by meta-analysis and against causality criterion for chronic diseases. A review of the literature, meta-analysis of selected studies, and assessment of causality criterion all suggest that not smoking and ulcerative colitis and smoking and Crohn's disease are consistent with a causal relationship. It is not inconceivable that tobacco may contain some substance beneficial to ulcerative colitis patients. Identification of the specific product in tobacco producing a beneficial effect would be a prudent next step in the study of this association. In spite of the findings of this review and analysis, the author finds no justification for health care providers to change the Surgeon General's recommendations on smoking or tobacco use for ulcerative colitis patients specifically.","container-title":"Digestive Diseases and Sciences","ISSN":"0163-2116","issue":"12","journalAbbreviation":"Dig. Dis. Sci.","language":"eng","note":"PMID: 2598752","page":"1841-1854","source":"PubMed","title":"A meta-analysis of the role of smoking in inflammatory bowel disease","volume":"34","author":[{"family":"Calkins","given":"B. M."}],"issued":{"date-parts":[["1989",12]]}}}],"schema":"https://github.com/citation-style-language/schema/raw/master/csl-citation.json"} </w:instrText>
      </w:r>
      <w:r w:rsidRPr="005B2AA7">
        <w:rPr>
          <w:rFonts w:ascii="Book Antiqua" w:hAnsi="Book Antiqua" w:cs="Times New Roman"/>
          <w:lang w:val="en-US"/>
        </w:rPr>
        <w:fldChar w:fldCharType="separate"/>
      </w:r>
      <w:r w:rsidRPr="005B2AA7">
        <w:rPr>
          <w:rFonts w:ascii="Book Antiqua" w:hAnsi="Book Antiqua" w:cs="Times New Roman"/>
          <w:vertAlign w:val="superscript"/>
          <w:lang w:val="en-US"/>
        </w:rPr>
        <w:t>[11,18–21]</w:t>
      </w:r>
      <w:r w:rsidRPr="005B2AA7">
        <w:rPr>
          <w:rFonts w:ascii="Book Antiqua" w:hAnsi="Book Antiqua" w:cs="Times New Roman"/>
          <w:lang w:val="en-US"/>
        </w:rPr>
        <w:fldChar w:fldCharType="end"/>
      </w:r>
      <w:r w:rsidRPr="005B2AA7">
        <w:rPr>
          <w:rFonts w:ascii="Book Antiqua" w:hAnsi="Book Antiqua" w:cs="Times New Roman"/>
          <w:lang w:val="en-US"/>
        </w:rPr>
        <w:t>. It was not surprising to find different</w:t>
      </w:r>
      <w:r w:rsidR="00A812CC" w:rsidRPr="005B2AA7">
        <w:rPr>
          <w:rFonts w:ascii="Book Antiqua" w:hAnsi="Book Antiqua" w:cs="Times New Roman"/>
          <w:lang w:val="en-US"/>
        </w:rPr>
        <w:t xml:space="preserve"> smoking profiles between CD an UC patients based on timing of IBD diagnosis. Most CD patients stopped cigarette smoking after IBD diagnosis, whereas most UC patients stopped cigarettes before IBD diagnosis. Among participants declaring to have ever stopped cigarette smoking and restarted, we expected to find a large majority of UC patients restarting smoking after IBD diagnosis. Quite surprisingly, the same result was observed in the CD group of patients while smoking is known to worsen the course of CD. In a study conducted by the Nancy group, similar results were reported, with about one-third of IBD patients who had already stopped smoking to prevent flares with a significant difference between CD </w:t>
      </w:r>
      <w:r w:rsidR="00A812CC" w:rsidRPr="005B2AA7">
        <w:rPr>
          <w:rFonts w:ascii="Book Antiqua" w:hAnsi="Book Antiqua" w:cs="Times New Roman"/>
          <w:lang w:val="en-US"/>
        </w:rPr>
        <w:lastRenderedPageBreak/>
        <w:t>and UC patients</w:t>
      </w:r>
      <w:r w:rsidR="00A812CC" w:rsidRPr="005B2AA7">
        <w:rPr>
          <w:rFonts w:ascii="Book Antiqua" w:hAnsi="Book Antiqua" w:cs="Times New Roman"/>
          <w:lang w:val="en-US"/>
        </w:rPr>
        <w:fldChar w:fldCharType="begin"/>
      </w:r>
      <w:r w:rsidR="00A812CC" w:rsidRPr="005B2AA7">
        <w:rPr>
          <w:rFonts w:ascii="Book Antiqua" w:hAnsi="Book Antiqua" w:cs="Times New Roman"/>
          <w:lang w:val="en-US"/>
        </w:rPr>
        <w:instrText xml:space="preserve"> ADDIN ZOTERO_ITEM CSL_CITATION {"citationID":"EaJat4Ps","properties":{"formattedCitation":"\\super [27]\\nosupersub{}","plainCitation":"[27]","noteIndex":0},"citationItems":[{"id":4025,"uris":["http://zotero.org/users/3734960/items/SJ322QC9"],"uri":["http://zotero.org/users/3734960/items/SJ322QC9"],"itemData":{"id":4025,"type":"article-journal","abstract":"BACKGROUND AND AIMS: We investigated the beliefs and behaviours about tobacco among inflammatory bowel disease (IBD) patients.\nMATERIALS AND METHODS: A questionnaire of 18 items was developed and administered to all consecutive patients followed for IBD at Nancy University Hospital from October 2012 to March 2013.\nRESULTS: Two hundred and thirty-one patients participated in the survey [Crohn's disease (CD)=171, ulcerative colitis (UC)=60]. Among IBD patients who were smokers at diagnosis, 10.5% of CD patients versus 14.3% of UC patients believed that tobacco could have triggered their IBD; about half the CD smokers at diagnosis were not aware that smoking might promote their disease. Three quarters of smokers after diagnosis knew that tobacco was not beneficial for their CD, whereas all UC were aware that smoking had a beneficial effect on their disease course. About half of the CD patients had stopped smoking during a flare-up. Four former smokers with UC (21.1%) resumed smoking during a relapse. Nearly 90% of IBD current smokers wished to quit smoking. About half the IBD patients were aware of the relation between smoking and IBD, and the Internet was a source for 24.3% of these patients.\nCONCLUSION: The majority of IBD patients are unaware of the effects of tobacco on their disease. Better information through a therapeutic education programme should be systematically recommended in IBD.","container-title":"European Journal of Gastroenterology &amp; Hepatology","DOI":"10.1097/MEG.0000000000000371","ISSN":"1473-5687","issue":"7","journalAbbreviation":"Eur J Gastroenterol Hepatol","language":"eng","note":"PMID: 25919776","page":"797-803","source":"PubMed","title":"Beliefs and behaviour about smoking among inflammatory bowel disease patients","volume":"27","author":[{"family":"Saadoune","given":"Nafissa"},{"family":"Peyrin-Biroulet","given":"Laurent"},{"family":"Baumann","given":"Cédric"},{"family":"Bigard","given":"Marc-André"},{"family":"Wirth","given":"Nathalie"},{"family":"Martinet","given":"Yves"},{"family":"Peyrin-Biroulet","given":"Carina"}],"issued":{"date-parts":[["2015",7]]}}}],"schema":"https://github.com/citation-style-language/schema/raw/master/csl-citation.json"} </w:instrText>
      </w:r>
      <w:r w:rsidR="00A812CC" w:rsidRPr="005B2AA7">
        <w:rPr>
          <w:rFonts w:ascii="Book Antiqua" w:hAnsi="Book Antiqua" w:cs="Times New Roman"/>
          <w:lang w:val="en-US"/>
        </w:rPr>
        <w:fldChar w:fldCharType="separate"/>
      </w:r>
      <w:r w:rsidR="00A812CC" w:rsidRPr="005B2AA7">
        <w:rPr>
          <w:rFonts w:ascii="Book Antiqua" w:hAnsi="Book Antiqua" w:cs="Times New Roman"/>
          <w:vertAlign w:val="superscript"/>
          <w:lang w:val="en-US"/>
        </w:rPr>
        <w:t>[27]</w:t>
      </w:r>
      <w:r w:rsidR="00A812CC" w:rsidRPr="005B2AA7">
        <w:rPr>
          <w:rFonts w:ascii="Book Antiqua" w:hAnsi="Book Antiqua" w:cs="Times New Roman"/>
          <w:lang w:val="en-US"/>
        </w:rPr>
        <w:fldChar w:fldCharType="end"/>
      </w:r>
      <w:r w:rsidR="00A812CC" w:rsidRPr="005B2AA7">
        <w:rPr>
          <w:rFonts w:ascii="Book Antiqua" w:hAnsi="Book Antiqua" w:cs="Times New Roman"/>
          <w:lang w:val="en-US"/>
        </w:rPr>
        <w:t>, whereas we did not observe any significant difference among CD and UC patients restarting smoking to prevent flares.</w:t>
      </w:r>
    </w:p>
    <w:p w14:paraId="091D1842" w14:textId="3DE83CCD" w:rsidR="00A812CC" w:rsidRPr="005B2AA7" w:rsidRDefault="00A812CC" w:rsidP="00253009">
      <w:pPr>
        <w:adjustRightInd w:val="0"/>
        <w:snapToGrid w:val="0"/>
        <w:spacing w:line="360" w:lineRule="auto"/>
        <w:ind w:firstLineChars="100" w:firstLine="240"/>
        <w:jc w:val="both"/>
        <w:rPr>
          <w:rFonts w:ascii="Book Antiqua" w:hAnsi="Book Antiqua" w:cs="Times New Roman"/>
          <w:lang w:val="en-US"/>
        </w:rPr>
      </w:pPr>
      <w:r w:rsidRPr="005B2AA7">
        <w:rPr>
          <w:rFonts w:ascii="Book Antiqua" w:hAnsi="Book Antiqua" w:cs="Times New Roman"/>
          <w:lang w:val="en-US"/>
        </w:rPr>
        <w:t>Evidence from literature underlines the importance of informing patients with CD about the negative influence of smoking on their disease, as this will directly influence their intent to quit smoking and positively impact clinical outcomes if they succeed</w:t>
      </w:r>
      <w:r w:rsidRPr="005B2AA7">
        <w:rPr>
          <w:rFonts w:ascii="Book Antiqua" w:hAnsi="Book Antiqua" w:cs="Times New Roman"/>
          <w:lang w:val="en-US"/>
        </w:rPr>
        <w:fldChar w:fldCharType="begin"/>
      </w:r>
      <w:r w:rsidRPr="005B2AA7">
        <w:rPr>
          <w:rFonts w:ascii="Book Antiqua" w:hAnsi="Book Antiqua" w:cs="Times New Roman"/>
          <w:lang w:val="en-US"/>
        </w:rPr>
        <w:instrText xml:space="preserve"> ADDIN ZOTERO_ITEM CSL_CITATION {"citationID":"dKA7RiAv","properties":{"formattedCitation":"\\super [26,31,32]\\nosupersub{}","plainCitation":"[26,31,32]","noteIndex":0},"citationItems":[{"id":4010,"uris":["http://zotero.org/users/3734960/items/DY7FWPSY"],"uri":["http://zotero.org/users/3734960/items/DY7FWPSY"],"itemData":{"id":4010,"type":"article-journal","abstract":"BACKGOUND: Tobacco is one of the most significant risk factors for inflammatory bowel disease (IBD).\nGOALS: The main objective was to assess the knowledge of patients with IBD regarding the effects of tobacco on their disease. Secondary objectives were to determine the source of their knowledge, the influence of their knowledge on their intent to quit smoking, and the association between patients' characteristics and their knowledge.\nSTUDY: Patients with IBD completed a self-administered questionnaire on demographic data, severity of disease, and effects of tobacco on their disease.\nRESULTS: In total 259 patients [182 with Crohn's disease, 77 with ulcerative colitis (UC)] participated. The prevalence of current smokers, exsmokers, and nonsmokers was 19.6%, 40.2%, and 40.2%, respectively. Patients with Crohn's disease were more aware of the effects of tobacco on their disease compared with those with UC (57.7% vs. 13.0%, P&lt;0.0001). In informed patients, the main source of information was the gastroenterologist (56.9%). The intent to quit smoking was superior in informed patients compared with those uninformed (78.6% vs. 47.8%, P=0.046). Older patients (odds ratio=0.97, P=0.01) and patients with UC (odds ratio=0.11, P&lt;0.0001) were less likely to be informed.\nCONCLUSIONS: Only half of patients with IBD are aware of the risks of smoking associated with their disease, whereas their intent to quit smoking is directly related to their awareness. In the scope of IBD's treatment, management of smoking cessation should be undertaken in all smokers.","container-title":"Journal of Clinical Gastroenterology","DOI":"10.1097/MCG.0000000000000386","ISSN":"1539-2031","issue":"6","journalAbbreviation":"J. Clin. Gastroenterol.","language":"eng","note":"PMID: 26196475","page":"490-497","source":"PubMed","title":"Patients With Inflammatory Bowel Disease Are Unaware of the Impact of Smoking on Their Disease","volume":"50","author":[{"family":"Ducharme-Bénard","given":"Stéphanie"},{"family":"Côté-Daigneault","given":"Justin"},{"family":"Lemoyne","given":"Michel"},{"family":"Orlicka","given":"Katarzyna"},{"family":"Lahaie","given":"Raymond"},{"family":"Weber","given":"Audrey"},{"family":"Bouin","given":"Mickael"}],"issued":{"date-parts":[["2016"]]}}},{"id":4035,"uris":["http://zotero.org/users/3734960/items/M8FJME3T"],"uri":["http://zotero.org/users/3734960/items/M8FJME3T"],"itemData":{"id":4035,"type":"article-journal","abstract":"BACKGROUND &amp; AIMS: In Crohn's disease, smoking increases the risk for surgical procedures. The influence of smoking on the overall severity of the disease remains controversial. The purpose of the study was to examine the effects of smoking on the long-term course of Crohn's disease and the relationship between smoking and therapy.\nMETHODS: The medical charts of 400 consecutive patients whose smoking habits were specified by direct interview were reviewed.\nRESULTS: Frequency and extent of excisional surgery were not significantly different in smokers and nonsmokers, but smokers required more glucocorticoids and immunosuppressive drugs. The effect of smoking on the need for immunosuppressive drugs was dose-dependent and was significant in women but not in men. For female smokers, the 10-year risk of immunosuppressive therapy was 52% +/- 11% compared with 24% +/- 10% for nonsmokers (P &lt; 0.001). The risk of surgery increased only in patients who smoked and did not take immunosuppressive drugs. The surgical rate increased significantly during smoking in 19 patients who started smoking after diagnosis and decreased significantly in 34 patients who stopped compared with matched controls.\nCONCLUSIONS: Patients who smoke, particularly women and heavy smokers, run a high risk of developing severe disease. Immunosuppressive therapy neutralizes the influence of smoking on surgical rates.","container-title":"Gastroenterology","DOI":"10.1053/gast.1996.v110.pm8566589","ISSN":"0016-5085","issue":"2","journalAbbreviation":"Gastroenterology","language":"eng","note":"PMID: 8566589","page":"424-431","source":"PubMed","title":"Effects of cigarette smoking on the long-term course of Crohn's disease","volume":"110","author":[{"family":"Cosnes","given":"J."},{"family":"Carbonnel","given":"F."},{"family":"Beaugerie","given":"L."},{"family":"Le Quintrec","given":"Y."},{"family":"Gendre","given":"J. P."}],"issued":{"date-parts":[["1996",2]]}}},{"id":4037,"uris":["http://zotero.org/users/3734960/items/GGJ22TLJ"],"uri":["http://zotero.org/users/3734960/items/GGJ22TLJ"],"itemData":{"id":4037,"type":"article-journal","abstract":"INTRODUCTION: Tobacco smoking has a significant impact on the development of Crohn's disease (CD) and its clinical course, making smoking cessation one of the main goals in CD therapeutic strategy.\nAIMS: To evaluate the effectiveness of an advice-based smoking cessation strategy among CD patients.\nMETHODS: We have performed a prospective multicenter study which enrolled 408 CD smokers. At inclusion all patients were instructed about the risks of smoking and subsequently followed every 3 months. Each center used additional smoking cessation strategies based on available resources. Urinary cotinine and exhaled carbon monoxide levels were evaluated in a subgroup of patients.\nRESULTS: Median study follow up was 18 months. 31% of the patients achieved complete smoking cessation and 23% were smoking-free at the end of their follow up with 8% of smoking relapse. Most patients not achieving smoking cessation did not change their smoking habit with only 5% presenting a decrease in tobacco load. 63% of patients willing to quit smoking received help from another specialist, most frequently the pulmonologist (47%). Surprisingly, most patients (88%) tried to quit smoking with no pharmacological therapy and bupropion, varenicline and nicotine replacement treatment were used in few patients. Urinary cotinine and exhaled CO levels tested in a subgroup of patients proved to have a good correlation with the self-reported smoking habit. No predictors of successful smoking cessation were identified.\nCONCLUSION: Our results underline that an anti-tobacco strategy mostly based on CD patients's education and counseling is feasible and effective in helping patients reach complete abstinence.","container-title":"Journal of Crohn's &amp; Colitis","DOI":"10.1016/j.crohns.2012.04.011","ISSN":"1876-4479","issue":"3","journalAbbreviation":"J Crohns Colitis","language":"eng","note":"PMID: 22626507","page":"202-207","source":"PubMed","title":"High smoking cessation rate in Crohn's disease patients after physician advice--the TABACROHN Study","volume":"7","author":[{"family":"Nunes","given":"Tiago"},{"family":"Etchevers","given":"Maria Josefina"},{"family":"Merino","given":"Olga"},{"family":"Gallego","given":"Sonia"},{"family":"García-Sánchez","given":"Valle"},{"family":"Marín-Jiménez","given":"Ignacio"},{"family":"Menchén","given":"Luis"},{"family":"Barreiro-de Acosta","given":"Manuel"},{"family":"Bastida","given":"Guillermo"},{"family":"García","given":"Sara"},{"family":"Gento","given":"Elena"},{"family":"Ginard","given":"Daniel"},{"family":"Martí","given":"Eva"},{"family":"Gomollón","given":"Fernando"},{"family":"Arroyo","given":"Maite"},{"family":"Monfort","given":"David"},{"family":"García-Planella","given":"Esther"},{"family":"Gonzalez","given":"Benito"},{"family":"Loras","given":"Carme"},{"family":"Agustí","given":"Carles"},{"family":"Figueroa","given":"Carolina"},{"family":"Sans","given":"Miquel"},{"literal":"TABACROHN Study Group of GETECCU"}],"issued":{"date-parts":[["2013",4]]}}}],"schema":"https://github.com/citation-style-language/schema/raw/master/csl-citation.json"} </w:instrText>
      </w:r>
      <w:r w:rsidRPr="005B2AA7">
        <w:rPr>
          <w:rFonts w:ascii="Book Antiqua" w:hAnsi="Book Antiqua" w:cs="Times New Roman"/>
          <w:lang w:val="en-US"/>
        </w:rPr>
        <w:fldChar w:fldCharType="separate"/>
      </w:r>
      <w:r w:rsidRPr="005B2AA7">
        <w:rPr>
          <w:rFonts w:ascii="Book Antiqua" w:hAnsi="Book Antiqua" w:cs="Times New Roman"/>
          <w:vertAlign w:val="superscript"/>
          <w:lang w:val="en-US"/>
        </w:rPr>
        <w:t>[26,31,32]</w:t>
      </w:r>
      <w:r w:rsidRPr="005B2AA7">
        <w:rPr>
          <w:rFonts w:ascii="Book Antiqua" w:hAnsi="Book Antiqua" w:cs="Times New Roman"/>
          <w:lang w:val="en-US"/>
        </w:rPr>
        <w:fldChar w:fldCharType="end"/>
      </w:r>
      <w:r w:rsidRPr="005B2AA7">
        <w:rPr>
          <w:rFonts w:ascii="Book Antiqua" w:hAnsi="Book Antiqua" w:cs="Times New Roman"/>
          <w:lang w:val="en-US"/>
        </w:rPr>
        <w:t xml:space="preserve">. Education on smoking is probably insufficiently considered for the management of our patients, particularly in CD. Hilsden </w:t>
      </w:r>
      <w:r w:rsidRPr="005B2AA7">
        <w:rPr>
          <w:rFonts w:ascii="Book Antiqua" w:hAnsi="Book Antiqua" w:cs="Times New Roman"/>
          <w:i/>
          <w:iCs/>
          <w:lang w:val="en-US"/>
        </w:rPr>
        <w:t>et al</w:t>
      </w:r>
      <w:r w:rsidRPr="005B2AA7">
        <w:rPr>
          <w:rFonts w:ascii="Book Antiqua" w:hAnsi="Book Antiqua" w:cs="Times New Roman"/>
          <w:lang w:val="en-US"/>
        </w:rPr>
        <w:fldChar w:fldCharType="begin"/>
      </w:r>
      <w:r w:rsidRPr="005B2AA7">
        <w:rPr>
          <w:rFonts w:ascii="Book Antiqua" w:hAnsi="Book Antiqua" w:cs="Times New Roman"/>
          <w:lang w:val="en-US"/>
        </w:rPr>
        <w:instrText xml:space="preserve"> ADDIN ZOTERO_ITEM CSL_CITATION {"citationID":"Rkba7u7P","properties":{"formattedCitation":"\\super [33]\\nosupersub{}","plainCitation":"[33]","noteIndex":0},"citationItems":[{"id":4040,"uris":["http://zotero.org/users/3734960/items/VVTMCVWE"],"uri":["http://zotero.org/users/3734960/items/VVTMCVWE"],"itemData":{"id":4040,"type":"article-journal","abstract":"OBJECTIVE: To examine the smoking behaviors of people with Crohn's disease. In active smokers, we measured their willingness to quit, their degree of nicotine dependence, and the proportion that made a quit attempt within 6 months to determine if they were refractory to smoking cessation in comparison to the general population. We also examined factors that were important in their decision to smoke.\nMETHODS: We conducted a cross-sectional survey of out-patients, supplemented by telephone interviews and a 6-month follow-up questionnaire of active smokers. Measures included disease activity, current smoking behaviors, intentions (stage of change), Fagerstrom Test for Nicotine Dependence, and factors related to their decision to smoke (decisional balance).\nRESULTS: The questionnaire was completed by 115 patients (78% response rate). Forty percent were active smokers. Of active smokers, 59% were considering quitting within the next 6 months, and of these, 15% were planning on quitting within the next 30 days. Those with moderate disease activity were more likely to be considering quitting than those with mild or severe activity. Nicotine dependence was rated as high in 33% and as moderate in 43%. Factors unrelated to Crohn's disease were more important in their decision to smoke than were Crohn's disease-related factors. After 6 months, 23% had made an attempt to quit and this attempt was strongly associated with their stated intentions at the baseline questionnaire. Two of three patients who had recently quit at baseline had resumed smoking.\nCONCLUSION: When compared to similar data for the general population, patients with Crohn's disease are no more refractory to smoking cessation.","container-title":"The American Journal of Gastroenterology","DOI":"10.1111/j.1572-0241.2001.03882.x","ISSN":"0002-9270","issue":"6","journalAbbreviation":"Am. J. Gastroenterol.","language":"eng","note":"PMID: 11419838","page":"1849-1853","source":"PubMed","title":"Attitudes toward smoking and smoking behaviors of patients with Crohn's disease","volume":"96","author":[{"family":"Hilsden","given":"R. J."},{"family":"Hodgins","given":"D."},{"family":"Czechowsky","given":"D."},{"family":"Verhoef","given":"M. J."},{"family":"Sutherland","given":"L. R."}],"issued":{"date-parts":[["2001",6]]}}}],"schema":"https://github.com/citation-style-language/schema/raw/master/csl-citation.json"} </w:instrText>
      </w:r>
      <w:r w:rsidRPr="005B2AA7">
        <w:rPr>
          <w:rFonts w:ascii="Book Antiqua" w:hAnsi="Book Antiqua" w:cs="Times New Roman"/>
          <w:lang w:val="en-US"/>
        </w:rPr>
        <w:fldChar w:fldCharType="separate"/>
      </w:r>
      <w:r w:rsidRPr="005B2AA7">
        <w:rPr>
          <w:rFonts w:ascii="Book Antiqua" w:hAnsi="Book Antiqua" w:cs="Times New Roman"/>
          <w:vertAlign w:val="superscript"/>
          <w:lang w:val="en-US"/>
        </w:rPr>
        <w:t>[33]</w:t>
      </w:r>
      <w:r w:rsidRPr="005B2AA7">
        <w:rPr>
          <w:rFonts w:ascii="Book Antiqua" w:hAnsi="Book Antiqua" w:cs="Times New Roman"/>
          <w:lang w:val="en-US"/>
        </w:rPr>
        <w:fldChar w:fldCharType="end"/>
      </w:r>
      <w:r w:rsidRPr="005B2AA7">
        <w:rPr>
          <w:rFonts w:ascii="Book Antiqua" w:hAnsi="Book Antiqua" w:cs="Times New Roman"/>
          <w:lang w:val="en-US"/>
        </w:rPr>
        <w:t xml:space="preserve"> suggested that patients with CD are not more refractory to smoking cessation compared to the general population of active smokers and factors unrelated to CD may be more important in their decision to smoke than CD-related factors</w:t>
      </w:r>
      <w:r w:rsidRPr="005B2AA7">
        <w:rPr>
          <w:rFonts w:ascii="Book Antiqua" w:hAnsi="Book Antiqua" w:cs="Times New Roman"/>
          <w:lang w:val="en-US"/>
        </w:rPr>
        <w:fldChar w:fldCharType="begin"/>
      </w:r>
      <w:r w:rsidRPr="005B2AA7">
        <w:rPr>
          <w:rFonts w:ascii="Book Antiqua" w:hAnsi="Book Antiqua" w:cs="Times New Roman"/>
          <w:lang w:val="en-US"/>
        </w:rPr>
        <w:instrText xml:space="preserve"> ADDIN ZOTERO_ITEM CSL_CITATION {"citationID":"Rkba7u7P","properties":{"formattedCitation":"\\super [33]\\nosupersub{}","plainCitation":"[33]","noteIndex":0},"citationItems":[{"id":4040,"uris":["http://zotero.org/users/3734960/items/VVTMCVWE"],"uri":["http://zotero.org/users/3734960/items/VVTMCVWE"],"itemData":{"id":4040,"type":"article-journal","abstract":"OBJECTIVE: To examine the smoking behaviors of people with Crohn's disease. In active smokers, we measured their willingness to quit, their degree of nicotine dependence, and the proportion that made a quit attempt within 6 months to determine if they were refractory to smoking cessation in comparison to the general population. We also examined factors that were important in their decision to smoke.\nMETHODS: We conducted a cross-sectional survey of out-patients, supplemented by telephone interviews and a 6-month follow-up questionnaire of active smokers. Measures included disease activity, current smoking behaviors, intentions (stage of change), Fagerstrom Test for Nicotine Dependence, and factors related to their decision to smoke (decisional balance).\nRESULTS: The questionnaire was completed by 115 patients (78% response rate). Forty percent were active smokers. Of active smokers, 59% were considering quitting within the next 6 months, and of these, 15% were planning on quitting within the next 30 days. Those with moderate disease activity were more likely to be considering quitting than those with mild or severe activity. Nicotine dependence was rated as high in 33% and as moderate in 43%. Factors unrelated to Crohn's disease were more important in their decision to smoke than were Crohn's disease-related factors. After 6 months, 23% had made an attempt to quit and this attempt was strongly associated with their stated intentions at the baseline questionnaire. Two of three patients who had recently quit at baseline had resumed smoking.\nCONCLUSION: When compared to similar data for the general population, patients with Crohn's disease are no more refractory to smoking cessation.","container-title":"The American Journal of Gastroenterology","DOI":"10.1111/j.1572-0241.2001.03882.x","ISSN":"0002-9270","issue":"6","journalAbbreviation":"Am. J. Gastroenterol.","language":"eng","note":"PMID: 11419838","page":"1849-1853","source":"PubMed","title":"Attitudes toward smoking and smoking behaviors of patients with Crohn's disease","volume":"96","author":[{"family":"Hilsden","given":"R. J."},{"family":"Hodgins","given":"D."},{"family":"Czechowsky","given":"D."},{"family":"Verhoef","given":"M. J."},{"family":"Sutherland","given":"L. R."}],"issued":{"date-parts":[["2001",6]]}}}],"schema":"https://github.com/citation-style-language/schema/raw/master/csl-citation.json"} </w:instrText>
      </w:r>
      <w:r w:rsidRPr="005B2AA7">
        <w:rPr>
          <w:rFonts w:ascii="Book Antiqua" w:hAnsi="Book Antiqua" w:cs="Times New Roman"/>
          <w:lang w:val="en-US"/>
        </w:rPr>
        <w:fldChar w:fldCharType="separate"/>
      </w:r>
      <w:r w:rsidRPr="005B2AA7">
        <w:rPr>
          <w:rFonts w:ascii="Book Antiqua" w:hAnsi="Book Antiqua" w:cs="Times New Roman"/>
          <w:vertAlign w:val="superscript"/>
          <w:lang w:val="en-US"/>
        </w:rPr>
        <w:t>[33]</w:t>
      </w:r>
      <w:r w:rsidRPr="005B2AA7">
        <w:rPr>
          <w:rFonts w:ascii="Book Antiqua" w:hAnsi="Book Antiqua" w:cs="Times New Roman"/>
          <w:lang w:val="en-US"/>
        </w:rPr>
        <w:fldChar w:fldCharType="end"/>
      </w:r>
      <w:r w:rsidRPr="005B2AA7">
        <w:rPr>
          <w:rFonts w:ascii="Book Antiqua" w:hAnsi="Book Antiqua" w:cs="Times New Roman"/>
          <w:lang w:val="en-US"/>
        </w:rPr>
        <w:t xml:space="preserve">. </w:t>
      </w:r>
    </w:p>
    <w:p w14:paraId="3C385BE4" w14:textId="77777777" w:rsidR="00A812CC" w:rsidRPr="005B2AA7" w:rsidRDefault="00A812CC" w:rsidP="00253009">
      <w:pPr>
        <w:adjustRightInd w:val="0"/>
        <w:snapToGrid w:val="0"/>
        <w:spacing w:line="360" w:lineRule="auto"/>
        <w:ind w:firstLineChars="100" w:firstLine="240"/>
        <w:jc w:val="both"/>
        <w:rPr>
          <w:rFonts w:ascii="Book Antiqua" w:hAnsi="Book Antiqua" w:cs="Times New Roman"/>
          <w:lang w:val="en-US"/>
        </w:rPr>
      </w:pPr>
      <w:r w:rsidRPr="005B2AA7">
        <w:rPr>
          <w:rFonts w:ascii="Book Antiqua" w:hAnsi="Book Antiqua" w:cs="Times New Roman"/>
          <w:lang w:val="en-US"/>
        </w:rPr>
        <w:t>Furthermore, recent data from the Epi-IBD cohort also highlights the economic impact of smoking on IBD, especially in CD, where smoking cessation has medical and economic benefits</w:t>
      </w:r>
      <w:r w:rsidRPr="005B2AA7">
        <w:rPr>
          <w:rFonts w:ascii="Book Antiqua" w:hAnsi="Book Antiqua" w:cs="Times New Roman"/>
          <w:lang w:val="en-US"/>
        </w:rPr>
        <w:fldChar w:fldCharType="begin"/>
      </w:r>
      <w:r w:rsidRPr="005B2AA7">
        <w:rPr>
          <w:rFonts w:ascii="Book Antiqua" w:hAnsi="Book Antiqua" w:cs="Times New Roman"/>
          <w:lang w:val="en-US"/>
        </w:rPr>
        <w:instrText xml:space="preserve"> ADDIN ZOTERO_ITEM CSL_CITATION {"citationID":"CDcc3B8I","properties":{"formattedCitation":"\\super [34]\\nosupersub{}","plainCitation":"[34]","noteIndex":0},"citationItems":[{"id":4154,"uris":["http://zotero.org/users/3734960/items/MQLM2B9Q"],"uri":["http://zotero.org/users/3734960/items/MQLM2B9Q"],"itemData":{"id":4154,"type":"article-journal","abstract":"BACKGROUND: Inflammatory bowel disease (IBD) places a significant burden on health-care systems because of its chronicity and need for expensive therapies and surgery. With increasing use of biological therapies, contemporary data on IBD health-care costs are important for those responsible for allocating resources in Europe. To our knowledge, no prospective long-term analysis of the health-care costs of patients with IBD in the era of biologicals has been done in Europe. We aimed to investigate cost profiles of a pan-European, community-based inception cohort during 5 years of follow-up.\nMETHODS: The Epi-IBD cohort is a community-based, prospective inception cohort of unselected patients with IBD diagnosed in 2010 at centres in 20 European countries plus Israel. Incident patients who were diagnosed with IBD according to the Copenhagen Diagnostic Criteria between Jan 1, and Dec 31, 2010, and were aged 15 years or older the time of diagnosis were prospectively included. Data on clinical characteristics and direct costs (investigations and outpatient visits, blood tests, treatments, hospitalisations, and surgeries) were collected prospectively using electronic case-report forms. Patient-level costs incorporated procedures leading to the initial diagnosis of IBD and costs of IBD management during the 5-year follow-up period. Costs incurred by comorbidities and unrelated to IBD were excluded. We grouped direct costs into the following five categories: investigations (including outpatient visits and blood tests), conventional medical treatment, biological therapy, hospitalisation, and surgery.\nFINDINGS: The study population consisted of 1289 patients with IBD, with 1073 (83%) patients from western Europe and 216 (17%) from eastern Europe. 488 (38%) patients had Crohn's disease, 717 (56%) had ulcerative colitis, and 84 (6%) had IBD unclassified. The mean cost per patient-year during follow-up for patients with IBD was €2609 (SD 7389; median €446 [IQR 164-1849]). The mean cost per patient-year during follow-up was €3542 (8058; median €717 [214-3512]) for patients with Crohn's disease, €2088 (7058; median €408 [133-1161]) for patients with ulcerative colitis, and €1609 (5010; median €415 [92-1228]) for patients with IBD unclassified (p&lt;0·0001). Costs were highest in the first year and then decreased significantly during follow-up. Hospitalisations and diagnostic procedures accounted for more than 50% of costs during the first year. However, in subsequent years there was a steady increase in expenditure on biologicals, which accounted for 73% of costs in Crohn's disease and 48% in ulcerative colitis, in year 5. The mean annual cost per patient-year for biologicals was €866 (SD 3056). The mean yearly costs of biological therapy were higher in patients with Crohn's disease (€1782 [SD 4370]) than in patients with ulcerative colitis (€286 [1427]) or IBD unclassified (€521 [2807]; p&lt;0·0001).\nINTERPRETATION: Overall direct expenditure on health care decreased over a 5-year follow-up period. This period was characterised by increasing expenditure on biologicals and decreasing expenditure on conventional medical treatments, hospitalisations, and surgeries. In light of the expenditures associated with biological therapy, cost-effective treatment strategies are needed to reduce the economic burden of inflammatory bowel disease.\nFUNDING: Kirsten og Freddy Johansens Fond and Nordsjællands Hospital Forskningsråd.","container-title":"The Lancet. Gastroenterology &amp; Hepatology","DOI":"10.1016/S2468-1253(20)30012-1","ISSN":"2468-1253","issue":"5","journalAbbreviation":"Lancet Gastroenterol Hepatol","language":"eng","note":"PMID: 32061322","page":"454-464","source":"PubMed","title":"Health-care costs of inflammatory bowel disease in a pan-European, community-based, inception cohort during 5 years of follow-up: a population-based study","title-short":"Health-care costs of inflammatory bowel disease in a pan-European, community-based, inception cohort during 5 years of follow-up","volume":"5","author":[{"family":"Burisch","given":"Johan"},{"family":"Vardi","given":"Hillel"},{"family":"Schwartz","given":"Doron"},{"family":"Friger","given":"Michael"},{"family":"Kiudelis","given":"Gediminas"},{"family":"Kupčinskas","given":"Juozas"},{"family":"Fumery","given":"Mathurin"},{"family":"Gower-Rousseau","given":"Corinne"},{"family":"Lakatos","given":"Laszlo"},{"family":"Lakatos","given":"Peter L."},{"family":"D'Incà","given":"Renata"},{"family":"Sartini","given":"Alessandro"},{"family":"Valpiani","given":"Daniela"},{"family":"Giannotta","given":"Martina"},{"family":"Arebi","given":"Naila"},{"family":"Duricova","given":"Dana"},{"family":"Bortlik","given":"Martin"},{"family":"Chetcuti Zammit","given":"Stefania"},{"family":"Ellul","given":"Pierre"},{"family":"Pedersen","given":"Natalia"},{"family":"Kjeldsen","given":"Jens"},{"family":"Midjord","given":"Jóngerð Maria Miné"},{"family":"Nielsen","given":"Kári Rubek"},{"family":"Winther Andersen","given":"Karina"},{"family":"Andersen","given":"Vibeke"},{"family":"Katsanos","given":"Konstantinos H."},{"family":"Christodoulou","given":"Dimitrios K."},{"family":"Domislovic","given":"Viktor"},{"family":"Krznaric","given":"Zeljko"},{"family":"Sebastian","given":"Shaji"},{"family":"Oksanen","given":"Pia"},{"family":"Collin","given":"Pekka"},{"family":"Barros","given":"Luisa"},{"family":"Magro","given":"Fernando"},{"family":"Salupere","given":"Riina"},{"family":"Kievit","given":"Hendrika Adriana Linda"},{"family":"Goldis","given":"Adrian"},{"family":"Kaimakliotis","given":"Ioannis P."},{"family":"Dahlerup","given":"Jens F."},{"family":"Eriksson","given":"Carl"},{"family":"Halfvarson","given":"Jonas"},{"family":"Fernandez","given":"Alberto"},{"family":"Hernandez","given":"Vicent"},{"family":"Turcan","given":"Svetlana"},{"family":"Belousova","given":"Elena"},{"family":"Langholz","given":"Ebbe"},{"family":"Munkholm","given":"Pia"},{"family":"Odes","given":"Selwyn"},{"literal":"Epi-IBD group"}],"issued":{"date-parts":[["2020",5]]}}}],"schema":"https://github.com/citation-style-language/schema/raw/master/csl-citation.json"} </w:instrText>
      </w:r>
      <w:r w:rsidRPr="005B2AA7">
        <w:rPr>
          <w:rFonts w:ascii="Book Antiqua" w:hAnsi="Book Antiqua" w:cs="Times New Roman"/>
          <w:lang w:val="en-US"/>
        </w:rPr>
        <w:fldChar w:fldCharType="separate"/>
      </w:r>
      <w:r w:rsidRPr="005B2AA7">
        <w:rPr>
          <w:rFonts w:ascii="Book Antiqua" w:hAnsi="Book Antiqua" w:cs="Times New Roman"/>
          <w:vertAlign w:val="superscript"/>
          <w:lang w:val="en-US"/>
        </w:rPr>
        <w:t>[34]</w:t>
      </w:r>
      <w:r w:rsidRPr="005B2AA7">
        <w:rPr>
          <w:rFonts w:ascii="Book Antiqua" w:hAnsi="Book Antiqua" w:cs="Times New Roman"/>
          <w:lang w:val="en-US"/>
        </w:rPr>
        <w:fldChar w:fldCharType="end"/>
      </w:r>
      <w:r w:rsidRPr="005B2AA7">
        <w:rPr>
          <w:rFonts w:ascii="Book Antiqua" w:hAnsi="Book Antiqua" w:cs="Times New Roman"/>
          <w:lang w:val="en-US"/>
        </w:rPr>
        <w:t>.</w:t>
      </w:r>
    </w:p>
    <w:p w14:paraId="5EFE15DD" w14:textId="253D9F29" w:rsidR="00A812CC" w:rsidRPr="005B2AA7" w:rsidRDefault="00A812CC" w:rsidP="00253009">
      <w:pPr>
        <w:adjustRightInd w:val="0"/>
        <w:snapToGrid w:val="0"/>
        <w:spacing w:line="360" w:lineRule="auto"/>
        <w:ind w:firstLineChars="100" w:firstLine="240"/>
        <w:jc w:val="both"/>
        <w:rPr>
          <w:rFonts w:ascii="Book Antiqua" w:hAnsi="Book Antiqua" w:cs="Times New Roman"/>
          <w:lang w:val="en-US"/>
        </w:rPr>
      </w:pPr>
      <w:r w:rsidRPr="005B2AA7">
        <w:rPr>
          <w:rFonts w:ascii="Book Antiqua" w:hAnsi="Book Antiqua" w:cs="Times New Roman"/>
          <w:color w:val="000000"/>
          <w:lang w:val="en-US"/>
        </w:rPr>
        <w:t xml:space="preserve">To our knowledge, the present study represents the most complete survey evaluating the consumption of any type of nicotine-containing products in IBD patients. The available literature previously addressed the topic of smoking habits focusing on cigarettes, which are the most commonly used </w:t>
      </w:r>
      <w:r w:rsidRPr="005B2AA7">
        <w:rPr>
          <w:rFonts w:ascii="Book Antiqua" w:hAnsi="Book Antiqua" w:cs="Times New Roman"/>
          <w:lang w:val="en-US"/>
        </w:rPr>
        <w:t>nicotine-containing products</w:t>
      </w:r>
      <w:r w:rsidRPr="005B2AA7">
        <w:rPr>
          <w:rFonts w:ascii="Book Antiqua" w:hAnsi="Book Antiqua" w:cs="Times New Roman"/>
          <w:lang w:val="en-US"/>
        </w:rPr>
        <w:fldChar w:fldCharType="begin"/>
      </w:r>
      <w:r w:rsidRPr="005B2AA7">
        <w:rPr>
          <w:rFonts w:ascii="Book Antiqua" w:hAnsi="Book Antiqua" w:cs="Times New Roman"/>
          <w:lang w:val="en-US"/>
        </w:rPr>
        <w:instrText xml:space="preserve"> ADDIN ZOTERO_ITEM CSL_CITATION {"citationID":"JOL5pPst","properties":{"formattedCitation":"\\super [7,9,11,20]\\nosupersub{}","plainCitation":"[7,9,11,20]","noteIndex":0},"citationItems":[{"id":3974,"uris":["http://zotero.org/users/3734960/items/L3YZII44"],"uri":["http://zotero.org/users/3734960/items/L3YZII44"],"itemData":{"id":3974,"type":"article-journal","abstract":"BACKGROUND: Smoking demonstrates divergent effects in Crohn's disease (CD) and ulcerative colitis (UC). Smoking frequency is greater in CD and deleterious to its disease course. Conversely, UC is primarily a disease of nonsmokers and ex-smokers, with reports of disease amelioration in active smoking.\nAIM: To determine the prevalence of smoking and its effects on disease progression and surgery in a well-characterised cohort of inflammatory bowel diseases (IBD) patients.\nMETHODS: Patients with smoking data of the Sydney IBD Cohort were included. Demographic, phenotypic, medical, surgical and hospitalisation data were analysed and reported on the basis of patient smoking status.\nRESULTS: 1203 IBD patients were identified comprising 626 CD and 557 UC with 6725 and 6672 patient-years of follow-up, respectively. CD patients were more likely to smoke than UC patients (19.2% vs. 10.2%, P &lt; 0.001). A history of smoking in CD was associated with an increased proportional surgery rate (45.8% vs. 37.8%, P = 0.045), requirement for IBD-related hospitalisation (P = 0.009) and incidence of peripheral arthritis (29.8% vs. 22.0%, P = 0.027). Current smokers with UC demonstrated reduced corticosteroid utilisation (24.1% vs. 37.5%, P = 0.045), yet no reduction in the rates of colectomy (3.4% vs. 6.6%, P = 0.34) or hospital admission (P = 0.25) relative to nonsmokers. Ex-smokers with UC required proportionately greater immunosuppressive (36.2% vs. 26.3%, P = 0.041) and corticosteroid (43.7% vs. 34.5%, P = 0.078) therapies compared with current and never smokers.\nCONCLUSIONS: This study confirms the detrimental effects of smoking in CD, yet failed to demonstrate substantial benefit from smoking in UC. These data should encourage all patients with IBD to quit smoking.","container-title":"Alimentary Pharmacology &amp; Therapeutics","DOI":"10.1111/apt.13239","ISSN":"1365-2036","issue":"1","journalAbbreviation":"Aliment. Pharmacol. Ther.","language":"eng","note":"PMID: 25968332","page":"61-70","source":"PubMed","title":"Smoking prevalence and its influence on disease course and surgery in Crohn's disease and ulcerative colitis","volume":"42","author":[{"family":"Lunney","given":"P. C."},{"family":"Kariyawasam","given":"V. C."},{"family":"Wang","given":"R. R."},{"family":"Middleton","given":"K. L."},{"family":"Huang","given":"T."},{"family":"Selinger","given":"C. P."},{"family":"Andrews","given":"J. M."},{"family":"Katelaris","given":"P. H."},{"family":"Leong","given":"R. W. L."}],"issued":{"date-parts":[["2015",7]]}}},{"id":3976,"uris":["http://zotero.org/users/3734960/items/AI4TVR4N"],"uri":["http://zotero.org/users/3734960/items/AI4TVR4N"],"itemData":{"id":3976,"type":"article-journal","abstract":"Smoking is a major environmental factor that interferes in the establishment and clinical course of ulcerative colitis (UC). Firstly, the risk of smoking status impact in the development of UC is reviewed, showing that current smoking has a protective association with UC. Similarly, being a former smoker is associated with an increased risk of UC. The concept that smoking could have a role in determining the inflammatory bowel disease phenotype is also discussed. Gender may also be considered, as current smoking delays disease onset in men but not in women. No clear conclusions can be driven from the studies trying to clarify whether childhood passive smoking or prenatal smoke exposure have an influence on the development of UC, mainly due to methodology flaws. The influence of smoking on disease course is the second aspect analysed. Some studies show a disease course more benign in smokers that in non-smokers, with lower hospitalizations rates, less flare-ups, lower use of oral steroids and even less risk of proximal extension. This is not verified by some other studies. Similarly, the rate of colectomy does not seem to be determined by the smoking status of the patient. The third issue reviewed is the use of nicotine as a therapeutic agent. The place of nicotine in the treatment of UC is unclear, although it could be useful in selected cases, particularly in recent ex-smokers with moderate but refractory attacks of UC. Finally, the effect of smoking cessation in UC patients is summarised. Given that smoking represents a major worldwide cause of death, for inpatients with UC the risks of smoking far outweigh any possible benefit. Thus, physicians should advise, encourage and assist UC patients who smoke to quit.","container-title":"World Journal of Gastroenterology","DOI":"10.3748/wjg.v17.i22.2740","ISSN":"2219-2840","issue":"22","journalAbbreviation":"World J. Gastroenterol.","language":"eng","note":"PMID: 21734782\nPMCID: PMC3122262","page":"2740-2747","source":"PubMed","title":"Ulcerative colitis in smokers, non-smokers and ex-smokers","volume":"17","author":[{"family":"Bastida","given":"Guillermo"},{"family":"Beltrán","given":"Belén"}],"issued":{"date-parts":[["2011",6,14]]}}},{"id":3983,"uris":["http://zotero.org/users/3734960/items/KMFJ7GKC"],"uri":["http://zotero.org/users/3734960/items/KMFJ7GKC"],"itemData":{"id":3983,"type":"article-journal","abstract":"BACKGROUND: Tobacco smoking is a well-established risk factor for the development of Crohn's disease, and this may lead to a more complicated disease course. However, recent evidence suggests that many patients with Crohn's disease are unaware of this fact.\nAIM: To perform a systematic review and meta-analysis of the effects of smoking on disease course in Crohn's disease.\nMETHODS: A search of MEDLINE, EMBASE and EMBASE classic was carried out (up to July 2015) to identify observational studies reporting data on smoking and rates of surgery or flares of disease activity in patients with Crohn's disease. Dichotomous data were pooled to obtain odds ratios (ORs) for flares of disease activity or need for surgery, with 95% confidence intervals (CIs).\nRESULTS: The search identified 33 eligible studies. Compared with nonsmokers, smokers had increased odds of flare of disease activity (OR, 1.56; 95% CI, 1.21-2.01), flare after surgery (OR, 1.97; 95% CI, 1.36-2.85), need for first surgery (OR, 1.68; 95% CI, 1.33-2.12) and need for second surgery (OR, 2.17; 95% CI, 1.63-2.89). The odds of these outcomes among ex-smokers diminished upon smoking cessation, with ORs comparable to those among nonsmokers and, in the case of flare or second surgery, significantly lower than smokers.\nCONCLUSIONS: Smokers with Crohn's disease have a more complicated disease course than nonsmokers, and quitting smoking may ameliorate this. Patients should be reminded of the detrimental effects of smoking on the course of their disease, and smoking cessation advice should be provided to reduce disease burden and costs in these patients.","container-title":"Alimentary Pharmacology &amp; Therapeutics","DOI":"10.1111/apt.13511","ISSN":"1365-2036","issue":"5","journalAbbreviation":"Aliment. Pharmacol. Ther.","language":"eng","note":"PMID: 26749371","page":"549-561","source":"PubMed","title":"Systematic review with meta-analysis: the adverse effects of tobacco smoking on the natural history of Crohn's disease","title-short":"Systematic review with meta-analysis","volume":"43","author":[{"family":"To","given":"N."},{"family":"Gracie","given":"D. J."},{"family":"Ford","given":"A. C."}],"issued":{"date-parts":[["2016",3]]}}},{"id":3996,"uris":["http://zotero.org/users/3734960/items/SPR745UF"],"uri":["http://zotero.org/users/3734960/items/SPR745UF"],"itemData":{"id":3996,"type":"article-journal","abstract":"BACKGROUND: Smoking is the best-characterised environmental association of ulcerative colitis (UC). Smoking has been observed to exert protective effects on both the development and progression of UC.\nAIMS: To examine the association between UC and smoking, possible pathogenic mechanisms and the potential of nicotine as a therapeutic agent in the treatment of UC.\nMETHODS: A literature search was conducted through MEDLINE, using the MeSH search terms 'ulcerative colitis' and 'smoking' or 'nicotine'. Relevant articles were identified through manual review. The reference lists of these articles were reviewed to include further appropriate articles.\nRESULTS: Ulcerative colitis is less prevalent in smokers. Current smokers with a prior diagnosis of UC are more likely to exhibit milder disease than ex-smokers and nonsmokers. There is conflicting evidence for smokers having reduced rates of hospitalisation, colectomy and need for oral corticosteroids and immunosuppressants to manage their disease. Multiple potential active mediators in smoke may be responsible for these clinical effects, including nicotine and carbon monoxide, but the precise mechanism remains unknown. Nicotine has demonstrated variable efficacy in the induction of remission in UC when compared to placebo and conventional medicines. Despite this, the high frequency of adverse events limits its clinical significance.\nCONCLUSIONS: Nicotine's application as a therapeutic treatment in ulcerative colitis is limited. Presently, it may be an option considered only in selected cases of acute ulcerative colitis refractory to conventional treatment options. This review also questions whether nicotine is the active component of smoking that modifies risk and inflammation in ulcerative colitis.","container-title":"Alimentary Pharmacology &amp; Therapeutics","DOI":"10.1111/apt.12086","ISSN":"1365-2036","issue":"11-12","journalAbbreviation":"Aliment. Pharmacol. Ther.","language":"eng","note":"PMID: 23072629","page":"997-1008","source":"PubMed","title":"Review article: Ulcerative colitis, smoking and nicotine therapy","title-short":"Review article","volume":"36","author":[{"family":"Lunney","given":"P. C."},{"family":"Leong","given":"R. W. L."}],"issued":{"date-parts":[["2012",12]]}}}],"schema":"https://github.com/citation-style-language/schema/raw/master/csl-citation.json"} </w:instrText>
      </w:r>
      <w:r w:rsidRPr="005B2AA7">
        <w:rPr>
          <w:rFonts w:ascii="Book Antiqua" w:hAnsi="Book Antiqua" w:cs="Times New Roman"/>
          <w:lang w:val="en-US"/>
        </w:rPr>
        <w:fldChar w:fldCharType="separate"/>
      </w:r>
      <w:r w:rsidRPr="005B2AA7">
        <w:rPr>
          <w:rFonts w:ascii="Book Antiqua" w:hAnsi="Book Antiqua" w:cs="Times New Roman"/>
          <w:vertAlign w:val="superscript"/>
          <w:lang w:val="en-US"/>
        </w:rPr>
        <w:t>[7,9,11,20]</w:t>
      </w:r>
      <w:r w:rsidRPr="005B2AA7">
        <w:rPr>
          <w:rFonts w:ascii="Book Antiqua" w:hAnsi="Book Antiqua" w:cs="Times New Roman"/>
          <w:lang w:val="en-US"/>
        </w:rPr>
        <w:fldChar w:fldCharType="end"/>
      </w:r>
      <w:r w:rsidRPr="005B2AA7">
        <w:rPr>
          <w:rFonts w:ascii="Book Antiqua" w:hAnsi="Book Antiqua" w:cs="Times New Roman"/>
          <w:lang w:val="en-US"/>
        </w:rPr>
        <w:t xml:space="preserve">. Our survey represents a further effort to </w:t>
      </w:r>
      <w:r w:rsidRPr="005B2AA7">
        <w:rPr>
          <w:rFonts w:ascii="Book Antiqua" w:hAnsi="Book Antiqua" w:cs="Times New Roman"/>
          <w:color w:val="000000"/>
          <w:lang w:val="en-US"/>
        </w:rPr>
        <w:t>fill the gap about former or present use in IBD patients also considering alternative smoking products, like e-cigarettes</w:t>
      </w:r>
      <w:r w:rsidRPr="005B2AA7">
        <w:rPr>
          <w:rFonts w:ascii="Book Antiqua" w:hAnsi="Book Antiqua" w:cs="Times New Roman"/>
          <w:lang w:val="en-US"/>
        </w:rPr>
        <w:t>.</w:t>
      </w:r>
    </w:p>
    <w:p w14:paraId="246FBBFB" w14:textId="357C11FF" w:rsidR="000D62CD" w:rsidRPr="005B2AA7" w:rsidRDefault="000D62CD" w:rsidP="00670F65">
      <w:pPr>
        <w:adjustRightInd w:val="0"/>
        <w:snapToGrid w:val="0"/>
        <w:spacing w:line="360" w:lineRule="auto"/>
        <w:ind w:firstLineChars="100" w:firstLine="240"/>
        <w:jc w:val="both"/>
        <w:rPr>
          <w:rFonts w:ascii="Book Antiqua" w:hAnsi="Book Antiqua" w:cs="Times New Roman"/>
          <w:lang w:val="en-US"/>
        </w:rPr>
      </w:pPr>
      <w:r w:rsidRPr="005B2AA7">
        <w:rPr>
          <w:rFonts w:ascii="Book Antiqua" w:hAnsi="Book Antiqua" w:cs="Times New Roman"/>
          <w:lang w:val="en-US"/>
        </w:rPr>
        <w:t xml:space="preserve">Despite the absence of any significant differences in the use of any nicotine-containing product between CD and UC patients, the two groups had a different perception about the impact of using alternative </w:t>
      </w:r>
      <w:r w:rsidR="00386D81" w:rsidRPr="005B2AA7">
        <w:rPr>
          <w:rFonts w:ascii="Book Antiqua" w:hAnsi="Book Antiqua" w:cs="Times New Roman"/>
          <w:lang w:val="en-US"/>
        </w:rPr>
        <w:t xml:space="preserve">smoking </w:t>
      </w:r>
      <w:r w:rsidRPr="005B2AA7">
        <w:rPr>
          <w:rFonts w:ascii="Book Antiqua" w:hAnsi="Book Antiqua" w:cs="Times New Roman"/>
          <w:lang w:val="en-US"/>
        </w:rPr>
        <w:t xml:space="preserve">products on their disease activity, with a trend in favor of worsening in CD patients and a trend in favor of improvement in UC patients; however, in both groups </w:t>
      </w:r>
      <w:r w:rsidR="002B3C3C" w:rsidRPr="005B2AA7">
        <w:rPr>
          <w:rFonts w:ascii="Book Antiqua" w:hAnsi="Book Antiqua" w:cs="Times New Roman"/>
          <w:lang w:val="en-US"/>
        </w:rPr>
        <w:t>most</w:t>
      </w:r>
      <w:r w:rsidRPr="005B2AA7">
        <w:rPr>
          <w:rFonts w:ascii="Book Antiqua" w:hAnsi="Book Antiqua" w:cs="Times New Roman"/>
          <w:lang w:val="en-US"/>
        </w:rPr>
        <w:t xml:space="preserve"> patients perceived </w:t>
      </w:r>
      <w:r w:rsidR="002B3C3C" w:rsidRPr="005B2AA7">
        <w:rPr>
          <w:rFonts w:ascii="Book Antiqua" w:hAnsi="Book Antiqua" w:cs="Times New Roman"/>
          <w:lang w:val="en-US"/>
        </w:rPr>
        <w:t xml:space="preserve">no change </w:t>
      </w:r>
      <w:r w:rsidRPr="005B2AA7">
        <w:rPr>
          <w:rFonts w:ascii="Book Antiqua" w:hAnsi="Book Antiqua" w:cs="Times New Roman"/>
          <w:lang w:val="en-US"/>
        </w:rPr>
        <w:t xml:space="preserve">in their disease activity. </w:t>
      </w:r>
      <w:r w:rsidR="002B3C3C" w:rsidRPr="005B2AA7">
        <w:rPr>
          <w:rFonts w:ascii="Book Antiqua" w:hAnsi="Book Antiqua" w:cs="Times New Roman"/>
          <w:lang w:val="en-US"/>
        </w:rPr>
        <w:t>Additionally</w:t>
      </w:r>
      <w:r w:rsidRPr="005B2AA7">
        <w:rPr>
          <w:rFonts w:ascii="Book Antiqua" w:hAnsi="Book Antiqua" w:cs="Times New Roman"/>
          <w:lang w:val="en-US"/>
        </w:rPr>
        <w:t>, a higher proportion of CD patien</w:t>
      </w:r>
      <w:r w:rsidR="00F21C2E" w:rsidRPr="005B2AA7">
        <w:rPr>
          <w:rFonts w:ascii="Book Antiqua" w:hAnsi="Book Antiqua" w:cs="Times New Roman"/>
          <w:lang w:val="en-US"/>
        </w:rPr>
        <w:t>ts</w:t>
      </w:r>
      <w:r w:rsidRPr="005B2AA7">
        <w:rPr>
          <w:rFonts w:ascii="Book Antiqua" w:hAnsi="Book Antiqua" w:cs="Times New Roman"/>
          <w:lang w:val="en-US"/>
        </w:rPr>
        <w:t xml:space="preserve"> discussed with their physician about a detrimental effect of these products, while a</w:t>
      </w:r>
      <w:r w:rsidR="00F21C2E" w:rsidRPr="005B2AA7">
        <w:rPr>
          <w:rFonts w:ascii="Book Antiqua" w:hAnsi="Book Antiqua" w:cs="Times New Roman"/>
          <w:lang w:val="en-US"/>
        </w:rPr>
        <w:t xml:space="preserve"> </w:t>
      </w:r>
      <w:r w:rsidRPr="005B2AA7">
        <w:rPr>
          <w:rFonts w:ascii="Book Antiqua" w:hAnsi="Book Antiqua" w:cs="Times New Roman"/>
          <w:lang w:val="en-US"/>
        </w:rPr>
        <w:t>higher proportion of UC patients never discussed about this subject.</w:t>
      </w:r>
    </w:p>
    <w:p w14:paraId="6D8B4A13" w14:textId="6757B659" w:rsidR="000D62CD" w:rsidRPr="005B2AA7" w:rsidRDefault="000D62CD" w:rsidP="00253009">
      <w:pPr>
        <w:adjustRightInd w:val="0"/>
        <w:snapToGrid w:val="0"/>
        <w:spacing w:line="360" w:lineRule="auto"/>
        <w:ind w:firstLineChars="100" w:firstLine="240"/>
        <w:jc w:val="both"/>
        <w:rPr>
          <w:rFonts w:ascii="Book Antiqua" w:hAnsi="Book Antiqua" w:cs="Times New Roman"/>
          <w:color w:val="000000"/>
          <w:lang w:val="en-US"/>
        </w:rPr>
      </w:pPr>
      <w:r w:rsidRPr="005B2AA7">
        <w:rPr>
          <w:rFonts w:ascii="Book Antiqua" w:hAnsi="Book Antiqua" w:cs="Times New Roman"/>
          <w:color w:val="000000"/>
          <w:lang w:val="en-US"/>
        </w:rPr>
        <w:lastRenderedPageBreak/>
        <w:t xml:space="preserve">Despite the study design did not allow to stratify our data for the specific type of nicotine-alternative products used, it is interesting to appreciate a growing interest regarding the consumption of electronic cigarettes and its possible impact in IBD populations. A recently published study conducted in United Kingdom </w:t>
      </w:r>
      <w:r w:rsidR="002B3C3C" w:rsidRPr="005B2AA7">
        <w:rPr>
          <w:rFonts w:ascii="Book Antiqua" w:hAnsi="Book Antiqua" w:cs="Times New Roman"/>
          <w:lang w:val="en-US"/>
        </w:rPr>
        <w:t>showed</w:t>
      </w:r>
      <w:r w:rsidRPr="005B2AA7">
        <w:rPr>
          <w:rFonts w:ascii="Book Antiqua" w:hAnsi="Book Antiqua" w:cs="Times New Roman"/>
          <w:lang w:val="en-US"/>
        </w:rPr>
        <w:t xml:space="preserve"> the </w:t>
      </w:r>
      <w:r w:rsidR="002B3C3C" w:rsidRPr="005B2AA7">
        <w:rPr>
          <w:rFonts w:ascii="Book Antiqua" w:hAnsi="Book Antiqua" w:cs="Times New Roman"/>
          <w:lang w:val="en-US"/>
        </w:rPr>
        <w:t xml:space="preserve">proportion </w:t>
      </w:r>
      <w:r w:rsidRPr="005B2AA7">
        <w:rPr>
          <w:rFonts w:ascii="Book Antiqua" w:hAnsi="Book Antiqua" w:cs="Times New Roman"/>
          <w:lang w:val="en-US"/>
        </w:rPr>
        <w:t>of e-cigarette use</w:t>
      </w:r>
      <w:r w:rsidR="002B3C3C" w:rsidRPr="005B2AA7">
        <w:rPr>
          <w:rFonts w:ascii="Book Antiqua" w:hAnsi="Book Antiqua" w:cs="Times New Roman"/>
          <w:lang w:val="en-US"/>
        </w:rPr>
        <w:t>rs</w:t>
      </w:r>
      <w:r w:rsidRPr="005B2AA7">
        <w:rPr>
          <w:rFonts w:ascii="Book Antiqua" w:hAnsi="Book Antiqua" w:cs="Times New Roman"/>
          <w:lang w:val="en-US"/>
        </w:rPr>
        <w:t xml:space="preserve"> </w:t>
      </w:r>
      <w:r w:rsidR="002B3C3C" w:rsidRPr="005B2AA7">
        <w:rPr>
          <w:rFonts w:ascii="Book Antiqua" w:hAnsi="Book Antiqua" w:cs="Times New Roman"/>
          <w:lang w:val="en-US"/>
        </w:rPr>
        <w:t xml:space="preserve">among </w:t>
      </w:r>
      <w:r w:rsidRPr="005B2AA7">
        <w:rPr>
          <w:rFonts w:ascii="Book Antiqua" w:hAnsi="Book Antiqua" w:cs="Times New Roman"/>
          <w:lang w:val="en-US"/>
        </w:rPr>
        <w:t>IBD patients was marginally lower than in the general population, with no significant difference between CD and UC patients. However, due to the small number of cases, the authors failed to demonstrate a significant different rate</w:t>
      </w:r>
      <w:r w:rsidR="002B3C3C" w:rsidRPr="005B2AA7">
        <w:rPr>
          <w:rFonts w:ascii="Book Antiqua" w:hAnsi="Book Antiqua" w:cs="Times New Roman"/>
          <w:lang w:val="en-US"/>
        </w:rPr>
        <w:t xml:space="preserve"> </w:t>
      </w:r>
      <w:r w:rsidRPr="005B2AA7">
        <w:rPr>
          <w:rFonts w:ascii="Book Antiqua" w:hAnsi="Book Antiqua" w:cs="Times New Roman"/>
          <w:lang w:val="en-US"/>
        </w:rPr>
        <w:t>of disease-related complications in e-cigarettes users (higher in UC, lower in CD) compared with cigarette users</w:t>
      </w:r>
      <w:r w:rsidR="00F21C2E" w:rsidRPr="005B2AA7">
        <w:rPr>
          <w:rFonts w:ascii="Book Antiqua" w:hAnsi="Book Antiqua" w:cs="Times New Roman"/>
          <w:lang w:val="en-US"/>
        </w:rPr>
        <w:fldChar w:fldCharType="begin"/>
      </w:r>
      <w:r w:rsidR="009146F9" w:rsidRPr="005B2AA7">
        <w:rPr>
          <w:rFonts w:ascii="Book Antiqua" w:hAnsi="Book Antiqua" w:cs="Times New Roman"/>
          <w:lang w:val="en-US"/>
        </w:rPr>
        <w:instrText xml:space="preserve"> ADDIN ZOTERO_ITEM CSL_CITATION {"citationID":"7NwWfA5W","properties":{"formattedCitation":"\\super [35]\\nosupersub{}","plainCitation":"[35]","noteIndex":0},"citationItems":[{"id":4042,"uris":["http://zotero.org/users/3734960/items/L727TAYJ"],"uri":["http://zotero.org/users/3734960/items/L727TAYJ"],"itemData":{"id":4042,"type":"article-journal","abstract":"Background: Smoking has a detrimental effect on Crohn's disease (CD) while data on ulcerative colitis (UC) are conflicting. Smoking habits have changed dramatically in the UK due to a public smoking ban and the advent of e-cigarettes. We describe current smoking rates in patients with inflammatory bowel disease (IBD) and any effects on disease course.\nMethods: Self-reported smoking status was elicited in outpatients with IBD, and clinical data were extracted from patient records.\nResults: Of 465 patients (58% CD, 42% UC), 247 (53.1%) were ever-smokers (37.4% ex-smokers, 15.7% current smokers). Electronic cigarettes (e-cigarettes) were ever used by 28 patients (15 current users). All e-cigarette users had previously smoked cigarettes and 13 had stopped smoking completely. Patients with CD were more likely to currently smoke (21.5% vs 7.7%, p&lt;0.001) than those with UC. Ever use of biological therapy was higher in current smokers compared with never smokers (49% vs 35%, p=0.034). The need for surgery was higher in current smokers compared with never smokers (43% vs 25%, p=0.006). The risk of CD complications during 21-month prospective follow-up was numerically higher for current smoker versus e-cigarette users (53% vs 17%, p=0.19).Compared with the general population, the proportion of current cigarette smokers (14.9% vs 15.1%) and e-cigarette users was similar in our cohort (4.26% vs 5.5%).\nConclusions: Patients with IBD show similar smoking behaviour to the general population. E-cigarettes were used as replacement for cigarettes or by some as an intermediate step for smoking cessation. Larger, prospective studies are required to fully determine the effects of e-cigarettes on IBD.","container-title":"BMJ open gastroenterology","DOI":"10.1136/bmjgast-2019-000309","ISSN":"2054-4774","issue":"1","journalAbbreviation":"BMJ Open Gastroenterol","language":"eng","note":"PMID: 31297234\nPMCID: PMC6590968","page":"e000309","source":"PubMed","title":"Current smoking habits in British IBD patients in the age of e-cigarettes","volume":"6","author":[{"family":"Chong","given":"Chui"},{"family":"Rahman","given":"Anisha"},{"family":"Loonat","given":"Khaleel"},{"family":"Sagar","given":"Rebecca C."},{"family":"Selinger","given":"Christian Philipp"}],"issued":{"date-parts":[["2019"]]}}}],"schema":"https://github.com/citation-style-language/schema/raw/master/csl-citation.json"} </w:instrText>
      </w:r>
      <w:r w:rsidR="00F21C2E" w:rsidRPr="005B2AA7">
        <w:rPr>
          <w:rFonts w:ascii="Book Antiqua" w:hAnsi="Book Antiqua" w:cs="Times New Roman"/>
          <w:lang w:val="en-US"/>
        </w:rPr>
        <w:fldChar w:fldCharType="separate"/>
      </w:r>
      <w:r w:rsidR="009146F9" w:rsidRPr="005B2AA7">
        <w:rPr>
          <w:rFonts w:ascii="Book Antiqua" w:hAnsi="Book Antiqua" w:cs="Times New Roman"/>
          <w:vertAlign w:val="superscript"/>
          <w:lang w:val="en-US"/>
        </w:rPr>
        <w:t>[35]</w:t>
      </w:r>
      <w:r w:rsidR="00F21C2E" w:rsidRPr="005B2AA7">
        <w:rPr>
          <w:rFonts w:ascii="Book Antiqua" w:hAnsi="Book Antiqua" w:cs="Times New Roman"/>
          <w:lang w:val="en-US"/>
        </w:rPr>
        <w:fldChar w:fldCharType="end"/>
      </w:r>
      <w:r w:rsidRPr="005B2AA7">
        <w:rPr>
          <w:rFonts w:ascii="Book Antiqua" w:hAnsi="Book Antiqua" w:cs="Times New Roman"/>
          <w:lang w:val="en-US"/>
        </w:rPr>
        <w:t>.</w:t>
      </w:r>
    </w:p>
    <w:p w14:paraId="13A5AD19" w14:textId="5E58B87C" w:rsidR="000D62CD" w:rsidRPr="005B2AA7" w:rsidRDefault="00792C91" w:rsidP="00253009">
      <w:pPr>
        <w:adjustRightInd w:val="0"/>
        <w:snapToGrid w:val="0"/>
        <w:spacing w:line="360" w:lineRule="auto"/>
        <w:ind w:firstLineChars="100" w:firstLine="240"/>
        <w:jc w:val="both"/>
        <w:rPr>
          <w:rFonts w:ascii="Book Antiqua" w:hAnsi="Book Antiqua" w:cs="Times New Roman"/>
          <w:color w:val="000000"/>
          <w:lang w:val="en-US"/>
        </w:rPr>
      </w:pPr>
      <w:r w:rsidRPr="005B2AA7">
        <w:rPr>
          <w:rFonts w:ascii="Book Antiqua" w:hAnsi="Book Antiqua" w:cs="Times New Roman"/>
          <w:color w:val="000000"/>
          <w:lang w:val="en-US"/>
        </w:rPr>
        <w:t>Regarding e</w:t>
      </w:r>
      <w:r w:rsidR="000D62CD" w:rsidRPr="005B2AA7">
        <w:rPr>
          <w:rFonts w:ascii="Book Antiqua" w:hAnsi="Book Antiqua" w:cs="Times New Roman"/>
          <w:color w:val="000000"/>
          <w:lang w:val="en-US"/>
        </w:rPr>
        <w:t>-cigarettes</w:t>
      </w:r>
      <w:r w:rsidR="00B179A3" w:rsidRPr="005B2AA7">
        <w:rPr>
          <w:rFonts w:ascii="Book Antiqua" w:hAnsi="Book Antiqua" w:cs="Times New Roman"/>
          <w:color w:val="000000"/>
          <w:lang w:val="en-US"/>
        </w:rPr>
        <w:t xml:space="preserve">, </w:t>
      </w:r>
      <w:r w:rsidR="000D62CD" w:rsidRPr="005B2AA7">
        <w:rPr>
          <w:rFonts w:ascii="Book Antiqua" w:hAnsi="Book Antiqua" w:cs="Times New Roman"/>
          <w:color w:val="000000"/>
          <w:lang w:val="en-US"/>
        </w:rPr>
        <w:t xml:space="preserve">that deliver nicotine </w:t>
      </w:r>
      <w:r w:rsidR="000D62CD" w:rsidRPr="005B2AA7">
        <w:rPr>
          <w:rFonts w:ascii="Book Antiqua" w:hAnsi="Book Antiqua" w:cs="Times New Roman"/>
          <w:i/>
          <w:iCs/>
          <w:color w:val="000000"/>
          <w:lang w:val="en-US"/>
        </w:rPr>
        <w:t>via</w:t>
      </w:r>
      <w:r w:rsidR="000D62CD" w:rsidRPr="005B2AA7">
        <w:rPr>
          <w:rFonts w:ascii="Book Antiqua" w:hAnsi="Book Antiqua" w:cs="Times New Roman"/>
          <w:color w:val="000000"/>
          <w:lang w:val="en-US"/>
        </w:rPr>
        <w:t xml:space="preserve"> aerosol formed through the heating of a mixture of liquid usually made up of nicotine, propylene glycol or glycerol (glycerine) and flavouring chemicals</w:t>
      </w:r>
      <w:r w:rsidR="00A04C40" w:rsidRPr="005B2AA7">
        <w:rPr>
          <w:rFonts w:ascii="Book Antiqua" w:hAnsi="Book Antiqua" w:cs="Times New Roman"/>
          <w:lang w:val="en-US"/>
        </w:rPr>
        <w:t xml:space="preserve">, </w:t>
      </w:r>
      <w:r w:rsidR="00A04C40" w:rsidRPr="005B2AA7">
        <w:rPr>
          <w:rFonts w:ascii="Book Antiqua" w:hAnsi="Book Antiqua" w:cs="Times New Roman"/>
          <w:color w:val="000000"/>
          <w:lang w:val="en-US"/>
        </w:rPr>
        <w:t>t</w:t>
      </w:r>
      <w:r w:rsidR="000D62CD" w:rsidRPr="005B2AA7">
        <w:rPr>
          <w:rFonts w:ascii="Book Antiqua" w:hAnsi="Book Antiqua" w:cs="Times New Roman"/>
          <w:color w:val="000000"/>
          <w:lang w:val="en-US"/>
        </w:rPr>
        <w:t>he</w:t>
      </w:r>
      <w:r w:rsidR="00A04C40" w:rsidRPr="005B2AA7">
        <w:rPr>
          <w:rFonts w:ascii="Book Antiqua" w:hAnsi="Book Antiqua" w:cs="Times New Roman"/>
          <w:color w:val="000000"/>
          <w:lang w:val="en-US"/>
        </w:rPr>
        <w:t>ir</w:t>
      </w:r>
      <w:r w:rsidR="000D62CD" w:rsidRPr="005B2AA7">
        <w:rPr>
          <w:rFonts w:ascii="Book Antiqua" w:hAnsi="Book Antiqua" w:cs="Times New Roman"/>
          <w:color w:val="000000"/>
          <w:lang w:val="en-US"/>
        </w:rPr>
        <w:t xml:space="preserve"> use among European population has been growing steadily since they entered the European market in 2006</w:t>
      </w:r>
      <w:r w:rsidR="00F21C2E" w:rsidRPr="005B2AA7">
        <w:rPr>
          <w:rFonts w:ascii="Book Antiqua" w:hAnsi="Book Antiqua" w:cs="Times New Roman"/>
          <w:color w:val="000000"/>
          <w:lang w:val="en-US"/>
        </w:rPr>
        <w:fldChar w:fldCharType="begin"/>
      </w:r>
      <w:r w:rsidR="009146F9" w:rsidRPr="005B2AA7">
        <w:rPr>
          <w:rFonts w:ascii="Book Antiqua" w:hAnsi="Book Antiqua" w:cs="Times New Roman"/>
          <w:color w:val="000000"/>
          <w:lang w:val="en-US"/>
        </w:rPr>
        <w:instrText xml:space="preserve"> ADDIN ZOTERO_ITEM CSL_CITATION {"citationID":"c7JV0Hwb","properties":{"formattedCitation":"\\super [36]\\nosupersub{}","plainCitation":"[36]","noteIndex":0},"citationItems":[{"id":4046,"uris":["http://zotero.org/users/3734960/items/FW9BNFES"],"uri":["http://zotero.org/users/3734960/items/FW9BNFES"],"itemData":{"id":4046,"type":"article","title":"Attitudes of Europeans Towards Tobacco. Belgium: European Commission; 2017. Available at: http://ec.europa.eu/COMMFrontOffice/PublicOpinion","URL":"http://ec.europa.eu/COMMFrontOffice/PublicOpinion"}}],"schema":"https://github.com/citation-style-language/schema/raw/master/csl-citation.json"} </w:instrText>
      </w:r>
      <w:r w:rsidR="00F21C2E" w:rsidRPr="005B2AA7">
        <w:rPr>
          <w:rFonts w:ascii="Book Antiqua" w:hAnsi="Book Antiqua" w:cs="Times New Roman"/>
          <w:color w:val="000000"/>
          <w:lang w:val="en-US"/>
        </w:rPr>
        <w:fldChar w:fldCharType="separate"/>
      </w:r>
      <w:r w:rsidR="009146F9" w:rsidRPr="005B2AA7">
        <w:rPr>
          <w:rFonts w:ascii="Book Antiqua" w:hAnsi="Book Antiqua" w:cs="Times New Roman"/>
          <w:color w:val="000000"/>
          <w:vertAlign w:val="superscript"/>
          <w:lang w:val="en-US"/>
        </w:rPr>
        <w:t>[36]</w:t>
      </w:r>
      <w:r w:rsidR="00F21C2E" w:rsidRPr="005B2AA7">
        <w:rPr>
          <w:rFonts w:ascii="Book Antiqua" w:hAnsi="Book Antiqua" w:cs="Times New Roman"/>
          <w:color w:val="000000"/>
          <w:lang w:val="en-US"/>
        </w:rPr>
        <w:fldChar w:fldCharType="end"/>
      </w:r>
      <w:r w:rsidR="000D62CD" w:rsidRPr="005B2AA7">
        <w:rPr>
          <w:rFonts w:ascii="Book Antiqua" w:hAnsi="Book Antiqua" w:cs="Times New Roman"/>
          <w:color w:val="000000"/>
          <w:lang w:val="en-US"/>
        </w:rPr>
        <w:t>.</w:t>
      </w:r>
      <w:r w:rsidR="000D62CD" w:rsidRPr="005B2AA7">
        <w:rPr>
          <w:rFonts w:ascii="Book Antiqua" w:hAnsi="Book Antiqua" w:cs="Times New Roman"/>
          <w:color w:val="0000FF"/>
          <w:lang w:val="en-US"/>
        </w:rPr>
        <w:t xml:space="preserve"> </w:t>
      </w:r>
      <w:r w:rsidR="00A04C40" w:rsidRPr="005B2AA7">
        <w:rPr>
          <w:rFonts w:ascii="Book Antiqua" w:hAnsi="Book Antiqua" w:cs="Times New Roman"/>
          <w:color w:val="000000"/>
          <w:lang w:val="en-US"/>
        </w:rPr>
        <w:t>The impact of e-cigarettes remains unknown. The lack of evidence about safety requires to remain vigilant over potential adverse effects; however, current available research also suggests the potential benefits of e-cigarettes as a harm reduction model for those who use combustible cigarettes, and e-cigarettes may have an important role to play in preventing death and disability from tobacco use</w:t>
      </w:r>
      <w:r w:rsidR="00B179A3" w:rsidRPr="005B2AA7">
        <w:rPr>
          <w:rFonts w:ascii="Book Antiqua" w:hAnsi="Book Antiqua" w:cs="Times New Roman"/>
          <w:color w:val="000000"/>
          <w:lang w:val="en-US"/>
        </w:rPr>
        <w:fldChar w:fldCharType="begin"/>
      </w:r>
      <w:r w:rsidR="009146F9" w:rsidRPr="005B2AA7">
        <w:rPr>
          <w:rFonts w:ascii="Book Antiqua" w:hAnsi="Book Antiqua" w:cs="Times New Roman"/>
          <w:color w:val="000000"/>
          <w:lang w:val="en-US"/>
        </w:rPr>
        <w:instrText xml:space="preserve"> ADDIN ZOTERO_ITEM CSL_CITATION {"citationID":"AdGHJuX6","properties":{"unsorted":true,"formattedCitation":"\\super [37,38]\\nosupersub{}","plainCitation":"[37,38]","noteIndex":0},"citationItems":[{"id":4152,"uris":["http://zotero.org/users/3734960/items/K2FBMS8P"],"uri":["http://zotero.org/users/3734960/items/K2FBMS8P"],"itemData":{"id":4152,"type":"article-journal","abstract":"Electronic cigarettes (EC) are battery-powered nicotine delivery systems that have increased in popularity since they entered the US market. EC has been reported to contain less carcinogens than traditional cigarettes, cause less acute lung effects in healthy individuals, and may help with smoking cessation. It has also been viewed as a potential safer alternative for asthmatic smokers, but its effects on lung functions are unclear. However, EC do carry some harmful aspects as they contain formaldehyde and formaldehyde-forming hemiacetals as well as potentially toxic particulate matter that deposits on surfaces. EC are an increasingly popular device that could serve as a gateway into traditional cigarette smoking or illicit drugs. The popularity of EC has brought with it money from large tobacco corporations and mass marketing. Lack of regulation has generated product inconsistency and potential health hazards. This review highlights what is known and what still needs to be answered about EC.","container-title":"The Journal of Allergy and Clinical Immunology. In Practice","DOI":"10.1016/j.jaip.2015.05.022","ISSN":"2213-2201","issue":"4","journalAbbreviation":"J Allergy Clin Immunol Pract","language":"eng","note":"PMID: 26164573","page":"498-505","source":"PubMed","title":"The Electronic Cigarette: The Good, the Bad, and the Ugly","title-short":"The Electronic Cigarette","volume":"3","author":[{"family":"Cooke","given":"Andrew"},{"family":"Fergeson","given":"Jennifer"},{"family":"Bulkhi","given":"Adeeb"},{"family":"Casale","given":"Thomas B."}],"issued":{"date-parts":[["2015",8]]}}},{"id":4150,"uris":["http://zotero.org/users/3734960/items/X3HDI4WM"],"uri":["http://zotero.org/users/3734960/items/X3HDI4WM"],"itemData":{"id":4150,"type":"article-journal","abstract":"BACKGROUND: Electronic cigarettes (e-cigarettes) were first introduced in the U.S. market in 2006, with the more recent evolution of \"pod-mod\" e-cigarettes such as JUUL introduced in 2015. Although marketed as a smoking cessation tool, e-cigarettes are rarely used for this purpose in youth. This review aims to synthesize the literature regarding e-cigarette use among youth, and provides a resource for clinicians, educators, and families that helps answer commonly asked questions about e-cigarettes.\nMETHODS: PubMed, Scopus, and PsycINFO search was performed using search terms \"Electronic Nicotine Delivery Systems,\" \"e cigarettes,\" \"e-cigarettes,\" \"electronic cigarettes,\" \"vaping,\" \"JUUL,\" \"e-cigs,\" and \"vape pens.\" Search results were filtered to only include those related to adolescents and young adults.\nRESULTS: E-cigarette use among youth is common, with rates of use increasing from 1.5% in 2011 to 20.8% in 2018. Pod mod devices such as JUUL have gained favor among youth for their sleek design, user-friendly function, desirable flavors, and ability to be used discreetly in places where smoking is forbidden. Adolescents are often uninformed about the constituents of e-cigarettes, and little is known about the long-term effects of e-cigarettes. Studies have suggested a \"gateway\" effect for combustible cigarettes and cannabis use.\nCONCLUSIONS: E-cigarette use is becoming increasingly common among youth, leading to a myriad of questions and concerns from providers, educators, and family members. More research is needed to determine the ultimate public health impact of e-cigarette use. The authors provide a summary table of frequently asked questions in order to help clarify these common concerns.","container-title":"Drug and Alcohol Dependence","DOI":"10.1016/j.drugalcdep.2019.04.011","ISSN":"1879-0046","journalAbbreviation":"Drug Alcohol Depend","language":"eng","note":"PMID: 31200279\nPMCID: PMC7183384","page":"85-93","source":"PubMed","title":"The rise of e-cigarettes, pod mod devices, and JUUL among youth: Factors influencing use, health implications, and downstream effects","title-short":"The rise of e-cigarettes, pod mod devices, and JUUL among youth","volume":"201","author":[{"family":"Fadus","given":"Matthew C."},{"family":"Smith","given":"Tracy T."},{"family":"Squeglia","given":"Lindsay M."}],"issued":{"date-parts":[["2019"]],"season":"01"}}}],"schema":"https://github.com/citation-style-language/schema/raw/master/csl-citation.json"} </w:instrText>
      </w:r>
      <w:r w:rsidR="00B179A3" w:rsidRPr="005B2AA7">
        <w:rPr>
          <w:rFonts w:ascii="Book Antiqua" w:hAnsi="Book Antiqua" w:cs="Times New Roman"/>
          <w:color w:val="000000"/>
          <w:lang w:val="en-US"/>
        </w:rPr>
        <w:fldChar w:fldCharType="separate"/>
      </w:r>
      <w:r w:rsidR="009146F9" w:rsidRPr="005B2AA7">
        <w:rPr>
          <w:rFonts w:ascii="Book Antiqua" w:hAnsi="Book Antiqua" w:cs="Times New Roman"/>
          <w:color w:val="000000"/>
          <w:vertAlign w:val="superscript"/>
          <w:lang w:val="en-US"/>
        </w:rPr>
        <w:t>[37,38]</w:t>
      </w:r>
      <w:r w:rsidR="00B179A3" w:rsidRPr="005B2AA7">
        <w:rPr>
          <w:rFonts w:ascii="Book Antiqua" w:hAnsi="Book Antiqua" w:cs="Times New Roman"/>
          <w:color w:val="000000"/>
          <w:lang w:val="en-US"/>
        </w:rPr>
        <w:fldChar w:fldCharType="end"/>
      </w:r>
      <w:r w:rsidR="00A04C40" w:rsidRPr="005B2AA7">
        <w:rPr>
          <w:rFonts w:ascii="Book Antiqua" w:hAnsi="Book Antiqua" w:cs="Times New Roman"/>
          <w:color w:val="000000"/>
          <w:lang w:val="en-US"/>
        </w:rPr>
        <w:t>. T</w:t>
      </w:r>
      <w:r w:rsidR="000D62CD" w:rsidRPr="005B2AA7">
        <w:rPr>
          <w:rFonts w:ascii="Book Antiqua" w:hAnsi="Book Antiqua" w:cs="Times New Roman"/>
          <w:color w:val="000000"/>
          <w:lang w:val="en-US"/>
        </w:rPr>
        <w:t>h</w:t>
      </w:r>
      <w:r w:rsidR="00B179A3" w:rsidRPr="005B2AA7">
        <w:rPr>
          <w:rFonts w:ascii="Book Antiqua" w:hAnsi="Book Antiqua" w:cs="Times New Roman"/>
          <w:color w:val="000000"/>
          <w:lang w:val="en-US"/>
        </w:rPr>
        <w:t>ose devices</w:t>
      </w:r>
      <w:r w:rsidR="000D62CD" w:rsidRPr="005B2AA7">
        <w:rPr>
          <w:rFonts w:ascii="Book Antiqua" w:hAnsi="Book Antiqua" w:cs="Times New Roman"/>
          <w:color w:val="000000"/>
          <w:lang w:val="en-US"/>
        </w:rPr>
        <w:t xml:space="preserve"> may </w:t>
      </w:r>
      <w:r w:rsidR="00B179A3" w:rsidRPr="005B2AA7">
        <w:rPr>
          <w:rFonts w:ascii="Book Antiqua" w:hAnsi="Book Antiqua" w:cs="Times New Roman"/>
          <w:color w:val="000000"/>
          <w:lang w:val="en-US"/>
        </w:rPr>
        <w:t>theoretically</w:t>
      </w:r>
      <w:r w:rsidR="000D62CD" w:rsidRPr="005B2AA7">
        <w:rPr>
          <w:rFonts w:ascii="Book Antiqua" w:hAnsi="Book Antiqua" w:cs="Times New Roman"/>
          <w:color w:val="000000"/>
          <w:lang w:val="en-US"/>
        </w:rPr>
        <w:t xml:space="preserve"> have </w:t>
      </w:r>
      <w:r w:rsidR="002B3C3C" w:rsidRPr="005B2AA7">
        <w:rPr>
          <w:rFonts w:ascii="Book Antiqua" w:hAnsi="Book Antiqua" w:cs="Times New Roman"/>
          <w:color w:val="000000"/>
          <w:lang w:val="en-US"/>
        </w:rPr>
        <w:t>less impact</w:t>
      </w:r>
      <w:r w:rsidR="000D62CD" w:rsidRPr="005B2AA7">
        <w:rPr>
          <w:rFonts w:ascii="Book Antiqua" w:hAnsi="Book Antiqua" w:cs="Times New Roman"/>
          <w:color w:val="000000"/>
          <w:lang w:val="en-US"/>
        </w:rPr>
        <w:t xml:space="preserve"> on the course of IBD</w:t>
      </w:r>
      <w:r w:rsidR="00B179A3" w:rsidRPr="005B2AA7">
        <w:rPr>
          <w:rFonts w:ascii="Book Antiqua" w:hAnsi="Book Antiqua" w:cs="Times New Roman"/>
          <w:color w:val="000000"/>
          <w:lang w:val="en-US"/>
        </w:rPr>
        <w:t xml:space="preserve"> because of lower nicotine concentrations,</w:t>
      </w:r>
      <w:r w:rsidR="000D62CD" w:rsidRPr="005B2AA7">
        <w:rPr>
          <w:rFonts w:ascii="Book Antiqua" w:hAnsi="Book Antiqua" w:cs="Times New Roman"/>
          <w:color w:val="000000"/>
          <w:lang w:val="en-US"/>
        </w:rPr>
        <w:t xml:space="preserve"> </w:t>
      </w:r>
      <w:r w:rsidR="00B179A3" w:rsidRPr="005B2AA7">
        <w:rPr>
          <w:rFonts w:ascii="Book Antiqua" w:hAnsi="Book Antiqua" w:cs="Times New Roman"/>
          <w:color w:val="000000"/>
          <w:lang w:val="en-US"/>
        </w:rPr>
        <w:t>but</w:t>
      </w:r>
      <w:r w:rsidR="000D62CD" w:rsidRPr="005B2AA7">
        <w:rPr>
          <w:rFonts w:ascii="Book Antiqua" w:hAnsi="Book Antiqua" w:cs="Times New Roman"/>
          <w:color w:val="000000"/>
          <w:lang w:val="en-US"/>
        </w:rPr>
        <w:t xml:space="preserve"> </w:t>
      </w:r>
      <w:r w:rsidR="00B179A3" w:rsidRPr="005B2AA7">
        <w:rPr>
          <w:rFonts w:ascii="Book Antiqua" w:hAnsi="Book Antiqua" w:cs="Times New Roman"/>
          <w:color w:val="000000"/>
          <w:lang w:val="en-US"/>
        </w:rPr>
        <w:t xml:space="preserve">the latter </w:t>
      </w:r>
      <w:r w:rsidR="000D62CD" w:rsidRPr="005B2AA7">
        <w:rPr>
          <w:rFonts w:ascii="Book Antiqua" w:hAnsi="Book Antiqua" w:cs="Times New Roman"/>
          <w:color w:val="000000"/>
          <w:lang w:val="en-US"/>
        </w:rPr>
        <w:t xml:space="preserve">vary considerably. Despite that, the safety of e-cigarettes in </w:t>
      </w:r>
      <w:r w:rsidR="002B3C3C" w:rsidRPr="005B2AA7">
        <w:rPr>
          <w:rFonts w:ascii="Book Antiqua" w:hAnsi="Book Antiqua" w:cs="Times New Roman"/>
          <w:color w:val="000000"/>
          <w:lang w:val="en-US"/>
        </w:rPr>
        <w:t>diseases</w:t>
      </w:r>
      <w:r w:rsidR="000D62CD" w:rsidRPr="005B2AA7">
        <w:rPr>
          <w:rFonts w:ascii="Book Antiqua" w:hAnsi="Book Antiqua" w:cs="Times New Roman"/>
          <w:color w:val="000000"/>
          <w:lang w:val="en-US"/>
        </w:rPr>
        <w:t xml:space="preserve"> such as IBD remains unknown. </w:t>
      </w:r>
      <w:r w:rsidR="00B179A3" w:rsidRPr="005B2AA7">
        <w:rPr>
          <w:rFonts w:ascii="Book Antiqua" w:hAnsi="Book Antiqua" w:cs="Times New Roman"/>
          <w:color w:val="000000"/>
          <w:lang w:val="en-US"/>
        </w:rPr>
        <w:t>Thus, further research is warranted to assess whether e-cigarettes could be an effective smoking cessation tool, and to evaluate both short- and long-term health effects of e-cigarettes.</w:t>
      </w:r>
    </w:p>
    <w:p w14:paraId="0C3F755F" w14:textId="79867C39" w:rsidR="00A812CC" w:rsidRPr="005B2AA7" w:rsidRDefault="000D62CD" w:rsidP="00D067AB">
      <w:pPr>
        <w:adjustRightInd w:val="0"/>
        <w:snapToGrid w:val="0"/>
        <w:spacing w:line="360" w:lineRule="auto"/>
        <w:ind w:firstLineChars="100" w:firstLine="240"/>
        <w:jc w:val="both"/>
        <w:rPr>
          <w:rFonts w:ascii="Book Antiqua" w:hAnsi="Book Antiqua" w:cs="Times New Roman"/>
          <w:lang w:val="en-US"/>
        </w:rPr>
      </w:pPr>
      <w:r w:rsidRPr="005B2AA7">
        <w:rPr>
          <w:rFonts w:ascii="Book Antiqua" w:hAnsi="Book Antiqua" w:cs="Times New Roman"/>
          <w:lang w:val="en-US"/>
        </w:rPr>
        <w:t xml:space="preserve">In this large, European, </w:t>
      </w:r>
      <w:r w:rsidR="002B3C3C" w:rsidRPr="005B2AA7">
        <w:rPr>
          <w:rFonts w:ascii="Book Antiqua" w:hAnsi="Book Antiqua" w:cs="Times New Roman"/>
          <w:lang w:val="en-US"/>
        </w:rPr>
        <w:t>multicenter</w:t>
      </w:r>
      <w:r w:rsidRPr="005B2AA7">
        <w:rPr>
          <w:rFonts w:ascii="Book Antiqua" w:hAnsi="Book Antiqua" w:cs="Times New Roman"/>
          <w:lang w:val="en-US"/>
        </w:rPr>
        <w:t xml:space="preserve"> survey of over 1000 IBD patients, we assessed the level of knowledge of patients with IBD regarding the impact of </w:t>
      </w:r>
      <w:r w:rsidRPr="005B2AA7">
        <w:rPr>
          <w:rFonts w:ascii="Book Antiqua" w:hAnsi="Book Antiqua" w:cs="Times New Roman"/>
          <w:color w:val="000000"/>
          <w:lang w:val="en-US"/>
        </w:rPr>
        <w:t xml:space="preserve">any type of nicotine-containing products in both CD and UC. </w:t>
      </w:r>
      <w:r w:rsidRPr="005B2AA7">
        <w:rPr>
          <w:rFonts w:ascii="Book Antiqua" w:hAnsi="Book Antiqua" w:cs="Times New Roman"/>
          <w:lang w:val="en-US"/>
        </w:rPr>
        <w:t xml:space="preserve">We found significant differences between CD and UC patients in both awareness and perception of the impact of smoking on their disease. Furthermore, despite </w:t>
      </w:r>
      <w:r w:rsidR="002B3C3C" w:rsidRPr="005B2AA7">
        <w:rPr>
          <w:rFonts w:ascii="Book Antiqua" w:hAnsi="Book Antiqua" w:cs="Times New Roman"/>
          <w:lang w:val="en-US"/>
        </w:rPr>
        <w:t>most</w:t>
      </w:r>
      <w:r w:rsidRPr="005B2AA7">
        <w:rPr>
          <w:rFonts w:ascii="Book Antiqua" w:hAnsi="Book Antiqua" w:cs="Times New Roman"/>
          <w:lang w:val="en-US"/>
        </w:rPr>
        <w:t xml:space="preserve"> CD patients </w:t>
      </w:r>
      <w:r w:rsidR="002B3C3C" w:rsidRPr="005B2AA7">
        <w:rPr>
          <w:rFonts w:ascii="Book Antiqua" w:hAnsi="Book Antiqua" w:cs="Times New Roman"/>
          <w:lang w:val="en-US"/>
        </w:rPr>
        <w:t xml:space="preserve">were </w:t>
      </w:r>
      <w:r w:rsidRPr="005B2AA7">
        <w:rPr>
          <w:rFonts w:ascii="Book Antiqua" w:hAnsi="Book Antiqua" w:cs="Times New Roman"/>
          <w:lang w:val="en-US"/>
        </w:rPr>
        <w:t xml:space="preserve">aware of a detrimental effect of smoking, and a large </w:t>
      </w:r>
      <w:r w:rsidRPr="005B2AA7">
        <w:rPr>
          <w:rFonts w:ascii="Book Antiqua" w:hAnsi="Book Antiqua" w:cs="Times New Roman"/>
          <w:lang w:val="en-US"/>
        </w:rPr>
        <w:lastRenderedPageBreak/>
        <w:t>part of UC patients was aware of possible beneficial impact of smoking in their disease, further efforts should be done to encourage smoking cessation for all IBD patients, including UC patients, because of the well-established beneficial effects of smoking cessation on general health. In light of the increasing use of alternative nicotine-containing products, like e-cigarettes, further studies are mandatory to explore the safety and impact of these product</w:t>
      </w:r>
      <w:r w:rsidR="004618D1" w:rsidRPr="005B2AA7">
        <w:rPr>
          <w:rFonts w:ascii="Book Antiqua" w:hAnsi="Book Antiqua" w:cs="Times New Roman"/>
          <w:lang w:val="en-US"/>
        </w:rPr>
        <w:t>s</w:t>
      </w:r>
      <w:r w:rsidRPr="005B2AA7">
        <w:rPr>
          <w:rFonts w:ascii="Book Antiqua" w:hAnsi="Book Antiqua" w:cs="Times New Roman"/>
          <w:lang w:val="en-US"/>
        </w:rPr>
        <w:t xml:space="preserve"> in patients with IBD.</w:t>
      </w:r>
    </w:p>
    <w:p w14:paraId="3758982F" w14:textId="77777777" w:rsidR="00A812CC" w:rsidRPr="005B2AA7" w:rsidRDefault="00A812CC" w:rsidP="00253009">
      <w:pPr>
        <w:adjustRightInd w:val="0"/>
        <w:snapToGrid w:val="0"/>
        <w:spacing w:line="360" w:lineRule="auto"/>
        <w:jc w:val="both"/>
        <w:rPr>
          <w:rFonts w:ascii="Book Antiqua" w:hAnsi="Book Antiqua" w:cs="Times New Roman"/>
          <w:lang w:val="en-US"/>
        </w:rPr>
      </w:pPr>
    </w:p>
    <w:p w14:paraId="295116F5" w14:textId="77777777" w:rsidR="00A812CC" w:rsidRPr="005B2AA7" w:rsidRDefault="00A812CC" w:rsidP="00253009">
      <w:pPr>
        <w:adjustRightInd w:val="0"/>
        <w:snapToGrid w:val="0"/>
        <w:spacing w:line="360" w:lineRule="auto"/>
        <w:jc w:val="both"/>
        <w:rPr>
          <w:rFonts w:ascii="Book Antiqua" w:hAnsi="Book Antiqua" w:cs="Times New Roman"/>
          <w:b/>
          <w:u w:val="single"/>
          <w:lang w:val="en-US"/>
        </w:rPr>
      </w:pPr>
      <w:r w:rsidRPr="005B2AA7">
        <w:rPr>
          <w:rFonts w:ascii="Book Antiqua" w:hAnsi="Book Antiqua" w:cs="Times New Roman"/>
          <w:b/>
          <w:u w:val="single"/>
          <w:lang w:val="en-US"/>
        </w:rPr>
        <w:t>ARTICLE HIGHLIGHTS</w:t>
      </w:r>
    </w:p>
    <w:p w14:paraId="26EA899A" w14:textId="77777777" w:rsidR="00A812CC" w:rsidRPr="005B2AA7" w:rsidRDefault="00A812CC" w:rsidP="00253009">
      <w:pPr>
        <w:adjustRightInd w:val="0"/>
        <w:snapToGrid w:val="0"/>
        <w:spacing w:line="360" w:lineRule="auto"/>
        <w:jc w:val="both"/>
        <w:rPr>
          <w:rFonts w:ascii="Book Antiqua" w:hAnsi="Book Antiqua" w:cs="Times New Roman"/>
          <w:b/>
          <w:i/>
          <w:lang w:val="en-US"/>
        </w:rPr>
      </w:pPr>
      <w:r w:rsidRPr="005B2AA7">
        <w:rPr>
          <w:rFonts w:ascii="Book Antiqua" w:hAnsi="Book Antiqua" w:cs="Times New Roman"/>
          <w:b/>
          <w:i/>
          <w:lang w:val="en-US"/>
        </w:rPr>
        <w:t>Research background</w:t>
      </w:r>
    </w:p>
    <w:p w14:paraId="0EAD8F32" w14:textId="4B415EFC" w:rsidR="00A812CC" w:rsidRPr="005B2AA7" w:rsidRDefault="00A812CC"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lang w:val="en-US"/>
        </w:rPr>
        <w:t>Environmental factors are probably primarily responsible for the growing incidence of inflammatory bowel diseases (IBD), encompassing Crohn's disease (CD) and ulcerative colitis (UC), around the globe over the last decades. Among these factors, smoking is the one for which the most solid evidence is currently available. Smoking increases the risk of CD and worsens its clinical course but has a protective effect in UC.</w:t>
      </w:r>
    </w:p>
    <w:p w14:paraId="335B381F" w14:textId="7507DCA1" w:rsidR="00A812CC" w:rsidRPr="005B2AA7" w:rsidRDefault="00A812CC" w:rsidP="00253009">
      <w:pPr>
        <w:adjustRightInd w:val="0"/>
        <w:snapToGrid w:val="0"/>
        <w:spacing w:line="360" w:lineRule="auto"/>
        <w:jc w:val="both"/>
        <w:rPr>
          <w:rFonts w:ascii="Book Antiqua" w:hAnsi="Book Antiqua" w:cs="Times New Roman"/>
          <w:lang w:val="en-US"/>
        </w:rPr>
      </w:pPr>
    </w:p>
    <w:p w14:paraId="4D84D7A0" w14:textId="25E5BD05" w:rsidR="00A812CC" w:rsidRPr="005B2AA7" w:rsidRDefault="00A812CC" w:rsidP="00253009">
      <w:pPr>
        <w:adjustRightInd w:val="0"/>
        <w:snapToGrid w:val="0"/>
        <w:spacing w:line="360" w:lineRule="auto"/>
        <w:jc w:val="both"/>
        <w:rPr>
          <w:rFonts w:ascii="Book Antiqua" w:hAnsi="Book Antiqua" w:cs="Times New Roman"/>
          <w:b/>
          <w:i/>
          <w:lang w:val="en-US"/>
        </w:rPr>
      </w:pPr>
      <w:r w:rsidRPr="005B2AA7">
        <w:rPr>
          <w:rFonts w:ascii="Book Antiqua" w:hAnsi="Book Antiqua" w:cs="Times New Roman"/>
          <w:b/>
          <w:i/>
          <w:lang w:val="en-US"/>
        </w:rPr>
        <w:t>Research motivation</w:t>
      </w:r>
    </w:p>
    <w:p w14:paraId="7C50F135" w14:textId="77777777" w:rsidR="00A812CC" w:rsidRPr="005B2AA7" w:rsidRDefault="00A812CC"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lang w:val="en-US"/>
        </w:rPr>
        <w:t>Until now, there has been little patient-centered research aiming at assessing the perceived impact of smoking or nicotine use on IBD symptoms by patients who are current adult smokers and/or nicotine-containing products users. Few studies demonstrated that a high proportion of patients with IBD are unaware of the effects of tobacco on their disease, but these limited available data are solely based on small-scale studies. Yet, making patients aware of the impact of nicotine use on the course of their IBD is essential to expect smoking cessation and improve the management of their disease.</w:t>
      </w:r>
    </w:p>
    <w:p w14:paraId="48428786" w14:textId="77777777" w:rsidR="00A812CC" w:rsidRPr="005B2AA7" w:rsidRDefault="00A812CC" w:rsidP="00253009">
      <w:pPr>
        <w:adjustRightInd w:val="0"/>
        <w:snapToGrid w:val="0"/>
        <w:spacing w:line="360" w:lineRule="auto"/>
        <w:jc w:val="both"/>
        <w:rPr>
          <w:rFonts w:ascii="Book Antiqua" w:hAnsi="Book Antiqua" w:cs="Times New Roman"/>
          <w:lang w:val="en-US"/>
        </w:rPr>
      </w:pPr>
    </w:p>
    <w:p w14:paraId="3B55F087" w14:textId="799129A0" w:rsidR="00A812CC" w:rsidRPr="005B2AA7" w:rsidRDefault="00A812CC" w:rsidP="00253009">
      <w:pPr>
        <w:adjustRightInd w:val="0"/>
        <w:snapToGrid w:val="0"/>
        <w:spacing w:line="360" w:lineRule="auto"/>
        <w:jc w:val="both"/>
        <w:rPr>
          <w:rFonts w:ascii="Book Antiqua" w:hAnsi="Book Antiqua" w:cs="Times New Roman"/>
          <w:b/>
          <w:i/>
          <w:lang w:val="en-US"/>
        </w:rPr>
      </w:pPr>
      <w:r w:rsidRPr="005B2AA7">
        <w:rPr>
          <w:rFonts w:ascii="Book Antiqua" w:hAnsi="Book Antiqua" w:cs="Times New Roman"/>
          <w:b/>
          <w:i/>
          <w:lang w:val="en-US"/>
        </w:rPr>
        <w:t>Research objectives</w:t>
      </w:r>
    </w:p>
    <w:p w14:paraId="6AF94481" w14:textId="77777777" w:rsidR="00A812CC" w:rsidRPr="005B2AA7" w:rsidRDefault="00A812CC"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lang w:val="en-US"/>
        </w:rPr>
        <w:t>To understand the patients’ perceptions on the impact of smoking on their IBD and to assess differences of these perceptions between CD and UC patients.</w:t>
      </w:r>
    </w:p>
    <w:p w14:paraId="77C6046B" w14:textId="77777777" w:rsidR="00A812CC" w:rsidRPr="005B2AA7" w:rsidRDefault="00A812CC" w:rsidP="00253009">
      <w:pPr>
        <w:adjustRightInd w:val="0"/>
        <w:snapToGrid w:val="0"/>
        <w:spacing w:line="360" w:lineRule="auto"/>
        <w:jc w:val="both"/>
        <w:rPr>
          <w:rFonts w:ascii="Book Antiqua" w:hAnsi="Book Antiqua" w:cs="Times New Roman"/>
          <w:lang w:val="en-US"/>
        </w:rPr>
      </w:pPr>
    </w:p>
    <w:p w14:paraId="02A46AF2" w14:textId="50F6E3E6" w:rsidR="00A812CC" w:rsidRPr="005B2AA7" w:rsidRDefault="00A812CC" w:rsidP="00253009">
      <w:pPr>
        <w:adjustRightInd w:val="0"/>
        <w:snapToGrid w:val="0"/>
        <w:spacing w:line="360" w:lineRule="auto"/>
        <w:jc w:val="both"/>
        <w:rPr>
          <w:rFonts w:ascii="Book Antiqua" w:hAnsi="Book Antiqua" w:cs="Times New Roman"/>
          <w:b/>
          <w:i/>
          <w:lang w:val="en-US"/>
        </w:rPr>
      </w:pPr>
      <w:r w:rsidRPr="005B2AA7">
        <w:rPr>
          <w:rFonts w:ascii="Book Antiqua" w:hAnsi="Book Antiqua" w:cs="Times New Roman"/>
          <w:b/>
          <w:i/>
          <w:lang w:val="en-US"/>
        </w:rPr>
        <w:t>Research methods</w:t>
      </w:r>
    </w:p>
    <w:p w14:paraId="78A772F1" w14:textId="0FF26E13" w:rsidR="00A812CC" w:rsidRPr="005B2AA7" w:rsidRDefault="00A812CC" w:rsidP="00253009">
      <w:pPr>
        <w:adjustRightInd w:val="0"/>
        <w:snapToGrid w:val="0"/>
        <w:spacing w:line="360" w:lineRule="auto"/>
        <w:jc w:val="both"/>
        <w:rPr>
          <w:rFonts w:ascii="Book Antiqua" w:hAnsi="Book Antiqua" w:cs="Times New Roman"/>
          <w:b/>
          <w:lang w:val="en-US"/>
        </w:rPr>
      </w:pPr>
      <w:r w:rsidRPr="005B2AA7">
        <w:rPr>
          <w:rFonts w:ascii="Book Antiqua" w:hAnsi="Book Antiqua" w:cs="Times New Roman"/>
          <w:lang w:val="en-US"/>
        </w:rPr>
        <w:t xml:space="preserve">This was a European-wide online survey developed by </w:t>
      </w:r>
      <w:r w:rsidRPr="005B2AA7">
        <w:rPr>
          <w:rFonts w:ascii="Book Antiqua" w:eastAsia="Times New Roman" w:hAnsi="Book Antiqua" w:cs="Times New Roman"/>
          <w:color w:val="000000" w:themeColor="text1"/>
          <w:shd w:val="clear" w:color="auto" w:fill="FFFFFF"/>
          <w:lang w:val="en-US" w:eastAsia="fr-FR"/>
        </w:rPr>
        <w:t>Philip Morris Products SA</w:t>
      </w:r>
      <w:r w:rsidRPr="005B2AA7">
        <w:rPr>
          <w:rFonts w:ascii="Book Antiqua" w:hAnsi="Book Antiqua" w:cs="Times New Roman"/>
          <w:lang w:val="en-US"/>
        </w:rPr>
        <w:t xml:space="preserve"> in collaboration with European Federation of Crohn’s and Ulcerative Colitis Association. The final survey questionnaire consisted of 41 questions divided in 8 categories: (1) subject screener; (2) smoking history; (3) background information; (4) IBD disease background; (5) current disease status; (6) current therapeutics and medications; and (7) current nicotine/cigarettes use, </w:t>
      </w:r>
      <w:r w:rsidRPr="005B2AA7">
        <w:rPr>
          <w:rFonts w:ascii="Book Antiqua" w:hAnsi="Book Antiqua" w:cs="Times New Roman"/>
          <w:lang w:val="en-US" w:eastAsia="zh-CN"/>
        </w:rPr>
        <w:t>and</w:t>
      </w:r>
      <w:r w:rsidRPr="005B2AA7">
        <w:rPr>
          <w:rFonts w:ascii="Book Antiqua" w:hAnsi="Book Antiqua" w:cs="Times New Roman"/>
          <w:lang w:val="en-US"/>
        </w:rPr>
        <w:t xml:space="preserve"> awareness of the impacts of smoking on IBD.</w:t>
      </w:r>
      <w:r w:rsidRPr="005B2AA7">
        <w:rPr>
          <w:rFonts w:ascii="Book Antiqua" w:hAnsi="Book Antiqua" w:cs="Times New Roman"/>
          <w:b/>
          <w:lang w:val="en-US"/>
        </w:rPr>
        <w:t xml:space="preserve"> </w:t>
      </w:r>
      <w:r w:rsidRPr="005B2AA7">
        <w:rPr>
          <w:rFonts w:ascii="Book Antiqua" w:hAnsi="Book Antiqua" w:cs="Times New Roman"/>
          <w:lang w:val="en-US"/>
        </w:rPr>
        <w:t>The survey was made available in English, French, German, Spanish, Portuguese, Italian, Greek, Finnish and Slovenian. The online survey was open from 4</w:t>
      </w:r>
      <w:r w:rsidRPr="005B2AA7">
        <w:rPr>
          <w:rFonts w:ascii="Book Antiqua" w:hAnsi="Book Antiqua" w:cs="Times New Roman"/>
          <w:vertAlign w:val="superscript"/>
          <w:lang w:val="en-US"/>
        </w:rPr>
        <w:t>th</w:t>
      </w:r>
      <w:r w:rsidRPr="005B2AA7">
        <w:rPr>
          <w:rFonts w:ascii="Book Antiqua" w:hAnsi="Book Antiqua" w:cs="Times New Roman"/>
          <w:lang w:val="en-US"/>
        </w:rPr>
        <w:t xml:space="preserve"> November 2019 to 11</w:t>
      </w:r>
      <w:r w:rsidRPr="005B2AA7">
        <w:rPr>
          <w:rFonts w:ascii="Book Antiqua" w:hAnsi="Book Antiqua" w:cs="Times New Roman"/>
          <w:vertAlign w:val="superscript"/>
          <w:lang w:val="en-US"/>
        </w:rPr>
        <w:t>th</w:t>
      </w:r>
      <w:r w:rsidRPr="005B2AA7">
        <w:rPr>
          <w:rFonts w:ascii="Book Antiqua" w:hAnsi="Book Antiqua" w:cs="Times New Roman"/>
          <w:lang w:val="en-US"/>
        </w:rPr>
        <w:t xml:space="preserve"> March 2020 on the European Federation of Crohn’s and Ulcerative Colitis Association website. </w:t>
      </w:r>
    </w:p>
    <w:p w14:paraId="4AF18E20" w14:textId="77777777" w:rsidR="00A812CC" w:rsidRPr="005B2AA7" w:rsidRDefault="00A812CC" w:rsidP="00253009">
      <w:pPr>
        <w:adjustRightInd w:val="0"/>
        <w:snapToGrid w:val="0"/>
        <w:spacing w:line="360" w:lineRule="auto"/>
        <w:jc w:val="both"/>
        <w:rPr>
          <w:rFonts w:ascii="Book Antiqua" w:hAnsi="Book Antiqua" w:cs="Times New Roman"/>
          <w:lang w:val="en-US"/>
        </w:rPr>
      </w:pPr>
    </w:p>
    <w:p w14:paraId="2FE634DF" w14:textId="77777777" w:rsidR="00A812CC" w:rsidRPr="005B2AA7" w:rsidRDefault="00A812CC" w:rsidP="00253009">
      <w:pPr>
        <w:adjustRightInd w:val="0"/>
        <w:snapToGrid w:val="0"/>
        <w:spacing w:line="360" w:lineRule="auto"/>
        <w:jc w:val="both"/>
        <w:rPr>
          <w:rFonts w:ascii="Book Antiqua" w:hAnsi="Book Antiqua" w:cs="Times New Roman"/>
          <w:b/>
          <w:i/>
          <w:lang w:val="en-US"/>
        </w:rPr>
      </w:pPr>
      <w:r w:rsidRPr="005B2AA7">
        <w:rPr>
          <w:rFonts w:ascii="Book Antiqua" w:hAnsi="Book Antiqua" w:cs="Times New Roman"/>
          <w:b/>
          <w:i/>
          <w:lang w:val="en-US"/>
        </w:rPr>
        <w:t xml:space="preserve">Research results </w:t>
      </w:r>
    </w:p>
    <w:p w14:paraId="2D872149" w14:textId="77777777" w:rsidR="00A812CC" w:rsidRPr="005B2AA7" w:rsidRDefault="00A812CC"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lang w:val="en-US"/>
        </w:rPr>
        <w:t>This survey enrolled 1050 IBD patients speaking nine different languages. Among them, 807 declared to have ever smoked or consumed an alternative smoking product. More than half were current cigarette smokers (59.0%). This proportion was significantly higher in CD than in UC patients. There were no significant differences in the use of any nicotine-containing product between CD and UC patients. The perception of the impact of cigarette smoking significantly differed between CD and UC patients. Similarly, the perceived impact of using alternative smoking products on disease activity significantly differed between CD and UC patients. Among patients having ever smoked cigarettes, 31.7% did not receive any information from their physician on the effect of smoking on disease activity, while 45.4% of them received the information that smoking is detrimental to disease activity. These proportions were significantly different in CD and in UC patients.</w:t>
      </w:r>
    </w:p>
    <w:p w14:paraId="3414B1EE" w14:textId="77777777" w:rsidR="00A812CC" w:rsidRPr="005B2AA7" w:rsidRDefault="00A812CC" w:rsidP="00253009">
      <w:pPr>
        <w:adjustRightInd w:val="0"/>
        <w:snapToGrid w:val="0"/>
        <w:spacing w:line="360" w:lineRule="auto"/>
        <w:jc w:val="both"/>
        <w:rPr>
          <w:rFonts w:ascii="Book Antiqua" w:hAnsi="Book Antiqua" w:cs="Times New Roman"/>
          <w:lang w:val="en-US"/>
        </w:rPr>
      </w:pPr>
    </w:p>
    <w:p w14:paraId="18FACB15" w14:textId="77777777" w:rsidR="00A812CC" w:rsidRPr="005B2AA7" w:rsidRDefault="00A812CC" w:rsidP="00253009">
      <w:pPr>
        <w:adjustRightInd w:val="0"/>
        <w:snapToGrid w:val="0"/>
        <w:spacing w:line="360" w:lineRule="auto"/>
        <w:jc w:val="both"/>
        <w:rPr>
          <w:rFonts w:ascii="Book Antiqua" w:hAnsi="Book Antiqua" w:cs="Times New Roman"/>
          <w:b/>
          <w:i/>
          <w:lang w:val="en-US"/>
        </w:rPr>
      </w:pPr>
      <w:r w:rsidRPr="005B2AA7">
        <w:rPr>
          <w:rFonts w:ascii="Book Antiqua" w:hAnsi="Book Antiqua" w:cs="Times New Roman"/>
          <w:b/>
          <w:i/>
          <w:lang w:val="en-US"/>
        </w:rPr>
        <w:t xml:space="preserve">Research conclusions </w:t>
      </w:r>
    </w:p>
    <w:p w14:paraId="684DB360" w14:textId="53EBF452" w:rsidR="00A812CC" w:rsidRPr="005B2AA7" w:rsidRDefault="00A812CC"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lang w:val="en-US"/>
        </w:rPr>
        <w:lastRenderedPageBreak/>
        <w:t>We found significant differences between CD and UC patients in both awareness and perception of the impact of smoking on their disease. Further efforts should be done to encourage smoking cessation for all IBD patients, including UC patients, because of the well-established beneficial effects of smoking cessation on general health.</w:t>
      </w:r>
    </w:p>
    <w:p w14:paraId="53507946" w14:textId="77777777" w:rsidR="00A812CC" w:rsidRPr="005B2AA7" w:rsidRDefault="00A812CC" w:rsidP="00253009">
      <w:pPr>
        <w:adjustRightInd w:val="0"/>
        <w:snapToGrid w:val="0"/>
        <w:spacing w:line="360" w:lineRule="auto"/>
        <w:jc w:val="both"/>
        <w:rPr>
          <w:rFonts w:ascii="Book Antiqua" w:hAnsi="Book Antiqua" w:cs="Times New Roman"/>
          <w:b/>
          <w:i/>
          <w:lang w:val="en-US"/>
        </w:rPr>
      </w:pPr>
      <w:r w:rsidRPr="005B2AA7">
        <w:rPr>
          <w:rFonts w:ascii="Book Antiqua" w:hAnsi="Book Antiqua" w:cs="Times New Roman"/>
          <w:b/>
          <w:i/>
          <w:lang w:val="en-US"/>
        </w:rPr>
        <w:t xml:space="preserve">Research perspectives </w:t>
      </w:r>
    </w:p>
    <w:p w14:paraId="514955EF" w14:textId="77777777" w:rsidR="00A812CC" w:rsidRPr="005B2AA7" w:rsidRDefault="00A812CC"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lang w:val="en-US"/>
        </w:rPr>
        <w:t>In light of the increasing use of alternative nicotine-containing products, like e-cigarettes, further studies are mandatory to explore the safety and impact of these products in patients with IBD.</w:t>
      </w:r>
    </w:p>
    <w:p w14:paraId="0572940F" w14:textId="77777777" w:rsidR="00A812CC" w:rsidRPr="005B2AA7" w:rsidRDefault="00A812CC" w:rsidP="00253009">
      <w:pPr>
        <w:adjustRightInd w:val="0"/>
        <w:snapToGrid w:val="0"/>
        <w:spacing w:line="360" w:lineRule="auto"/>
        <w:jc w:val="both"/>
        <w:rPr>
          <w:rFonts w:ascii="Book Antiqua" w:hAnsi="Book Antiqua" w:cs="Times New Roman"/>
          <w:lang w:val="en-US"/>
        </w:rPr>
      </w:pPr>
    </w:p>
    <w:p w14:paraId="17A6BBF3" w14:textId="1E08C47C" w:rsidR="00A812CC" w:rsidRPr="005B2AA7" w:rsidRDefault="00A812CC" w:rsidP="00253009">
      <w:pPr>
        <w:widowControl w:val="0"/>
        <w:adjustRightInd w:val="0"/>
        <w:snapToGrid w:val="0"/>
        <w:spacing w:line="360" w:lineRule="auto"/>
        <w:jc w:val="both"/>
        <w:rPr>
          <w:rFonts w:ascii="Book Antiqua" w:hAnsi="Book Antiqua"/>
          <w:b/>
          <w:color w:val="000000"/>
          <w:u w:val="single"/>
        </w:rPr>
      </w:pPr>
      <w:r w:rsidRPr="005B2AA7">
        <w:rPr>
          <w:rFonts w:ascii="Book Antiqua" w:hAnsi="Book Antiqua"/>
          <w:b/>
          <w:color w:val="000000"/>
          <w:u w:val="single"/>
        </w:rPr>
        <w:t>ACKNOWLEDGEMENTS</w:t>
      </w:r>
      <w:r w:rsidRPr="005B2AA7">
        <w:rPr>
          <w:rFonts w:ascii="Book Antiqua" w:hAnsi="Book Antiqua" w:cs="Times New Roman"/>
          <w:lang w:val="en-US"/>
        </w:rPr>
        <w:t xml:space="preserve"> </w:t>
      </w:r>
    </w:p>
    <w:p w14:paraId="537CC13A" w14:textId="0E1ED07C" w:rsidR="00A812CC" w:rsidRPr="005B2AA7" w:rsidRDefault="00A812CC" w:rsidP="00253009">
      <w:pPr>
        <w:adjustRightInd w:val="0"/>
        <w:snapToGrid w:val="0"/>
        <w:spacing w:line="360" w:lineRule="auto"/>
        <w:jc w:val="both"/>
        <w:rPr>
          <w:rFonts w:ascii="Book Antiqua" w:eastAsia="Times New Roman" w:hAnsi="Book Antiqua" w:cs="Times New Roman"/>
          <w:color w:val="000000" w:themeColor="text1"/>
          <w:shd w:val="clear" w:color="auto" w:fill="FFFFFF"/>
          <w:lang w:val="en-US" w:eastAsia="fr-FR"/>
        </w:rPr>
      </w:pPr>
      <w:bookmarkStart w:id="34" w:name="OLE_LINK34"/>
      <w:r w:rsidRPr="005B2AA7">
        <w:rPr>
          <w:rFonts w:ascii="Book Antiqua" w:hAnsi="Book Antiqua" w:cs="Times New Roman"/>
          <w:lang w:val="en-US"/>
        </w:rPr>
        <w:t>The authors thank Laurent Peyrin-Biroulet and Silvio Danese for their assistance in the conception of the study.</w:t>
      </w:r>
      <w:bookmarkEnd w:id="34"/>
    </w:p>
    <w:p w14:paraId="4DBE06FC" w14:textId="77777777" w:rsidR="00A812CC" w:rsidRPr="005B2AA7" w:rsidRDefault="00A812CC" w:rsidP="00253009">
      <w:pPr>
        <w:adjustRightInd w:val="0"/>
        <w:snapToGrid w:val="0"/>
        <w:spacing w:line="360" w:lineRule="auto"/>
        <w:jc w:val="both"/>
        <w:rPr>
          <w:rFonts w:ascii="Book Antiqua" w:eastAsia="Times New Roman" w:hAnsi="Book Antiqua" w:cs="Times New Roman"/>
          <w:color w:val="000000" w:themeColor="text1"/>
          <w:shd w:val="clear" w:color="auto" w:fill="FFFFFF"/>
          <w:lang w:val="en-US" w:eastAsia="fr-FR"/>
        </w:rPr>
      </w:pPr>
    </w:p>
    <w:p w14:paraId="6F9A72A2" w14:textId="740DBAA3" w:rsidR="00465A47" w:rsidRPr="005B2AA7" w:rsidRDefault="00C96971" w:rsidP="00253009">
      <w:pPr>
        <w:adjustRightInd w:val="0"/>
        <w:snapToGrid w:val="0"/>
        <w:spacing w:line="360" w:lineRule="auto"/>
        <w:jc w:val="both"/>
        <w:rPr>
          <w:rFonts w:ascii="Book Antiqua" w:hAnsi="Book Antiqua"/>
          <w:b/>
          <w:color w:val="000000"/>
        </w:rPr>
      </w:pPr>
      <w:r w:rsidRPr="005B2AA7">
        <w:rPr>
          <w:rFonts w:ascii="Book Antiqua" w:hAnsi="Book Antiqua"/>
          <w:b/>
          <w:color w:val="000000"/>
        </w:rPr>
        <w:t>REFERENCES</w:t>
      </w:r>
    </w:p>
    <w:p w14:paraId="40FC8165" w14:textId="33BCDDEC" w:rsidR="000F61C4" w:rsidRPr="005B2AA7" w:rsidRDefault="000F61C4" w:rsidP="00253009">
      <w:pPr>
        <w:widowControl w:val="0"/>
        <w:adjustRightInd w:val="0"/>
        <w:snapToGrid w:val="0"/>
        <w:spacing w:line="360" w:lineRule="auto"/>
        <w:jc w:val="both"/>
        <w:rPr>
          <w:rFonts w:ascii="Book Antiqua" w:hAnsi="Book Antiqua"/>
          <w:b/>
          <w:color w:val="000000"/>
        </w:rPr>
      </w:pPr>
      <w:bookmarkStart w:id="35" w:name="OLE_LINK19"/>
      <w:r w:rsidRPr="005B2AA7">
        <w:rPr>
          <w:rFonts w:ascii="Book Antiqua" w:hAnsi="Book Antiqua"/>
        </w:rPr>
        <w:t xml:space="preserve">1 </w:t>
      </w:r>
      <w:r w:rsidRPr="005B2AA7">
        <w:rPr>
          <w:rFonts w:ascii="Book Antiqua" w:hAnsi="Book Antiqua"/>
          <w:b/>
          <w:bCs/>
        </w:rPr>
        <w:t>Ng SC</w:t>
      </w:r>
      <w:r w:rsidRPr="005B2AA7">
        <w:rPr>
          <w:rFonts w:ascii="Book Antiqua" w:hAnsi="Book Antiqua"/>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5B2AA7">
        <w:rPr>
          <w:rFonts w:ascii="Book Antiqua" w:hAnsi="Book Antiqua"/>
          <w:i/>
          <w:iCs/>
        </w:rPr>
        <w:t>Lancet</w:t>
      </w:r>
      <w:r w:rsidRPr="005B2AA7">
        <w:rPr>
          <w:rFonts w:ascii="Book Antiqua" w:hAnsi="Book Antiqua"/>
        </w:rPr>
        <w:t xml:space="preserve"> 2018; </w:t>
      </w:r>
      <w:r w:rsidRPr="005B2AA7">
        <w:rPr>
          <w:rFonts w:ascii="Book Antiqua" w:hAnsi="Book Antiqua"/>
          <w:b/>
          <w:bCs/>
        </w:rPr>
        <w:t>390</w:t>
      </w:r>
      <w:r w:rsidRPr="005B2AA7">
        <w:rPr>
          <w:rFonts w:ascii="Book Antiqua" w:hAnsi="Book Antiqua"/>
        </w:rPr>
        <w:t>: 2769-2778 [PMID: 29050646 DOI: 10.1016/S0140-6736(17)32448-0]</w:t>
      </w:r>
    </w:p>
    <w:p w14:paraId="31FCD9AE"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2 </w:t>
      </w:r>
      <w:r w:rsidRPr="005B2AA7">
        <w:rPr>
          <w:rFonts w:ascii="Book Antiqua" w:hAnsi="Book Antiqua"/>
          <w:b/>
          <w:bCs/>
        </w:rPr>
        <w:t>Torres J</w:t>
      </w:r>
      <w:r w:rsidRPr="005B2AA7">
        <w:rPr>
          <w:rFonts w:ascii="Book Antiqua" w:hAnsi="Book Antiqua"/>
        </w:rPr>
        <w:t xml:space="preserve">, Mehandru S, Colombel JF, Peyrin-Biroulet L. Crohn's disease. </w:t>
      </w:r>
      <w:r w:rsidRPr="005B2AA7">
        <w:rPr>
          <w:rFonts w:ascii="Book Antiqua" w:hAnsi="Book Antiqua"/>
          <w:i/>
          <w:iCs/>
        </w:rPr>
        <w:t>Lancet</w:t>
      </w:r>
      <w:r w:rsidRPr="005B2AA7">
        <w:rPr>
          <w:rFonts w:ascii="Book Antiqua" w:hAnsi="Book Antiqua"/>
        </w:rPr>
        <w:t xml:space="preserve"> 2017; </w:t>
      </w:r>
      <w:r w:rsidRPr="005B2AA7">
        <w:rPr>
          <w:rFonts w:ascii="Book Antiqua" w:hAnsi="Book Antiqua"/>
          <w:b/>
          <w:bCs/>
        </w:rPr>
        <w:t>389</w:t>
      </w:r>
      <w:r w:rsidRPr="005B2AA7">
        <w:rPr>
          <w:rFonts w:ascii="Book Antiqua" w:hAnsi="Book Antiqua"/>
        </w:rPr>
        <w:t>: 1741-1755 [PMID: 27914655 DOI: 10.1016/S0140-6736(16)31711-1]</w:t>
      </w:r>
    </w:p>
    <w:p w14:paraId="4C37C7D2"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3 </w:t>
      </w:r>
      <w:r w:rsidRPr="005B2AA7">
        <w:rPr>
          <w:rFonts w:ascii="Book Antiqua" w:hAnsi="Book Antiqua"/>
          <w:b/>
          <w:bCs/>
        </w:rPr>
        <w:t>Ungaro R</w:t>
      </w:r>
      <w:r w:rsidRPr="005B2AA7">
        <w:rPr>
          <w:rFonts w:ascii="Book Antiqua" w:hAnsi="Book Antiqua"/>
        </w:rPr>
        <w:t xml:space="preserve">, Mehandru S, Allen PB, Peyrin-Biroulet L, Colombel JF. Ulcerative colitis. </w:t>
      </w:r>
      <w:r w:rsidRPr="005B2AA7">
        <w:rPr>
          <w:rFonts w:ascii="Book Antiqua" w:hAnsi="Book Antiqua"/>
          <w:i/>
          <w:iCs/>
        </w:rPr>
        <w:t>Lancet</w:t>
      </w:r>
      <w:r w:rsidRPr="005B2AA7">
        <w:rPr>
          <w:rFonts w:ascii="Book Antiqua" w:hAnsi="Book Antiqua"/>
        </w:rPr>
        <w:t xml:space="preserve"> 2017; </w:t>
      </w:r>
      <w:r w:rsidRPr="005B2AA7">
        <w:rPr>
          <w:rFonts w:ascii="Book Antiqua" w:hAnsi="Book Antiqua"/>
          <w:b/>
          <w:bCs/>
        </w:rPr>
        <w:t>389</w:t>
      </w:r>
      <w:r w:rsidRPr="005B2AA7">
        <w:rPr>
          <w:rFonts w:ascii="Book Antiqua" w:hAnsi="Book Antiqua"/>
        </w:rPr>
        <w:t>: 1756-1770 [PMID: 27914657 DOI: 10.1016/S0140-6736(16)32126-2]</w:t>
      </w:r>
    </w:p>
    <w:p w14:paraId="12F99471"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4 </w:t>
      </w:r>
      <w:r w:rsidRPr="005B2AA7">
        <w:rPr>
          <w:rFonts w:ascii="Book Antiqua" w:hAnsi="Book Antiqua"/>
          <w:b/>
          <w:bCs/>
        </w:rPr>
        <w:t>Danese S</w:t>
      </w:r>
      <w:r w:rsidRPr="005B2AA7">
        <w:rPr>
          <w:rFonts w:ascii="Book Antiqua" w:hAnsi="Book Antiqua"/>
        </w:rPr>
        <w:t xml:space="preserve">, Sans M, Fiocchi C. Inflammatory bowel disease: the role of environmental factors. </w:t>
      </w:r>
      <w:r w:rsidRPr="005B2AA7">
        <w:rPr>
          <w:rFonts w:ascii="Book Antiqua" w:hAnsi="Book Antiqua"/>
          <w:i/>
          <w:iCs/>
        </w:rPr>
        <w:t>Autoimmun Rev</w:t>
      </w:r>
      <w:r w:rsidRPr="005B2AA7">
        <w:rPr>
          <w:rFonts w:ascii="Book Antiqua" w:hAnsi="Book Antiqua"/>
        </w:rPr>
        <w:t xml:space="preserve"> 2004; </w:t>
      </w:r>
      <w:r w:rsidRPr="005B2AA7">
        <w:rPr>
          <w:rFonts w:ascii="Book Antiqua" w:hAnsi="Book Antiqua"/>
          <w:b/>
          <w:bCs/>
        </w:rPr>
        <w:t>3</w:t>
      </w:r>
      <w:r w:rsidRPr="005B2AA7">
        <w:rPr>
          <w:rFonts w:ascii="Book Antiqua" w:hAnsi="Book Antiqua"/>
        </w:rPr>
        <w:t>: 394-400 [PMID: 15288007 DOI: 10.1016/j.autrev.2004.03.002]</w:t>
      </w:r>
    </w:p>
    <w:p w14:paraId="0BC05BAA"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5 </w:t>
      </w:r>
      <w:r w:rsidRPr="005B2AA7">
        <w:rPr>
          <w:rFonts w:ascii="Book Antiqua" w:hAnsi="Book Antiqua"/>
          <w:b/>
          <w:bCs/>
        </w:rPr>
        <w:t>Piovani D</w:t>
      </w:r>
      <w:r w:rsidRPr="005B2AA7">
        <w:rPr>
          <w:rFonts w:ascii="Book Antiqua" w:hAnsi="Book Antiqua"/>
        </w:rPr>
        <w:t xml:space="preserve">, Danese S, Peyrin-Biroulet L, Nikolopoulos GK, Lytras T, Bonovas S. Environmental Risk Factors for Inflammatory Bowel Diseases: An </w:t>
      </w:r>
      <w:r w:rsidRPr="005B2AA7">
        <w:rPr>
          <w:rFonts w:ascii="Book Antiqua" w:hAnsi="Book Antiqua"/>
        </w:rPr>
        <w:lastRenderedPageBreak/>
        <w:t xml:space="preserve">Umbrella Review of Meta-analyses. </w:t>
      </w:r>
      <w:r w:rsidRPr="005B2AA7">
        <w:rPr>
          <w:rFonts w:ascii="Book Antiqua" w:hAnsi="Book Antiqua"/>
          <w:i/>
          <w:iCs/>
        </w:rPr>
        <w:t>Gastroenterology</w:t>
      </w:r>
      <w:r w:rsidRPr="005B2AA7">
        <w:rPr>
          <w:rFonts w:ascii="Book Antiqua" w:hAnsi="Book Antiqua"/>
        </w:rPr>
        <w:t xml:space="preserve"> 2019; </w:t>
      </w:r>
      <w:r w:rsidRPr="005B2AA7">
        <w:rPr>
          <w:rFonts w:ascii="Book Antiqua" w:hAnsi="Book Antiqua"/>
          <w:b/>
          <w:bCs/>
        </w:rPr>
        <w:t>157</w:t>
      </w:r>
      <w:r w:rsidRPr="005B2AA7">
        <w:rPr>
          <w:rFonts w:ascii="Book Antiqua" w:hAnsi="Book Antiqua"/>
        </w:rPr>
        <w:t>: 647-659.e4 [PMID: 31014995 DOI: 10.1053/j.gastro.2019.04.016]</w:t>
      </w:r>
    </w:p>
    <w:p w14:paraId="6D894D77"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6 </w:t>
      </w:r>
      <w:r w:rsidRPr="005B2AA7">
        <w:rPr>
          <w:rFonts w:ascii="Book Antiqua" w:hAnsi="Book Antiqua"/>
          <w:b/>
          <w:bCs/>
        </w:rPr>
        <w:t>Mahid SS</w:t>
      </w:r>
      <w:r w:rsidRPr="005B2AA7">
        <w:rPr>
          <w:rFonts w:ascii="Book Antiqua" w:hAnsi="Book Antiqua"/>
        </w:rPr>
        <w:t xml:space="preserve">, Minor KS, Soto RE, Hornung CA, Galandiuk S. Smoking and inflammatory bowel disease: a meta-analysis. </w:t>
      </w:r>
      <w:r w:rsidRPr="005B2AA7">
        <w:rPr>
          <w:rFonts w:ascii="Book Antiqua" w:hAnsi="Book Antiqua"/>
          <w:i/>
          <w:iCs/>
        </w:rPr>
        <w:t>Mayo Clin Proc</w:t>
      </w:r>
      <w:r w:rsidRPr="005B2AA7">
        <w:rPr>
          <w:rFonts w:ascii="Book Antiqua" w:hAnsi="Book Antiqua"/>
        </w:rPr>
        <w:t xml:space="preserve"> 2006; </w:t>
      </w:r>
      <w:r w:rsidRPr="005B2AA7">
        <w:rPr>
          <w:rFonts w:ascii="Book Antiqua" w:hAnsi="Book Antiqua"/>
          <w:b/>
          <w:bCs/>
        </w:rPr>
        <w:t>81</w:t>
      </w:r>
      <w:r w:rsidRPr="005B2AA7">
        <w:rPr>
          <w:rFonts w:ascii="Book Antiqua" w:hAnsi="Book Antiqua"/>
        </w:rPr>
        <w:t>: 1462-1471 [PMID: 17120402 DOI: 10.4065/81.11.1462]</w:t>
      </w:r>
    </w:p>
    <w:p w14:paraId="476DBDB9"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7 </w:t>
      </w:r>
      <w:r w:rsidRPr="005B2AA7">
        <w:rPr>
          <w:rFonts w:ascii="Book Antiqua" w:hAnsi="Book Antiqua"/>
          <w:b/>
          <w:bCs/>
        </w:rPr>
        <w:t>Lunney PC</w:t>
      </w:r>
      <w:r w:rsidRPr="005B2AA7">
        <w:rPr>
          <w:rFonts w:ascii="Book Antiqua" w:hAnsi="Book Antiqua"/>
        </w:rPr>
        <w:t xml:space="preserve">, Kariyawasam VC, Wang RR, Middleton KL, Huang T, Selinger CP, Andrews JM, Katelaris PH, Leong RW. Smoking prevalence and its influence on disease course and surgery in Crohn's disease and ulcerative colitis. </w:t>
      </w:r>
      <w:r w:rsidRPr="005B2AA7">
        <w:rPr>
          <w:rFonts w:ascii="Book Antiqua" w:hAnsi="Book Antiqua"/>
          <w:i/>
          <w:iCs/>
        </w:rPr>
        <w:t>Aliment Pharmacol Ther</w:t>
      </w:r>
      <w:r w:rsidRPr="005B2AA7">
        <w:rPr>
          <w:rFonts w:ascii="Book Antiqua" w:hAnsi="Book Antiqua"/>
        </w:rPr>
        <w:t xml:space="preserve"> 2015; </w:t>
      </w:r>
      <w:r w:rsidRPr="005B2AA7">
        <w:rPr>
          <w:rFonts w:ascii="Book Antiqua" w:hAnsi="Book Antiqua"/>
          <w:b/>
          <w:bCs/>
        </w:rPr>
        <w:t>42</w:t>
      </w:r>
      <w:r w:rsidRPr="005B2AA7">
        <w:rPr>
          <w:rFonts w:ascii="Book Antiqua" w:hAnsi="Book Antiqua"/>
        </w:rPr>
        <w:t>: 61-70 [PMID: 25968332 DOI: 10.1111/apt.13239]</w:t>
      </w:r>
    </w:p>
    <w:p w14:paraId="3635D92E" w14:textId="565BB6DB" w:rsidR="000F61C4" w:rsidRPr="005B2AA7" w:rsidRDefault="000F61C4" w:rsidP="00253009">
      <w:pPr>
        <w:pStyle w:val="af"/>
        <w:widowControl w:val="0"/>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8 </w:t>
      </w:r>
      <w:r w:rsidRPr="005B2AA7">
        <w:rPr>
          <w:rFonts w:ascii="Book Antiqua" w:hAnsi="Book Antiqua"/>
          <w:b/>
          <w:bCs/>
        </w:rPr>
        <w:t>Reese GE</w:t>
      </w:r>
      <w:r w:rsidRPr="005B2AA7">
        <w:rPr>
          <w:rFonts w:ascii="Book Antiqua" w:hAnsi="Book Antiqua"/>
        </w:rPr>
        <w:t xml:space="preserve">, Nanidis T, Borysiewicz C, Yamamoto T, Orchard T, Tekkis PP. The effect of smoking after surgery for Crohn's disease: a meta-analysis of observational studies. </w:t>
      </w:r>
      <w:r w:rsidRPr="005B2AA7">
        <w:rPr>
          <w:rFonts w:ascii="Book Antiqua" w:hAnsi="Book Antiqua"/>
          <w:i/>
          <w:iCs/>
        </w:rPr>
        <w:t>Int J Colorectal Dis</w:t>
      </w:r>
      <w:r w:rsidRPr="005B2AA7">
        <w:rPr>
          <w:rFonts w:ascii="Book Antiqua" w:hAnsi="Book Antiqua"/>
        </w:rPr>
        <w:t xml:space="preserve"> 2008; </w:t>
      </w:r>
      <w:r w:rsidRPr="005B2AA7">
        <w:rPr>
          <w:rFonts w:ascii="Book Antiqua" w:hAnsi="Book Antiqua"/>
          <w:b/>
          <w:bCs/>
        </w:rPr>
        <w:t>23</w:t>
      </w:r>
      <w:r w:rsidRPr="005B2AA7">
        <w:rPr>
          <w:rFonts w:ascii="Book Antiqua" w:hAnsi="Book Antiqua"/>
        </w:rPr>
        <w:t>: 1213-1221 [PMID: 18762954 DOI: 10.1007/s00384-008-0542-9]</w:t>
      </w:r>
    </w:p>
    <w:p w14:paraId="423298FC" w14:textId="2A23E054" w:rsidR="000F61C4" w:rsidRPr="005B2AA7" w:rsidRDefault="000F61C4" w:rsidP="00253009">
      <w:pPr>
        <w:widowControl w:val="0"/>
        <w:adjustRightInd w:val="0"/>
        <w:snapToGrid w:val="0"/>
        <w:spacing w:line="360" w:lineRule="auto"/>
        <w:jc w:val="both"/>
        <w:rPr>
          <w:rFonts w:ascii="Book Antiqua" w:hAnsi="Book Antiqua"/>
          <w:lang w:val="en-US" w:eastAsia="zh-CN"/>
        </w:rPr>
      </w:pPr>
      <w:r w:rsidRPr="005B2AA7">
        <w:rPr>
          <w:rFonts w:ascii="Book Antiqua" w:hAnsi="Book Antiqua"/>
        </w:rPr>
        <w:t xml:space="preserve">9 </w:t>
      </w:r>
      <w:r w:rsidRPr="005B2AA7">
        <w:rPr>
          <w:rFonts w:ascii="Book Antiqua" w:hAnsi="Book Antiqua"/>
          <w:b/>
          <w:bCs/>
        </w:rPr>
        <w:t>Bastida G</w:t>
      </w:r>
      <w:r w:rsidRPr="005B2AA7">
        <w:rPr>
          <w:rFonts w:ascii="Book Antiqua" w:hAnsi="Book Antiqua"/>
        </w:rPr>
        <w:t>, Beltrán B. Ulcerative colitis in smokers, non-smokers and ex-smokers.</w:t>
      </w:r>
    </w:p>
    <w:p w14:paraId="1CEE5769" w14:textId="3E68519E"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i/>
          <w:iCs/>
        </w:rPr>
        <w:t>World J Gastroenterol</w:t>
      </w:r>
      <w:r w:rsidRPr="005B2AA7">
        <w:rPr>
          <w:rFonts w:ascii="Book Antiqua" w:hAnsi="Book Antiqua"/>
        </w:rPr>
        <w:t xml:space="preserve"> 2011; </w:t>
      </w:r>
      <w:r w:rsidRPr="005B2AA7">
        <w:rPr>
          <w:rFonts w:ascii="Book Antiqua" w:hAnsi="Book Antiqua"/>
          <w:b/>
          <w:bCs/>
        </w:rPr>
        <w:t>17</w:t>
      </w:r>
      <w:r w:rsidRPr="005B2AA7">
        <w:rPr>
          <w:rFonts w:ascii="Book Antiqua" w:hAnsi="Book Antiqua"/>
        </w:rPr>
        <w:t>: 2740-2747 [PMID: 21734782 DOI: 10.3748/wjg.v17.i22.2740]</w:t>
      </w:r>
    </w:p>
    <w:p w14:paraId="7E9C1E8C"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10 </w:t>
      </w:r>
      <w:r w:rsidRPr="005B2AA7">
        <w:rPr>
          <w:rFonts w:ascii="Book Antiqua" w:hAnsi="Book Antiqua"/>
          <w:b/>
          <w:bCs/>
        </w:rPr>
        <w:t>Reif S</w:t>
      </w:r>
      <w:r w:rsidRPr="005B2AA7">
        <w:rPr>
          <w:rFonts w:ascii="Book Antiqua" w:hAnsi="Book Antiqua"/>
        </w:rPr>
        <w:t xml:space="preserve">, Lavy A, Keter D, Fich A, Eliakim R, Halak A, Broide E, Niv Y, Ron Y, Patz J, Odes S, Villa Y, Gilat T. Lack of association between smoking and Crohn's disease but the usual association with ulcerative colitis in Jewish patients in Israel: a multicenter study. </w:t>
      </w:r>
      <w:r w:rsidRPr="005B2AA7">
        <w:rPr>
          <w:rFonts w:ascii="Book Antiqua" w:hAnsi="Book Antiqua"/>
          <w:i/>
          <w:iCs/>
        </w:rPr>
        <w:t>Am J Gastroenterol</w:t>
      </w:r>
      <w:r w:rsidRPr="005B2AA7">
        <w:rPr>
          <w:rFonts w:ascii="Book Antiqua" w:hAnsi="Book Antiqua"/>
        </w:rPr>
        <w:t xml:space="preserve"> 2000; </w:t>
      </w:r>
      <w:r w:rsidRPr="005B2AA7">
        <w:rPr>
          <w:rFonts w:ascii="Book Antiqua" w:hAnsi="Book Antiqua"/>
          <w:b/>
          <w:bCs/>
        </w:rPr>
        <w:t>95</w:t>
      </w:r>
      <w:r w:rsidRPr="005B2AA7">
        <w:rPr>
          <w:rFonts w:ascii="Book Antiqua" w:hAnsi="Book Antiqua"/>
        </w:rPr>
        <w:t>: 474-478 [PMID: 10685753 DOI: 10.1111/j.1572-0241.2000.01771.x]</w:t>
      </w:r>
    </w:p>
    <w:p w14:paraId="464CE508"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11 </w:t>
      </w:r>
      <w:r w:rsidRPr="005B2AA7">
        <w:rPr>
          <w:rFonts w:ascii="Book Antiqua" w:hAnsi="Book Antiqua"/>
          <w:b/>
          <w:bCs/>
        </w:rPr>
        <w:t>To N</w:t>
      </w:r>
      <w:r w:rsidRPr="005B2AA7">
        <w:rPr>
          <w:rFonts w:ascii="Book Antiqua" w:hAnsi="Book Antiqua"/>
        </w:rPr>
        <w:t xml:space="preserve">, Gracie DJ, Ford AC. Systematic review with meta-analysis: the adverse effects of tobacco smoking on the natural history of Crohn's disease. </w:t>
      </w:r>
      <w:r w:rsidRPr="005B2AA7">
        <w:rPr>
          <w:rFonts w:ascii="Book Antiqua" w:hAnsi="Book Antiqua"/>
          <w:i/>
          <w:iCs/>
        </w:rPr>
        <w:t>Aliment Pharmacol Ther</w:t>
      </w:r>
      <w:r w:rsidRPr="005B2AA7">
        <w:rPr>
          <w:rFonts w:ascii="Book Antiqua" w:hAnsi="Book Antiqua"/>
        </w:rPr>
        <w:t xml:space="preserve"> 2016; </w:t>
      </w:r>
      <w:r w:rsidRPr="005B2AA7">
        <w:rPr>
          <w:rFonts w:ascii="Book Antiqua" w:hAnsi="Book Antiqua"/>
          <w:b/>
          <w:bCs/>
        </w:rPr>
        <w:t>43</w:t>
      </w:r>
      <w:r w:rsidRPr="005B2AA7">
        <w:rPr>
          <w:rFonts w:ascii="Book Antiqua" w:hAnsi="Book Antiqua"/>
        </w:rPr>
        <w:t>: 549-561 [PMID: 26749371 DOI: 10.1111/apt.13511]</w:t>
      </w:r>
    </w:p>
    <w:p w14:paraId="0EFB4DA2"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12 </w:t>
      </w:r>
      <w:r w:rsidRPr="005B2AA7">
        <w:rPr>
          <w:rFonts w:ascii="Book Antiqua" w:hAnsi="Book Antiqua"/>
          <w:b/>
          <w:bCs/>
        </w:rPr>
        <w:t>Lashner BA</w:t>
      </w:r>
      <w:r w:rsidRPr="005B2AA7">
        <w:rPr>
          <w:rFonts w:ascii="Book Antiqua" w:hAnsi="Book Antiqua"/>
        </w:rPr>
        <w:t xml:space="preserve">, Hanauer SB, Silverstein MD. Testing nicotine gum for ulcerative colitis patients. Experience with single-patient trials. </w:t>
      </w:r>
      <w:r w:rsidRPr="005B2AA7">
        <w:rPr>
          <w:rFonts w:ascii="Book Antiqua" w:hAnsi="Book Antiqua"/>
          <w:i/>
          <w:iCs/>
        </w:rPr>
        <w:t>Dig Dis Sci</w:t>
      </w:r>
      <w:r w:rsidRPr="005B2AA7">
        <w:rPr>
          <w:rFonts w:ascii="Book Antiqua" w:hAnsi="Book Antiqua"/>
        </w:rPr>
        <w:t xml:space="preserve"> 1990; </w:t>
      </w:r>
      <w:r w:rsidRPr="005B2AA7">
        <w:rPr>
          <w:rFonts w:ascii="Book Antiqua" w:hAnsi="Book Antiqua"/>
          <w:b/>
          <w:bCs/>
        </w:rPr>
        <w:t>35</w:t>
      </w:r>
      <w:r w:rsidRPr="005B2AA7">
        <w:rPr>
          <w:rFonts w:ascii="Book Antiqua" w:hAnsi="Book Antiqua"/>
        </w:rPr>
        <w:t>: 827-832 [PMID: 2194767 DOI: 10.1007/bf01536795]</w:t>
      </w:r>
    </w:p>
    <w:p w14:paraId="59DDFEA4"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lastRenderedPageBreak/>
        <w:t xml:space="preserve">13 </w:t>
      </w:r>
      <w:r w:rsidRPr="005B2AA7">
        <w:rPr>
          <w:rFonts w:ascii="Book Antiqua" w:hAnsi="Book Antiqua"/>
          <w:b/>
          <w:bCs/>
        </w:rPr>
        <w:t>Pullan RD</w:t>
      </w:r>
      <w:r w:rsidRPr="005B2AA7">
        <w:rPr>
          <w:rFonts w:ascii="Book Antiqua" w:hAnsi="Book Antiqua"/>
        </w:rPr>
        <w:t xml:space="preserve">, Rhodes J, Ganesh S, Mani V, Morris JS, Williams GT, Newcombe RG, Russell MA, Feyerabend C, Thomas GA. Transdermal nicotine for active ulcerative colitis. </w:t>
      </w:r>
      <w:r w:rsidRPr="005B2AA7">
        <w:rPr>
          <w:rFonts w:ascii="Book Antiqua" w:hAnsi="Book Antiqua"/>
          <w:i/>
          <w:iCs/>
        </w:rPr>
        <w:t>N Engl J Med</w:t>
      </w:r>
      <w:r w:rsidRPr="005B2AA7">
        <w:rPr>
          <w:rFonts w:ascii="Book Antiqua" w:hAnsi="Book Antiqua"/>
        </w:rPr>
        <w:t xml:space="preserve"> 1994; </w:t>
      </w:r>
      <w:r w:rsidRPr="005B2AA7">
        <w:rPr>
          <w:rFonts w:ascii="Book Antiqua" w:hAnsi="Book Antiqua"/>
          <w:b/>
          <w:bCs/>
        </w:rPr>
        <w:t>330</w:t>
      </w:r>
      <w:r w:rsidRPr="005B2AA7">
        <w:rPr>
          <w:rFonts w:ascii="Book Antiqua" w:hAnsi="Book Antiqua"/>
        </w:rPr>
        <w:t>: 811-815 [PMID: 8114833 DOI: 10.1056/NEJM199403243301202]</w:t>
      </w:r>
    </w:p>
    <w:p w14:paraId="347EBBA9"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14 </w:t>
      </w:r>
      <w:r w:rsidRPr="005B2AA7">
        <w:rPr>
          <w:rFonts w:ascii="Book Antiqua" w:hAnsi="Book Antiqua"/>
          <w:b/>
          <w:bCs/>
        </w:rPr>
        <w:t>Thomas GA</w:t>
      </w:r>
      <w:r w:rsidRPr="005B2AA7">
        <w:rPr>
          <w:rFonts w:ascii="Book Antiqua" w:hAnsi="Book Antiqua"/>
        </w:rPr>
        <w:t xml:space="preserve">, Rhodes J, Ragunath K, Mani V, Williams GT, Newcombe RG, Russell MA, Feyerabend C. Transdermal nicotine compared with oral prednisolone therapy for active ulcerative colitis. </w:t>
      </w:r>
      <w:r w:rsidRPr="005B2AA7">
        <w:rPr>
          <w:rFonts w:ascii="Book Antiqua" w:hAnsi="Book Antiqua"/>
          <w:i/>
          <w:iCs/>
        </w:rPr>
        <w:t>Eur J Gastroenterol Hepatol</w:t>
      </w:r>
      <w:r w:rsidRPr="005B2AA7">
        <w:rPr>
          <w:rFonts w:ascii="Book Antiqua" w:hAnsi="Book Antiqua"/>
        </w:rPr>
        <w:t xml:space="preserve"> 1996; </w:t>
      </w:r>
      <w:r w:rsidRPr="005B2AA7">
        <w:rPr>
          <w:rFonts w:ascii="Book Antiqua" w:hAnsi="Book Antiqua"/>
          <w:b/>
          <w:bCs/>
        </w:rPr>
        <w:t>8</w:t>
      </w:r>
      <w:r w:rsidRPr="005B2AA7">
        <w:rPr>
          <w:rFonts w:ascii="Book Antiqua" w:hAnsi="Book Antiqua"/>
        </w:rPr>
        <w:t>: 769-776 [PMID: 8864674]</w:t>
      </w:r>
    </w:p>
    <w:p w14:paraId="7CF21350"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15 </w:t>
      </w:r>
      <w:r w:rsidRPr="005B2AA7">
        <w:rPr>
          <w:rFonts w:ascii="Book Antiqua" w:hAnsi="Book Antiqua"/>
          <w:b/>
          <w:bCs/>
        </w:rPr>
        <w:t>Sandborn WJ</w:t>
      </w:r>
      <w:r w:rsidRPr="005B2AA7">
        <w:rPr>
          <w:rFonts w:ascii="Book Antiqua" w:hAnsi="Book Antiqua"/>
        </w:rPr>
        <w:t xml:space="preserve">, Tremaine WJ, Leighton JA, Lawson GM, Zins BJ, Compton RF, Mays DC, Lipsky JJ, Batts KP, Offord KP, Hurt RD, Green J. Nicotine tartrate liquid enemas for mildly to moderately active left-sided ulcerative colitis unresponsive to first-line therapy: a pilot study. </w:t>
      </w:r>
      <w:r w:rsidRPr="005B2AA7">
        <w:rPr>
          <w:rFonts w:ascii="Book Antiqua" w:hAnsi="Book Antiqua"/>
          <w:i/>
          <w:iCs/>
        </w:rPr>
        <w:t>Aliment Pharmacol Ther</w:t>
      </w:r>
      <w:r w:rsidRPr="005B2AA7">
        <w:rPr>
          <w:rFonts w:ascii="Book Antiqua" w:hAnsi="Book Antiqua"/>
        </w:rPr>
        <w:t xml:space="preserve"> 1997; </w:t>
      </w:r>
      <w:r w:rsidRPr="005B2AA7">
        <w:rPr>
          <w:rFonts w:ascii="Book Antiqua" w:hAnsi="Book Antiqua"/>
          <w:b/>
          <w:bCs/>
        </w:rPr>
        <w:t>11</w:t>
      </w:r>
      <w:r w:rsidRPr="005B2AA7">
        <w:rPr>
          <w:rFonts w:ascii="Book Antiqua" w:hAnsi="Book Antiqua"/>
        </w:rPr>
        <w:t>: 663-671 [PMID: 9305473 DOI: 10.1046/j.1365-2036.1997.00208.x]</w:t>
      </w:r>
    </w:p>
    <w:p w14:paraId="6DDBEADB"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16 </w:t>
      </w:r>
      <w:r w:rsidRPr="005B2AA7">
        <w:rPr>
          <w:rFonts w:ascii="Book Antiqua" w:hAnsi="Book Antiqua"/>
          <w:b/>
          <w:bCs/>
        </w:rPr>
        <w:t>Guslandi M</w:t>
      </w:r>
      <w:r w:rsidRPr="005B2AA7">
        <w:rPr>
          <w:rFonts w:ascii="Book Antiqua" w:hAnsi="Book Antiqua"/>
        </w:rPr>
        <w:t xml:space="preserve">, Frego R, Viale E, Testoni PA. Distal ulcerative colitis refractory to rectal mesalamine: role of transdermal nicotine versus oral mesalamine. </w:t>
      </w:r>
      <w:r w:rsidRPr="005B2AA7">
        <w:rPr>
          <w:rFonts w:ascii="Book Antiqua" w:hAnsi="Book Antiqua"/>
          <w:i/>
          <w:iCs/>
        </w:rPr>
        <w:t>Can J Gastroenterol</w:t>
      </w:r>
      <w:r w:rsidRPr="005B2AA7">
        <w:rPr>
          <w:rFonts w:ascii="Book Antiqua" w:hAnsi="Book Antiqua"/>
        </w:rPr>
        <w:t xml:space="preserve"> 2002; </w:t>
      </w:r>
      <w:r w:rsidRPr="005B2AA7">
        <w:rPr>
          <w:rFonts w:ascii="Book Antiqua" w:hAnsi="Book Antiqua"/>
          <w:b/>
          <w:bCs/>
        </w:rPr>
        <w:t>16</w:t>
      </w:r>
      <w:r w:rsidRPr="005B2AA7">
        <w:rPr>
          <w:rFonts w:ascii="Book Antiqua" w:hAnsi="Book Antiqua"/>
        </w:rPr>
        <w:t>: 293-296 [PMID: 12045777 DOI: 10.1155/2002/307218]</w:t>
      </w:r>
    </w:p>
    <w:p w14:paraId="28CDCB12"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17 </w:t>
      </w:r>
      <w:r w:rsidRPr="005B2AA7">
        <w:rPr>
          <w:rFonts w:ascii="Book Antiqua" w:hAnsi="Book Antiqua"/>
          <w:b/>
          <w:bCs/>
        </w:rPr>
        <w:t>Ingram JR</w:t>
      </w:r>
      <w:r w:rsidRPr="005B2AA7">
        <w:rPr>
          <w:rFonts w:ascii="Book Antiqua" w:hAnsi="Book Antiqua"/>
        </w:rPr>
        <w:t xml:space="preserve">, Thomas GA, Rhodes J, Green JT, Hawkes ND, Swift JL, Srivastava ED, Evans BK, Williams GT, Newcombe RG, Courtney E, Pillai S. A randomized trial of nicotine enemas for active ulcerative colitis. </w:t>
      </w:r>
      <w:r w:rsidRPr="005B2AA7">
        <w:rPr>
          <w:rFonts w:ascii="Book Antiqua" w:hAnsi="Book Antiqua"/>
          <w:i/>
          <w:iCs/>
        </w:rPr>
        <w:t>Clin Gastroenterol Hepatol</w:t>
      </w:r>
      <w:r w:rsidRPr="005B2AA7">
        <w:rPr>
          <w:rFonts w:ascii="Book Antiqua" w:hAnsi="Book Antiqua"/>
        </w:rPr>
        <w:t xml:space="preserve"> 2005; </w:t>
      </w:r>
      <w:r w:rsidRPr="005B2AA7">
        <w:rPr>
          <w:rFonts w:ascii="Book Antiqua" w:hAnsi="Book Antiqua"/>
          <w:b/>
          <w:bCs/>
        </w:rPr>
        <w:t>3</w:t>
      </w:r>
      <w:r w:rsidRPr="005B2AA7">
        <w:rPr>
          <w:rFonts w:ascii="Book Antiqua" w:hAnsi="Book Antiqua"/>
        </w:rPr>
        <w:t>: 1107-1114 [PMID: 16271342 DOI: 10.1016/s1542-3565(05)00849-9]</w:t>
      </w:r>
    </w:p>
    <w:p w14:paraId="79F44096" w14:textId="7FE4584B"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18 </w:t>
      </w:r>
      <w:r w:rsidRPr="005B2AA7">
        <w:rPr>
          <w:rFonts w:ascii="Book Antiqua" w:hAnsi="Book Antiqua"/>
          <w:b/>
          <w:bCs/>
        </w:rPr>
        <w:t>McGrath J</w:t>
      </w:r>
      <w:r w:rsidRPr="005B2AA7">
        <w:rPr>
          <w:rFonts w:ascii="Book Antiqua" w:hAnsi="Book Antiqua"/>
        </w:rPr>
        <w:t xml:space="preserve">, McDonald JW, Macdonald JK. Transdermal nicotine for induction of remission in ulcerative colitis. </w:t>
      </w:r>
      <w:r w:rsidRPr="005B2AA7">
        <w:rPr>
          <w:rFonts w:ascii="Book Antiqua" w:hAnsi="Book Antiqua"/>
          <w:i/>
          <w:iCs/>
        </w:rPr>
        <w:t>Cochrane Database Syst Rev</w:t>
      </w:r>
      <w:r w:rsidR="00A812CC" w:rsidRPr="005B2AA7">
        <w:rPr>
          <w:rFonts w:ascii="Book Antiqua" w:hAnsi="Book Antiqua"/>
        </w:rPr>
        <w:t xml:space="preserve"> 2004; </w:t>
      </w:r>
      <w:r w:rsidRPr="005B2AA7">
        <w:rPr>
          <w:rFonts w:ascii="Book Antiqua" w:hAnsi="Book Antiqua"/>
        </w:rPr>
        <w:t>CD004722 [PMID: 15495126 DOI: 10.1002/14651858.CD004722.pub2]</w:t>
      </w:r>
    </w:p>
    <w:p w14:paraId="2A5EAC89"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19 </w:t>
      </w:r>
      <w:r w:rsidRPr="005B2AA7">
        <w:rPr>
          <w:rFonts w:ascii="Book Antiqua" w:hAnsi="Book Antiqua"/>
          <w:b/>
          <w:bCs/>
        </w:rPr>
        <w:t>Nikfar S</w:t>
      </w:r>
      <w:r w:rsidRPr="005B2AA7">
        <w:rPr>
          <w:rFonts w:ascii="Book Antiqua" w:hAnsi="Book Antiqua"/>
        </w:rPr>
        <w:t xml:space="preserve">, Ehteshami-Ashar S, Rahimi R, Abdollahi M. Systematic review and meta-analysis of the efficacy and tolerability of nicotine preparations in active ulcerative colitis. </w:t>
      </w:r>
      <w:r w:rsidRPr="005B2AA7">
        <w:rPr>
          <w:rFonts w:ascii="Book Antiqua" w:hAnsi="Book Antiqua"/>
          <w:i/>
          <w:iCs/>
        </w:rPr>
        <w:t>Clin Ther</w:t>
      </w:r>
      <w:r w:rsidRPr="005B2AA7">
        <w:rPr>
          <w:rFonts w:ascii="Book Antiqua" w:hAnsi="Book Antiqua"/>
        </w:rPr>
        <w:t xml:space="preserve"> 2010; </w:t>
      </w:r>
      <w:r w:rsidRPr="005B2AA7">
        <w:rPr>
          <w:rFonts w:ascii="Book Antiqua" w:hAnsi="Book Antiqua"/>
          <w:b/>
          <w:bCs/>
        </w:rPr>
        <w:t>32</w:t>
      </w:r>
      <w:r w:rsidRPr="005B2AA7">
        <w:rPr>
          <w:rFonts w:ascii="Book Antiqua" w:hAnsi="Book Antiqua"/>
        </w:rPr>
        <w:t>: 2304-2315 [PMID: 21353102 DOI: 10.1016/j.clinthera.2011.01.004]</w:t>
      </w:r>
    </w:p>
    <w:p w14:paraId="0D0DC8EF"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lastRenderedPageBreak/>
        <w:t xml:space="preserve">20 </w:t>
      </w:r>
      <w:r w:rsidRPr="005B2AA7">
        <w:rPr>
          <w:rFonts w:ascii="Book Antiqua" w:hAnsi="Book Antiqua"/>
          <w:b/>
          <w:bCs/>
        </w:rPr>
        <w:t>Lunney PC</w:t>
      </w:r>
      <w:r w:rsidRPr="005B2AA7">
        <w:rPr>
          <w:rFonts w:ascii="Book Antiqua" w:hAnsi="Book Antiqua"/>
        </w:rPr>
        <w:t xml:space="preserve">, Leong RW. Review article: Ulcerative colitis, smoking and nicotine therapy. </w:t>
      </w:r>
      <w:r w:rsidRPr="005B2AA7">
        <w:rPr>
          <w:rFonts w:ascii="Book Antiqua" w:hAnsi="Book Antiqua"/>
          <w:i/>
          <w:iCs/>
        </w:rPr>
        <w:t>Aliment Pharmacol Ther</w:t>
      </w:r>
      <w:r w:rsidRPr="005B2AA7">
        <w:rPr>
          <w:rFonts w:ascii="Book Antiqua" w:hAnsi="Book Antiqua"/>
        </w:rPr>
        <w:t xml:space="preserve"> 2012; </w:t>
      </w:r>
      <w:r w:rsidRPr="005B2AA7">
        <w:rPr>
          <w:rFonts w:ascii="Book Antiqua" w:hAnsi="Book Antiqua"/>
          <w:b/>
          <w:bCs/>
        </w:rPr>
        <w:t>36</w:t>
      </w:r>
      <w:r w:rsidRPr="005B2AA7">
        <w:rPr>
          <w:rFonts w:ascii="Book Antiqua" w:hAnsi="Book Antiqua"/>
        </w:rPr>
        <w:t>: 997-1008 [PMID: 23072629 DOI: 10.1111/apt.12086]</w:t>
      </w:r>
    </w:p>
    <w:p w14:paraId="64E21F09"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21 </w:t>
      </w:r>
      <w:r w:rsidRPr="005B2AA7">
        <w:rPr>
          <w:rFonts w:ascii="Book Antiqua" w:hAnsi="Book Antiqua"/>
          <w:b/>
          <w:bCs/>
        </w:rPr>
        <w:t>Calkins BM</w:t>
      </w:r>
      <w:r w:rsidRPr="005B2AA7">
        <w:rPr>
          <w:rFonts w:ascii="Book Antiqua" w:hAnsi="Book Antiqua"/>
        </w:rPr>
        <w:t xml:space="preserve">. A meta-analysis of the role of smoking in inflammatory bowel disease. </w:t>
      </w:r>
      <w:r w:rsidRPr="005B2AA7">
        <w:rPr>
          <w:rFonts w:ascii="Book Antiqua" w:hAnsi="Book Antiqua"/>
          <w:i/>
          <w:iCs/>
        </w:rPr>
        <w:t>Dig Dis Sci</w:t>
      </w:r>
      <w:r w:rsidRPr="005B2AA7">
        <w:rPr>
          <w:rFonts w:ascii="Book Antiqua" w:hAnsi="Book Antiqua"/>
        </w:rPr>
        <w:t xml:space="preserve"> 1989; </w:t>
      </w:r>
      <w:r w:rsidRPr="005B2AA7">
        <w:rPr>
          <w:rFonts w:ascii="Book Antiqua" w:hAnsi="Book Antiqua"/>
          <w:b/>
          <w:bCs/>
        </w:rPr>
        <w:t>34</w:t>
      </w:r>
      <w:r w:rsidRPr="005B2AA7">
        <w:rPr>
          <w:rFonts w:ascii="Book Antiqua" w:hAnsi="Book Antiqua"/>
        </w:rPr>
        <w:t>: 1841-1854 [PMID: 2598752]</w:t>
      </w:r>
    </w:p>
    <w:p w14:paraId="51CD8E89"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22 </w:t>
      </w:r>
      <w:r w:rsidRPr="005B2AA7">
        <w:rPr>
          <w:rFonts w:ascii="Book Antiqua" w:hAnsi="Book Antiqua"/>
          <w:b/>
          <w:bCs/>
        </w:rPr>
        <w:t>Shields PL</w:t>
      </w:r>
      <w:r w:rsidRPr="005B2AA7">
        <w:rPr>
          <w:rFonts w:ascii="Book Antiqua" w:hAnsi="Book Antiqua"/>
        </w:rPr>
        <w:t xml:space="preserve">, Low-Beer TS. Patients' awareness of adverse relation between Crohn's disease and their smoking: questionnaire survey. </w:t>
      </w:r>
      <w:r w:rsidRPr="005B2AA7">
        <w:rPr>
          <w:rFonts w:ascii="Book Antiqua" w:hAnsi="Book Antiqua"/>
          <w:i/>
          <w:iCs/>
        </w:rPr>
        <w:t>BMJ</w:t>
      </w:r>
      <w:r w:rsidRPr="005B2AA7">
        <w:rPr>
          <w:rFonts w:ascii="Book Antiqua" w:hAnsi="Book Antiqua"/>
        </w:rPr>
        <w:t xml:space="preserve"> 1996; </w:t>
      </w:r>
      <w:r w:rsidRPr="005B2AA7">
        <w:rPr>
          <w:rFonts w:ascii="Book Antiqua" w:hAnsi="Book Antiqua"/>
          <w:b/>
          <w:bCs/>
        </w:rPr>
        <w:t>313</w:t>
      </w:r>
      <w:r w:rsidRPr="005B2AA7">
        <w:rPr>
          <w:rFonts w:ascii="Book Antiqua" w:hAnsi="Book Antiqua"/>
        </w:rPr>
        <w:t>: 265-266 [PMID: 8704536]</w:t>
      </w:r>
    </w:p>
    <w:p w14:paraId="55E1F7AF"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23 </w:t>
      </w:r>
      <w:r w:rsidRPr="005B2AA7">
        <w:rPr>
          <w:rFonts w:ascii="Book Antiqua" w:hAnsi="Book Antiqua"/>
          <w:b/>
          <w:bCs/>
        </w:rPr>
        <w:t>Ryan WR</w:t>
      </w:r>
      <w:r w:rsidRPr="005B2AA7">
        <w:rPr>
          <w:rFonts w:ascii="Book Antiqua" w:hAnsi="Book Antiqua"/>
        </w:rPr>
        <w:t xml:space="preserve">, Ley C, Allan RN, Keighley MR. Patients with Crohn's disease are unaware of the risks that smoking has on their disease. </w:t>
      </w:r>
      <w:r w:rsidRPr="005B2AA7">
        <w:rPr>
          <w:rFonts w:ascii="Book Antiqua" w:hAnsi="Book Antiqua"/>
          <w:i/>
          <w:iCs/>
        </w:rPr>
        <w:t>J Gastrointest Surg</w:t>
      </w:r>
      <w:r w:rsidRPr="005B2AA7">
        <w:rPr>
          <w:rFonts w:ascii="Book Antiqua" w:hAnsi="Book Antiqua"/>
        </w:rPr>
        <w:t xml:space="preserve"> 2003; </w:t>
      </w:r>
      <w:r w:rsidRPr="005B2AA7">
        <w:rPr>
          <w:rFonts w:ascii="Book Antiqua" w:hAnsi="Book Antiqua"/>
          <w:b/>
          <w:bCs/>
        </w:rPr>
        <w:t>7</w:t>
      </w:r>
      <w:r w:rsidRPr="005B2AA7">
        <w:rPr>
          <w:rFonts w:ascii="Book Antiqua" w:hAnsi="Book Antiqua"/>
        </w:rPr>
        <w:t>: 706-711 [PMID: 12850686 DOI: 10.1016/s1091-255x(03)00066-0]</w:t>
      </w:r>
    </w:p>
    <w:p w14:paraId="58E7CD37"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24 </w:t>
      </w:r>
      <w:r w:rsidRPr="005B2AA7">
        <w:rPr>
          <w:rFonts w:ascii="Book Antiqua" w:hAnsi="Book Antiqua"/>
          <w:b/>
          <w:bCs/>
        </w:rPr>
        <w:t>van der Heide F</w:t>
      </w:r>
      <w:r w:rsidRPr="005B2AA7">
        <w:rPr>
          <w:rFonts w:ascii="Book Antiqua" w:hAnsi="Book Antiqua"/>
        </w:rPr>
        <w:t xml:space="preserve">, Dijkstra A, Albersnagel FA, Kleibeuker JH, Dijkstra G. Active and passive smoking behaviour and cessation plans of patients with Crohn's disease and ulcerative colitis. </w:t>
      </w:r>
      <w:r w:rsidRPr="005B2AA7">
        <w:rPr>
          <w:rFonts w:ascii="Book Antiqua" w:hAnsi="Book Antiqua"/>
          <w:i/>
          <w:iCs/>
        </w:rPr>
        <w:t>J Crohns Colitis</w:t>
      </w:r>
      <w:r w:rsidRPr="005B2AA7">
        <w:rPr>
          <w:rFonts w:ascii="Book Antiqua" w:hAnsi="Book Antiqua"/>
        </w:rPr>
        <w:t xml:space="preserve"> 2010; </w:t>
      </w:r>
      <w:r w:rsidRPr="005B2AA7">
        <w:rPr>
          <w:rFonts w:ascii="Book Antiqua" w:hAnsi="Book Antiqua"/>
          <w:b/>
          <w:bCs/>
        </w:rPr>
        <w:t>4</w:t>
      </w:r>
      <w:r w:rsidRPr="005B2AA7">
        <w:rPr>
          <w:rFonts w:ascii="Book Antiqua" w:hAnsi="Book Antiqua"/>
        </w:rPr>
        <w:t>: 125-131 [PMID: 21122495 DOI: 10.1016/j.crohns.2009.09.005]</w:t>
      </w:r>
    </w:p>
    <w:p w14:paraId="4FB88C40"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25 </w:t>
      </w:r>
      <w:r w:rsidRPr="005B2AA7">
        <w:rPr>
          <w:rFonts w:ascii="Book Antiqua" w:hAnsi="Book Antiqua"/>
          <w:b/>
          <w:bCs/>
        </w:rPr>
        <w:t>Wahed M</w:t>
      </w:r>
      <w:r w:rsidRPr="005B2AA7">
        <w:rPr>
          <w:rFonts w:ascii="Book Antiqua" w:hAnsi="Book Antiqua"/>
        </w:rPr>
        <w:t xml:space="preserve">, Goodhand JR, West O, McDermott A, Hajek P, Rampton DS. Tobacco dependence and awareness of health risks of smoking in patients with inflammatory bowel disease. </w:t>
      </w:r>
      <w:r w:rsidRPr="005B2AA7">
        <w:rPr>
          <w:rFonts w:ascii="Book Antiqua" w:hAnsi="Book Antiqua"/>
          <w:i/>
          <w:iCs/>
        </w:rPr>
        <w:t>Eur J Gastroenterol Hepatol</w:t>
      </w:r>
      <w:r w:rsidRPr="005B2AA7">
        <w:rPr>
          <w:rFonts w:ascii="Book Antiqua" w:hAnsi="Book Antiqua"/>
        </w:rPr>
        <w:t xml:space="preserve"> 2011; </w:t>
      </w:r>
      <w:r w:rsidRPr="005B2AA7">
        <w:rPr>
          <w:rFonts w:ascii="Book Antiqua" w:hAnsi="Book Antiqua"/>
          <w:b/>
          <w:bCs/>
        </w:rPr>
        <w:t>23</w:t>
      </w:r>
      <w:r w:rsidRPr="005B2AA7">
        <w:rPr>
          <w:rFonts w:ascii="Book Antiqua" w:hAnsi="Book Antiqua"/>
        </w:rPr>
        <w:t>: 90-94 [PMID: 21030867 DOI: 10.1097/MEG.0b013e32834108ce]</w:t>
      </w:r>
    </w:p>
    <w:p w14:paraId="75E941D9"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26 </w:t>
      </w:r>
      <w:r w:rsidRPr="005B2AA7">
        <w:rPr>
          <w:rFonts w:ascii="Book Antiqua" w:hAnsi="Book Antiqua"/>
          <w:b/>
          <w:bCs/>
        </w:rPr>
        <w:t>Ducharme-Bénard S</w:t>
      </w:r>
      <w:r w:rsidRPr="005B2AA7">
        <w:rPr>
          <w:rFonts w:ascii="Book Antiqua" w:hAnsi="Book Antiqua"/>
        </w:rPr>
        <w:t xml:space="preserve">, Côté-Daigneault J, Lemoyne M, Orlicka K, Lahaie R, Weber A, Bouin M. Patients With Inflammatory Bowel Disease Are Unaware of the Impact of Smoking on Their Disease. </w:t>
      </w:r>
      <w:r w:rsidRPr="005B2AA7">
        <w:rPr>
          <w:rFonts w:ascii="Book Antiqua" w:hAnsi="Book Antiqua"/>
          <w:i/>
          <w:iCs/>
        </w:rPr>
        <w:t>J Clin Gastroenterol</w:t>
      </w:r>
      <w:r w:rsidRPr="005B2AA7">
        <w:rPr>
          <w:rFonts w:ascii="Book Antiqua" w:hAnsi="Book Antiqua"/>
        </w:rPr>
        <w:t xml:space="preserve"> 2016; </w:t>
      </w:r>
      <w:r w:rsidRPr="005B2AA7">
        <w:rPr>
          <w:rFonts w:ascii="Book Antiqua" w:hAnsi="Book Antiqua"/>
          <w:b/>
          <w:bCs/>
        </w:rPr>
        <w:t>50</w:t>
      </w:r>
      <w:r w:rsidRPr="005B2AA7">
        <w:rPr>
          <w:rFonts w:ascii="Book Antiqua" w:hAnsi="Book Antiqua"/>
        </w:rPr>
        <w:t>: 490-497 [PMID: 26196475 DOI: 10.1097/MCG.0000000000000386]</w:t>
      </w:r>
    </w:p>
    <w:p w14:paraId="1090106E"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27 </w:t>
      </w:r>
      <w:r w:rsidRPr="005B2AA7">
        <w:rPr>
          <w:rFonts w:ascii="Book Antiqua" w:hAnsi="Book Antiqua"/>
          <w:b/>
          <w:bCs/>
        </w:rPr>
        <w:t>Saadoune N</w:t>
      </w:r>
      <w:r w:rsidRPr="005B2AA7">
        <w:rPr>
          <w:rFonts w:ascii="Book Antiqua" w:hAnsi="Book Antiqua"/>
        </w:rPr>
        <w:t xml:space="preserve">, Peyrin-Biroulet L, Baumann C, Bigard MA, Wirth N, Martinet Y, Peyrin-Biroulet C. Beliefs and behaviour about smoking among inflammatory bowel disease patients. </w:t>
      </w:r>
      <w:r w:rsidRPr="005B2AA7">
        <w:rPr>
          <w:rFonts w:ascii="Book Antiqua" w:hAnsi="Book Antiqua"/>
          <w:i/>
          <w:iCs/>
        </w:rPr>
        <w:t>Eur J Gastroenterol Hepatol</w:t>
      </w:r>
      <w:r w:rsidRPr="005B2AA7">
        <w:rPr>
          <w:rFonts w:ascii="Book Antiqua" w:hAnsi="Book Antiqua"/>
        </w:rPr>
        <w:t xml:space="preserve"> 2015; </w:t>
      </w:r>
      <w:r w:rsidRPr="005B2AA7">
        <w:rPr>
          <w:rFonts w:ascii="Book Antiqua" w:hAnsi="Book Antiqua"/>
          <w:b/>
          <w:bCs/>
        </w:rPr>
        <w:t>27</w:t>
      </w:r>
      <w:r w:rsidRPr="005B2AA7">
        <w:rPr>
          <w:rFonts w:ascii="Book Antiqua" w:hAnsi="Book Antiqua"/>
        </w:rPr>
        <w:t>: 797-803 [PMID: 25919776 DOI: 10.1097/MEG.0000000000000371]</w:t>
      </w:r>
    </w:p>
    <w:p w14:paraId="01D30356"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28 </w:t>
      </w:r>
      <w:r w:rsidRPr="005B2AA7">
        <w:rPr>
          <w:rFonts w:ascii="Book Antiqua" w:hAnsi="Book Antiqua"/>
          <w:b/>
          <w:bCs/>
        </w:rPr>
        <w:t>Jess T</w:t>
      </w:r>
      <w:r w:rsidRPr="005B2AA7">
        <w:rPr>
          <w:rFonts w:ascii="Book Antiqua" w:hAnsi="Book Antiqua"/>
        </w:rPr>
        <w:t xml:space="preserve">, Loftus EV Jr, Harmsen WS, Zinsmeister AR, Tremaine WJ, Melton LJ 3rd, Munkholm P, Sandborn WJ. Survival and cause specific mortality in patients with inflammatory bowel disease: a long term outcome study in </w:t>
      </w:r>
      <w:r w:rsidRPr="005B2AA7">
        <w:rPr>
          <w:rFonts w:ascii="Book Antiqua" w:hAnsi="Book Antiqua"/>
        </w:rPr>
        <w:lastRenderedPageBreak/>
        <w:t xml:space="preserve">Olmsted County, Minnesota, 1940-2004. </w:t>
      </w:r>
      <w:r w:rsidRPr="005B2AA7">
        <w:rPr>
          <w:rFonts w:ascii="Book Antiqua" w:hAnsi="Book Antiqua"/>
          <w:i/>
          <w:iCs/>
        </w:rPr>
        <w:t>Gut</w:t>
      </w:r>
      <w:r w:rsidRPr="005B2AA7">
        <w:rPr>
          <w:rFonts w:ascii="Book Antiqua" w:hAnsi="Book Antiqua"/>
        </w:rPr>
        <w:t xml:space="preserve"> 2006; </w:t>
      </w:r>
      <w:r w:rsidRPr="005B2AA7">
        <w:rPr>
          <w:rFonts w:ascii="Book Antiqua" w:hAnsi="Book Antiqua"/>
          <w:b/>
          <w:bCs/>
        </w:rPr>
        <w:t>55</w:t>
      </w:r>
      <w:r w:rsidRPr="005B2AA7">
        <w:rPr>
          <w:rFonts w:ascii="Book Antiqua" w:hAnsi="Book Antiqua"/>
        </w:rPr>
        <w:t>: 1248-1254 [PMID: 16423890 DOI: 10.1136/gut.2005.079350]</w:t>
      </w:r>
    </w:p>
    <w:p w14:paraId="1733B6A3"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29 </w:t>
      </w:r>
      <w:r w:rsidRPr="005B2AA7">
        <w:rPr>
          <w:rFonts w:ascii="Book Antiqua" w:hAnsi="Book Antiqua"/>
          <w:b/>
          <w:bCs/>
        </w:rPr>
        <w:t>Winther KV</w:t>
      </w:r>
      <w:r w:rsidRPr="005B2AA7">
        <w:rPr>
          <w:rFonts w:ascii="Book Antiqua" w:hAnsi="Book Antiqua"/>
        </w:rPr>
        <w:t xml:space="preserve">, Jess T, Langholz E, Munkholm P, Binder V. Survival and cause-specific mortality in ulcerative colitis: follow-up of a population-based cohort in Copenhagen County. </w:t>
      </w:r>
      <w:r w:rsidRPr="005B2AA7">
        <w:rPr>
          <w:rFonts w:ascii="Book Antiqua" w:hAnsi="Book Antiqua"/>
          <w:i/>
          <w:iCs/>
        </w:rPr>
        <w:t>Gastroenterology</w:t>
      </w:r>
      <w:r w:rsidRPr="005B2AA7">
        <w:rPr>
          <w:rFonts w:ascii="Book Antiqua" w:hAnsi="Book Antiqua"/>
        </w:rPr>
        <w:t xml:space="preserve"> 2003; </w:t>
      </w:r>
      <w:r w:rsidRPr="005B2AA7">
        <w:rPr>
          <w:rFonts w:ascii="Book Antiqua" w:hAnsi="Book Antiqua"/>
          <w:b/>
          <w:bCs/>
        </w:rPr>
        <w:t>125</w:t>
      </w:r>
      <w:r w:rsidRPr="005B2AA7">
        <w:rPr>
          <w:rFonts w:ascii="Book Antiqua" w:hAnsi="Book Antiqua"/>
        </w:rPr>
        <w:t>: 1576-1582 [PMID: 14724807 DOI: 10.1053/j.gastro.2003.09.036]</w:t>
      </w:r>
    </w:p>
    <w:p w14:paraId="35F24E21"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30 </w:t>
      </w:r>
      <w:r w:rsidRPr="005B2AA7">
        <w:rPr>
          <w:rFonts w:ascii="Book Antiqua" w:hAnsi="Book Antiqua"/>
          <w:b/>
          <w:bCs/>
        </w:rPr>
        <w:t>Masala G</w:t>
      </w:r>
      <w:r w:rsidRPr="005B2AA7">
        <w:rPr>
          <w:rFonts w:ascii="Book Antiqua" w:hAnsi="Book Antiqua"/>
        </w:rPr>
        <w:t xml:space="preserve">, Bagnoli S, Ceroti M, Saieva C, Trallori G, Zanna I, D'Albasio G, Palli D. Divergent patterns of total and cancer mortality in ulcerative colitis and Crohn's disease patients: the Florence IBD study 1978-2001. </w:t>
      </w:r>
      <w:r w:rsidRPr="005B2AA7">
        <w:rPr>
          <w:rFonts w:ascii="Book Antiqua" w:hAnsi="Book Antiqua"/>
          <w:i/>
          <w:iCs/>
        </w:rPr>
        <w:t>Gut</w:t>
      </w:r>
      <w:r w:rsidRPr="005B2AA7">
        <w:rPr>
          <w:rFonts w:ascii="Book Antiqua" w:hAnsi="Book Antiqua"/>
        </w:rPr>
        <w:t xml:space="preserve"> 2004; </w:t>
      </w:r>
      <w:r w:rsidRPr="005B2AA7">
        <w:rPr>
          <w:rFonts w:ascii="Book Antiqua" w:hAnsi="Book Antiqua"/>
          <w:b/>
          <w:bCs/>
        </w:rPr>
        <w:t>53</w:t>
      </w:r>
      <w:r w:rsidRPr="005B2AA7">
        <w:rPr>
          <w:rFonts w:ascii="Book Antiqua" w:hAnsi="Book Antiqua"/>
        </w:rPr>
        <w:t>: 1309-1313 [PMID: 15306591 DOI: 10.1136/gut.2003.031476]</w:t>
      </w:r>
    </w:p>
    <w:p w14:paraId="2BAC1A56"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31 </w:t>
      </w:r>
      <w:r w:rsidRPr="005B2AA7">
        <w:rPr>
          <w:rFonts w:ascii="Book Antiqua" w:hAnsi="Book Antiqua"/>
          <w:b/>
          <w:bCs/>
        </w:rPr>
        <w:t>Cosnes J</w:t>
      </w:r>
      <w:r w:rsidRPr="005B2AA7">
        <w:rPr>
          <w:rFonts w:ascii="Book Antiqua" w:hAnsi="Book Antiqua"/>
        </w:rPr>
        <w:t xml:space="preserve">, Carbonnel F, Beaugerie L, Le Quintrec Y, Gendre JP. Effects of cigarette smoking on the long-term course of Crohn's disease. </w:t>
      </w:r>
      <w:r w:rsidRPr="005B2AA7">
        <w:rPr>
          <w:rFonts w:ascii="Book Antiqua" w:hAnsi="Book Antiqua"/>
          <w:i/>
          <w:iCs/>
        </w:rPr>
        <w:t>Gastroenterology</w:t>
      </w:r>
      <w:r w:rsidRPr="005B2AA7">
        <w:rPr>
          <w:rFonts w:ascii="Book Antiqua" w:hAnsi="Book Antiqua"/>
        </w:rPr>
        <w:t xml:space="preserve"> 1996; </w:t>
      </w:r>
      <w:r w:rsidRPr="005B2AA7">
        <w:rPr>
          <w:rFonts w:ascii="Book Antiqua" w:hAnsi="Book Antiqua"/>
          <w:b/>
          <w:bCs/>
        </w:rPr>
        <w:t>110</w:t>
      </w:r>
      <w:r w:rsidRPr="005B2AA7">
        <w:rPr>
          <w:rFonts w:ascii="Book Antiqua" w:hAnsi="Book Antiqua"/>
        </w:rPr>
        <w:t>: 424-431 [PMID: 8566589 DOI: 10.1053/gast.1996.v110.pm8566589]</w:t>
      </w:r>
    </w:p>
    <w:p w14:paraId="047B20A0"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32 </w:t>
      </w:r>
      <w:r w:rsidRPr="005B2AA7">
        <w:rPr>
          <w:rFonts w:ascii="Book Antiqua" w:hAnsi="Book Antiqua"/>
          <w:b/>
          <w:bCs/>
        </w:rPr>
        <w:t>Nunes T</w:t>
      </w:r>
      <w:r w:rsidRPr="005B2AA7">
        <w:rPr>
          <w:rFonts w:ascii="Book Antiqua" w:hAnsi="Book Antiqua"/>
        </w:rPr>
        <w:t xml:space="preserve">, Etchevers MJ, Merino O, Gallego S, García-Sánchez V, Marín-Jiménez I, Menchén L, Barreiro-de Acosta M, Bastida G, García S, Gento E, Ginard D, Martí E, Gomollón F, Arroyo M, Monfort D, García-Planella E, Gonzalez B, Loras C, Agustí C, Figueroa C, Sans M; TABACROHN Study Group of GETECCU. High smoking cessation rate in Crohn's disease patients after physician advice--the TABACROHN Study. </w:t>
      </w:r>
      <w:r w:rsidRPr="005B2AA7">
        <w:rPr>
          <w:rFonts w:ascii="Book Antiqua" w:hAnsi="Book Antiqua"/>
          <w:i/>
          <w:iCs/>
        </w:rPr>
        <w:t>J Crohns Colitis</w:t>
      </w:r>
      <w:r w:rsidRPr="005B2AA7">
        <w:rPr>
          <w:rFonts w:ascii="Book Antiqua" w:hAnsi="Book Antiqua"/>
        </w:rPr>
        <w:t xml:space="preserve"> 2013; </w:t>
      </w:r>
      <w:r w:rsidRPr="005B2AA7">
        <w:rPr>
          <w:rFonts w:ascii="Book Antiqua" w:hAnsi="Book Antiqua"/>
          <w:b/>
          <w:bCs/>
        </w:rPr>
        <w:t>7</w:t>
      </w:r>
      <w:r w:rsidRPr="005B2AA7">
        <w:rPr>
          <w:rFonts w:ascii="Book Antiqua" w:hAnsi="Book Antiqua"/>
        </w:rPr>
        <w:t>: 202-207 [PMID: 22626507 DOI: 10.1016/j.crohns.2012.04.011]</w:t>
      </w:r>
    </w:p>
    <w:p w14:paraId="029F4344"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33 </w:t>
      </w:r>
      <w:r w:rsidRPr="005B2AA7">
        <w:rPr>
          <w:rFonts w:ascii="Book Antiqua" w:hAnsi="Book Antiqua"/>
          <w:b/>
          <w:bCs/>
        </w:rPr>
        <w:t>Hilsden RJ</w:t>
      </w:r>
      <w:r w:rsidRPr="005B2AA7">
        <w:rPr>
          <w:rFonts w:ascii="Book Antiqua" w:hAnsi="Book Antiqua"/>
        </w:rPr>
        <w:t xml:space="preserve">, Hodgins D, Czechowsky D, Verhoef MJ, Sutherland LR. Attitudes toward smoking and smoking behaviors of patients with Crohn's disease. </w:t>
      </w:r>
      <w:r w:rsidRPr="005B2AA7">
        <w:rPr>
          <w:rFonts w:ascii="Book Antiqua" w:hAnsi="Book Antiqua"/>
          <w:i/>
          <w:iCs/>
        </w:rPr>
        <w:t>Am J Gastroenterol</w:t>
      </w:r>
      <w:r w:rsidRPr="005B2AA7">
        <w:rPr>
          <w:rFonts w:ascii="Book Antiqua" w:hAnsi="Book Antiqua"/>
        </w:rPr>
        <w:t xml:space="preserve"> 2001; </w:t>
      </w:r>
      <w:r w:rsidRPr="005B2AA7">
        <w:rPr>
          <w:rFonts w:ascii="Book Antiqua" w:hAnsi="Book Antiqua"/>
          <w:b/>
          <w:bCs/>
        </w:rPr>
        <w:t>96</w:t>
      </w:r>
      <w:r w:rsidRPr="005B2AA7">
        <w:rPr>
          <w:rFonts w:ascii="Book Antiqua" w:hAnsi="Book Antiqua"/>
        </w:rPr>
        <w:t>: 1849-1853 [PMID: 11419838 DOI: 10.1111/j.1572-0241.2001.03882.x]</w:t>
      </w:r>
    </w:p>
    <w:p w14:paraId="32E43077"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34 </w:t>
      </w:r>
      <w:r w:rsidRPr="005B2AA7">
        <w:rPr>
          <w:rFonts w:ascii="Book Antiqua" w:hAnsi="Book Antiqua"/>
          <w:b/>
          <w:bCs/>
        </w:rPr>
        <w:t>Burisch J</w:t>
      </w:r>
      <w:r w:rsidRPr="005B2AA7">
        <w:rPr>
          <w:rFonts w:ascii="Book Antiqua" w:hAnsi="Book Antiqua"/>
        </w:rPr>
        <w:t>, Vardi H, Schwartz D, Friger M, Kiudelis G, Kup</w:t>
      </w:r>
      <w:r w:rsidRPr="005B2AA7">
        <w:rPr>
          <w:rFonts w:ascii="Book Antiqua" w:hAnsi="Book Antiqua" w:cs="Cambria"/>
        </w:rPr>
        <w:t>č</w:t>
      </w:r>
      <w:r w:rsidRPr="005B2AA7">
        <w:rPr>
          <w:rFonts w:ascii="Book Antiqua" w:hAnsi="Book Antiqua"/>
        </w:rPr>
        <w:t xml:space="preserve">inskas J, Fumery M, Gower-Rousseau C, Lakatos L, Lakatos PL, D'Incà R, Sartini A, Valpiani D, Giannotta M, Arebi N, Duricova D, Bortlik M, Chetcuti Zammit S, Ellul P, Pedersen N, Kjeldsen J, Midjord JMM, Nielsen KR, Winther Andersen K, Andersen V, Katsanos KH, Christodoulou DK, Domislovic V, Krznaric Z, Sebastian S, Oksanen P, Collin P, Barros L, Magro F, Salupere R, Kievit HAL, Goldis A, Kaimakliotis IP, Dahlerup JF, Eriksson C, Halfvarson J, Fernandez </w:t>
      </w:r>
      <w:r w:rsidRPr="005B2AA7">
        <w:rPr>
          <w:rFonts w:ascii="Book Antiqua" w:hAnsi="Book Antiqua"/>
        </w:rPr>
        <w:lastRenderedPageBreak/>
        <w:t xml:space="preserve">A, Hernandez V, Turcan S, Belousova E, Langholz E, Munkholm P, Odes S; Epi-IBD group. Health-care costs of inflammatory bowel disease in a pan-European, community-based, inception cohort during 5 years of follow-up: a population-based study. </w:t>
      </w:r>
      <w:r w:rsidRPr="005B2AA7">
        <w:rPr>
          <w:rFonts w:ascii="Book Antiqua" w:hAnsi="Book Antiqua"/>
          <w:i/>
          <w:iCs/>
        </w:rPr>
        <w:t>Lancet Gastroenterol Hepatol</w:t>
      </w:r>
      <w:r w:rsidRPr="005B2AA7">
        <w:rPr>
          <w:rFonts w:ascii="Book Antiqua" w:hAnsi="Book Antiqua"/>
        </w:rPr>
        <w:t xml:space="preserve"> 2020; </w:t>
      </w:r>
      <w:r w:rsidRPr="005B2AA7">
        <w:rPr>
          <w:rFonts w:ascii="Book Antiqua" w:hAnsi="Book Antiqua"/>
          <w:b/>
          <w:bCs/>
        </w:rPr>
        <w:t>5</w:t>
      </w:r>
      <w:r w:rsidRPr="005B2AA7">
        <w:rPr>
          <w:rFonts w:ascii="Book Antiqua" w:hAnsi="Book Antiqua"/>
        </w:rPr>
        <w:t>: 454-464 [PMID: 32061322 DOI: 10.1016/S2468-1253(20)30012-1]</w:t>
      </w:r>
    </w:p>
    <w:p w14:paraId="772417E0"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35 </w:t>
      </w:r>
      <w:r w:rsidRPr="005B2AA7">
        <w:rPr>
          <w:rFonts w:ascii="Book Antiqua" w:hAnsi="Book Antiqua"/>
          <w:b/>
          <w:bCs/>
        </w:rPr>
        <w:t>Chong C</w:t>
      </w:r>
      <w:r w:rsidRPr="005B2AA7">
        <w:rPr>
          <w:rFonts w:ascii="Book Antiqua" w:hAnsi="Book Antiqua"/>
        </w:rPr>
        <w:t xml:space="preserve">, Rahman A, Loonat K, Sagar RC, Selinger CP. Current smoking habits in British IBD patients in the age of e-cigarettes. </w:t>
      </w:r>
      <w:r w:rsidRPr="005B2AA7">
        <w:rPr>
          <w:rFonts w:ascii="Book Antiqua" w:hAnsi="Book Antiqua"/>
          <w:i/>
          <w:iCs/>
        </w:rPr>
        <w:t>BMJ Open Gastroenterol</w:t>
      </w:r>
      <w:r w:rsidRPr="005B2AA7">
        <w:rPr>
          <w:rFonts w:ascii="Book Antiqua" w:hAnsi="Book Antiqua"/>
        </w:rPr>
        <w:t xml:space="preserve"> 2019; </w:t>
      </w:r>
      <w:r w:rsidRPr="005B2AA7">
        <w:rPr>
          <w:rFonts w:ascii="Book Antiqua" w:hAnsi="Book Antiqua"/>
          <w:b/>
          <w:bCs/>
        </w:rPr>
        <w:t>6</w:t>
      </w:r>
      <w:r w:rsidRPr="005B2AA7">
        <w:rPr>
          <w:rFonts w:ascii="Book Antiqua" w:hAnsi="Book Antiqua"/>
        </w:rPr>
        <w:t>: e000309 [PMID: 31297234 DOI: 10.1136/bmjgast-2019-000309]</w:t>
      </w:r>
    </w:p>
    <w:p w14:paraId="3EB4EAA1" w14:textId="16721B1C"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36</w:t>
      </w:r>
      <w:r w:rsidR="00E74509" w:rsidRPr="005B2AA7">
        <w:rPr>
          <w:rFonts w:ascii="Book Antiqua" w:hAnsi="Book Antiqua"/>
        </w:rPr>
        <w:t xml:space="preserve"> </w:t>
      </w:r>
      <w:r w:rsidRPr="005B2AA7">
        <w:rPr>
          <w:rFonts w:ascii="Book Antiqua" w:hAnsi="Book Antiqua"/>
          <w:b/>
        </w:rPr>
        <w:t>Attitudes of Europeans Towards Tobacco</w:t>
      </w:r>
      <w:r w:rsidRPr="005B2AA7">
        <w:rPr>
          <w:rFonts w:ascii="Book Antiqua" w:hAnsi="Book Antiqua"/>
        </w:rPr>
        <w:t>. Belgium: European Commission; 2017. Available from: http://ec.europa.eu/COMMFrontOffice/PublicOpinion</w:t>
      </w:r>
    </w:p>
    <w:p w14:paraId="3D99FEE0"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37 </w:t>
      </w:r>
      <w:r w:rsidRPr="005B2AA7">
        <w:rPr>
          <w:rFonts w:ascii="Book Antiqua" w:hAnsi="Book Antiqua"/>
          <w:b/>
          <w:bCs/>
        </w:rPr>
        <w:t>Cooke A</w:t>
      </w:r>
      <w:r w:rsidRPr="005B2AA7">
        <w:rPr>
          <w:rFonts w:ascii="Book Antiqua" w:hAnsi="Book Antiqua"/>
        </w:rPr>
        <w:t xml:space="preserve">, Fergeson J, Bulkhi A, Casale TB. The Electronic Cigarette: The Good, the Bad, and the Ugly. </w:t>
      </w:r>
      <w:r w:rsidRPr="005B2AA7">
        <w:rPr>
          <w:rFonts w:ascii="Book Antiqua" w:hAnsi="Book Antiqua"/>
          <w:i/>
          <w:iCs/>
        </w:rPr>
        <w:t>J Allergy Clin Immunol Pract</w:t>
      </w:r>
      <w:r w:rsidRPr="005B2AA7">
        <w:rPr>
          <w:rFonts w:ascii="Book Antiqua" w:hAnsi="Book Antiqua"/>
        </w:rPr>
        <w:t xml:space="preserve"> 2015; </w:t>
      </w:r>
      <w:r w:rsidRPr="005B2AA7">
        <w:rPr>
          <w:rFonts w:ascii="Book Antiqua" w:hAnsi="Book Antiqua"/>
          <w:b/>
          <w:bCs/>
        </w:rPr>
        <w:t>3</w:t>
      </w:r>
      <w:r w:rsidRPr="005B2AA7">
        <w:rPr>
          <w:rFonts w:ascii="Book Antiqua" w:hAnsi="Book Antiqua"/>
        </w:rPr>
        <w:t>: 498-505 [PMID: 26164573 DOI: 10.1016/j.jaip.2015.05.022]</w:t>
      </w:r>
    </w:p>
    <w:p w14:paraId="57D3AFCA" w14:textId="77777777" w:rsidR="000F61C4" w:rsidRPr="005B2AA7" w:rsidRDefault="000F61C4" w:rsidP="00253009">
      <w:pPr>
        <w:pStyle w:val="af"/>
        <w:adjustRightInd w:val="0"/>
        <w:snapToGrid w:val="0"/>
        <w:spacing w:before="0" w:beforeAutospacing="0" w:after="0" w:afterAutospacing="0" w:line="360" w:lineRule="auto"/>
        <w:jc w:val="both"/>
        <w:rPr>
          <w:rFonts w:ascii="Book Antiqua" w:hAnsi="Book Antiqua"/>
        </w:rPr>
      </w:pPr>
      <w:r w:rsidRPr="005B2AA7">
        <w:rPr>
          <w:rFonts w:ascii="Book Antiqua" w:hAnsi="Book Antiqua"/>
        </w:rPr>
        <w:t xml:space="preserve">38 </w:t>
      </w:r>
      <w:r w:rsidRPr="005B2AA7">
        <w:rPr>
          <w:rFonts w:ascii="Book Antiqua" w:hAnsi="Book Antiqua"/>
          <w:b/>
          <w:bCs/>
        </w:rPr>
        <w:t>Fadus MC</w:t>
      </w:r>
      <w:r w:rsidRPr="005B2AA7">
        <w:rPr>
          <w:rFonts w:ascii="Book Antiqua" w:hAnsi="Book Antiqua"/>
        </w:rPr>
        <w:t xml:space="preserve">, Smith TT, Squeglia LM. The rise of e-cigarettes, pod mod devices, and JUUL among youth: Factors influencing use, health implications, and downstream effects. </w:t>
      </w:r>
      <w:r w:rsidRPr="005B2AA7">
        <w:rPr>
          <w:rFonts w:ascii="Book Antiqua" w:hAnsi="Book Antiqua"/>
          <w:i/>
          <w:iCs/>
        </w:rPr>
        <w:t>Drug Alcohol Depend</w:t>
      </w:r>
      <w:r w:rsidRPr="005B2AA7">
        <w:rPr>
          <w:rFonts w:ascii="Book Antiqua" w:hAnsi="Book Antiqua"/>
        </w:rPr>
        <w:t xml:space="preserve"> 2019; </w:t>
      </w:r>
      <w:r w:rsidRPr="005B2AA7">
        <w:rPr>
          <w:rFonts w:ascii="Book Antiqua" w:hAnsi="Book Antiqua"/>
          <w:b/>
          <w:bCs/>
        </w:rPr>
        <w:t>201</w:t>
      </w:r>
      <w:r w:rsidRPr="005B2AA7">
        <w:rPr>
          <w:rFonts w:ascii="Book Antiqua" w:hAnsi="Book Antiqua"/>
        </w:rPr>
        <w:t>: 85-93 [PMID: 31200279 DOI: 10.1016/j.drugalcdep.2019.04.011]</w:t>
      </w:r>
    </w:p>
    <w:bookmarkEnd w:id="35"/>
    <w:p w14:paraId="34CDBC6B" w14:textId="77777777" w:rsidR="00A812CC" w:rsidRPr="005B2AA7" w:rsidRDefault="00A812CC" w:rsidP="00253009">
      <w:pPr>
        <w:snapToGrid w:val="0"/>
        <w:spacing w:line="360" w:lineRule="auto"/>
        <w:jc w:val="both"/>
        <w:rPr>
          <w:rFonts w:ascii="Book Antiqua" w:hAnsi="Book Antiqua"/>
          <w:b/>
          <w:color w:val="000000"/>
          <w:u w:val="single"/>
        </w:rPr>
      </w:pPr>
      <w:r w:rsidRPr="005B2AA7">
        <w:rPr>
          <w:rFonts w:ascii="Book Antiqua" w:hAnsi="Book Antiqua"/>
          <w:b/>
          <w:color w:val="000000"/>
          <w:u w:val="single"/>
        </w:rPr>
        <w:br w:type="page"/>
      </w:r>
    </w:p>
    <w:p w14:paraId="7081E559" w14:textId="53C233CE" w:rsidR="000F61C4" w:rsidRPr="005B2AA7" w:rsidRDefault="000F61C4" w:rsidP="00253009">
      <w:pPr>
        <w:adjustRightInd w:val="0"/>
        <w:snapToGrid w:val="0"/>
        <w:spacing w:line="360" w:lineRule="auto"/>
        <w:jc w:val="both"/>
        <w:rPr>
          <w:rFonts w:ascii="Book Antiqua" w:hAnsi="Book Antiqua" w:cs="Times New Roman"/>
          <w:b/>
          <w:lang w:val="en-US"/>
        </w:rPr>
      </w:pPr>
      <w:r w:rsidRPr="005B2AA7">
        <w:rPr>
          <w:rFonts w:ascii="Book Antiqua" w:hAnsi="Book Antiqua"/>
          <w:b/>
        </w:rPr>
        <w:lastRenderedPageBreak/>
        <w:t>Footnotes</w:t>
      </w:r>
    </w:p>
    <w:p w14:paraId="21DB52A4" w14:textId="1CEF83AE" w:rsidR="002F10D5" w:rsidRPr="005B2AA7" w:rsidRDefault="002F10D5" w:rsidP="00253009">
      <w:pPr>
        <w:adjustRightInd w:val="0"/>
        <w:snapToGrid w:val="0"/>
        <w:spacing w:line="360" w:lineRule="auto"/>
        <w:jc w:val="both"/>
        <w:rPr>
          <w:rFonts w:ascii="Book Antiqua" w:hAnsi="Book Antiqua" w:cs="Times New Roman"/>
          <w:lang w:val="en-US"/>
        </w:rPr>
      </w:pPr>
      <w:r w:rsidRPr="005B2AA7">
        <w:rPr>
          <w:rFonts w:ascii="Book Antiqua" w:hAnsi="Book Antiqua"/>
          <w:b/>
          <w:color w:val="000000"/>
        </w:rPr>
        <w:t>Institutional review board statement</w:t>
      </w:r>
      <w:r w:rsidRPr="005B2AA7">
        <w:rPr>
          <w:rFonts w:ascii="Book Antiqua" w:hAnsi="Book Antiqua"/>
          <w:b/>
          <w:bCs/>
          <w:iCs/>
          <w:color w:val="000000"/>
        </w:rPr>
        <w:t xml:space="preserve">: </w:t>
      </w:r>
      <w:r w:rsidRPr="005B2AA7">
        <w:rPr>
          <w:rFonts w:ascii="Book Antiqua" w:hAnsi="Book Antiqua" w:cs="Times New Roman"/>
          <w:lang w:val="en-US"/>
        </w:rPr>
        <w:t>An institutional review board statement is not necessary for this study as this is a survey.</w:t>
      </w:r>
    </w:p>
    <w:p w14:paraId="380B3ACB" w14:textId="77777777" w:rsidR="002F10D5" w:rsidRPr="005B2AA7" w:rsidRDefault="002F10D5" w:rsidP="00253009">
      <w:pPr>
        <w:adjustRightInd w:val="0"/>
        <w:snapToGrid w:val="0"/>
        <w:spacing w:line="360" w:lineRule="auto"/>
        <w:jc w:val="both"/>
        <w:rPr>
          <w:rFonts w:ascii="Book Antiqua" w:hAnsi="Book Antiqua" w:cs="Times New Roman"/>
          <w:b/>
          <w:lang w:val="en-US"/>
        </w:rPr>
      </w:pPr>
    </w:p>
    <w:p w14:paraId="4F27C5DD" w14:textId="4598F16E" w:rsidR="000F61C4" w:rsidRPr="005B2AA7" w:rsidRDefault="000F61C4" w:rsidP="00253009">
      <w:pPr>
        <w:adjustRightInd w:val="0"/>
        <w:snapToGrid w:val="0"/>
        <w:spacing w:line="360" w:lineRule="auto"/>
        <w:jc w:val="both"/>
        <w:rPr>
          <w:rFonts w:ascii="Book Antiqua" w:hAnsi="Book Antiqua" w:cs="Times New Roman"/>
          <w:lang w:val="en-US"/>
        </w:rPr>
      </w:pPr>
      <w:r w:rsidRPr="005B2AA7">
        <w:rPr>
          <w:rFonts w:ascii="Book Antiqua" w:hAnsi="Book Antiqua"/>
          <w:b/>
          <w:color w:val="000000"/>
        </w:rPr>
        <w:t>Informed consent statement</w:t>
      </w:r>
      <w:r w:rsidRPr="005B2AA7">
        <w:rPr>
          <w:rFonts w:ascii="Book Antiqua" w:hAnsi="Book Antiqua"/>
          <w:b/>
          <w:bCs/>
          <w:iCs/>
          <w:color w:val="000000"/>
        </w:rPr>
        <w:t xml:space="preserve">: </w:t>
      </w:r>
      <w:r w:rsidR="002F10D5" w:rsidRPr="005B2AA7">
        <w:rPr>
          <w:rFonts w:ascii="Book Antiqua" w:hAnsi="Book Antiqua" w:cs="Times New Roman"/>
          <w:lang w:val="en-US"/>
        </w:rPr>
        <w:t>This was an online survey. Before answering the questions, patients were informed of the objectives of the study and gave their consent online.</w:t>
      </w:r>
    </w:p>
    <w:p w14:paraId="71B047FD" w14:textId="77777777" w:rsidR="000F61C4" w:rsidRPr="005B2AA7" w:rsidRDefault="000F61C4" w:rsidP="00253009">
      <w:pPr>
        <w:adjustRightInd w:val="0"/>
        <w:snapToGrid w:val="0"/>
        <w:spacing w:line="360" w:lineRule="auto"/>
        <w:jc w:val="both"/>
        <w:rPr>
          <w:rFonts w:ascii="Book Antiqua" w:hAnsi="Book Antiqua"/>
          <w:b/>
          <w:color w:val="000000"/>
        </w:rPr>
      </w:pPr>
    </w:p>
    <w:p w14:paraId="6E5434E3" w14:textId="77777777" w:rsidR="000F61C4" w:rsidRPr="005B2AA7" w:rsidRDefault="00A2169F"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b/>
          <w:lang w:val="en-US"/>
        </w:rPr>
        <w:t>Conflict-of-interest statement:</w:t>
      </w:r>
      <w:r w:rsidRPr="005B2AA7">
        <w:rPr>
          <w:rFonts w:ascii="Book Antiqua" w:hAnsi="Book Antiqua" w:cs="Times New Roman"/>
          <w:lang w:val="en-US"/>
        </w:rPr>
        <w:t xml:space="preserve"> The authors declare no conflicts of interest relevant to this work. </w:t>
      </w:r>
    </w:p>
    <w:p w14:paraId="337E7F85" w14:textId="35FAB73B" w:rsidR="00A2169F" w:rsidRPr="005B2AA7" w:rsidRDefault="00A2169F"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lang w:val="en-US"/>
        </w:rPr>
        <w:t xml:space="preserve"> </w:t>
      </w:r>
    </w:p>
    <w:p w14:paraId="56ED2FE4" w14:textId="77777777" w:rsidR="000F61C4" w:rsidRPr="005B2AA7" w:rsidRDefault="000F61C4" w:rsidP="00253009">
      <w:pPr>
        <w:autoSpaceDE w:val="0"/>
        <w:autoSpaceDN w:val="0"/>
        <w:adjustRightInd w:val="0"/>
        <w:snapToGrid w:val="0"/>
        <w:spacing w:line="360" w:lineRule="auto"/>
        <w:jc w:val="both"/>
        <w:rPr>
          <w:rFonts w:ascii="Book Antiqua" w:hAnsi="Book Antiqua"/>
          <w:color w:val="000000"/>
        </w:rPr>
      </w:pPr>
      <w:r w:rsidRPr="005B2AA7">
        <w:rPr>
          <w:rFonts w:ascii="Book Antiqua" w:hAnsi="Book Antiqua"/>
          <w:b/>
          <w:color w:val="000000"/>
        </w:rPr>
        <w:t>Data sharing statement</w:t>
      </w:r>
      <w:r w:rsidRPr="005B2AA7">
        <w:rPr>
          <w:rFonts w:ascii="Book Antiqua" w:hAnsi="Book Antiqua" w:cs="TimesNewRomanPS-BoldItalicMT"/>
          <w:b/>
          <w:bCs/>
          <w:iCs/>
          <w:color w:val="000000"/>
        </w:rPr>
        <w:t>:</w:t>
      </w:r>
      <w:r w:rsidRPr="005B2AA7">
        <w:rPr>
          <w:rFonts w:ascii="Book Antiqua" w:eastAsia="Times New Roman" w:hAnsi="Book Antiqua"/>
          <w:color w:val="000000"/>
        </w:rPr>
        <w:t xml:space="preserve"> </w:t>
      </w:r>
      <w:r w:rsidRPr="005B2AA7">
        <w:rPr>
          <w:rFonts w:ascii="Book Antiqua" w:hAnsi="Book Antiqua"/>
          <w:bCs/>
          <w:iCs/>
          <w:color w:val="000000"/>
        </w:rPr>
        <w:t>No additional data are available.</w:t>
      </w:r>
    </w:p>
    <w:p w14:paraId="16EEDD5F" w14:textId="77777777" w:rsidR="00A2169F" w:rsidRPr="005B2AA7" w:rsidRDefault="00A2169F" w:rsidP="00253009">
      <w:pPr>
        <w:adjustRightInd w:val="0"/>
        <w:snapToGrid w:val="0"/>
        <w:spacing w:line="360" w:lineRule="auto"/>
        <w:jc w:val="both"/>
        <w:rPr>
          <w:rFonts w:ascii="Book Antiqua" w:hAnsi="Book Antiqua" w:cs="Times New Roman"/>
        </w:rPr>
      </w:pPr>
    </w:p>
    <w:p w14:paraId="64AF46FF" w14:textId="2C5FB090" w:rsidR="00A2169F" w:rsidRPr="005B2AA7" w:rsidRDefault="00A2169F" w:rsidP="00253009">
      <w:pPr>
        <w:adjustRightInd w:val="0"/>
        <w:snapToGrid w:val="0"/>
        <w:spacing w:line="360" w:lineRule="auto"/>
        <w:jc w:val="both"/>
        <w:rPr>
          <w:rFonts w:ascii="Book Antiqua" w:hAnsi="Book Antiqua" w:cs="Times New Roman"/>
          <w:lang w:val="en-US"/>
        </w:rPr>
      </w:pPr>
      <w:r w:rsidRPr="005B2AA7">
        <w:rPr>
          <w:rFonts w:ascii="Book Antiqua" w:hAnsi="Book Antiqua" w:cs="Times New Roman"/>
          <w:b/>
          <w:lang w:val="en-US"/>
        </w:rPr>
        <w:t>STROBE statement:</w:t>
      </w:r>
      <w:r w:rsidRPr="005B2AA7">
        <w:rPr>
          <w:rFonts w:ascii="Book Antiqua" w:hAnsi="Book Antiqua" w:cs="Times New Roman"/>
          <w:lang w:val="en-US"/>
        </w:rPr>
        <w:t xml:space="preserve"> The authors have read the STROBE Statement checklist of items, and the manuscript was prepared and revised according to the STROBE Statement checklist of items.</w:t>
      </w:r>
    </w:p>
    <w:p w14:paraId="6E054353" w14:textId="5AF4BE23" w:rsidR="002F10D5" w:rsidRPr="005B2AA7" w:rsidRDefault="002F10D5" w:rsidP="00253009">
      <w:pPr>
        <w:adjustRightInd w:val="0"/>
        <w:snapToGrid w:val="0"/>
        <w:spacing w:line="360" w:lineRule="auto"/>
        <w:jc w:val="both"/>
        <w:rPr>
          <w:rFonts w:ascii="Book Antiqua" w:hAnsi="Book Antiqua" w:cs="Times New Roman"/>
          <w:lang w:val="en-US"/>
        </w:rPr>
      </w:pPr>
    </w:p>
    <w:p w14:paraId="7F4361C5" w14:textId="5A0C0321" w:rsidR="002F10D5" w:rsidRPr="005B2AA7" w:rsidRDefault="002F10D5" w:rsidP="00253009">
      <w:pPr>
        <w:adjustRightInd w:val="0"/>
        <w:snapToGrid w:val="0"/>
        <w:spacing w:line="360" w:lineRule="auto"/>
        <w:jc w:val="both"/>
        <w:rPr>
          <w:rFonts w:ascii="Book Antiqua" w:hAnsi="Book Antiqua"/>
        </w:rPr>
      </w:pPr>
      <w:r w:rsidRPr="005B2AA7">
        <w:rPr>
          <w:rFonts w:ascii="Book Antiqua" w:hAnsi="Book Antiqua"/>
          <w:b/>
          <w:color w:val="000000"/>
        </w:rPr>
        <w:t>Open-Access:</w:t>
      </w:r>
      <w:r w:rsidRPr="005B2AA7">
        <w:rPr>
          <w:rFonts w:ascii="Book Antiqua" w:hAnsi="Book Antiqua"/>
          <w:color w:val="000000"/>
        </w:rPr>
        <w:t xml:space="preserve"> This article is an open-access </w:t>
      </w:r>
      <w:r w:rsidRPr="005B2AA7">
        <w:rPr>
          <w:rFonts w:ascii="Book Antiqua" w:hAnsi="Book Antiqua"/>
        </w:rPr>
        <w:t xml:space="preserve">article that was selected </w:t>
      </w:r>
      <w:r w:rsidRPr="005B2AA7">
        <w:rPr>
          <w:rFonts w:ascii="Book Antiqua" w:hAnsi="Book Antiqua"/>
          <w:color w:val="000000"/>
        </w:rPr>
        <w:t xml:space="preserve">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hyperlink r:id="rId15" w:history="1">
        <w:r w:rsidRPr="005B2AA7">
          <w:rPr>
            <w:rFonts w:ascii="Book Antiqua" w:eastAsia="宋体" w:hAnsi="Book Antiqua" w:cs="Times New Roman"/>
            <w:color w:val="000000"/>
            <w:kern w:val="2"/>
            <w:lang w:val="en-US" w:eastAsia="zh-CN"/>
          </w:rPr>
          <w:t>http://creativecommons.org/licenses/by-nc/4.0/</w:t>
        </w:r>
      </w:hyperlink>
    </w:p>
    <w:p w14:paraId="686F4DF9" w14:textId="6AD73172" w:rsidR="002F10D5" w:rsidRPr="005B2AA7" w:rsidRDefault="002F10D5" w:rsidP="00253009">
      <w:pPr>
        <w:adjustRightInd w:val="0"/>
        <w:snapToGrid w:val="0"/>
        <w:spacing w:line="360" w:lineRule="auto"/>
        <w:jc w:val="both"/>
        <w:rPr>
          <w:rFonts w:ascii="Book Antiqua" w:hAnsi="Book Antiqua"/>
          <w:color w:val="000000"/>
        </w:rPr>
      </w:pPr>
    </w:p>
    <w:p w14:paraId="386D5188" w14:textId="5E827420" w:rsidR="002F10D5" w:rsidRPr="005B2AA7" w:rsidRDefault="002F10D5" w:rsidP="00253009">
      <w:pPr>
        <w:adjustRightInd w:val="0"/>
        <w:snapToGrid w:val="0"/>
        <w:spacing w:line="360" w:lineRule="auto"/>
        <w:jc w:val="both"/>
        <w:rPr>
          <w:rFonts w:ascii="Book Antiqua" w:hAnsi="Book Antiqua"/>
          <w:bCs/>
          <w:color w:val="000000"/>
          <w:lang w:eastAsia="pl-PL"/>
        </w:rPr>
      </w:pPr>
      <w:r w:rsidRPr="005B2AA7">
        <w:rPr>
          <w:rFonts w:ascii="Book Antiqua" w:hAnsi="Book Antiqua"/>
          <w:b/>
          <w:bCs/>
          <w:color w:val="000000"/>
          <w:lang w:eastAsia="pl-PL"/>
        </w:rPr>
        <w:t>Manuscript source:</w:t>
      </w:r>
      <w:r w:rsidRPr="005B2AA7">
        <w:rPr>
          <w:rFonts w:ascii="Book Antiqua" w:hAnsi="Book Antiqua"/>
          <w:b/>
          <w:bCs/>
          <w:color w:val="000000"/>
        </w:rPr>
        <w:t xml:space="preserve"> </w:t>
      </w:r>
      <w:r w:rsidRPr="005B2AA7">
        <w:rPr>
          <w:rFonts w:ascii="Book Antiqua" w:hAnsi="Book Antiqua"/>
          <w:bCs/>
          <w:color w:val="000000"/>
          <w:lang w:eastAsia="pl-PL"/>
        </w:rPr>
        <w:t>Unsolicited manuscript</w:t>
      </w:r>
    </w:p>
    <w:p w14:paraId="4DADCC29" w14:textId="1F7E2740" w:rsidR="002F10D5" w:rsidRPr="005B2AA7" w:rsidRDefault="002F10D5" w:rsidP="00253009">
      <w:pPr>
        <w:adjustRightInd w:val="0"/>
        <w:snapToGrid w:val="0"/>
        <w:spacing w:line="360" w:lineRule="auto"/>
        <w:jc w:val="both"/>
        <w:rPr>
          <w:rFonts w:ascii="Book Antiqua" w:hAnsi="Book Antiqua"/>
          <w:bCs/>
          <w:color w:val="000000"/>
          <w:lang w:eastAsia="pl-PL"/>
        </w:rPr>
      </w:pPr>
    </w:p>
    <w:p w14:paraId="37C76A3A" w14:textId="4F565603" w:rsidR="002F10D5" w:rsidRPr="005B2AA7" w:rsidRDefault="002F10D5" w:rsidP="00253009">
      <w:pPr>
        <w:adjustRightInd w:val="0"/>
        <w:snapToGrid w:val="0"/>
        <w:spacing w:line="360" w:lineRule="auto"/>
        <w:jc w:val="both"/>
        <w:rPr>
          <w:rFonts w:ascii="Book Antiqua" w:hAnsi="Book Antiqua"/>
          <w:b/>
        </w:rPr>
      </w:pPr>
      <w:r w:rsidRPr="005B2AA7">
        <w:rPr>
          <w:rFonts w:ascii="Book Antiqua" w:hAnsi="Book Antiqua"/>
          <w:b/>
        </w:rPr>
        <w:t xml:space="preserve">Peer-review started: </w:t>
      </w:r>
      <w:r w:rsidR="000B40FA" w:rsidRPr="005B2AA7">
        <w:rPr>
          <w:rFonts w:ascii="Book Antiqua" w:hAnsi="Book Antiqua"/>
        </w:rPr>
        <w:t xml:space="preserve">April </w:t>
      </w:r>
      <w:r w:rsidR="000B40FA" w:rsidRPr="005B2AA7">
        <w:rPr>
          <w:rFonts w:ascii="Book Antiqua" w:hAnsi="Book Antiqua"/>
          <w:lang w:eastAsia="zh-CN"/>
        </w:rPr>
        <w:t>29</w:t>
      </w:r>
      <w:r w:rsidRPr="005B2AA7">
        <w:rPr>
          <w:rFonts w:ascii="Book Antiqua" w:hAnsi="Book Antiqua"/>
        </w:rPr>
        <w:t>, 20</w:t>
      </w:r>
      <w:r w:rsidR="002632AE" w:rsidRPr="005B2AA7">
        <w:rPr>
          <w:rFonts w:ascii="Book Antiqua" w:hAnsi="Book Antiqua"/>
          <w:lang w:eastAsia="zh-CN"/>
        </w:rPr>
        <w:t>20</w:t>
      </w:r>
    </w:p>
    <w:p w14:paraId="7842F322" w14:textId="4B8AE655" w:rsidR="002F10D5" w:rsidRPr="005B2AA7" w:rsidRDefault="002F10D5" w:rsidP="00253009">
      <w:pPr>
        <w:adjustRightInd w:val="0"/>
        <w:snapToGrid w:val="0"/>
        <w:spacing w:line="360" w:lineRule="auto"/>
        <w:jc w:val="both"/>
        <w:rPr>
          <w:rFonts w:ascii="Book Antiqua" w:hAnsi="Book Antiqua"/>
          <w:b/>
        </w:rPr>
      </w:pPr>
      <w:r w:rsidRPr="005B2AA7">
        <w:rPr>
          <w:rFonts w:ascii="Book Antiqua" w:hAnsi="Book Antiqua"/>
          <w:b/>
        </w:rPr>
        <w:t xml:space="preserve">First decision: </w:t>
      </w:r>
      <w:r w:rsidR="000B40FA" w:rsidRPr="005B2AA7">
        <w:rPr>
          <w:rFonts w:ascii="Book Antiqua" w:hAnsi="Book Antiqua"/>
        </w:rPr>
        <w:t>M</w:t>
      </w:r>
      <w:r w:rsidR="000B40FA" w:rsidRPr="005B2AA7">
        <w:rPr>
          <w:rFonts w:ascii="Book Antiqua" w:hAnsi="Book Antiqua"/>
          <w:lang w:eastAsia="zh-CN"/>
        </w:rPr>
        <w:t>ay</w:t>
      </w:r>
      <w:r w:rsidRPr="005B2AA7">
        <w:rPr>
          <w:rFonts w:ascii="Book Antiqua" w:hAnsi="Book Antiqua"/>
        </w:rPr>
        <w:t xml:space="preserve"> 13, 20</w:t>
      </w:r>
      <w:r w:rsidR="000B40FA" w:rsidRPr="005B2AA7">
        <w:rPr>
          <w:rFonts w:ascii="Book Antiqua" w:hAnsi="Book Antiqua"/>
          <w:lang w:eastAsia="zh-CN"/>
        </w:rPr>
        <w:t>20</w:t>
      </w:r>
    </w:p>
    <w:p w14:paraId="3B7644CE" w14:textId="0B75D73E" w:rsidR="002F10D5" w:rsidRPr="005B2AA7" w:rsidRDefault="002F10D5" w:rsidP="00253009">
      <w:pPr>
        <w:adjustRightInd w:val="0"/>
        <w:snapToGrid w:val="0"/>
        <w:spacing w:line="360" w:lineRule="auto"/>
        <w:jc w:val="both"/>
        <w:rPr>
          <w:rFonts w:ascii="Book Antiqua" w:hAnsi="Book Antiqua"/>
          <w:b/>
        </w:rPr>
      </w:pPr>
      <w:r w:rsidRPr="005B2AA7">
        <w:rPr>
          <w:rFonts w:ascii="Book Antiqua" w:hAnsi="Book Antiqua"/>
          <w:b/>
        </w:rPr>
        <w:t>Article in press:</w:t>
      </w:r>
      <w:r w:rsidR="0042481F" w:rsidRPr="005B2AA7">
        <w:rPr>
          <w:rFonts w:ascii="Book Antiqua" w:hAnsi="Book Antiqua"/>
          <w:b/>
          <w:color w:val="000000"/>
        </w:rPr>
        <w:t xml:space="preserve"> </w:t>
      </w:r>
      <w:r w:rsidR="0042481F" w:rsidRPr="005B2AA7">
        <w:rPr>
          <w:rFonts w:ascii="Book Antiqua" w:hAnsi="Book Antiqua" w:cs="Arial"/>
          <w:color w:val="000000" w:themeColor="text1"/>
          <w:shd w:val="clear" w:color="auto" w:fill="FFFFFF"/>
        </w:rPr>
        <w:t>July 22, 2020</w:t>
      </w:r>
    </w:p>
    <w:p w14:paraId="5AB8EC1B" w14:textId="77777777" w:rsidR="002F10D5" w:rsidRPr="005B2AA7" w:rsidRDefault="002F10D5" w:rsidP="00253009">
      <w:pPr>
        <w:adjustRightInd w:val="0"/>
        <w:snapToGrid w:val="0"/>
        <w:spacing w:line="360" w:lineRule="auto"/>
        <w:jc w:val="both"/>
        <w:rPr>
          <w:rFonts w:ascii="Book Antiqua" w:hAnsi="Book Antiqua"/>
          <w:b/>
        </w:rPr>
      </w:pPr>
    </w:p>
    <w:p w14:paraId="40424E6A" w14:textId="77777777" w:rsidR="002F10D5" w:rsidRPr="005B2AA7" w:rsidRDefault="002F10D5" w:rsidP="00253009">
      <w:pPr>
        <w:adjustRightInd w:val="0"/>
        <w:snapToGrid w:val="0"/>
        <w:spacing w:line="360" w:lineRule="auto"/>
        <w:jc w:val="both"/>
        <w:rPr>
          <w:rFonts w:ascii="Book Antiqua" w:eastAsia="微软雅黑" w:hAnsi="Book Antiqua" w:cs="宋体"/>
        </w:rPr>
      </w:pPr>
      <w:r w:rsidRPr="005B2AA7">
        <w:rPr>
          <w:rFonts w:ascii="Book Antiqua" w:hAnsi="Book Antiqua" w:cs="宋体"/>
          <w:b/>
        </w:rPr>
        <w:lastRenderedPageBreak/>
        <w:t xml:space="preserve">Specialty type: </w:t>
      </w:r>
      <w:r w:rsidRPr="005B2AA7">
        <w:rPr>
          <w:rFonts w:ascii="Book Antiqua" w:eastAsia="微软雅黑" w:hAnsi="Book Antiqua" w:cs="宋体"/>
        </w:rPr>
        <w:t>Gastroenterology and hepatology</w:t>
      </w:r>
    </w:p>
    <w:p w14:paraId="498EE5BF" w14:textId="214B6ED4" w:rsidR="002F10D5" w:rsidRPr="005B2AA7" w:rsidRDefault="002F10D5" w:rsidP="00253009">
      <w:pPr>
        <w:adjustRightInd w:val="0"/>
        <w:snapToGrid w:val="0"/>
        <w:spacing w:line="360" w:lineRule="auto"/>
        <w:jc w:val="both"/>
        <w:rPr>
          <w:rFonts w:ascii="Book Antiqua" w:eastAsia="微软雅黑" w:hAnsi="Book Antiqua" w:cs="宋体"/>
        </w:rPr>
      </w:pPr>
      <w:r w:rsidRPr="005B2AA7">
        <w:rPr>
          <w:rFonts w:ascii="Book Antiqua" w:hAnsi="Book Antiqua" w:cs="宋体"/>
          <w:b/>
        </w:rPr>
        <w:t>Country/Territory of origin:</w:t>
      </w:r>
      <w:r w:rsidRPr="005B2AA7">
        <w:rPr>
          <w:rFonts w:ascii="Book Antiqua" w:eastAsia="微软雅黑" w:hAnsi="Book Antiqua" w:cs="宋体"/>
        </w:rPr>
        <w:t xml:space="preserve"> France</w:t>
      </w:r>
    </w:p>
    <w:p w14:paraId="4F828FC0" w14:textId="5F39DAE1" w:rsidR="002F10D5" w:rsidRPr="005B2AA7" w:rsidRDefault="002F10D5" w:rsidP="00253009">
      <w:pPr>
        <w:adjustRightInd w:val="0"/>
        <w:snapToGrid w:val="0"/>
        <w:spacing w:line="360" w:lineRule="auto"/>
        <w:jc w:val="both"/>
        <w:rPr>
          <w:rFonts w:ascii="Book Antiqua" w:hAnsi="Book Antiqua" w:cs="宋体"/>
          <w:b/>
        </w:rPr>
      </w:pPr>
      <w:r w:rsidRPr="005B2AA7">
        <w:rPr>
          <w:rFonts w:ascii="Book Antiqua" w:hAnsi="Book Antiqua" w:cs="宋体"/>
          <w:b/>
        </w:rPr>
        <w:t>Peer-review report’s scientific quality classification</w:t>
      </w:r>
    </w:p>
    <w:p w14:paraId="5ED186E6" w14:textId="77777777" w:rsidR="002F10D5" w:rsidRPr="005B2AA7" w:rsidRDefault="002F10D5" w:rsidP="00253009">
      <w:pPr>
        <w:adjustRightInd w:val="0"/>
        <w:snapToGrid w:val="0"/>
        <w:spacing w:line="360" w:lineRule="auto"/>
        <w:jc w:val="both"/>
        <w:rPr>
          <w:rFonts w:ascii="Book Antiqua" w:hAnsi="Book Antiqua" w:cs="宋体"/>
        </w:rPr>
      </w:pPr>
      <w:r w:rsidRPr="005B2AA7">
        <w:rPr>
          <w:rFonts w:ascii="Book Antiqua" w:hAnsi="Book Antiqua" w:cs="宋体"/>
        </w:rPr>
        <w:t>Grade A (Excellent): 0</w:t>
      </w:r>
    </w:p>
    <w:p w14:paraId="273110B4" w14:textId="77777777" w:rsidR="002F10D5" w:rsidRPr="005B2AA7" w:rsidRDefault="002F10D5" w:rsidP="00253009">
      <w:pPr>
        <w:adjustRightInd w:val="0"/>
        <w:snapToGrid w:val="0"/>
        <w:spacing w:line="360" w:lineRule="auto"/>
        <w:jc w:val="both"/>
        <w:rPr>
          <w:rFonts w:ascii="Book Antiqua" w:hAnsi="Book Antiqua" w:cs="宋体"/>
        </w:rPr>
      </w:pPr>
      <w:r w:rsidRPr="005B2AA7">
        <w:rPr>
          <w:rFonts w:ascii="Book Antiqua" w:hAnsi="Book Antiqua" w:cs="宋体"/>
        </w:rPr>
        <w:t>Grade B (Very good): 0</w:t>
      </w:r>
    </w:p>
    <w:p w14:paraId="205A997E" w14:textId="04421C04" w:rsidR="002F10D5" w:rsidRPr="005B2AA7" w:rsidRDefault="002F10D5" w:rsidP="00253009">
      <w:pPr>
        <w:adjustRightInd w:val="0"/>
        <w:snapToGrid w:val="0"/>
        <w:spacing w:line="360" w:lineRule="auto"/>
        <w:jc w:val="both"/>
        <w:rPr>
          <w:rFonts w:ascii="Book Antiqua" w:hAnsi="Book Antiqua" w:cs="宋体"/>
        </w:rPr>
      </w:pPr>
      <w:r w:rsidRPr="005B2AA7">
        <w:rPr>
          <w:rFonts w:ascii="Book Antiqua" w:hAnsi="Book Antiqua" w:cs="宋体"/>
        </w:rPr>
        <w:t>Grade C (Good): C</w:t>
      </w:r>
      <w:r w:rsidRPr="005B2AA7">
        <w:rPr>
          <w:rFonts w:ascii="Book Antiqua" w:hAnsi="Book Antiqua" w:cs="宋体"/>
          <w:lang w:eastAsia="zh-CN"/>
        </w:rPr>
        <w:t>, C, C</w:t>
      </w:r>
    </w:p>
    <w:p w14:paraId="4EBF30EB" w14:textId="74AFDF4F" w:rsidR="002F10D5" w:rsidRPr="005B2AA7" w:rsidRDefault="002F10D5" w:rsidP="00253009">
      <w:pPr>
        <w:adjustRightInd w:val="0"/>
        <w:snapToGrid w:val="0"/>
        <w:spacing w:line="360" w:lineRule="auto"/>
        <w:jc w:val="both"/>
        <w:rPr>
          <w:rFonts w:ascii="Book Antiqua" w:hAnsi="Book Antiqua" w:cs="宋体"/>
        </w:rPr>
      </w:pPr>
      <w:r w:rsidRPr="005B2AA7">
        <w:rPr>
          <w:rFonts w:ascii="Book Antiqua" w:hAnsi="Book Antiqua" w:cs="宋体"/>
        </w:rPr>
        <w:t>Grade D (Fair): D</w:t>
      </w:r>
    </w:p>
    <w:p w14:paraId="17C47F6A" w14:textId="77777777" w:rsidR="002F10D5" w:rsidRPr="005B2AA7" w:rsidRDefault="002F10D5" w:rsidP="00253009">
      <w:pPr>
        <w:adjustRightInd w:val="0"/>
        <w:snapToGrid w:val="0"/>
        <w:spacing w:line="360" w:lineRule="auto"/>
        <w:jc w:val="both"/>
        <w:rPr>
          <w:rFonts w:ascii="Book Antiqua" w:eastAsia="等线" w:hAnsi="Book Antiqua"/>
          <w:lang w:val="hu-HU"/>
        </w:rPr>
      </w:pPr>
      <w:r w:rsidRPr="005B2AA7">
        <w:rPr>
          <w:rFonts w:ascii="Book Antiqua" w:hAnsi="Book Antiqua" w:cs="宋体"/>
        </w:rPr>
        <w:t>Grade E (Poor): 0</w:t>
      </w:r>
    </w:p>
    <w:p w14:paraId="6858C964" w14:textId="77777777" w:rsidR="002F10D5" w:rsidRPr="005B2AA7" w:rsidRDefault="002F10D5" w:rsidP="00253009">
      <w:pPr>
        <w:adjustRightInd w:val="0"/>
        <w:snapToGrid w:val="0"/>
        <w:spacing w:line="360" w:lineRule="auto"/>
        <w:jc w:val="both"/>
        <w:rPr>
          <w:rFonts w:ascii="Book Antiqua" w:hAnsi="Book Antiqua"/>
          <w:b/>
          <w:bCs/>
          <w:color w:val="000000"/>
          <w:lang w:val="hu-HU"/>
        </w:rPr>
      </w:pPr>
    </w:p>
    <w:p w14:paraId="3132F0E6" w14:textId="0894478C" w:rsidR="002F10D5" w:rsidRPr="005B2AA7" w:rsidRDefault="002F10D5" w:rsidP="00253009">
      <w:pPr>
        <w:adjustRightInd w:val="0"/>
        <w:snapToGrid w:val="0"/>
        <w:spacing w:line="360" w:lineRule="auto"/>
        <w:jc w:val="both"/>
        <w:rPr>
          <w:rFonts w:ascii="Book Antiqua" w:hAnsi="Book Antiqua" w:hint="eastAsia"/>
          <w:b/>
          <w:bCs/>
          <w:color w:val="000000"/>
          <w:lang w:eastAsia="zh-CN"/>
        </w:rPr>
      </w:pPr>
      <w:r w:rsidRPr="005B2AA7">
        <w:rPr>
          <w:rFonts w:ascii="Book Antiqua" w:hAnsi="Book Antiqua"/>
          <w:b/>
          <w:bCs/>
          <w:color w:val="000000"/>
        </w:rPr>
        <w:t>P-Reviewer:</w:t>
      </w:r>
      <w:r w:rsidRPr="005B2AA7">
        <w:rPr>
          <w:rFonts w:ascii="Book Antiqua" w:hAnsi="Book Antiqua"/>
          <w:color w:val="000000"/>
          <w:shd w:val="clear" w:color="auto" w:fill="FFFFFF"/>
        </w:rPr>
        <w:t xml:space="preserve"> </w:t>
      </w:r>
      <w:r w:rsidR="00A812CC" w:rsidRPr="005B2AA7">
        <w:rPr>
          <w:rFonts w:ascii="Book Antiqua" w:hAnsi="Book Antiqua"/>
          <w:color w:val="000000"/>
          <w:shd w:val="clear" w:color="auto" w:fill="FFFFFF"/>
        </w:rPr>
        <w:t xml:space="preserve">Lee MG, </w:t>
      </w:r>
      <w:r w:rsidRPr="005B2AA7">
        <w:rPr>
          <w:rFonts w:ascii="Book Antiqua" w:hAnsi="Book Antiqua"/>
          <w:color w:val="000000"/>
          <w:shd w:val="clear" w:color="auto" w:fill="FFFFFF"/>
        </w:rPr>
        <w:t>M'Koma A, Odes</w:t>
      </w:r>
      <w:r w:rsidR="00B14BED" w:rsidRPr="005B2AA7">
        <w:rPr>
          <w:rFonts w:ascii="Book Antiqua" w:hAnsi="Book Antiqua"/>
          <w:color w:val="000000"/>
          <w:shd w:val="clear" w:color="auto" w:fill="FFFFFF"/>
        </w:rPr>
        <w:t xml:space="preserve"> S, Triantafyllou K</w:t>
      </w:r>
      <w:r w:rsidRPr="005B2AA7">
        <w:rPr>
          <w:rFonts w:ascii="Book Antiqua" w:hAnsi="Book Antiqua"/>
          <w:b/>
          <w:bCs/>
          <w:color w:val="000000"/>
        </w:rPr>
        <w:t xml:space="preserve"> S-Editor:</w:t>
      </w:r>
      <w:r w:rsidRPr="005B2AA7">
        <w:rPr>
          <w:rFonts w:ascii="Book Antiqua" w:hAnsi="Book Antiqua"/>
          <w:color w:val="000000"/>
        </w:rPr>
        <w:t xml:space="preserve"> Zhang L </w:t>
      </w:r>
      <w:r w:rsidRPr="005B2AA7">
        <w:rPr>
          <w:rFonts w:ascii="Book Antiqua" w:hAnsi="Book Antiqua"/>
          <w:b/>
          <w:bCs/>
          <w:color w:val="000000"/>
        </w:rPr>
        <w:t>L-Editor:</w:t>
      </w:r>
      <w:r w:rsidR="0042481F" w:rsidRPr="005B2AA7">
        <w:rPr>
          <w:rFonts w:ascii="Book Antiqua" w:hAnsi="Book Antiqua" w:hint="eastAsia"/>
          <w:b/>
          <w:bCs/>
          <w:color w:val="000000"/>
          <w:lang w:eastAsia="zh-CN"/>
        </w:rPr>
        <w:t xml:space="preserve"> A</w:t>
      </w:r>
      <w:r w:rsidRPr="005B2AA7">
        <w:rPr>
          <w:rFonts w:ascii="Book Antiqua" w:hAnsi="Book Antiqua"/>
          <w:color w:val="000000"/>
        </w:rPr>
        <w:t xml:space="preserve"> </w:t>
      </w:r>
      <w:r w:rsidRPr="005B2AA7">
        <w:rPr>
          <w:rFonts w:ascii="Book Antiqua" w:hAnsi="Book Antiqua"/>
          <w:b/>
          <w:bCs/>
          <w:color w:val="000000"/>
        </w:rPr>
        <w:t>E-Editor:</w:t>
      </w:r>
      <w:r w:rsidR="0042481F" w:rsidRPr="005B2AA7">
        <w:rPr>
          <w:rFonts w:ascii="Book Antiqua" w:hAnsi="Book Antiqua" w:hint="eastAsia"/>
          <w:b/>
          <w:bCs/>
          <w:color w:val="000000"/>
          <w:lang w:eastAsia="zh-CN"/>
        </w:rPr>
        <w:t xml:space="preserve"> </w:t>
      </w:r>
      <w:r w:rsidR="0042481F" w:rsidRPr="005B2AA7">
        <w:rPr>
          <w:rFonts w:ascii="Book Antiqua" w:hAnsi="Book Antiqua" w:hint="eastAsia"/>
          <w:bCs/>
          <w:color w:val="000000"/>
          <w:lang w:eastAsia="zh-CN"/>
        </w:rPr>
        <w:t>Ma YJ</w:t>
      </w:r>
    </w:p>
    <w:p w14:paraId="0A506CCB" w14:textId="77777777" w:rsidR="002F10D5" w:rsidRPr="005B2AA7" w:rsidRDefault="002F10D5" w:rsidP="00253009">
      <w:pPr>
        <w:adjustRightInd w:val="0"/>
        <w:snapToGrid w:val="0"/>
        <w:spacing w:line="360" w:lineRule="auto"/>
        <w:jc w:val="both"/>
        <w:rPr>
          <w:rFonts w:ascii="Book Antiqua" w:hAnsi="Book Antiqua"/>
          <w:b/>
          <w:bCs/>
          <w:color w:val="000000"/>
        </w:rPr>
      </w:pPr>
    </w:p>
    <w:p w14:paraId="412B96BB" w14:textId="4A6A54ED" w:rsidR="002F10D5" w:rsidRPr="005B2AA7" w:rsidRDefault="002F10D5" w:rsidP="00253009">
      <w:pPr>
        <w:adjustRightInd w:val="0"/>
        <w:snapToGrid w:val="0"/>
        <w:spacing w:line="360" w:lineRule="auto"/>
        <w:jc w:val="both"/>
        <w:rPr>
          <w:rFonts w:ascii="Book Antiqua" w:hAnsi="Book Antiqua"/>
          <w:b/>
        </w:rPr>
      </w:pPr>
      <w:r w:rsidRPr="005B2AA7">
        <w:rPr>
          <w:rFonts w:ascii="Book Antiqua" w:hAnsi="Book Antiqua"/>
          <w:b/>
        </w:rPr>
        <w:br w:type="page"/>
      </w:r>
    </w:p>
    <w:p w14:paraId="00B9A7FF" w14:textId="6DD8C365" w:rsidR="00375D78" w:rsidRPr="005B2AA7" w:rsidRDefault="00A812CC" w:rsidP="00253009">
      <w:pPr>
        <w:adjustRightInd w:val="0"/>
        <w:snapToGrid w:val="0"/>
        <w:spacing w:line="360" w:lineRule="auto"/>
        <w:jc w:val="both"/>
        <w:rPr>
          <w:rFonts w:ascii="Book Antiqua" w:eastAsia="Calibri" w:hAnsi="Book Antiqua" w:cs="Times New Roman"/>
          <w:b/>
          <w:bCs/>
          <w:lang w:val="en-US"/>
        </w:rPr>
      </w:pPr>
      <w:r w:rsidRPr="005B2AA7">
        <w:rPr>
          <w:rFonts w:ascii="Book Antiqua" w:eastAsia="Calibri" w:hAnsi="Book Antiqua" w:cs="Times New Roman"/>
          <w:b/>
          <w:bCs/>
          <w:lang w:val="en-US"/>
        </w:rPr>
        <w:lastRenderedPageBreak/>
        <w:t>Table 1</w:t>
      </w:r>
      <w:r w:rsidR="00375D78" w:rsidRPr="005B2AA7">
        <w:rPr>
          <w:rFonts w:ascii="Book Antiqua" w:eastAsia="Calibri" w:hAnsi="Book Antiqua" w:cs="Times New Roman"/>
          <w:b/>
          <w:bCs/>
          <w:lang w:val="en-US"/>
        </w:rPr>
        <w:t xml:space="preserve"> Baseline characteristics reported by the participants (</w:t>
      </w:r>
      <w:r w:rsidR="00247F20" w:rsidRPr="005B2AA7">
        <w:rPr>
          <w:rFonts w:ascii="Book Antiqua" w:hAnsi="Book Antiqua" w:cs="Times New Roman"/>
          <w:b/>
          <w:bCs/>
          <w:i/>
          <w:iCs/>
          <w:lang w:val="en-US" w:eastAsia="zh-CN"/>
        </w:rPr>
        <w:t>n</w:t>
      </w:r>
      <w:r w:rsidR="00247F20" w:rsidRPr="005B2AA7">
        <w:rPr>
          <w:rFonts w:ascii="Book Antiqua" w:eastAsia="Calibri" w:hAnsi="Book Antiqua" w:cs="Times New Roman"/>
          <w:b/>
          <w:bCs/>
          <w:lang w:val="en-US"/>
        </w:rPr>
        <w:t xml:space="preserve"> </w:t>
      </w:r>
      <w:r w:rsidR="00375D78" w:rsidRPr="005B2AA7">
        <w:rPr>
          <w:rFonts w:ascii="Book Antiqua" w:eastAsia="Calibri" w:hAnsi="Book Antiqua" w:cs="Times New Roman"/>
          <w:b/>
          <w:bCs/>
          <w:lang w:val="en-US"/>
        </w:rPr>
        <w:t>=</w:t>
      </w:r>
      <w:r w:rsidR="00247F20" w:rsidRPr="005B2AA7">
        <w:rPr>
          <w:rFonts w:ascii="Book Antiqua" w:eastAsia="Calibri" w:hAnsi="Book Antiqua" w:cs="Times New Roman"/>
          <w:b/>
          <w:bCs/>
          <w:lang w:val="en-US"/>
        </w:rPr>
        <w:t xml:space="preserve"> </w:t>
      </w:r>
      <w:r w:rsidRPr="005B2AA7">
        <w:rPr>
          <w:rFonts w:ascii="Book Antiqua" w:eastAsia="Calibri" w:hAnsi="Book Antiqua" w:cs="Times New Roman"/>
          <w:b/>
          <w:bCs/>
          <w:lang w:val="en-US"/>
        </w:rPr>
        <w:t>1050)</w:t>
      </w:r>
    </w:p>
    <w:tbl>
      <w:tblPr>
        <w:tblStyle w:val="a3"/>
        <w:tblW w:w="8364" w:type="dxa"/>
        <w:tblLook w:val="04A0" w:firstRow="1" w:lastRow="0" w:firstColumn="1" w:lastColumn="0" w:noHBand="0" w:noVBand="1"/>
      </w:tblPr>
      <w:tblGrid>
        <w:gridCol w:w="6516"/>
        <w:gridCol w:w="1848"/>
      </w:tblGrid>
      <w:tr w:rsidR="00375D78" w:rsidRPr="005B2AA7" w14:paraId="0E1A1FBE" w14:textId="77777777" w:rsidTr="00564AEE">
        <w:tc>
          <w:tcPr>
            <w:tcW w:w="6516" w:type="dxa"/>
            <w:tcBorders>
              <w:left w:val="nil"/>
              <w:bottom w:val="single" w:sz="4" w:space="0" w:color="auto"/>
              <w:right w:val="nil"/>
            </w:tcBorders>
          </w:tcPr>
          <w:p w14:paraId="6D6E920A" w14:textId="77777777" w:rsidR="00375D78" w:rsidRPr="005B2AA7" w:rsidRDefault="00375D78" w:rsidP="00253009">
            <w:pPr>
              <w:adjustRightInd w:val="0"/>
              <w:snapToGrid w:val="0"/>
              <w:spacing w:line="360" w:lineRule="auto"/>
              <w:jc w:val="both"/>
              <w:rPr>
                <w:rFonts w:ascii="Book Antiqua" w:eastAsia="Calibri" w:hAnsi="Book Antiqua" w:cs="Times New Roman"/>
                <w:b/>
                <w:bCs/>
                <w:sz w:val="24"/>
                <w:szCs w:val="24"/>
                <w:lang w:val="en-US"/>
              </w:rPr>
            </w:pPr>
            <w:r w:rsidRPr="005B2AA7">
              <w:rPr>
                <w:rFonts w:ascii="Book Antiqua" w:eastAsia="Calibri" w:hAnsi="Book Antiqua" w:cs="Times New Roman"/>
                <w:b/>
                <w:bCs/>
                <w:sz w:val="24"/>
                <w:szCs w:val="24"/>
                <w:lang w:val="en-US"/>
              </w:rPr>
              <w:t>Questionnaire items</w:t>
            </w:r>
          </w:p>
        </w:tc>
        <w:tc>
          <w:tcPr>
            <w:tcW w:w="1848" w:type="dxa"/>
            <w:tcBorders>
              <w:left w:val="nil"/>
              <w:bottom w:val="single" w:sz="4" w:space="0" w:color="auto"/>
              <w:right w:val="nil"/>
            </w:tcBorders>
            <w:vAlign w:val="center"/>
          </w:tcPr>
          <w:p w14:paraId="45E57083" w14:textId="51BCE39C" w:rsidR="00375D78" w:rsidRPr="005B2AA7" w:rsidRDefault="00A812CC" w:rsidP="00253009">
            <w:pPr>
              <w:adjustRightInd w:val="0"/>
              <w:snapToGrid w:val="0"/>
              <w:spacing w:line="360" w:lineRule="auto"/>
              <w:jc w:val="both"/>
              <w:rPr>
                <w:rFonts w:ascii="Book Antiqua" w:eastAsia="Calibri" w:hAnsi="Book Antiqua" w:cs="Times New Roman"/>
                <w:b/>
                <w:sz w:val="24"/>
                <w:szCs w:val="24"/>
                <w:lang w:val="en-US"/>
              </w:rPr>
            </w:pPr>
            <w:r w:rsidRPr="005B2AA7">
              <w:rPr>
                <w:rFonts w:ascii="Book Antiqua" w:eastAsia="Times New Roman" w:hAnsi="Book Antiqua" w:cs="Times New Roman"/>
                <w:b/>
                <w:sz w:val="24"/>
                <w:szCs w:val="24"/>
                <w:lang w:val="en-US" w:eastAsia="ar-SA"/>
              </w:rPr>
              <w:t xml:space="preserve">mean </w:t>
            </w:r>
            <w:r w:rsidR="00375D78" w:rsidRPr="005B2AA7">
              <w:rPr>
                <w:rFonts w:ascii="Book Antiqua" w:eastAsia="Times New Roman" w:hAnsi="Book Antiqua" w:cs="Times New Roman"/>
                <w:b/>
                <w:sz w:val="24"/>
                <w:szCs w:val="24"/>
                <w:lang w:val="en-US" w:eastAsia="ar-SA"/>
              </w:rPr>
              <w:t xml:space="preserve">± SD; median (IQR) or </w:t>
            </w:r>
            <w:r w:rsidR="00031896" w:rsidRPr="005B2AA7">
              <w:rPr>
                <w:rFonts w:ascii="Book Antiqua" w:hAnsi="Book Antiqua" w:cs="Times New Roman"/>
                <w:b/>
                <w:i/>
                <w:iCs/>
                <w:sz w:val="24"/>
                <w:szCs w:val="24"/>
                <w:lang w:val="en-US" w:eastAsia="zh-CN"/>
              </w:rPr>
              <w:t>n</w:t>
            </w:r>
            <w:r w:rsidR="00375D78" w:rsidRPr="005B2AA7">
              <w:rPr>
                <w:rFonts w:ascii="Book Antiqua" w:eastAsia="Times New Roman" w:hAnsi="Book Antiqua" w:cs="Times New Roman"/>
                <w:b/>
                <w:sz w:val="24"/>
                <w:szCs w:val="24"/>
                <w:lang w:val="en-US" w:eastAsia="ar-SA"/>
              </w:rPr>
              <w:t>(%)</w:t>
            </w:r>
          </w:p>
        </w:tc>
      </w:tr>
      <w:tr w:rsidR="00375D78" w:rsidRPr="005B2AA7" w14:paraId="7FC7251D" w14:textId="77777777" w:rsidTr="00564AEE">
        <w:trPr>
          <w:trHeight w:val="335"/>
        </w:trPr>
        <w:tc>
          <w:tcPr>
            <w:tcW w:w="6516" w:type="dxa"/>
            <w:tcBorders>
              <w:left w:val="nil"/>
              <w:bottom w:val="single" w:sz="4" w:space="0" w:color="E7E6E6"/>
              <w:right w:val="nil"/>
            </w:tcBorders>
            <w:vAlign w:val="bottom"/>
          </w:tcPr>
          <w:p w14:paraId="1B4080CF" w14:textId="77777777" w:rsidR="00375D78" w:rsidRPr="005B2AA7" w:rsidRDefault="00375D78" w:rsidP="00253009">
            <w:pPr>
              <w:adjustRightInd w:val="0"/>
              <w:snapToGrid w:val="0"/>
              <w:spacing w:line="360" w:lineRule="auto"/>
              <w:jc w:val="both"/>
              <w:rPr>
                <w:rFonts w:ascii="Book Antiqua" w:eastAsia="Calibri" w:hAnsi="Book Antiqua" w:cs="Times New Roman"/>
                <w:b/>
                <w:bCs/>
                <w:sz w:val="24"/>
                <w:szCs w:val="24"/>
                <w:lang w:val="en-US"/>
              </w:rPr>
            </w:pPr>
            <w:r w:rsidRPr="005B2AA7">
              <w:rPr>
                <w:rFonts w:ascii="Book Antiqua" w:eastAsia="Calibri" w:hAnsi="Book Antiqua" w:cs="Times New Roman"/>
                <w:b/>
                <w:bCs/>
                <w:sz w:val="24"/>
                <w:szCs w:val="24"/>
                <w:lang w:val="en-US"/>
              </w:rPr>
              <w:t>Demographic characteristics</w:t>
            </w:r>
          </w:p>
        </w:tc>
        <w:tc>
          <w:tcPr>
            <w:tcW w:w="1848" w:type="dxa"/>
            <w:tcBorders>
              <w:left w:val="nil"/>
              <w:bottom w:val="single" w:sz="4" w:space="0" w:color="E7E6E6"/>
              <w:right w:val="nil"/>
            </w:tcBorders>
            <w:vAlign w:val="center"/>
          </w:tcPr>
          <w:p w14:paraId="149A554D" w14:textId="77777777" w:rsidR="00375D78" w:rsidRPr="005B2AA7" w:rsidRDefault="00375D78" w:rsidP="00253009">
            <w:pPr>
              <w:adjustRightInd w:val="0"/>
              <w:snapToGrid w:val="0"/>
              <w:spacing w:line="360" w:lineRule="auto"/>
              <w:jc w:val="both"/>
              <w:rPr>
                <w:rFonts w:ascii="Book Antiqua" w:eastAsia="Calibri" w:hAnsi="Book Antiqua" w:cs="Times New Roman"/>
                <w:b/>
                <w:bCs/>
                <w:sz w:val="24"/>
                <w:szCs w:val="24"/>
                <w:lang w:val="en-US"/>
              </w:rPr>
            </w:pPr>
          </w:p>
        </w:tc>
      </w:tr>
      <w:tr w:rsidR="00375D78" w:rsidRPr="005B2AA7" w14:paraId="072E6DC4" w14:textId="77777777" w:rsidTr="00564AEE">
        <w:tc>
          <w:tcPr>
            <w:tcW w:w="6516" w:type="dxa"/>
            <w:tcBorders>
              <w:top w:val="single" w:sz="4" w:space="0" w:color="E7E6E6"/>
              <w:left w:val="nil"/>
              <w:bottom w:val="single" w:sz="4" w:space="0" w:color="E7E6E6"/>
              <w:right w:val="nil"/>
            </w:tcBorders>
            <w:vAlign w:val="bottom"/>
          </w:tcPr>
          <w:p w14:paraId="15E7C7F1" w14:textId="39D3E905"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Age (</w:t>
            </w:r>
            <w:r w:rsidRPr="005B2AA7">
              <w:rPr>
                <w:rFonts w:ascii="Book Antiqua" w:eastAsia="Calibri" w:hAnsi="Book Antiqua" w:cs="Times New Roman"/>
                <w:i/>
                <w:iCs/>
                <w:sz w:val="24"/>
                <w:szCs w:val="24"/>
                <w:lang w:val="en-US"/>
              </w:rPr>
              <w:t>n</w:t>
            </w:r>
            <w:r w:rsidR="00B14BED" w:rsidRPr="005B2AA7">
              <w:rPr>
                <w:rFonts w:ascii="Book Antiqua" w:eastAsia="Calibri" w:hAnsi="Book Antiqua" w:cs="Times New Roman"/>
                <w:sz w:val="24"/>
                <w:szCs w:val="24"/>
                <w:lang w:val="en-US"/>
              </w:rPr>
              <w:t xml:space="preserve"> </w:t>
            </w:r>
            <w:r w:rsidRPr="005B2AA7">
              <w:rPr>
                <w:rFonts w:ascii="Book Antiqua" w:eastAsia="Calibri" w:hAnsi="Book Antiqua" w:cs="Times New Roman"/>
                <w:sz w:val="24"/>
                <w:szCs w:val="24"/>
                <w:lang w:val="en-US"/>
              </w:rPr>
              <w:t>=</w:t>
            </w:r>
            <w:r w:rsidR="00B14BED" w:rsidRPr="005B2AA7">
              <w:rPr>
                <w:rFonts w:ascii="Book Antiqua" w:eastAsia="Calibri" w:hAnsi="Book Antiqua" w:cs="Times New Roman"/>
                <w:sz w:val="24"/>
                <w:szCs w:val="24"/>
                <w:lang w:val="en-US"/>
              </w:rPr>
              <w:t xml:space="preserve"> </w:t>
            </w:r>
            <w:r w:rsidRPr="005B2AA7">
              <w:rPr>
                <w:rFonts w:ascii="Book Antiqua" w:eastAsia="Calibri" w:hAnsi="Book Antiqua" w:cs="Times New Roman"/>
                <w:sz w:val="24"/>
                <w:szCs w:val="24"/>
                <w:lang w:val="en-US"/>
              </w:rPr>
              <w:t>796)</w:t>
            </w:r>
          </w:p>
        </w:tc>
        <w:tc>
          <w:tcPr>
            <w:tcW w:w="1848" w:type="dxa"/>
            <w:tcBorders>
              <w:top w:val="single" w:sz="4" w:space="0" w:color="E7E6E6"/>
              <w:left w:val="nil"/>
              <w:bottom w:val="single" w:sz="4" w:space="0" w:color="E7E6E6"/>
              <w:right w:val="nil"/>
            </w:tcBorders>
            <w:vAlign w:val="center"/>
          </w:tcPr>
          <w:p w14:paraId="77EE2C82"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41.9 ± 12.4; 40.0 (32.0–51.0)</w:t>
            </w:r>
          </w:p>
        </w:tc>
      </w:tr>
      <w:tr w:rsidR="00375D78" w:rsidRPr="005B2AA7" w14:paraId="1225EA60" w14:textId="77777777" w:rsidTr="00564AEE">
        <w:tc>
          <w:tcPr>
            <w:tcW w:w="6516" w:type="dxa"/>
            <w:tcBorders>
              <w:top w:val="single" w:sz="4" w:space="0" w:color="E7E6E6"/>
              <w:left w:val="nil"/>
              <w:bottom w:val="single" w:sz="4" w:space="0" w:color="E7E6E6"/>
              <w:right w:val="nil"/>
            </w:tcBorders>
            <w:vAlign w:val="bottom"/>
          </w:tcPr>
          <w:p w14:paraId="1B35B978"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Gender</w:t>
            </w:r>
          </w:p>
        </w:tc>
        <w:tc>
          <w:tcPr>
            <w:tcW w:w="1848" w:type="dxa"/>
            <w:tcBorders>
              <w:top w:val="single" w:sz="4" w:space="0" w:color="E7E6E6"/>
              <w:left w:val="nil"/>
              <w:bottom w:val="single" w:sz="4" w:space="0" w:color="E7E6E6"/>
              <w:right w:val="nil"/>
            </w:tcBorders>
            <w:vAlign w:val="center"/>
          </w:tcPr>
          <w:p w14:paraId="7718EC15"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p>
        </w:tc>
      </w:tr>
      <w:tr w:rsidR="00375D78" w:rsidRPr="005B2AA7" w14:paraId="4E2A2DC4" w14:textId="77777777" w:rsidTr="00564AEE">
        <w:tc>
          <w:tcPr>
            <w:tcW w:w="6516" w:type="dxa"/>
            <w:tcBorders>
              <w:top w:val="single" w:sz="4" w:space="0" w:color="E7E6E6"/>
              <w:left w:val="nil"/>
              <w:bottom w:val="single" w:sz="4" w:space="0" w:color="E7E6E6"/>
              <w:right w:val="nil"/>
            </w:tcBorders>
            <w:vAlign w:val="bottom"/>
          </w:tcPr>
          <w:p w14:paraId="539D2B62" w14:textId="004450EF"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Female</w:t>
            </w:r>
          </w:p>
        </w:tc>
        <w:tc>
          <w:tcPr>
            <w:tcW w:w="1848" w:type="dxa"/>
            <w:tcBorders>
              <w:top w:val="single" w:sz="4" w:space="0" w:color="E7E6E6"/>
              <w:left w:val="nil"/>
              <w:bottom w:val="single" w:sz="4" w:space="0" w:color="E7E6E6"/>
              <w:right w:val="nil"/>
            </w:tcBorders>
            <w:vAlign w:val="center"/>
          </w:tcPr>
          <w:p w14:paraId="4F962585"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522/798 (65.4)</w:t>
            </w:r>
          </w:p>
        </w:tc>
      </w:tr>
      <w:tr w:rsidR="00375D78" w:rsidRPr="005B2AA7" w14:paraId="604FFA8F" w14:textId="77777777" w:rsidTr="00564AEE">
        <w:tc>
          <w:tcPr>
            <w:tcW w:w="6516" w:type="dxa"/>
            <w:tcBorders>
              <w:top w:val="single" w:sz="4" w:space="0" w:color="E7E6E6"/>
              <w:left w:val="nil"/>
              <w:bottom w:val="single" w:sz="4" w:space="0" w:color="E7E6E6"/>
              <w:right w:val="nil"/>
            </w:tcBorders>
            <w:vAlign w:val="bottom"/>
          </w:tcPr>
          <w:p w14:paraId="432A98DC" w14:textId="57E18BD5"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Male</w:t>
            </w:r>
          </w:p>
        </w:tc>
        <w:tc>
          <w:tcPr>
            <w:tcW w:w="1848" w:type="dxa"/>
            <w:tcBorders>
              <w:top w:val="single" w:sz="4" w:space="0" w:color="E7E6E6"/>
              <w:left w:val="nil"/>
              <w:bottom w:val="single" w:sz="4" w:space="0" w:color="E7E6E6"/>
              <w:right w:val="nil"/>
            </w:tcBorders>
            <w:vAlign w:val="center"/>
          </w:tcPr>
          <w:p w14:paraId="543715E6"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276/798 (34.6)</w:t>
            </w:r>
          </w:p>
        </w:tc>
      </w:tr>
      <w:tr w:rsidR="00375D78" w:rsidRPr="005B2AA7" w14:paraId="19D905D4" w14:textId="77777777" w:rsidTr="00564AEE">
        <w:tc>
          <w:tcPr>
            <w:tcW w:w="6516" w:type="dxa"/>
            <w:tcBorders>
              <w:top w:val="single" w:sz="4" w:space="0" w:color="E7E6E6"/>
              <w:left w:val="nil"/>
              <w:bottom w:val="single" w:sz="4" w:space="0" w:color="E7E6E6"/>
              <w:right w:val="nil"/>
            </w:tcBorders>
            <w:vAlign w:val="bottom"/>
          </w:tcPr>
          <w:p w14:paraId="774C3044"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Language</w:t>
            </w:r>
          </w:p>
        </w:tc>
        <w:tc>
          <w:tcPr>
            <w:tcW w:w="1848" w:type="dxa"/>
            <w:tcBorders>
              <w:top w:val="single" w:sz="4" w:space="0" w:color="E7E6E6"/>
              <w:left w:val="nil"/>
              <w:bottom w:val="single" w:sz="4" w:space="0" w:color="E7E6E6"/>
              <w:right w:val="nil"/>
            </w:tcBorders>
            <w:vAlign w:val="center"/>
          </w:tcPr>
          <w:p w14:paraId="40E48542"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p>
        </w:tc>
      </w:tr>
      <w:tr w:rsidR="00375D78" w:rsidRPr="005B2AA7" w14:paraId="617B3559" w14:textId="77777777" w:rsidTr="00564AEE">
        <w:tc>
          <w:tcPr>
            <w:tcW w:w="6516" w:type="dxa"/>
            <w:tcBorders>
              <w:top w:val="single" w:sz="4" w:space="0" w:color="E7E6E6"/>
              <w:left w:val="nil"/>
              <w:bottom w:val="single" w:sz="4" w:space="0" w:color="E7E6E6"/>
              <w:right w:val="nil"/>
            </w:tcBorders>
            <w:vAlign w:val="bottom"/>
          </w:tcPr>
          <w:p w14:paraId="35C1491E" w14:textId="02BE4E44"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Italian</w:t>
            </w:r>
          </w:p>
        </w:tc>
        <w:tc>
          <w:tcPr>
            <w:tcW w:w="1848" w:type="dxa"/>
            <w:tcBorders>
              <w:top w:val="single" w:sz="4" w:space="0" w:color="E7E6E6"/>
              <w:left w:val="nil"/>
              <w:bottom w:val="single" w:sz="4" w:space="0" w:color="E7E6E6"/>
              <w:right w:val="nil"/>
            </w:tcBorders>
            <w:vAlign w:val="center"/>
          </w:tcPr>
          <w:p w14:paraId="531ED917"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213 (20.3)</w:t>
            </w:r>
          </w:p>
        </w:tc>
      </w:tr>
      <w:tr w:rsidR="00375D78" w:rsidRPr="005B2AA7" w14:paraId="1AEA3820" w14:textId="77777777" w:rsidTr="00564AEE">
        <w:tc>
          <w:tcPr>
            <w:tcW w:w="6516" w:type="dxa"/>
            <w:tcBorders>
              <w:top w:val="single" w:sz="4" w:space="0" w:color="E7E6E6"/>
              <w:left w:val="nil"/>
              <w:bottom w:val="single" w:sz="4" w:space="0" w:color="E7E6E6"/>
              <w:right w:val="nil"/>
            </w:tcBorders>
            <w:vAlign w:val="bottom"/>
          </w:tcPr>
          <w:p w14:paraId="4EBA8A0C" w14:textId="59CD2712"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Finnish</w:t>
            </w:r>
          </w:p>
        </w:tc>
        <w:tc>
          <w:tcPr>
            <w:tcW w:w="1848" w:type="dxa"/>
            <w:tcBorders>
              <w:top w:val="single" w:sz="4" w:space="0" w:color="E7E6E6"/>
              <w:left w:val="nil"/>
              <w:bottom w:val="single" w:sz="4" w:space="0" w:color="E7E6E6"/>
              <w:right w:val="nil"/>
            </w:tcBorders>
            <w:vAlign w:val="center"/>
          </w:tcPr>
          <w:p w14:paraId="654ECBB8"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146 (13.9)</w:t>
            </w:r>
          </w:p>
        </w:tc>
      </w:tr>
      <w:tr w:rsidR="00375D78" w:rsidRPr="005B2AA7" w14:paraId="2799CFAE" w14:textId="77777777" w:rsidTr="00564AEE">
        <w:tc>
          <w:tcPr>
            <w:tcW w:w="6516" w:type="dxa"/>
            <w:tcBorders>
              <w:top w:val="single" w:sz="4" w:space="0" w:color="E7E6E6"/>
              <w:left w:val="nil"/>
              <w:bottom w:val="single" w:sz="4" w:space="0" w:color="E7E6E6"/>
              <w:right w:val="nil"/>
            </w:tcBorders>
            <w:vAlign w:val="bottom"/>
          </w:tcPr>
          <w:p w14:paraId="2677D4C8" w14:textId="2E60C95D"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Portuguese</w:t>
            </w:r>
          </w:p>
        </w:tc>
        <w:tc>
          <w:tcPr>
            <w:tcW w:w="1848" w:type="dxa"/>
            <w:tcBorders>
              <w:top w:val="single" w:sz="4" w:space="0" w:color="E7E6E6"/>
              <w:left w:val="nil"/>
              <w:bottom w:val="single" w:sz="4" w:space="0" w:color="E7E6E6"/>
              <w:right w:val="nil"/>
            </w:tcBorders>
            <w:vAlign w:val="center"/>
          </w:tcPr>
          <w:p w14:paraId="5E2AB620"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146 (13.9)</w:t>
            </w:r>
          </w:p>
        </w:tc>
      </w:tr>
      <w:tr w:rsidR="00375D78" w:rsidRPr="005B2AA7" w14:paraId="058F15FB" w14:textId="77777777" w:rsidTr="00564AEE">
        <w:tc>
          <w:tcPr>
            <w:tcW w:w="6516" w:type="dxa"/>
            <w:tcBorders>
              <w:top w:val="single" w:sz="4" w:space="0" w:color="E7E6E6"/>
              <w:left w:val="nil"/>
              <w:bottom w:val="single" w:sz="4" w:space="0" w:color="E7E6E6"/>
              <w:right w:val="nil"/>
            </w:tcBorders>
            <w:vAlign w:val="bottom"/>
          </w:tcPr>
          <w:p w14:paraId="52C108D2" w14:textId="5219CDE0"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Slovenian</w:t>
            </w:r>
          </w:p>
        </w:tc>
        <w:tc>
          <w:tcPr>
            <w:tcW w:w="1848" w:type="dxa"/>
            <w:tcBorders>
              <w:top w:val="single" w:sz="4" w:space="0" w:color="E7E6E6"/>
              <w:left w:val="nil"/>
              <w:bottom w:val="single" w:sz="4" w:space="0" w:color="E7E6E6"/>
              <w:right w:val="nil"/>
            </w:tcBorders>
            <w:vAlign w:val="center"/>
          </w:tcPr>
          <w:p w14:paraId="527C4C7C"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128 (12.2)</w:t>
            </w:r>
          </w:p>
        </w:tc>
      </w:tr>
      <w:tr w:rsidR="00375D78" w:rsidRPr="005B2AA7" w14:paraId="37B1280B" w14:textId="77777777" w:rsidTr="00564AEE">
        <w:tc>
          <w:tcPr>
            <w:tcW w:w="6516" w:type="dxa"/>
            <w:tcBorders>
              <w:top w:val="single" w:sz="4" w:space="0" w:color="E7E6E6"/>
              <w:left w:val="nil"/>
              <w:bottom w:val="single" w:sz="4" w:space="0" w:color="E7E6E6"/>
              <w:right w:val="nil"/>
            </w:tcBorders>
            <w:vAlign w:val="bottom"/>
          </w:tcPr>
          <w:p w14:paraId="5D4AE4FF" w14:textId="42FBE31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Spanish</w:t>
            </w:r>
          </w:p>
        </w:tc>
        <w:tc>
          <w:tcPr>
            <w:tcW w:w="1848" w:type="dxa"/>
            <w:tcBorders>
              <w:top w:val="single" w:sz="4" w:space="0" w:color="E7E6E6"/>
              <w:left w:val="nil"/>
              <w:bottom w:val="single" w:sz="4" w:space="0" w:color="E7E6E6"/>
              <w:right w:val="nil"/>
            </w:tcBorders>
            <w:vAlign w:val="center"/>
          </w:tcPr>
          <w:p w14:paraId="1D3FE7ED"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120 (11.4)</w:t>
            </w:r>
          </w:p>
        </w:tc>
      </w:tr>
      <w:tr w:rsidR="00375D78" w:rsidRPr="005B2AA7" w14:paraId="23919F46" w14:textId="77777777" w:rsidTr="00564AEE">
        <w:tc>
          <w:tcPr>
            <w:tcW w:w="6516" w:type="dxa"/>
            <w:tcBorders>
              <w:top w:val="single" w:sz="4" w:space="0" w:color="E7E6E6"/>
              <w:left w:val="nil"/>
              <w:bottom w:val="single" w:sz="4" w:space="0" w:color="E7E6E6"/>
              <w:right w:val="nil"/>
            </w:tcBorders>
            <w:vAlign w:val="bottom"/>
          </w:tcPr>
          <w:p w14:paraId="225A09A3" w14:textId="5443C597"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Greek</w:t>
            </w:r>
          </w:p>
        </w:tc>
        <w:tc>
          <w:tcPr>
            <w:tcW w:w="1848" w:type="dxa"/>
            <w:tcBorders>
              <w:top w:val="single" w:sz="4" w:space="0" w:color="E7E6E6"/>
              <w:left w:val="nil"/>
              <w:bottom w:val="single" w:sz="4" w:space="0" w:color="E7E6E6"/>
              <w:right w:val="nil"/>
            </w:tcBorders>
            <w:vAlign w:val="center"/>
          </w:tcPr>
          <w:p w14:paraId="73306B4F"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102 (9.7)</w:t>
            </w:r>
          </w:p>
        </w:tc>
      </w:tr>
      <w:tr w:rsidR="00375D78" w:rsidRPr="005B2AA7" w14:paraId="29C70DC5" w14:textId="77777777" w:rsidTr="00564AEE">
        <w:tc>
          <w:tcPr>
            <w:tcW w:w="6516" w:type="dxa"/>
            <w:tcBorders>
              <w:top w:val="single" w:sz="4" w:space="0" w:color="E7E6E6"/>
              <w:left w:val="nil"/>
              <w:bottom w:val="single" w:sz="4" w:space="0" w:color="E7E6E6"/>
              <w:right w:val="nil"/>
            </w:tcBorders>
            <w:vAlign w:val="bottom"/>
          </w:tcPr>
          <w:p w14:paraId="249817B9" w14:textId="470022B3"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English</w:t>
            </w:r>
          </w:p>
        </w:tc>
        <w:tc>
          <w:tcPr>
            <w:tcW w:w="1848" w:type="dxa"/>
            <w:tcBorders>
              <w:top w:val="single" w:sz="4" w:space="0" w:color="E7E6E6"/>
              <w:left w:val="nil"/>
              <w:bottom w:val="single" w:sz="4" w:space="0" w:color="E7E6E6"/>
              <w:right w:val="nil"/>
            </w:tcBorders>
            <w:vAlign w:val="center"/>
          </w:tcPr>
          <w:p w14:paraId="79D2DF22"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83 (7.9)</w:t>
            </w:r>
          </w:p>
        </w:tc>
      </w:tr>
      <w:tr w:rsidR="00375D78" w:rsidRPr="005B2AA7" w14:paraId="220E79F5" w14:textId="77777777" w:rsidTr="00564AEE">
        <w:tc>
          <w:tcPr>
            <w:tcW w:w="6516" w:type="dxa"/>
            <w:tcBorders>
              <w:top w:val="single" w:sz="4" w:space="0" w:color="E7E6E6"/>
              <w:left w:val="nil"/>
              <w:bottom w:val="single" w:sz="4" w:space="0" w:color="E7E6E6"/>
              <w:right w:val="nil"/>
            </w:tcBorders>
            <w:vAlign w:val="bottom"/>
          </w:tcPr>
          <w:p w14:paraId="54680021" w14:textId="6B3FF5A1"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German</w:t>
            </w:r>
          </w:p>
        </w:tc>
        <w:tc>
          <w:tcPr>
            <w:tcW w:w="1848" w:type="dxa"/>
            <w:tcBorders>
              <w:top w:val="single" w:sz="4" w:space="0" w:color="E7E6E6"/>
              <w:left w:val="nil"/>
              <w:bottom w:val="single" w:sz="4" w:space="0" w:color="E7E6E6"/>
              <w:right w:val="nil"/>
            </w:tcBorders>
            <w:vAlign w:val="center"/>
          </w:tcPr>
          <w:p w14:paraId="34D9C95B"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57 (5.4)</w:t>
            </w:r>
          </w:p>
        </w:tc>
      </w:tr>
      <w:tr w:rsidR="00375D78" w:rsidRPr="005B2AA7" w14:paraId="50EA3F99" w14:textId="77777777" w:rsidTr="00564AEE">
        <w:tc>
          <w:tcPr>
            <w:tcW w:w="6516" w:type="dxa"/>
            <w:tcBorders>
              <w:top w:val="single" w:sz="4" w:space="0" w:color="E7E6E6"/>
              <w:left w:val="nil"/>
              <w:bottom w:val="single" w:sz="4" w:space="0" w:color="E7E6E6"/>
              <w:right w:val="nil"/>
            </w:tcBorders>
            <w:vAlign w:val="bottom"/>
          </w:tcPr>
          <w:p w14:paraId="206973F0" w14:textId="0FBF2212"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French</w:t>
            </w:r>
          </w:p>
        </w:tc>
        <w:tc>
          <w:tcPr>
            <w:tcW w:w="1848" w:type="dxa"/>
            <w:tcBorders>
              <w:top w:val="single" w:sz="4" w:space="0" w:color="E7E6E6"/>
              <w:left w:val="nil"/>
              <w:bottom w:val="single" w:sz="4" w:space="0" w:color="E7E6E6"/>
              <w:right w:val="nil"/>
            </w:tcBorders>
            <w:vAlign w:val="center"/>
          </w:tcPr>
          <w:p w14:paraId="0891800E"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55 (5.3)</w:t>
            </w:r>
          </w:p>
        </w:tc>
      </w:tr>
      <w:tr w:rsidR="00375D78" w:rsidRPr="005B2AA7" w14:paraId="16AF0756" w14:textId="77777777" w:rsidTr="00564AEE">
        <w:tc>
          <w:tcPr>
            <w:tcW w:w="6516" w:type="dxa"/>
            <w:tcBorders>
              <w:top w:val="single" w:sz="4" w:space="0" w:color="E7E6E6"/>
              <w:left w:val="nil"/>
              <w:bottom w:val="single" w:sz="4" w:space="0" w:color="E7E6E6"/>
              <w:right w:val="nil"/>
            </w:tcBorders>
            <w:vAlign w:val="bottom"/>
          </w:tcPr>
          <w:p w14:paraId="4596B85C"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IBD characteristics and treatments</w:t>
            </w:r>
          </w:p>
        </w:tc>
        <w:tc>
          <w:tcPr>
            <w:tcW w:w="1848" w:type="dxa"/>
            <w:tcBorders>
              <w:top w:val="single" w:sz="4" w:space="0" w:color="E7E6E6"/>
              <w:left w:val="nil"/>
              <w:bottom w:val="single" w:sz="4" w:space="0" w:color="E7E6E6"/>
              <w:right w:val="nil"/>
            </w:tcBorders>
            <w:vAlign w:val="center"/>
          </w:tcPr>
          <w:p w14:paraId="422B6ADA"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p>
        </w:tc>
      </w:tr>
      <w:tr w:rsidR="00375D78" w:rsidRPr="005B2AA7" w14:paraId="4AB3A796" w14:textId="77777777" w:rsidTr="00564AEE">
        <w:tc>
          <w:tcPr>
            <w:tcW w:w="6516" w:type="dxa"/>
            <w:tcBorders>
              <w:top w:val="single" w:sz="4" w:space="0" w:color="E7E6E6"/>
              <w:left w:val="nil"/>
              <w:bottom w:val="single" w:sz="4" w:space="0" w:color="E7E6E6"/>
              <w:right w:val="nil"/>
            </w:tcBorders>
            <w:vAlign w:val="bottom"/>
          </w:tcPr>
          <w:p w14:paraId="53B9356C"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Diagnosis</w:t>
            </w:r>
          </w:p>
        </w:tc>
        <w:tc>
          <w:tcPr>
            <w:tcW w:w="1848" w:type="dxa"/>
            <w:tcBorders>
              <w:top w:val="single" w:sz="4" w:space="0" w:color="E7E6E6"/>
              <w:left w:val="nil"/>
              <w:bottom w:val="single" w:sz="4" w:space="0" w:color="E7E6E6"/>
              <w:right w:val="nil"/>
            </w:tcBorders>
            <w:vAlign w:val="center"/>
          </w:tcPr>
          <w:p w14:paraId="03435F82"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p>
        </w:tc>
      </w:tr>
      <w:tr w:rsidR="00375D78" w:rsidRPr="005B2AA7" w14:paraId="5C14810A" w14:textId="77777777" w:rsidTr="00564AEE">
        <w:tc>
          <w:tcPr>
            <w:tcW w:w="6516" w:type="dxa"/>
            <w:tcBorders>
              <w:top w:val="single" w:sz="4" w:space="0" w:color="E7E6E6"/>
              <w:left w:val="nil"/>
              <w:bottom w:val="single" w:sz="4" w:space="0" w:color="E7E6E6"/>
              <w:right w:val="nil"/>
            </w:tcBorders>
            <w:vAlign w:val="bottom"/>
          </w:tcPr>
          <w:p w14:paraId="69310986" w14:textId="328AB454"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Crohn’s disease</w:t>
            </w:r>
          </w:p>
        </w:tc>
        <w:tc>
          <w:tcPr>
            <w:tcW w:w="1848" w:type="dxa"/>
            <w:tcBorders>
              <w:top w:val="single" w:sz="4" w:space="0" w:color="E7E6E6"/>
              <w:left w:val="nil"/>
              <w:bottom w:val="single" w:sz="4" w:space="0" w:color="E7E6E6"/>
              <w:right w:val="nil"/>
            </w:tcBorders>
            <w:vAlign w:val="center"/>
          </w:tcPr>
          <w:p w14:paraId="194736F8"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427/798 (53.5)</w:t>
            </w:r>
          </w:p>
        </w:tc>
      </w:tr>
      <w:tr w:rsidR="00375D78" w:rsidRPr="005B2AA7" w14:paraId="45369441" w14:textId="77777777" w:rsidTr="00564AEE">
        <w:tc>
          <w:tcPr>
            <w:tcW w:w="6516" w:type="dxa"/>
            <w:tcBorders>
              <w:top w:val="single" w:sz="4" w:space="0" w:color="E7E6E6"/>
              <w:left w:val="nil"/>
              <w:bottom w:val="single" w:sz="4" w:space="0" w:color="E7E6E6"/>
              <w:right w:val="nil"/>
            </w:tcBorders>
            <w:vAlign w:val="bottom"/>
          </w:tcPr>
          <w:p w14:paraId="19A73846" w14:textId="0E34BF4E"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Ulcerative colitis</w:t>
            </w:r>
          </w:p>
        </w:tc>
        <w:tc>
          <w:tcPr>
            <w:tcW w:w="1848" w:type="dxa"/>
            <w:tcBorders>
              <w:top w:val="single" w:sz="4" w:space="0" w:color="E7E6E6"/>
              <w:left w:val="nil"/>
              <w:bottom w:val="single" w:sz="4" w:space="0" w:color="E7E6E6"/>
              <w:right w:val="nil"/>
            </w:tcBorders>
            <w:vAlign w:val="center"/>
          </w:tcPr>
          <w:p w14:paraId="3F268E87"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355/798 (44.5)</w:t>
            </w:r>
          </w:p>
        </w:tc>
      </w:tr>
      <w:tr w:rsidR="00375D78" w:rsidRPr="005B2AA7" w14:paraId="71FE84C7" w14:textId="77777777" w:rsidTr="00564AEE">
        <w:tc>
          <w:tcPr>
            <w:tcW w:w="6516" w:type="dxa"/>
            <w:tcBorders>
              <w:top w:val="single" w:sz="4" w:space="0" w:color="E7E6E6"/>
              <w:left w:val="nil"/>
              <w:bottom w:val="single" w:sz="4" w:space="0" w:color="E7E6E6"/>
              <w:right w:val="nil"/>
            </w:tcBorders>
            <w:vAlign w:val="bottom"/>
          </w:tcPr>
          <w:p w14:paraId="59E258D4" w14:textId="189BBD13"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No gastrointestinal condition</w:t>
            </w:r>
          </w:p>
        </w:tc>
        <w:tc>
          <w:tcPr>
            <w:tcW w:w="1848" w:type="dxa"/>
            <w:tcBorders>
              <w:top w:val="single" w:sz="4" w:space="0" w:color="E7E6E6"/>
              <w:left w:val="nil"/>
              <w:bottom w:val="single" w:sz="4" w:space="0" w:color="E7E6E6"/>
              <w:right w:val="nil"/>
            </w:tcBorders>
            <w:vAlign w:val="center"/>
          </w:tcPr>
          <w:p w14:paraId="5B76A756"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5/798 (0.6)</w:t>
            </w:r>
          </w:p>
        </w:tc>
      </w:tr>
      <w:tr w:rsidR="00375D78" w:rsidRPr="005B2AA7" w14:paraId="05F3898B" w14:textId="77777777" w:rsidTr="00564AEE">
        <w:tc>
          <w:tcPr>
            <w:tcW w:w="6516" w:type="dxa"/>
            <w:tcBorders>
              <w:top w:val="single" w:sz="4" w:space="0" w:color="E7E6E6"/>
              <w:left w:val="nil"/>
              <w:bottom w:val="single" w:sz="4" w:space="0" w:color="E7E6E6"/>
              <w:right w:val="nil"/>
            </w:tcBorders>
            <w:vAlign w:val="bottom"/>
          </w:tcPr>
          <w:p w14:paraId="4C38ADC5" w14:textId="29B13C0C"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Other gastrointestinal condition</w:t>
            </w:r>
          </w:p>
        </w:tc>
        <w:tc>
          <w:tcPr>
            <w:tcW w:w="1848" w:type="dxa"/>
            <w:tcBorders>
              <w:top w:val="single" w:sz="4" w:space="0" w:color="E7E6E6"/>
              <w:left w:val="nil"/>
              <w:bottom w:val="single" w:sz="4" w:space="0" w:color="E7E6E6"/>
              <w:right w:val="nil"/>
            </w:tcBorders>
            <w:vAlign w:val="center"/>
          </w:tcPr>
          <w:p w14:paraId="356F3290"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11/798 (1.4)</w:t>
            </w:r>
          </w:p>
        </w:tc>
      </w:tr>
      <w:tr w:rsidR="00375D78" w:rsidRPr="005B2AA7" w14:paraId="7BD194F8" w14:textId="77777777" w:rsidTr="00564AEE">
        <w:tc>
          <w:tcPr>
            <w:tcW w:w="6516" w:type="dxa"/>
            <w:tcBorders>
              <w:top w:val="single" w:sz="4" w:space="0" w:color="E7E6E6"/>
              <w:left w:val="nil"/>
              <w:bottom w:val="single" w:sz="4" w:space="0" w:color="E7E6E6"/>
              <w:right w:val="nil"/>
            </w:tcBorders>
            <w:vAlign w:val="bottom"/>
          </w:tcPr>
          <w:p w14:paraId="6AF05B0E" w14:textId="179CF41C"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Crohn’s disease duration (y</w:t>
            </w:r>
            <w:r w:rsidR="00B14BED" w:rsidRPr="005B2AA7">
              <w:rPr>
                <w:rFonts w:ascii="Book Antiqua" w:hAnsi="Book Antiqua" w:cs="Times New Roman"/>
                <w:sz w:val="24"/>
                <w:szCs w:val="24"/>
                <w:lang w:val="en-US" w:eastAsia="zh-CN"/>
              </w:rPr>
              <w:t>r</w:t>
            </w:r>
            <w:r w:rsidRPr="005B2AA7">
              <w:rPr>
                <w:rFonts w:ascii="Book Antiqua" w:eastAsia="Calibri" w:hAnsi="Book Antiqua" w:cs="Times New Roman"/>
                <w:sz w:val="24"/>
                <w:szCs w:val="24"/>
                <w:lang w:val="en-US"/>
              </w:rPr>
              <w:t>)</w:t>
            </w:r>
          </w:p>
        </w:tc>
        <w:tc>
          <w:tcPr>
            <w:tcW w:w="1848" w:type="dxa"/>
            <w:tcBorders>
              <w:top w:val="single" w:sz="4" w:space="0" w:color="E7E6E6"/>
              <w:left w:val="nil"/>
              <w:bottom w:val="single" w:sz="4" w:space="0" w:color="E7E6E6"/>
              <w:right w:val="nil"/>
            </w:tcBorders>
            <w:vAlign w:val="center"/>
          </w:tcPr>
          <w:p w14:paraId="21E225D1"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13.6 ± 10.6; 11 (5–20)</w:t>
            </w:r>
          </w:p>
        </w:tc>
      </w:tr>
      <w:tr w:rsidR="00375D78" w:rsidRPr="005B2AA7" w14:paraId="124F9616" w14:textId="77777777" w:rsidTr="00564AEE">
        <w:tc>
          <w:tcPr>
            <w:tcW w:w="6516" w:type="dxa"/>
            <w:tcBorders>
              <w:top w:val="single" w:sz="4" w:space="0" w:color="E7E6E6"/>
              <w:left w:val="nil"/>
              <w:bottom w:val="single" w:sz="4" w:space="0" w:color="E7E6E6"/>
              <w:right w:val="nil"/>
            </w:tcBorders>
            <w:vAlign w:val="bottom"/>
          </w:tcPr>
          <w:p w14:paraId="324CEA53" w14:textId="53C42F6B"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Ulcerative colitis duration (y</w:t>
            </w:r>
            <w:r w:rsidR="00B14BED" w:rsidRPr="005B2AA7">
              <w:rPr>
                <w:rFonts w:ascii="Book Antiqua" w:hAnsi="Book Antiqua" w:cs="Times New Roman"/>
                <w:sz w:val="24"/>
                <w:szCs w:val="24"/>
                <w:lang w:val="en-US" w:eastAsia="zh-CN"/>
              </w:rPr>
              <w:t>r</w:t>
            </w:r>
            <w:r w:rsidRPr="005B2AA7">
              <w:rPr>
                <w:rFonts w:ascii="Book Antiqua" w:eastAsia="Calibri" w:hAnsi="Book Antiqua" w:cs="Times New Roman"/>
                <w:sz w:val="24"/>
                <w:szCs w:val="24"/>
                <w:lang w:val="en-US"/>
              </w:rPr>
              <w:t>)</w:t>
            </w:r>
          </w:p>
        </w:tc>
        <w:tc>
          <w:tcPr>
            <w:tcW w:w="1848" w:type="dxa"/>
            <w:tcBorders>
              <w:top w:val="single" w:sz="4" w:space="0" w:color="E7E6E6"/>
              <w:left w:val="nil"/>
              <w:bottom w:val="single" w:sz="4" w:space="0" w:color="E7E6E6"/>
              <w:right w:val="nil"/>
            </w:tcBorders>
            <w:vAlign w:val="center"/>
          </w:tcPr>
          <w:p w14:paraId="4BC65249"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7.52 ± 9.12; 4 (1–8)</w:t>
            </w:r>
          </w:p>
        </w:tc>
      </w:tr>
      <w:tr w:rsidR="00375D78" w:rsidRPr="005B2AA7" w14:paraId="41523610" w14:textId="77777777" w:rsidTr="00564AEE">
        <w:tc>
          <w:tcPr>
            <w:tcW w:w="6516" w:type="dxa"/>
            <w:tcBorders>
              <w:top w:val="single" w:sz="4" w:space="0" w:color="E7E6E6"/>
              <w:left w:val="nil"/>
              <w:bottom w:val="single" w:sz="4" w:space="0" w:color="E7E6E6"/>
              <w:right w:val="nil"/>
            </w:tcBorders>
            <w:vAlign w:val="bottom"/>
          </w:tcPr>
          <w:p w14:paraId="123D7C1F"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lastRenderedPageBreak/>
              <w:t>Self-perceived disease activity</w:t>
            </w:r>
          </w:p>
        </w:tc>
        <w:tc>
          <w:tcPr>
            <w:tcW w:w="1848" w:type="dxa"/>
            <w:tcBorders>
              <w:top w:val="single" w:sz="4" w:space="0" w:color="E7E6E6"/>
              <w:left w:val="nil"/>
              <w:bottom w:val="single" w:sz="4" w:space="0" w:color="E7E6E6"/>
              <w:right w:val="nil"/>
            </w:tcBorders>
            <w:vAlign w:val="center"/>
          </w:tcPr>
          <w:p w14:paraId="5BCF7898"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p>
        </w:tc>
      </w:tr>
      <w:tr w:rsidR="00375D78" w:rsidRPr="005B2AA7" w14:paraId="10CC88C9" w14:textId="77777777" w:rsidTr="00564AEE">
        <w:tc>
          <w:tcPr>
            <w:tcW w:w="6516" w:type="dxa"/>
            <w:tcBorders>
              <w:top w:val="single" w:sz="4" w:space="0" w:color="E7E6E6"/>
              <w:left w:val="nil"/>
              <w:bottom w:val="single" w:sz="4" w:space="0" w:color="E7E6E6"/>
              <w:right w:val="nil"/>
            </w:tcBorders>
            <w:vAlign w:val="bottom"/>
          </w:tcPr>
          <w:p w14:paraId="09F0CB4C" w14:textId="0F597067"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Inactive</w:t>
            </w:r>
          </w:p>
        </w:tc>
        <w:tc>
          <w:tcPr>
            <w:tcW w:w="1848" w:type="dxa"/>
            <w:tcBorders>
              <w:top w:val="single" w:sz="4" w:space="0" w:color="E7E6E6"/>
              <w:left w:val="nil"/>
              <w:bottom w:val="single" w:sz="4" w:space="0" w:color="E7E6E6"/>
              <w:right w:val="nil"/>
            </w:tcBorders>
            <w:vAlign w:val="center"/>
          </w:tcPr>
          <w:p w14:paraId="75B3E106"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155/770 (20.1)</w:t>
            </w:r>
          </w:p>
        </w:tc>
      </w:tr>
      <w:tr w:rsidR="00375D78" w:rsidRPr="005B2AA7" w14:paraId="38C3C488" w14:textId="77777777" w:rsidTr="00564AEE">
        <w:tc>
          <w:tcPr>
            <w:tcW w:w="6516" w:type="dxa"/>
            <w:tcBorders>
              <w:top w:val="single" w:sz="4" w:space="0" w:color="E7E6E6"/>
              <w:left w:val="nil"/>
              <w:bottom w:val="single" w:sz="4" w:space="0" w:color="E7E6E6"/>
              <w:right w:val="nil"/>
            </w:tcBorders>
            <w:vAlign w:val="bottom"/>
          </w:tcPr>
          <w:p w14:paraId="11A84630" w14:textId="7539E34D"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Mildly active</w:t>
            </w:r>
          </w:p>
        </w:tc>
        <w:tc>
          <w:tcPr>
            <w:tcW w:w="1848" w:type="dxa"/>
            <w:tcBorders>
              <w:top w:val="single" w:sz="4" w:space="0" w:color="E7E6E6"/>
              <w:left w:val="nil"/>
              <w:bottom w:val="single" w:sz="4" w:space="0" w:color="E7E6E6"/>
              <w:right w:val="nil"/>
            </w:tcBorders>
            <w:vAlign w:val="center"/>
          </w:tcPr>
          <w:p w14:paraId="7F9957A1"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261/770 (33.9)</w:t>
            </w:r>
          </w:p>
        </w:tc>
      </w:tr>
      <w:tr w:rsidR="00375D78" w:rsidRPr="005B2AA7" w14:paraId="4EF88FE0" w14:textId="77777777" w:rsidTr="00564AEE">
        <w:tc>
          <w:tcPr>
            <w:tcW w:w="6516" w:type="dxa"/>
            <w:tcBorders>
              <w:top w:val="single" w:sz="4" w:space="0" w:color="E7E6E6"/>
              <w:left w:val="nil"/>
              <w:bottom w:val="single" w:sz="4" w:space="0" w:color="E7E6E6"/>
              <w:right w:val="nil"/>
            </w:tcBorders>
            <w:vAlign w:val="bottom"/>
          </w:tcPr>
          <w:p w14:paraId="495777C9" w14:textId="48D1F08A"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Moderately active</w:t>
            </w:r>
          </w:p>
        </w:tc>
        <w:tc>
          <w:tcPr>
            <w:tcW w:w="1848" w:type="dxa"/>
            <w:tcBorders>
              <w:top w:val="single" w:sz="4" w:space="0" w:color="E7E6E6"/>
              <w:left w:val="nil"/>
              <w:bottom w:val="single" w:sz="4" w:space="0" w:color="E7E6E6"/>
              <w:right w:val="nil"/>
            </w:tcBorders>
            <w:vAlign w:val="center"/>
          </w:tcPr>
          <w:p w14:paraId="3B9B46D1"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251/770 (32.6)</w:t>
            </w:r>
          </w:p>
        </w:tc>
      </w:tr>
      <w:tr w:rsidR="00375D78" w:rsidRPr="005B2AA7" w14:paraId="525C01AA" w14:textId="77777777" w:rsidTr="00564AEE">
        <w:tc>
          <w:tcPr>
            <w:tcW w:w="6516" w:type="dxa"/>
            <w:tcBorders>
              <w:top w:val="single" w:sz="4" w:space="0" w:color="E7E6E6"/>
              <w:left w:val="nil"/>
              <w:bottom w:val="single" w:sz="4" w:space="0" w:color="E7E6E6"/>
              <w:right w:val="nil"/>
            </w:tcBorders>
            <w:vAlign w:val="bottom"/>
          </w:tcPr>
          <w:p w14:paraId="30B456F2" w14:textId="3905C9CE"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Severely active</w:t>
            </w:r>
          </w:p>
        </w:tc>
        <w:tc>
          <w:tcPr>
            <w:tcW w:w="1848" w:type="dxa"/>
            <w:tcBorders>
              <w:top w:val="single" w:sz="4" w:space="0" w:color="E7E6E6"/>
              <w:left w:val="nil"/>
              <w:bottom w:val="single" w:sz="4" w:space="0" w:color="E7E6E6"/>
              <w:right w:val="nil"/>
            </w:tcBorders>
            <w:vAlign w:val="center"/>
          </w:tcPr>
          <w:p w14:paraId="11786233"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76/770 (9.9)</w:t>
            </w:r>
          </w:p>
        </w:tc>
      </w:tr>
      <w:tr w:rsidR="00375D78" w:rsidRPr="005B2AA7" w14:paraId="7B2A37FF" w14:textId="77777777" w:rsidTr="00564AEE">
        <w:tc>
          <w:tcPr>
            <w:tcW w:w="6516" w:type="dxa"/>
            <w:tcBorders>
              <w:top w:val="single" w:sz="4" w:space="0" w:color="E7E6E6"/>
              <w:left w:val="nil"/>
              <w:bottom w:val="single" w:sz="4" w:space="0" w:color="E7E6E6"/>
              <w:right w:val="nil"/>
            </w:tcBorders>
            <w:vAlign w:val="bottom"/>
          </w:tcPr>
          <w:p w14:paraId="2EB8A702" w14:textId="2E1BBE5A"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Not sure</w:t>
            </w:r>
          </w:p>
        </w:tc>
        <w:tc>
          <w:tcPr>
            <w:tcW w:w="1848" w:type="dxa"/>
            <w:tcBorders>
              <w:top w:val="single" w:sz="4" w:space="0" w:color="E7E6E6"/>
              <w:left w:val="nil"/>
              <w:bottom w:val="single" w:sz="4" w:space="0" w:color="E7E6E6"/>
              <w:right w:val="nil"/>
            </w:tcBorders>
            <w:vAlign w:val="center"/>
          </w:tcPr>
          <w:p w14:paraId="7CEBBFCE"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27/770 (3.5)</w:t>
            </w:r>
          </w:p>
        </w:tc>
      </w:tr>
      <w:tr w:rsidR="00375D78" w:rsidRPr="005B2AA7" w14:paraId="5C2DA462" w14:textId="77777777" w:rsidTr="00564AEE">
        <w:tc>
          <w:tcPr>
            <w:tcW w:w="6516" w:type="dxa"/>
            <w:tcBorders>
              <w:top w:val="single" w:sz="4" w:space="0" w:color="E7E6E6"/>
              <w:left w:val="nil"/>
              <w:bottom w:val="single" w:sz="4" w:space="0" w:color="E7E6E6"/>
              <w:right w:val="nil"/>
            </w:tcBorders>
            <w:vAlign w:val="bottom"/>
          </w:tcPr>
          <w:p w14:paraId="1DB31CB6"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Self-perceived disease severity since diagnosis</w:t>
            </w:r>
          </w:p>
        </w:tc>
        <w:tc>
          <w:tcPr>
            <w:tcW w:w="1848" w:type="dxa"/>
            <w:tcBorders>
              <w:top w:val="single" w:sz="4" w:space="0" w:color="E7E6E6"/>
              <w:left w:val="nil"/>
              <w:bottom w:val="single" w:sz="4" w:space="0" w:color="E7E6E6"/>
              <w:right w:val="nil"/>
            </w:tcBorders>
            <w:vAlign w:val="center"/>
          </w:tcPr>
          <w:p w14:paraId="7B613B52"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p>
        </w:tc>
      </w:tr>
      <w:tr w:rsidR="00375D78" w:rsidRPr="005B2AA7" w14:paraId="31F820CD" w14:textId="77777777" w:rsidTr="00564AEE">
        <w:tc>
          <w:tcPr>
            <w:tcW w:w="6516" w:type="dxa"/>
            <w:tcBorders>
              <w:top w:val="single" w:sz="4" w:space="0" w:color="E7E6E6"/>
              <w:left w:val="nil"/>
              <w:bottom w:val="single" w:sz="4" w:space="0" w:color="E7E6E6"/>
              <w:right w:val="nil"/>
            </w:tcBorders>
            <w:vAlign w:val="bottom"/>
          </w:tcPr>
          <w:p w14:paraId="5E083D82" w14:textId="7962465A"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Mild</w:t>
            </w:r>
          </w:p>
        </w:tc>
        <w:tc>
          <w:tcPr>
            <w:tcW w:w="1848" w:type="dxa"/>
            <w:tcBorders>
              <w:top w:val="single" w:sz="4" w:space="0" w:color="E7E6E6"/>
              <w:left w:val="nil"/>
              <w:bottom w:val="single" w:sz="4" w:space="0" w:color="E7E6E6"/>
              <w:right w:val="nil"/>
            </w:tcBorders>
            <w:vAlign w:val="center"/>
          </w:tcPr>
          <w:p w14:paraId="7D2C925E"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173/768 (22.5)</w:t>
            </w:r>
          </w:p>
        </w:tc>
      </w:tr>
      <w:tr w:rsidR="00375D78" w:rsidRPr="005B2AA7" w14:paraId="0D8A7878" w14:textId="77777777" w:rsidTr="00564AEE">
        <w:tc>
          <w:tcPr>
            <w:tcW w:w="6516" w:type="dxa"/>
            <w:tcBorders>
              <w:top w:val="single" w:sz="4" w:space="0" w:color="E7E6E6"/>
              <w:left w:val="nil"/>
              <w:bottom w:val="single" w:sz="4" w:space="0" w:color="E7E6E6"/>
              <w:right w:val="nil"/>
            </w:tcBorders>
            <w:vAlign w:val="bottom"/>
          </w:tcPr>
          <w:p w14:paraId="170F2DAB" w14:textId="4A31EBB9" w:rsidR="00375D78" w:rsidRPr="005B2AA7" w:rsidRDefault="008F398C" w:rsidP="00253009">
            <w:pPr>
              <w:adjustRightInd w:val="0"/>
              <w:snapToGrid w:val="0"/>
              <w:spacing w:line="360" w:lineRule="auto"/>
              <w:jc w:val="both"/>
              <w:rPr>
                <w:rFonts w:ascii="Book Antiqua" w:eastAsia="Calibri" w:hAnsi="Book Antiqua" w:cs="Times New Roman"/>
                <w:b/>
                <w:bCs/>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Moderate</w:t>
            </w:r>
          </w:p>
        </w:tc>
        <w:tc>
          <w:tcPr>
            <w:tcW w:w="1848" w:type="dxa"/>
            <w:tcBorders>
              <w:top w:val="single" w:sz="4" w:space="0" w:color="E7E6E6"/>
              <w:left w:val="nil"/>
              <w:bottom w:val="single" w:sz="4" w:space="0" w:color="E7E6E6"/>
              <w:right w:val="nil"/>
            </w:tcBorders>
            <w:vAlign w:val="center"/>
          </w:tcPr>
          <w:p w14:paraId="3C57C0C1"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360/768 (46.9)</w:t>
            </w:r>
          </w:p>
        </w:tc>
      </w:tr>
      <w:tr w:rsidR="00375D78" w:rsidRPr="005B2AA7" w14:paraId="58FC14DE" w14:textId="77777777" w:rsidTr="00564AEE">
        <w:tc>
          <w:tcPr>
            <w:tcW w:w="6516" w:type="dxa"/>
            <w:tcBorders>
              <w:top w:val="single" w:sz="4" w:space="0" w:color="E7E6E6"/>
              <w:left w:val="nil"/>
              <w:bottom w:val="single" w:sz="4" w:space="0" w:color="E7E6E6"/>
              <w:right w:val="nil"/>
            </w:tcBorders>
            <w:vAlign w:val="bottom"/>
          </w:tcPr>
          <w:p w14:paraId="143C4A98" w14:textId="782CE9F3"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Severe</w:t>
            </w:r>
          </w:p>
        </w:tc>
        <w:tc>
          <w:tcPr>
            <w:tcW w:w="1848" w:type="dxa"/>
            <w:tcBorders>
              <w:top w:val="single" w:sz="4" w:space="0" w:color="E7E6E6"/>
              <w:left w:val="nil"/>
              <w:bottom w:val="single" w:sz="4" w:space="0" w:color="E7E6E6"/>
              <w:right w:val="nil"/>
            </w:tcBorders>
            <w:vAlign w:val="center"/>
          </w:tcPr>
          <w:p w14:paraId="68066921"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201/768 (26.2)</w:t>
            </w:r>
          </w:p>
        </w:tc>
      </w:tr>
      <w:tr w:rsidR="00375D78" w:rsidRPr="005B2AA7" w14:paraId="085D4146" w14:textId="77777777" w:rsidTr="00564AEE">
        <w:tc>
          <w:tcPr>
            <w:tcW w:w="6516" w:type="dxa"/>
            <w:tcBorders>
              <w:top w:val="single" w:sz="4" w:space="0" w:color="E7E6E6"/>
              <w:left w:val="nil"/>
              <w:bottom w:val="single" w:sz="4" w:space="0" w:color="E7E6E6"/>
              <w:right w:val="nil"/>
            </w:tcBorders>
            <w:vAlign w:val="bottom"/>
          </w:tcPr>
          <w:p w14:paraId="59B9687B" w14:textId="6E1815FF"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Not sure</w:t>
            </w:r>
          </w:p>
        </w:tc>
        <w:tc>
          <w:tcPr>
            <w:tcW w:w="1848" w:type="dxa"/>
            <w:tcBorders>
              <w:top w:val="single" w:sz="4" w:space="0" w:color="E7E6E6"/>
              <w:left w:val="nil"/>
              <w:bottom w:val="single" w:sz="4" w:space="0" w:color="E7E6E6"/>
              <w:right w:val="nil"/>
            </w:tcBorders>
            <w:vAlign w:val="center"/>
          </w:tcPr>
          <w:p w14:paraId="38EA1CBD"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34/768 (4.4)</w:t>
            </w:r>
          </w:p>
        </w:tc>
      </w:tr>
      <w:tr w:rsidR="00375D78" w:rsidRPr="005B2AA7" w14:paraId="603AD751" w14:textId="77777777" w:rsidTr="00564AEE">
        <w:tc>
          <w:tcPr>
            <w:tcW w:w="6516" w:type="dxa"/>
            <w:tcBorders>
              <w:top w:val="single" w:sz="4" w:space="0" w:color="E7E6E6"/>
              <w:left w:val="nil"/>
              <w:bottom w:val="single" w:sz="4" w:space="0" w:color="E7E6E6"/>
              <w:right w:val="nil"/>
            </w:tcBorders>
            <w:vAlign w:val="bottom"/>
          </w:tcPr>
          <w:p w14:paraId="7C9DE042"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vertAlign w:val="superscript"/>
                <w:lang w:val="en-US"/>
              </w:rPr>
            </w:pPr>
            <w:r w:rsidRPr="005B2AA7">
              <w:rPr>
                <w:rFonts w:ascii="Book Antiqua" w:eastAsia="Calibri" w:hAnsi="Book Antiqua" w:cs="Times New Roman"/>
                <w:sz w:val="24"/>
                <w:szCs w:val="24"/>
                <w:lang w:val="en-US"/>
              </w:rPr>
              <w:t>Intestinal surgery</w:t>
            </w:r>
          </w:p>
        </w:tc>
        <w:tc>
          <w:tcPr>
            <w:tcW w:w="1848" w:type="dxa"/>
            <w:tcBorders>
              <w:top w:val="single" w:sz="4" w:space="0" w:color="E7E6E6"/>
              <w:left w:val="nil"/>
              <w:bottom w:val="single" w:sz="4" w:space="0" w:color="E7E6E6"/>
              <w:right w:val="nil"/>
            </w:tcBorders>
            <w:vAlign w:val="center"/>
          </w:tcPr>
          <w:p w14:paraId="4FB14F45"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230/798 (28.8)</w:t>
            </w:r>
          </w:p>
        </w:tc>
      </w:tr>
      <w:tr w:rsidR="00375D78" w:rsidRPr="005B2AA7" w14:paraId="47844D11" w14:textId="77777777" w:rsidTr="00564AEE">
        <w:tc>
          <w:tcPr>
            <w:tcW w:w="6516" w:type="dxa"/>
            <w:tcBorders>
              <w:top w:val="single" w:sz="4" w:space="0" w:color="E7E6E6"/>
              <w:left w:val="nil"/>
              <w:bottom w:val="single" w:sz="4" w:space="0" w:color="E7E6E6"/>
              <w:right w:val="nil"/>
            </w:tcBorders>
            <w:vAlign w:val="bottom"/>
          </w:tcPr>
          <w:p w14:paraId="4C6322AE"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vertAlign w:val="superscript"/>
                <w:lang w:val="en-US"/>
              </w:rPr>
            </w:pPr>
            <w:r w:rsidRPr="005B2AA7">
              <w:rPr>
                <w:rFonts w:ascii="Book Antiqua" w:eastAsia="Calibri" w:hAnsi="Book Antiqua" w:cs="Times New Roman"/>
                <w:sz w:val="24"/>
                <w:szCs w:val="24"/>
                <w:lang w:val="en-US"/>
              </w:rPr>
              <w:t>Type of surgery</w:t>
            </w:r>
          </w:p>
        </w:tc>
        <w:tc>
          <w:tcPr>
            <w:tcW w:w="1848" w:type="dxa"/>
            <w:tcBorders>
              <w:top w:val="single" w:sz="4" w:space="0" w:color="E7E6E6"/>
              <w:left w:val="nil"/>
              <w:bottom w:val="single" w:sz="4" w:space="0" w:color="E7E6E6"/>
              <w:right w:val="nil"/>
            </w:tcBorders>
            <w:vAlign w:val="center"/>
          </w:tcPr>
          <w:p w14:paraId="12364867"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p>
        </w:tc>
      </w:tr>
      <w:tr w:rsidR="00375D78" w:rsidRPr="005B2AA7" w14:paraId="6CA9AFF3" w14:textId="77777777" w:rsidTr="00564AEE">
        <w:tc>
          <w:tcPr>
            <w:tcW w:w="6516" w:type="dxa"/>
            <w:tcBorders>
              <w:top w:val="single" w:sz="4" w:space="0" w:color="E7E6E6"/>
              <w:left w:val="nil"/>
              <w:bottom w:val="single" w:sz="4" w:space="0" w:color="E7E6E6"/>
              <w:right w:val="nil"/>
            </w:tcBorders>
            <w:vAlign w:val="bottom"/>
          </w:tcPr>
          <w:p w14:paraId="398D611D" w14:textId="2D10C841"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Partial colectomy</w:t>
            </w:r>
          </w:p>
        </w:tc>
        <w:tc>
          <w:tcPr>
            <w:tcW w:w="1848" w:type="dxa"/>
            <w:tcBorders>
              <w:top w:val="single" w:sz="4" w:space="0" w:color="E7E6E6"/>
              <w:left w:val="nil"/>
              <w:bottom w:val="single" w:sz="4" w:space="0" w:color="E7E6E6"/>
              <w:right w:val="nil"/>
            </w:tcBorders>
            <w:vAlign w:val="center"/>
          </w:tcPr>
          <w:p w14:paraId="7FD36A80"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41/798 (5.1)</w:t>
            </w:r>
          </w:p>
        </w:tc>
      </w:tr>
      <w:tr w:rsidR="00375D78" w:rsidRPr="005B2AA7" w14:paraId="693476D9" w14:textId="77777777" w:rsidTr="00564AEE">
        <w:tc>
          <w:tcPr>
            <w:tcW w:w="6516" w:type="dxa"/>
            <w:tcBorders>
              <w:top w:val="single" w:sz="4" w:space="0" w:color="E7E6E6"/>
              <w:left w:val="nil"/>
              <w:bottom w:val="single" w:sz="4" w:space="0" w:color="E7E6E6"/>
              <w:right w:val="nil"/>
            </w:tcBorders>
            <w:vAlign w:val="bottom"/>
          </w:tcPr>
          <w:p w14:paraId="44CFFC6E" w14:textId="77DF3FC0"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Full colectomy</w:t>
            </w:r>
          </w:p>
        </w:tc>
        <w:tc>
          <w:tcPr>
            <w:tcW w:w="1848" w:type="dxa"/>
            <w:tcBorders>
              <w:top w:val="single" w:sz="4" w:space="0" w:color="E7E6E6"/>
              <w:left w:val="nil"/>
              <w:bottom w:val="single" w:sz="4" w:space="0" w:color="E7E6E6"/>
              <w:right w:val="nil"/>
            </w:tcBorders>
            <w:vAlign w:val="center"/>
          </w:tcPr>
          <w:p w14:paraId="7A13EB3D"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29/798 (3.6)</w:t>
            </w:r>
          </w:p>
        </w:tc>
      </w:tr>
      <w:tr w:rsidR="00375D78" w:rsidRPr="005B2AA7" w14:paraId="65B3228D" w14:textId="77777777" w:rsidTr="00564AEE">
        <w:tc>
          <w:tcPr>
            <w:tcW w:w="6516" w:type="dxa"/>
            <w:tcBorders>
              <w:top w:val="single" w:sz="4" w:space="0" w:color="E7E6E6"/>
              <w:left w:val="nil"/>
              <w:bottom w:val="single" w:sz="4" w:space="0" w:color="E7E6E6"/>
              <w:right w:val="nil"/>
            </w:tcBorders>
            <w:vAlign w:val="bottom"/>
          </w:tcPr>
          <w:p w14:paraId="1CC04E0F" w14:textId="4A9D964B"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Small-bowel resection</w:t>
            </w:r>
          </w:p>
        </w:tc>
        <w:tc>
          <w:tcPr>
            <w:tcW w:w="1848" w:type="dxa"/>
            <w:tcBorders>
              <w:top w:val="single" w:sz="4" w:space="0" w:color="E7E6E6"/>
              <w:left w:val="nil"/>
              <w:bottom w:val="single" w:sz="4" w:space="0" w:color="E7E6E6"/>
              <w:right w:val="nil"/>
            </w:tcBorders>
            <w:vAlign w:val="center"/>
          </w:tcPr>
          <w:p w14:paraId="187F4628"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48/798 (6.0)</w:t>
            </w:r>
          </w:p>
        </w:tc>
      </w:tr>
      <w:tr w:rsidR="00375D78" w:rsidRPr="005B2AA7" w14:paraId="2D771289" w14:textId="77777777" w:rsidTr="00564AEE">
        <w:tc>
          <w:tcPr>
            <w:tcW w:w="6516" w:type="dxa"/>
            <w:tcBorders>
              <w:top w:val="single" w:sz="4" w:space="0" w:color="E7E6E6"/>
              <w:left w:val="nil"/>
              <w:bottom w:val="single" w:sz="4" w:space="0" w:color="E7E6E6"/>
              <w:right w:val="nil"/>
            </w:tcBorders>
            <w:vAlign w:val="bottom"/>
          </w:tcPr>
          <w:p w14:paraId="24417A01" w14:textId="1A9BAAAB"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Ileocaecal resection</w:t>
            </w:r>
          </w:p>
        </w:tc>
        <w:tc>
          <w:tcPr>
            <w:tcW w:w="1848" w:type="dxa"/>
            <w:tcBorders>
              <w:top w:val="single" w:sz="4" w:space="0" w:color="E7E6E6"/>
              <w:left w:val="nil"/>
              <w:bottom w:val="single" w:sz="4" w:space="0" w:color="E7E6E6"/>
              <w:right w:val="nil"/>
            </w:tcBorders>
            <w:vAlign w:val="center"/>
          </w:tcPr>
          <w:p w14:paraId="7EF238B9"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94/798 (11.8)</w:t>
            </w:r>
          </w:p>
        </w:tc>
      </w:tr>
      <w:tr w:rsidR="00375D78" w:rsidRPr="005B2AA7" w14:paraId="12AB217A" w14:textId="77777777" w:rsidTr="00564AEE">
        <w:tc>
          <w:tcPr>
            <w:tcW w:w="6516" w:type="dxa"/>
            <w:tcBorders>
              <w:top w:val="single" w:sz="4" w:space="0" w:color="E7E6E6"/>
              <w:left w:val="nil"/>
              <w:bottom w:val="single" w:sz="4" w:space="0" w:color="E7E6E6"/>
              <w:right w:val="nil"/>
            </w:tcBorders>
            <w:vAlign w:val="bottom"/>
          </w:tcPr>
          <w:p w14:paraId="4C0ED907" w14:textId="60EF196B"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Other</w:t>
            </w:r>
          </w:p>
        </w:tc>
        <w:tc>
          <w:tcPr>
            <w:tcW w:w="1848" w:type="dxa"/>
            <w:tcBorders>
              <w:top w:val="single" w:sz="4" w:space="0" w:color="E7E6E6"/>
              <w:left w:val="nil"/>
              <w:bottom w:val="single" w:sz="4" w:space="0" w:color="E7E6E6"/>
              <w:right w:val="nil"/>
            </w:tcBorders>
            <w:vAlign w:val="center"/>
          </w:tcPr>
          <w:p w14:paraId="70A8B16A"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79/798 (9.9)</w:t>
            </w:r>
          </w:p>
        </w:tc>
      </w:tr>
      <w:tr w:rsidR="00375D78" w:rsidRPr="005B2AA7" w14:paraId="47703D85" w14:textId="77777777" w:rsidTr="00564AEE">
        <w:tc>
          <w:tcPr>
            <w:tcW w:w="6516" w:type="dxa"/>
            <w:tcBorders>
              <w:top w:val="single" w:sz="4" w:space="0" w:color="E7E6E6"/>
              <w:left w:val="nil"/>
              <w:bottom w:val="single" w:sz="4" w:space="0" w:color="E7E6E6"/>
              <w:right w:val="nil"/>
            </w:tcBorders>
            <w:vAlign w:val="bottom"/>
          </w:tcPr>
          <w:p w14:paraId="4A300370"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Current IBD-related medications</w:t>
            </w:r>
          </w:p>
        </w:tc>
        <w:tc>
          <w:tcPr>
            <w:tcW w:w="1848" w:type="dxa"/>
            <w:tcBorders>
              <w:top w:val="single" w:sz="4" w:space="0" w:color="E7E6E6"/>
              <w:left w:val="nil"/>
              <w:bottom w:val="single" w:sz="4" w:space="0" w:color="E7E6E6"/>
              <w:right w:val="nil"/>
            </w:tcBorders>
            <w:vAlign w:val="center"/>
          </w:tcPr>
          <w:p w14:paraId="2F00A96B"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p>
        </w:tc>
      </w:tr>
      <w:tr w:rsidR="00375D78" w:rsidRPr="005B2AA7" w14:paraId="55DC3694" w14:textId="77777777" w:rsidTr="00564AEE">
        <w:tc>
          <w:tcPr>
            <w:tcW w:w="6516" w:type="dxa"/>
            <w:tcBorders>
              <w:top w:val="single" w:sz="4" w:space="0" w:color="E7E6E6"/>
              <w:left w:val="nil"/>
              <w:bottom w:val="single" w:sz="4" w:space="0" w:color="E7E6E6"/>
              <w:right w:val="nil"/>
            </w:tcBorders>
            <w:vAlign w:val="bottom"/>
          </w:tcPr>
          <w:p w14:paraId="37F4F461" w14:textId="4FAEF9A8"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Antibiotics</w:t>
            </w:r>
          </w:p>
        </w:tc>
        <w:tc>
          <w:tcPr>
            <w:tcW w:w="1848" w:type="dxa"/>
            <w:tcBorders>
              <w:top w:val="single" w:sz="4" w:space="0" w:color="E7E6E6"/>
              <w:left w:val="nil"/>
              <w:bottom w:val="single" w:sz="4" w:space="0" w:color="E7E6E6"/>
              <w:right w:val="nil"/>
            </w:tcBorders>
            <w:shd w:val="clear" w:color="auto" w:fill="auto"/>
            <w:vAlign w:val="center"/>
          </w:tcPr>
          <w:p w14:paraId="4B4FF7A4"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41/798 (5.1)</w:t>
            </w:r>
          </w:p>
        </w:tc>
      </w:tr>
      <w:tr w:rsidR="00375D78" w:rsidRPr="005B2AA7" w14:paraId="4695D42A" w14:textId="77777777" w:rsidTr="00564AEE">
        <w:trPr>
          <w:trHeight w:val="71"/>
        </w:trPr>
        <w:tc>
          <w:tcPr>
            <w:tcW w:w="6516" w:type="dxa"/>
            <w:tcBorders>
              <w:top w:val="single" w:sz="4" w:space="0" w:color="E7E6E6"/>
              <w:left w:val="nil"/>
              <w:bottom w:val="single" w:sz="4" w:space="0" w:color="E7E6E6"/>
              <w:right w:val="nil"/>
            </w:tcBorders>
            <w:vAlign w:val="bottom"/>
          </w:tcPr>
          <w:p w14:paraId="7C26AA19" w14:textId="06AC8F6E"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Oral aminosalicylate</w:t>
            </w:r>
          </w:p>
        </w:tc>
        <w:tc>
          <w:tcPr>
            <w:tcW w:w="1848" w:type="dxa"/>
            <w:tcBorders>
              <w:top w:val="single" w:sz="4" w:space="0" w:color="E7E6E6"/>
              <w:left w:val="nil"/>
              <w:bottom w:val="single" w:sz="4" w:space="0" w:color="E7E6E6"/>
              <w:right w:val="nil"/>
            </w:tcBorders>
            <w:shd w:val="clear" w:color="auto" w:fill="FFFFFF"/>
            <w:vAlign w:val="center"/>
          </w:tcPr>
          <w:p w14:paraId="72587538"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318/798 (39.8)</w:t>
            </w:r>
          </w:p>
        </w:tc>
      </w:tr>
      <w:tr w:rsidR="00375D78" w:rsidRPr="005B2AA7" w14:paraId="05F1D256" w14:textId="77777777" w:rsidTr="00564AEE">
        <w:tc>
          <w:tcPr>
            <w:tcW w:w="6516" w:type="dxa"/>
            <w:tcBorders>
              <w:top w:val="single" w:sz="4" w:space="0" w:color="E7E6E6"/>
              <w:left w:val="nil"/>
              <w:bottom w:val="single" w:sz="4" w:space="0" w:color="E7E6E6"/>
              <w:right w:val="nil"/>
            </w:tcBorders>
            <w:vAlign w:val="bottom"/>
          </w:tcPr>
          <w:p w14:paraId="7CF91B9B" w14:textId="250729EE"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Topical aminosalicylate</w:t>
            </w:r>
          </w:p>
        </w:tc>
        <w:tc>
          <w:tcPr>
            <w:tcW w:w="1848" w:type="dxa"/>
            <w:tcBorders>
              <w:top w:val="single" w:sz="4" w:space="0" w:color="E7E6E6"/>
              <w:left w:val="nil"/>
              <w:bottom w:val="single" w:sz="4" w:space="0" w:color="E7E6E6"/>
              <w:right w:val="nil"/>
            </w:tcBorders>
            <w:shd w:val="clear" w:color="auto" w:fill="FFFFFF"/>
            <w:vAlign w:val="center"/>
          </w:tcPr>
          <w:p w14:paraId="7BA50D07"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91/798 (11.4)</w:t>
            </w:r>
          </w:p>
        </w:tc>
      </w:tr>
      <w:tr w:rsidR="00375D78" w:rsidRPr="005B2AA7" w14:paraId="5F2B5C49" w14:textId="77777777" w:rsidTr="00564AEE">
        <w:tc>
          <w:tcPr>
            <w:tcW w:w="6516" w:type="dxa"/>
            <w:tcBorders>
              <w:top w:val="single" w:sz="4" w:space="0" w:color="E7E6E6"/>
              <w:left w:val="nil"/>
              <w:bottom w:val="single" w:sz="4" w:space="0" w:color="E7E6E6"/>
              <w:right w:val="nil"/>
            </w:tcBorders>
            <w:vAlign w:val="bottom"/>
          </w:tcPr>
          <w:p w14:paraId="291EEC69" w14:textId="1EE0676E"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Topical steroid</w:t>
            </w:r>
          </w:p>
        </w:tc>
        <w:tc>
          <w:tcPr>
            <w:tcW w:w="1848" w:type="dxa"/>
            <w:tcBorders>
              <w:top w:val="single" w:sz="4" w:space="0" w:color="E7E6E6"/>
              <w:left w:val="nil"/>
              <w:bottom w:val="single" w:sz="4" w:space="0" w:color="E7E6E6"/>
              <w:right w:val="nil"/>
            </w:tcBorders>
            <w:shd w:val="clear" w:color="auto" w:fill="FFFFFF"/>
            <w:vAlign w:val="center"/>
          </w:tcPr>
          <w:p w14:paraId="22603058"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47/798 (5.9)</w:t>
            </w:r>
          </w:p>
        </w:tc>
      </w:tr>
      <w:tr w:rsidR="00375D78" w:rsidRPr="005B2AA7" w14:paraId="2F59E4C1" w14:textId="77777777" w:rsidTr="00564AEE">
        <w:tc>
          <w:tcPr>
            <w:tcW w:w="6516" w:type="dxa"/>
            <w:tcBorders>
              <w:top w:val="single" w:sz="4" w:space="0" w:color="E7E6E6"/>
              <w:left w:val="nil"/>
              <w:bottom w:val="single" w:sz="4" w:space="0" w:color="E7E6E6"/>
              <w:right w:val="nil"/>
            </w:tcBorders>
            <w:vAlign w:val="bottom"/>
          </w:tcPr>
          <w:p w14:paraId="1D803ED4" w14:textId="21ECA3E1"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Systemic steroid</w:t>
            </w:r>
          </w:p>
        </w:tc>
        <w:tc>
          <w:tcPr>
            <w:tcW w:w="1848" w:type="dxa"/>
            <w:tcBorders>
              <w:top w:val="single" w:sz="4" w:space="0" w:color="E7E6E6"/>
              <w:left w:val="nil"/>
              <w:bottom w:val="single" w:sz="4" w:space="0" w:color="E7E6E6"/>
              <w:right w:val="nil"/>
            </w:tcBorders>
            <w:shd w:val="clear" w:color="auto" w:fill="FFFFFF"/>
            <w:vAlign w:val="center"/>
          </w:tcPr>
          <w:p w14:paraId="5BF70A7A"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78/798 (9.8)</w:t>
            </w:r>
          </w:p>
        </w:tc>
      </w:tr>
      <w:tr w:rsidR="00375D78" w:rsidRPr="005B2AA7" w14:paraId="18A5609B" w14:textId="77777777" w:rsidTr="00564AEE">
        <w:tc>
          <w:tcPr>
            <w:tcW w:w="6516" w:type="dxa"/>
            <w:tcBorders>
              <w:top w:val="single" w:sz="4" w:space="0" w:color="E7E6E6"/>
              <w:left w:val="nil"/>
              <w:bottom w:val="single" w:sz="4" w:space="0" w:color="E7E6E6"/>
              <w:right w:val="nil"/>
            </w:tcBorders>
            <w:vAlign w:val="bottom"/>
          </w:tcPr>
          <w:p w14:paraId="26A99250" w14:textId="0E57BC11"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Budesonide</w:t>
            </w:r>
          </w:p>
        </w:tc>
        <w:tc>
          <w:tcPr>
            <w:tcW w:w="1848" w:type="dxa"/>
            <w:tcBorders>
              <w:top w:val="single" w:sz="4" w:space="0" w:color="E7E6E6"/>
              <w:left w:val="nil"/>
              <w:bottom w:val="single" w:sz="4" w:space="0" w:color="E7E6E6"/>
              <w:right w:val="nil"/>
            </w:tcBorders>
            <w:shd w:val="clear" w:color="auto" w:fill="FFFFFF"/>
            <w:vAlign w:val="center"/>
          </w:tcPr>
          <w:p w14:paraId="525EC481"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28/798 (3.5)</w:t>
            </w:r>
          </w:p>
        </w:tc>
      </w:tr>
      <w:tr w:rsidR="00375D78" w:rsidRPr="005B2AA7" w14:paraId="7488036F" w14:textId="77777777" w:rsidTr="00564AEE">
        <w:tc>
          <w:tcPr>
            <w:tcW w:w="6516" w:type="dxa"/>
            <w:tcBorders>
              <w:top w:val="single" w:sz="4" w:space="0" w:color="E7E6E6"/>
              <w:left w:val="nil"/>
              <w:bottom w:val="single" w:sz="4" w:space="0" w:color="E7E6E6"/>
              <w:right w:val="nil"/>
            </w:tcBorders>
            <w:vAlign w:val="bottom"/>
          </w:tcPr>
          <w:p w14:paraId="1B77E8B0" w14:textId="56D69D09"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Immunomodulator</w:t>
            </w:r>
          </w:p>
        </w:tc>
        <w:tc>
          <w:tcPr>
            <w:tcW w:w="1848" w:type="dxa"/>
            <w:tcBorders>
              <w:top w:val="single" w:sz="4" w:space="0" w:color="E7E6E6"/>
              <w:left w:val="nil"/>
              <w:bottom w:val="single" w:sz="4" w:space="0" w:color="E7E6E6"/>
              <w:right w:val="nil"/>
            </w:tcBorders>
            <w:shd w:val="clear" w:color="auto" w:fill="FFFFFF"/>
            <w:vAlign w:val="center"/>
          </w:tcPr>
          <w:p w14:paraId="62265B43"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213/798 (26.7)</w:t>
            </w:r>
          </w:p>
        </w:tc>
      </w:tr>
      <w:tr w:rsidR="00375D78" w:rsidRPr="005B2AA7" w14:paraId="356DC75F" w14:textId="77777777" w:rsidTr="00564AEE">
        <w:tc>
          <w:tcPr>
            <w:tcW w:w="6516" w:type="dxa"/>
            <w:tcBorders>
              <w:top w:val="single" w:sz="4" w:space="0" w:color="E7E6E6"/>
              <w:left w:val="nil"/>
              <w:bottom w:val="single" w:sz="4" w:space="0" w:color="E7E6E6"/>
              <w:right w:val="nil"/>
            </w:tcBorders>
            <w:vAlign w:val="bottom"/>
          </w:tcPr>
          <w:p w14:paraId="20F8C152" w14:textId="02533957"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Anti-TNF</w:t>
            </w:r>
          </w:p>
        </w:tc>
        <w:tc>
          <w:tcPr>
            <w:tcW w:w="1848" w:type="dxa"/>
            <w:tcBorders>
              <w:top w:val="single" w:sz="4" w:space="0" w:color="E7E6E6"/>
              <w:left w:val="nil"/>
              <w:bottom w:val="single" w:sz="4" w:space="0" w:color="E7E6E6"/>
              <w:right w:val="nil"/>
            </w:tcBorders>
            <w:shd w:val="clear" w:color="auto" w:fill="FFFFFF"/>
            <w:vAlign w:val="center"/>
          </w:tcPr>
          <w:p w14:paraId="021D3458"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225/798 (28.2)</w:t>
            </w:r>
          </w:p>
        </w:tc>
      </w:tr>
      <w:tr w:rsidR="00375D78" w:rsidRPr="005B2AA7" w14:paraId="603F58EB" w14:textId="77777777" w:rsidTr="00564AEE">
        <w:tc>
          <w:tcPr>
            <w:tcW w:w="6516" w:type="dxa"/>
            <w:tcBorders>
              <w:top w:val="single" w:sz="4" w:space="0" w:color="E7E6E6"/>
              <w:left w:val="nil"/>
              <w:bottom w:val="single" w:sz="4" w:space="0" w:color="E7E6E6"/>
              <w:right w:val="nil"/>
            </w:tcBorders>
            <w:vAlign w:val="bottom"/>
          </w:tcPr>
          <w:p w14:paraId="4F865238" w14:textId="4DCB74A1"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Combination of anti-TNF and immunomodulator</w:t>
            </w:r>
          </w:p>
        </w:tc>
        <w:tc>
          <w:tcPr>
            <w:tcW w:w="1848" w:type="dxa"/>
            <w:tcBorders>
              <w:top w:val="single" w:sz="4" w:space="0" w:color="E7E6E6"/>
              <w:left w:val="nil"/>
              <w:bottom w:val="single" w:sz="4" w:space="0" w:color="E7E6E6"/>
              <w:right w:val="nil"/>
            </w:tcBorders>
            <w:shd w:val="clear" w:color="auto" w:fill="FFFFFF"/>
            <w:vAlign w:val="center"/>
          </w:tcPr>
          <w:p w14:paraId="6F0CFC7E"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69/798 (8.6)</w:t>
            </w:r>
          </w:p>
        </w:tc>
      </w:tr>
      <w:tr w:rsidR="00375D78" w:rsidRPr="005B2AA7" w14:paraId="602C7C6F" w14:textId="77777777" w:rsidTr="00564AEE">
        <w:tc>
          <w:tcPr>
            <w:tcW w:w="6516" w:type="dxa"/>
            <w:tcBorders>
              <w:top w:val="single" w:sz="4" w:space="0" w:color="E7E6E6"/>
              <w:left w:val="nil"/>
              <w:bottom w:val="single" w:sz="4" w:space="0" w:color="E7E6E6"/>
              <w:right w:val="nil"/>
            </w:tcBorders>
            <w:vAlign w:val="bottom"/>
          </w:tcPr>
          <w:p w14:paraId="794325FB" w14:textId="11461CE9"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Anti-integrin</w:t>
            </w:r>
          </w:p>
        </w:tc>
        <w:tc>
          <w:tcPr>
            <w:tcW w:w="1848" w:type="dxa"/>
            <w:tcBorders>
              <w:top w:val="single" w:sz="4" w:space="0" w:color="E7E6E6"/>
              <w:left w:val="nil"/>
              <w:bottom w:val="single" w:sz="4" w:space="0" w:color="E7E6E6"/>
              <w:right w:val="nil"/>
            </w:tcBorders>
            <w:shd w:val="clear" w:color="auto" w:fill="FFFFFF"/>
            <w:vAlign w:val="center"/>
          </w:tcPr>
          <w:p w14:paraId="2014FCA1"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51/798 (6.4)</w:t>
            </w:r>
          </w:p>
        </w:tc>
      </w:tr>
      <w:tr w:rsidR="00375D78" w:rsidRPr="005B2AA7" w14:paraId="73E02079" w14:textId="77777777" w:rsidTr="00564AEE">
        <w:tc>
          <w:tcPr>
            <w:tcW w:w="6516" w:type="dxa"/>
            <w:tcBorders>
              <w:top w:val="single" w:sz="4" w:space="0" w:color="E7E6E6"/>
              <w:left w:val="nil"/>
              <w:bottom w:val="single" w:sz="4" w:space="0" w:color="E7E6E6"/>
              <w:right w:val="nil"/>
            </w:tcBorders>
            <w:vAlign w:val="bottom"/>
          </w:tcPr>
          <w:p w14:paraId="25AEA743" w14:textId="49CFC7A6"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Tofacitinib</w:t>
            </w:r>
          </w:p>
        </w:tc>
        <w:tc>
          <w:tcPr>
            <w:tcW w:w="1848" w:type="dxa"/>
            <w:tcBorders>
              <w:top w:val="single" w:sz="4" w:space="0" w:color="E7E6E6"/>
              <w:left w:val="nil"/>
              <w:bottom w:val="single" w:sz="4" w:space="0" w:color="E7E6E6"/>
              <w:right w:val="nil"/>
            </w:tcBorders>
            <w:shd w:val="clear" w:color="auto" w:fill="FFFFFF"/>
            <w:vAlign w:val="center"/>
          </w:tcPr>
          <w:p w14:paraId="38536F43"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6/798 (0.8)</w:t>
            </w:r>
          </w:p>
        </w:tc>
      </w:tr>
      <w:tr w:rsidR="00375D78" w:rsidRPr="005B2AA7" w14:paraId="00443203" w14:textId="77777777" w:rsidTr="00564AEE">
        <w:tc>
          <w:tcPr>
            <w:tcW w:w="6516" w:type="dxa"/>
            <w:tcBorders>
              <w:top w:val="single" w:sz="4" w:space="0" w:color="E7E6E6"/>
              <w:left w:val="nil"/>
              <w:bottom w:val="single" w:sz="4" w:space="0" w:color="E7E6E6"/>
              <w:right w:val="nil"/>
            </w:tcBorders>
            <w:vAlign w:val="bottom"/>
          </w:tcPr>
          <w:p w14:paraId="784AB891" w14:textId="432AFD34"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lastRenderedPageBreak/>
              <w:t xml:space="preserve"> </w:t>
            </w:r>
            <w:r w:rsidR="00375D78" w:rsidRPr="005B2AA7">
              <w:rPr>
                <w:rFonts w:ascii="Book Antiqua" w:eastAsia="Calibri" w:hAnsi="Book Antiqua" w:cs="Times New Roman"/>
                <w:sz w:val="24"/>
                <w:szCs w:val="24"/>
                <w:lang w:val="en-US"/>
              </w:rPr>
              <w:t>Ustekinumab</w:t>
            </w:r>
          </w:p>
        </w:tc>
        <w:tc>
          <w:tcPr>
            <w:tcW w:w="1848" w:type="dxa"/>
            <w:tcBorders>
              <w:top w:val="single" w:sz="4" w:space="0" w:color="E7E6E6"/>
              <w:left w:val="nil"/>
              <w:bottom w:val="single" w:sz="4" w:space="0" w:color="E7E6E6"/>
              <w:right w:val="nil"/>
            </w:tcBorders>
            <w:shd w:val="clear" w:color="auto" w:fill="FFFFFF"/>
            <w:vAlign w:val="center"/>
          </w:tcPr>
          <w:p w14:paraId="65978131"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28/798 (3.5)</w:t>
            </w:r>
          </w:p>
        </w:tc>
      </w:tr>
      <w:tr w:rsidR="00375D78" w:rsidRPr="005B2AA7" w14:paraId="58D192E5" w14:textId="77777777" w:rsidTr="00564AEE">
        <w:tc>
          <w:tcPr>
            <w:tcW w:w="6516" w:type="dxa"/>
            <w:tcBorders>
              <w:top w:val="single" w:sz="4" w:space="0" w:color="E7E6E6"/>
              <w:left w:val="nil"/>
              <w:bottom w:val="single" w:sz="4" w:space="0" w:color="E7E6E6"/>
              <w:right w:val="nil"/>
            </w:tcBorders>
            <w:vAlign w:val="bottom"/>
          </w:tcPr>
          <w:p w14:paraId="533F3E35" w14:textId="63407BD2"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None</w:t>
            </w:r>
          </w:p>
        </w:tc>
        <w:tc>
          <w:tcPr>
            <w:tcW w:w="1848" w:type="dxa"/>
            <w:tcBorders>
              <w:top w:val="single" w:sz="4" w:space="0" w:color="E7E6E6"/>
              <w:left w:val="nil"/>
              <w:bottom w:val="single" w:sz="4" w:space="0" w:color="E7E6E6"/>
              <w:right w:val="nil"/>
            </w:tcBorders>
            <w:shd w:val="clear" w:color="auto" w:fill="FFFFFF"/>
            <w:vAlign w:val="center"/>
          </w:tcPr>
          <w:p w14:paraId="3C425C09"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76/798 (9.5)</w:t>
            </w:r>
          </w:p>
        </w:tc>
      </w:tr>
      <w:tr w:rsidR="00375D78" w:rsidRPr="005B2AA7" w14:paraId="3110263F" w14:textId="77777777" w:rsidTr="00564AEE">
        <w:tc>
          <w:tcPr>
            <w:tcW w:w="6516" w:type="dxa"/>
            <w:tcBorders>
              <w:top w:val="single" w:sz="4" w:space="0" w:color="E7E6E6"/>
              <w:left w:val="nil"/>
              <w:bottom w:val="single" w:sz="4" w:space="0" w:color="E7E6E6"/>
              <w:right w:val="nil"/>
            </w:tcBorders>
            <w:vAlign w:val="bottom"/>
          </w:tcPr>
          <w:p w14:paraId="7AFD3BEC" w14:textId="3BDB0F84"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Other</w:t>
            </w:r>
          </w:p>
        </w:tc>
        <w:tc>
          <w:tcPr>
            <w:tcW w:w="1848" w:type="dxa"/>
            <w:tcBorders>
              <w:top w:val="single" w:sz="4" w:space="0" w:color="E7E6E6"/>
              <w:left w:val="nil"/>
              <w:bottom w:val="single" w:sz="4" w:space="0" w:color="E7E6E6"/>
              <w:right w:val="nil"/>
            </w:tcBorders>
            <w:shd w:val="clear" w:color="auto" w:fill="FFFFFF"/>
            <w:vAlign w:val="center"/>
          </w:tcPr>
          <w:p w14:paraId="5FF0B9AE"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135/798 (16.9)</w:t>
            </w:r>
          </w:p>
        </w:tc>
      </w:tr>
      <w:tr w:rsidR="00375D78" w:rsidRPr="005B2AA7" w14:paraId="4B809935" w14:textId="77777777" w:rsidTr="00564AEE">
        <w:tc>
          <w:tcPr>
            <w:tcW w:w="6516" w:type="dxa"/>
            <w:tcBorders>
              <w:top w:val="single" w:sz="4" w:space="0" w:color="E7E6E6"/>
              <w:left w:val="nil"/>
              <w:bottom w:val="single" w:sz="4" w:space="0" w:color="E7E6E6"/>
              <w:right w:val="nil"/>
            </w:tcBorders>
            <w:vAlign w:val="bottom"/>
          </w:tcPr>
          <w:p w14:paraId="53981727" w14:textId="650DE076"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Duration of current medical therapy (y</w:t>
            </w:r>
            <w:r w:rsidR="00907720" w:rsidRPr="005B2AA7">
              <w:rPr>
                <w:rFonts w:ascii="Book Antiqua" w:hAnsi="Book Antiqua" w:cs="Times New Roman"/>
                <w:sz w:val="24"/>
                <w:szCs w:val="24"/>
                <w:lang w:val="en-US" w:eastAsia="zh-CN"/>
              </w:rPr>
              <w:t>r</w:t>
            </w:r>
            <w:r w:rsidRPr="005B2AA7">
              <w:rPr>
                <w:rFonts w:ascii="Book Antiqua" w:eastAsia="Calibri" w:hAnsi="Book Antiqua" w:cs="Times New Roman"/>
                <w:sz w:val="24"/>
                <w:szCs w:val="24"/>
                <w:lang w:val="en-US"/>
              </w:rPr>
              <w:t>)</w:t>
            </w:r>
          </w:p>
        </w:tc>
        <w:tc>
          <w:tcPr>
            <w:tcW w:w="1848" w:type="dxa"/>
            <w:tcBorders>
              <w:top w:val="single" w:sz="4" w:space="0" w:color="E7E6E6"/>
              <w:left w:val="nil"/>
              <w:bottom w:val="single" w:sz="4" w:space="0" w:color="E7E6E6"/>
              <w:right w:val="nil"/>
            </w:tcBorders>
            <w:vAlign w:val="center"/>
          </w:tcPr>
          <w:p w14:paraId="0CBD0BF6"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p>
        </w:tc>
      </w:tr>
      <w:tr w:rsidR="00375D78" w:rsidRPr="005B2AA7" w14:paraId="0B5BF42B" w14:textId="77777777" w:rsidTr="00564AEE">
        <w:tc>
          <w:tcPr>
            <w:tcW w:w="6516" w:type="dxa"/>
            <w:tcBorders>
              <w:top w:val="single" w:sz="4" w:space="0" w:color="E7E6E6"/>
              <w:left w:val="nil"/>
              <w:bottom w:val="single" w:sz="4" w:space="0" w:color="E7E6E6"/>
              <w:right w:val="nil"/>
            </w:tcBorders>
            <w:vAlign w:val="bottom"/>
          </w:tcPr>
          <w:p w14:paraId="1F8272FA" w14:textId="5DEF07D4"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&lt;</w:t>
            </w:r>
            <w:r w:rsidR="00907720"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1</w:t>
            </w:r>
            <w:r w:rsidRPr="005B2AA7">
              <w:rPr>
                <w:rFonts w:ascii="Book Antiqua" w:eastAsia="Calibri" w:hAnsi="Book Antiqua" w:cs="Times New Roman"/>
                <w:sz w:val="24"/>
                <w:szCs w:val="24"/>
                <w:lang w:val="en-US"/>
              </w:rPr>
              <w:t xml:space="preserve"> </w:t>
            </w:r>
          </w:p>
        </w:tc>
        <w:tc>
          <w:tcPr>
            <w:tcW w:w="1848" w:type="dxa"/>
            <w:tcBorders>
              <w:top w:val="single" w:sz="4" w:space="0" w:color="E7E6E6"/>
              <w:left w:val="nil"/>
              <w:bottom w:val="single" w:sz="4" w:space="0" w:color="E7E6E6"/>
              <w:right w:val="nil"/>
            </w:tcBorders>
            <w:vAlign w:val="center"/>
          </w:tcPr>
          <w:p w14:paraId="6A81A9CC"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240/765 (31.4)</w:t>
            </w:r>
          </w:p>
        </w:tc>
      </w:tr>
      <w:tr w:rsidR="00375D78" w:rsidRPr="005B2AA7" w14:paraId="749A67A5" w14:textId="77777777" w:rsidTr="00564AEE">
        <w:tc>
          <w:tcPr>
            <w:tcW w:w="6516" w:type="dxa"/>
            <w:tcBorders>
              <w:top w:val="single" w:sz="4" w:space="0" w:color="E7E6E6"/>
              <w:left w:val="nil"/>
              <w:bottom w:val="single" w:sz="4" w:space="0" w:color="E7E6E6"/>
              <w:right w:val="nil"/>
            </w:tcBorders>
            <w:vAlign w:val="bottom"/>
          </w:tcPr>
          <w:p w14:paraId="61B2CF2A" w14:textId="360C37CB"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1-5</w:t>
            </w:r>
          </w:p>
        </w:tc>
        <w:tc>
          <w:tcPr>
            <w:tcW w:w="1848" w:type="dxa"/>
            <w:tcBorders>
              <w:top w:val="single" w:sz="4" w:space="0" w:color="E7E6E6"/>
              <w:left w:val="nil"/>
              <w:bottom w:val="single" w:sz="4" w:space="0" w:color="E7E6E6"/>
              <w:right w:val="nil"/>
            </w:tcBorders>
            <w:vAlign w:val="center"/>
          </w:tcPr>
          <w:p w14:paraId="23C26B48"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262/765 (34.2)</w:t>
            </w:r>
          </w:p>
        </w:tc>
      </w:tr>
      <w:tr w:rsidR="00375D78" w:rsidRPr="005B2AA7" w14:paraId="0BEA8872" w14:textId="77777777" w:rsidTr="00564AEE">
        <w:tc>
          <w:tcPr>
            <w:tcW w:w="6516" w:type="dxa"/>
            <w:tcBorders>
              <w:top w:val="single" w:sz="4" w:space="0" w:color="E7E6E6"/>
              <w:left w:val="nil"/>
              <w:bottom w:val="single" w:sz="4" w:space="0" w:color="E7E6E6"/>
              <w:right w:val="nil"/>
            </w:tcBorders>
            <w:vAlign w:val="bottom"/>
          </w:tcPr>
          <w:p w14:paraId="62871183" w14:textId="0DC5302E"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&gt;</w:t>
            </w:r>
            <w:r w:rsidR="00907720"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5</w:t>
            </w:r>
          </w:p>
        </w:tc>
        <w:tc>
          <w:tcPr>
            <w:tcW w:w="1848" w:type="dxa"/>
            <w:tcBorders>
              <w:top w:val="single" w:sz="4" w:space="0" w:color="E7E6E6"/>
              <w:left w:val="nil"/>
              <w:bottom w:val="single" w:sz="4" w:space="0" w:color="E7E6E6"/>
              <w:right w:val="nil"/>
            </w:tcBorders>
            <w:vAlign w:val="center"/>
          </w:tcPr>
          <w:p w14:paraId="72B7B012"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263/765 (34.4)</w:t>
            </w:r>
          </w:p>
        </w:tc>
      </w:tr>
      <w:tr w:rsidR="00375D78" w:rsidRPr="005B2AA7" w14:paraId="65DEE223" w14:textId="77777777" w:rsidTr="00564AEE">
        <w:tc>
          <w:tcPr>
            <w:tcW w:w="6516" w:type="dxa"/>
            <w:tcBorders>
              <w:top w:val="single" w:sz="4" w:space="0" w:color="E7E6E6"/>
              <w:left w:val="nil"/>
              <w:bottom w:val="single" w:sz="4" w:space="0" w:color="E7E6E6"/>
              <w:right w:val="nil"/>
            </w:tcBorders>
            <w:vAlign w:val="bottom"/>
          </w:tcPr>
          <w:p w14:paraId="3F813217"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Concomitant non-IBD drug treatment</w:t>
            </w:r>
          </w:p>
        </w:tc>
        <w:tc>
          <w:tcPr>
            <w:tcW w:w="1848" w:type="dxa"/>
            <w:tcBorders>
              <w:top w:val="single" w:sz="4" w:space="0" w:color="E7E6E6"/>
              <w:left w:val="nil"/>
              <w:bottom w:val="single" w:sz="4" w:space="0" w:color="E7E6E6"/>
              <w:right w:val="nil"/>
            </w:tcBorders>
            <w:vAlign w:val="center"/>
          </w:tcPr>
          <w:p w14:paraId="5A6B6A6E"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p>
        </w:tc>
      </w:tr>
      <w:tr w:rsidR="00375D78" w:rsidRPr="005B2AA7" w14:paraId="2D39D696" w14:textId="77777777" w:rsidTr="00564AEE">
        <w:tc>
          <w:tcPr>
            <w:tcW w:w="6516" w:type="dxa"/>
            <w:tcBorders>
              <w:top w:val="single" w:sz="4" w:space="0" w:color="E7E6E6"/>
              <w:left w:val="nil"/>
              <w:bottom w:val="single" w:sz="4" w:space="0" w:color="E7E6E6"/>
              <w:right w:val="nil"/>
            </w:tcBorders>
            <w:vAlign w:val="bottom"/>
          </w:tcPr>
          <w:p w14:paraId="3296534C" w14:textId="60D6087C"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Yes</w:t>
            </w:r>
          </w:p>
        </w:tc>
        <w:tc>
          <w:tcPr>
            <w:tcW w:w="1848" w:type="dxa"/>
            <w:tcBorders>
              <w:top w:val="single" w:sz="4" w:space="0" w:color="E7E6E6"/>
              <w:left w:val="nil"/>
              <w:bottom w:val="single" w:sz="4" w:space="0" w:color="E7E6E6"/>
              <w:right w:val="nil"/>
            </w:tcBorders>
            <w:vAlign w:val="center"/>
          </w:tcPr>
          <w:p w14:paraId="4C066ABE"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282/767 (63.2)</w:t>
            </w:r>
          </w:p>
        </w:tc>
      </w:tr>
      <w:tr w:rsidR="00375D78" w:rsidRPr="005B2AA7" w14:paraId="009D4096" w14:textId="77777777" w:rsidTr="00564AEE">
        <w:tc>
          <w:tcPr>
            <w:tcW w:w="6516" w:type="dxa"/>
            <w:tcBorders>
              <w:top w:val="single" w:sz="4" w:space="0" w:color="E7E6E6"/>
              <w:left w:val="nil"/>
              <w:right w:val="nil"/>
            </w:tcBorders>
            <w:vAlign w:val="bottom"/>
          </w:tcPr>
          <w:p w14:paraId="1EEA10FC" w14:textId="0E106A98" w:rsidR="00375D78"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375D78" w:rsidRPr="005B2AA7">
              <w:rPr>
                <w:rFonts w:ascii="Book Antiqua" w:eastAsia="Calibri" w:hAnsi="Book Antiqua" w:cs="Times New Roman"/>
                <w:sz w:val="24"/>
                <w:szCs w:val="24"/>
                <w:lang w:val="en-US"/>
              </w:rPr>
              <w:t>No</w:t>
            </w:r>
          </w:p>
        </w:tc>
        <w:tc>
          <w:tcPr>
            <w:tcW w:w="1848" w:type="dxa"/>
            <w:tcBorders>
              <w:top w:val="single" w:sz="4" w:space="0" w:color="E7E6E6"/>
              <w:left w:val="nil"/>
              <w:right w:val="nil"/>
            </w:tcBorders>
            <w:vAlign w:val="center"/>
          </w:tcPr>
          <w:p w14:paraId="149A5AE2" w14:textId="77777777" w:rsidR="00375D78" w:rsidRPr="005B2AA7" w:rsidRDefault="00375D78"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485/767 (36.8)</w:t>
            </w:r>
          </w:p>
        </w:tc>
      </w:tr>
    </w:tbl>
    <w:p w14:paraId="5597B77A" w14:textId="6F7E2D3C" w:rsidR="00A35DEB" w:rsidRPr="005B2AA7" w:rsidRDefault="00375D78" w:rsidP="00253009">
      <w:pPr>
        <w:adjustRightInd w:val="0"/>
        <w:snapToGrid w:val="0"/>
        <w:spacing w:line="360" w:lineRule="auto"/>
        <w:jc w:val="both"/>
        <w:rPr>
          <w:rFonts w:ascii="Book Antiqua" w:hAnsi="Book Antiqua" w:cs="Times New Roman"/>
          <w:lang w:val="en-US"/>
        </w:rPr>
      </w:pPr>
      <w:r w:rsidRPr="005B2AA7">
        <w:rPr>
          <w:rFonts w:ascii="Book Antiqua" w:eastAsia="Calibri" w:hAnsi="Book Antiqua" w:cs="Times New Roman"/>
          <w:lang w:val="en-US"/>
        </w:rPr>
        <w:t>The survey had a hierarchical structure, meaning that only patients who answered to certain items could answer to other following questions. For this reason, the denominator for several questions is different. In some cases, the patient did not answer and this can result in a missing value. We have transparently declared in our tables the denominator we have used to calculate the proportion of patients giving certain answers.</w:t>
      </w:r>
      <w:r w:rsidR="00907720" w:rsidRPr="005B2AA7">
        <w:rPr>
          <w:rFonts w:ascii="Book Antiqua" w:hAnsi="Book Antiqua" w:cs="Times New Roman"/>
          <w:lang w:val="en-US" w:eastAsia="zh-CN"/>
        </w:rPr>
        <w:t xml:space="preserve"> IBD:</w:t>
      </w:r>
      <w:r w:rsidR="00907720" w:rsidRPr="005B2AA7">
        <w:rPr>
          <w:rFonts w:ascii="Book Antiqua" w:hAnsi="Book Antiqua" w:cs="Times New Roman"/>
          <w:lang w:val="en-US"/>
        </w:rPr>
        <w:t xml:space="preserve"> Inflammatory bowel diseases</w:t>
      </w:r>
      <w:r w:rsidR="00031896" w:rsidRPr="005B2AA7">
        <w:rPr>
          <w:rFonts w:ascii="Book Antiqua" w:hAnsi="Book Antiqua" w:cs="Times New Roman"/>
          <w:lang w:val="en-US" w:eastAsia="zh-CN"/>
        </w:rPr>
        <w:t xml:space="preserve">; IQR: </w:t>
      </w:r>
      <w:r w:rsidR="00031896" w:rsidRPr="005B2AA7">
        <w:rPr>
          <w:rFonts w:ascii="Book Antiqua" w:hAnsi="Book Antiqua" w:cs="Times New Roman"/>
          <w:lang w:val="en-US"/>
        </w:rPr>
        <w:t>Interquartile ranges.</w:t>
      </w:r>
    </w:p>
    <w:p w14:paraId="569A41F1" w14:textId="77777777" w:rsidR="00A35DEB" w:rsidRPr="005B2AA7" w:rsidRDefault="00A35DEB" w:rsidP="00253009">
      <w:pPr>
        <w:snapToGrid w:val="0"/>
        <w:spacing w:line="360" w:lineRule="auto"/>
        <w:jc w:val="both"/>
        <w:rPr>
          <w:rFonts w:ascii="Book Antiqua" w:hAnsi="Book Antiqua" w:cs="Times New Roman"/>
          <w:lang w:val="en-US"/>
        </w:rPr>
      </w:pPr>
      <w:r w:rsidRPr="005B2AA7">
        <w:rPr>
          <w:rFonts w:ascii="Book Antiqua" w:hAnsi="Book Antiqua" w:cs="Times New Roman"/>
          <w:lang w:val="en-US"/>
        </w:rPr>
        <w:br w:type="page"/>
      </w:r>
    </w:p>
    <w:p w14:paraId="63EBFE0D" w14:textId="6FB7D03F" w:rsidR="00907720" w:rsidRPr="005B2AA7" w:rsidRDefault="002B2BE6" w:rsidP="00253009">
      <w:pPr>
        <w:adjustRightInd w:val="0"/>
        <w:snapToGrid w:val="0"/>
        <w:spacing w:line="360" w:lineRule="auto"/>
        <w:jc w:val="both"/>
        <w:rPr>
          <w:rFonts w:ascii="Book Antiqua" w:hAnsi="Book Antiqua" w:cs="Times New Roman"/>
          <w:b/>
          <w:bCs/>
          <w:lang w:val="en-US" w:eastAsia="zh-CN"/>
        </w:rPr>
      </w:pPr>
      <w:r w:rsidRPr="005B2AA7">
        <w:rPr>
          <w:rFonts w:ascii="Book Antiqua" w:eastAsia="Calibri" w:hAnsi="Book Antiqua" w:cs="Times New Roman"/>
          <w:b/>
          <w:bCs/>
          <w:lang w:val="en-US"/>
        </w:rPr>
        <w:lastRenderedPageBreak/>
        <w:t>Table 2</w:t>
      </w:r>
      <w:r w:rsidR="00A35DEB" w:rsidRPr="005B2AA7">
        <w:rPr>
          <w:rFonts w:ascii="Book Antiqua" w:eastAsia="Calibri" w:hAnsi="Book Antiqua" w:cs="Times New Roman"/>
          <w:b/>
          <w:bCs/>
          <w:lang w:val="en-US"/>
        </w:rPr>
        <w:t xml:space="preserve"> Smoking habits and use of alternative smoking prod</w:t>
      </w:r>
      <w:r w:rsidRPr="005B2AA7">
        <w:rPr>
          <w:rFonts w:ascii="Book Antiqua" w:eastAsia="Calibri" w:hAnsi="Book Antiqua" w:cs="Times New Roman"/>
          <w:b/>
          <w:bCs/>
          <w:lang w:val="en-US"/>
        </w:rPr>
        <w:t>ucts based on type of diagnosis</w:t>
      </w:r>
    </w:p>
    <w:tbl>
      <w:tblPr>
        <w:tblStyle w:val="a3"/>
        <w:tblW w:w="8080" w:type="dxa"/>
        <w:tblLayout w:type="fixed"/>
        <w:tblLook w:val="04A0" w:firstRow="1" w:lastRow="0" w:firstColumn="1" w:lastColumn="0" w:noHBand="0" w:noVBand="1"/>
      </w:tblPr>
      <w:tblGrid>
        <w:gridCol w:w="3642"/>
        <w:gridCol w:w="1912"/>
        <w:gridCol w:w="1612"/>
        <w:gridCol w:w="914"/>
      </w:tblGrid>
      <w:tr w:rsidR="00A35DEB" w:rsidRPr="005B2AA7" w14:paraId="322C8FBB" w14:textId="77777777" w:rsidTr="00564AEE">
        <w:trPr>
          <w:trHeight w:val="854"/>
        </w:trPr>
        <w:tc>
          <w:tcPr>
            <w:tcW w:w="3642" w:type="dxa"/>
            <w:tcBorders>
              <w:left w:val="nil"/>
              <w:bottom w:val="single" w:sz="4" w:space="0" w:color="auto"/>
              <w:right w:val="nil"/>
            </w:tcBorders>
            <w:vAlign w:val="center"/>
          </w:tcPr>
          <w:p w14:paraId="769D1AC2" w14:textId="77777777" w:rsidR="00A35DEB" w:rsidRPr="005B2AA7" w:rsidRDefault="00A35DEB" w:rsidP="00253009">
            <w:pPr>
              <w:widowControl w:val="0"/>
              <w:adjustRightInd w:val="0"/>
              <w:snapToGrid w:val="0"/>
              <w:spacing w:line="360" w:lineRule="auto"/>
              <w:jc w:val="both"/>
              <w:rPr>
                <w:rFonts w:ascii="Book Antiqua" w:eastAsia="Calibri" w:hAnsi="Book Antiqua" w:cs="Times New Roman"/>
                <w:b/>
                <w:bCs/>
                <w:sz w:val="24"/>
                <w:szCs w:val="24"/>
                <w:lang w:val="en-US"/>
              </w:rPr>
            </w:pPr>
            <w:r w:rsidRPr="005B2AA7">
              <w:rPr>
                <w:rFonts w:ascii="Book Antiqua" w:eastAsia="Calibri" w:hAnsi="Book Antiqua" w:cs="Times New Roman"/>
                <w:b/>
                <w:bCs/>
                <w:sz w:val="24"/>
                <w:szCs w:val="24"/>
                <w:lang w:val="en-US"/>
              </w:rPr>
              <w:t>Questionnaire items</w:t>
            </w:r>
          </w:p>
        </w:tc>
        <w:tc>
          <w:tcPr>
            <w:tcW w:w="1912" w:type="dxa"/>
            <w:tcBorders>
              <w:left w:val="nil"/>
              <w:bottom w:val="single" w:sz="4" w:space="0" w:color="auto"/>
              <w:right w:val="nil"/>
            </w:tcBorders>
            <w:vAlign w:val="center"/>
          </w:tcPr>
          <w:p w14:paraId="041885BB" w14:textId="77777777" w:rsidR="00A35DEB" w:rsidRPr="005B2AA7" w:rsidRDefault="00A35DEB" w:rsidP="00253009">
            <w:pPr>
              <w:widowControl w:val="0"/>
              <w:adjustRightInd w:val="0"/>
              <w:snapToGrid w:val="0"/>
              <w:spacing w:line="360" w:lineRule="auto"/>
              <w:jc w:val="both"/>
              <w:rPr>
                <w:rFonts w:ascii="Book Antiqua" w:eastAsia="Calibri" w:hAnsi="Book Antiqua" w:cs="Times New Roman"/>
                <w:b/>
                <w:bCs/>
                <w:sz w:val="24"/>
                <w:szCs w:val="24"/>
                <w:lang w:val="en-US"/>
              </w:rPr>
            </w:pPr>
            <w:r w:rsidRPr="005B2AA7">
              <w:rPr>
                <w:rFonts w:ascii="Book Antiqua" w:eastAsia="Calibri" w:hAnsi="Book Antiqua" w:cs="Times New Roman"/>
                <w:b/>
                <w:bCs/>
                <w:sz w:val="24"/>
                <w:szCs w:val="24"/>
                <w:lang w:val="en-US"/>
              </w:rPr>
              <w:t>Crohn’s disease</w:t>
            </w:r>
          </w:p>
        </w:tc>
        <w:tc>
          <w:tcPr>
            <w:tcW w:w="1612" w:type="dxa"/>
            <w:tcBorders>
              <w:left w:val="nil"/>
              <w:bottom w:val="single" w:sz="4" w:space="0" w:color="auto"/>
              <w:right w:val="nil"/>
            </w:tcBorders>
            <w:vAlign w:val="center"/>
          </w:tcPr>
          <w:p w14:paraId="3BCF1726" w14:textId="77777777" w:rsidR="00A35DEB" w:rsidRPr="005B2AA7" w:rsidRDefault="00A35DEB" w:rsidP="00253009">
            <w:pPr>
              <w:widowControl w:val="0"/>
              <w:adjustRightInd w:val="0"/>
              <w:snapToGrid w:val="0"/>
              <w:spacing w:line="360" w:lineRule="auto"/>
              <w:jc w:val="both"/>
              <w:rPr>
                <w:rFonts w:ascii="Book Antiqua" w:eastAsia="Calibri" w:hAnsi="Book Antiqua" w:cs="Times New Roman"/>
                <w:b/>
                <w:bCs/>
                <w:sz w:val="24"/>
                <w:szCs w:val="24"/>
                <w:lang w:val="en-US"/>
              </w:rPr>
            </w:pPr>
            <w:r w:rsidRPr="005B2AA7">
              <w:rPr>
                <w:rFonts w:ascii="Book Antiqua" w:eastAsia="Calibri" w:hAnsi="Book Antiqua" w:cs="Times New Roman"/>
                <w:b/>
                <w:bCs/>
                <w:sz w:val="24"/>
                <w:szCs w:val="24"/>
                <w:lang w:val="en-US"/>
              </w:rPr>
              <w:t>Ulcerative colitis</w:t>
            </w:r>
          </w:p>
        </w:tc>
        <w:tc>
          <w:tcPr>
            <w:tcW w:w="914" w:type="dxa"/>
            <w:tcBorders>
              <w:left w:val="nil"/>
              <w:bottom w:val="single" w:sz="4" w:space="0" w:color="auto"/>
              <w:right w:val="nil"/>
            </w:tcBorders>
            <w:vAlign w:val="center"/>
          </w:tcPr>
          <w:p w14:paraId="12B7D9D6" w14:textId="59A8E06B" w:rsidR="00A35DEB" w:rsidRPr="005B2AA7" w:rsidRDefault="002B2BE6" w:rsidP="00253009">
            <w:pPr>
              <w:widowControl w:val="0"/>
              <w:adjustRightInd w:val="0"/>
              <w:snapToGrid w:val="0"/>
              <w:spacing w:line="360" w:lineRule="auto"/>
              <w:jc w:val="both"/>
              <w:rPr>
                <w:rFonts w:ascii="Book Antiqua" w:eastAsia="Calibri" w:hAnsi="Book Antiqua" w:cs="Times New Roman"/>
                <w:b/>
                <w:bCs/>
                <w:sz w:val="24"/>
                <w:szCs w:val="24"/>
                <w:vertAlign w:val="superscript"/>
                <w:lang w:val="en-US"/>
              </w:rPr>
            </w:pPr>
            <w:r w:rsidRPr="005B2AA7">
              <w:rPr>
                <w:rFonts w:ascii="Book Antiqua" w:eastAsia="Calibri" w:hAnsi="Book Antiqua" w:cs="Times New Roman"/>
                <w:b/>
                <w:bCs/>
                <w:i/>
                <w:iCs/>
                <w:sz w:val="24"/>
                <w:szCs w:val="24"/>
                <w:lang w:val="en-US"/>
              </w:rPr>
              <w:t xml:space="preserve">P </w:t>
            </w:r>
            <w:r w:rsidR="00A35DEB" w:rsidRPr="005B2AA7">
              <w:rPr>
                <w:rFonts w:ascii="Book Antiqua" w:eastAsia="Calibri" w:hAnsi="Book Antiqua" w:cs="Times New Roman"/>
                <w:b/>
                <w:bCs/>
                <w:sz w:val="24"/>
                <w:szCs w:val="24"/>
                <w:lang w:val="en-US"/>
              </w:rPr>
              <w:t>value</w:t>
            </w:r>
            <w:r w:rsidR="00A35DEB" w:rsidRPr="005B2AA7">
              <w:rPr>
                <w:rFonts w:ascii="Book Antiqua" w:eastAsia="Calibri" w:hAnsi="Book Antiqua" w:cs="Times New Roman"/>
                <w:b/>
                <w:bCs/>
                <w:sz w:val="24"/>
                <w:szCs w:val="24"/>
                <w:vertAlign w:val="superscript"/>
                <w:lang w:val="en-US"/>
              </w:rPr>
              <w:t>1</w:t>
            </w:r>
          </w:p>
        </w:tc>
      </w:tr>
      <w:tr w:rsidR="00A35DEB" w:rsidRPr="005B2AA7" w14:paraId="7251C4D6" w14:textId="77777777" w:rsidTr="00564AEE">
        <w:trPr>
          <w:trHeight w:val="315"/>
        </w:trPr>
        <w:tc>
          <w:tcPr>
            <w:tcW w:w="3642" w:type="dxa"/>
            <w:tcBorders>
              <w:left w:val="nil"/>
              <w:bottom w:val="single" w:sz="4" w:space="0" w:color="E7E6E6"/>
              <w:right w:val="nil"/>
            </w:tcBorders>
            <w:vAlign w:val="center"/>
          </w:tcPr>
          <w:p w14:paraId="7292BA1E"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Smoking habits and use of an alternative smoking product</w:t>
            </w:r>
          </w:p>
        </w:tc>
        <w:tc>
          <w:tcPr>
            <w:tcW w:w="1912" w:type="dxa"/>
            <w:tcBorders>
              <w:left w:val="nil"/>
              <w:bottom w:val="single" w:sz="4" w:space="0" w:color="E7E6E6"/>
              <w:right w:val="nil"/>
            </w:tcBorders>
          </w:tcPr>
          <w:p w14:paraId="01FB1227"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left w:val="nil"/>
              <w:bottom w:val="single" w:sz="4" w:space="0" w:color="E7E6E6"/>
              <w:right w:val="nil"/>
            </w:tcBorders>
          </w:tcPr>
          <w:p w14:paraId="17F42262"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left w:val="nil"/>
              <w:bottom w:val="single" w:sz="4" w:space="0" w:color="E7E6E6"/>
              <w:right w:val="nil"/>
            </w:tcBorders>
          </w:tcPr>
          <w:p w14:paraId="0BD7D6A2"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117B406D" w14:textId="77777777" w:rsidTr="00564AEE">
        <w:trPr>
          <w:trHeight w:val="224"/>
        </w:trPr>
        <w:tc>
          <w:tcPr>
            <w:tcW w:w="3642" w:type="dxa"/>
            <w:tcBorders>
              <w:top w:val="single" w:sz="4" w:space="0" w:color="E7E6E6"/>
              <w:left w:val="nil"/>
              <w:bottom w:val="single" w:sz="4" w:space="0" w:color="E7E6E6"/>
              <w:right w:val="nil"/>
            </w:tcBorders>
            <w:vAlign w:val="bottom"/>
          </w:tcPr>
          <w:p w14:paraId="45F94A97"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Current cigarettes smoker</w:t>
            </w:r>
          </w:p>
        </w:tc>
        <w:tc>
          <w:tcPr>
            <w:tcW w:w="1912" w:type="dxa"/>
            <w:tcBorders>
              <w:top w:val="single" w:sz="4" w:space="0" w:color="E7E6E6"/>
              <w:left w:val="nil"/>
              <w:bottom w:val="single" w:sz="4" w:space="0" w:color="E7E6E6"/>
              <w:right w:val="nil"/>
            </w:tcBorders>
          </w:tcPr>
          <w:p w14:paraId="07AF5EA5"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6DCEA6F9"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2BE87FCA"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4341DA18" w14:textId="77777777" w:rsidTr="00564AEE">
        <w:trPr>
          <w:trHeight w:val="224"/>
        </w:trPr>
        <w:tc>
          <w:tcPr>
            <w:tcW w:w="3642" w:type="dxa"/>
            <w:tcBorders>
              <w:top w:val="single" w:sz="4" w:space="0" w:color="E7E6E6"/>
              <w:left w:val="nil"/>
              <w:bottom w:val="single" w:sz="4" w:space="0" w:color="E7E6E6"/>
              <w:right w:val="nil"/>
            </w:tcBorders>
            <w:vAlign w:val="bottom"/>
          </w:tcPr>
          <w:p w14:paraId="4063597C" w14:textId="04DFAB5E"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Yes</w:t>
            </w:r>
          </w:p>
        </w:tc>
        <w:tc>
          <w:tcPr>
            <w:tcW w:w="1912" w:type="dxa"/>
            <w:tcBorders>
              <w:top w:val="single" w:sz="4" w:space="0" w:color="E7E6E6"/>
              <w:left w:val="nil"/>
              <w:bottom w:val="single" w:sz="4" w:space="0" w:color="E7E6E6"/>
              <w:right w:val="nil"/>
            </w:tcBorders>
          </w:tcPr>
          <w:p w14:paraId="3E6CB341"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268/425 (63.1)</w:t>
            </w:r>
          </w:p>
        </w:tc>
        <w:tc>
          <w:tcPr>
            <w:tcW w:w="1612" w:type="dxa"/>
            <w:tcBorders>
              <w:top w:val="single" w:sz="4" w:space="0" w:color="E7E6E6"/>
              <w:left w:val="nil"/>
              <w:bottom w:val="single" w:sz="4" w:space="0" w:color="E7E6E6"/>
              <w:right w:val="nil"/>
            </w:tcBorders>
          </w:tcPr>
          <w:p w14:paraId="6B2589D8"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187/346 (54.1)</w:t>
            </w:r>
          </w:p>
        </w:tc>
        <w:tc>
          <w:tcPr>
            <w:tcW w:w="914" w:type="dxa"/>
            <w:vMerge w:val="restart"/>
            <w:tcBorders>
              <w:top w:val="single" w:sz="4" w:space="0" w:color="E7E6E6"/>
              <w:left w:val="nil"/>
              <w:right w:val="nil"/>
            </w:tcBorders>
            <w:vAlign w:val="center"/>
          </w:tcPr>
          <w:p w14:paraId="1A261D61"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0.012</w:t>
            </w:r>
          </w:p>
        </w:tc>
      </w:tr>
      <w:tr w:rsidR="00A35DEB" w:rsidRPr="005B2AA7" w14:paraId="347B79FA" w14:textId="77777777" w:rsidTr="00564AEE">
        <w:trPr>
          <w:trHeight w:val="224"/>
        </w:trPr>
        <w:tc>
          <w:tcPr>
            <w:tcW w:w="3642" w:type="dxa"/>
            <w:tcBorders>
              <w:top w:val="single" w:sz="4" w:space="0" w:color="E7E6E6"/>
              <w:left w:val="nil"/>
              <w:bottom w:val="single" w:sz="4" w:space="0" w:color="E7E6E6"/>
              <w:right w:val="nil"/>
            </w:tcBorders>
            <w:vAlign w:val="bottom"/>
          </w:tcPr>
          <w:p w14:paraId="5058ABFA" w14:textId="3A8AC6ED"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No</w:t>
            </w:r>
          </w:p>
        </w:tc>
        <w:tc>
          <w:tcPr>
            <w:tcW w:w="1912" w:type="dxa"/>
            <w:tcBorders>
              <w:top w:val="single" w:sz="4" w:space="0" w:color="E7E6E6"/>
              <w:left w:val="nil"/>
              <w:bottom w:val="single" w:sz="4" w:space="0" w:color="E7E6E6"/>
              <w:right w:val="nil"/>
            </w:tcBorders>
          </w:tcPr>
          <w:p w14:paraId="74CA66D1"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157/425 (36.9)</w:t>
            </w:r>
          </w:p>
        </w:tc>
        <w:tc>
          <w:tcPr>
            <w:tcW w:w="1612" w:type="dxa"/>
            <w:tcBorders>
              <w:top w:val="single" w:sz="4" w:space="0" w:color="E7E6E6"/>
              <w:left w:val="nil"/>
              <w:bottom w:val="single" w:sz="4" w:space="0" w:color="E7E6E6"/>
              <w:right w:val="nil"/>
            </w:tcBorders>
          </w:tcPr>
          <w:p w14:paraId="13D74754"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159/346 (45.9)</w:t>
            </w:r>
          </w:p>
        </w:tc>
        <w:tc>
          <w:tcPr>
            <w:tcW w:w="914" w:type="dxa"/>
            <w:vMerge/>
            <w:tcBorders>
              <w:left w:val="nil"/>
              <w:bottom w:val="single" w:sz="4" w:space="0" w:color="E7E6E6"/>
              <w:right w:val="nil"/>
            </w:tcBorders>
            <w:vAlign w:val="center"/>
          </w:tcPr>
          <w:p w14:paraId="44D82E78"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3F9301B5" w14:textId="77777777" w:rsidTr="00564AEE">
        <w:trPr>
          <w:trHeight w:val="224"/>
        </w:trPr>
        <w:tc>
          <w:tcPr>
            <w:tcW w:w="3642" w:type="dxa"/>
            <w:tcBorders>
              <w:top w:val="single" w:sz="4" w:space="0" w:color="E7E6E6"/>
              <w:left w:val="nil"/>
              <w:bottom w:val="single" w:sz="4" w:space="0" w:color="E7E6E6"/>
              <w:right w:val="nil"/>
            </w:tcBorders>
            <w:vAlign w:val="bottom"/>
          </w:tcPr>
          <w:p w14:paraId="00033122"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Duration of cigarette smoking (y</w:t>
            </w:r>
            <w:r w:rsidRPr="005B2AA7">
              <w:rPr>
                <w:rFonts w:ascii="Book Antiqua" w:hAnsi="Book Antiqua" w:cs="Times New Roman"/>
                <w:sz w:val="24"/>
                <w:szCs w:val="24"/>
                <w:lang w:val="en-US" w:eastAsia="zh-CN"/>
              </w:rPr>
              <w:t>r</w:t>
            </w:r>
            <w:r w:rsidRPr="005B2AA7">
              <w:rPr>
                <w:rFonts w:ascii="Book Antiqua" w:eastAsia="Calibri" w:hAnsi="Book Antiqua" w:cs="Times New Roman"/>
                <w:sz w:val="24"/>
                <w:szCs w:val="24"/>
                <w:lang w:val="en-US"/>
              </w:rPr>
              <w:t>)</w:t>
            </w:r>
          </w:p>
        </w:tc>
        <w:tc>
          <w:tcPr>
            <w:tcW w:w="1912" w:type="dxa"/>
            <w:tcBorders>
              <w:top w:val="single" w:sz="4" w:space="0" w:color="E7E6E6"/>
              <w:left w:val="nil"/>
              <w:bottom w:val="single" w:sz="4" w:space="0" w:color="E7E6E6"/>
              <w:right w:val="nil"/>
            </w:tcBorders>
          </w:tcPr>
          <w:p w14:paraId="15809981"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018DAD87"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3346D62B"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4BBB7592" w14:textId="77777777" w:rsidTr="00564AEE">
        <w:trPr>
          <w:trHeight w:val="224"/>
        </w:trPr>
        <w:tc>
          <w:tcPr>
            <w:tcW w:w="3642" w:type="dxa"/>
            <w:tcBorders>
              <w:top w:val="single" w:sz="4" w:space="0" w:color="E7E6E6"/>
              <w:left w:val="nil"/>
              <w:bottom w:val="single" w:sz="4" w:space="0" w:color="E7E6E6"/>
              <w:right w:val="nil"/>
            </w:tcBorders>
            <w:vAlign w:val="bottom"/>
          </w:tcPr>
          <w:p w14:paraId="05B54E6E" w14:textId="4F9FBD41"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&lt; 1</w:t>
            </w:r>
          </w:p>
        </w:tc>
        <w:tc>
          <w:tcPr>
            <w:tcW w:w="1912" w:type="dxa"/>
            <w:tcBorders>
              <w:top w:val="single" w:sz="4" w:space="0" w:color="E7E6E6"/>
              <w:left w:val="nil"/>
              <w:bottom w:val="single" w:sz="4" w:space="0" w:color="E7E6E6"/>
              <w:right w:val="nil"/>
            </w:tcBorders>
          </w:tcPr>
          <w:p w14:paraId="178E84FD"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22/410 (5.4)</w:t>
            </w:r>
          </w:p>
        </w:tc>
        <w:tc>
          <w:tcPr>
            <w:tcW w:w="1612" w:type="dxa"/>
            <w:tcBorders>
              <w:top w:val="single" w:sz="4" w:space="0" w:color="E7E6E6"/>
              <w:left w:val="nil"/>
              <w:bottom w:val="single" w:sz="4" w:space="0" w:color="E7E6E6"/>
              <w:right w:val="nil"/>
            </w:tcBorders>
          </w:tcPr>
          <w:p w14:paraId="5190AC22"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26/317 (8.2)</w:t>
            </w:r>
          </w:p>
        </w:tc>
        <w:tc>
          <w:tcPr>
            <w:tcW w:w="914" w:type="dxa"/>
            <w:vMerge w:val="restart"/>
            <w:tcBorders>
              <w:top w:val="single" w:sz="4" w:space="0" w:color="E7E6E6"/>
              <w:left w:val="nil"/>
              <w:right w:val="nil"/>
            </w:tcBorders>
            <w:vAlign w:val="center"/>
          </w:tcPr>
          <w:p w14:paraId="36288678"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0.13</w:t>
            </w:r>
          </w:p>
        </w:tc>
      </w:tr>
      <w:tr w:rsidR="00A35DEB" w:rsidRPr="005B2AA7" w14:paraId="6105CD39" w14:textId="77777777" w:rsidTr="00564AEE">
        <w:trPr>
          <w:trHeight w:val="224"/>
        </w:trPr>
        <w:tc>
          <w:tcPr>
            <w:tcW w:w="3642" w:type="dxa"/>
            <w:tcBorders>
              <w:top w:val="single" w:sz="4" w:space="0" w:color="E7E6E6"/>
              <w:left w:val="nil"/>
              <w:bottom w:val="single" w:sz="4" w:space="0" w:color="E7E6E6"/>
              <w:right w:val="nil"/>
            </w:tcBorders>
            <w:vAlign w:val="bottom"/>
          </w:tcPr>
          <w:p w14:paraId="719A42EB" w14:textId="4E02D9E4"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1-5</w:t>
            </w:r>
          </w:p>
        </w:tc>
        <w:tc>
          <w:tcPr>
            <w:tcW w:w="1912" w:type="dxa"/>
            <w:tcBorders>
              <w:top w:val="single" w:sz="4" w:space="0" w:color="E7E6E6"/>
              <w:left w:val="nil"/>
              <w:bottom w:val="single" w:sz="4" w:space="0" w:color="E7E6E6"/>
              <w:right w:val="nil"/>
            </w:tcBorders>
          </w:tcPr>
          <w:p w14:paraId="46062C41"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46/410 (11.2)</w:t>
            </w:r>
          </w:p>
        </w:tc>
        <w:tc>
          <w:tcPr>
            <w:tcW w:w="1612" w:type="dxa"/>
            <w:tcBorders>
              <w:top w:val="single" w:sz="4" w:space="0" w:color="E7E6E6"/>
              <w:left w:val="nil"/>
              <w:bottom w:val="single" w:sz="4" w:space="0" w:color="E7E6E6"/>
              <w:right w:val="nil"/>
            </w:tcBorders>
          </w:tcPr>
          <w:p w14:paraId="75DC8F41"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47/317 (14.8)</w:t>
            </w:r>
          </w:p>
        </w:tc>
        <w:tc>
          <w:tcPr>
            <w:tcW w:w="914" w:type="dxa"/>
            <w:vMerge/>
            <w:tcBorders>
              <w:left w:val="nil"/>
              <w:right w:val="nil"/>
            </w:tcBorders>
          </w:tcPr>
          <w:p w14:paraId="2970A20E"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09E7C40B" w14:textId="77777777" w:rsidTr="00564AEE">
        <w:trPr>
          <w:trHeight w:val="224"/>
        </w:trPr>
        <w:tc>
          <w:tcPr>
            <w:tcW w:w="3642" w:type="dxa"/>
            <w:tcBorders>
              <w:top w:val="single" w:sz="4" w:space="0" w:color="E7E6E6"/>
              <w:left w:val="nil"/>
              <w:bottom w:val="single" w:sz="4" w:space="0" w:color="E7E6E6"/>
              <w:right w:val="nil"/>
            </w:tcBorders>
            <w:vAlign w:val="bottom"/>
          </w:tcPr>
          <w:p w14:paraId="369EF141" w14:textId="3340DBCA"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6-10</w:t>
            </w:r>
          </w:p>
        </w:tc>
        <w:tc>
          <w:tcPr>
            <w:tcW w:w="1912" w:type="dxa"/>
            <w:tcBorders>
              <w:top w:val="single" w:sz="4" w:space="0" w:color="E7E6E6"/>
              <w:left w:val="nil"/>
              <w:bottom w:val="single" w:sz="4" w:space="0" w:color="E7E6E6"/>
              <w:right w:val="nil"/>
            </w:tcBorders>
          </w:tcPr>
          <w:p w14:paraId="0A9A1386"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69/410 (16.8)</w:t>
            </w:r>
          </w:p>
        </w:tc>
        <w:tc>
          <w:tcPr>
            <w:tcW w:w="1612" w:type="dxa"/>
            <w:tcBorders>
              <w:top w:val="single" w:sz="4" w:space="0" w:color="E7E6E6"/>
              <w:left w:val="nil"/>
              <w:bottom w:val="single" w:sz="4" w:space="0" w:color="E7E6E6"/>
              <w:right w:val="nil"/>
            </w:tcBorders>
          </w:tcPr>
          <w:p w14:paraId="53EBA50A"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56/317 (17.7)</w:t>
            </w:r>
          </w:p>
        </w:tc>
        <w:tc>
          <w:tcPr>
            <w:tcW w:w="914" w:type="dxa"/>
            <w:vMerge/>
            <w:tcBorders>
              <w:left w:val="nil"/>
              <w:right w:val="nil"/>
            </w:tcBorders>
          </w:tcPr>
          <w:p w14:paraId="122754AA"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5E0EB311" w14:textId="77777777" w:rsidTr="00564AEE">
        <w:trPr>
          <w:trHeight w:val="224"/>
        </w:trPr>
        <w:tc>
          <w:tcPr>
            <w:tcW w:w="3642" w:type="dxa"/>
            <w:tcBorders>
              <w:top w:val="single" w:sz="4" w:space="0" w:color="E7E6E6"/>
              <w:left w:val="nil"/>
              <w:bottom w:val="single" w:sz="4" w:space="0" w:color="E7E6E6"/>
              <w:right w:val="nil"/>
            </w:tcBorders>
            <w:vAlign w:val="bottom"/>
          </w:tcPr>
          <w:p w14:paraId="1B589C03" w14:textId="77777777"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&gt; 10</w:t>
            </w:r>
          </w:p>
        </w:tc>
        <w:tc>
          <w:tcPr>
            <w:tcW w:w="1912" w:type="dxa"/>
            <w:tcBorders>
              <w:top w:val="single" w:sz="4" w:space="0" w:color="E7E6E6"/>
              <w:left w:val="nil"/>
              <w:bottom w:val="single" w:sz="4" w:space="0" w:color="E7E6E6"/>
              <w:right w:val="nil"/>
            </w:tcBorders>
          </w:tcPr>
          <w:p w14:paraId="3165D38A"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273/410 (66.6)</w:t>
            </w:r>
          </w:p>
        </w:tc>
        <w:tc>
          <w:tcPr>
            <w:tcW w:w="1612" w:type="dxa"/>
            <w:tcBorders>
              <w:top w:val="single" w:sz="4" w:space="0" w:color="E7E6E6"/>
              <w:left w:val="nil"/>
              <w:bottom w:val="single" w:sz="4" w:space="0" w:color="E7E6E6"/>
              <w:right w:val="nil"/>
            </w:tcBorders>
          </w:tcPr>
          <w:p w14:paraId="2A7134AB"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188/317 (59.3)</w:t>
            </w:r>
          </w:p>
        </w:tc>
        <w:tc>
          <w:tcPr>
            <w:tcW w:w="914" w:type="dxa"/>
            <w:vMerge/>
            <w:tcBorders>
              <w:left w:val="nil"/>
              <w:bottom w:val="single" w:sz="4" w:space="0" w:color="E7E6E6"/>
              <w:right w:val="nil"/>
            </w:tcBorders>
          </w:tcPr>
          <w:p w14:paraId="53FE4E4D"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57287ED3" w14:textId="77777777" w:rsidTr="00564AEE">
        <w:trPr>
          <w:trHeight w:val="224"/>
        </w:trPr>
        <w:tc>
          <w:tcPr>
            <w:tcW w:w="3642" w:type="dxa"/>
            <w:tcBorders>
              <w:top w:val="single" w:sz="4" w:space="0" w:color="E7E6E6"/>
              <w:left w:val="nil"/>
              <w:bottom w:val="single" w:sz="4" w:space="0" w:color="E7E6E6"/>
              <w:right w:val="nil"/>
            </w:tcBorders>
            <w:vAlign w:val="bottom"/>
          </w:tcPr>
          <w:p w14:paraId="74F87DDF"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Extent of cigarette smoking (cigarettes per day)</w:t>
            </w:r>
          </w:p>
        </w:tc>
        <w:tc>
          <w:tcPr>
            <w:tcW w:w="1912" w:type="dxa"/>
            <w:tcBorders>
              <w:top w:val="single" w:sz="4" w:space="0" w:color="E7E6E6"/>
              <w:left w:val="nil"/>
              <w:bottom w:val="single" w:sz="4" w:space="0" w:color="E7E6E6"/>
              <w:right w:val="nil"/>
            </w:tcBorders>
          </w:tcPr>
          <w:p w14:paraId="7C01C706"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6B3D2A7C"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2493DA40"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350B5695" w14:textId="77777777" w:rsidTr="00564AEE">
        <w:trPr>
          <w:trHeight w:val="224"/>
        </w:trPr>
        <w:tc>
          <w:tcPr>
            <w:tcW w:w="3642" w:type="dxa"/>
            <w:tcBorders>
              <w:top w:val="single" w:sz="4" w:space="0" w:color="E7E6E6"/>
              <w:left w:val="nil"/>
              <w:bottom w:val="single" w:sz="4" w:space="0" w:color="E7E6E6"/>
              <w:right w:val="nil"/>
            </w:tcBorders>
            <w:vAlign w:val="bottom"/>
          </w:tcPr>
          <w:p w14:paraId="4796399F" w14:textId="13F7C2C8"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&lt; 1</w:t>
            </w:r>
          </w:p>
        </w:tc>
        <w:tc>
          <w:tcPr>
            <w:tcW w:w="1912" w:type="dxa"/>
            <w:tcBorders>
              <w:top w:val="single" w:sz="4" w:space="0" w:color="E7E6E6"/>
              <w:left w:val="nil"/>
              <w:bottom w:val="single" w:sz="4" w:space="0" w:color="E7E6E6"/>
              <w:right w:val="nil"/>
            </w:tcBorders>
          </w:tcPr>
          <w:p w14:paraId="692D61D9"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12/425 (2.8)</w:t>
            </w:r>
          </w:p>
        </w:tc>
        <w:tc>
          <w:tcPr>
            <w:tcW w:w="1612" w:type="dxa"/>
            <w:tcBorders>
              <w:top w:val="single" w:sz="4" w:space="0" w:color="E7E6E6"/>
              <w:left w:val="nil"/>
              <w:bottom w:val="single" w:sz="4" w:space="0" w:color="E7E6E6"/>
              <w:right w:val="nil"/>
            </w:tcBorders>
          </w:tcPr>
          <w:p w14:paraId="0D0FC0EA"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22/341 (6.5)</w:t>
            </w:r>
          </w:p>
        </w:tc>
        <w:tc>
          <w:tcPr>
            <w:tcW w:w="914" w:type="dxa"/>
            <w:vMerge w:val="restart"/>
            <w:tcBorders>
              <w:top w:val="single" w:sz="4" w:space="0" w:color="E7E6E6"/>
              <w:left w:val="nil"/>
              <w:right w:val="nil"/>
            </w:tcBorders>
            <w:vAlign w:val="center"/>
          </w:tcPr>
          <w:p w14:paraId="306886E2"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&lt; 0.001</w:t>
            </w:r>
          </w:p>
        </w:tc>
      </w:tr>
      <w:tr w:rsidR="00A35DEB" w:rsidRPr="005B2AA7" w14:paraId="58B0BD72" w14:textId="77777777" w:rsidTr="00564AEE">
        <w:trPr>
          <w:trHeight w:val="224"/>
        </w:trPr>
        <w:tc>
          <w:tcPr>
            <w:tcW w:w="3642" w:type="dxa"/>
            <w:tcBorders>
              <w:top w:val="single" w:sz="4" w:space="0" w:color="E7E6E6"/>
              <w:left w:val="nil"/>
              <w:bottom w:val="single" w:sz="4" w:space="0" w:color="E7E6E6"/>
              <w:right w:val="nil"/>
            </w:tcBorders>
            <w:vAlign w:val="bottom"/>
          </w:tcPr>
          <w:p w14:paraId="0F055ABD" w14:textId="68E9B94E"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1-5</w:t>
            </w:r>
          </w:p>
        </w:tc>
        <w:tc>
          <w:tcPr>
            <w:tcW w:w="1912" w:type="dxa"/>
            <w:tcBorders>
              <w:top w:val="single" w:sz="4" w:space="0" w:color="E7E6E6"/>
              <w:left w:val="nil"/>
              <w:bottom w:val="single" w:sz="4" w:space="0" w:color="E7E6E6"/>
              <w:right w:val="nil"/>
            </w:tcBorders>
          </w:tcPr>
          <w:p w14:paraId="5B76B882"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51/425 (12.0)</w:t>
            </w:r>
          </w:p>
        </w:tc>
        <w:tc>
          <w:tcPr>
            <w:tcW w:w="1612" w:type="dxa"/>
            <w:tcBorders>
              <w:top w:val="single" w:sz="4" w:space="0" w:color="E7E6E6"/>
              <w:left w:val="nil"/>
              <w:bottom w:val="single" w:sz="4" w:space="0" w:color="E7E6E6"/>
              <w:right w:val="nil"/>
            </w:tcBorders>
          </w:tcPr>
          <w:p w14:paraId="749147BD"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67/341 (19.6)</w:t>
            </w:r>
          </w:p>
        </w:tc>
        <w:tc>
          <w:tcPr>
            <w:tcW w:w="914" w:type="dxa"/>
            <w:vMerge/>
            <w:tcBorders>
              <w:left w:val="nil"/>
              <w:right w:val="nil"/>
            </w:tcBorders>
            <w:vAlign w:val="center"/>
          </w:tcPr>
          <w:p w14:paraId="047A08D0"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6ADA1D3C" w14:textId="77777777" w:rsidTr="00564AEE">
        <w:trPr>
          <w:trHeight w:val="224"/>
        </w:trPr>
        <w:tc>
          <w:tcPr>
            <w:tcW w:w="3642" w:type="dxa"/>
            <w:tcBorders>
              <w:top w:val="single" w:sz="4" w:space="0" w:color="E7E6E6"/>
              <w:left w:val="nil"/>
              <w:bottom w:val="single" w:sz="4" w:space="0" w:color="E7E6E6"/>
              <w:right w:val="nil"/>
            </w:tcBorders>
            <w:vAlign w:val="bottom"/>
          </w:tcPr>
          <w:p w14:paraId="0F60ACDD" w14:textId="0DC86BD6"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6-10</w:t>
            </w:r>
          </w:p>
        </w:tc>
        <w:tc>
          <w:tcPr>
            <w:tcW w:w="1912" w:type="dxa"/>
            <w:tcBorders>
              <w:top w:val="single" w:sz="4" w:space="0" w:color="E7E6E6"/>
              <w:left w:val="nil"/>
              <w:bottom w:val="single" w:sz="4" w:space="0" w:color="E7E6E6"/>
              <w:right w:val="nil"/>
            </w:tcBorders>
          </w:tcPr>
          <w:p w14:paraId="0AD443B9"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120/425 (28.3)</w:t>
            </w:r>
          </w:p>
        </w:tc>
        <w:tc>
          <w:tcPr>
            <w:tcW w:w="1612" w:type="dxa"/>
            <w:tcBorders>
              <w:top w:val="single" w:sz="4" w:space="0" w:color="E7E6E6"/>
              <w:left w:val="nil"/>
              <w:bottom w:val="single" w:sz="4" w:space="0" w:color="E7E6E6"/>
              <w:right w:val="nil"/>
            </w:tcBorders>
          </w:tcPr>
          <w:p w14:paraId="0C36D4D8"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106/341 (31.1)</w:t>
            </w:r>
          </w:p>
        </w:tc>
        <w:tc>
          <w:tcPr>
            <w:tcW w:w="914" w:type="dxa"/>
            <w:vMerge/>
            <w:tcBorders>
              <w:left w:val="nil"/>
              <w:right w:val="nil"/>
            </w:tcBorders>
            <w:vAlign w:val="center"/>
          </w:tcPr>
          <w:p w14:paraId="2E9024A2"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47A33B5B" w14:textId="77777777" w:rsidTr="00564AEE">
        <w:trPr>
          <w:trHeight w:val="224"/>
        </w:trPr>
        <w:tc>
          <w:tcPr>
            <w:tcW w:w="3642" w:type="dxa"/>
            <w:tcBorders>
              <w:top w:val="single" w:sz="4" w:space="0" w:color="E7E6E6"/>
              <w:left w:val="nil"/>
              <w:bottom w:val="single" w:sz="4" w:space="0" w:color="E7E6E6"/>
              <w:right w:val="nil"/>
            </w:tcBorders>
            <w:vAlign w:val="bottom"/>
          </w:tcPr>
          <w:p w14:paraId="4CA08474" w14:textId="624071EC"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11-20</w:t>
            </w:r>
          </w:p>
        </w:tc>
        <w:tc>
          <w:tcPr>
            <w:tcW w:w="1912" w:type="dxa"/>
            <w:tcBorders>
              <w:top w:val="single" w:sz="4" w:space="0" w:color="E7E6E6"/>
              <w:left w:val="nil"/>
              <w:bottom w:val="single" w:sz="4" w:space="0" w:color="E7E6E6"/>
              <w:right w:val="nil"/>
            </w:tcBorders>
          </w:tcPr>
          <w:p w14:paraId="45062125"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179/425 (42.1)</w:t>
            </w:r>
          </w:p>
        </w:tc>
        <w:tc>
          <w:tcPr>
            <w:tcW w:w="1612" w:type="dxa"/>
            <w:tcBorders>
              <w:top w:val="single" w:sz="4" w:space="0" w:color="E7E6E6"/>
              <w:left w:val="nil"/>
              <w:bottom w:val="single" w:sz="4" w:space="0" w:color="E7E6E6"/>
              <w:right w:val="nil"/>
            </w:tcBorders>
          </w:tcPr>
          <w:p w14:paraId="17325B77"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113/341 (33.1)</w:t>
            </w:r>
          </w:p>
        </w:tc>
        <w:tc>
          <w:tcPr>
            <w:tcW w:w="914" w:type="dxa"/>
            <w:vMerge/>
            <w:tcBorders>
              <w:left w:val="nil"/>
              <w:right w:val="nil"/>
            </w:tcBorders>
            <w:vAlign w:val="center"/>
          </w:tcPr>
          <w:p w14:paraId="01EBA19A"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3F582B8F" w14:textId="77777777" w:rsidTr="00564AEE">
        <w:trPr>
          <w:trHeight w:val="224"/>
        </w:trPr>
        <w:tc>
          <w:tcPr>
            <w:tcW w:w="3642" w:type="dxa"/>
            <w:tcBorders>
              <w:top w:val="single" w:sz="4" w:space="0" w:color="E7E6E6"/>
              <w:left w:val="nil"/>
              <w:bottom w:val="single" w:sz="4" w:space="0" w:color="E7E6E6"/>
              <w:right w:val="nil"/>
            </w:tcBorders>
            <w:vAlign w:val="bottom"/>
          </w:tcPr>
          <w:p w14:paraId="5C28E48E" w14:textId="2B2FDFA4"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&gt; 20</w:t>
            </w:r>
          </w:p>
        </w:tc>
        <w:tc>
          <w:tcPr>
            <w:tcW w:w="1912" w:type="dxa"/>
            <w:tcBorders>
              <w:top w:val="single" w:sz="4" w:space="0" w:color="E7E6E6"/>
              <w:left w:val="nil"/>
              <w:bottom w:val="single" w:sz="4" w:space="0" w:color="E7E6E6"/>
              <w:right w:val="nil"/>
            </w:tcBorders>
          </w:tcPr>
          <w:p w14:paraId="27D50BE8"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63/425 (14.8)</w:t>
            </w:r>
          </w:p>
        </w:tc>
        <w:tc>
          <w:tcPr>
            <w:tcW w:w="1612" w:type="dxa"/>
            <w:tcBorders>
              <w:top w:val="single" w:sz="4" w:space="0" w:color="E7E6E6"/>
              <w:left w:val="nil"/>
              <w:bottom w:val="single" w:sz="4" w:space="0" w:color="E7E6E6"/>
              <w:right w:val="nil"/>
            </w:tcBorders>
          </w:tcPr>
          <w:p w14:paraId="33368179"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33/341 (9.7)</w:t>
            </w:r>
          </w:p>
        </w:tc>
        <w:tc>
          <w:tcPr>
            <w:tcW w:w="914" w:type="dxa"/>
            <w:vMerge/>
            <w:tcBorders>
              <w:left w:val="nil"/>
              <w:bottom w:val="single" w:sz="4" w:space="0" w:color="E7E6E6"/>
              <w:right w:val="nil"/>
            </w:tcBorders>
            <w:vAlign w:val="center"/>
          </w:tcPr>
          <w:p w14:paraId="4D11CFA8"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3CD24132" w14:textId="77777777" w:rsidTr="00564AEE">
        <w:trPr>
          <w:trHeight w:val="224"/>
        </w:trPr>
        <w:tc>
          <w:tcPr>
            <w:tcW w:w="3642" w:type="dxa"/>
            <w:tcBorders>
              <w:top w:val="single" w:sz="4" w:space="0" w:color="E7E6E6"/>
              <w:left w:val="nil"/>
              <w:bottom w:val="single" w:sz="4" w:space="0" w:color="E7E6E6"/>
              <w:right w:val="nil"/>
            </w:tcBorders>
            <w:vAlign w:val="bottom"/>
          </w:tcPr>
          <w:p w14:paraId="348BEA63"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Current use of an alternative smoking product</w:t>
            </w:r>
          </w:p>
        </w:tc>
        <w:tc>
          <w:tcPr>
            <w:tcW w:w="1912" w:type="dxa"/>
            <w:tcBorders>
              <w:top w:val="single" w:sz="4" w:space="0" w:color="E7E6E6"/>
              <w:left w:val="nil"/>
              <w:bottom w:val="single" w:sz="4" w:space="0" w:color="E7E6E6"/>
              <w:right w:val="nil"/>
            </w:tcBorders>
          </w:tcPr>
          <w:p w14:paraId="76AB9ED8"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30F9BE3A"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7803975A"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17F1EC28" w14:textId="77777777" w:rsidTr="00564AEE">
        <w:trPr>
          <w:trHeight w:val="224"/>
        </w:trPr>
        <w:tc>
          <w:tcPr>
            <w:tcW w:w="3642" w:type="dxa"/>
            <w:tcBorders>
              <w:top w:val="single" w:sz="4" w:space="0" w:color="E7E6E6"/>
              <w:left w:val="nil"/>
              <w:bottom w:val="single" w:sz="4" w:space="0" w:color="E7E6E6"/>
              <w:right w:val="nil"/>
            </w:tcBorders>
            <w:vAlign w:val="bottom"/>
          </w:tcPr>
          <w:p w14:paraId="691BEB69" w14:textId="7FCAB08B"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Yes</w:t>
            </w:r>
          </w:p>
        </w:tc>
        <w:tc>
          <w:tcPr>
            <w:tcW w:w="1912" w:type="dxa"/>
            <w:tcBorders>
              <w:top w:val="single" w:sz="4" w:space="0" w:color="E7E6E6"/>
              <w:left w:val="nil"/>
              <w:bottom w:val="single" w:sz="4" w:space="0" w:color="E7E6E6"/>
              <w:right w:val="nil"/>
            </w:tcBorders>
          </w:tcPr>
          <w:p w14:paraId="6F230996"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343/427 (80.3)</w:t>
            </w:r>
          </w:p>
        </w:tc>
        <w:tc>
          <w:tcPr>
            <w:tcW w:w="1612" w:type="dxa"/>
            <w:tcBorders>
              <w:top w:val="single" w:sz="4" w:space="0" w:color="E7E6E6"/>
              <w:left w:val="nil"/>
              <w:bottom w:val="single" w:sz="4" w:space="0" w:color="E7E6E6"/>
              <w:right w:val="nil"/>
            </w:tcBorders>
          </w:tcPr>
          <w:p w14:paraId="2E33B5A8"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282/355 </w:t>
            </w:r>
            <w:r w:rsidRPr="005B2AA7">
              <w:rPr>
                <w:rFonts w:ascii="Book Antiqua" w:eastAsia="Calibri" w:hAnsi="Book Antiqua" w:cs="Times New Roman"/>
                <w:sz w:val="24"/>
                <w:szCs w:val="24"/>
                <w:lang w:val="en-US"/>
              </w:rPr>
              <w:lastRenderedPageBreak/>
              <w:t>(79.4)</w:t>
            </w:r>
          </w:p>
        </w:tc>
        <w:tc>
          <w:tcPr>
            <w:tcW w:w="914" w:type="dxa"/>
            <w:vMerge w:val="restart"/>
            <w:tcBorders>
              <w:top w:val="single" w:sz="4" w:space="0" w:color="E7E6E6"/>
              <w:left w:val="nil"/>
              <w:right w:val="nil"/>
            </w:tcBorders>
            <w:vAlign w:val="center"/>
          </w:tcPr>
          <w:p w14:paraId="10CCB2BE"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lastRenderedPageBreak/>
              <w:t>0.79</w:t>
            </w:r>
          </w:p>
        </w:tc>
      </w:tr>
      <w:tr w:rsidR="00A35DEB" w:rsidRPr="005B2AA7" w14:paraId="28371178" w14:textId="77777777" w:rsidTr="00564AEE">
        <w:trPr>
          <w:trHeight w:val="224"/>
        </w:trPr>
        <w:tc>
          <w:tcPr>
            <w:tcW w:w="3642" w:type="dxa"/>
            <w:tcBorders>
              <w:top w:val="single" w:sz="4" w:space="0" w:color="E7E6E6"/>
              <w:left w:val="nil"/>
              <w:bottom w:val="single" w:sz="4" w:space="0" w:color="E7E6E6"/>
              <w:right w:val="nil"/>
            </w:tcBorders>
            <w:vAlign w:val="bottom"/>
          </w:tcPr>
          <w:p w14:paraId="36FD78CC" w14:textId="5655A297"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lastRenderedPageBreak/>
              <w:t>No</w:t>
            </w:r>
          </w:p>
        </w:tc>
        <w:tc>
          <w:tcPr>
            <w:tcW w:w="1912" w:type="dxa"/>
            <w:tcBorders>
              <w:top w:val="single" w:sz="4" w:space="0" w:color="E7E6E6"/>
              <w:left w:val="nil"/>
              <w:bottom w:val="single" w:sz="4" w:space="0" w:color="E7E6E6"/>
              <w:right w:val="nil"/>
            </w:tcBorders>
          </w:tcPr>
          <w:p w14:paraId="351001C7"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84/427 (19.7)</w:t>
            </w:r>
          </w:p>
        </w:tc>
        <w:tc>
          <w:tcPr>
            <w:tcW w:w="1612" w:type="dxa"/>
            <w:tcBorders>
              <w:top w:val="single" w:sz="4" w:space="0" w:color="E7E6E6"/>
              <w:left w:val="nil"/>
              <w:bottom w:val="single" w:sz="4" w:space="0" w:color="E7E6E6"/>
              <w:right w:val="nil"/>
            </w:tcBorders>
          </w:tcPr>
          <w:p w14:paraId="4220F6B3"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73/355 (20.6)</w:t>
            </w:r>
          </w:p>
        </w:tc>
        <w:tc>
          <w:tcPr>
            <w:tcW w:w="914" w:type="dxa"/>
            <w:vMerge/>
            <w:tcBorders>
              <w:left w:val="nil"/>
              <w:bottom w:val="single" w:sz="4" w:space="0" w:color="E7E6E6"/>
              <w:right w:val="nil"/>
            </w:tcBorders>
          </w:tcPr>
          <w:p w14:paraId="05A50ED7"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5A67401C" w14:textId="77777777" w:rsidTr="00564AEE">
        <w:trPr>
          <w:trHeight w:val="224"/>
        </w:trPr>
        <w:tc>
          <w:tcPr>
            <w:tcW w:w="3642" w:type="dxa"/>
            <w:tcBorders>
              <w:top w:val="single" w:sz="4" w:space="0" w:color="E7E6E6"/>
              <w:left w:val="nil"/>
              <w:bottom w:val="single" w:sz="4" w:space="0" w:color="E7E6E6"/>
              <w:right w:val="nil"/>
            </w:tcBorders>
            <w:vAlign w:val="bottom"/>
          </w:tcPr>
          <w:p w14:paraId="63A5E762"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vertAlign w:val="superscript"/>
                <w:lang w:val="en-US"/>
              </w:rPr>
            </w:pPr>
            <w:r w:rsidRPr="005B2AA7">
              <w:rPr>
                <w:rFonts w:ascii="Book Antiqua" w:eastAsia="Calibri" w:hAnsi="Book Antiqua" w:cs="Times New Roman"/>
                <w:sz w:val="24"/>
                <w:szCs w:val="24"/>
                <w:lang w:val="en-US"/>
              </w:rPr>
              <w:t>Type of smoking/nicotine product ever used</w:t>
            </w:r>
          </w:p>
        </w:tc>
        <w:tc>
          <w:tcPr>
            <w:tcW w:w="1912" w:type="dxa"/>
            <w:tcBorders>
              <w:top w:val="single" w:sz="4" w:space="0" w:color="E7E6E6"/>
              <w:left w:val="nil"/>
              <w:bottom w:val="single" w:sz="4" w:space="0" w:color="E7E6E6"/>
              <w:right w:val="nil"/>
            </w:tcBorders>
          </w:tcPr>
          <w:p w14:paraId="6EAA7CAE"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1D7E1680"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0931E693"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7BB3F51F" w14:textId="77777777" w:rsidTr="00564AEE">
        <w:trPr>
          <w:trHeight w:val="224"/>
        </w:trPr>
        <w:tc>
          <w:tcPr>
            <w:tcW w:w="3642" w:type="dxa"/>
            <w:tcBorders>
              <w:top w:val="single" w:sz="4" w:space="0" w:color="E7E6E6"/>
              <w:left w:val="nil"/>
              <w:bottom w:val="single" w:sz="4" w:space="0" w:color="E7E6E6"/>
              <w:right w:val="nil"/>
            </w:tcBorders>
            <w:vAlign w:val="bottom"/>
          </w:tcPr>
          <w:p w14:paraId="4613608B" w14:textId="39CDE682"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Cigarettes</w:t>
            </w:r>
          </w:p>
        </w:tc>
        <w:tc>
          <w:tcPr>
            <w:tcW w:w="1912" w:type="dxa"/>
            <w:tcBorders>
              <w:top w:val="single" w:sz="4" w:space="0" w:color="E7E6E6"/>
              <w:left w:val="nil"/>
              <w:bottom w:val="single" w:sz="4" w:space="0" w:color="E7E6E6"/>
              <w:right w:val="nil"/>
            </w:tcBorders>
          </w:tcPr>
          <w:p w14:paraId="706B7D53"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409/427 (95.8)</w:t>
            </w:r>
          </w:p>
        </w:tc>
        <w:tc>
          <w:tcPr>
            <w:tcW w:w="1612" w:type="dxa"/>
            <w:tcBorders>
              <w:top w:val="single" w:sz="4" w:space="0" w:color="E7E6E6"/>
              <w:left w:val="nil"/>
              <w:bottom w:val="single" w:sz="4" w:space="0" w:color="E7E6E6"/>
              <w:right w:val="nil"/>
            </w:tcBorders>
          </w:tcPr>
          <w:p w14:paraId="66B3C845"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330/355 (93.0)</w:t>
            </w:r>
          </w:p>
        </w:tc>
        <w:tc>
          <w:tcPr>
            <w:tcW w:w="914" w:type="dxa"/>
            <w:tcBorders>
              <w:top w:val="single" w:sz="4" w:space="0" w:color="E7E6E6"/>
              <w:left w:val="nil"/>
              <w:bottom w:val="single" w:sz="4" w:space="0" w:color="E7E6E6"/>
              <w:right w:val="nil"/>
            </w:tcBorders>
          </w:tcPr>
          <w:p w14:paraId="1A16E74B"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0.11</w:t>
            </w:r>
          </w:p>
        </w:tc>
      </w:tr>
      <w:tr w:rsidR="00A35DEB" w:rsidRPr="005B2AA7" w14:paraId="2BAF24C3" w14:textId="77777777" w:rsidTr="00564AEE">
        <w:trPr>
          <w:trHeight w:val="224"/>
        </w:trPr>
        <w:tc>
          <w:tcPr>
            <w:tcW w:w="3642" w:type="dxa"/>
            <w:tcBorders>
              <w:top w:val="single" w:sz="4" w:space="0" w:color="E7E6E6"/>
              <w:left w:val="nil"/>
              <w:bottom w:val="single" w:sz="4" w:space="0" w:color="E7E6E6"/>
              <w:right w:val="nil"/>
            </w:tcBorders>
            <w:vAlign w:val="bottom"/>
          </w:tcPr>
          <w:p w14:paraId="41CF8E0A" w14:textId="513E440D"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E-cigarettes</w:t>
            </w:r>
          </w:p>
        </w:tc>
        <w:tc>
          <w:tcPr>
            <w:tcW w:w="1912" w:type="dxa"/>
            <w:tcBorders>
              <w:top w:val="single" w:sz="4" w:space="0" w:color="E7E6E6"/>
              <w:left w:val="nil"/>
              <w:bottom w:val="single" w:sz="4" w:space="0" w:color="E7E6E6"/>
              <w:right w:val="nil"/>
            </w:tcBorders>
          </w:tcPr>
          <w:p w14:paraId="5288DF23"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84/427 (19.7)</w:t>
            </w:r>
          </w:p>
        </w:tc>
        <w:tc>
          <w:tcPr>
            <w:tcW w:w="1612" w:type="dxa"/>
            <w:tcBorders>
              <w:top w:val="single" w:sz="4" w:space="0" w:color="E7E6E6"/>
              <w:left w:val="nil"/>
              <w:bottom w:val="single" w:sz="4" w:space="0" w:color="E7E6E6"/>
              <w:right w:val="nil"/>
            </w:tcBorders>
          </w:tcPr>
          <w:p w14:paraId="67E522D2"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71/355 (20.0)</w:t>
            </w:r>
          </w:p>
        </w:tc>
        <w:tc>
          <w:tcPr>
            <w:tcW w:w="914" w:type="dxa"/>
            <w:tcBorders>
              <w:top w:val="single" w:sz="4" w:space="0" w:color="E7E6E6"/>
              <w:left w:val="nil"/>
              <w:bottom w:val="single" w:sz="4" w:space="0" w:color="E7E6E6"/>
              <w:right w:val="nil"/>
            </w:tcBorders>
          </w:tcPr>
          <w:p w14:paraId="5C75BBB6"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0.93</w:t>
            </w:r>
          </w:p>
        </w:tc>
      </w:tr>
      <w:tr w:rsidR="00A35DEB" w:rsidRPr="005B2AA7" w14:paraId="092CC799" w14:textId="77777777" w:rsidTr="00564AEE">
        <w:trPr>
          <w:trHeight w:val="224"/>
        </w:trPr>
        <w:tc>
          <w:tcPr>
            <w:tcW w:w="3642" w:type="dxa"/>
            <w:tcBorders>
              <w:top w:val="single" w:sz="4" w:space="0" w:color="E7E6E6"/>
              <w:left w:val="nil"/>
              <w:bottom w:val="single" w:sz="4" w:space="0" w:color="E7E6E6"/>
              <w:right w:val="nil"/>
            </w:tcBorders>
            <w:vAlign w:val="bottom"/>
          </w:tcPr>
          <w:p w14:paraId="7922190A" w14:textId="6F163A1D"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Heat not burn tobacco product</w:t>
            </w:r>
          </w:p>
        </w:tc>
        <w:tc>
          <w:tcPr>
            <w:tcW w:w="1912" w:type="dxa"/>
            <w:tcBorders>
              <w:top w:val="single" w:sz="4" w:space="0" w:color="E7E6E6"/>
              <w:left w:val="nil"/>
              <w:bottom w:val="single" w:sz="4" w:space="0" w:color="E7E6E6"/>
              <w:right w:val="nil"/>
            </w:tcBorders>
          </w:tcPr>
          <w:p w14:paraId="2C278A6C"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19/427 (4.5)</w:t>
            </w:r>
          </w:p>
        </w:tc>
        <w:tc>
          <w:tcPr>
            <w:tcW w:w="1612" w:type="dxa"/>
            <w:tcBorders>
              <w:top w:val="single" w:sz="4" w:space="0" w:color="E7E6E6"/>
              <w:left w:val="nil"/>
              <w:bottom w:val="single" w:sz="4" w:space="0" w:color="E7E6E6"/>
              <w:right w:val="nil"/>
            </w:tcBorders>
          </w:tcPr>
          <w:p w14:paraId="03F61965"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25/355 (7.0)</w:t>
            </w:r>
          </w:p>
        </w:tc>
        <w:tc>
          <w:tcPr>
            <w:tcW w:w="914" w:type="dxa"/>
            <w:tcBorders>
              <w:top w:val="single" w:sz="4" w:space="0" w:color="E7E6E6"/>
              <w:left w:val="nil"/>
              <w:bottom w:val="single" w:sz="4" w:space="0" w:color="E7E6E6"/>
              <w:right w:val="nil"/>
            </w:tcBorders>
          </w:tcPr>
          <w:p w14:paraId="1338E819"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0.12</w:t>
            </w:r>
          </w:p>
        </w:tc>
      </w:tr>
      <w:tr w:rsidR="00A35DEB" w:rsidRPr="005B2AA7" w14:paraId="067EE8DB" w14:textId="77777777" w:rsidTr="00564AEE">
        <w:trPr>
          <w:trHeight w:val="224"/>
        </w:trPr>
        <w:tc>
          <w:tcPr>
            <w:tcW w:w="3642" w:type="dxa"/>
            <w:tcBorders>
              <w:top w:val="single" w:sz="4" w:space="0" w:color="E7E6E6"/>
              <w:left w:val="nil"/>
              <w:bottom w:val="single" w:sz="4" w:space="0" w:color="E7E6E6"/>
              <w:right w:val="nil"/>
            </w:tcBorders>
            <w:vAlign w:val="bottom"/>
          </w:tcPr>
          <w:p w14:paraId="15F1FB1F" w14:textId="559D33F0"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Nicotine gum</w:t>
            </w:r>
          </w:p>
        </w:tc>
        <w:tc>
          <w:tcPr>
            <w:tcW w:w="1912" w:type="dxa"/>
            <w:tcBorders>
              <w:top w:val="single" w:sz="4" w:space="0" w:color="E7E6E6"/>
              <w:left w:val="nil"/>
              <w:bottom w:val="single" w:sz="4" w:space="0" w:color="E7E6E6"/>
              <w:right w:val="nil"/>
            </w:tcBorders>
          </w:tcPr>
          <w:p w14:paraId="7F3B931F"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37/427 (8.7)</w:t>
            </w:r>
          </w:p>
        </w:tc>
        <w:tc>
          <w:tcPr>
            <w:tcW w:w="1612" w:type="dxa"/>
            <w:tcBorders>
              <w:top w:val="single" w:sz="4" w:space="0" w:color="E7E6E6"/>
              <w:left w:val="nil"/>
              <w:bottom w:val="single" w:sz="4" w:space="0" w:color="E7E6E6"/>
              <w:right w:val="nil"/>
            </w:tcBorders>
          </w:tcPr>
          <w:p w14:paraId="2B881BAD"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36/355 (10.1)</w:t>
            </w:r>
          </w:p>
        </w:tc>
        <w:tc>
          <w:tcPr>
            <w:tcW w:w="914" w:type="dxa"/>
            <w:tcBorders>
              <w:top w:val="single" w:sz="4" w:space="0" w:color="E7E6E6"/>
              <w:left w:val="nil"/>
              <w:bottom w:val="single" w:sz="4" w:space="0" w:color="E7E6E6"/>
              <w:right w:val="nil"/>
            </w:tcBorders>
          </w:tcPr>
          <w:p w14:paraId="1F9A88CD"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0.54</w:t>
            </w:r>
          </w:p>
        </w:tc>
      </w:tr>
      <w:tr w:rsidR="00A35DEB" w:rsidRPr="005B2AA7" w14:paraId="2E098BDE" w14:textId="77777777" w:rsidTr="00564AEE">
        <w:trPr>
          <w:trHeight w:val="224"/>
        </w:trPr>
        <w:tc>
          <w:tcPr>
            <w:tcW w:w="3642" w:type="dxa"/>
            <w:tcBorders>
              <w:top w:val="single" w:sz="4" w:space="0" w:color="E7E6E6"/>
              <w:left w:val="nil"/>
              <w:bottom w:val="single" w:sz="4" w:space="0" w:color="E7E6E6"/>
              <w:right w:val="nil"/>
            </w:tcBorders>
            <w:vAlign w:val="bottom"/>
          </w:tcPr>
          <w:p w14:paraId="4DB7DEDE" w14:textId="16914768"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Nicotine patches</w:t>
            </w:r>
          </w:p>
        </w:tc>
        <w:tc>
          <w:tcPr>
            <w:tcW w:w="1912" w:type="dxa"/>
            <w:tcBorders>
              <w:top w:val="single" w:sz="4" w:space="0" w:color="E7E6E6"/>
              <w:left w:val="nil"/>
              <w:bottom w:val="single" w:sz="4" w:space="0" w:color="E7E6E6"/>
              <w:right w:val="nil"/>
            </w:tcBorders>
          </w:tcPr>
          <w:p w14:paraId="21EDC52A"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21/427 (4.9)</w:t>
            </w:r>
          </w:p>
        </w:tc>
        <w:tc>
          <w:tcPr>
            <w:tcW w:w="1612" w:type="dxa"/>
            <w:tcBorders>
              <w:top w:val="single" w:sz="4" w:space="0" w:color="E7E6E6"/>
              <w:left w:val="nil"/>
              <w:bottom w:val="single" w:sz="4" w:space="0" w:color="E7E6E6"/>
              <w:right w:val="nil"/>
            </w:tcBorders>
          </w:tcPr>
          <w:p w14:paraId="39B19FEB"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23/355 (6.5)</w:t>
            </w:r>
          </w:p>
        </w:tc>
        <w:tc>
          <w:tcPr>
            <w:tcW w:w="914" w:type="dxa"/>
            <w:tcBorders>
              <w:top w:val="single" w:sz="4" w:space="0" w:color="E7E6E6"/>
              <w:left w:val="nil"/>
              <w:bottom w:val="single" w:sz="4" w:space="0" w:color="E7E6E6"/>
              <w:right w:val="nil"/>
            </w:tcBorders>
          </w:tcPr>
          <w:p w14:paraId="6E50D508"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0.35</w:t>
            </w:r>
          </w:p>
        </w:tc>
      </w:tr>
      <w:tr w:rsidR="00A35DEB" w:rsidRPr="005B2AA7" w14:paraId="36B6BA97" w14:textId="77777777" w:rsidTr="00564AEE">
        <w:trPr>
          <w:trHeight w:val="224"/>
        </w:trPr>
        <w:tc>
          <w:tcPr>
            <w:tcW w:w="3642" w:type="dxa"/>
            <w:tcBorders>
              <w:top w:val="single" w:sz="4" w:space="0" w:color="E7E6E6"/>
              <w:left w:val="nil"/>
              <w:bottom w:val="single" w:sz="4" w:space="0" w:color="E7E6E6"/>
              <w:right w:val="nil"/>
            </w:tcBorders>
            <w:vAlign w:val="bottom"/>
          </w:tcPr>
          <w:p w14:paraId="3F479625" w14:textId="68CB4BCD"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Chewing tobacco/snus/snuff</w:t>
            </w:r>
          </w:p>
        </w:tc>
        <w:tc>
          <w:tcPr>
            <w:tcW w:w="1912" w:type="dxa"/>
            <w:tcBorders>
              <w:top w:val="single" w:sz="4" w:space="0" w:color="E7E6E6"/>
              <w:left w:val="nil"/>
              <w:bottom w:val="single" w:sz="4" w:space="0" w:color="E7E6E6"/>
              <w:right w:val="nil"/>
            </w:tcBorders>
          </w:tcPr>
          <w:p w14:paraId="3857E2C2"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10/427 (2.3)</w:t>
            </w:r>
          </w:p>
        </w:tc>
        <w:tc>
          <w:tcPr>
            <w:tcW w:w="1612" w:type="dxa"/>
            <w:tcBorders>
              <w:top w:val="single" w:sz="4" w:space="0" w:color="E7E6E6"/>
              <w:left w:val="nil"/>
              <w:bottom w:val="single" w:sz="4" w:space="0" w:color="E7E6E6"/>
              <w:right w:val="nil"/>
            </w:tcBorders>
          </w:tcPr>
          <w:p w14:paraId="1EA2F3BC"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15/355 (4.2)</w:t>
            </w:r>
          </w:p>
        </w:tc>
        <w:tc>
          <w:tcPr>
            <w:tcW w:w="914" w:type="dxa"/>
            <w:tcBorders>
              <w:top w:val="single" w:sz="4" w:space="0" w:color="E7E6E6"/>
              <w:left w:val="nil"/>
              <w:bottom w:val="single" w:sz="4" w:space="0" w:color="E7E6E6"/>
              <w:right w:val="nil"/>
            </w:tcBorders>
          </w:tcPr>
          <w:p w14:paraId="6C6D432B"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0.16</w:t>
            </w:r>
          </w:p>
        </w:tc>
      </w:tr>
      <w:tr w:rsidR="00A35DEB" w:rsidRPr="005B2AA7" w14:paraId="1D34037E" w14:textId="77777777" w:rsidTr="00564AEE">
        <w:trPr>
          <w:trHeight w:val="224"/>
        </w:trPr>
        <w:tc>
          <w:tcPr>
            <w:tcW w:w="3642" w:type="dxa"/>
            <w:tcBorders>
              <w:top w:val="single" w:sz="4" w:space="0" w:color="E7E6E6"/>
              <w:left w:val="nil"/>
              <w:bottom w:val="single" w:sz="4" w:space="0" w:color="E7E6E6"/>
              <w:right w:val="nil"/>
            </w:tcBorders>
            <w:vAlign w:val="bottom"/>
          </w:tcPr>
          <w:p w14:paraId="1B20F0F9" w14:textId="081D3131"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Cigars</w:t>
            </w:r>
          </w:p>
        </w:tc>
        <w:tc>
          <w:tcPr>
            <w:tcW w:w="1912" w:type="dxa"/>
            <w:tcBorders>
              <w:top w:val="single" w:sz="4" w:space="0" w:color="E7E6E6"/>
              <w:left w:val="nil"/>
              <w:bottom w:val="single" w:sz="4" w:space="0" w:color="E7E6E6"/>
              <w:right w:val="nil"/>
            </w:tcBorders>
          </w:tcPr>
          <w:p w14:paraId="59C94A2F"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44/427 (10.3)</w:t>
            </w:r>
          </w:p>
        </w:tc>
        <w:tc>
          <w:tcPr>
            <w:tcW w:w="1612" w:type="dxa"/>
            <w:tcBorders>
              <w:top w:val="single" w:sz="4" w:space="0" w:color="E7E6E6"/>
              <w:left w:val="nil"/>
              <w:bottom w:val="single" w:sz="4" w:space="0" w:color="E7E6E6"/>
              <w:right w:val="nil"/>
            </w:tcBorders>
          </w:tcPr>
          <w:p w14:paraId="1A2FE317"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31/355 (8.7)</w:t>
            </w:r>
          </w:p>
        </w:tc>
        <w:tc>
          <w:tcPr>
            <w:tcW w:w="914" w:type="dxa"/>
            <w:tcBorders>
              <w:top w:val="single" w:sz="4" w:space="0" w:color="E7E6E6"/>
              <w:left w:val="nil"/>
              <w:bottom w:val="single" w:sz="4" w:space="0" w:color="E7E6E6"/>
              <w:right w:val="nil"/>
            </w:tcBorders>
          </w:tcPr>
          <w:p w14:paraId="3A27A00E"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0.47</w:t>
            </w:r>
          </w:p>
        </w:tc>
      </w:tr>
      <w:tr w:rsidR="00A35DEB" w:rsidRPr="005B2AA7" w14:paraId="5A8A1994" w14:textId="77777777" w:rsidTr="00564AEE">
        <w:trPr>
          <w:trHeight w:val="224"/>
        </w:trPr>
        <w:tc>
          <w:tcPr>
            <w:tcW w:w="3642" w:type="dxa"/>
            <w:tcBorders>
              <w:top w:val="single" w:sz="4" w:space="0" w:color="E7E6E6"/>
              <w:left w:val="nil"/>
              <w:bottom w:val="single" w:sz="4" w:space="0" w:color="E7E6E6"/>
              <w:right w:val="nil"/>
            </w:tcBorders>
            <w:vAlign w:val="bottom"/>
          </w:tcPr>
          <w:p w14:paraId="6F76BA68" w14:textId="3317D913"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Pipes</w:t>
            </w:r>
          </w:p>
        </w:tc>
        <w:tc>
          <w:tcPr>
            <w:tcW w:w="1912" w:type="dxa"/>
            <w:tcBorders>
              <w:top w:val="single" w:sz="4" w:space="0" w:color="E7E6E6"/>
              <w:left w:val="nil"/>
              <w:bottom w:val="single" w:sz="4" w:space="0" w:color="E7E6E6"/>
              <w:right w:val="nil"/>
            </w:tcBorders>
          </w:tcPr>
          <w:p w14:paraId="38DA2C7B"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13/427 (3.0)</w:t>
            </w:r>
          </w:p>
        </w:tc>
        <w:tc>
          <w:tcPr>
            <w:tcW w:w="1612" w:type="dxa"/>
            <w:tcBorders>
              <w:top w:val="single" w:sz="4" w:space="0" w:color="E7E6E6"/>
              <w:left w:val="nil"/>
              <w:bottom w:val="single" w:sz="4" w:space="0" w:color="E7E6E6"/>
              <w:right w:val="nil"/>
            </w:tcBorders>
          </w:tcPr>
          <w:p w14:paraId="24E93889"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8/355 (2.3)</w:t>
            </w:r>
          </w:p>
        </w:tc>
        <w:tc>
          <w:tcPr>
            <w:tcW w:w="914" w:type="dxa"/>
            <w:tcBorders>
              <w:top w:val="single" w:sz="4" w:space="0" w:color="E7E6E6"/>
              <w:left w:val="nil"/>
              <w:bottom w:val="single" w:sz="4" w:space="0" w:color="E7E6E6"/>
              <w:right w:val="nil"/>
            </w:tcBorders>
          </w:tcPr>
          <w:p w14:paraId="222AAF0C"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0.66</w:t>
            </w:r>
          </w:p>
        </w:tc>
      </w:tr>
      <w:tr w:rsidR="00A35DEB" w:rsidRPr="005B2AA7" w14:paraId="1AB27C98" w14:textId="77777777" w:rsidTr="00564AEE">
        <w:trPr>
          <w:trHeight w:val="224"/>
        </w:trPr>
        <w:tc>
          <w:tcPr>
            <w:tcW w:w="3642" w:type="dxa"/>
            <w:tcBorders>
              <w:top w:val="single" w:sz="4" w:space="0" w:color="E7E6E6"/>
              <w:left w:val="nil"/>
              <w:bottom w:val="single" w:sz="4" w:space="0" w:color="E7E6E6"/>
              <w:right w:val="nil"/>
            </w:tcBorders>
            <w:vAlign w:val="bottom"/>
          </w:tcPr>
          <w:p w14:paraId="7F0421C5" w14:textId="3A1DA145"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Marijuana</w:t>
            </w:r>
          </w:p>
        </w:tc>
        <w:tc>
          <w:tcPr>
            <w:tcW w:w="1912" w:type="dxa"/>
            <w:tcBorders>
              <w:top w:val="single" w:sz="4" w:space="0" w:color="E7E6E6"/>
              <w:left w:val="nil"/>
              <w:bottom w:val="single" w:sz="4" w:space="0" w:color="E7E6E6"/>
              <w:right w:val="nil"/>
            </w:tcBorders>
          </w:tcPr>
          <w:p w14:paraId="5C908F0E"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81/427 (19.0)</w:t>
            </w:r>
          </w:p>
        </w:tc>
        <w:tc>
          <w:tcPr>
            <w:tcW w:w="1612" w:type="dxa"/>
            <w:tcBorders>
              <w:top w:val="single" w:sz="4" w:space="0" w:color="E7E6E6"/>
              <w:left w:val="nil"/>
              <w:bottom w:val="single" w:sz="4" w:space="0" w:color="E7E6E6"/>
              <w:right w:val="nil"/>
            </w:tcBorders>
          </w:tcPr>
          <w:p w14:paraId="30CCFC1B"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56/355 (15.8)</w:t>
            </w:r>
          </w:p>
        </w:tc>
        <w:tc>
          <w:tcPr>
            <w:tcW w:w="914" w:type="dxa"/>
            <w:tcBorders>
              <w:top w:val="single" w:sz="4" w:space="0" w:color="E7E6E6"/>
              <w:left w:val="nil"/>
              <w:bottom w:val="single" w:sz="4" w:space="0" w:color="E7E6E6"/>
              <w:right w:val="nil"/>
            </w:tcBorders>
          </w:tcPr>
          <w:p w14:paraId="42F0607D"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0.26</w:t>
            </w:r>
          </w:p>
        </w:tc>
      </w:tr>
      <w:tr w:rsidR="00A35DEB" w:rsidRPr="005B2AA7" w14:paraId="4B58DDD4" w14:textId="77777777" w:rsidTr="00564AEE">
        <w:trPr>
          <w:trHeight w:val="224"/>
        </w:trPr>
        <w:tc>
          <w:tcPr>
            <w:tcW w:w="3642" w:type="dxa"/>
            <w:tcBorders>
              <w:top w:val="single" w:sz="4" w:space="0" w:color="E7E6E6"/>
              <w:left w:val="nil"/>
              <w:bottom w:val="single" w:sz="4" w:space="0" w:color="E7E6E6"/>
              <w:right w:val="nil"/>
            </w:tcBorders>
            <w:vAlign w:val="bottom"/>
          </w:tcPr>
          <w:p w14:paraId="4C629D3F" w14:textId="04022E12"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Any other combustion/smoking product</w:t>
            </w:r>
          </w:p>
        </w:tc>
        <w:tc>
          <w:tcPr>
            <w:tcW w:w="1912" w:type="dxa"/>
            <w:tcBorders>
              <w:top w:val="single" w:sz="4" w:space="0" w:color="E7E6E6"/>
              <w:left w:val="nil"/>
              <w:bottom w:val="single" w:sz="4" w:space="0" w:color="E7E6E6"/>
              <w:right w:val="nil"/>
            </w:tcBorders>
          </w:tcPr>
          <w:p w14:paraId="7E376568"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11/427 (2.6)</w:t>
            </w:r>
          </w:p>
        </w:tc>
        <w:tc>
          <w:tcPr>
            <w:tcW w:w="1612" w:type="dxa"/>
            <w:tcBorders>
              <w:top w:val="single" w:sz="4" w:space="0" w:color="E7E6E6"/>
              <w:left w:val="nil"/>
              <w:bottom w:val="single" w:sz="4" w:space="0" w:color="E7E6E6"/>
              <w:right w:val="nil"/>
            </w:tcBorders>
          </w:tcPr>
          <w:p w14:paraId="2E3A39B9"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5/355 (1.4)</w:t>
            </w:r>
          </w:p>
        </w:tc>
        <w:tc>
          <w:tcPr>
            <w:tcW w:w="914" w:type="dxa"/>
            <w:tcBorders>
              <w:top w:val="single" w:sz="4" w:space="0" w:color="E7E6E6"/>
              <w:left w:val="nil"/>
              <w:bottom w:val="single" w:sz="4" w:space="0" w:color="E7E6E6"/>
              <w:right w:val="nil"/>
            </w:tcBorders>
          </w:tcPr>
          <w:p w14:paraId="0AC53A43"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0.31</w:t>
            </w:r>
          </w:p>
        </w:tc>
      </w:tr>
      <w:tr w:rsidR="00A35DEB" w:rsidRPr="005B2AA7" w14:paraId="0AF2B500" w14:textId="77777777" w:rsidTr="00564AEE">
        <w:trPr>
          <w:trHeight w:val="224"/>
        </w:trPr>
        <w:tc>
          <w:tcPr>
            <w:tcW w:w="3642" w:type="dxa"/>
            <w:tcBorders>
              <w:top w:val="single" w:sz="4" w:space="0" w:color="E7E6E6"/>
              <w:left w:val="nil"/>
              <w:bottom w:val="single" w:sz="4" w:space="0" w:color="E7E6E6"/>
              <w:right w:val="nil"/>
            </w:tcBorders>
            <w:vAlign w:val="bottom"/>
          </w:tcPr>
          <w:p w14:paraId="2B42DE6A" w14:textId="28D1CF61"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None of the above</w:t>
            </w:r>
          </w:p>
        </w:tc>
        <w:tc>
          <w:tcPr>
            <w:tcW w:w="1912" w:type="dxa"/>
            <w:tcBorders>
              <w:top w:val="single" w:sz="4" w:space="0" w:color="E7E6E6"/>
              <w:left w:val="nil"/>
              <w:bottom w:val="single" w:sz="4" w:space="0" w:color="E7E6E6"/>
              <w:right w:val="nil"/>
            </w:tcBorders>
          </w:tcPr>
          <w:p w14:paraId="3F5B5E87"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2/427 (0.5)</w:t>
            </w:r>
          </w:p>
        </w:tc>
        <w:tc>
          <w:tcPr>
            <w:tcW w:w="1612" w:type="dxa"/>
            <w:tcBorders>
              <w:top w:val="single" w:sz="4" w:space="0" w:color="E7E6E6"/>
              <w:left w:val="nil"/>
              <w:bottom w:val="single" w:sz="4" w:space="0" w:color="E7E6E6"/>
              <w:right w:val="nil"/>
            </w:tcBorders>
          </w:tcPr>
          <w:p w14:paraId="2F46289A"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7/355 (2.0)</w:t>
            </w:r>
          </w:p>
        </w:tc>
        <w:tc>
          <w:tcPr>
            <w:tcW w:w="914" w:type="dxa"/>
            <w:tcBorders>
              <w:top w:val="single" w:sz="4" w:space="0" w:color="E7E6E6"/>
              <w:left w:val="nil"/>
              <w:bottom w:val="single" w:sz="4" w:space="0" w:color="E7E6E6"/>
              <w:right w:val="nil"/>
            </w:tcBorders>
          </w:tcPr>
          <w:p w14:paraId="31906155"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0.09</w:t>
            </w:r>
          </w:p>
        </w:tc>
      </w:tr>
      <w:tr w:rsidR="00A35DEB" w:rsidRPr="005B2AA7" w14:paraId="7EEDEEB4" w14:textId="77777777" w:rsidTr="00564AEE">
        <w:trPr>
          <w:trHeight w:val="224"/>
        </w:trPr>
        <w:tc>
          <w:tcPr>
            <w:tcW w:w="3642" w:type="dxa"/>
            <w:tcBorders>
              <w:top w:val="single" w:sz="4" w:space="0" w:color="E7E6E6"/>
              <w:left w:val="nil"/>
              <w:bottom w:val="single" w:sz="4" w:space="0" w:color="E7E6E6"/>
              <w:right w:val="nil"/>
            </w:tcBorders>
            <w:vAlign w:val="bottom"/>
          </w:tcPr>
          <w:p w14:paraId="1C16808B"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Ever stopped cigarette smoking and restarted</w:t>
            </w:r>
          </w:p>
        </w:tc>
        <w:tc>
          <w:tcPr>
            <w:tcW w:w="1912" w:type="dxa"/>
            <w:tcBorders>
              <w:top w:val="single" w:sz="4" w:space="0" w:color="E7E6E6"/>
              <w:left w:val="nil"/>
              <w:bottom w:val="single" w:sz="4" w:space="0" w:color="E7E6E6"/>
              <w:right w:val="nil"/>
            </w:tcBorders>
          </w:tcPr>
          <w:p w14:paraId="264E092C"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1AC2AB10"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392942A1"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51838CFD" w14:textId="77777777" w:rsidTr="00564AEE">
        <w:trPr>
          <w:trHeight w:val="224"/>
        </w:trPr>
        <w:tc>
          <w:tcPr>
            <w:tcW w:w="3642" w:type="dxa"/>
            <w:tcBorders>
              <w:top w:val="single" w:sz="4" w:space="0" w:color="E7E6E6"/>
              <w:left w:val="nil"/>
              <w:bottom w:val="single" w:sz="4" w:space="0" w:color="E7E6E6"/>
              <w:right w:val="nil"/>
            </w:tcBorders>
            <w:vAlign w:val="bottom"/>
          </w:tcPr>
          <w:p w14:paraId="08EB75E4" w14:textId="3457CF50"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Yes</w:t>
            </w:r>
          </w:p>
        </w:tc>
        <w:tc>
          <w:tcPr>
            <w:tcW w:w="1912" w:type="dxa"/>
            <w:tcBorders>
              <w:top w:val="single" w:sz="4" w:space="0" w:color="E7E6E6"/>
              <w:left w:val="nil"/>
              <w:bottom w:val="single" w:sz="4" w:space="0" w:color="E7E6E6"/>
              <w:right w:val="nil"/>
            </w:tcBorders>
          </w:tcPr>
          <w:p w14:paraId="4C16611A"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264/426 (62.0)</w:t>
            </w:r>
          </w:p>
        </w:tc>
        <w:tc>
          <w:tcPr>
            <w:tcW w:w="1612" w:type="dxa"/>
            <w:tcBorders>
              <w:top w:val="single" w:sz="4" w:space="0" w:color="E7E6E6"/>
              <w:left w:val="nil"/>
              <w:bottom w:val="single" w:sz="4" w:space="0" w:color="E7E6E6"/>
              <w:right w:val="nil"/>
            </w:tcBorders>
          </w:tcPr>
          <w:p w14:paraId="119801E8"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253/346 (73.1)</w:t>
            </w:r>
          </w:p>
        </w:tc>
        <w:tc>
          <w:tcPr>
            <w:tcW w:w="914" w:type="dxa"/>
            <w:vMerge w:val="restart"/>
            <w:tcBorders>
              <w:top w:val="single" w:sz="4" w:space="0" w:color="E7E6E6"/>
              <w:left w:val="nil"/>
              <w:right w:val="nil"/>
            </w:tcBorders>
            <w:vAlign w:val="center"/>
          </w:tcPr>
          <w:p w14:paraId="0F8DE47F"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0.001</w:t>
            </w:r>
          </w:p>
        </w:tc>
      </w:tr>
      <w:tr w:rsidR="00A35DEB" w:rsidRPr="005B2AA7" w14:paraId="055A0FA1" w14:textId="77777777" w:rsidTr="00564AEE">
        <w:trPr>
          <w:trHeight w:val="224"/>
        </w:trPr>
        <w:tc>
          <w:tcPr>
            <w:tcW w:w="3642" w:type="dxa"/>
            <w:tcBorders>
              <w:top w:val="single" w:sz="4" w:space="0" w:color="E7E6E6"/>
              <w:left w:val="nil"/>
              <w:bottom w:val="single" w:sz="4" w:space="0" w:color="E7E6E6"/>
              <w:right w:val="nil"/>
            </w:tcBorders>
            <w:vAlign w:val="bottom"/>
          </w:tcPr>
          <w:p w14:paraId="3EC4B03C" w14:textId="6BC20CDB"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No</w:t>
            </w:r>
          </w:p>
        </w:tc>
        <w:tc>
          <w:tcPr>
            <w:tcW w:w="1912" w:type="dxa"/>
            <w:tcBorders>
              <w:top w:val="single" w:sz="4" w:space="0" w:color="E7E6E6"/>
              <w:left w:val="nil"/>
              <w:bottom w:val="single" w:sz="4" w:space="0" w:color="E7E6E6"/>
              <w:right w:val="nil"/>
            </w:tcBorders>
          </w:tcPr>
          <w:p w14:paraId="1AA9BDF9"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162/426 (38.0)</w:t>
            </w:r>
          </w:p>
        </w:tc>
        <w:tc>
          <w:tcPr>
            <w:tcW w:w="1612" w:type="dxa"/>
            <w:tcBorders>
              <w:top w:val="single" w:sz="4" w:space="0" w:color="E7E6E6"/>
              <w:left w:val="nil"/>
              <w:bottom w:val="single" w:sz="4" w:space="0" w:color="E7E6E6"/>
              <w:right w:val="nil"/>
            </w:tcBorders>
          </w:tcPr>
          <w:p w14:paraId="7CE9BA91"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93/346 (26.9)</w:t>
            </w:r>
          </w:p>
        </w:tc>
        <w:tc>
          <w:tcPr>
            <w:tcW w:w="914" w:type="dxa"/>
            <w:vMerge/>
            <w:tcBorders>
              <w:left w:val="nil"/>
              <w:bottom w:val="single" w:sz="4" w:space="0" w:color="E7E6E6"/>
              <w:right w:val="nil"/>
            </w:tcBorders>
          </w:tcPr>
          <w:p w14:paraId="2DA746F6"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0C58DE25" w14:textId="77777777" w:rsidTr="00564AEE">
        <w:trPr>
          <w:trHeight w:val="224"/>
        </w:trPr>
        <w:tc>
          <w:tcPr>
            <w:tcW w:w="3642" w:type="dxa"/>
            <w:tcBorders>
              <w:top w:val="single" w:sz="4" w:space="0" w:color="E7E6E6"/>
              <w:left w:val="nil"/>
              <w:bottom w:val="single" w:sz="4" w:space="0" w:color="E7E6E6"/>
              <w:right w:val="nil"/>
            </w:tcBorders>
            <w:vAlign w:val="bottom"/>
          </w:tcPr>
          <w:p w14:paraId="5367C3FA" w14:textId="459F7028"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Ever</w:t>
            </w:r>
            <w:r w:rsidR="00515372" w:rsidRPr="005B2AA7">
              <w:rPr>
                <w:rFonts w:ascii="Book Antiqua" w:eastAsia="Calibri" w:hAnsi="Book Antiqua" w:cs="Times New Roman"/>
                <w:sz w:val="24"/>
                <w:szCs w:val="24"/>
                <w:lang w:val="en-US"/>
              </w:rPr>
              <w:t xml:space="preserve"> user of an alternative smoking</w:t>
            </w:r>
            <w:r w:rsidR="00515372" w:rsidRPr="005B2AA7">
              <w:rPr>
                <w:rFonts w:ascii="Book Antiqua" w:hAnsi="Book Antiqua" w:cs="Times New Roman"/>
                <w:sz w:val="24"/>
                <w:szCs w:val="24"/>
                <w:lang w:val="en-US" w:eastAsia="zh-CN"/>
              </w:rPr>
              <w:t xml:space="preserve"> </w:t>
            </w:r>
            <w:r w:rsidRPr="005B2AA7">
              <w:rPr>
                <w:rFonts w:ascii="Book Antiqua" w:eastAsia="Calibri" w:hAnsi="Book Antiqua" w:cs="Times New Roman"/>
                <w:sz w:val="24"/>
                <w:szCs w:val="24"/>
                <w:lang w:val="en-US"/>
              </w:rPr>
              <w:t>product</w:t>
            </w:r>
          </w:p>
        </w:tc>
        <w:tc>
          <w:tcPr>
            <w:tcW w:w="1912" w:type="dxa"/>
            <w:tcBorders>
              <w:top w:val="single" w:sz="4" w:space="0" w:color="E7E6E6"/>
              <w:left w:val="nil"/>
              <w:bottom w:val="single" w:sz="4" w:space="0" w:color="E7E6E6"/>
              <w:right w:val="nil"/>
            </w:tcBorders>
          </w:tcPr>
          <w:p w14:paraId="4ED62350"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08159792"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3F6477E8"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6FE53D6F" w14:textId="77777777" w:rsidTr="00564AEE">
        <w:trPr>
          <w:trHeight w:val="224"/>
        </w:trPr>
        <w:tc>
          <w:tcPr>
            <w:tcW w:w="3642" w:type="dxa"/>
            <w:tcBorders>
              <w:top w:val="single" w:sz="4" w:space="0" w:color="E7E6E6"/>
              <w:left w:val="nil"/>
              <w:bottom w:val="single" w:sz="4" w:space="0" w:color="E7E6E6"/>
              <w:right w:val="nil"/>
            </w:tcBorders>
            <w:vAlign w:val="bottom"/>
          </w:tcPr>
          <w:p w14:paraId="484EE345" w14:textId="2761DFD2"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Yes</w:t>
            </w:r>
          </w:p>
        </w:tc>
        <w:tc>
          <w:tcPr>
            <w:tcW w:w="1912" w:type="dxa"/>
            <w:tcBorders>
              <w:top w:val="single" w:sz="4" w:space="0" w:color="E7E6E6"/>
              <w:left w:val="nil"/>
              <w:bottom w:val="single" w:sz="4" w:space="0" w:color="E7E6E6"/>
              <w:right w:val="nil"/>
            </w:tcBorders>
          </w:tcPr>
          <w:p w14:paraId="15719FE4"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215/427 (50.4)</w:t>
            </w:r>
          </w:p>
        </w:tc>
        <w:tc>
          <w:tcPr>
            <w:tcW w:w="1612" w:type="dxa"/>
            <w:tcBorders>
              <w:top w:val="single" w:sz="4" w:space="0" w:color="E7E6E6"/>
              <w:left w:val="nil"/>
              <w:bottom w:val="single" w:sz="4" w:space="0" w:color="E7E6E6"/>
              <w:right w:val="nil"/>
            </w:tcBorders>
          </w:tcPr>
          <w:p w14:paraId="430FAECB"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196/354 (55.4)</w:t>
            </w:r>
          </w:p>
        </w:tc>
        <w:tc>
          <w:tcPr>
            <w:tcW w:w="914" w:type="dxa"/>
            <w:vMerge w:val="restart"/>
            <w:tcBorders>
              <w:top w:val="single" w:sz="4" w:space="0" w:color="E7E6E6"/>
              <w:left w:val="nil"/>
              <w:right w:val="nil"/>
            </w:tcBorders>
            <w:vAlign w:val="center"/>
          </w:tcPr>
          <w:p w14:paraId="4BB167BB"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0.17</w:t>
            </w:r>
          </w:p>
        </w:tc>
      </w:tr>
      <w:tr w:rsidR="00A35DEB" w:rsidRPr="005B2AA7" w14:paraId="190AD0B5" w14:textId="77777777" w:rsidTr="00564AEE">
        <w:trPr>
          <w:trHeight w:val="224"/>
        </w:trPr>
        <w:tc>
          <w:tcPr>
            <w:tcW w:w="3642" w:type="dxa"/>
            <w:tcBorders>
              <w:top w:val="single" w:sz="4" w:space="0" w:color="E7E6E6"/>
              <w:left w:val="nil"/>
              <w:bottom w:val="single" w:sz="4" w:space="0" w:color="E7E6E6"/>
              <w:right w:val="nil"/>
            </w:tcBorders>
            <w:vAlign w:val="bottom"/>
          </w:tcPr>
          <w:p w14:paraId="4872B69F" w14:textId="0CCFA8DF"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No</w:t>
            </w:r>
          </w:p>
        </w:tc>
        <w:tc>
          <w:tcPr>
            <w:tcW w:w="1912" w:type="dxa"/>
            <w:tcBorders>
              <w:top w:val="single" w:sz="4" w:space="0" w:color="E7E6E6"/>
              <w:left w:val="nil"/>
              <w:bottom w:val="single" w:sz="4" w:space="0" w:color="E7E6E6"/>
              <w:right w:val="nil"/>
            </w:tcBorders>
          </w:tcPr>
          <w:p w14:paraId="73D4CFCB"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212/427 (49.6)</w:t>
            </w:r>
          </w:p>
        </w:tc>
        <w:tc>
          <w:tcPr>
            <w:tcW w:w="1612" w:type="dxa"/>
            <w:tcBorders>
              <w:top w:val="single" w:sz="4" w:space="0" w:color="E7E6E6"/>
              <w:left w:val="nil"/>
              <w:bottom w:val="single" w:sz="4" w:space="0" w:color="E7E6E6"/>
              <w:right w:val="nil"/>
            </w:tcBorders>
          </w:tcPr>
          <w:p w14:paraId="46349D60"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158/354 (44.6)</w:t>
            </w:r>
          </w:p>
        </w:tc>
        <w:tc>
          <w:tcPr>
            <w:tcW w:w="914" w:type="dxa"/>
            <w:vMerge/>
            <w:tcBorders>
              <w:left w:val="nil"/>
              <w:bottom w:val="single" w:sz="4" w:space="0" w:color="E7E6E6"/>
              <w:right w:val="nil"/>
            </w:tcBorders>
          </w:tcPr>
          <w:p w14:paraId="6B8644D0"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18F03401" w14:textId="77777777" w:rsidTr="00564AEE">
        <w:trPr>
          <w:trHeight w:val="224"/>
        </w:trPr>
        <w:tc>
          <w:tcPr>
            <w:tcW w:w="3642" w:type="dxa"/>
            <w:tcBorders>
              <w:top w:val="single" w:sz="4" w:space="0" w:color="E7E6E6"/>
              <w:left w:val="nil"/>
              <w:bottom w:val="single" w:sz="4" w:space="0" w:color="E7E6E6"/>
              <w:right w:val="nil"/>
            </w:tcBorders>
            <w:vAlign w:val="bottom"/>
          </w:tcPr>
          <w:p w14:paraId="4EF56E05"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Current use of an alternative smoking product</w:t>
            </w:r>
          </w:p>
        </w:tc>
        <w:tc>
          <w:tcPr>
            <w:tcW w:w="1912" w:type="dxa"/>
            <w:tcBorders>
              <w:top w:val="single" w:sz="4" w:space="0" w:color="E7E6E6"/>
              <w:left w:val="nil"/>
              <w:bottom w:val="single" w:sz="4" w:space="0" w:color="E7E6E6"/>
              <w:right w:val="nil"/>
            </w:tcBorders>
          </w:tcPr>
          <w:p w14:paraId="388A8D7C"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36629574"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7F0C60F3"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73E7AC4F" w14:textId="77777777" w:rsidTr="00564AEE">
        <w:trPr>
          <w:trHeight w:val="224"/>
        </w:trPr>
        <w:tc>
          <w:tcPr>
            <w:tcW w:w="3642" w:type="dxa"/>
            <w:tcBorders>
              <w:top w:val="single" w:sz="4" w:space="0" w:color="E7E6E6"/>
              <w:left w:val="nil"/>
              <w:bottom w:val="single" w:sz="4" w:space="0" w:color="E7E6E6"/>
              <w:right w:val="nil"/>
            </w:tcBorders>
            <w:vAlign w:val="bottom"/>
          </w:tcPr>
          <w:p w14:paraId="5207C93A" w14:textId="430E3903"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lastRenderedPageBreak/>
              <w:t>Yes</w:t>
            </w:r>
          </w:p>
        </w:tc>
        <w:tc>
          <w:tcPr>
            <w:tcW w:w="1912" w:type="dxa"/>
            <w:tcBorders>
              <w:top w:val="single" w:sz="4" w:space="0" w:color="E7E6E6"/>
              <w:left w:val="nil"/>
              <w:bottom w:val="single" w:sz="4" w:space="0" w:color="E7E6E6"/>
              <w:right w:val="nil"/>
            </w:tcBorders>
          </w:tcPr>
          <w:p w14:paraId="0FBF9F20"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84/427 (19.7)</w:t>
            </w:r>
          </w:p>
        </w:tc>
        <w:tc>
          <w:tcPr>
            <w:tcW w:w="1612" w:type="dxa"/>
            <w:tcBorders>
              <w:top w:val="single" w:sz="4" w:space="0" w:color="E7E6E6"/>
              <w:left w:val="nil"/>
              <w:bottom w:val="single" w:sz="4" w:space="0" w:color="E7E6E6"/>
              <w:right w:val="nil"/>
            </w:tcBorders>
          </w:tcPr>
          <w:p w14:paraId="45483510"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73/355 (20.6)</w:t>
            </w:r>
          </w:p>
        </w:tc>
        <w:tc>
          <w:tcPr>
            <w:tcW w:w="914" w:type="dxa"/>
            <w:vMerge w:val="restart"/>
            <w:tcBorders>
              <w:top w:val="single" w:sz="4" w:space="0" w:color="E7E6E6"/>
              <w:left w:val="nil"/>
              <w:right w:val="nil"/>
            </w:tcBorders>
            <w:vAlign w:val="center"/>
          </w:tcPr>
          <w:p w14:paraId="7E28879E"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0.79</w:t>
            </w:r>
          </w:p>
        </w:tc>
      </w:tr>
      <w:tr w:rsidR="00A35DEB" w:rsidRPr="005B2AA7" w14:paraId="1189557F" w14:textId="77777777" w:rsidTr="00564AEE">
        <w:trPr>
          <w:trHeight w:val="224"/>
        </w:trPr>
        <w:tc>
          <w:tcPr>
            <w:tcW w:w="3642" w:type="dxa"/>
            <w:tcBorders>
              <w:top w:val="single" w:sz="4" w:space="0" w:color="E7E6E6"/>
              <w:left w:val="nil"/>
              <w:bottom w:val="single" w:sz="4" w:space="0" w:color="E7E6E6"/>
              <w:right w:val="nil"/>
            </w:tcBorders>
            <w:vAlign w:val="bottom"/>
          </w:tcPr>
          <w:p w14:paraId="19CA52E7" w14:textId="76D9F09D"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No</w:t>
            </w:r>
          </w:p>
        </w:tc>
        <w:tc>
          <w:tcPr>
            <w:tcW w:w="1912" w:type="dxa"/>
            <w:tcBorders>
              <w:top w:val="single" w:sz="4" w:space="0" w:color="E7E6E6"/>
              <w:left w:val="nil"/>
              <w:bottom w:val="single" w:sz="4" w:space="0" w:color="E7E6E6"/>
              <w:right w:val="nil"/>
            </w:tcBorders>
          </w:tcPr>
          <w:p w14:paraId="01DB39AB"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343/427 (80.3)</w:t>
            </w:r>
          </w:p>
        </w:tc>
        <w:tc>
          <w:tcPr>
            <w:tcW w:w="1612" w:type="dxa"/>
            <w:tcBorders>
              <w:top w:val="single" w:sz="4" w:space="0" w:color="E7E6E6"/>
              <w:left w:val="nil"/>
              <w:bottom w:val="single" w:sz="4" w:space="0" w:color="E7E6E6"/>
              <w:right w:val="nil"/>
            </w:tcBorders>
          </w:tcPr>
          <w:p w14:paraId="52400F1D"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282/355 (79.4)</w:t>
            </w:r>
          </w:p>
        </w:tc>
        <w:tc>
          <w:tcPr>
            <w:tcW w:w="914" w:type="dxa"/>
            <w:vMerge/>
            <w:tcBorders>
              <w:left w:val="nil"/>
              <w:bottom w:val="single" w:sz="4" w:space="0" w:color="E7E6E6"/>
              <w:right w:val="nil"/>
            </w:tcBorders>
          </w:tcPr>
          <w:p w14:paraId="7E90BC00"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04EEF0EB" w14:textId="77777777" w:rsidTr="00564AEE">
        <w:trPr>
          <w:trHeight w:val="224"/>
        </w:trPr>
        <w:tc>
          <w:tcPr>
            <w:tcW w:w="3642" w:type="dxa"/>
            <w:tcBorders>
              <w:top w:val="single" w:sz="4" w:space="0" w:color="E7E6E6"/>
              <w:left w:val="nil"/>
              <w:bottom w:val="single" w:sz="4" w:space="0" w:color="E7E6E6"/>
              <w:right w:val="nil"/>
            </w:tcBorders>
            <w:vAlign w:val="bottom"/>
          </w:tcPr>
          <w:p w14:paraId="5CA1A899"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Duration of use of alternative smoking products</w:t>
            </w:r>
          </w:p>
        </w:tc>
        <w:tc>
          <w:tcPr>
            <w:tcW w:w="1912" w:type="dxa"/>
            <w:tcBorders>
              <w:top w:val="single" w:sz="4" w:space="0" w:color="E7E6E6"/>
              <w:left w:val="nil"/>
              <w:bottom w:val="single" w:sz="4" w:space="0" w:color="E7E6E6"/>
              <w:right w:val="nil"/>
            </w:tcBorders>
          </w:tcPr>
          <w:p w14:paraId="40CDF004"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377D9BA6"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68C9131B"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6CE3D166" w14:textId="77777777" w:rsidTr="00564AEE">
        <w:trPr>
          <w:trHeight w:val="224"/>
        </w:trPr>
        <w:tc>
          <w:tcPr>
            <w:tcW w:w="3642" w:type="dxa"/>
            <w:tcBorders>
              <w:top w:val="single" w:sz="4" w:space="0" w:color="E7E6E6"/>
              <w:left w:val="nil"/>
              <w:bottom w:val="single" w:sz="4" w:space="0" w:color="E7E6E6"/>
              <w:right w:val="nil"/>
            </w:tcBorders>
            <w:vAlign w:val="bottom"/>
          </w:tcPr>
          <w:p w14:paraId="5D9D0F62" w14:textId="73012919"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&lt; 1</w:t>
            </w:r>
          </w:p>
        </w:tc>
        <w:tc>
          <w:tcPr>
            <w:tcW w:w="1912" w:type="dxa"/>
            <w:tcBorders>
              <w:top w:val="single" w:sz="4" w:space="0" w:color="E7E6E6"/>
              <w:left w:val="nil"/>
              <w:bottom w:val="single" w:sz="4" w:space="0" w:color="E7E6E6"/>
              <w:right w:val="nil"/>
            </w:tcBorders>
          </w:tcPr>
          <w:p w14:paraId="6D63FC4A"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44/76 (55.3)</w:t>
            </w:r>
          </w:p>
        </w:tc>
        <w:tc>
          <w:tcPr>
            <w:tcW w:w="1612" w:type="dxa"/>
            <w:tcBorders>
              <w:top w:val="single" w:sz="4" w:space="0" w:color="E7E6E6"/>
              <w:left w:val="nil"/>
              <w:bottom w:val="single" w:sz="4" w:space="0" w:color="E7E6E6"/>
              <w:right w:val="nil"/>
            </w:tcBorders>
          </w:tcPr>
          <w:p w14:paraId="2FD28CFC"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46/81 (56.7)</w:t>
            </w:r>
          </w:p>
        </w:tc>
        <w:tc>
          <w:tcPr>
            <w:tcW w:w="914" w:type="dxa"/>
            <w:vMerge w:val="restart"/>
            <w:tcBorders>
              <w:top w:val="single" w:sz="4" w:space="0" w:color="E7E6E6"/>
              <w:left w:val="nil"/>
              <w:right w:val="nil"/>
            </w:tcBorders>
            <w:vAlign w:val="center"/>
          </w:tcPr>
          <w:p w14:paraId="3B775AD1"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0.33</w:t>
            </w:r>
          </w:p>
        </w:tc>
      </w:tr>
      <w:tr w:rsidR="00A35DEB" w:rsidRPr="005B2AA7" w14:paraId="4A0DCDFD" w14:textId="77777777" w:rsidTr="00564AEE">
        <w:trPr>
          <w:trHeight w:val="224"/>
        </w:trPr>
        <w:tc>
          <w:tcPr>
            <w:tcW w:w="3642" w:type="dxa"/>
            <w:tcBorders>
              <w:top w:val="single" w:sz="4" w:space="0" w:color="E7E6E6"/>
              <w:left w:val="nil"/>
              <w:bottom w:val="single" w:sz="4" w:space="0" w:color="E7E6E6"/>
              <w:right w:val="nil"/>
            </w:tcBorders>
            <w:vAlign w:val="bottom"/>
          </w:tcPr>
          <w:p w14:paraId="7AE52F36" w14:textId="722DEFA6"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1-5</w:t>
            </w:r>
          </w:p>
        </w:tc>
        <w:tc>
          <w:tcPr>
            <w:tcW w:w="1912" w:type="dxa"/>
            <w:tcBorders>
              <w:top w:val="single" w:sz="4" w:space="0" w:color="E7E6E6"/>
              <w:left w:val="nil"/>
              <w:bottom w:val="single" w:sz="4" w:space="0" w:color="E7E6E6"/>
              <w:right w:val="nil"/>
            </w:tcBorders>
          </w:tcPr>
          <w:p w14:paraId="45511FE1"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23/76 (30.3)</w:t>
            </w:r>
          </w:p>
        </w:tc>
        <w:tc>
          <w:tcPr>
            <w:tcW w:w="1612" w:type="dxa"/>
            <w:tcBorders>
              <w:top w:val="single" w:sz="4" w:space="0" w:color="E7E6E6"/>
              <w:left w:val="nil"/>
              <w:bottom w:val="single" w:sz="4" w:space="0" w:color="E7E6E6"/>
              <w:right w:val="nil"/>
            </w:tcBorders>
          </w:tcPr>
          <w:p w14:paraId="5440DEEB"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16/81 (19.8)</w:t>
            </w:r>
          </w:p>
        </w:tc>
        <w:tc>
          <w:tcPr>
            <w:tcW w:w="914" w:type="dxa"/>
            <w:vMerge/>
            <w:tcBorders>
              <w:left w:val="nil"/>
              <w:right w:val="nil"/>
            </w:tcBorders>
          </w:tcPr>
          <w:p w14:paraId="57B4B197"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394E80EF" w14:textId="77777777" w:rsidTr="00564AEE">
        <w:trPr>
          <w:trHeight w:val="224"/>
        </w:trPr>
        <w:tc>
          <w:tcPr>
            <w:tcW w:w="3642" w:type="dxa"/>
            <w:tcBorders>
              <w:top w:val="single" w:sz="4" w:space="0" w:color="E7E6E6"/>
              <w:left w:val="nil"/>
              <w:bottom w:val="single" w:sz="4" w:space="0" w:color="E7E6E6"/>
              <w:right w:val="nil"/>
            </w:tcBorders>
            <w:vAlign w:val="bottom"/>
          </w:tcPr>
          <w:p w14:paraId="0EA43E7A" w14:textId="78AEC812"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6-10</w:t>
            </w:r>
          </w:p>
        </w:tc>
        <w:tc>
          <w:tcPr>
            <w:tcW w:w="1912" w:type="dxa"/>
            <w:tcBorders>
              <w:top w:val="single" w:sz="4" w:space="0" w:color="E7E6E6"/>
              <w:left w:val="nil"/>
              <w:bottom w:val="single" w:sz="4" w:space="0" w:color="E7E6E6"/>
              <w:right w:val="nil"/>
            </w:tcBorders>
          </w:tcPr>
          <w:p w14:paraId="4DFD8072"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10/76 (13.1)</w:t>
            </w:r>
          </w:p>
        </w:tc>
        <w:tc>
          <w:tcPr>
            <w:tcW w:w="1612" w:type="dxa"/>
            <w:tcBorders>
              <w:top w:val="single" w:sz="4" w:space="0" w:color="E7E6E6"/>
              <w:left w:val="nil"/>
              <w:bottom w:val="single" w:sz="4" w:space="0" w:color="E7E6E6"/>
              <w:right w:val="nil"/>
            </w:tcBorders>
          </w:tcPr>
          <w:p w14:paraId="1135831D"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16/81 (19.8)</w:t>
            </w:r>
          </w:p>
        </w:tc>
        <w:tc>
          <w:tcPr>
            <w:tcW w:w="914" w:type="dxa"/>
            <w:vMerge/>
            <w:tcBorders>
              <w:left w:val="nil"/>
              <w:right w:val="nil"/>
            </w:tcBorders>
          </w:tcPr>
          <w:p w14:paraId="4CF3A003"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7D615D5B" w14:textId="77777777" w:rsidTr="00564AEE">
        <w:trPr>
          <w:trHeight w:val="224"/>
        </w:trPr>
        <w:tc>
          <w:tcPr>
            <w:tcW w:w="3642" w:type="dxa"/>
            <w:tcBorders>
              <w:top w:val="single" w:sz="4" w:space="0" w:color="E7E6E6"/>
              <w:left w:val="nil"/>
              <w:bottom w:val="single" w:sz="4" w:space="0" w:color="E7E6E6"/>
              <w:right w:val="nil"/>
            </w:tcBorders>
            <w:vAlign w:val="bottom"/>
          </w:tcPr>
          <w:p w14:paraId="13B5359B" w14:textId="4FFE9FB9"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&gt; 10</w:t>
            </w:r>
          </w:p>
        </w:tc>
        <w:tc>
          <w:tcPr>
            <w:tcW w:w="1912" w:type="dxa"/>
            <w:tcBorders>
              <w:top w:val="single" w:sz="4" w:space="0" w:color="E7E6E6"/>
              <w:left w:val="nil"/>
              <w:bottom w:val="single" w:sz="4" w:space="0" w:color="E7E6E6"/>
              <w:right w:val="nil"/>
            </w:tcBorders>
          </w:tcPr>
          <w:p w14:paraId="29D63A8D"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1/76 (1.3)</w:t>
            </w:r>
          </w:p>
        </w:tc>
        <w:tc>
          <w:tcPr>
            <w:tcW w:w="1612" w:type="dxa"/>
            <w:tcBorders>
              <w:top w:val="single" w:sz="4" w:space="0" w:color="E7E6E6"/>
              <w:left w:val="nil"/>
              <w:bottom w:val="single" w:sz="4" w:space="0" w:color="E7E6E6"/>
              <w:right w:val="nil"/>
            </w:tcBorders>
          </w:tcPr>
          <w:p w14:paraId="1A90F264"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3/81 (3.7)</w:t>
            </w:r>
          </w:p>
        </w:tc>
        <w:tc>
          <w:tcPr>
            <w:tcW w:w="914" w:type="dxa"/>
            <w:vMerge/>
            <w:tcBorders>
              <w:left w:val="nil"/>
              <w:bottom w:val="single" w:sz="4" w:space="0" w:color="E7E6E6"/>
              <w:right w:val="nil"/>
            </w:tcBorders>
          </w:tcPr>
          <w:p w14:paraId="45AF9E86"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0111B719" w14:textId="77777777" w:rsidTr="00564AEE">
        <w:trPr>
          <w:trHeight w:val="224"/>
        </w:trPr>
        <w:tc>
          <w:tcPr>
            <w:tcW w:w="3642" w:type="dxa"/>
            <w:tcBorders>
              <w:top w:val="single" w:sz="4" w:space="0" w:color="E7E6E6"/>
              <w:left w:val="nil"/>
              <w:bottom w:val="single" w:sz="4" w:space="0" w:color="E7E6E6"/>
              <w:right w:val="nil"/>
            </w:tcBorders>
            <w:vAlign w:val="bottom"/>
          </w:tcPr>
          <w:p w14:paraId="1B4774BB"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Started cigarette smoking</w:t>
            </w:r>
          </w:p>
        </w:tc>
        <w:tc>
          <w:tcPr>
            <w:tcW w:w="1912" w:type="dxa"/>
            <w:tcBorders>
              <w:top w:val="single" w:sz="4" w:space="0" w:color="E7E6E6"/>
              <w:left w:val="nil"/>
              <w:bottom w:val="single" w:sz="4" w:space="0" w:color="E7E6E6"/>
              <w:right w:val="nil"/>
            </w:tcBorders>
          </w:tcPr>
          <w:p w14:paraId="1F55E966"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3DE7C220"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7F0F17D1"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1FA62944" w14:textId="77777777" w:rsidTr="00564AEE">
        <w:trPr>
          <w:trHeight w:val="224"/>
        </w:trPr>
        <w:tc>
          <w:tcPr>
            <w:tcW w:w="3642" w:type="dxa"/>
            <w:tcBorders>
              <w:top w:val="single" w:sz="4" w:space="0" w:color="E7E6E6"/>
              <w:left w:val="nil"/>
              <w:bottom w:val="single" w:sz="4" w:space="0" w:color="E7E6E6"/>
              <w:right w:val="nil"/>
            </w:tcBorders>
            <w:vAlign w:val="bottom"/>
          </w:tcPr>
          <w:p w14:paraId="1FA9EB76" w14:textId="00D798E4"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Before IBD diagnosis</w:t>
            </w:r>
          </w:p>
        </w:tc>
        <w:tc>
          <w:tcPr>
            <w:tcW w:w="1912" w:type="dxa"/>
            <w:tcBorders>
              <w:top w:val="single" w:sz="4" w:space="0" w:color="E7E6E6"/>
              <w:left w:val="nil"/>
              <w:bottom w:val="single" w:sz="4" w:space="0" w:color="E7E6E6"/>
              <w:right w:val="nil"/>
            </w:tcBorders>
          </w:tcPr>
          <w:p w14:paraId="54BADC3E"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392/426 (92.0)</w:t>
            </w:r>
          </w:p>
        </w:tc>
        <w:tc>
          <w:tcPr>
            <w:tcW w:w="1612" w:type="dxa"/>
            <w:tcBorders>
              <w:top w:val="single" w:sz="4" w:space="0" w:color="E7E6E6"/>
              <w:left w:val="nil"/>
              <w:bottom w:val="single" w:sz="4" w:space="0" w:color="E7E6E6"/>
              <w:right w:val="nil"/>
            </w:tcBorders>
          </w:tcPr>
          <w:p w14:paraId="1FA01BB7"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290/343 (84.6)</w:t>
            </w:r>
          </w:p>
        </w:tc>
        <w:tc>
          <w:tcPr>
            <w:tcW w:w="914" w:type="dxa"/>
            <w:vMerge w:val="restart"/>
            <w:tcBorders>
              <w:top w:val="single" w:sz="4" w:space="0" w:color="E7E6E6"/>
              <w:left w:val="nil"/>
              <w:right w:val="nil"/>
            </w:tcBorders>
            <w:vAlign w:val="center"/>
          </w:tcPr>
          <w:p w14:paraId="5C540DE6"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0.001</w:t>
            </w:r>
          </w:p>
        </w:tc>
      </w:tr>
      <w:tr w:rsidR="00A35DEB" w:rsidRPr="005B2AA7" w14:paraId="53EF6DF6" w14:textId="77777777" w:rsidTr="00564AEE">
        <w:trPr>
          <w:trHeight w:val="224"/>
        </w:trPr>
        <w:tc>
          <w:tcPr>
            <w:tcW w:w="3642" w:type="dxa"/>
            <w:tcBorders>
              <w:top w:val="single" w:sz="4" w:space="0" w:color="E7E6E6"/>
              <w:left w:val="nil"/>
              <w:bottom w:val="single" w:sz="4" w:space="0" w:color="E7E6E6"/>
              <w:right w:val="nil"/>
            </w:tcBorders>
            <w:vAlign w:val="bottom"/>
          </w:tcPr>
          <w:p w14:paraId="4489E115" w14:textId="37577F82"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After IBD diagnosis</w:t>
            </w:r>
          </w:p>
        </w:tc>
        <w:tc>
          <w:tcPr>
            <w:tcW w:w="1912" w:type="dxa"/>
            <w:tcBorders>
              <w:top w:val="single" w:sz="4" w:space="0" w:color="E7E6E6"/>
              <w:left w:val="nil"/>
              <w:bottom w:val="single" w:sz="4" w:space="0" w:color="E7E6E6"/>
              <w:right w:val="nil"/>
            </w:tcBorders>
          </w:tcPr>
          <w:p w14:paraId="788CB220"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34/426 (8.0)</w:t>
            </w:r>
          </w:p>
        </w:tc>
        <w:tc>
          <w:tcPr>
            <w:tcW w:w="1612" w:type="dxa"/>
            <w:tcBorders>
              <w:top w:val="single" w:sz="4" w:space="0" w:color="E7E6E6"/>
              <w:left w:val="nil"/>
              <w:bottom w:val="single" w:sz="4" w:space="0" w:color="E7E6E6"/>
              <w:right w:val="nil"/>
            </w:tcBorders>
          </w:tcPr>
          <w:p w14:paraId="489A6B1D"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53/343 (15.4)</w:t>
            </w:r>
          </w:p>
        </w:tc>
        <w:tc>
          <w:tcPr>
            <w:tcW w:w="914" w:type="dxa"/>
            <w:vMerge/>
            <w:tcBorders>
              <w:left w:val="nil"/>
              <w:bottom w:val="single" w:sz="4" w:space="0" w:color="E7E6E6"/>
              <w:right w:val="nil"/>
            </w:tcBorders>
          </w:tcPr>
          <w:p w14:paraId="670C0A2E"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6936ABF1" w14:textId="77777777" w:rsidTr="00564AEE">
        <w:trPr>
          <w:trHeight w:val="224"/>
        </w:trPr>
        <w:tc>
          <w:tcPr>
            <w:tcW w:w="3642" w:type="dxa"/>
            <w:tcBorders>
              <w:top w:val="single" w:sz="4" w:space="0" w:color="E7E6E6"/>
              <w:left w:val="nil"/>
              <w:bottom w:val="single" w:sz="4" w:space="0" w:color="E7E6E6"/>
              <w:right w:val="nil"/>
            </w:tcBorders>
            <w:vAlign w:val="bottom"/>
          </w:tcPr>
          <w:p w14:paraId="235A5BBF"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Stopped cigarette smoking</w:t>
            </w:r>
          </w:p>
        </w:tc>
        <w:tc>
          <w:tcPr>
            <w:tcW w:w="1912" w:type="dxa"/>
            <w:tcBorders>
              <w:top w:val="single" w:sz="4" w:space="0" w:color="E7E6E6"/>
              <w:left w:val="nil"/>
              <w:bottom w:val="single" w:sz="4" w:space="0" w:color="E7E6E6"/>
              <w:right w:val="nil"/>
            </w:tcBorders>
          </w:tcPr>
          <w:p w14:paraId="5C7E7F02"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7BDB5AA5"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293173DD"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0929E77A" w14:textId="77777777" w:rsidTr="00564AEE">
        <w:trPr>
          <w:trHeight w:val="224"/>
        </w:trPr>
        <w:tc>
          <w:tcPr>
            <w:tcW w:w="3642" w:type="dxa"/>
            <w:tcBorders>
              <w:top w:val="single" w:sz="4" w:space="0" w:color="E7E6E6"/>
              <w:left w:val="nil"/>
              <w:bottom w:val="single" w:sz="4" w:space="0" w:color="E7E6E6"/>
              <w:right w:val="nil"/>
            </w:tcBorders>
            <w:vAlign w:val="bottom"/>
          </w:tcPr>
          <w:p w14:paraId="716F2167" w14:textId="1DE73D7D"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Before IBD diagnosis</w:t>
            </w:r>
          </w:p>
        </w:tc>
        <w:tc>
          <w:tcPr>
            <w:tcW w:w="1912" w:type="dxa"/>
            <w:tcBorders>
              <w:top w:val="single" w:sz="4" w:space="0" w:color="E7E6E6"/>
              <w:left w:val="nil"/>
              <w:bottom w:val="single" w:sz="4" w:space="0" w:color="E7E6E6"/>
              <w:right w:val="nil"/>
            </w:tcBorders>
          </w:tcPr>
          <w:p w14:paraId="4F6158FD"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85/250 (34.0)</w:t>
            </w:r>
          </w:p>
        </w:tc>
        <w:tc>
          <w:tcPr>
            <w:tcW w:w="1612" w:type="dxa"/>
            <w:tcBorders>
              <w:top w:val="single" w:sz="4" w:space="0" w:color="E7E6E6"/>
              <w:left w:val="nil"/>
              <w:bottom w:val="single" w:sz="4" w:space="0" w:color="E7E6E6"/>
              <w:right w:val="nil"/>
            </w:tcBorders>
          </w:tcPr>
          <w:p w14:paraId="649FC364"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146/247 (59.1)</w:t>
            </w:r>
          </w:p>
        </w:tc>
        <w:tc>
          <w:tcPr>
            <w:tcW w:w="914" w:type="dxa"/>
            <w:vMerge w:val="restart"/>
            <w:tcBorders>
              <w:top w:val="single" w:sz="4" w:space="0" w:color="E7E6E6"/>
              <w:left w:val="nil"/>
              <w:right w:val="nil"/>
            </w:tcBorders>
            <w:vAlign w:val="center"/>
          </w:tcPr>
          <w:p w14:paraId="6017B93B"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&lt; 0.001</w:t>
            </w:r>
          </w:p>
        </w:tc>
      </w:tr>
      <w:tr w:rsidR="00A35DEB" w:rsidRPr="005B2AA7" w14:paraId="6E39BA4F" w14:textId="77777777" w:rsidTr="00564AEE">
        <w:trPr>
          <w:trHeight w:val="224"/>
        </w:trPr>
        <w:tc>
          <w:tcPr>
            <w:tcW w:w="3642" w:type="dxa"/>
            <w:tcBorders>
              <w:top w:val="single" w:sz="4" w:space="0" w:color="E7E6E6"/>
              <w:left w:val="nil"/>
              <w:bottom w:val="single" w:sz="4" w:space="0" w:color="E7E6E6"/>
              <w:right w:val="nil"/>
            </w:tcBorders>
            <w:vAlign w:val="bottom"/>
          </w:tcPr>
          <w:p w14:paraId="27A1DB09" w14:textId="4D786764"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After IBD diagnosis</w:t>
            </w:r>
          </w:p>
        </w:tc>
        <w:tc>
          <w:tcPr>
            <w:tcW w:w="1912" w:type="dxa"/>
            <w:tcBorders>
              <w:top w:val="single" w:sz="4" w:space="0" w:color="E7E6E6"/>
              <w:left w:val="nil"/>
              <w:bottom w:val="single" w:sz="4" w:space="0" w:color="E7E6E6"/>
              <w:right w:val="nil"/>
            </w:tcBorders>
          </w:tcPr>
          <w:p w14:paraId="075CA617"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165/250 (66.0)</w:t>
            </w:r>
          </w:p>
        </w:tc>
        <w:tc>
          <w:tcPr>
            <w:tcW w:w="1612" w:type="dxa"/>
            <w:tcBorders>
              <w:top w:val="single" w:sz="4" w:space="0" w:color="E7E6E6"/>
              <w:left w:val="nil"/>
              <w:bottom w:val="single" w:sz="4" w:space="0" w:color="E7E6E6"/>
              <w:right w:val="nil"/>
            </w:tcBorders>
          </w:tcPr>
          <w:p w14:paraId="085C6E37"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101/247 (40.9)</w:t>
            </w:r>
          </w:p>
        </w:tc>
        <w:tc>
          <w:tcPr>
            <w:tcW w:w="914" w:type="dxa"/>
            <w:vMerge/>
            <w:tcBorders>
              <w:left w:val="nil"/>
              <w:bottom w:val="single" w:sz="4" w:space="0" w:color="E7E6E6"/>
              <w:right w:val="nil"/>
            </w:tcBorders>
          </w:tcPr>
          <w:p w14:paraId="5CFCEDC0"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1E790FDA" w14:textId="77777777" w:rsidTr="00564AEE">
        <w:trPr>
          <w:trHeight w:val="224"/>
        </w:trPr>
        <w:tc>
          <w:tcPr>
            <w:tcW w:w="3642" w:type="dxa"/>
            <w:tcBorders>
              <w:top w:val="single" w:sz="4" w:space="0" w:color="E7E6E6"/>
              <w:left w:val="nil"/>
              <w:bottom w:val="single" w:sz="4" w:space="0" w:color="E7E6E6"/>
              <w:right w:val="nil"/>
            </w:tcBorders>
            <w:vAlign w:val="bottom"/>
          </w:tcPr>
          <w:p w14:paraId="37AD678E"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Restarted cigarette smoking</w:t>
            </w:r>
          </w:p>
        </w:tc>
        <w:tc>
          <w:tcPr>
            <w:tcW w:w="1912" w:type="dxa"/>
            <w:tcBorders>
              <w:top w:val="single" w:sz="4" w:space="0" w:color="E7E6E6"/>
              <w:left w:val="nil"/>
              <w:bottom w:val="single" w:sz="4" w:space="0" w:color="E7E6E6"/>
              <w:right w:val="nil"/>
            </w:tcBorders>
          </w:tcPr>
          <w:p w14:paraId="126A79FF"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19D6E316"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63D2865A"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05293AB7" w14:textId="77777777" w:rsidTr="00564AEE">
        <w:trPr>
          <w:trHeight w:val="224"/>
        </w:trPr>
        <w:tc>
          <w:tcPr>
            <w:tcW w:w="3642" w:type="dxa"/>
            <w:tcBorders>
              <w:top w:val="single" w:sz="4" w:space="0" w:color="E7E6E6"/>
              <w:left w:val="nil"/>
              <w:bottom w:val="single" w:sz="4" w:space="0" w:color="E7E6E6"/>
              <w:right w:val="nil"/>
            </w:tcBorders>
            <w:vAlign w:val="bottom"/>
          </w:tcPr>
          <w:p w14:paraId="2561D9EA" w14:textId="5F099D00"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Before IBD diagnosis</w:t>
            </w:r>
          </w:p>
        </w:tc>
        <w:tc>
          <w:tcPr>
            <w:tcW w:w="1912" w:type="dxa"/>
            <w:tcBorders>
              <w:top w:val="single" w:sz="4" w:space="0" w:color="E7E6E6"/>
              <w:left w:val="nil"/>
              <w:bottom w:val="single" w:sz="4" w:space="0" w:color="E7E6E6"/>
              <w:right w:val="nil"/>
            </w:tcBorders>
          </w:tcPr>
          <w:p w14:paraId="35F1B6EE"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89/260 (34.2)</w:t>
            </w:r>
          </w:p>
        </w:tc>
        <w:tc>
          <w:tcPr>
            <w:tcW w:w="1612" w:type="dxa"/>
            <w:tcBorders>
              <w:top w:val="single" w:sz="4" w:space="0" w:color="E7E6E6"/>
              <w:left w:val="nil"/>
              <w:bottom w:val="single" w:sz="4" w:space="0" w:color="E7E6E6"/>
              <w:right w:val="nil"/>
            </w:tcBorders>
          </w:tcPr>
          <w:p w14:paraId="1503A8E6"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66/243 (27.2)</w:t>
            </w:r>
          </w:p>
        </w:tc>
        <w:tc>
          <w:tcPr>
            <w:tcW w:w="914" w:type="dxa"/>
            <w:tcBorders>
              <w:top w:val="single" w:sz="4" w:space="0" w:color="E7E6E6"/>
              <w:left w:val="nil"/>
              <w:bottom w:val="single" w:sz="4" w:space="0" w:color="E7E6E6"/>
              <w:right w:val="nil"/>
            </w:tcBorders>
          </w:tcPr>
          <w:p w14:paraId="48732A43"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0.10</w:t>
            </w:r>
          </w:p>
        </w:tc>
      </w:tr>
      <w:tr w:rsidR="00A35DEB" w:rsidRPr="005B2AA7" w14:paraId="7B35B1F4" w14:textId="77777777" w:rsidTr="00564AEE">
        <w:trPr>
          <w:trHeight w:val="224"/>
        </w:trPr>
        <w:tc>
          <w:tcPr>
            <w:tcW w:w="3642" w:type="dxa"/>
            <w:tcBorders>
              <w:top w:val="single" w:sz="4" w:space="0" w:color="E7E6E6"/>
              <w:left w:val="nil"/>
              <w:bottom w:val="single" w:sz="4" w:space="0" w:color="E7E6E6"/>
              <w:right w:val="nil"/>
            </w:tcBorders>
            <w:vAlign w:val="bottom"/>
          </w:tcPr>
          <w:p w14:paraId="19BE20F3" w14:textId="3C343D6F"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After IBD diagnosis</w:t>
            </w:r>
          </w:p>
        </w:tc>
        <w:tc>
          <w:tcPr>
            <w:tcW w:w="1912" w:type="dxa"/>
            <w:tcBorders>
              <w:top w:val="single" w:sz="4" w:space="0" w:color="E7E6E6"/>
              <w:left w:val="nil"/>
              <w:bottom w:val="single" w:sz="4" w:space="0" w:color="E7E6E6"/>
              <w:right w:val="nil"/>
            </w:tcBorders>
          </w:tcPr>
          <w:p w14:paraId="2E02D309"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171/260 (65.8)</w:t>
            </w:r>
          </w:p>
        </w:tc>
        <w:tc>
          <w:tcPr>
            <w:tcW w:w="1612" w:type="dxa"/>
            <w:tcBorders>
              <w:top w:val="single" w:sz="4" w:space="0" w:color="E7E6E6"/>
              <w:left w:val="nil"/>
              <w:bottom w:val="single" w:sz="4" w:space="0" w:color="E7E6E6"/>
              <w:right w:val="nil"/>
            </w:tcBorders>
          </w:tcPr>
          <w:p w14:paraId="3D66C20F"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177/243 (72.8)</w:t>
            </w:r>
          </w:p>
        </w:tc>
        <w:tc>
          <w:tcPr>
            <w:tcW w:w="914" w:type="dxa"/>
            <w:tcBorders>
              <w:top w:val="single" w:sz="4" w:space="0" w:color="E7E6E6"/>
              <w:left w:val="nil"/>
              <w:bottom w:val="single" w:sz="4" w:space="0" w:color="E7E6E6"/>
              <w:right w:val="nil"/>
            </w:tcBorders>
          </w:tcPr>
          <w:p w14:paraId="2A2F7F5C"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0F533198" w14:textId="77777777" w:rsidTr="00564AEE">
        <w:trPr>
          <w:trHeight w:val="224"/>
        </w:trPr>
        <w:tc>
          <w:tcPr>
            <w:tcW w:w="3642" w:type="dxa"/>
            <w:tcBorders>
              <w:top w:val="single" w:sz="4" w:space="0" w:color="E7E6E6"/>
              <w:left w:val="nil"/>
              <w:bottom w:val="single" w:sz="4" w:space="0" w:color="E7E6E6"/>
              <w:right w:val="nil"/>
            </w:tcBorders>
            <w:vAlign w:val="bottom"/>
          </w:tcPr>
          <w:p w14:paraId="55F8CD0F"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Started using an alternative smoking product</w:t>
            </w:r>
          </w:p>
        </w:tc>
        <w:tc>
          <w:tcPr>
            <w:tcW w:w="1912" w:type="dxa"/>
            <w:tcBorders>
              <w:top w:val="single" w:sz="4" w:space="0" w:color="E7E6E6"/>
              <w:left w:val="nil"/>
              <w:bottom w:val="single" w:sz="4" w:space="0" w:color="E7E6E6"/>
              <w:right w:val="nil"/>
            </w:tcBorders>
          </w:tcPr>
          <w:p w14:paraId="44DF962F"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50916BD4"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75E28D49"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26ACE274" w14:textId="77777777" w:rsidTr="00564AEE">
        <w:trPr>
          <w:trHeight w:val="224"/>
        </w:trPr>
        <w:tc>
          <w:tcPr>
            <w:tcW w:w="3642" w:type="dxa"/>
            <w:tcBorders>
              <w:top w:val="single" w:sz="4" w:space="0" w:color="E7E6E6"/>
              <w:left w:val="nil"/>
              <w:bottom w:val="single" w:sz="4" w:space="0" w:color="E7E6E6"/>
              <w:right w:val="nil"/>
            </w:tcBorders>
            <w:vAlign w:val="bottom"/>
          </w:tcPr>
          <w:p w14:paraId="05A2424E" w14:textId="3B0A658F"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Before IBD diagnosis</w:t>
            </w:r>
          </w:p>
        </w:tc>
        <w:tc>
          <w:tcPr>
            <w:tcW w:w="1912" w:type="dxa"/>
            <w:tcBorders>
              <w:top w:val="single" w:sz="4" w:space="0" w:color="E7E6E6"/>
              <w:left w:val="nil"/>
              <w:bottom w:val="single" w:sz="4" w:space="0" w:color="E7E6E6"/>
              <w:right w:val="nil"/>
            </w:tcBorders>
          </w:tcPr>
          <w:p w14:paraId="3CD652A6"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85/210 (40.5)</w:t>
            </w:r>
          </w:p>
        </w:tc>
        <w:tc>
          <w:tcPr>
            <w:tcW w:w="1612" w:type="dxa"/>
            <w:tcBorders>
              <w:top w:val="single" w:sz="4" w:space="0" w:color="E7E6E6"/>
              <w:left w:val="nil"/>
              <w:bottom w:val="single" w:sz="4" w:space="0" w:color="E7E6E6"/>
              <w:right w:val="nil"/>
            </w:tcBorders>
          </w:tcPr>
          <w:p w14:paraId="052D7982"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85/185 (46.0)</w:t>
            </w:r>
          </w:p>
        </w:tc>
        <w:tc>
          <w:tcPr>
            <w:tcW w:w="914" w:type="dxa"/>
            <w:vMerge w:val="restart"/>
            <w:tcBorders>
              <w:top w:val="single" w:sz="4" w:space="0" w:color="E7E6E6"/>
              <w:left w:val="nil"/>
              <w:right w:val="nil"/>
            </w:tcBorders>
            <w:vAlign w:val="center"/>
          </w:tcPr>
          <w:p w14:paraId="3C9B237A"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0.31</w:t>
            </w:r>
          </w:p>
        </w:tc>
      </w:tr>
      <w:tr w:rsidR="00A35DEB" w:rsidRPr="005B2AA7" w14:paraId="2F41845D" w14:textId="77777777" w:rsidTr="00564AEE">
        <w:trPr>
          <w:trHeight w:val="224"/>
        </w:trPr>
        <w:tc>
          <w:tcPr>
            <w:tcW w:w="3642" w:type="dxa"/>
            <w:tcBorders>
              <w:top w:val="single" w:sz="4" w:space="0" w:color="E7E6E6"/>
              <w:left w:val="nil"/>
              <w:bottom w:val="single" w:sz="4" w:space="0" w:color="E7E6E6"/>
              <w:right w:val="nil"/>
            </w:tcBorders>
            <w:vAlign w:val="bottom"/>
          </w:tcPr>
          <w:p w14:paraId="51783B87" w14:textId="3B00EBEF"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After IBD diagnosis</w:t>
            </w:r>
          </w:p>
        </w:tc>
        <w:tc>
          <w:tcPr>
            <w:tcW w:w="1912" w:type="dxa"/>
            <w:tcBorders>
              <w:top w:val="single" w:sz="4" w:space="0" w:color="E7E6E6"/>
              <w:left w:val="nil"/>
              <w:bottom w:val="single" w:sz="4" w:space="0" w:color="E7E6E6"/>
              <w:right w:val="nil"/>
            </w:tcBorders>
          </w:tcPr>
          <w:p w14:paraId="0C909D83"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125/210 (59.5)</w:t>
            </w:r>
          </w:p>
        </w:tc>
        <w:tc>
          <w:tcPr>
            <w:tcW w:w="1612" w:type="dxa"/>
            <w:tcBorders>
              <w:top w:val="single" w:sz="4" w:space="0" w:color="E7E6E6"/>
              <w:left w:val="nil"/>
              <w:bottom w:val="single" w:sz="4" w:space="0" w:color="E7E6E6"/>
              <w:right w:val="nil"/>
            </w:tcBorders>
          </w:tcPr>
          <w:p w14:paraId="22F75A8C"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100/185 (54.0)</w:t>
            </w:r>
          </w:p>
        </w:tc>
        <w:tc>
          <w:tcPr>
            <w:tcW w:w="914" w:type="dxa"/>
            <w:vMerge/>
            <w:tcBorders>
              <w:left w:val="nil"/>
              <w:bottom w:val="single" w:sz="4" w:space="0" w:color="E7E6E6"/>
              <w:right w:val="nil"/>
            </w:tcBorders>
          </w:tcPr>
          <w:p w14:paraId="065969EE"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07E1646B" w14:textId="77777777" w:rsidTr="00564AEE">
        <w:trPr>
          <w:trHeight w:val="224"/>
        </w:trPr>
        <w:tc>
          <w:tcPr>
            <w:tcW w:w="3642" w:type="dxa"/>
            <w:tcBorders>
              <w:top w:val="single" w:sz="4" w:space="0" w:color="E7E6E6"/>
              <w:left w:val="nil"/>
              <w:bottom w:val="single" w:sz="4" w:space="0" w:color="E7E6E6"/>
              <w:right w:val="nil"/>
            </w:tcBorders>
            <w:vAlign w:val="bottom"/>
          </w:tcPr>
          <w:p w14:paraId="7F7FA066"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Switched from cigarette smoking to using an alternative smoking product</w:t>
            </w:r>
          </w:p>
        </w:tc>
        <w:tc>
          <w:tcPr>
            <w:tcW w:w="1912" w:type="dxa"/>
            <w:tcBorders>
              <w:top w:val="single" w:sz="4" w:space="0" w:color="E7E6E6"/>
              <w:left w:val="nil"/>
              <w:bottom w:val="single" w:sz="4" w:space="0" w:color="E7E6E6"/>
              <w:right w:val="nil"/>
            </w:tcBorders>
          </w:tcPr>
          <w:p w14:paraId="5E39673B"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1612" w:type="dxa"/>
            <w:tcBorders>
              <w:top w:val="single" w:sz="4" w:space="0" w:color="E7E6E6"/>
              <w:left w:val="nil"/>
              <w:bottom w:val="single" w:sz="4" w:space="0" w:color="E7E6E6"/>
              <w:right w:val="nil"/>
            </w:tcBorders>
          </w:tcPr>
          <w:p w14:paraId="5B3A3E24"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c>
          <w:tcPr>
            <w:tcW w:w="914" w:type="dxa"/>
            <w:tcBorders>
              <w:top w:val="single" w:sz="4" w:space="0" w:color="E7E6E6"/>
              <w:left w:val="nil"/>
              <w:bottom w:val="single" w:sz="4" w:space="0" w:color="E7E6E6"/>
              <w:right w:val="nil"/>
            </w:tcBorders>
          </w:tcPr>
          <w:p w14:paraId="646EC0A5"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r w:rsidR="00A35DEB" w:rsidRPr="005B2AA7" w14:paraId="1364B428" w14:textId="77777777" w:rsidTr="00564AEE">
        <w:trPr>
          <w:trHeight w:val="224"/>
        </w:trPr>
        <w:tc>
          <w:tcPr>
            <w:tcW w:w="3642" w:type="dxa"/>
            <w:tcBorders>
              <w:top w:val="single" w:sz="4" w:space="0" w:color="E7E6E6"/>
              <w:left w:val="nil"/>
              <w:bottom w:val="single" w:sz="4" w:space="0" w:color="E7E6E6"/>
              <w:right w:val="nil"/>
            </w:tcBorders>
            <w:vAlign w:val="bottom"/>
          </w:tcPr>
          <w:p w14:paraId="6CD6149E" w14:textId="6ACBCA8B"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lastRenderedPageBreak/>
              <w:t>Before IBD diagnosis</w:t>
            </w:r>
          </w:p>
        </w:tc>
        <w:tc>
          <w:tcPr>
            <w:tcW w:w="1912" w:type="dxa"/>
            <w:tcBorders>
              <w:top w:val="single" w:sz="4" w:space="0" w:color="E7E6E6"/>
              <w:left w:val="nil"/>
              <w:bottom w:val="single" w:sz="4" w:space="0" w:color="E7E6E6"/>
              <w:right w:val="nil"/>
            </w:tcBorders>
          </w:tcPr>
          <w:p w14:paraId="6BE1D0A1"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77/207 (37.2)</w:t>
            </w:r>
          </w:p>
        </w:tc>
        <w:tc>
          <w:tcPr>
            <w:tcW w:w="1612" w:type="dxa"/>
            <w:tcBorders>
              <w:top w:val="single" w:sz="4" w:space="0" w:color="E7E6E6"/>
              <w:left w:val="nil"/>
              <w:bottom w:val="single" w:sz="4" w:space="0" w:color="E7E6E6"/>
              <w:right w:val="nil"/>
            </w:tcBorders>
          </w:tcPr>
          <w:p w14:paraId="510DAB98"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81/184 (44.0)</w:t>
            </w:r>
          </w:p>
        </w:tc>
        <w:tc>
          <w:tcPr>
            <w:tcW w:w="914" w:type="dxa"/>
            <w:vMerge w:val="restart"/>
            <w:tcBorders>
              <w:top w:val="single" w:sz="4" w:space="0" w:color="E7E6E6"/>
              <w:left w:val="nil"/>
              <w:right w:val="nil"/>
            </w:tcBorders>
            <w:vAlign w:val="center"/>
          </w:tcPr>
          <w:p w14:paraId="147CD0D8"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0.18</w:t>
            </w:r>
          </w:p>
        </w:tc>
      </w:tr>
      <w:tr w:rsidR="00A35DEB" w:rsidRPr="005B2AA7" w14:paraId="76011C4E" w14:textId="77777777" w:rsidTr="00564AEE">
        <w:trPr>
          <w:trHeight w:val="224"/>
        </w:trPr>
        <w:tc>
          <w:tcPr>
            <w:tcW w:w="3642" w:type="dxa"/>
            <w:tcBorders>
              <w:top w:val="single" w:sz="4" w:space="0" w:color="E7E6E6"/>
              <w:left w:val="nil"/>
              <w:bottom w:val="single" w:sz="4" w:space="0" w:color="auto"/>
              <w:right w:val="nil"/>
            </w:tcBorders>
            <w:vAlign w:val="bottom"/>
          </w:tcPr>
          <w:p w14:paraId="1960132A" w14:textId="2E06B34C" w:rsidR="00A35DEB" w:rsidRPr="005B2AA7" w:rsidRDefault="00A35DEB"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After IBD diagnosis</w:t>
            </w:r>
          </w:p>
        </w:tc>
        <w:tc>
          <w:tcPr>
            <w:tcW w:w="1912" w:type="dxa"/>
            <w:tcBorders>
              <w:top w:val="single" w:sz="4" w:space="0" w:color="E7E6E6"/>
              <w:left w:val="nil"/>
              <w:bottom w:val="single" w:sz="4" w:space="0" w:color="auto"/>
              <w:right w:val="nil"/>
            </w:tcBorders>
          </w:tcPr>
          <w:p w14:paraId="15CBE151"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130/207 (62.8)</w:t>
            </w:r>
          </w:p>
        </w:tc>
        <w:tc>
          <w:tcPr>
            <w:tcW w:w="1612" w:type="dxa"/>
            <w:tcBorders>
              <w:top w:val="single" w:sz="4" w:space="0" w:color="E7E6E6"/>
              <w:left w:val="nil"/>
              <w:bottom w:val="single" w:sz="4" w:space="0" w:color="auto"/>
              <w:right w:val="nil"/>
            </w:tcBorders>
          </w:tcPr>
          <w:p w14:paraId="498F9699"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103/184 (56.0)</w:t>
            </w:r>
          </w:p>
        </w:tc>
        <w:tc>
          <w:tcPr>
            <w:tcW w:w="914" w:type="dxa"/>
            <w:vMerge/>
            <w:tcBorders>
              <w:left w:val="nil"/>
              <w:bottom w:val="single" w:sz="4" w:space="0" w:color="auto"/>
              <w:right w:val="nil"/>
            </w:tcBorders>
          </w:tcPr>
          <w:p w14:paraId="249151F0" w14:textId="77777777" w:rsidR="00A35DEB" w:rsidRPr="005B2AA7" w:rsidRDefault="00A35DEB" w:rsidP="00253009">
            <w:pPr>
              <w:adjustRightInd w:val="0"/>
              <w:snapToGrid w:val="0"/>
              <w:spacing w:line="360" w:lineRule="auto"/>
              <w:jc w:val="both"/>
              <w:rPr>
                <w:rFonts w:ascii="Book Antiqua" w:eastAsia="Calibri" w:hAnsi="Book Antiqua" w:cs="Times New Roman"/>
                <w:sz w:val="24"/>
                <w:szCs w:val="24"/>
                <w:lang w:val="en-US"/>
              </w:rPr>
            </w:pPr>
          </w:p>
        </w:tc>
      </w:tr>
    </w:tbl>
    <w:p w14:paraId="16F30F93" w14:textId="77777777" w:rsidR="002B2BE6" w:rsidRPr="005B2AA7" w:rsidRDefault="002B2BE6" w:rsidP="00253009">
      <w:pPr>
        <w:adjustRightInd w:val="0"/>
        <w:snapToGrid w:val="0"/>
        <w:spacing w:line="360" w:lineRule="auto"/>
        <w:jc w:val="both"/>
        <w:rPr>
          <w:rFonts w:ascii="Book Antiqua" w:hAnsi="Book Antiqua" w:cs="Times New Roman"/>
          <w:lang w:val="en-US"/>
        </w:rPr>
      </w:pPr>
      <w:bookmarkStart w:id="36" w:name="OLE_LINK33"/>
      <w:r w:rsidRPr="005B2AA7">
        <w:rPr>
          <w:rFonts w:ascii="Book Antiqua" w:eastAsia="Calibri" w:hAnsi="Book Antiqua" w:cs="Times New Roman"/>
          <w:lang w:val="en-US"/>
        </w:rPr>
        <w:t>The survey had a hierarchical structure, meaning that only patients who answered to certain items could answer to other following questions. For this reason, the denominator for several questions is different. In some cases, the patient did not answer and this can result in a missing value. We have transparently declared in our tables the denominator we have used to calculate the proportion of patients giving certain answers;</w:t>
      </w:r>
      <w:r w:rsidRPr="005B2AA7">
        <w:rPr>
          <w:rFonts w:ascii="Book Antiqua" w:eastAsia="Calibri" w:hAnsi="Book Antiqua" w:cs="Times New Roman"/>
          <w:vertAlign w:val="superscript"/>
          <w:lang w:val="en-US"/>
        </w:rPr>
        <w:t xml:space="preserve"> 1</w:t>
      </w:r>
      <w:r w:rsidRPr="005B2AA7">
        <w:rPr>
          <w:rFonts w:ascii="Book Antiqua" w:eastAsia="Calibri" w:hAnsi="Book Antiqua" w:cs="Times New Roman"/>
          <w:lang w:val="en-US"/>
        </w:rPr>
        <w:t>Fisher’s exact test</w:t>
      </w:r>
      <w:bookmarkEnd w:id="36"/>
      <w:r w:rsidRPr="005B2AA7">
        <w:rPr>
          <w:rFonts w:ascii="Book Antiqua" w:eastAsia="宋体" w:hAnsi="Book Antiqua" w:cs="宋体"/>
          <w:lang w:val="en-US" w:eastAsia="zh-CN"/>
        </w:rPr>
        <w:t>.</w:t>
      </w:r>
      <w:r w:rsidRPr="005B2AA7">
        <w:rPr>
          <w:rFonts w:ascii="Book Antiqua" w:hAnsi="Book Antiqua" w:cs="Times New Roman"/>
          <w:lang w:val="en-US" w:eastAsia="zh-CN"/>
        </w:rPr>
        <w:t xml:space="preserve"> IBD:</w:t>
      </w:r>
      <w:r w:rsidRPr="005B2AA7">
        <w:rPr>
          <w:rFonts w:ascii="Book Antiqua" w:hAnsi="Book Antiqua" w:cs="Times New Roman"/>
          <w:lang w:val="en-US"/>
        </w:rPr>
        <w:t xml:space="preserve"> Inflammatory bowel diseases.</w:t>
      </w:r>
    </w:p>
    <w:p w14:paraId="4540CEB2" w14:textId="77777777" w:rsidR="002B2BE6" w:rsidRPr="005B2AA7" w:rsidRDefault="002B2BE6" w:rsidP="00253009">
      <w:pPr>
        <w:snapToGrid w:val="0"/>
        <w:spacing w:line="360" w:lineRule="auto"/>
        <w:jc w:val="both"/>
        <w:rPr>
          <w:rFonts w:ascii="Book Antiqua" w:hAnsi="Book Antiqua" w:cs="Times New Roman"/>
          <w:lang w:val="en-US"/>
        </w:rPr>
      </w:pPr>
      <w:r w:rsidRPr="005B2AA7">
        <w:rPr>
          <w:rFonts w:ascii="Book Antiqua" w:hAnsi="Book Antiqua" w:cs="Times New Roman"/>
          <w:lang w:val="en-US"/>
        </w:rPr>
        <w:br w:type="page"/>
      </w:r>
    </w:p>
    <w:p w14:paraId="7C2899D6" w14:textId="1F2441E5" w:rsidR="00375D78" w:rsidRPr="005B2AA7" w:rsidRDefault="002B2BE6" w:rsidP="00253009">
      <w:pPr>
        <w:adjustRightInd w:val="0"/>
        <w:snapToGrid w:val="0"/>
        <w:spacing w:line="360" w:lineRule="auto"/>
        <w:jc w:val="both"/>
        <w:rPr>
          <w:rFonts w:ascii="Book Antiqua" w:eastAsia="Calibri" w:hAnsi="Book Antiqua" w:cs="Times New Roman"/>
          <w:b/>
          <w:bCs/>
          <w:lang w:val="en-US"/>
        </w:rPr>
      </w:pPr>
      <w:r w:rsidRPr="005B2AA7">
        <w:rPr>
          <w:rFonts w:ascii="Book Antiqua" w:eastAsia="Calibri" w:hAnsi="Book Antiqua" w:cs="Times New Roman"/>
          <w:b/>
          <w:bCs/>
          <w:lang w:val="en-US"/>
        </w:rPr>
        <w:lastRenderedPageBreak/>
        <w:t>Table 3</w:t>
      </w:r>
      <w:r w:rsidR="00375D78" w:rsidRPr="005B2AA7">
        <w:rPr>
          <w:rFonts w:ascii="Book Antiqua" w:eastAsia="Calibri" w:hAnsi="Book Antiqua" w:cs="Times New Roman"/>
          <w:b/>
          <w:bCs/>
          <w:lang w:val="en-US"/>
        </w:rPr>
        <w:t xml:space="preserve"> Perceived effect of smoking on</w:t>
      </w:r>
      <w:r w:rsidRPr="005B2AA7">
        <w:rPr>
          <w:rFonts w:ascii="Book Antiqua" w:eastAsia="Calibri" w:hAnsi="Book Antiqua" w:cs="Times New Roman"/>
          <w:b/>
          <w:bCs/>
          <w:lang w:val="en-US"/>
        </w:rPr>
        <w:t xml:space="preserve"> </w:t>
      </w:r>
      <w:r w:rsidRPr="005B2AA7">
        <w:rPr>
          <w:rFonts w:ascii="Book Antiqua" w:hAnsi="Book Antiqua" w:cs="Times New Roman"/>
          <w:b/>
          <w:lang w:val="en-US"/>
        </w:rPr>
        <w:t>inflammatory bowel diseases</w:t>
      </w:r>
      <w:r w:rsidRPr="005B2AA7">
        <w:rPr>
          <w:rFonts w:ascii="Book Antiqua" w:eastAsia="Calibri" w:hAnsi="Book Antiqua" w:cs="Times New Roman"/>
          <w:b/>
          <w:bCs/>
          <w:lang w:val="en-US"/>
        </w:rPr>
        <w:t xml:space="preserve"> based on type of diagnosis</w:t>
      </w:r>
    </w:p>
    <w:tbl>
      <w:tblPr>
        <w:tblStyle w:val="a3"/>
        <w:tblpPr w:leftFromText="180" w:rightFromText="180" w:vertAnchor="text" w:horzAnchor="margin" w:tblpY="-6"/>
        <w:tblW w:w="8439" w:type="dxa"/>
        <w:tblLook w:val="04A0" w:firstRow="1" w:lastRow="0" w:firstColumn="1" w:lastColumn="0" w:noHBand="0" w:noVBand="1"/>
      </w:tblPr>
      <w:tblGrid>
        <w:gridCol w:w="4100"/>
        <w:gridCol w:w="1625"/>
        <w:gridCol w:w="1625"/>
        <w:gridCol w:w="1089"/>
      </w:tblGrid>
      <w:tr w:rsidR="007410C3" w:rsidRPr="005B2AA7" w14:paraId="571EFB37" w14:textId="77777777" w:rsidTr="00564AEE">
        <w:trPr>
          <w:trHeight w:val="840"/>
        </w:trPr>
        <w:tc>
          <w:tcPr>
            <w:tcW w:w="4100" w:type="dxa"/>
            <w:tcBorders>
              <w:left w:val="nil"/>
              <w:bottom w:val="single" w:sz="4" w:space="0" w:color="auto"/>
              <w:right w:val="nil"/>
            </w:tcBorders>
          </w:tcPr>
          <w:p w14:paraId="2B92E948" w14:textId="77777777" w:rsidR="007410C3" w:rsidRPr="005B2AA7" w:rsidRDefault="007410C3" w:rsidP="00253009">
            <w:pPr>
              <w:adjustRightInd w:val="0"/>
              <w:snapToGrid w:val="0"/>
              <w:spacing w:line="360" w:lineRule="auto"/>
              <w:jc w:val="both"/>
              <w:rPr>
                <w:rFonts w:ascii="Book Antiqua" w:eastAsia="Calibri" w:hAnsi="Book Antiqua" w:cs="Times New Roman"/>
                <w:b/>
                <w:bCs/>
                <w:sz w:val="24"/>
                <w:szCs w:val="24"/>
                <w:lang w:val="en-US"/>
              </w:rPr>
            </w:pPr>
            <w:r w:rsidRPr="005B2AA7">
              <w:rPr>
                <w:rFonts w:ascii="Book Antiqua" w:eastAsia="Calibri" w:hAnsi="Book Antiqua" w:cs="Times New Roman"/>
                <w:b/>
                <w:bCs/>
                <w:sz w:val="24"/>
                <w:szCs w:val="24"/>
                <w:lang w:val="en-US"/>
              </w:rPr>
              <w:t>Questionnaire items</w:t>
            </w:r>
          </w:p>
        </w:tc>
        <w:tc>
          <w:tcPr>
            <w:tcW w:w="1625" w:type="dxa"/>
            <w:tcBorders>
              <w:left w:val="nil"/>
              <w:bottom w:val="single" w:sz="4" w:space="0" w:color="auto"/>
              <w:right w:val="nil"/>
            </w:tcBorders>
          </w:tcPr>
          <w:p w14:paraId="3E0C2973" w14:textId="77777777" w:rsidR="007410C3" w:rsidRPr="005B2AA7" w:rsidRDefault="007410C3" w:rsidP="00253009">
            <w:pPr>
              <w:adjustRightInd w:val="0"/>
              <w:snapToGrid w:val="0"/>
              <w:spacing w:line="360" w:lineRule="auto"/>
              <w:jc w:val="both"/>
              <w:rPr>
                <w:rFonts w:ascii="Book Antiqua" w:eastAsia="Calibri" w:hAnsi="Book Antiqua" w:cs="Times New Roman"/>
                <w:b/>
                <w:bCs/>
                <w:sz w:val="24"/>
                <w:szCs w:val="24"/>
                <w:lang w:val="en-US"/>
              </w:rPr>
            </w:pPr>
            <w:r w:rsidRPr="005B2AA7">
              <w:rPr>
                <w:rFonts w:ascii="Book Antiqua" w:eastAsia="Calibri" w:hAnsi="Book Antiqua" w:cs="Times New Roman"/>
                <w:b/>
                <w:bCs/>
                <w:sz w:val="24"/>
                <w:szCs w:val="24"/>
                <w:lang w:val="en-US"/>
              </w:rPr>
              <w:t>Crohn’s disease</w:t>
            </w:r>
          </w:p>
        </w:tc>
        <w:tc>
          <w:tcPr>
            <w:tcW w:w="1625" w:type="dxa"/>
            <w:tcBorders>
              <w:left w:val="nil"/>
              <w:bottom w:val="single" w:sz="4" w:space="0" w:color="auto"/>
              <w:right w:val="nil"/>
            </w:tcBorders>
          </w:tcPr>
          <w:p w14:paraId="739F06C0" w14:textId="77777777" w:rsidR="007410C3" w:rsidRPr="005B2AA7" w:rsidRDefault="007410C3" w:rsidP="00253009">
            <w:pPr>
              <w:adjustRightInd w:val="0"/>
              <w:snapToGrid w:val="0"/>
              <w:spacing w:line="360" w:lineRule="auto"/>
              <w:jc w:val="both"/>
              <w:rPr>
                <w:rFonts w:ascii="Book Antiqua" w:eastAsia="Calibri" w:hAnsi="Book Antiqua" w:cs="Times New Roman"/>
                <w:b/>
                <w:bCs/>
                <w:sz w:val="24"/>
                <w:szCs w:val="24"/>
                <w:lang w:val="en-US"/>
              </w:rPr>
            </w:pPr>
            <w:r w:rsidRPr="005B2AA7">
              <w:rPr>
                <w:rFonts w:ascii="Book Antiqua" w:eastAsia="Calibri" w:hAnsi="Book Antiqua" w:cs="Times New Roman"/>
                <w:b/>
                <w:bCs/>
                <w:sz w:val="24"/>
                <w:szCs w:val="24"/>
                <w:lang w:val="en-US"/>
              </w:rPr>
              <w:t>Ulcerative colitis</w:t>
            </w:r>
          </w:p>
        </w:tc>
        <w:tc>
          <w:tcPr>
            <w:tcW w:w="1089" w:type="dxa"/>
            <w:tcBorders>
              <w:left w:val="nil"/>
              <w:bottom w:val="single" w:sz="4" w:space="0" w:color="auto"/>
              <w:right w:val="nil"/>
            </w:tcBorders>
          </w:tcPr>
          <w:p w14:paraId="36D2FC1F" w14:textId="38962D61" w:rsidR="007410C3" w:rsidRPr="005B2AA7" w:rsidRDefault="007410C3" w:rsidP="00253009">
            <w:pPr>
              <w:adjustRightInd w:val="0"/>
              <w:snapToGrid w:val="0"/>
              <w:spacing w:line="360" w:lineRule="auto"/>
              <w:jc w:val="both"/>
              <w:rPr>
                <w:rFonts w:ascii="Book Antiqua" w:eastAsia="Calibri" w:hAnsi="Book Antiqua" w:cs="Times New Roman"/>
                <w:b/>
                <w:bCs/>
                <w:sz w:val="24"/>
                <w:szCs w:val="24"/>
                <w:vertAlign w:val="superscript"/>
                <w:lang w:val="en-US"/>
              </w:rPr>
            </w:pPr>
            <w:r w:rsidRPr="005B2AA7">
              <w:rPr>
                <w:rFonts w:ascii="Book Antiqua" w:eastAsia="Calibri" w:hAnsi="Book Antiqua" w:cs="Times New Roman"/>
                <w:b/>
                <w:bCs/>
                <w:i/>
                <w:iCs/>
                <w:sz w:val="24"/>
                <w:szCs w:val="24"/>
                <w:lang w:val="en-US"/>
              </w:rPr>
              <w:t>P</w:t>
            </w:r>
            <w:r w:rsidR="002B2BE6" w:rsidRPr="005B2AA7">
              <w:rPr>
                <w:rFonts w:ascii="Book Antiqua" w:eastAsia="Calibri" w:hAnsi="Book Antiqua" w:cs="Times New Roman"/>
                <w:b/>
                <w:bCs/>
                <w:i/>
                <w:iCs/>
                <w:sz w:val="24"/>
                <w:szCs w:val="24"/>
                <w:lang w:val="en-US"/>
              </w:rPr>
              <w:t xml:space="preserve"> </w:t>
            </w:r>
            <w:r w:rsidRPr="005B2AA7">
              <w:rPr>
                <w:rFonts w:ascii="Book Antiqua" w:eastAsia="Calibri" w:hAnsi="Book Antiqua" w:cs="Times New Roman"/>
                <w:b/>
                <w:bCs/>
                <w:sz w:val="24"/>
                <w:szCs w:val="24"/>
                <w:lang w:val="en-US"/>
              </w:rPr>
              <w:t>value</w:t>
            </w:r>
            <w:r w:rsidRPr="005B2AA7">
              <w:rPr>
                <w:rFonts w:ascii="Book Antiqua" w:eastAsia="Calibri" w:hAnsi="Book Antiqua" w:cs="Times New Roman"/>
                <w:b/>
                <w:bCs/>
                <w:sz w:val="24"/>
                <w:szCs w:val="24"/>
                <w:vertAlign w:val="superscript"/>
                <w:lang w:val="en-US"/>
              </w:rPr>
              <w:t>1</w:t>
            </w:r>
          </w:p>
        </w:tc>
      </w:tr>
      <w:tr w:rsidR="007410C3" w:rsidRPr="005B2AA7" w14:paraId="023CEBFD" w14:textId="77777777" w:rsidTr="00564AEE">
        <w:trPr>
          <w:trHeight w:val="310"/>
        </w:trPr>
        <w:tc>
          <w:tcPr>
            <w:tcW w:w="4100" w:type="dxa"/>
            <w:tcBorders>
              <w:left w:val="nil"/>
              <w:bottom w:val="single" w:sz="4" w:space="0" w:color="E7E6E6"/>
              <w:right w:val="nil"/>
            </w:tcBorders>
            <w:vAlign w:val="center"/>
          </w:tcPr>
          <w:p w14:paraId="5A985188"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Perceived impact of cigarette smoking on disease activity</w:t>
            </w:r>
          </w:p>
        </w:tc>
        <w:tc>
          <w:tcPr>
            <w:tcW w:w="1625" w:type="dxa"/>
            <w:tcBorders>
              <w:left w:val="nil"/>
              <w:bottom w:val="single" w:sz="4" w:space="0" w:color="E7E6E6"/>
              <w:right w:val="nil"/>
            </w:tcBorders>
            <w:vAlign w:val="center"/>
          </w:tcPr>
          <w:p w14:paraId="207CC578"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p>
        </w:tc>
        <w:tc>
          <w:tcPr>
            <w:tcW w:w="1625" w:type="dxa"/>
            <w:tcBorders>
              <w:left w:val="nil"/>
              <w:bottom w:val="single" w:sz="4" w:space="0" w:color="E7E6E6"/>
              <w:right w:val="nil"/>
            </w:tcBorders>
            <w:vAlign w:val="center"/>
          </w:tcPr>
          <w:p w14:paraId="6DB0581E"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p>
        </w:tc>
        <w:tc>
          <w:tcPr>
            <w:tcW w:w="1089" w:type="dxa"/>
            <w:tcBorders>
              <w:left w:val="nil"/>
              <w:bottom w:val="single" w:sz="4" w:space="0" w:color="E7E6E6"/>
              <w:right w:val="nil"/>
            </w:tcBorders>
            <w:vAlign w:val="center"/>
          </w:tcPr>
          <w:p w14:paraId="21317AB3"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p>
        </w:tc>
      </w:tr>
      <w:tr w:rsidR="007410C3" w:rsidRPr="005B2AA7" w14:paraId="4DAA108A" w14:textId="77777777" w:rsidTr="00564AEE">
        <w:trPr>
          <w:trHeight w:val="310"/>
        </w:trPr>
        <w:tc>
          <w:tcPr>
            <w:tcW w:w="4100" w:type="dxa"/>
            <w:tcBorders>
              <w:top w:val="single" w:sz="4" w:space="0" w:color="E7E6E6"/>
              <w:left w:val="nil"/>
              <w:bottom w:val="single" w:sz="4" w:space="0" w:color="E7E6E6"/>
              <w:right w:val="nil"/>
            </w:tcBorders>
            <w:vAlign w:val="bottom"/>
          </w:tcPr>
          <w:p w14:paraId="7635FCE8" w14:textId="52193490" w:rsidR="007410C3"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7410C3" w:rsidRPr="005B2AA7">
              <w:rPr>
                <w:rFonts w:ascii="Book Antiqua" w:eastAsia="Calibri" w:hAnsi="Book Antiqua" w:cs="Times New Roman"/>
                <w:sz w:val="24"/>
                <w:szCs w:val="24"/>
                <w:lang w:val="en-US"/>
              </w:rPr>
              <w:t>Significantly worsened</w:t>
            </w:r>
          </w:p>
        </w:tc>
        <w:tc>
          <w:tcPr>
            <w:tcW w:w="1625" w:type="dxa"/>
            <w:tcBorders>
              <w:top w:val="single" w:sz="4" w:space="0" w:color="E7E6E6"/>
              <w:left w:val="nil"/>
              <w:bottom w:val="single" w:sz="4" w:space="0" w:color="E7E6E6"/>
              <w:right w:val="nil"/>
            </w:tcBorders>
          </w:tcPr>
          <w:p w14:paraId="103452BD"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12/279 (4.3)</w:t>
            </w:r>
          </w:p>
        </w:tc>
        <w:tc>
          <w:tcPr>
            <w:tcW w:w="1625" w:type="dxa"/>
            <w:tcBorders>
              <w:top w:val="single" w:sz="4" w:space="0" w:color="E7E6E6"/>
              <w:left w:val="nil"/>
              <w:bottom w:val="single" w:sz="4" w:space="0" w:color="E7E6E6"/>
              <w:right w:val="nil"/>
            </w:tcBorders>
          </w:tcPr>
          <w:p w14:paraId="4256C9D8"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2/191 (1.0)</w:t>
            </w:r>
          </w:p>
        </w:tc>
        <w:tc>
          <w:tcPr>
            <w:tcW w:w="1089" w:type="dxa"/>
            <w:vMerge w:val="restart"/>
            <w:tcBorders>
              <w:top w:val="single" w:sz="4" w:space="0" w:color="E7E6E6"/>
              <w:left w:val="nil"/>
              <w:right w:val="nil"/>
            </w:tcBorders>
            <w:vAlign w:val="center"/>
          </w:tcPr>
          <w:p w14:paraId="168A2B41" w14:textId="161030A4"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&lt;</w:t>
            </w:r>
            <w:r w:rsidR="00515C13" w:rsidRPr="005B2AA7">
              <w:rPr>
                <w:rFonts w:ascii="Book Antiqua" w:eastAsia="Calibri" w:hAnsi="Book Antiqua" w:cs="Times New Roman"/>
                <w:sz w:val="24"/>
                <w:szCs w:val="24"/>
                <w:lang w:val="en-US"/>
              </w:rPr>
              <w:t xml:space="preserve"> </w:t>
            </w:r>
            <w:r w:rsidRPr="005B2AA7">
              <w:rPr>
                <w:rFonts w:ascii="Book Antiqua" w:eastAsia="Calibri" w:hAnsi="Book Antiqua" w:cs="Times New Roman"/>
                <w:sz w:val="24"/>
                <w:szCs w:val="24"/>
                <w:lang w:val="en-US"/>
              </w:rPr>
              <w:t>0.001</w:t>
            </w:r>
          </w:p>
        </w:tc>
      </w:tr>
      <w:tr w:rsidR="007410C3" w:rsidRPr="005B2AA7" w14:paraId="20A54FBD" w14:textId="77777777" w:rsidTr="00564AEE">
        <w:trPr>
          <w:trHeight w:val="310"/>
        </w:trPr>
        <w:tc>
          <w:tcPr>
            <w:tcW w:w="4100" w:type="dxa"/>
            <w:tcBorders>
              <w:top w:val="single" w:sz="4" w:space="0" w:color="E7E6E6"/>
              <w:left w:val="nil"/>
              <w:bottom w:val="single" w:sz="4" w:space="0" w:color="E7E6E6"/>
              <w:right w:val="nil"/>
            </w:tcBorders>
            <w:vAlign w:val="bottom"/>
          </w:tcPr>
          <w:p w14:paraId="10495341" w14:textId="2C025CDE" w:rsidR="007410C3"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7410C3" w:rsidRPr="005B2AA7">
              <w:rPr>
                <w:rFonts w:ascii="Book Antiqua" w:eastAsia="Calibri" w:hAnsi="Book Antiqua" w:cs="Times New Roman"/>
                <w:sz w:val="24"/>
                <w:szCs w:val="24"/>
                <w:lang w:val="en-US"/>
              </w:rPr>
              <w:t>Moderately worsened</w:t>
            </w:r>
          </w:p>
        </w:tc>
        <w:tc>
          <w:tcPr>
            <w:tcW w:w="1625" w:type="dxa"/>
            <w:tcBorders>
              <w:top w:val="single" w:sz="4" w:space="0" w:color="E7E6E6"/>
              <w:left w:val="nil"/>
              <w:bottom w:val="single" w:sz="4" w:space="0" w:color="E7E6E6"/>
              <w:right w:val="nil"/>
            </w:tcBorders>
          </w:tcPr>
          <w:p w14:paraId="680BA546"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209/279 (74.9)</w:t>
            </w:r>
          </w:p>
        </w:tc>
        <w:tc>
          <w:tcPr>
            <w:tcW w:w="1625" w:type="dxa"/>
            <w:tcBorders>
              <w:top w:val="single" w:sz="4" w:space="0" w:color="E7E6E6"/>
              <w:left w:val="nil"/>
              <w:bottom w:val="single" w:sz="4" w:space="0" w:color="E7E6E6"/>
              <w:right w:val="nil"/>
            </w:tcBorders>
          </w:tcPr>
          <w:p w14:paraId="21D06545"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63/191 (33.0)</w:t>
            </w:r>
          </w:p>
        </w:tc>
        <w:tc>
          <w:tcPr>
            <w:tcW w:w="1089" w:type="dxa"/>
            <w:vMerge/>
            <w:tcBorders>
              <w:left w:val="nil"/>
              <w:right w:val="nil"/>
            </w:tcBorders>
            <w:vAlign w:val="center"/>
          </w:tcPr>
          <w:p w14:paraId="52C9BEB0"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p>
        </w:tc>
      </w:tr>
      <w:tr w:rsidR="007410C3" w:rsidRPr="005B2AA7" w14:paraId="103F0B6C" w14:textId="77777777" w:rsidTr="00564AEE">
        <w:trPr>
          <w:trHeight w:val="310"/>
        </w:trPr>
        <w:tc>
          <w:tcPr>
            <w:tcW w:w="4100" w:type="dxa"/>
            <w:tcBorders>
              <w:top w:val="single" w:sz="4" w:space="0" w:color="E7E6E6"/>
              <w:left w:val="nil"/>
              <w:bottom w:val="single" w:sz="4" w:space="0" w:color="E7E6E6"/>
              <w:right w:val="nil"/>
            </w:tcBorders>
            <w:vAlign w:val="bottom"/>
          </w:tcPr>
          <w:p w14:paraId="00F0CB6C" w14:textId="71B18158" w:rsidR="007410C3"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7410C3" w:rsidRPr="005B2AA7">
              <w:rPr>
                <w:rFonts w:ascii="Book Antiqua" w:eastAsia="Calibri" w:hAnsi="Book Antiqua" w:cs="Times New Roman"/>
                <w:sz w:val="24"/>
                <w:szCs w:val="24"/>
                <w:lang w:val="en-US"/>
              </w:rPr>
              <w:t>No impact</w:t>
            </w:r>
          </w:p>
        </w:tc>
        <w:tc>
          <w:tcPr>
            <w:tcW w:w="1625" w:type="dxa"/>
            <w:tcBorders>
              <w:top w:val="single" w:sz="4" w:space="0" w:color="E7E6E6"/>
              <w:left w:val="nil"/>
              <w:bottom w:val="single" w:sz="4" w:space="0" w:color="E7E6E6"/>
              <w:right w:val="nil"/>
            </w:tcBorders>
          </w:tcPr>
          <w:p w14:paraId="30B8A5D5"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27/279 (9.7)</w:t>
            </w:r>
          </w:p>
        </w:tc>
        <w:tc>
          <w:tcPr>
            <w:tcW w:w="1625" w:type="dxa"/>
            <w:tcBorders>
              <w:top w:val="single" w:sz="4" w:space="0" w:color="E7E6E6"/>
              <w:left w:val="nil"/>
              <w:bottom w:val="single" w:sz="4" w:space="0" w:color="E7E6E6"/>
              <w:right w:val="nil"/>
            </w:tcBorders>
          </w:tcPr>
          <w:p w14:paraId="36BEADAE"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12/191 (6.3)</w:t>
            </w:r>
          </w:p>
        </w:tc>
        <w:tc>
          <w:tcPr>
            <w:tcW w:w="1089" w:type="dxa"/>
            <w:vMerge/>
            <w:tcBorders>
              <w:left w:val="nil"/>
              <w:right w:val="nil"/>
            </w:tcBorders>
            <w:vAlign w:val="center"/>
          </w:tcPr>
          <w:p w14:paraId="4C19AE43"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p>
        </w:tc>
      </w:tr>
      <w:tr w:rsidR="007410C3" w:rsidRPr="005B2AA7" w14:paraId="01937D07" w14:textId="77777777" w:rsidTr="00564AEE">
        <w:trPr>
          <w:trHeight w:val="310"/>
        </w:trPr>
        <w:tc>
          <w:tcPr>
            <w:tcW w:w="4100" w:type="dxa"/>
            <w:tcBorders>
              <w:top w:val="single" w:sz="4" w:space="0" w:color="E7E6E6"/>
              <w:left w:val="nil"/>
              <w:bottom w:val="single" w:sz="4" w:space="0" w:color="E7E6E6"/>
              <w:right w:val="nil"/>
            </w:tcBorders>
            <w:vAlign w:val="bottom"/>
          </w:tcPr>
          <w:p w14:paraId="5DA5E1DC" w14:textId="41BBFEDC" w:rsidR="007410C3"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7410C3" w:rsidRPr="005B2AA7">
              <w:rPr>
                <w:rFonts w:ascii="Book Antiqua" w:eastAsia="Calibri" w:hAnsi="Book Antiqua" w:cs="Times New Roman"/>
                <w:sz w:val="24"/>
                <w:szCs w:val="24"/>
                <w:lang w:val="en-US"/>
              </w:rPr>
              <w:t>Moderately improved</w:t>
            </w:r>
          </w:p>
        </w:tc>
        <w:tc>
          <w:tcPr>
            <w:tcW w:w="1625" w:type="dxa"/>
            <w:tcBorders>
              <w:top w:val="single" w:sz="4" w:space="0" w:color="E7E6E6"/>
              <w:left w:val="nil"/>
              <w:bottom w:val="single" w:sz="4" w:space="0" w:color="E7E6E6"/>
              <w:right w:val="nil"/>
            </w:tcBorders>
          </w:tcPr>
          <w:p w14:paraId="3FD69488"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25/279 (9.0)</w:t>
            </w:r>
          </w:p>
        </w:tc>
        <w:tc>
          <w:tcPr>
            <w:tcW w:w="1625" w:type="dxa"/>
            <w:tcBorders>
              <w:top w:val="single" w:sz="4" w:space="0" w:color="E7E6E6"/>
              <w:left w:val="nil"/>
              <w:bottom w:val="single" w:sz="4" w:space="0" w:color="E7E6E6"/>
              <w:right w:val="nil"/>
            </w:tcBorders>
          </w:tcPr>
          <w:p w14:paraId="260CF68E"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58/191 (30.4)</w:t>
            </w:r>
          </w:p>
        </w:tc>
        <w:tc>
          <w:tcPr>
            <w:tcW w:w="1089" w:type="dxa"/>
            <w:vMerge/>
            <w:tcBorders>
              <w:left w:val="nil"/>
              <w:right w:val="nil"/>
            </w:tcBorders>
            <w:vAlign w:val="center"/>
          </w:tcPr>
          <w:p w14:paraId="5A5B748F"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p>
        </w:tc>
      </w:tr>
      <w:tr w:rsidR="007410C3" w:rsidRPr="005B2AA7" w14:paraId="4E6241C6" w14:textId="77777777" w:rsidTr="00564AEE">
        <w:trPr>
          <w:trHeight w:val="310"/>
        </w:trPr>
        <w:tc>
          <w:tcPr>
            <w:tcW w:w="4100" w:type="dxa"/>
            <w:tcBorders>
              <w:top w:val="single" w:sz="4" w:space="0" w:color="E7E6E6"/>
              <w:left w:val="nil"/>
              <w:bottom w:val="single" w:sz="4" w:space="0" w:color="E7E6E6"/>
              <w:right w:val="nil"/>
            </w:tcBorders>
            <w:vAlign w:val="bottom"/>
          </w:tcPr>
          <w:p w14:paraId="12301850" w14:textId="642D1B5B"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Significantly improved</w:t>
            </w:r>
          </w:p>
        </w:tc>
        <w:tc>
          <w:tcPr>
            <w:tcW w:w="1625" w:type="dxa"/>
            <w:tcBorders>
              <w:top w:val="single" w:sz="4" w:space="0" w:color="E7E6E6"/>
              <w:left w:val="nil"/>
              <w:bottom w:val="single" w:sz="4" w:space="0" w:color="E7E6E6"/>
              <w:right w:val="nil"/>
            </w:tcBorders>
          </w:tcPr>
          <w:p w14:paraId="5A217354"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6/279 (2.2)</w:t>
            </w:r>
          </w:p>
        </w:tc>
        <w:tc>
          <w:tcPr>
            <w:tcW w:w="1625" w:type="dxa"/>
            <w:tcBorders>
              <w:top w:val="single" w:sz="4" w:space="0" w:color="E7E6E6"/>
              <w:left w:val="nil"/>
              <w:bottom w:val="single" w:sz="4" w:space="0" w:color="E7E6E6"/>
              <w:right w:val="nil"/>
            </w:tcBorders>
          </w:tcPr>
          <w:p w14:paraId="505240AF"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56/191 (29.3)</w:t>
            </w:r>
          </w:p>
        </w:tc>
        <w:tc>
          <w:tcPr>
            <w:tcW w:w="1089" w:type="dxa"/>
            <w:vMerge/>
            <w:tcBorders>
              <w:left w:val="nil"/>
              <w:bottom w:val="single" w:sz="4" w:space="0" w:color="E7E6E6"/>
              <w:right w:val="nil"/>
            </w:tcBorders>
            <w:vAlign w:val="center"/>
          </w:tcPr>
          <w:p w14:paraId="7E884F97"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p>
        </w:tc>
      </w:tr>
      <w:tr w:rsidR="007410C3" w:rsidRPr="005B2AA7" w14:paraId="1A79DD17" w14:textId="77777777" w:rsidTr="00564AEE">
        <w:trPr>
          <w:trHeight w:val="310"/>
        </w:trPr>
        <w:tc>
          <w:tcPr>
            <w:tcW w:w="4100" w:type="dxa"/>
            <w:tcBorders>
              <w:top w:val="single" w:sz="4" w:space="0" w:color="E7E6E6"/>
              <w:left w:val="nil"/>
              <w:bottom w:val="single" w:sz="4" w:space="0" w:color="E7E6E6"/>
              <w:right w:val="nil"/>
            </w:tcBorders>
            <w:vAlign w:val="bottom"/>
          </w:tcPr>
          <w:p w14:paraId="2A8234C1"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Perceived impact of using alternative smoking products on disease activity</w:t>
            </w:r>
          </w:p>
        </w:tc>
        <w:tc>
          <w:tcPr>
            <w:tcW w:w="1625" w:type="dxa"/>
            <w:tcBorders>
              <w:top w:val="single" w:sz="4" w:space="0" w:color="E7E6E6"/>
              <w:left w:val="nil"/>
              <w:bottom w:val="single" w:sz="4" w:space="0" w:color="E7E6E6"/>
              <w:right w:val="nil"/>
            </w:tcBorders>
          </w:tcPr>
          <w:p w14:paraId="602E9233"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p>
        </w:tc>
        <w:tc>
          <w:tcPr>
            <w:tcW w:w="1625" w:type="dxa"/>
            <w:tcBorders>
              <w:top w:val="single" w:sz="4" w:space="0" w:color="E7E6E6"/>
              <w:left w:val="nil"/>
              <w:bottom w:val="single" w:sz="4" w:space="0" w:color="E7E6E6"/>
              <w:right w:val="nil"/>
            </w:tcBorders>
          </w:tcPr>
          <w:p w14:paraId="75AB904E"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p>
        </w:tc>
        <w:tc>
          <w:tcPr>
            <w:tcW w:w="1089" w:type="dxa"/>
            <w:tcBorders>
              <w:top w:val="single" w:sz="4" w:space="0" w:color="E7E6E6"/>
              <w:left w:val="nil"/>
              <w:bottom w:val="single" w:sz="4" w:space="0" w:color="E7E6E6"/>
              <w:right w:val="nil"/>
            </w:tcBorders>
            <w:vAlign w:val="center"/>
          </w:tcPr>
          <w:p w14:paraId="51CC021C"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p>
        </w:tc>
      </w:tr>
      <w:tr w:rsidR="007410C3" w:rsidRPr="005B2AA7" w14:paraId="4194F8F7" w14:textId="77777777" w:rsidTr="00564AEE">
        <w:trPr>
          <w:trHeight w:val="310"/>
        </w:trPr>
        <w:tc>
          <w:tcPr>
            <w:tcW w:w="4100" w:type="dxa"/>
            <w:tcBorders>
              <w:top w:val="single" w:sz="4" w:space="0" w:color="E7E6E6"/>
              <w:left w:val="nil"/>
              <w:bottom w:val="single" w:sz="4" w:space="0" w:color="E7E6E6"/>
              <w:right w:val="nil"/>
            </w:tcBorders>
            <w:vAlign w:val="bottom"/>
          </w:tcPr>
          <w:p w14:paraId="50238AEE" w14:textId="317F5F4E" w:rsidR="007410C3"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7410C3" w:rsidRPr="005B2AA7">
              <w:rPr>
                <w:rFonts w:ascii="Book Antiqua" w:eastAsia="Calibri" w:hAnsi="Book Antiqua" w:cs="Times New Roman"/>
                <w:sz w:val="24"/>
                <w:szCs w:val="24"/>
                <w:lang w:val="en-US"/>
              </w:rPr>
              <w:t>Significantly worsened</w:t>
            </w:r>
          </w:p>
        </w:tc>
        <w:tc>
          <w:tcPr>
            <w:tcW w:w="1625" w:type="dxa"/>
            <w:tcBorders>
              <w:top w:val="single" w:sz="4" w:space="0" w:color="E7E6E6"/>
              <w:left w:val="nil"/>
              <w:bottom w:val="single" w:sz="4" w:space="0" w:color="E7E6E6"/>
              <w:right w:val="nil"/>
            </w:tcBorders>
          </w:tcPr>
          <w:p w14:paraId="7E95A28D"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4/211 (1.9)</w:t>
            </w:r>
          </w:p>
        </w:tc>
        <w:tc>
          <w:tcPr>
            <w:tcW w:w="1625" w:type="dxa"/>
            <w:tcBorders>
              <w:top w:val="single" w:sz="4" w:space="0" w:color="E7E6E6"/>
              <w:left w:val="nil"/>
              <w:bottom w:val="single" w:sz="4" w:space="0" w:color="E7E6E6"/>
              <w:right w:val="nil"/>
            </w:tcBorders>
          </w:tcPr>
          <w:p w14:paraId="4D89F01C"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12/187 (6.4)</w:t>
            </w:r>
          </w:p>
        </w:tc>
        <w:tc>
          <w:tcPr>
            <w:tcW w:w="1089" w:type="dxa"/>
            <w:vMerge w:val="restart"/>
            <w:tcBorders>
              <w:top w:val="single" w:sz="4" w:space="0" w:color="E7E6E6"/>
              <w:left w:val="nil"/>
              <w:right w:val="nil"/>
            </w:tcBorders>
            <w:vAlign w:val="center"/>
          </w:tcPr>
          <w:p w14:paraId="3FCD49CC"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0.004</w:t>
            </w:r>
          </w:p>
        </w:tc>
      </w:tr>
      <w:tr w:rsidR="007410C3" w:rsidRPr="005B2AA7" w14:paraId="301970F6" w14:textId="77777777" w:rsidTr="00564AEE">
        <w:trPr>
          <w:trHeight w:val="310"/>
        </w:trPr>
        <w:tc>
          <w:tcPr>
            <w:tcW w:w="4100" w:type="dxa"/>
            <w:tcBorders>
              <w:top w:val="single" w:sz="4" w:space="0" w:color="E7E6E6"/>
              <w:left w:val="nil"/>
              <w:bottom w:val="single" w:sz="4" w:space="0" w:color="E7E6E6"/>
              <w:right w:val="nil"/>
            </w:tcBorders>
            <w:vAlign w:val="bottom"/>
          </w:tcPr>
          <w:p w14:paraId="0B1FFE1D" w14:textId="7E7806BA"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Moderately worsened</w:t>
            </w:r>
          </w:p>
        </w:tc>
        <w:tc>
          <w:tcPr>
            <w:tcW w:w="1625" w:type="dxa"/>
            <w:tcBorders>
              <w:top w:val="single" w:sz="4" w:space="0" w:color="E7E6E6"/>
              <w:left w:val="nil"/>
              <w:bottom w:val="single" w:sz="4" w:space="0" w:color="E7E6E6"/>
              <w:right w:val="nil"/>
            </w:tcBorders>
          </w:tcPr>
          <w:p w14:paraId="656464F7"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31/211 (14.7)</w:t>
            </w:r>
          </w:p>
        </w:tc>
        <w:tc>
          <w:tcPr>
            <w:tcW w:w="1625" w:type="dxa"/>
            <w:tcBorders>
              <w:top w:val="single" w:sz="4" w:space="0" w:color="E7E6E6"/>
              <w:left w:val="nil"/>
              <w:bottom w:val="single" w:sz="4" w:space="0" w:color="E7E6E6"/>
              <w:right w:val="nil"/>
            </w:tcBorders>
          </w:tcPr>
          <w:p w14:paraId="57824E0B"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14/187 (7.5)</w:t>
            </w:r>
          </w:p>
        </w:tc>
        <w:tc>
          <w:tcPr>
            <w:tcW w:w="1089" w:type="dxa"/>
            <w:vMerge/>
            <w:tcBorders>
              <w:left w:val="nil"/>
              <w:right w:val="nil"/>
            </w:tcBorders>
            <w:vAlign w:val="center"/>
          </w:tcPr>
          <w:p w14:paraId="3CF8CE91"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p>
        </w:tc>
      </w:tr>
      <w:tr w:rsidR="007410C3" w:rsidRPr="005B2AA7" w14:paraId="4B34BAE7" w14:textId="77777777" w:rsidTr="00564AEE">
        <w:trPr>
          <w:trHeight w:val="310"/>
        </w:trPr>
        <w:tc>
          <w:tcPr>
            <w:tcW w:w="4100" w:type="dxa"/>
            <w:tcBorders>
              <w:top w:val="single" w:sz="4" w:space="0" w:color="E7E6E6"/>
              <w:left w:val="nil"/>
              <w:bottom w:val="single" w:sz="4" w:space="0" w:color="E7E6E6"/>
              <w:right w:val="nil"/>
            </w:tcBorders>
            <w:vAlign w:val="bottom"/>
          </w:tcPr>
          <w:p w14:paraId="5B0F5080" w14:textId="5DA71424" w:rsidR="007410C3"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7410C3" w:rsidRPr="005B2AA7">
              <w:rPr>
                <w:rFonts w:ascii="Book Antiqua" w:eastAsia="Calibri" w:hAnsi="Book Antiqua" w:cs="Times New Roman"/>
                <w:sz w:val="24"/>
                <w:szCs w:val="24"/>
                <w:lang w:val="en-US"/>
              </w:rPr>
              <w:t>No impact</w:t>
            </w:r>
          </w:p>
        </w:tc>
        <w:tc>
          <w:tcPr>
            <w:tcW w:w="1625" w:type="dxa"/>
            <w:tcBorders>
              <w:top w:val="single" w:sz="4" w:space="0" w:color="E7E6E6"/>
              <w:left w:val="nil"/>
              <w:bottom w:val="single" w:sz="4" w:space="0" w:color="E7E6E6"/>
              <w:right w:val="nil"/>
            </w:tcBorders>
          </w:tcPr>
          <w:p w14:paraId="7590351C"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146/211 (69.2)</w:t>
            </w:r>
          </w:p>
        </w:tc>
        <w:tc>
          <w:tcPr>
            <w:tcW w:w="1625" w:type="dxa"/>
            <w:tcBorders>
              <w:top w:val="single" w:sz="4" w:space="0" w:color="E7E6E6"/>
              <w:left w:val="nil"/>
              <w:bottom w:val="single" w:sz="4" w:space="0" w:color="E7E6E6"/>
              <w:right w:val="nil"/>
            </w:tcBorders>
          </w:tcPr>
          <w:p w14:paraId="3852619E"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118/187 (63.1)</w:t>
            </w:r>
          </w:p>
        </w:tc>
        <w:tc>
          <w:tcPr>
            <w:tcW w:w="1089" w:type="dxa"/>
            <w:vMerge/>
            <w:tcBorders>
              <w:left w:val="nil"/>
              <w:right w:val="nil"/>
            </w:tcBorders>
            <w:vAlign w:val="center"/>
          </w:tcPr>
          <w:p w14:paraId="4B77BA59"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p>
        </w:tc>
      </w:tr>
      <w:tr w:rsidR="007410C3" w:rsidRPr="005B2AA7" w14:paraId="72F4ADD0" w14:textId="77777777" w:rsidTr="00564AEE">
        <w:trPr>
          <w:trHeight w:val="310"/>
        </w:trPr>
        <w:tc>
          <w:tcPr>
            <w:tcW w:w="4100" w:type="dxa"/>
            <w:tcBorders>
              <w:top w:val="single" w:sz="4" w:space="0" w:color="E7E6E6"/>
              <w:left w:val="nil"/>
              <w:bottom w:val="single" w:sz="4" w:space="0" w:color="E7E6E6"/>
              <w:right w:val="nil"/>
            </w:tcBorders>
            <w:vAlign w:val="bottom"/>
          </w:tcPr>
          <w:p w14:paraId="40F31033" w14:textId="6DBC8B9B" w:rsidR="007410C3"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7410C3" w:rsidRPr="005B2AA7">
              <w:rPr>
                <w:rFonts w:ascii="Book Antiqua" w:eastAsia="Calibri" w:hAnsi="Book Antiqua" w:cs="Times New Roman"/>
                <w:sz w:val="24"/>
                <w:szCs w:val="24"/>
                <w:lang w:val="en-US"/>
              </w:rPr>
              <w:t>Moderately improved</w:t>
            </w:r>
          </w:p>
        </w:tc>
        <w:tc>
          <w:tcPr>
            <w:tcW w:w="1625" w:type="dxa"/>
            <w:tcBorders>
              <w:top w:val="single" w:sz="4" w:space="0" w:color="E7E6E6"/>
              <w:left w:val="nil"/>
              <w:bottom w:val="single" w:sz="4" w:space="0" w:color="E7E6E6"/>
              <w:right w:val="nil"/>
            </w:tcBorders>
          </w:tcPr>
          <w:p w14:paraId="47C15E07"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23/211 (10.9)</w:t>
            </w:r>
          </w:p>
        </w:tc>
        <w:tc>
          <w:tcPr>
            <w:tcW w:w="1625" w:type="dxa"/>
            <w:tcBorders>
              <w:top w:val="single" w:sz="4" w:space="0" w:color="E7E6E6"/>
              <w:left w:val="nil"/>
              <w:bottom w:val="single" w:sz="4" w:space="0" w:color="E7E6E6"/>
              <w:right w:val="nil"/>
            </w:tcBorders>
          </w:tcPr>
          <w:p w14:paraId="604102CA"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28/187 (15.0)</w:t>
            </w:r>
          </w:p>
        </w:tc>
        <w:tc>
          <w:tcPr>
            <w:tcW w:w="1089" w:type="dxa"/>
            <w:vMerge/>
            <w:tcBorders>
              <w:left w:val="nil"/>
              <w:right w:val="nil"/>
            </w:tcBorders>
            <w:vAlign w:val="center"/>
          </w:tcPr>
          <w:p w14:paraId="3914EDD4"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p>
        </w:tc>
      </w:tr>
      <w:tr w:rsidR="007410C3" w:rsidRPr="005B2AA7" w14:paraId="2D47B908" w14:textId="77777777" w:rsidTr="00564AEE">
        <w:trPr>
          <w:trHeight w:val="310"/>
        </w:trPr>
        <w:tc>
          <w:tcPr>
            <w:tcW w:w="4100" w:type="dxa"/>
            <w:tcBorders>
              <w:top w:val="single" w:sz="4" w:space="0" w:color="E7E6E6"/>
              <w:left w:val="nil"/>
              <w:bottom w:val="single" w:sz="4" w:space="0" w:color="auto"/>
              <w:right w:val="nil"/>
            </w:tcBorders>
            <w:vAlign w:val="bottom"/>
          </w:tcPr>
          <w:p w14:paraId="2FBCEF90" w14:textId="7544B40A" w:rsidR="007410C3" w:rsidRPr="005B2AA7" w:rsidRDefault="008F398C"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 xml:space="preserve"> </w:t>
            </w:r>
            <w:r w:rsidR="007410C3" w:rsidRPr="005B2AA7">
              <w:rPr>
                <w:rFonts w:ascii="Book Antiqua" w:eastAsia="Calibri" w:hAnsi="Book Antiqua" w:cs="Times New Roman"/>
                <w:sz w:val="24"/>
                <w:szCs w:val="24"/>
                <w:lang w:val="en-US"/>
              </w:rPr>
              <w:t>Significantly improved</w:t>
            </w:r>
          </w:p>
        </w:tc>
        <w:tc>
          <w:tcPr>
            <w:tcW w:w="1625" w:type="dxa"/>
            <w:tcBorders>
              <w:top w:val="single" w:sz="4" w:space="0" w:color="E7E6E6"/>
              <w:left w:val="nil"/>
              <w:bottom w:val="single" w:sz="4" w:space="0" w:color="auto"/>
              <w:right w:val="nil"/>
            </w:tcBorders>
          </w:tcPr>
          <w:p w14:paraId="7E3F2979"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7/211 (3.3)</w:t>
            </w:r>
          </w:p>
        </w:tc>
        <w:tc>
          <w:tcPr>
            <w:tcW w:w="1625" w:type="dxa"/>
            <w:tcBorders>
              <w:top w:val="single" w:sz="4" w:space="0" w:color="E7E6E6"/>
              <w:left w:val="nil"/>
              <w:bottom w:val="single" w:sz="4" w:space="0" w:color="auto"/>
              <w:right w:val="nil"/>
            </w:tcBorders>
          </w:tcPr>
          <w:p w14:paraId="5826EFB5"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15/187 (8.0)</w:t>
            </w:r>
          </w:p>
        </w:tc>
        <w:tc>
          <w:tcPr>
            <w:tcW w:w="1089" w:type="dxa"/>
            <w:vMerge/>
            <w:tcBorders>
              <w:left w:val="nil"/>
              <w:bottom w:val="single" w:sz="4" w:space="0" w:color="auto"/>
              <w:right w:val="nil"/>
            </w:tcBorders>
            <w:vAlign w:val="center"/>
          </w:tcPr>
          <w:p w14:paraId="68C6CA31" w14:textId="77777777" w:rsidR="007410C3" w:rsidRPr="005B2AA7" w:rsidRDefault="007410C3" w:rsidP="00253009">
            <w:pPr>
              <w:adjustRightInd w:val="0"/>
              <w:snapToGrid w:val="0"/>
              <w:spacing w:line="360" w:lineRule="auto"/>
              <w:jc w:val="both"/>
              <w:rPr>
                <w:rFonts w:ascii="Book Antiqua" w:eastAsia="Calibri" w:hAnsi="Book Antiqua" w:cs="Times New Roman"/>
                <w:sz w:val="24"/>
                <w:szCs w:val="24"/>
                <w:lang w:val="en-US"/>
              </w:rPr>
            </w:pPr>
          </w:p>
        </w:tc>
      </w:tr>
    </w:tbl>
    <w:p w14:paraId="0FC23EB6" w14:textId="0AD5DF19" w:rsidR="00375D78" w:rsidRPr="005B2AA7" w:rsidRDefault="00375D78" w:rsidP="00253009">
      <w:pPr>
        <w:adjustRightInd w:val="0"/>
        <w:snapToGrid w:val="0"/>
        <w:spacing w:line="360" w:lineRule="auto"/>
        <w:jc w:val="both"/>
        <w:rPr>
          <w:rFonts w:ascii="Book Antiqua" w:eastAsia="Calibri" w:hAnsi="Book Antiqua" w:cs="Times New Roman"/>
          <w:lang w:val="en-US"/>
        </w:rPr>
        <w:sectPr w:rsidR="00375D78" w:rsidRPr="005B2AA7" w:rsidSect="00A812CC">
          <w:pgSz w:w="11900" w:h="16840"/>
          <w:pgMar w:top="1440" w:right="1800" w:bottom="1440" w:left="1800" w:header="708" w:footer="708" w:gutter="0"/>
          <w:cols w:space="708"/>
          <w:docGrid w:linePitch="360"/>
        </w:sectPr>
      </w:pPr>
      <w:r w:rsidRPr="005B2AA7">
        <w:rPr>
          <w:rFonts w:ascii="Book Antiqua" w:eastAsia="Calibri" w:hAnsi="Book Antiqua" w:cs="Times New Roman"/>
          <w:lang w:val="en-US"/>
        </w:rPr>
        <w:t>The survey had a hierarchical structure, meaning that only patients who answered to certain items could answer to other following questions. For this reason, the denominator for several questions is different. In some cases, the patient did not answer and this can result in a missing value. We have transparently declared in our tables the denominator we have used to calculate the proportion of patients giving certain answers</w:t>
      </w:r>
      <w:r w:rsidR="00465A47" w:rsidRPr="005B2AA7">
        <w:rPr>
          <w:rFonts w:ascii="Book Antiqua" w:eastAsia="宋体" w:hAnsi="Book Antiqua" w:cs="宋体"/>
          <w:lang w:val="en-US" w:eastAsia="zh-CN"/>
        </w:rPr>
        <w:t xml:space="preserve">; </w:t>
      </w:r>
      <w:r w:rsidRPr="005B2AA7">
        <w:rPr>
          <w:rFonts w:ascii="Book Antiqua" w:eastAsia="Calibri" w:hAnsi="Book Antiqua" w:cs="Times New Roman"/>
          <w:vertAlign w:val="superscript"/>
          <w:lang w:val="en-US"/>
        </w:rPr>
        <w:t>1</w:t>
      </w:r>
      <w:r w:rsidR="002B2BE6" w:rsidRPr="005B2AA7">
        <w:rPr>
          <w:rFonts w:ascii="Book Antiqua" w:eastAsia="Calibri" w:hAnsi="Book Antiqua" w:cs="Times New Roman"/>
          <w:lang w:val="en-US"/>
        </w:rPr>
        <w:t>Fisher’s exact test.</w:t>
      </w:r>
    </w:p>
    <w:tbl>
      <w:tblPr>
        <w:tblStyle w:val="a3"/>
        <w:tblpPr w:leftFromText="180" w:rightFromText="180" w:vertAnchor="text" w:horzAnchor="margin" w:tblpY="743"/>
        <w:tblW w:w="8476" w:type="dxa"/>
        <w:tblLook w:val="04A0" w:firstRow="1" w:lastRow="0" w:firstColumn="1" w:lastColumn="0" w:noHBand="0" w:noVBand="1"/>
      </w:tblPr>
      <w:tblGrid>
        <w:gridCol w:w="4177"/>
        <w:gridCol w:w="1656"/>
        <w:gridCol w:w="1656"/>
        <w:gridCol w:w="987"/>
      </w:tblGrid>
      <w:tr w:rsidR="00465A47" w:rsidRPr="005B2AA7" w14:paraId="4DDC1174" w14:textId="77777777" w:rsidTr="00564AEE">
        <w:trPr>
          <w:trHeight w:val="873"/>
        </w:trPr>
        <w:tc>
          <w:tcPr>
            <w:tcW w:w="4177" w:type="dxa"/>
            <w:tcBorders>
              <w:left w:val="nil"/>
              <w:bottom w:val="single" w:sz="4" w:space="0" w:color="auto"/>
              <w:right w:val="nil"/>
            </w:tcBorders>
          </w:tcPr>
          <w:p w14:paraId="0C5C16E4" w14:textId="77777777" w:rsidR="00465A47" w:rsidRPr="005B2AA7" w:rsidRDefault="00465A47" w:rsidP="00253009">
            <w:pPr>
              <w:adjustRightInd w:val="0"/>
              <w:snapToGrid w:val="0"/>
              <w:spacing w:line="360" w:lineRule="auto"/>
              <w:jc w:val="both"/>
              <w:rPr>
                <w:rFonts w:ascii="Book Antiqua" w:eastAsia="Calibri" w:hAnsi="Book Antiqua" w:cs="Times New Roman"/>
                <w:b/>
                <w:bCs/>
                <w:sz w:val="24"/>
                <w:szCs w:val="24"/>
                <w:lang w:val="en-US"/>
              </w:rPr>
            </w:pPr>
            <w:r w:rsidRPr="005B2AA7">
              <w:rPr>
                <w:rFonts w:ascii="Book Antiqua" w:eastAsia="Calibri" w:hAnsi="Book Antiqua" w:cs="Times New Roman"/>
                <w:b/>
                <w:bCs/>
                <w:sz w:val="24"/>
                <w:szCs w:val="24"/>
                <w:lang w:val="en-US"/>
              </w:rPr>
              <w:lastRenderedPageBreak/>
              <w:t>Questionnaire items</w:t>
            </w:r>
          </w:p>
        </w:tc>
        <w:tc>
          <w:tcPr>
            <w:tcW w:w="1656" w:type="dxa"/>
            <w:tcBorders>
              <w:left w:val="nil"/>
              <w:bottom w:val="single" w:sz="4" w:space="0" w:color="auto"/>
              <w:right w:val="nil"/>
            </w:tcBorders>
          </w:tcPr>
          <w:p w14:paraId="43E6E54C" w14:textId="77777777" w:rsidR="00465A47" w:rsidRPr="005B2AA7" w:rsidRDefault="00465A47" w:rsidP="00253009">
            <w:pPr>
              <w:adjustRightInd w:val="0"/>
              <w:snapToGrid w:val="0"/>
              <w:spacing w:line="360" w:lineRule="auto"/>
              <w:jc w:val="both"/>
              <w:rPr>
                <w:rFonts w:ascii="Book Antiqua" w:eastAsia="Calibri" w:hAnsi="Book Antiqua" w:cs="Times New Roman"/>
                <w:b/>
                <w:bCs/>
                <w:sz w:val="24"/>
                <w:szCs w:val="24"/>
                <w:lang w:val="en-US"/>
              </w:rPr>
            </w:pPr>
            <w:r w:rsidRPr="005B2AA7">
              <w:rPr>
                <w:rFonts w:ascii="Book Antiqua" w:eastAsia="Calibri" w:hAnsi="Book Antiqua" w:cs="Times New Roman"/>
                <w:b/>
                <w:bCs/>
                <w:sz w:val="24"/>
                <w:szCs w:val="24"/>
                <w:lang w:val="en-US"/>
              </w:rPr>
              <w:t>Crohn’s disease</w:t>
            </w:r>
          </w:p>
        </w:tc>
        <w:tc>
          <w:tcPr>
            <w:tcW w:w="1656" w:type="dxa"/>
            <w:tcBorders>
              <w:left w:val="nil"/>
              <w:bottom w:val="single" w:sz="4" w:space="0" w:color="auto"/>
              <w:right w:val="nil"/>
            </w:tcBorders>
          </w:tcPr>
          <w:p w14:paraId="0BF75E7E" w14:textId="77777777" w:rsidR="00465A47" w:rsidRPr="005B2AA7" w:rsidRDefault="00465A47" w:rsidP="00253009">
            <w:pPr>
              <w:adjustRightInd w:val="0"/>
              <w:snapToGrid w:val="0"/>
              <w:spacing w:line="360" w:lineRule="auto"/>
              <w:jc w:val="both"/>
              <w:rPr>
                <w:rFonts w:ascii="Book Antiqua" w:eastAsia="Calibri" w:hAnsi="Book Antiqua" w:cs="Times New Roman"/>
                <w:b/>
                <w:bCs/>
                <w:sz w:val="24"/>
                <w:szCs w:val="24"/>
                <w:lang w:val="en-US"/>
              </w:rPr>
            </w:pPr>
            <w:r w:rsidRPr="005B2AA7">
              <w:rPr>
                <w:rFonts w:ascii="Book Antiqua" w:eastAsia="Calibri" w:hAnsi="Book Antiqua" w:cs="Times New Roman"/>
                <w:b/>
                <w:bCs/>
                <w:sz w:val="24"/>
                <w:szCs w:val="24"/>
                <w:lang w:val="en-US"/>
              </w:rPr>
              <w:t>Ulcerative colitis</w:t>
            </w:r>
          </w:p>
        </w:tc>
        <w:tc>
          <w:tcPr>
            <w:tcW w:w="987" w:type="dxa"/>
            <w:tcBorders>
              <w:left w:val="nil"/>
              <w:bottom w:val="single" w:sz="4" w:space="0" w:color="auto"/>
              <w:right w:val="nil"/>
            </w:tcBorders>
          </w:tcPr>
          <w:p w14:paraId="2BF0BEFF" w14:textId="321CBA5D" w:rsidR="00465A47" w:rsidRPr="005B2AA7" w:rsidRDefault="00465A47" w:rsidP="00253009">
            <w:pPr>
              <w:adjustRightInd w:val="0"/>
              <w:snapToGrid w:val="0"/>
              <w:spacing w:line="360" w:lineRule="auto"/>
              <w:jc w:val="both"/>
              <w:rPr>
                <w:rFonts w:ascii="Book Antiqua" w:eastAsia="Calibri" w:hAnsi="Book Antiqua" w:cs="Times New Roman"/>
                <w:b/>
                <w:bCs/>
                <w:sz w:val="24"/>
                <w:szCs w:val="24"/>
                <w:vertAlign w:val="superscript"/>
                <w:lang w:val="en-US"/>
              </w:rPr>
            </w:pPr>
            <w:r w:rsidRPr="005B2AA7">
              <w:rPr>
                <w:rFonts w:ascii="Book Antiqua" w:eastAsia="Calibri" w:hAnsi="Book Antiqua" w:cs="Times New Roman"/>
                <w:b/>
                <w:bCs/>
                <w:i/>
                <w:iCs/>
                <w:sz w:val="24"/>
                <w:szCs w:val="24"/>
                <w:lang w:val="en-US"/>
              </w:rPr>
              <w:t xml:space="preserve">P </w:t>
            </w:r>
            <w:r w:rsidRPr="005B2AA7">
              <w:rPr>
                <w:rFonts w:ascii="Book Antiqua" w:eastAsia="Calibri" w:hAnsi="Book Antiqua" w:cs="Times New Roman"/>
                <w:b/>
                <w:bCs/>
                <w:sz w:val="24"/>
                <w:szCs w:val="24"/>
                <w:lang w:val="en-US"/>
              </w:rPr>
              <w:t>value</w:t>
            </w:r>
            <w:r w:rsidRPr="005B2AA7">
              <w:rPr>
                <w:rFonts w:ascii="Book Antiqua" w:eastAsia="Calibri" w:hAnsi="Book Antiqua" w:cs="Times New Roman"/>
                <w:b/>
                <w:bCs/>
                <w:sz w:val="24"/>
                <w:szCs w:val="24"/>
                <w:vertAlign w:val="superscript"/>
                <w:lang w:val="en-US"/>
              </w:rPr>
              <w:t>1</w:t>
            </w:r>
          </w:p>
        </w:tc>
      </w:tr>
      <w:tr w:rsidR="00465A47" w:rsidRPr="005B2AA7" w14:paraId="60C6D937" w14:textId="77777777" w:rsidTr="00564AEE">
        <w:trPr>
          <w:trHeight w:val="322"/>
        </w:trPr>
        <w:tc>
          <w:tcPr>
            <w:tcW w:w="4177" w:type="dxa"/>
            <w:tcBorders>
              <w:top w:val="single" w:sz="4" w:space="0" w:color="E7E6E6"/>
              <w:left w:val="nil"/>
              <w:bottom w:val="single" w:sz="4" w:space="0" w:color="E7E6E6"/>
              <w:right w:val="nil"/>
            </w:tcBorders>
            <w:vAlign w:val="bottom"/>
          </w:tcPr>
          <w:p w14:paraId="0E9680A9"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Cigarette smoking</w:t>
            </w:r>
          </w:p>
        </w:tc>
        <w:tc>
          <w:tcPr>
            <w:tcW w:w="1656" w:type="dxa"/>
            <w:tcBorders>
              <w:top w:val="single" w:sz="4" w:space="0" w:color="E7E6E6"/>
              <w:left w:val="nil"/>
              <w:bottom w:val="single" w:sz="4" w:space="0" w:color="E7E6E6"/>
              <w:right w:val="nil"/>
            </w:tcBorders>
          </w:tcPr>
          <w:p w14:paraId="3ED28DFD"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p>
        </w:tc>
        <w:tc>
          <w:tcPr>
            <w:tcW w:w="1656" w:type="dxa"/>
            <w:tcBorders>
              <w:top w:val="single" w:sz="4" w:space="0" w:color="E7E6E6"/>
              <w:left w:val="nil"/>
              <w:bottom w:val="single" w:sz="4" w:space="0" w:color="E7E6E6"/>
              <w:right w:val="nil"/>
            </w:tcBorders>
          </w:tcPr>
          <w:p w14:paraId="2E9DFE66"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p>
        </w:tc>
        <w:tc>
          <w:tcPr>
            <w:tcW w:w="987" w:type="dxa"/>
            <w:tcBorders>
              <w:top w:val="single" w:sz="4" w:space="0" w:color="E7E6E6"/>
              <w:left w:val="nil"/>
              <w:bottom w:val="single" w:sz="4" w:space="0" w:color="E7E6E6"/>
              <w:right w:val="nil"/>
            </w:tcBorders>
            <w:vAlign w:val="center"/>
          </w:tcPr>
          <w:p w14:paraId="7E356093"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p>
        </w:tc>
      </w:tr>
      <w:tr w:rsidR="00465A47" w:rsidRPr="005B2AA7" w14:paraId="07DEDCD6" w14:textId="77777777" w:rsidTr="00564AEE">
        <w:trPr>
          <w:trHeight w:val="322"/>
        </w:trPr>
        <w:tc>
          <w:tcPr>
            <w:tcW w:w="4177" w:type="dxa"/>
            <w:tcBorders>
              <w:top w:val="single" w:sz="4" w:space="0" w:color="E7E6E6"/>
              <w:left w:val="nil"/>
              <w:bottom w:val="single" w:sz="4" w:space="0" w:color="E7E6E6"/>
              <w:right w:val="nil"/>
            </w:tcBorders>
            <w:vAlign w:val="bottom"/>
          </w:tcPr>
          <w:p w14:paraId="47880FE3" w14:textId="2B6E7987" w:rsidR="00465A47" w:rsidRPr="005B2AA7" w:rsidRDefault="00465A47"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Not discussed</w:t>
            </w:r>
          </w:p>
        </w:tc>
        <w:tc>
          <w:tcPr>
            <w:tcW w:w="1656" w:type="dxa"/>
            <w:tcBorders>
              <w:top w:val="single" w:sz="4" w:space="0" w:color="E7E6E6"/>
              <w:left w:val="nil"/>
              <w:bottom w:val="single" w:sz="4" w:space="0" w:color="E7E6E6"/>
              <w:right w:val="nil"/>
            </w:tcBorders>
          </w:tcPr>
          <w:p w14:paraId="49D64970"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89/412 (21.6)</w:t>
            </w:r>
          </w:p>
        </w:tc>
        <w:tc>
          <w:tcPr>
            <w:tcW w:w="1656" w:type="dxa"/>
            <w:tcBorders>
              <w:top w:val="single" w:sz="4" w:space="0" w:color="E7E6E6"/>
              <w:left w:val="nil"/>
              <w:bottom w:val="single" w:sz="4" w:space="0" w:color="E7E6E6"/>
              <w:right w:val="nil"/>
            </w:tcBorders>
          </w:tcPr>
          <w:p w14:paraId="3CCC1C96"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143/321 (44.6)</w:t>
            </w:r>
          </w:p>
        </w:tc>
        <w:tc>
          <w:tcPr>
            <w:tcW w:w="987" w:type="dxa"/>
            <w:vMerge w:val="restart"/>
            <w:tcBorders>
              <w:top w:val="single" w:sz="4" w:space="0" w:color="E7E6E6"/>
              <w:left w:val="nil"/>
              <w:right w:val="nil"/>
            </w:tcBorders>
            <w:vAlign w:val="center"/>
          </w:tcPr>
          <w:p w14:paraId="7D718A98" w14:textId="0DF63AE6"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&lt; 0.001</w:t>
            </w:r>
          </w:p>
        </w:tc>
      </w:tr>
      <w:tr w:rsidR="00465A47" w:rsidRPr="005B2AA7" w14:paraId="71152CF2" w14:textId="77777777" w:rsidTr="00564AEE">
        <w:trPr>
          <w:trHeight w:val="322"/>
        </w:trPr>
        <w:tc>
          <w:tcPr>
            <w:tcW w:w="4177" w:type="dxa"/>
            <w:tcBorders>
              <w:top w:val="single" w:sz="4" w:space="0" w:color="E7E6E6"/>
              <w:left w:val="nil"/>
              <w:bottom w:val="single" w:sz="4" w:space="0" w:color="E7E6E6"/>
              <w:right w:val="nil"/>
            </w:tcBorders>
            <w:vAlign w:val="bottom"/>
          </w:tcPr>
          <w:p w14:paraId="0BCABBB6" w14:textId="4EF51802" w:rsidR="00465A47" w:rsidRPr="005B2AA7" w:rsidRDefault="00465A47"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Detrimental</w:t>
            </w:r>
          </w:p>
        </w:tc>
        <w:tc>
          <w:tcPr>
            <w:tcW w:w="1656" w:type="dxa"/>
            <w:tcBorders>
              <w:top w:val="single" w:sz="4" w:space="0" w:color="E7E6E6"/>
              <w:left w:val="nil"/>
              <w:bottom w:val="single" w:sz="4" w:space="0" w:color="E7E6E6"/>
              <w:right w:val="nil"/>
            </w:tcBorders>
          </w:tcPr>
          <w:p w14:paraId="7B8FF0E8"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286/412 (69.4)</w:t>
            </w:r>
          </w:p>
        </w:tc>
        <w:tc>
          <w:tcPr>
            <w:tcW w:w="1656" w:type="dxa"/>
            <w:tcBorders>
              <w:top w:val="single" w:sz="4" w:space="0" w:color="E7E6E6"/>
              <w:left w:val="nil"/>
              <w:bottom w:val="single" w:sz="4" w:space="0" w:color="E7E6E6"/>
              <w:right w:val="nil"/>
            </w:tcBorders>
          </w:tcPr>
          <w:p w14:paraId="5C19F289"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47/321 (14.6)</w:t>
            </w:r>
          </w:p>
        </w:tc>
        <w:tc>
          <w:tcPr>
            <w:tcW w:w="987" w:type="dxa"/>
            <w:vMerge/>
            <w:tcBorders>
              <w:left w:val="nil"/>
              <w:right w:val="nil"/>
            </w:tcBorders>
            <w:vAlign w:val="center"/>
          </w:tcPr>
          <w:p w14:paraId="6A7A4E27"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p>
        </w:tc>
      </w:tr>
      <w:tr w:rsidR="00465A47" w:rsidRPr="005B2AA7" w14:paraId="634CFFEF" w14:textId="77777777" w:rsidTr="00564AEE">
        <w:trPr>
          <w:trHeight w:val="322"/>
        </w:trPr>
        <w:tc>
          <w:tcPr>
            <w:tcW w:w="4177" w:type="dxa"/>
            <w:tcBorders>
              <w:top w:val="single" w:sz="4" w:space="0" w:color="E7E6E6"/>
              <w:left w:val="nil"/>
              <w:bottom w:val="single" w:sz="4" w:space="0" w:color="E7E6E6"/>
              <w:right w:val="nil"/>
            </w:tcBorders>
            <w:vAlign w:val="bottom"/>
          </w:tcPr>
          <w:p w14:paraId="546A26A4" w14:textId="39D527F2" w:rsidR="00465A47" w:rsidRPr="005B2AA7" w:rsidRDefault="00465A47"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Possibly beneficial</w:t>
            </w:r>
          </w:p>
        </w:tc>
        <w:tc>
          <w:tcPr>
            <w:tcW w:w="1656" w:type="dxa"/>
            <w:tcBorders>
              <w:top w:val="single" w:sz="4" w:space="0" w:color="E7E6E6"/>
              <w:left w:val="nil"/>
              <w:bottom w:val="single" w:sz="4" w:space="0" w:color="E7E6E6"/>
              <w:right w:val="nil"/>
            </w:tcBorders>
          </w:tcPr>
          <w:p w14:paraId="07593C9F"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37/412 (9.0)</w:t>
            </w:r>
          </w:p>
        </w:tc>
        <w:tc>
          <w:tcPr>
            <w:tcW w:w="1656" w:type="dxa"/>
            <w:tcBorders>
              <w:top w:val="single" w:sz="4" w:space="0" w:color="E7E6E6"/>
              <w:left w:val="nil"/>
              <w:bottom w:val="single" w:sz="4" w:space="0" w:color="E7E6E6"/>
              <w:right w:val="nil"/>
            </w:tcBorders>
          </w:tcPr>
          <w:p w14:paraId="0577477A"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131/321 (40.8)</w:t>
            </w:r>
          </w:p>
        </w:tc>
        <w:tc>
          <w:tcPr>
            <w:tcW w:w="987" w:type="dxa"/>
            <w:vMerge/>
            <w:tcBorders>
              <w:left w:val="nil"/>
              <w:bottom w:val="single" w:sz="4" w:space="0" w:color="E7E6E6"/>
              <w:right w:val="nil"/>
            </w:tcBorders>
            <w:vAlign w:val="center"/>
          </w:tcPr>
          <w:p w14:paraId="4BFDD123"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p>
        </w:tc>
      </w:tr>
      <w:tr w:rsidR="00465A47" w:rsidRPr="005B2AA7" w14:paraId="7A4CC77B" w14:textId="77777777" w:rsidTr="00564AEE">
        <w:trPr>
          <w:trHeight w:val="322"/>
        </w:trPr>
        <w:tc>
          <w:tcPr>
            <w:tcW w:w="4177" w:type="dxa"/>
            <w:tcBorders>
              <w:top w:val="single" w:sz="4" w:space="0" w:color="E7E6E6"/>
              <w:left w:val="nil"/>
              <w:bottom w:val="single" w:sz="4" w:space="0" w:color="E7E6E6"/>
              <w:right w:val="nil"/>
            </w:tcBorders>
            <w:vAlign w:val="bottom"/>
          </w:tcPr>
          <w:p w14:paraId="1C0353F6"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Use of alternative smoking products</w:t>
            </w:r>
          </w:p>
        </w:tc>
        <w:tc>
          <w:tcPr>
            <w:tcW w:w="1656" w:type="dxa"/>
            <w:tcBorders>
              <w:top w:val="single" w:sz="4" w:space="0" w:color="E7E6E6"/>
              <w:left w:val="nil"/>
              <w:bottom w:val="single" w:sz="4" w:space="0" w:color="E7E6E6"/>
              <w:right w:val="nil"/>
            </w:tcBorders>
          </w:tcPr>
          <w:p w14:paraId="46B8B991"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p>
        </w:tc>
        <w:tc>
          <w:tcPr>
            <w:tcW w:w="1656" w:type="dxa"/>
            <w:tcBorders>
              <w:top w:val="single" w:sz="4" w:space="0" w:color="E7E6E6"/>
              <w:left w:val="nil"/>
              <w:bottom w:val="single" w:sz="4" w:space="0" w:color="E7E6E6"/>
              <w:right w:val="nil"/>
            </w:tcBorders>
          </w:tcPr>
          <w:p w14:paraId="37B3C82B"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p>
        </w:tc>
        <w:tc>
          <w:tcPr>
            <w:tcW w:w="987" w:type="dxa"/>
            <w:tcBorders>
              <w:top w:val="single" w:sz="4" w:space="0" w:color="E7E6E6"/>
              <w:left w:val="nil"/>
              <w:bottom w:val="single" w:sz="4" w:space="0" w:color="E7E6E6"/>
              <w:right w:val="nil"/>
            </w:tcBorders>
            <w:vAlign w:val="center"/>
          </w:tcPr>
          <w:p w14:paraId="0712E0F5"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p>
        </w:tc>
      </w:tr>
      <w:tr w:rsidR="00465A47" w:rsidRPr="005B2AA7" w14:paraId="7AA452E9" w14:textId="77777777" w:rsidTr="00564AEE">
        <w:trPr>
          <w:trHeight w:val="322"/>
        </w:trPr>
        <w:tc>
          <w:tcPr>
            <w:tcW w:w="4177" w:type="dxa"/>
            <w:tcBorders>
              <w:top w:val="single" w:sz="4" w:space="0" w:color="E7E6E6"/>
              <w:left w:val="nil"/>
              <w:bottom w:val="single" w:sz="4" w:space="0" w:color="E7E6E6"/>
              <w:right w:val="nil"/>
            </w:tcBorders>
            <w:vAlign w:val="bottom"/>
          </w:tcPr>
          <w:p w14:paraId="6E8DA787" w14:textId="250B8A92" w:rsidR="00465A47" w:rsidRPr="005B2AA7" w:rsidRDefault="00465A47"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Not discussed</w:t>
            </w:r>
          </w:p>
        </w:tc>
        <w:tc>
          <w:tcPr>
            <w:tcW w:w="1656" w:type="dxa"/>
            <w:tcBorders>
              <w:top w:val="single" w:sz="4" w:space="0" w:color="E7E6E6"/>
              <w:left w:val="nil"/>
              <w:bottom w:val="single" w:sz="4" w:space="0" w:color="E7E6E6"/>
              <w:right w:val="nil"/>
            </w:tcBorders>
          </w:tcPr>
          <w:p w14:paraId="4B60CAF9"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43/83 (51.8)</w:t>
            </w:r>
          </w:p>
        </w:tc>
        <w:tc>
          <w:tcPr>
            <w:tcW w:w="1656" w:type="dxa"/>
            <w:tcBorders>
              <w:top w:val="single" w:sz="4" w:space="0" w:color="E7E6E6"/>
              <w:left w:val="nil"/>
              <w:bottom w:val="single" w:sz="4" w:space="0" w:color="E7E6E6"/>
              <w:right w:val="nil"/>
            </w:tcBorders>
          </w:tcPr>
          <w:p w14:paraId="5B577FB5"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45/72 (62.5)</w:t>
            </w:r>
          </w:p>
        </w:tc>
        <w:tc>
          <w:tcPr>
            <w:tcW w:w="987" w:type="dxa"/>
            <w:vMerge w:val="restart"/>
            <w:tcBorders>
              <w:top w:val="single" w:sz="4" w:space="0" w:color="E7E6E6"/>
              <w:left w:val="nil"/>
              <w:right w:val="nil"/>
            </w:tcBorders>
            <w:vAlign w:val="center"/>
          </w:tcPr>
          <w:p w14:paraId="46CB2702" w14:textId="3A3E4C8B"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&lt; 0.001</w:t>
            </w:r>
          </w:p>
        </w:tc>
      </w:tr>
      <w:tr w:rsidR="00465A47" w:rsidRPr="005B2AA7" w14:paraId="6C20A88E" w14:textId="77777777" w:rsidTr="00564AEE">
        <w:trPr>
          <w:trHeight w:val="322"/>
        </w:trPr>
        <w:tc>
          <w:tcPr>
            <w:tcW w:w="4177" w:type="dxa"/>
            <w:tcBorders>
              <w:top w:val="single" w:sz="4" w:space="0" w:color="E7E6E6"/>
              <w:left w:val="nil"/>
              <w:bottom w:val="single" w:sz="4" w:space="0" w:color="E7E6E6"/>
              <w:right w:val="nil"/>
            </w:tcBorders>
            <w:vAlign w:val="bottom"/>
          </w:tcPr>
          <w:p w14:paraId="0D0DB706" w14:textId="2F22D7DE" w:rsidR="00465A47" w:rsidRPr="005B2AA7" w:rsidRDefault="00465A47"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Detrimental</w:t>
            </w:r>
          </w:p>
        </w:tc>
        <w:tc>
          <w:tcPr>
            <w:tcW w:w="1656" w:type="dxa"/>
            <w:tcBorders>
              <w:top w:val="single" w:sz="4" w:space="0" w:color="E7E6E6"/>
              <w:left w:val="nil"/>
              <w:bottom w:val="single" w:sz="4" w:space="0" w:color="E7E6E6"/>
              <w:right w:val="nil"/>
            </w:tcBorders>
          </w:tcPr>
          <w:p w14:paraId="623316C0"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31/83 (37.4)</w:t>
            </w:r>
          </w:p>
        </w:tc>
        <w:tc>
          <w:tcPr>
            <w:tcW w:w="1656" w:type="dxa"/>
            <w:tcBorders>
              <w:top w:val="single" w:sz="4" w:space="0" w:color="E7E6E6"/>
              <w:left w:val="nil"/>
              <w:bottom w:val="single" w:sz="4" w:space="0" w:color="E7E6E6"/>
              <w:right w:val="nil"/>
            </w:tcBorders>
          </w:tcPr>
          <w:p w14:paraId="5CFCBF15"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8/72 (11.1)</w:t>
            </w:r>
          </w:p>
        </w:tc>
        <w:tc>
          <w:tcPr>
            <w:tcW w:w="987" w:type="dxa"/>
            <w:vMerge/>
            <w:tcBorders>
              <w:left w:val="nil"/>
              <w:right w:val="nil"/>
            </w:tcBorders>
            <w:vAlign w:val="center"/>
          </w:tcPr>
          <w:p w14:paraId="673B61B7"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p>
        </w:tc>
      </w:tr>
      <w:tr w:rsidR="00465A47" w:rsidRPr="005B2AA7" w14:paraId="7D75F49E" w14:textId="77777777" w:rsidTr="00564AEE">
        <w:trPr>
          <w:trHeight w:val="322"/>
        </w:trPr>
        <w:tc>
          <w:tcPr>
            <w:tcW w:w="4177" w:type="dxa"/>
            <w:tcBorders>
              <w:top w:val="single" w:sz="4" w:space="0" w:color="E7E6E6"/>
              <w:left w:val="nil"/>
              <w:bottom w:val="single" w:sz="4" w:space="0" w:color="auto"/>
              <w:right w:val="nil"/>
            </w:tcBorders>
            <w:vAlign w:val="bottom"/>
          </w:tcPr>
          <w:p w14:paraId="3BEF5230" w14:textId="77956024" w:rsidR="00465A47" w:rsidRPr="005B2AA7" w:rsidRDefault="00465A47" w:rsidP="00253009">
            <w:pPr>
              <w:adjustRightInd w:val="0"/>
              <w:snapToGrid w:val="0"/>
              <w:spacing w:line="360" w:lineRule="auto"/>
              <w:ind w:firstLineChars="50" w:firstLine="120"/>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Possibly beneficial</w:t>
            </w:r>
          </w:p>
        </w:tc>
        <w:tc>
          <w:tcPr>
            <w:tcW w:w="1656" w:type="dxa"/>
            <w:tcBorders>
              <w:top w:val="single" w:sz="4" w:space="0" w:color="E7E6E6"/>
              <w:left w:val="nil"/>
              <w:bottom w:val="single" w:sz="4" w:space="0" w:color="auto"/>
              <w:right w:val="nil"/>
            </w:tcBorders>
          </w:tcPr>
          <w:p w14:paraId="6730C5FD"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9/83 (10.8)</w:t>
            </w:r>
          </w:p>
        </w:tc>
        <w:tc>
          <w:tcPr>
            <w:tcW w:w="1656" w:type="dxa"/>
            <w:tcBorders>
              <w:top w:val="single" w:sz="4" w:space="0" w:color="E7E6E6"/>
              <w:left w:val="nil"/>
              <w:bottom w:val="single" w:sz="4" w:space="0" w:color="auto"/>
              <w:right w:val="nil"/>
            </w:tcBorders>
          </w:tcPr>
          <w:p w14:paraId="552870D9"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r w:rsidRPr="005B2AA7">
              <w:rPr>
                <w:rFonts w:ascii="Book Antiqua" w:eastAsia="Calibri" w:hAnsi="Book Antiqua" w:cs="Times New Roman"/>
                <w:sz w:val="24"/>
                <w:szCs w:val="24"/>
                <w:lang w:val="en-US"/>
              </w:rPr>
              <w:t>19/72 (26.4)</w:t>
            </w:r>
          </w:p>
        </w:tc>
        <w:tc>
          <w:tcPr>
            <w:tcW w:w="987" w:type="dxa"/>
            <w:vMerge/>
            <w:tcBorders>
              <w:left w:val="nil"/>
              <w:bottom w:val="single" w:sz="4" w:space="0" w:color="auto"/>
              <w:right w:val="nil"/>
            </w:tcBorders>
            <w:vAlign w:val="center"/>
          </w:tcPr>
          <w:p w14:paraId="0B7E0AEE" w14:textId="77777777" w:rsidR="00465A47" w:rsidRPr="005B2AA7" w:rsidRDefault="00465A47" w:rsidP="00253009">
            <w:pPr>
              <w:adjustRightInd w:val="0"/>
              <w:snapToGrid w:val="0"/>
              <w:spacing w:line="360" w:lineRule="auto"/>
              <w:jc w:val="both"/>
              <w:rPr>
                <w:rFonts w:ascii="Book Antiqua" w:eastAsia="Calibri" w:hAnsi="Book Antiqua" w:cs="Times New Roman"/>
                <w:sz w:val="24"/>
                <w:szCs w:val="24"/>
                <w:lang w:val="en-US"/>
              </w:rPr>
            </w:pPr>
          </w:p>
        </w:tc>
      </w:tr>
    </w:tbl>
    <w:p w14:paraId="29EC7508" w14:textId="48BDBD87" w:rsidR="00375D78" w:rsidRPr="005B2AA7" w:rsidRDefault="00465A47" w:rsidP="00253009">
      <w:pPr>
        <w:adjustRightInd w:val="0"/>
        <w:snapToGrid w:val="0"/>
        <w:spacing w:line="360" w:lineRule="auto"/>
        <w:jc w:val="both"/>
        <w:rPr>
          <w:rFonts w:ascii="Book Antiqua" w:eastAsia="Calibri" w:hAnsi="Book Antiqua" w:cs="Times New Roman"/>
          <w:b/>
          <w:bCs/>
          <w:lang w:val="en-US"/>
        </w:rPr>
      </w:pPr>
      <w:r w:rsidRPr="005B2AA7">
        <w:rPr>
          <w:rFonts w:ascii="Book Antiqua" w:eastAsia="Calibri" w:hAnsi="Book Antiqua" w:cs="Times New Roman"/>
          <w:b/>
          <w:bCs/>
          <w:lang w:val="en-US"/>
        </w:rPr>
        <w:t xml:space="preserve"> </w:t>
      </w:r>
      <w:r w:rsidR="002B2BE6" w:rsidRPr="005B2AA7">
        <w:rPr>
          <w:rFonts w:ascii="Book Antiqua" w:eastAsia="Calibri" w:hAnsi="Book Antiqua" w:cs="Times New Roman"/>
          <w:b/>
          <w:bCs/>
          <w:lang w:val="en-US"/>
        </w:rPr>
        <w:t>Table 4</w:t>
      </w:r>
      <w:r w:rsidR="00375D78" w:rsidRPr="005B2AA7">
        <w:rPr>
          <w:rFonts w:ascii="Book Antiqua" w:eastAsia="Calibri" w:hAnsi="Book Antiqua" w:cs="Times New Roman"/>
          <w:b/>
          <w:bCs/>
          <w:lang w:val="en-US"/>
        </w:rPr>
        <w:t xml:space="preserve"> Extent of discussing with own physician the effect of smoking on</w:t>
      </w:r>
      <w:r w:rsidR="002B2BE6" w:rsidRPr="005B2AA7">
        <w:rPr>
          <w:rFonts w:ascii="Book Antiqua" w:eastAsia="Calibri" w:hAnsi="Book Antiqua" w:cs="Times New Roman"/>
          <w:b/>
          <w:bCs/>
          <w:lang w:val="en-US"/>
        </w:rPr>
        <w:t xml:space="preserve"> </w:t>
      </w:r>
      <w:r w:rsidR="002B2BE6" w:rsidRPr="005B2AA7">
        <w:rPr>
          <w:rFonts w:ascii="Book Antiqua" w:hAnsi="Book Antiqua" w:cs="Times New Roman"/>
          <w:b/>
          <w:lang w:val="en-US"/>
        </w:rPr>
        <w:t>inflammatory bowel diseases</w:t>
      </w:r>
      <w:r w:rsidR="002B2BE6" w:rsidRPr="005B2AA7">
        <w:rPr>
          <w:rFonts w:ascii="Book Antiqua" w:eastAsia="Calibri" w:hAnsi="Book Antiqua" w:cs="Times New Roman"/>
          <w:b/>
          <w:bCs/>
          <w:lang w:val="en-US"/>
        </w:rPr>
        <w:t xml:space="preserve"> based on type of diagnosis</w:t>
      </w:r>
    </w:p>
    <w:p w14:paraId="40EB47D9" w14:textId="3D460C75" w:rsidR="00C96971" w:rsidRPr="00253009" w:rsidRDefault="00375D78" w:rsidP="00253009">
      <w:pPr>
        <w:adjustRightInd w:val="0"/>
        <w:snapToGrid w:val="0"/>
        <w:spacing w:line="360" w:lineRule="auto"/>
        <w:jc w:val="both"/>
        <w:rPr>
          <w:rFonts w:ascii="Book Antiqua" w:eastAsia="Calibri" w:hAnsi="Book Antiqua" w:cs="Times New Roman"/>
          <w:lang w:val="en-US"/>
        </w:rPr>
      </w:pPr>
      <w:r w:rsidRPr="005B2AA7">
        <w:rPr>
          <w:rFonts w:ascii="Book Antiqua" w:eastAsia="Calibri" w:hAnsi="Book Antiqua" w:cs="Times New Roman"/>
          <w:lang w:val="en-US"/>
        </w:rPr>
        <w:t>The survey had a hierarchical structure, meaning that only patients who answered to certain items could answer to other following questions. For this reason, the denominator for several questions is different. In some cases, the patient did not answer and this can result in a missing value. We have transparently declared in our tables the denominator we have used to calculate the proportion of patients giving certain answers</w:t>
      </w:r>
      <w:r w:rsidR="00465A47" w:rsidRPr="005B2AA7">
        <w:rPr>
          <w:rFonts w:ascii="Book Antiqua" w:eastAsia="Calibri" w:hAnsi="Book Antiqua" w:cs="Times New Roman"/>
          <w:lang w:val="en-US"/>
        </w:rPr>
        <w:t xml:space="preserve">; </w:t>
      </w:r>
      <w:r w:rsidRPr="005B2AA7">
        <w:rPr>
          <w:rFonts w:ascii="Book Antiqua" w:eastAsia="Calibri" w:hAnsi="Book Antiqua" w:cs="Times New Roman"/>
          <w:vertAlign w:val="superscript"/>
          <w:lang w:val="en-US"/>
        </w:rPr>
        <w:t>1</w:t>
      </w:r>
      <w:r w:rsidRPr="005B2AA7">
        <w:rPr>
          <w:rFonts w:ascii="Book Antiqua" w:eastAsia="Calibri" w:hAnsi="Book Antiqua" w:cs="Times New Roman"/>
          <w:lang w:val="en-US"/>
        </w:rPr>
        <w:t>Fisher’s exact test</w:t>
      </w:r>
      <w:r w:rsidR="002B2BE6" w:rsidRPr="005B2AA7">
        <w:rPr>
          <w:rFonts w:ascii="Book Antiqua" w:eastAsia="Calibri" w:hAnsi="Book Antiqua" w:cs="Times New Roman"/>
          <w:lang w:val="en-US"/>
        </w:rPr>
        <w:t>.</w:t>
      </w:r>
      <w:bookmarkStart w:id="37" w:name="_GoBack"/>
      <w:bookmarkEnd w:id="37"/>
    </w:p>
    <w:sectPr w:rsidR="00C96971" w:rsidRPr="00253009" w:rsidSect="00A812C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BDA66" w14:textId="77777777" w:rsidR="0040103D" w:rsidRDefault="0040103D" w:rsidP="00036B36">
      <w:r>
        <w:separator/>
      </w:r>
    </w:p>
  </w:endnote>
  <w:endnote w:type="continuationSeparator" w:id="0">
    <w:p w14:paraId="12ED4123" w14:textId="77777777" w:rsidR="0040103D" w:rsidRDefault="0040103D" w:rsidP="0003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048828"/>
      <w:docPartObj>
        <w:docPartGallery w:val="Page Numbers (Bottom of Page)"/>
        <w:docPartUnique/>
      </w:docPartObj>
    </w:sdtPr>
    <w:sdtEndPr/>
    <w:sdtContent>
      <w:sdt>
        <w:sdtPr>
          <w:id w:val="-1769616900"/>
          <w:docPartObj>
            <w:docPartGallery w:val="Page Numbers (Top of Page)"/>
            <w:docPartUnique/>
          </w:docPartObj>
        </w:sdtPr>
        <w:sdtEndPr/>
        <w:sdtContent>
          <w:p w14:paraId="6AD28B23" w14:textId="25BCEE21" w:rsidR="00290C4F" w:rsidRDefault="00290C4F">
            <w:pPr>
              <w:pStyle w:val="ae"/>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B2AA7">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B2AA7">
              <w:rPr>
                <w:b/>
                <w:bCs/>
                <w:noProof/>
              </w:rPr>
              <w:t>32</w:t>
            </w:r>
            <w:r>
              <w:rPr>
                <w:b/>
                <w:bCs/>
                <w:sz w:val="24"/>
                <w:szCs w:val="24"/>
              </w:rPr>
              <w:fldChar w:fldCharType="end"/>
            </w:r>
          </w:p>
        </w:sdtContent>
      </w:sdt>
    </w:sdtContent>
  </w:sdt>
  <w:p w14:paraId="1ADB313C" w14:textId="77777777" w:rsidR="00290C4F" w:rsidRDefault="00290C4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A8D6A" w14:textId="77777777" w:rsidR="0040103D" w:rsidRDefault="0040103D" w:rsidP="00036B36">
      <w:r>
        <w:separator/>
      </w:r>
    </w:p>
  </w:footnote>
  <w:footnote w:type="continuationSeparator" w:id="0">
    <w:p w14:paraId="3B1E1E8C" w14:textId="77777777" w:rsidR="0040103D" w:rsidRDefault="0040103D" w:rsidP="00036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1986079811"/>
      <w:docPartObj>
        <w:docPartGallery w:val="Page Numbers (Top of Page)"/>
        <w:docPartUnique/>
      </w:docPartObj>
    </w:sdtPr>
    <w:sdtEndPr>
      <w:rPr>
        <w:rStyle w:val="a5"/>
      </w:rPr>
    </w:sdtEndPr>
    <w:sdtContent>
      <w:p w14:paraId="58191770" w14:textId="77777777" w:rsidR="00290C4F" w:rsidRDefault="00290C4F" w:rsidP="00255631">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55A51B32" w14:textId="77777777" w:rsidR="00290C4F" w:rsidRDefault="00290C4F" w:rsidP="00036B36">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8B788" w14:textId="77777777" w:rsidR="00290C4F" w:rsidRDefault="00290C4F" w:rsidP="00B6592C">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05B13"/>
    <w:multiLevelType w:val="multilevel"/>
    <w:tmpl w:val="31E0D06C"/>
    <w:lvl w:ilvl="0">
      <w:start w:val="1"/>
      <w:numFmt w:val="decimal"/>
      <w:pStyle w:val="NormalBullets"/>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BD616A3"/>
    <w:multiLevelType w:val="hybridMultilevel"/>
    <w:tmpl w:val="AF980842"/>
    <w:lvl w:ilvl="0" w:tplc="6F9648AE">
      <w:start w:val="1"/>
      <w:numFmt w:val="decimalZero"/>
      <w:pStyle w:val="Subquestion"/>
      <w:lvlText w:val="[%1]"/>
      <w:lvlJc w:val="left"/>
      <w:pPr>
        <w:ind w:left="1170" w:hanging="360"/>
      </w:pPr>
      <w:rPr>
        <w:rFonts w:cs="Times New Roman"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7016D2"/>
    <w:multiLevelType w:val="hybridMultilevel"/>
    <w:tmpl w:val="DDE42EA4"/>
    <w:lvl w:ilvl="0" w:tplc="AECAF306">
      <w:start w:val="5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0"/>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F6"/>
    <w:rsid w:val="000056A8"/>
    <w:rsid w:val="000073DE"/>
    <w:rsid w:val="0001614D"/>
    <w:rsid w:val="00017235"/>
    <w:rsid w:val="000216CB"/>
    <w:rsid w:val="000224D9"/>
    <w:rsid w:val="00031896"/>
    <w:rsid w:val="00036B36"/>
    <w:rsid w:val="00045E63"/>
    <w:rsid w:val="000578A7"/>
    <w:rsid w:val="00062BF0"/>
    <w:rsid w:val="000718D3"/>
    <w:rsid w:val="00072209"/>
    <w:rsid w:val="000737B4"/>
    <w:rsid w:val="00077DC9"/>
    <w:rsid w:val="00095FC5"/>
    <w:rsid w:val="000A2616"/>
    <w:rsid w:val="000B40FA"/>
    <w:rsid w:val="000C2785"/>
    <w:rsid w:val="000D3DFB"/>
    <w:rsid w:val="000D62CD"/>
    <w:rsid w:val="000D74B4"/>
    <w:rsid w:val="000D7565"/>
    <w:rsid w:val="000E4F36"/>
    <w:rsid w:val="000E788E"/>
    <w:rsid w:val="000F61C4"/>
    <w:rsid w:val="000F6320"/>
    <w:rsid w:val="001063F4"/>
    <w:rsid w:val="00111368"/>
    <w:rsid w:val="00116B47"/>
    <w:rsid w:val="001215BF"/>
    <w:rsid w:val="001216A1"/>
    <w:rsid w:val="00140929"/>
    <w:rsid w:val="00140AEF"/>
    <w:rsid w:val="001449F4"/>
    <w:rsid w:val="001513A4"/>
    <w:rsid w:val="001539FE"/>
    <w:rsid w:val="00154834"/>
    <w:rsid w:val="0017258C"/>
    <w:rsid w:val="00176195"/>
    <w:rsid w:val="00184ED8"/>
    <w:rsid w:val="0018561E"/>
    <w:rsid w:val="00193B99"/>
    <w:rsid w:val="001C4A11"/>
    <w:rsid w:val="001C58B3"/>
    <w:rsid w:val="0022137B"/>
    <w:rsid w:val="002411ED"/>
    <w:rsid w:val="00247F20"/>
    <w:rsid w:val="00253009"/>
    <w:rsid w:val="00255631"/>
    <w:rsid w:val="00261908"/>
    <w:rsid w:val="00262B01"/>
    <w:rsid w:val="002632AE"/>
    <w:rsid w:val="00267F35"/>
    <w:rsid w:val="00273A47"/>
    <w:rsid w:val="0027716D"/>
    <w:rsid w:val="00286275"/>
    <w:rsid w:val="0028657A"/>
    <w:rsid w:val="00290C4F"/>
    <w:rsid w:val="00292675"/>
    <w:rsid w:val="002B2BE6"/>
    <w:rsid w:val="002B3C3C"/>
    <w:rsid w:val="002B689E"/>
    <w:rsid w:val="002C0749"/>
    <w:rsid w:val="002C4AC3"/>
    <w:rsid w:val="002C6594"/>
    <w:rsid w:val="002D03FC"/>
    <w:rsid w:val="002D0AB3"/>
    <w:rsid w:val="002D2B5C"/>
    <w:rsid w:val="002E5A65"/>
    <w:rsid w:val="002F10D5"/>
    <w:rsid w:val="003044FF"/>
    <w:rsid w:val="0030670B"/>
    <w:rsid w:val="00306F24"/>
    <w:rsid w:val="00332048"/>
    <w:rsid w:val="00355551"/>
    <w:rsid w:val="003578D5"/>
    <w:rsid w:val="003638B3"/>
    <w:rsid w:val="00370F1B"/>
    <w:rsid w:val="00371CF6"/>
    <w:rsid w:val="00375D78"/>
    <w:rsid w:val="003767C9"/>
    <w:rsid w:val="00386D81"/>
    <w:rsid w:val="00391534"/>
    <w:rsid w:val="003A3308"/>
    <w:rsid w:val="003A4F3C"/>
    <w:rsid w:val="003A58A9"/>
    <w:rsid w:val="003A6B0E"/>
    <w:rsid w:val="003C0BE6"/>
    <w:rsid w:val="003C1DB8"/>
    <w:rsid w:val="003F4832"/>
    <w:rsid w:val="003F7E76"/>
    <w:rsid w:val="0040103D"/>
    <w:rsid w:val="004056D6"/>
    <w:rsid w:val="00416F05"/>
    <w:rsid w:val="00422B6F"/>
    <w:rsid w:val="0042481F"/>
    <w:rsid w:val="004618D1"/>
    <w:rsid w:val="004645F2"/>
    <w:rsid w:val="00465A47"/>
    <w:rsid w:val="00471E55"/>
    <w:rsid w:val="00482E5B"/>
    <w:rsid w:val="00496004"/>
    <w:rsid w:val="004A21CD"/>
    <w:rsid w:val="004B4F42"/>
    <w:rsid w:val="004C0BE3"/>
    <w:rsid w:val="004F2744"/>
    <w:rsid w:val="005007EA"/>
    <w:rsid w:val="0051080E"/>
    <w:rsid w:val="00515372"/>
    <w:rsid w:val="00515C13"/>
    <w:rsid w:val="005238C6"/>
    <w:rsid w:val="0053574D"/>
    <w:rsid w:val="00541251"/>
    <w:rsid w:val="00556BA4"/>
    <w:rsid w:val="00560B5B"/>
    <w:rsid w:val="00564AEE"/>
    <w:rsid w:val="005A0B0C"/>
    <w:rsid w:val="005B2AA7"/>
    <w:rsid w:val="005D7C60"/>
    <w:rsid w:val="005F44B2"/>
    <w:rsid w:val="00605E02"/>
    <w:rsid w:val="00627848"/>
    <w:rsid w:val="00631E5C"/>
    <w:rsid w:val="00637E06"/>
    <w:rsid w:val="00653FD4"/>
    <w:rsid w:val="00664784"/>
    <w:rsid w:val="00667C85"/>
    <w:rsid w:val="00670F65"/>
    <w:rsid w:val="00690516"/>
    <w:rsid w:val="00691D3C"/>
    <w:rsid w:val="006A56B7"/>
    <w:rsid w:val="006C1414"/>
    <w:rsid w:val="006C4FBC"/>
    <w:rsid w:val="006D6375"/>
    <w:rsid w:val="006E507F"/>
    <w:rsid w:val="006F3C22"/>
    <w:rsid w:val="00707AD7"/>
    <w:rsid w:val="007410C3"/>
    <w:rsid w:val="007435E6"/>
    <w:rsid w:val="00744AAB"/>
    <w:rsid w:val="00761151"/>
    <w:rsid w:val="00782520"/>
    <w:rsid w:val="00792C91"/>
    <w:rsid w:val="007A4543"/>
    <w:rsid w:val="007B4FD5"/>
    <w:rsid w:val="007B725C"/>
    <w:rsid w:val="007E19C3"/>
    <w:rsid w:val="007E5DA6"/>
    <w:rsid w:val="007F1EE8"/>
    <w:rsid w:val="007F67D2"/>
    <w:rsid w:val="007F6FF7"/>
    <w:rsid w:val="007F7846"/>
    <w:rsid w:val="00803385"/>
    <w:rsid w:val="00810434"/>
    <w:rsid w:val="0081625F"/>
    <w:rsid w:val="00833520"/>
    <w:rsid w:val="00860640"/>
    <w:rsid w:val="00885F93"/>
    <w:rsid w:val="00887D49"/>
    <w:rsid w:val="008B0F45"/>
    <w:rsid w:val="008F398C"/>
    <w:rsid w:val="009036F4"/>
    <w:rsid w:val="00907720"/>
    <w:rsid w:val="009146F9"/>
    <w:rsid w:val="009246B3"/>
    <w:rsid w:val="00931896"/>
    <w:rsid w:val="00932A78"/>
    <w:rsid w:val="00933671"/>
    <w:rsid w:val="00935A94"/>
    <w:rsid w:val="00943805"/>
    <w:rsid w:val="00945338"/>
    <w:rsid w:val="0094669C"/>
    <w:rsid w:val="0095091E"/>
    <w:rsid w:val="00953447"/>
    <w:rsid w:val="00953E4D"/>
    <w:rsid w:val="0095552C"/>
    <w:rsid w:val="00956485"/>
    <w:rsid w:val="00977A8B"/>
    <w:rsid w:val="00980D8C"/>
    <w:rsid w:val="009A0F18"/>
    <w:rsid w:val="009D29CB"/>
    <w:rsid w:val="009D5E9E"/>
    <w:rsid w:val="009F5EEB"/>
    <w:rsid w:val="00A04C40"/>
    <w:rsid w:val="00A06451"/>
    <w:rsid w:val="00A2136A"/>
    <w:rsid w:val="00A2169F"/>
    <w:rsid w:val="00A23615"/>
    <w:rsid w:val="00A23903"/>
    <w:rsid w:val="00A35DEB"/>
    <w:rsid w:val="00A57C9E"/>
    <w:rsid w:val="00A648AF"/>
    <w:rsid w:val="00A812CC"/>
    <w:rsid w:val="00A93D13"/>
    <w:rsid w:val="00AA5EB5"/>
    <w:rsid w:val="00AA6524"/>
    <w:rsid w:val="00AB3081"/>
    <w:rsid w:val="00AC3CD5"/>
    <w:rsid w:val="00AC4E89"/>
    <w:rsid w:val="00AD2200"/>
    <w:rsid w:val="00AE1CA2"/>
    <w:rsid w:val="00AE3072"/>
    <w:rsid w:val="00AE5E30"/>
    <w:rsid w:val="00B14BED"/>
    <w:rsid w:val="00B179A3"/>
    <w:rsid w:val="00B20227"/>
    <w:rsid w:val="00B41FD6"/>
    <w:rsid w:val="00B441D9"/>
    <w:rsid w:val="00B6592C"/>
    <w:rsid w:val="00B75F56"/>
    <w:rsid w:val="00B9315E"/>
    <w:rsid w:val="00B96101"/>
    <w:rsid w:val="00B976B8"/>
    <w:rsid w:val="00BC3F5E"/>
    <w:rsid w:val="00BC568F"/>
    <w:rsid w:val="00BC7A2B"/>
    <w:rsid w:val="00C1254B"/>
    <w:rsid w:val="00C12EFF"/>
    <w:rsid w:val="00C132C1"/>
    <w:rsid w:val="00C55D1C"/>
    <w:rsid w:val="00C70A29"/>
    <w:rsid w:val="00C71F41"/>
    <w:rsid w:val="00C72CA3"/>
    <w:rsid w:val="00C77589"/>
    <w:rsid w:val="00C80320"/>
    <w:rsid w:val="00C81E06"/>
    <w:rsid w:val="00C87A20"/>
    <w:rsid w:val="00C96971"/>
    <w:rsid w:val="00CB1056"/>
    <w:rsid w:val="00CC128A"/>
    <w:rsid w:val="00CC274B"/>
    <w:rsid w:val="00CD7E69"/>
    <w:rsid w:val="00CE34C1"/>
    <w:rsid w:val="00CF6E00"/>
    <w:rsid w:val="00CF76E8"/>
    <w:rsid w:val="00D0325A"/>
    <w:rsid w:val="00D067AB"/>
    <w:rsid w:val="00D1006E"/>
    <w:rsid w:val="00D14A8E"/>
    <w:rsid w:val="00D267FF"/>
    <w:rsid w:val="00D316AE"/>
    <w:rsid w:val="00D5478E"/>
    <w:rsid w:val="00D576B9"/>
    <w:rsid w:val="00D71FB9"/>
    <w:rsid w:val="00D82433"/>
    <w:rsid w:val="00D90C13"/>
    <w:rsid w:val="00D93F84"/>
    <w:rsid w:val="00D93FA8"/>
    <w:rsid w:val="00DC5DF5"/>
    <w:rsid w:val="00DD3758"/>
    <w:rsid w:val="00DE7966"/>
    <w:rsid w:val="00DF3B82"/>
    <w:rsid w:val="00E04420"/>
    <w:rsid w:val="00E0718F"/>
    <w:rsid w:val="00E12515"/>
    <w:rsid w:val="00E13FE2"/>
    <w:rsid w:val="00E15B66"/>
    <w:rsid w:val="00E171DD"/>
    <w:rsid w:val="00E3349B"/>
    <w:rsid w:val="00E33D80"/>
    <w:rsid w:val="00E43A1F"/>
    <w:rsid w:val="00E5128F"/>
    <w:rsid w:val="00E55C81"/>
    <w:rsid w:val="00E575BB"/>
    <w:rsid w:val="00E612AE"/>
    <w:rsid w:val="00E703C3"/>
    <w:rsid w:val="00E74509"/>
    <w:rsid w:val="00E766CA"/>
    <w:rsid w:val="00E932E6"/>
    <w:rsid w:val="00E93CF6"/>
    <w:rsid w:val="00EC3B11"/>
    <w:rsid w:val="00EE2C11"/>
    <w:rsid w:val="00EE2D2E"/>
    <w:rsid w:val="00EF264D"/>
    <w:rsid w:val="00EF5518"/>
    <w:rsid w:val="00EF5CB9"/>
    <w:rsid w:val="00F02F5B"/>
    <w:rsid w:val="00F0511C"/>
    <w:rsid w:val="00F067C1"/>
    <w:rsid w:val="00F165FE"/>
    <w:rsid w:val="00F21899"/>
    <w:rsid w:val="00F21C2E"/>
    <w:rsid w:val="00F22C5D"/>
    <w:rsid w:val="00F26621"/>
    <w:rsid w:val="00F30423"/>
    <w:rsid w:val="00F3708D"/>
    <w:rsid w:val="00F42425"/>
    <w:rsid w:val="00F50F77"/>
    <w:rsid w:val="00F562E4"/>
    <w:rsid w:val="00F64EA7"/>
    <w:rsid w:val="00F673EC"/>
    <w:rsid w:val="00F80376"/>
    <w:rsid w:val="00F92A9F"/>
    <w:rsid w:val="00FA21DE"/>
    <w:rsid w:val="00FA289D"/>
    <w:rsid w:val="00FA32EC"/>
    <w:rsid w:val="00FC1A0D"/>
    <w:rsid w:val="00FD520D"/>
    <w:rsid w:val="00FE455A"/>
    <w:rsid w:val="00FE4F0F"/>
    <w:rsid w:val="00FE663B"/>
    <w:rsid w:val="00FF6C5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5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45"/>
  </w:style>
  <w:style w:type="paragraph" w:styleId="1">
    <w:name w:val="heading 1"/>
    <w:basedOn w:val="a"/>
    <w:link w:val="1Char"/>
    <w:uiPriority w:val="9"/>
    <w:qFormat/>
    <w:rsid w:val="009D29CB"/>
    <w:pPr>
      <w:spacing w:before="100" w:beforeAutospacing="1" w:after="100" w:afterAutospacing="1"/>
      <w:outlineLvl w:val="0"/>
    </w:pPr>
    <w:rPr>
      <w:rFonts w:ascii="Times New Roman" w:eastAsia="Times New Roman" w:hAnsi="Times New Roman" w:cs="Times New Roman"/>
      <w:b/>
      <w:bCs/>
      <w:kern w:val="36"/>
      <w:sz w:val="48"/>
      <w:szCs w:val="48"/>
      <w:lang w:val="it-IT" w:eastAsia="it-IT"/>
    </w:rPr>
  </w:style>
  <w:style w:type="paragraph" w:styleId="3">
    <w:name w:val="heading 3"/>
    <w:basedOn w:val="a"/>
    <w:next w:val="a"/>
    <w:link w:val="3Char"/>
    <w:uiPriority w:val="9"/>
    <w:semiHidden/>
    <w:unhideWhenUsed/>
    <w:qFormat/>
    <w:rsid w:val="00FF6C58"/>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B36"/>
    <w:rPr>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36B36"/>
    <w:pPr>
      <w:tabs>
        <w:tab w:val="center" w:pos="4536"/>
        <w:tab w:val="right" w:pos="9072"/>
      </w:tabs>
    </w:pPr>
  </w:style>
  <w:style w:type="character" w:customStyle="1" w:styleId="Char">
    <w:name w:val="页眉 Char"/>
    <w:basedOn w:val="a0"/>
    <w:link w:val="a4"/>
    <w:uiPriority w:val="99"/>
    <w:rsid w:val="00036B36"/>
  </w:style>
  <w:style w:type="character" w:styleId="a5">
    <w:name w:val="page number"/>
    <w:basedOn w:val="a0"/>
    <w:uiPriority w:val="99"/>
    <w:semiHidden/>
    <w:unhideWhenUsed/>
    <w:rsid w:val="00036B36"/>
  </w:style>
  <w:style w:type="paragraph" w:customStyle="1" w:styleId="Bibliografia1">
    <w:name w:val="Bibliografia1"/>
    <w:basedOn w:val="a"/>
    <w:link w:val="BibliographyCar"/>
    <w:rsid w:val="00DD3758"/>
    <w:pPr>
      <w:tabs>
        <w:tab w:val="left" w:pos="500"/>
      </w:tabs>
      <w:ind w:left="504" w:hanging="504"/>
      <w:jc w:val="both"/>
    </w:pPr>
    <w:rPr>
      <w:rFonts w:ascii="Times New Roman" w:hAnsi="Times New Roman" w:cs="Times New Roman"/>
      <w:lang w:val="en-US"/>
    </w:rPr>
  </w:style>
  <w:style w:type="character" w:customStyle="1" w:styleId="BibliographyCar">
    <w:name w:val="Bibliography Car"/>
    <w:basedOn w:val="a0"/>
    <w:link w:val="Bibliografia1"/>
    <w:rsid w:val="00DD3758"/>
    <w:rPr>
      <w:rFonts w:ascii="Times New Roman" w:hAnsi="Times New Roman" w:cs="Times New Roman"/>
      <w:lang w:val="en-US"/>
    </w:rPr>
  </w:style>
  <w:style w:type="character" w:styleId="a6">
    <w:name w:val="annotation reference"/>
    <w:basedOn w:val="a0"/>
    <w:uiPriority w:val="99"/>
    <w:semiHidden/>
    <w:unhideWhenUsed/>
    <w:rsid w:val="00CF76E8"/>
    <w:rPr>
      <w:sz w:val="16"/>
      <w:szCs w:val="16"/>
    </w:rPr>
  </w:style>
  <w:style w:type="paragraph" w:styleId="a7">
    <w:name w:val="annotation text"/>
    <w:basedOn w:val="a"/>
    <w:link w:val="Char0"/>
    <w:uiPriority w:val="99"/>
    <w:semiHidden/>
    <w:unhideWhenUsed/>
    <w:rsid w:val="00CF76E8"/>
    <w:rPr>
      <w:sz w:val="20"/>
      <w:szCs w:val="20"/>
    </w:rPr>
  </w:style>
  <w:style w:type="character" w:customStyle="1" w:styleId="Char0">
    <w:name w:val="批注文字 Char"/>
    <w:basedOn w:val="a0"/>
    <w:link w:val="a7"/>
    <w:uiPriority w:val="99"/>
    <w:semiHidden/>
    <w:rsid w:val="00CF76E8"/>
    <w:rPr>
      <w:sz w:val="20"/>
      <w:szCs w:val="20"/>
    </w:rPr>
  </w:style>
  <w:style w:type="paragraph" w:styleId="a8">
    <w:name w:val="annotation subject"/>
    <w:basedOn w:val="a7"/>
    <w:next w:val="a7"/>
    <w:link w:val="Char1"/>
    <w:uiPriority w:val="99"/>
    <w:semiHidden/>
    <w:unhideWhenUsed/>
    <w:rsid w:val="00CF76E8"/>
    <w:rPr>
      <w:b/>
      <w:bCs/>
    </w:rPr>
  </w:style>
  <w:style w:type="character" w:customStyle="1" w:styleId="Char1">
    <w:name w:val="批注主题 Char"/>
    <w:basedOn w:val="Char0"/>
    <w:link w:val="a8"/>
    <w:uiPriority w:val="99"/>
    <w:semiHidden/>
    <w:rsid w:val="00CF76E8"/>
    <w:rPr>
      <w:b/>
      <w:bCs/>
      <w:sz w:val="20"/>
      <w:szCs w:val="20"/>
    </w:rPr>
  </w:style>
  <w:style w:type="paragraph" w:styleId="a9">
    <w:name w:val="Balloon Text"/>
    <w:basedOn w:val="a"/>
    <w:link w:val="Char2"/>
    <w:uiPriority w:val="99"/>
    <w:semiHidden/>
    <w:unhideWhenUsed/>
    <w:rsid w:val="00CF76E8"/>
    <w:rPr>
      <w:rFonts w:ascii="Times New Roman" w:hAnsi="Times New Roman" w:cs="Times New Roman"/>
      <w:sz w:val="18"/>
      <w:szCs w:val="18"/>
    </w:rPr>
  </w:style>
  <w:style w:type="character" w:customStyle="1" w:styleId="Char2">
    <w:name w:val="批注框文本 Char"/>
    <w:basedOn w:val="a0"/>
    <w:link w:val="a9"/>
    <w:uiPriority w:val="99"/>
    <w:semiHidden/>
    <w:rsid w:val="00CF76E8"/>
    <w:rPr>
      <w:rFonts w:ascii="Times New Roman" w:hAnsi="Times New Roman" w:cs="Times New Roman"/>
      <w:sz w:val="18"/>
      <w:szCs w:val="18"/>
    </w:rPr>
  </w:style>
  <w:style w:type="character" w:customStyle="1" w:styleId="1Char">
    <w:name w:val="标题 1 Char"/>
    <w:basedOn w:val="a0"/>
    <w:link w:val="1"/>
    <w:uiPriority w:val="9"/>
    <w:rsid w:val="009D29CB"/>
    <w:rPr>
      <w:rFonts w:ascii="Times New Roman" w:eastAsia="Times New Roman" w:hAnsi="Times New Roman" w:cs="Times New Roman"/>
      <w:b/>
      <w:bCs/>
      <w:kern w:val="36"/>
      <w:sz w:val="48"/>
      <w:szCs w:val="48"/>
      <w:lang w:val="it-IT" w:eastAsia="it-IT"/>
    </w:rPr>
  </w:style>
  <w:style w:type="character" w:styleId="aa">
    <w:name w:val="Hyperlink"/>
    <w:basedOn w:val="a0"/>
    <w:uiPriority w:val="99"/>
    <w:unhideWhenUsed/>
    <w:rsid w:val="009D29CB"/>
    <w:rPr>
      <w:color w:val="0000FF"/>
      <w:u w:val="single"/>
    </w:rPr>
  </w:style>
  <w:style w:type="character" w:customStyle="1" w:styleId="highlight">
    <w:name w:val="highlight"/>
    <w:basedOn w:val="a0"/>
    <w:rsid w:val="009D29CB"/>
  </w:style>
  <w:style w:type="paragraph" w:styleId="ab">
    <w:name w:val="List Paragraph"/>
    <w:basedOn w:val="a"/>
    <w:uiPriority w:val="34"/>
    <w:qFormat/>
    <w:rsid w:val="0027716D"/>
    <w:pPr>
      <w:ind w:left="720"/>
      <w:contextualSpacing/>
    </w:pPr>
  </w:style>
  <w:style w:type="character" w:styleId="ac">
    <w:name w:val="FollowedHyperlink"/>
    <w:basedOn w:val="a0"/>
    <w:uiPriority w:val="99"/>
    <w:semiHidden/>
    <w:unhideWhenUsed/>
    <w:rsid w:val="007B4FD5"/>
    <w:rPr>
      <w:color w:val="954F72" w:themeColor="followedHyperlink"/>
      <w:u w:val="single"/>
    </w:rPr>
  </w:style>
  <w:style w:type="paragraph" w:customStyle="1" w:styleId="Bibliographie1">
    <w:name w:val="Bibliographie1"/>
    <w:basedOn w:val="a"/>
    <w:link w:val="BibliographyCar1"/>
    <w:rsid w:val="00F92A9F"/>
    <w:pPr>
      <w:tabs>
        <w:tab w:val="left" w:pos="500"/>
      </w:tabs>
      <w:autoSpaceDE w:val="0"/>
      <w:autoSpaceDN w:val="0"/>
      <w:adjustRightInd w:val="0"/>
      <w:spacing w:after="240"/>
      <w:ind w:left="504" w:hanging="504"/>
      <w:jc w:val="both"/>
    </w:pPr>
    <w:rPr>
      <w:rFonts w:ascii="Times New Roman" w:hAnsi="Times New Roman" w:cs="Times New Roman"/>
      <w:color w:val="000000"/>
      <w:lang w:val="en-US"/>
    </w:rPr>
  </w:style>
  <w:style w:type="character" w:customStyle="1" w:styleId="BibliographyCar1">
    <w:name w:val="Bibliography Car1"/>
    <w:basedOn w:val="a0"/>
    <w:link w:val="Bibliographie1"/>
    <w:rsid w:val="00F92A9F"/>
    <w:rPr>
      <w:rFonts w:ascii="Times New Roman" w:hAnsi="Times New Roman" w:cs="Times New Roman"/>
      <w:color w:val="000000"/>
      <w:lang w:val="en-US"/>
    </w:rPr>
  </w:style>
  <w:style w:type="paragraph" w:customStyle="1" w:styleId="SectionDescription">
    <w:name w:val="Section Description"/>
    <w:basedOn w:val="a"/>
    <w:autoRedefine/>
    <w:rsid w:val="00FF6C58"/>
    <w:rPr>
      <w:rFonts w:ascii="Arial" w:eastAsia="Times New Roman" w:hAnsi="Arial" w:cs="Arial"/>
      <w:sz w:val="20"/>
      <w:szCs w:val="20"/>
      <w:lang w:val="en-US"/>
    </w:rPr>
  </w:style>
  <w:style w:type="paragraph" w:customStyle="1" w:styleId="SectionBar">
    <w:name w:val="Section Bar"/>
    <w:basedOn w:val="3"/>
    <w:qFormat/>
    <w:rsid w:val="00FF6C58"/>
    <w:pPr>
      <w:pBdr>
        <w:top w:val="single" w:sz="4" w:space="1" w:color="auto"/>
        <w:left w:val="single" w:sz="4" w:space="4" w:color="auto"/>
        <w:bottom w:val="single" w:sz="4" w:space="1" w:color="auto"/>
        <w:right w:val="single" w:sz="4" w:space="4" w:color="auto"/>
      </w:pBdr>
      <w:shd w:val="pct10" w:color="auto" w:fill="auto"/>
      <w:spacing w:before="200"/>
    </w:pPr>
    <w:rPr>
      <w:rFonts w:ascii="Arial" w:eastAsia="Calibri" w:hAnsi="Arial" w:cs="Times New Roman"/>
      <w:b/>
      <w:bCs/>
      <w:color w:val="auto"/>
      <w:sz w:val="20"/>
      <w:szCs w:val="22"/>
      <w:lang w:val="en-US"/>
    </w:rPr>
  </w:style>
  <w:style w:type="paragraph" w:customStyle="1" w:styleId="QuestionOptions2">
    <w:name w:val="Question Options 2"/>
    <w:basedOn w:val="a"/>
    <w:link w:val="QuestionOptions2Char"/>
    <w:qFormat/>
    <w:rsid w:val="00FF6C58"/>
    <w:rPr>
      <w:rFonts w:ascii="Arial" w:eastAsia="Times New Roman" w:hAnsi="Arial" w:cs="Times New Roman"/>
      <w:sz w:val="20"/>
      <w:szCs w:val="22"/>
      <w:lang w:val="en-US"/>
    </w:rPr>
  </w:style>
  <w:style w:type="paragraph" w:customStyle="1" w:styleId="NormalBullets">
    <w:name w:val="Normal Bullets"/>
    <w:basedOn w:val="a"/>
    <w:autoRedefine/>
    <w:qFormat/>
    <w:rsid w:val="00FF6C58"/>
    <w:pPr>
      <w:numPr>
        <w:numId w:val="26"/>
      </w:numPr>
    </w:pPr>
    <w:rPr>
      <w:rFonts w:cstheme="minorHAnsi"/>
      <w:b/>
      <w:color w:val="44546A" w:themeColor="text2"/>
      <w:sz w:val="18"/>
      <w:szCs w:val="21"/>
      <w:lang w:val="en-US"/>
    </w:rPr>
  </w:style>
  <w:style w:type="paragraph" w:customStyle="1" w:styleId="Subquestion">
    <w:name w:val="Subquestion"/>
    <w:basedOn w:val="QuestionOptions2"/>
    <w:link w:val="SubquestionChar"/>
    <w:qFormat/>
    <w:rsid w:val="00FF6C58"/>
    <w:pPr>
      <w:numPr>
        <w:numId w:val="2"/>
      </w:numPr>
    </w:pPr>
  </w:style>
  <w:style w:type="character" w:customStyle="1" w:styleId="QuestionOptions2Char">
    <w:name w:val="Question Options 2 Char"/>
    <w:basedOn w:val="a0"/>
    <w:link w:val="QuestionOptions2"/>
    <w:rsid w:val="00FF6C58"/>
    <w:rPr>
      <w:rFonts w:ascii="Arial" w:eastAsia="Times New Roman" w:hAnsi="Arial" w:cs="Times New Roman"/>
      <w:sz w:val="20"/>
      <w:szCs w:val="22"/>
      <w:lang w:val="en-US"/>
    </w:rPr>
  </w:style>
  <w:style w:type="character" w:customStyle="1" w:styleId="SubquestionChar">
    <w:name w:val="Subquestion Char"/>
    <w:basedOn w:val="QuestionOptions2Char"/>
    <w:link w:val="Subquestion"/>
    <w:rsid w:val="00FF6C58"/>
    <w:rPr>
      <w:rFonts w:ascii="Arial" w:eastAsia="Times New Roman" w:hAnsi="Arial" w:cs="Times New Roman"/>
      <w:sz w:val="20"/>
      <w:szCs w:val="22"/>
      <w:lang w:val="en-US"/>
    </w:rPr>
  </w:style>
  <w:style w:type="character" w:customStyle="1" w:styleId="3Char">
    <w:name w:val="标题 3 Char"/>
    <w:basedOn w:val="a0"/>
    <w:link w:val="3"/>
    <w:uiPriority w:val="9"/>
    <w:semiHidden/>
    <w:rsid w:val="00FF6C58"/>
    <w:rPr>
      <w:rFonts w:asciiTheme="majorHAnsi" w:eastAsiaTheme="majorEastAsia" w:hAnsiTheme="majorHAnsi" w:cstheme="majorBidi"/>
      <w:color w:val="1F3763" w:themeColor="accent1" w:themeShade="7F"/>
    </w:rPr>
  </w:style>
  <w:style w:type="paragraph" w:styleId="ad">
    <w:name w:val="Revision"/>
    <w:hidden/>
    <w:uiPriority w:val="99"/>
    <w:semiHidden/>
    <w:rsid w:val="00AB3081"/>
  </w:style>
  <w:style w:type="paragraph" w:styleId="ae">
    <w:name w:val="footer"/>
    <w:basedOn w:val="a"/>
    <w:link w:val="Char3"/>
    <w:uiPriority w:val="99"/>
    <w:unhideWhenUsed/>
    <w:rsid w:val="00803385"/>
    <w:pPr>
      <w:tabs>
        <w:tab w:val="center" w:pos="4153"/>
        <w:tab w:val="right" w:pos="8306"/>
      </w:tabs>
      <w:snapToGrid w:val="0"/>
    </w:pPr>
    <w:rPr>
      <w:sz w:val="18"/>
      <w:szCs w:val="18"/>
    </w:rPr>
  </w:style>
  <w:style w:type="character" w:customStyle="1" w:styleId="Char3">
    <w:name w:val="页脚 Char"/>
    <w:basedOn w:val="a0"/>
    <w:link w:val="ae"/>
    <w:uiPriority w:val="99"/>
    <w:rsid w:val="00803385"/>
    <w:rPr>
      <w:sz w:val="18"/>
      <w:szCs w:val="18"/>
    </w:rPr>
  </w:style>
  <w:style w:type="character" w:customStyle="1" w:styleId="10">
    <w:name w:val="未处理的提及1"/>
    <w:basedOn w:val="a0"/>
    <w:uiPriority w:val="99"/>
    <w:semiHidden/>
    <w:unhideWhenUsed/>
    <w:rsid w:val="00AE5E30"/>
    <w:rPr>
      <w:color w:val="605E5C"/>
      <w:shd w:val="clear" w:color="auto" w:fill="E1DFDD"/>
    </w:rPr>
  </w:style>
  <w:style w:type="character" w:customStyle="1" w:styleId="skip">
    <w:name w:val="skip"/>
    <w:basedOn w:val="a0"/>
    <w:rsid w:val="002E5A65"/>
  </w:style>
  <w:style w:type="paragraph" w:styleId="af">
    <w:name w:val="Normal (Web)"/>
    <w:basedOn w:val="a"/>
    <w:uiPriority w:val="99"/>
    <w:semiHidden/>
    <w:unhideWhenUsed/>
    <w:rsid w:val="000F61C4"/>
    <w:pPr>
      <w:spacing w:before="100" w:beforeAutospacing="1" w:after="100" w:afterAutospacing="1"/>
    </w:pPr>
    <w:rPr>
      <w:rFonts w:ascii="宋体" w:eastAsia="宋体" w:hAnsi="宋体" w:cs="宋体"/>
      <w:lang w:val="en-US" w:eastAsia="zh-CN"/>
    </w:rPr>
  </w:style>
  <w:style w:type="character" w:customStyle="1" w:styleId="dxebaseoffice2010blue">
    <w:name w:val="dxebase_office2010blue"/>
    <w:basedOn w:val="a0"/>
    <w:rsid w:val="002F1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45"/>
  </w:style>
  <w:style w:type="paragraph" w:styleId="1">
    <w:name w:val="heading 1"/>
    <w:basedOn w:val="a"/>
    <w:link w:val="1Char"/>
    <w:uiPriority w:val="9"/>
    <w:qFormat/>
    <w:rsid w:val="009D29CB"/>
    <w:pPr>
      <w:spacing w:before="100" w:beforeAutospacing="1" w:after="100" w:afterAutospacing="1"/>
      <w:outlineLvl w:val="0"/>
    </w:pPr>
    <w:rPr>
      <w:rFonts w:ascii="Times New Roman" w:eastAsia="Times New Roman" w:hAnsi="Times New Roman" w:cs="Times New Roman"/>
      <w:b/>
      <w:bCs/>
      <w:kern w:val="36"/>
      <w:sz w:val="48"/>
      <w:szCs w:val="48"/>
      <w:lang w:val="it-IT" w:eastAsia="it-IT"/>
    </w:rPr>
  </w:style>
  <w:style w:type="paragraph" w:styleId="3">
    <w:name w:val="heading 3"/>
    <w:basedOn w:val="a"/>
    <w:next w:val="a"/>
    <w:link w:val="3Char"/>
    <w:uiPriority w:val="9"/>
    <w:semiHidden/>
    <w:unhideWhenUsed/>
    <w:qFormat/>
    <w:rsid w:val="00FF6C58"/>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B36"/>
    <w:rPr>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36B36"/>
    <w:pPr>
      <w:tabs>
        <w:tab w:val="center" w:pos="4536"/>
        <w:tab w:val="right" w:pos="9072"/>
      </w:tabs>
    </w:pPr>
  </w:style>
  <w:style w:type="character" w:customStyle="1" w:styleId="Char">
    <w:name w:val="页眉 Char"/>
    <w:basedOn w:val="a0"/>
    <w:link w:val="a4"/>
    <w:uiPriority w:val="99"/>
    <w:rsid w:val="00036B36"/>
  </w:style>
  <w:style w:type="character" w:styleId="a5">
    <w:name w:val="page number"/>
    <w:basedOn w:val="a0"/>
    <w:uiPriority w:val="99"/>
    <w:semiHidden/>
    <w:unhideWhenUsed/>
    <w:rsid w:val="00036B36"/>
  </w:style>
  <w:style w:type="paragraph" w:customStyle="1" w:styleId="Bibliografia1">
    <w:name w:val="Bibliografia1"/>
    <w:basedOn w:val="a"/>
    <w:link w:val="BibliographyCar"/>
    <w:rsid w:val="00DD3758"/>
    <w:pPr>
      <w:tabs>
        <w:tab w:val="left" w:pos="500"/>
      </w:tabs>
      <w:ind w:left="504" w:hanging="504"/>
      <w:jc w:val="both"/>
    </w:pPr>
    <w:rPr>
      <w:rFonts w:ascii="Times New Roman" w:hAnsi="Times New Roman" w:cs="Times New Roman"/>
      <w:lang w:val="en-US"/>
    </w:rPr>
  </w:style>
  <w:style w:type="character" w:customStyle="1" w:styleId="BibliographyCar">
    <w:name w:val="Bibliography Car"/>
    <w:basedOn w:val="a0"/>
    <w:link w:val="Bibliografia1"/>
    <w:rsid w:val="00DD3758"/>
    <w:rPr>
      <w:rFonts w:ascii="Times New Roman" w:hAnsi="Times New Roman" w:cs="Times New Roman"/>
      <w:lang w:val="en-US"/>
    </w:rPr>
  </w:style>
  <w:style w:type="character" w:styleId="a6">
    <w:name w:val="annotation reference"/>
    <w:basedOn w:val="a0"/>
    <w:uiPriority w:val="99"/>
    <w:semiHidden/>
    <w:unhideWhenUsed/>
    <w:rsid w:val="00CF76E8"/>
    <w:rPr>
      <w:sz w:val="16"/>
      <w:szCs w:val="16"/>
    </w:rPr>
  </w:style>
  <w:style w:type="paragraph" w:styleId="a7">
    <w:name w:val="annotation text"/>
    <w:basedOn w:val="a"/>
    <w:link w:val="Char0"/>
    <w:uiPriority w:val="99"/>
    <w:semiHidden/>
    <w:unhideWhenUsed/>
    <w:rsid w:val="00CF76E8"/>
    <w:rPr>
      <w:sz w:val="20"/>
      <w:szCs w:val="20"/>
    </w:rPr>
  </w:style>
  <w:style w:type="character" w:customStyle="1" w:styleId="Char0">
    <w:name w:val="批注文字 Char"/>
    <w:basedOn w:val="a0"/>
    <w:link w:val="a7"/>
    <w:uiPriority w:val="99"/>
    <w:semiHidden/>
    <w:rsid w:val="00CF76E8"/>
    <w:rPr>
      <w:sz w:val="20"/>
      <w:szCs w:val="20"/>
    </w:rPr>
  </w:style>
  <w:style w:type="paragraph" w:styleId="a8">
    <w:name w:val="annotation subject"/>
    <w:basedOn w:val="a7"/>
    <w:next w:val="a7"/>
    <w:link w:val="Char1"/>
    <w:uiPriority w:val="99"/>
    <w:semiHidden/>
    <w:unhideWhenUsed/>
    <w:rsid w:val="00CF76E8"/>
    <w:rPr>
      <w:b/>
      <w:bCs/>
    </w:rPr>
  </w:style>
  <w:style w:type="character" w:customStyle="1" w:styleId="Char1">
    <w:name w:val="批注主题 Char"/>
    <w:basedOn w:val="Char0"/>
    <w:link w:val="a8"/>
    <w:uiPriority w:val="99"/>
    <w:semiHidden/>
    <w:rsid w:val="00CF76E8"/>
    <w:rPr>
      <w:b/>
      <w:bCs/>
      <w:sz w:val="20"/>
      <w:szCs w:val="20"/>
    </w:rPr>
  </w:style>
  <w:style w:type="paragraph" w:styleId="a9">
    <w:name w:val="Balloon Text"/>
    <w:basedOn w:val="a"/>
    <w:link w:val="Char2"/>
    <w:uiPriority w:val="99"/>
    <w:semiHidden/>
    <w:unhideWhenUsed/>
    <w:rsid w:val="00CF76E8"/>
    <w:rPr>
      <w:rFonts w:ascii="Times New Roman" w:hAnsi="Times New Roman" w:cs="Times New Roman"/>
      <w:sz w:val="18"/>
      <w:szCs w:val="18"/>
    </w:rPr>
  </w:style>
  <w:style w:type="character" w:customStyle="1" w:styleId="Char2">
    <w:name w:val="批注框文本 Char"/>
    <w:basedOn w:val="a0"/>
    <w:link w:val="a9"/>
    <w:uiPriority w:val="99"/>
    <w:semiHidden/>
    <w:rsid w:val="00CF76E8"/>
    <w:rPr>
      <w:rFonts w:ascii="Times New Roman" w:hAnsi="Times New Roman" w:cs="Times New Roman"/>
      <w:sz w:val="18"/>
      <w:szCs w:val="18"/>
    </w:rPr>
  </w:style>
  <w:style w:type="character" w:customStyle="1" w:styleId="1Char">
    <w:name w:val="标题 1 Char"/>
    <w:basedOn w:val="a0"/>
    <w:link w:val="1"/>
    <w:uiPriority w:val="9"/>
    <w:rsid w:val="009D29CB"/>
    <w:rPr>
      <w:rFonts w:ascii="Times New Roman" w:eastAsia="Times New Roman" w:hAnsi="Times New Roman" w:cs="Times New Roman"/>
      <w:b/>
      <w:bCs/>
      <w:kern w:val="36"/>
      <w:sz w:val="48"/>
      <w:szCs w:val="48"/>
      <w:lang w:val="it-IT" w:eastAsia="it-IT"/>
    </w:rPr>
  </w:style>
  <w:style w:type="character" w:styleId="aa">
    <w:name w:val="Hyperlink"/>
    <w:basedOn w:val="a0"/>
    <w:uiPriority w:val="99"/>
    <w:unhideWhenUsed/>
    <w:rsid w:val="009D29CB"/>
    <w:rPr>
      <w:color w:val="0000FF"/>
      <w:u w:val="single"/>
    </w:rPr>
  </w:style>
  <w:style w:type="character" w:customStyle="1" w:styleId="highlight">
    <w:name w:val="highlight"/>
    <w:basedOn w:val="a0"/>
    <w:rsid w:val="009D29CB"/>
  </w:style>
  <w:style w:type="paragraph" w:styleId="ab">
    <w:name w:val="List Paragraph"/>
    <w:basedOn w:val="a"/>
    <w:uiPriority w:val="34"/>
    <w:qFormat/>
    <w:rsid w:val="0027716D"/>
    <w:pPr>
      <w:ind w:left="720"/>
      <w:contextualSpacing/>
    </w:pPr>
  </w:style>
  <w:style w:type="character" w:styleId="ac">
    <w:name w:val="FollowedHyperlink"/>
    <w:basedOn w:val="a0"/>
    <w:uiPriority w:val="99"/>
    <w:semiHidden/>
    <w:unhideWhenUsed/>
    <w:rsid w:val="007B4FD5"/>
    <w:rPr>
      <w:color w:val="954F72" w:themeColor="followedHyperlink"/>
      <w:u w:val="single"/>
    </w:rPr>
  </w:style>
  <w:style w:type="paragraph" w:customStyle="1" w:styleId="Bibliographie1">
    <w:name w:val="Bibliographie1"/>
    <w:basedOn w:val="a"/>
    <w:link w:val="BibliographyCar1"/>
    <w:rsid w:val="00F92A9F"/>
    <w:pPr>
      <w:tabs>
        <w:tab w:val="left" w:pos="500"/>
      </w:tabs>
      <w:autoSpaceDE w:val="0"/>
      <w:autoSpaceDN w:val="0"/>
      <w:adjustRightInd w:val="0"/>
      <w:spacing w:after="240"/>
      <w:ind w:left="504" w:hanging="504"/>
      <w:jc w:val="both"/>
    </w:pPr>
    <w:rPr>
      <w:rFonts w:ascii="Times New Roman" w:hAnsi="Times New Roman" w:cs="Times New Roman"/>
      <w:color w:val="000000"/>
      <w:lang w:val="en-US"/>
    </w:rPr>
  </w:style>
  <w:style w:type="character" w:customStyle="1" w:styleId="BibliographyCar1">
    <w:name w:val="Bibliography Car1"/>
    <w:basedOn w:val="a0"/>
    <w:link w:val="Bibliographie1"/>
    <w:rsid w:val="00F92A9F"/>
    <w:rPr>
      <w:rFonts w:ascii="Times New Roman" w:hAnsi="Times New Roman" w:cs="Times New Roman"/>
      <w:color w:val="000000"/>
      <w:lang w:val="en-US"/>
    </w:rPr>
  </w:style>
  <w:style w:type="paragraph" w:customStyle="1" w:styleId="SectionDescription">
    <w:name w:val="Section Description"/>
    <w:basedOn w:val="a"/>
    <w:autoRedefine/>
    <w:rsid w:val="00FF6C58"/>
    <w:rPr>
      <w:rFonts w:ascii="Arial" w:eastAsia="Times New Roman" w:hAnsi="Arial" w:cs="Arial"/>
      <w:sz w:val="20"/>
      <w:szCs w:val="20"/>
      <w:lang w:val="en-US"/>
    </w:rPr>
  </w:style>
  <w:style w:type="paragraph" w:customStyle="1" w:styleId="SectionBar">
    <w:name w:val="Section Bar"/>
    <w:basedOn w:val="3"/>
    <w:qFormat/>
    <w:rsid w:val="00FF6C58"/>
    <w:pPr>
      <w:pBdr>
        <w:top w:val="single" w:sz="4" w:space="1" w:color="auto"/>
        <w:left w:val="single" w:sz="4" w:space="4" w:color="auto"/>
        <w:bottom w:val="single" w:sz="4" w:space="1" w:color="auto"/>
        <w:right w:val="single" w:sz="4" w:space="4" w:color="auto"/>
      </w:pBdr>
      <w:shd w:val="pct10" w:color="auto" w:fill="auto"/>
      <w:spacing w:before="200"/>
    </w:pPr>
    <w:rPr>
      <w:rFonts w:ascii="Arial" w:eastAsia="Calibri" w:hAnsi="Arial" w:cs="Times New Roman"/>
      <w:b/>
      <w:bCs/>
      <w:color w:val="auto"/>
      <w:sz w:val="20"/>
      <w:szCs w:val="22"/>
      <w:lang w:val="en-US"/>
    </w:rPr>
  </w:style>
  <w:style w:type="paragraph" w:customStyle="1" w:styleId="QuestionOptions2">
    <w:name w:val="Question Options 2"/>
    <w:basedOn w:val="a"/>
    <w:link w:val="QuestionOptions2Char"/>
    <w:qFormat/>
    <w:rsid w:val="00FF6C58"/>
    <w:rPr>
      <w:rFonts w:ascii="Arial" w:eastAsia="Times New Roman" w:hAnsi="Arial" w:cs="Times New Roman"/>
      <w:sz w:val="20"/>
      <w:szCs w:val="22"/>
      <w:lang w:val="en-US"/>
    </w:rPr>
  </w:style>
  <w:style w:type="paragraph" w:customStyle="1" w:styleId="NormalBullets">
    <w:name w:val="Normal Bullets"/>
    <w:basedOn w:val="a"/>
    <w:autoRedefine/>
    <w:qFormat/>
    <w:rsid w:val="00FF6C58"/>
    <w:pPr>
      <w:numPr>
        <w:numId w:val="26"/>
      </w:numPr>
    </w:pPr>
    <w:rPr>
      <w:rFonts w:cstheme="minorHAnsi"/>
      <w:b/>
      <w:color w:val="44546A" w:themeColor="text2"/>
      <w:sz w:val="18"/>
      <w:szCs w:val="21"/>
      <w:lang w:val="en-US"/>
    </w:rPr>
  </w:style>
  <w:style w:type="paragraph" w:customStyle="1" w:styleId="Subquestion">
    <w:name w:val="Subquestion"/>
    <w:basedOn w:val="QuestionOptions2"/>
    <w:link w:val="SubquestionChar"/>
    <w:qFormat/>
    <w:rsid w:val="00FF6C58"/>
    <w:pPr>
      <w:numPr>
        <w:numId w:val="2"/>
      </w:numPr>
    </w:pPr>
  </w:style>
  <w:style w:type="character" w:customStyle="1" w:styleId="QuestionOptions2Char">
    <w:name w:val="Question Options 2 Char"/>
    <w:basedOn w:val="a0"/>
    <w:link w:val="QuestionOptions2"/>
    <w:rsid w:val="00FF6C58"/>
    <w:rPr>
      <w:rFonts w:ascii="Arial" w:eastAsia="Times New Roman" w:hAnsi="Arial" w:cs="Times New Roman"/>
      <w:sz w:val="20"/>
      <w:szCs w:val="22"/>
      <w:lang w:val="en-US"/>
    </w:rPr>
  </w:style>
  <w:style w:type="character" w:customStyle="1" w:styleId="SubquestionChar">
    <w:name w:val="Subquestion Char"/>
    <w:basedOn w:val="QuestionOptions2Char"/>
    <w:link w:val="Subquestion"/>
    <w:rsid w:val="00FF6C58"/>
    <w:rPr>
      <w:rFonts w:ascii="Arial" w:eastAsia="Times New Roman" w:hAnsi="Arial" w:cs="Times New Roman"/>
      <w:sz w:val="20"/>
      <w:szCs w:val="22"/>
      <w:lang w:val="en-US"/>
    </w:rPr>
  </w:style>
  <w:style w:type="character" w:customStyle="1" w:styleId="3Char">
    <w:name w:val="标题 3 Char"/>
    <w:basedOn w:val="a0"/>
    <w:link w:val="3"/>
    <w:uiPriority w:val="9"/>
    <w:semiHidden/>
    <w:rsid w:val="00FF6C58"/>
    <w:rPr>
      <w:rFonts w:asciiTheme="majorHAnsi" w:eastAsiaTheme="majorEastAsia" w:hAnsiTheme="majorHAnsi" w:cstheme="majorBidi"/>
      <w:color w:val="1F3763" w:themeColor="accent1" w:themeShade="7F"/>
    </w:rPr>
  </w:style>
  <w:style w:type="paragraph" w:styleId="ad">
    <w:name w:val="Revision"/>
    <w:hidden/>
    <w:uiPriority w:val="99"/>
    <w:semiHidden/>
    <w:rsid w:val="00AB3081"/>
  </w:style>
  <w:style w:type="paragraph" w:styleId="ae">
    <w:name w:val="footer"/>
    <w:basedOn w:val="a"/>
    <w:link w:val="Char3"/>
    <w:uiPriority w:val="99"/>
    <w:unhideWhenUsed/>
    <w:rsid w:val="00803385"/>
    <w:pPr>
      <w:tabs>
        <w:tab w:val="center" w:pos="4153"/>
        <w:tab w:val="right" w:pos="8306"/>
      </w:tabs>
      <w:snapToGrid w:val="0"/>
    </w:pPr>
    <w:rPr>
      <w:sz w:val="18"/>
      <w:szCs w:val="18"/>
    </w:rPr>
  </w:style>
  <w:style w:type="character" w:customStyle="1" w:styleId="Char3">
    <w:name w:val="页脚 Char"/>
    <w:basedOn w:val="a0"/>
    <w:link w:val="ae"/>
    <w:uiPriority w:val="99"/>
    <w:rsid w:val="00803385"/>
    <w:rPr>
      <w:sz w:val="18"/>
      <w:szCs w:val="18"/>
    </w:rPr>
  </w:style>
  <w:style w:type="character" w:customStyle="1" w:styleId="10">
    <w:name w:val="未处理的提及1"/>
    <w:basedOn w:val="a0"/>
    <w:uiPriority w:val="99"/>
    <w:semiHidden/>
    <w:unhideWhenUsed/>
    <w:rsid w:val="00AE5E30"/>
    <w:rPr>
      <w:color w:val="605E5C"/>
      <w:shd w:val="clear" w:color="auto" w:fill="E1DFDD"/>
    </w:rPr>
  </w:style>
  <w:style w:type="character" w:customStyle="1" w:styleId="skip">
    <w:name w:val="skip"/>
    <w:basedOn w:val="a0"/>
    <w:rsid w:val="002E5A65"/>
  </w:style>
  <w:style w:type="paragraph" w:styleId="af">
    <w:name w:val="Normal (Web)"/>
    <w:basedOn w:val="a"/>
    <w:uiPriority w:val="99"/>
    <w:semiHidden/>
    <w:unhideWhenUsed/>
    <w:rsid w:val="000F61C4"/>
    <w:pPr>
      <w:spacing w:before="100" w:beforeAutospacing="1" w:after="100" w:afterAutospacing="1"/>
    </w:pPr>
    <w:rPr>
      <w:rFonts w:ascii="宋体" w:eastAsia="宋体" w:hAnsi="宋体" w:cs="宋体"/>
      <w:lang w:val="en-US" w:eastAsia="zh-CN"/>
    </w:rPr>
  </w:style>
  <w:style w:type="character" w:customStyle="1" w:styleId="dxebaseoffice2010blue">
    <w:name w:val="dxebase_office2010blue"/>
    <w:basedOn w:val="a0"/>
    <w:rsid w:val="002F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2896">
      <w:bodyDiv w:val="1"/>
      <w:marLeft w:val="0"/>
      <w:marRight w:val="0"/>
      <w:marTop w:val="0"/>
      <w:marBottom w:val="0"/>
      <w:divBdr>
        <w:top w:val="none" w:sz="0" w:space="0" w:color="auto"/>
        <w:left w:val="none" w:sz="0" w:space="0" w:color="auto"/>
        <w:bottom w:val="none" w:sz="0" w:space="0" w:color="auto"/>
        <w:right w:val="none" w:sz="0" w:space="0" w:color="auto"/>
      </w:divBdr>
    </w:div>
    <w:div w:id="520120471">
      <w:bodyDiv w:val="1"/>
      <w:marLeft w:val="0"/>
      <w:marRight w:val="0"/>
      <w:marTop w:val="0"/>
      <w:marBottom w:val="0"/>
      <w:divBdr>
        <w:top w:val="none" w:sz="0" w:space="0" w:color="auto"/>
        <w:left w:val="none" w:sz="0" w:space="0" w:color="auto"/>
        <w:bottom w:val="none" w:sz="0" w:space="0" w:color="auto"/>
        <w:right w:val="none" w:sz="0" w:space="0" w:color="auto"/>
      </w:divBdr>
    </w:div>
    <w:div w:id="649291764">
      <w:bodyDiv w:val="1"/>
      <w:marLeft w:val="0"/>
      <w:marRight w:val="0"/>
      <w:marTop w:val="0"/>
      <w:marBottom w:val="0"/>
      <w:divBdr>
        <w:top w:val="none" w:sz="0" w:space="0" w:color="auto"/>
        <w:left w:val="none" w:sz="0" w:space="0" w:color="auto"/>
        <w:bottom w:val="none" w:sz="0" w:space="0" w:color="auto"/>
        <w:right w:val="none" w:sz="0" w:space="0" w:color="auto"/>
      </w:divBdr>
    </w:div>
    <w:div w:id="761995015">
      <w:bodyDiv w:val="1"/>
      <w:marLeft w:val="0"/>
      <w:marRight w:val="0"/>
      <w:marTop w:val="0"/>
      <w:marBottom w:val="0"/>
      <w:divBdr>
        <w:top w:val="none" w:sz="0" w:space="0" w:color="auto"/>
        <w:left w:val="none" w:sz="0" w:space="0" w:color="auto"/>
        <w:bottom w:val="none" w:sz="0" w:space="0" w:color="auto"/>
        <w:right w:val="none" w:sz="0" w:space="0" w:color="auto"/>
      </w:divBdr>
    </w:div>
    <w:div w:id="980420824">
      <w:bodyDiv w:val="1"/>
      <w:marLeft w:val="0"/>
      <w:marRight w:val="0"/>
      <w:marTop w:val="0"/>
      <w:marBottom w:val="0"/>
      <w:divBdr>
        <w:top w:val="none" w:sz="0" w:space="0" w:color="auto"/>
        <w:left w:val="none" w:sz="0" w:space="0" w:color="auto"/>
        <w:bottom w:val="none" w:sz="0" w:space="0" w:color="auto"/>
        <w:right w:val="none" w:sz="0" w:space="0" w:color="auto"/>
      </w:divBdr>
    </w:div>
    <w:div w:id="1068915359">
      <w:bodyDiv w:val="1"/>
      <w:marLeft w:val="0"/>
      <w:marRight w:val="0"/>
      <w:marTop w:val="0"/>
      <w:marBottom w:val="0"/>
      <w:divBdr>
        <w:top w:val="none" w:sz="0" w:space="0" w:color="auto"/>
        <w:left w:val="none" w:sz="0" w:space="0" w:color="auto"/>
        <w:bottom w:val="none" w:sz="0" w:space="0" w:color="auto"/>
        <w:right w:val="none" w:sz="0" w:space="0" w:color="auto"/>
      </w:divBdr>
      <w:divsChild>
        <w:div w:id="2013220391">
          <w:marLeft w:val="0"/>
          <w:marRight w:val="0"/>
          <w:marTop w:val="0"/>
          <w:marBottom w:val="0"/>
          <w:divBdr>
            <w:top w:val="none" w:sz="0" w:space="0" w:color="auto"/>
            <w:left w:val="none" w:sz="0" w:space="0" w:color="auto"/>
            <w:bottom w:val="none" w:sz="0" w:space="0" w:color="auto"/>
            <w:right w:val="none" w:sz="0" w:space="0" w:color="auto"/>
          </w:divBdr>
          <w:divsChild>
            <w:div w:id="325401721">
              <w:marLeft w:val="0"/>
              <w:marRight w:val="0"/>
              <w:marTop w:val="0"/>
              <w:marBottom w:val="0"/>
              <w:divBdr>
                <w:top w:val="none" w:sz="0" w:space="0" w:color="auto"/>
                <w:left w:val="none" w:sz="0" w:space="0" w:color="auto"/>
                <w:bottom w:val="none" w:sz="0" w:space="0" w:color="auto"/>
                <w:right w:val="none" w:sz="0" w:space="0" w:color="auto"/>
              </w:divBdr>
              <w:divsChild>
                <w:div w:id="523206101">
                  <w:marLeft w:val="0"/>
                  <w:marRight w:val="0"/>
                  <w:marTop w:val="0"/>
                  <w:marBottom w:val="0"/>
                  <w:divBdr>
                    <w:top w:val="none" w:sz="0" w:space="0" w:color="auto"/>
                    <w:left w:val="none" w:sz="0" w:space="0" w:color="auto"/>
                    <w:bottom w:val="none" w:sz="0" w:space="0" w:color="auto"/>
                    <w:right w:val="none" w:sz="0" w:space="0" w:color="auto"/>
                  </w:divBdr>
                  <w:divsChild>
                    <w:div w:id="1453209681">
                      <w:marLeft w:val="0"/>
                      <w:marRight w:val="0"/>
                      <w:marTop w:val="0"/>
                      <w:marBottom w:val="0"/>
                      <w:divBdr>
                        <w:top w:val="none" w:sz="0" w:space="0" w:color="auto"/>
                        <w:left w:val="none" w:sz="0" w:space="0" w:color="auto"/>
                        <w:bottom w:val="none" w:sz="0" w:space="0" w:color="auto"/>
                        <w:right w:val="none" w:sz="0" w:space="0" w:color="auto"/>
                      </w:divBdr>
                      <w:divsChild>
                        <w:div w:id="1254166154">
                          <w:marLeft w:val="0"/>
                          <w:marRight w:val="0"/>
                          <w:marTop w:val="0"/>
                          <w:marBottom w:val="0"/>
                          <w:divBdr>
                            <w:top w:val="none" w:sz="0" w:space="0" w:color="auto"/>
                            <w:left w:val="none" w:sz="0" w:space="0" w:color="auto"/>
                            <w:bottom w:val="none" w:sz="0" w:space="0" w:color="auto"/>
                            <w:right w:val="none" w:sz="0" w:space="0" w:color="auto"/>
                          </w:divBdr>
                          <w:divsChild>
                            <w:div w:id="1408841433">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1838763381">
                                      <w:marLeft w:val="0"/>
                                      <w:marRight w:val="0"/>
                                      <w:marTop w:val="0"/>
                                      <w:marBottom w:val="0"/>
                                      <w:divBdr>
                                        <w:top w:val="none" w:sz="0" w:space="0" w:color="auto"/>
                                        <w:left w:val="none" w:sz="0" w:space="0" w:color="auto"/>
                                        <w:bottom w:val="none" w:sz="0" w:space="0" w:color="auto"/>
                                        <w:right w:val="none" w:sz="0" w:space="0" w:color="auto"/>
                                      </w:divBdr>
                                      <w:divsChild>
                                        <w:div w:id="1907647554">
                                          <w:marLeft w:val="0"/>
                                          <w:marRight w:val="0"/>
                                          <w:marTop w:val="0"/>
                                          <w:marBottom w:val="0"/>
                                          <w:divBdr>
                                            <w:top w:val="none" w:sz="0" w:space="0" w:color="auto"/>
                                            <w:left w:val="none" w:sz="0" w:space="0" w:color="auto"/>
                                            <w:bottom w:val="none" w:sz="0" w:space="0" w:color="auto"/>
                                            <w:right w:val="none" w:sz="0" w:space="0" w:color="auto"/>
                                          </w:divBdr>
                                          <w:divsChild>
                                            <w:div w:id="1281038033">
                                              <w:marLeft w:val="0"/>
                                              <w:marRight w:val="0"/>
                                              <w:marTop w:val="0"/>
                                              <w:marBottom w:val="0"/>
                                              <w:divBdr>
                                                <w:top w:val="none" w:sz="0" w:space="0" w:color="auto"/>
                                                <w:left w:val="none" w:sz="0" w:space="0" w:color="auto"/>
                                                <w:bottom w:val="none" w:sz="0" w:space="0" w:color="auto"/>
                                                <w:right w:val="none" w:sz="0" w:space="0" w:color="auto"/>
                                              </w:divBdr>
                                              <w:divsChild>
                                                <w:div w:id="1890800207">
                                                  <w:marLeft w:val="15"/>
                                                  <w:marRight w:val="15"/>
                                                  <w:marTop w:val="15"/>
                                                  <w:marBottom w:val="15"/>
                                                  <w:divBdr>
                                                    <w:top w:val="single" w:sz="6" w:space="2" w:color="4D90FE"/>
                                                    <w:left w:val="single" w:sz="6" w:space="2" w:color="4D90FE"/>
                                                    <w:bottom w:val="single" w:sz="6" w:space="2" w:color="4D90FE"/>
                                                    <w:right w:val="single" w:sz="6" w:space="0" w:color="4D90FE"/>
                                                  </w:divBdr>
                                                  <w:divsChild>
                                                    <w:div w:id="1183202051">
                                                      <w:marLeft w:val="0"/>
                                                      <w:marRight w:val="0"/>
                                                      <w:marTop w:val="0"/>
                                                      <w:marBottom w:val="0"/>
                                                      <w:divBdr>
                                                        <w:top w:val="none" w:sz="0" w:space="0" w:color="auto"/>
                                                        <w:left w:val="none" w:sz="0" w:space="0" w:color="auto"/>
                                                        <w:bottom w:val="none" w:sz="0" w:space="0" w:color="auto"/>
                                                        <w:right w:val="none" w:sz="0" w:space="0" w:color="auto"/>
                                                      </w:divBdr>
                                                      <w:divsChild>
                                                        <w:div w:id="1197738176">
                                                          <w:marLeft w:val="0"/>
                                                          <w:marRight w:val="0"/>
                                                          <w:marTop w:val="0"/>
                                                          <w:marBottom w:val="0"/>
                                                          <w:divBdr>
                                                            <w:top w:val="none" w:sz="0" w:space="0" w:color="auto"/>
                                                            <w:left w:val="none" w:sz="0" w:space="0" w:color="auto"/>
                                                            <w:bottom w:val="none" w:sz="0" w:space="0" w:color="auto"/>
                                                            <w:right w:val="none" w:sz="0" w:space="0" w:color="auto"/>
                                                          </w:divBdr>
                                                          <w:divsChild>
                                                            <w:div w:id="1703089399">
                                                              <w:marLeft w:val="0"/>
                                                              <w:marRight w:val="0"/>
                                                              <w:marTop w:val="0"/>
                                                              <w:marBottom w:val="0"/>
                                                              <w:divBdr>
                                                                <w:top w:val="none" w:sz="0" w:space="0" w:color="auto"/>
                                                                <w:left w:val="none" w:sz="0" w:space="0" w:color="auto"/>
                                                                <w:bottom w:val="none" w:sz="0" w:space="0" w:color="auto"/>
                                                                <w:right w:val="none" w:sz="0" w:space="0" w:color="auto"/>
                                                              </w:divBdr>
                                                              <w:divsChild>
                                                                <w:div w:id="1009721946">
                                                                  <w:marLeft w:val="0"/>
                                                                  <w:marRight w:val="0"/>
                                                                  <w:marTop w:val="0"/>
                                                                  <w:marBottom w:val="0"/>
                                                                  <w:divBdr>
                                                                    <w:top w:val="none" w:sz="0" w:space="0" w:color="auto"/>
                                                                    <w:left w:val="none" w:sz="0" w:space="0" w:color="auto"/>
                                                                    <w:bottom w:val="none" w:sz="0" w:space="0" w:color="auto"/>
                                                                    <w:right w:val="none" w:sz="0" w:space="0" w:color="auto"/>
                                                                  </w:divBdr>
                                                                  <w:divsChild>
                                                                    <w:div w:id="1594120079">
                                                                      <w:marLeft w:val="0"/>
                                                                      <w:marRight w:val="0"/>
                                                                      <w:marTop w:val="0"/>
                                                                      <w:marBottom w:val="0"/>
                                                                      <w:divBdr>
                                                                        <w:top w:val="none" w:sz="0" w:space="0" w:color="auto"/>
                                                                        <w:left w:val="none" w:sz="0" w:space="0" w:color="auto"/>
                                                                        <w:bottom w:val="none" w:sz="0" w:space="0" w:color="auto"/>
                                                                        <w:right w:val="none" w:sz="0" w:space="0" w:color="auto"/>
                                                                      </w:divBdr>
                                                                      <w:divsChild>
                                                                        <w:div w:id="1413618828">
                                                                          <w:marLeft w:val="0"/>
                                                                          <w:marRight w:val="0"/>
                                                                          <w:marTop w:val="0"/>
                                                                          <w:marBottom w:val="0"/>
                                                                          <w:divBdr>
                                                                            <w:top w:val="none" w:sz="0" w:space="0" w:color="auto"/>
                                                                            <w:left w:val="none" w:sz="0" w:space="0" w:color="auto"/>
                                                                            <w:bottom w:val="none" w:sz="0" w:space="0" w:color="auto"/>
                                                                            <w:right w:val="none" w:sz="0" w:space="0" w:color="auto"/>
                                                                          </w:divBdr>
                                                                          <w:divsChild>
                                                                            <w:div w:id="1393235288">
                                                                              <w:marLeft w:val="0"/>
                                                                              <w:marRight w:val="0"/>
                                                                              <w:marTop w:val="0"/>
                                                                              <w:marBottom w:val="0"/>
                                                                              <w:divBdr>
                                                                                <w:top w:val="none" w:sz="0" w:space="0" w:color="auto"/>
                                                                                <w:left w:val="none" w:sz="0" w:space="0" w:color="auto"/>
                                                                                <w:bottom w:val="none" w:sz="0" w:space="0" w:color="auto"/>
                                                                                <w:right w:val="none" w:sz="0" w:space="0" w:color="auto"/>
                                                                              </w:divBdr>
                                                                              <w:divsChild>
                                                                                <w:div w:id="1996765183">
                                                                                  <w:marLeft w:val="0"/>
                                                                                  <w:marRight w:val="0"/>
                                                                                  <w:marTop w:val="0"/>
                                                                                  <w:marBottom w:val="0"/>
                                                                                  <w:divBdr>
                                                                                    <w:top w:val="none" w:sz="0" w:space="0" w:color="auto"/>
                                                                                    <w:left w:val="none" w:sz="0" w:space="0" w:color="auto"/>
                                                                                    <w:bottom w:val="none" w:sz="0" w:space="0" w:color="auto"/>
                                                                                    <w:right w:val="none" w:sz="0" w:space="0" w:color="auto"/>
                                                                                  </w:divBdr>
                                                                                  <w:divsChild>
                                                                                    <w:div w:id="2136023796">
                                                                                      <w:marLeft w:val="0"/>
                                                                                      <w:marRight w:val="0"/>
                                                                                      <w:marTop w:val="0"/>
                                                                                      <w:marBottom w:val="0"/>
                                                                                      <w:divBdr>
                                                                                        <w:top w:val="none" w:sz="0" w:space="0" w:color="auto"/>
                                                                                        <w:left w:val="none" w:sz="0" w:space="0" w:color="auto"/>
                                                                                        <w:bottom w:val="none" w:sz="0" w:space="0" w:color="auto"/>
                                                                                        <w:right w:val="none" w:sz="0" w:space="0" w:color="auto"/>
                                                                                      </w:divBdr>
                                                                                      <w:divsChild>
                                                                                        <w:div w:id="1346520542">
                                                                                          <w:marLeft w:val="0"/>
                                                                                          <w:marRight w:val="60"/>
                                                                                          <w:marTop w:val="0"/>
                                                                                          <w:marBottom w:val="0"/>
                                                                                          <w:divBdr>
                                                                                            <w:top w:val="none" w:sz="0" w:space="0" w:color="auto"/>
                                                                                            <w:left w:val="none" w:sz="0" w:space="0" w:color="auto"/>
                                                                                            <w:bottom w:val="none" w:sz="0" w:space="0" w:color="auto"/>
                                                                                            <w:right w:val="none" w:sz="0" w:space="0" w:color="auto"/>
                                                                                          </w:divBdr>
                                                                                          <w:divsChild>
                                                                                            <w:div w:id="1379891981">
                                                                                              <w:marLeft w:val="0"/>
                                                                                              <w:marRight w:val="120"/>
                                                                                              <w:marTop w:val="0"/>
                                                                                              <w:marBottom w:val="150"/>
                                                                                              <w:divBdr>
                                                                                                <w:top w:val="single" w:sz="2" w:space="0" w:color="EFEFEF"/>
                                                                                                <w:left w:val="single" w:sz="6" w:space="0" w:color="EFEFEF"/>
                                                                                                <w:bottom w:val="single" w:sz="6" w:space="0" w:color="E2E2E2"/>
                                                                                                <w:right w:val="single" w:sz="6" w:space="0" w:color="EFEFEF"/>
                                                                                              </w:divBdr>
                                                                                              <w:divsChild>
                                                                                                <w:div w:id="1195653233">
                                                                                                  <w:marLeft w:val="0"/>
                                                                                                  <w:marRight w:val="0"/>
                                                                                                  <w:marTop w:val="0"/>
                                                                                                  <w:marBottom w:val="0"/>
                                                                                                  <w:divBdr>
                                                                                                    <w:top w:val="none" w:sz="0" w:space="0" w:color="auto"/>
                                                                                                    <w:left w:val="none" w:sz="0" w:space="0" w:color="auto"/>
                                                                                                    <w:bottom w:val="none" w:sz="0" w:space="0" w:color="auto"/>
                                                                                                    <w:right w:val="none" w:sz="0" w:space="0" w:color="auto"/>
                                                                                                  </w:divBdr>
                                                                                                  <w:divsChild>
                                                                                                    <w:div w:id="2008365145">
                                                                                                      <w:marLeft w:val="0"/>
                                                                                                      <w:marRight w:val="0"/>
                                                                                                      <w:marTop w:val="0"/>
                                                                                                      <w:marBottom w:val="0"/>
                                                                                                      <w:divBdr>
                                                                                                        <w:top w:val="none" w:sz="0" w:space="0" w:color="auto"/>
                                                                                                        <w:left w:val="none" w:sz="0" w:space="0" w:color="auto"/>
                                                                                                        <w:bottom w:val="none" w:sz="0" w:space="0" w:color="auto"/>
                                                                                                        <w:right w:val="none" w:sz="0" w:space="0" w:color="auto"/>
                                                                                                      </w:divBdr>
                                                                                                      <w:divsChild>
                                                                                                        <w:div w:id="1754546854">
                                                                                                          <w:marLeft w:val="0"/>
                                                                                                          <w:marRight w:val="0"/>
                                                                                                          <w:marTop w:val="0"/>
                                                                                                          <w:marBottom w:val="0"/>
                                                                                                          <w:divBdr>
                                                                                                            <w:top w:val="none" w:sz="0" w:space="0" w:color="auto"/>
                                                                                                            <w:left w:val="none" w:sz="0" w:space="0" w:color="auto"/>
                                                                                                            <w:bottom w:val="none" w:sz="0" w:space="0" w:color="auto"/>
                                                                                                            <w:right w:val="none" w:sz="0" w:space="0" w:color="auto"/>
                                                                                                          </w:divBdr>
                                                                                                          <w:divsChild>
                                                                                                            <w:div w:id="911620493">
                                                                                                              <w:marLeft w:val="0"/>
                                                                                                              <w:marRight w:val="0"/>
                                                                                                              <w:marTop w:val="0"/>
                                                                                                              <w:marBottom w:val="0"/>
                                                                                                              <w:divBdr>
                                                                                                                <w:top w:val="none" w:sz="0" w:space="0" w:color="auto"/>
                                                                                                                <w:left w:val="none" w:sz="0" w:space="0" w:color="auto"/>
                                                                                                                <w:bottom w:val="none" w:sz="0" w:space="0" w:color="auto"/>
                                                                                                                <w:right w:val="none" w:sz="0" w:space="0" w:color="auto"/>
                                                                                                              </w:divBdr>
                                                                                                              <w:divsChild>
                                                                                                                <w:div w:id="1930264012">
                                                                                                                  <w:marLeft w:val="0"/>
                                                                                                                  <w:marRight w:val="0"/>
                                                                                                                  <w:marTop w:val="0"/>
                                                                                                                  <w:marBottom w:val="0"/>
                                                                                                                  <w:divBdr>
                                                                                                                    <w:top w:val="none" w:sz="0" w:space="4" w:color="auto"/>
                                                                                                                    <w:left w:val="none" w:sz="0" w:space="0" w:color="auto"/>
                                                                                                                    <w:bottom w:val="none" w:sz="0" w:space="4" w:color="auto"/>
                                                                                                                    <w:right w:val="none" w:sz="0" w:space="0" w:color="auto"/>
                                                                                                                  </w:divBdr>
                                                                                                                  <w:divsChild>
                                                                                                                    <w:div w:id="520049666">
                                                                                                                      <w:marLeft w:val="0"/>
                                                                                                                      <w:marRight w:val="0"/>
                                                                                                                      <w:marTop w:val="0"/>
                                                                                                                      <w:marBottom w:val="0"/>
                                                                                                                      <w:divBdr>
                                                                                                                        <w:top w:val="none" w:sz="0" w:space="0" w:color="auto"/>
                                                                                                                        <w:left w:val="none" w:sz="0" w:space="0" w:color="auto"/>
                                                                                                                        <w:bottom w:val="none" w:sz="0" w:space="0" w:color="auto"/>
                                                                                                                        <w:right w:val="none" w:sz="0" w:space="0" w:color="auto"/>
                                                                                                                      </w:divBdr>
                                                                                                                      <w:divsChild>
                                                                                                                        <w:div w:id="971860837">
                                                                                                                          <w:marLeft w:val="225"/>
                                                                                                                          <w:marRight w:val="225"/>
                                                                                                                          <w:marTop w:val="75"/>
                                                                                                                          <w:marBottom w:val="75"/>
                                                                                                                          <w:divBdr>
                                                                                                                            <w:top w:val="none" w:sz="0" w:space="0" w:color="auto"/>
                                                                                                                            <w:left w:val="none" w:sz="0" w:space="0" w:color="auto"/>
                                                                                                                            <w:bottom w:val="none" w:sz="0" w:space="0" w:color="auto"/>
                                                                                                                            <w:right w:val="none" w:sz="0" w:space="0" w:color="auto"/>
                                                                                                                          </w:divBdr>
                                                                                                                          <w:divsChild>
                                                                                                                            <w:div w:id="835607586">
                                                                                                                              <w:marLeft w:val="0"/>
                                                                                                                              <w:marRight w:val="0"/>
                                                                                                                              <w:marTop w:val="0"/>
                                                                                                                              <w:marBottom w:val="0"/>
                                                                                                                              <w:divBdr>
                                                                                                                                <w:top w:val="single" w:sz="6" w:space="0" w:color="auto"/>
                                                                                                                                <w:left w:val="single" w:sz="6" w:space="0" w:color="auto"/>
                                                                                                                                <w:bottom w:val="single" w:sz="6" w:space="0" w:color="auto"/>
                                                                                                                                <w:right w:val="single" w:sz="6" w:space="0" w:color="auto"/>
                                                                                                                              </w:divBdr>
                                                                                                                              <w:divsChild>
                                                                                                                                <w:div w:id="1974677325">
                                                                                                                                  <w:marLeft w:val="0"/>
                                                                                                                                  <w:marRight w:val="0"/>
                                                                                                                                  <w:marTop w:val="0"/>
                                                                                                                                  <w:marBottom w:val="0"/>
                                                                                                                                  <w:divBdr>
                                                                                                                                    <w:top w:val="none" w:sz="0" w:space="0" w:color="auto"/>
                                                                                                                                    <w:left w:val="none" w:sz="0" w:space="0" w:color="auto"/>
                                                                                                                                    <w:bottom w:val="none" w:sz="0" w:space="0" w:color="auto"/>
                                                                                                                                    <w:right w:val="none" w:sz="0" w:space="0" w:color="auto"/>
                                                                                                                                  </w:divBdr>
                                                                                                                                  <w:divsChild>
                                                                                                                                    <w:div w:id="740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044955">
      <w:bodyDiv w:val="1"/>
      <w:marLeft w:val="0"/>
      <w:marRight w:val="0"/>
      <w:marTop w:val="0"/>
      <w:marBottom w:val="0"/>
      <w:divBdr>
        <w:top w:val="none" w:sz="0" w:space="0" w:color="auto"/>
        <w:left w:val="none" w:sz="0" w:space="0" w:color="auto"/>
        <w:bottom w:val="none" w:sz="0" w:space="0" w:color="auto"/>
        <w:right w:val="none" w:sz="0" w:space="0" w:color="auto"/>
      </w:divBdr>
    </w:div>
    <w:div w:id="1125153845">
      <w:bodyDiv w:val="1"/>
      <w:marLeft w:val="0"/>
      <w:marRight w:val="0"/>
      <w:marTop w:val="0"/>
      <w:marBottom w:val="0"/>
      <w:divBdr>
        <w:top w:val="none" w:sz="0" w:space="0" w:color="auto"/>
        <w:left w:val="none" w:sz="0" w:space="0" w:color="auto"/>
        <w:bottom w:val="none" w:sz="0" w:space="0" w:color="auto"/>
        <w:right w:val="none" w:sz="0" w:space="0" w:color="auto"/>
      </w:divBdr>
    </w:div>
    <w:div w:id="1152410861">
      <w:bodyDiv w:val="1"/>
      <w:marLeft w:val="0"/>
      <w:marRight w:val="0"/>
      <w:marTop w:val="0"/>
      <w:marBottom w:val="0"/>
      <w:divBdr>
        <w:top w:val="none" w:sz="0" w:space="0" w:color="auto"/>
        <w:left w:val="none" w:sz="0" w:space="0" w:color="auto"/>
        <w:bottom w:val="none" w:sz="0" w:space="0" w:color="auto"/>
        <w:right w:val="none" w:sz="0" w:space="0" w:color="auto"/>
      </w:divBdr>
    </w:div>
    <w:div w:id="1254897460">
      <w:bodyDiv w:val="1"/>
      <w:marLeft w:val="0"/>
      <w:marRight w:val="0"/>
      <w:marTop w:val="0"/>
      <w:marBottom w:val="0"/>
      <w:divBdr>
        <w:top w:val="none" w:sz="0" w:space="0" w:color="auto"/>
        <w:left w:val="none" w:sz="0" w:space="0" w:color="auto"/>
        <w:bottom w:val="none" w:sz="0" w:space="0" w:color="auto"/>
        <w:right w:val="none" w:sz="0" w:space="0" w:color="auto"/>
      </w:divBdr>
    </w:div>
    <w:div w:id="1400404401">
      <w:bodyDiv w:val="1"/>
      <w:marLeft w:val="0"/>
      <w:marRight w:val="0"/>
      <w:marTop w:val="0"/>
      <w:marBottom w:val="0"/>
      <w:divBdr>
        <w:top w:val="none" w:sz="0" w:space="0" w:color="auto"/>
        <w:left w:val="none" w:sz="0" w:space="0" w:color="auto"/>
        <w:bottom w:val="none" w:sz="0" w:space="0" w:color="auto"/>
        <w:right w:val="none" w:sz="0" w:space="0" w:color="auto"/>
      </w:divBdr>
    </w:div>
    <w:div w:id="1403525119">
      <w:bodyDiv w:val="1"/>
      <w:marLeft w:val="0"/>
      <w:marRight w:val="0"/>
      <w:marTop w:val="0"/>
      <w:marBottom w:val="0"/>
      <w:divBdr>
        <w:top w:val="none" w:sz="0" w:space="0" w:color="auto"/>
        <w:left w:val="none" w:sz="0" w:space="0" w:color="auto"/>
        <w:bottom w:val="none" w:sz="0" w:space="0" w:color="auto"/>
        <w:right w:val="none" w:sz="0" w:space="0" w:color="auto"/>
      </w:divBdr>
      <w:divsChild>
        <w:div w:id="33308268">
          <w:marLeft w:val="0"/>
          <w:marRight w:val="0"/>
          <w:marTop w:val="0"/>
          <w:marBottom w:val="0"/>
          <w:divBdr>
            <w:top w:val="none" w:sz="0" w:space="0" w:color="auto"/>
            <w:left w:val="none" w:sz="0" w:space="0" w:color="auto"/>
            <w:bottom w:val="none" w:sz="0" w:space="0" w:color="auto"/>
            <w:right w:val="none" w:sz="0" w:space="0" w:color="auto"/>
          </w:divBdr>
          <w:divsChild>
            <w:div w:id="180244746">
              <w:marLeft w:val="0"/>
              <w:marRight w:val="0"/>
              <w:marTop w:val="0"/>
              <w:marBottom w:val="0"/>
              <w:divBdr>
                <w:top w:val="none" w:sz="0" w:space="0" w:color="auto"/>
                <w:left w:val="none" w:sz="0" w:space="0" w:color="auto"/>
                <w:bottom w:val="none" w:sz="0" w:space="0" w:color="auto"/>
                <w:right w:val="none" w:sz="0" w:space="0" w:color="auto"/>
              </w:divBdr>
              <w:divsChild>
                <w:div w:id="78791828">
                  <w:marLeft w:val="0"/>
                  <w:marRight w:val="0"/>
                  <w:marTop w:val="0"/>
                  <w:marBottom w:val="0"/>
                  <w:divBdr>
                    <w:top w:val="none" w:sz="0" w:space="0" w:color="auto"/>
                    <w:left w:val="none" w:sz="0" w:space="0" w:color="auto"/>
                    <w:bottom w:val="none" w:sz="0" w:space="0" w:color="auto"/>
                    <w:right w:val="none" w:sz="0" w:space="0" w:color="auto"/>
                  </w:divBdr>
                  <w:divsChild>
                    <w:div w:id="1661350789">
                      <w:marLeft w:val="0"/>
                      <w:marRight w:val="0"/>
                      <w:marTop w:val="0"/>
                      <w:marBottom w:val="0"/>
                      <w:divBdr>
                        <w:top w:val="none" w:sz="0" w:space="0" w:color="auto"/>
                        <w:left w:val="none" w:sz="0" w:space="0" w:color="auto"/>
                        <w:bottom w:val="none" w:sz="0" w:space="0" w:color="auto"/>
                        <w:right w:val="none" w:sz="0" w:space="0" w:color="auto"/>
                      </w:divBdr>
                      <w:divsChild>
                        <w:div w:id="5636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942525">
      <w:bodyDiv w:val="1"/>
      <w:marLeft w:val="0"/>
      <w:marRight w:val="0"/>
      <w:marTop w:val="0"/>
      <w:marBottom w:val="0"/>
      <w:divBdr>
        <w:top w:val="none" w:sz="0" w:space="0" w:color="auto"/>
        <w:left w:val="none" w:sz="0" w:space="0" w:color="auto"/>
        <w:bottom w:val="none" w:sz="0" w:space="0" w:color="auto"/>
        <w:right w:val="none" w:sz="0" w:space="0" w:color="auto"/>
      </w:divBdr>
    </w:div>
    <w:div w:id="1578053540">
      <w:bodyDiv w:val="1"/>
      <w:marLeft w:val="0"/>
      <w:marRight w:val="0"/>
      <w:marTop w:val="0"/>
      <w:marBottom w:val="0"/>
      <w:divBdr>
        <w:top w:val="none" w:sz="0" w:space="0" w:color="auto"/>
        <w:left w:val="none" w:sz="0" w:space="0" w:color="auto"/>
        <w:bottom w:val="none" w:sz="0" w:space="0" w:color="auto"/>
        <w:right w:val="none" w:sz="0" w:space="0" w:color="auto"/>
      </w:divBdr>
    </w:div>
    <w:div w:id="1589533267">
      <w:bodyDiv w:val="1"/>
      <w:marLeft w:val="0"/>
      <w:marRight w:val="0"/>
      <w:marTop w:val="0"/>
      <w:marBottom w:val="0"/>
      <w:divBdr>
        <w:top w:val="none" w:sz="0" w:space="0" w:color="auto"/>
        <w:left w:val="none" w:sz="0" w:space="0" w:color="auto"/>
        <w:bottom w:val="none" w:sz="0" w:space="0" w:color="auto"/>
        <w:right w:val="none" w:sz="0" w:space="0" w:color="auto"/>
      </w:divBdr>
    </w:div>
    <w:div w:id="1693997921">
      <w:bodyDiv w:val="1"/>
      <w:marLeft w:val="0"/>
      <w:marRight w:val="0"/>
      <w:marTop w:val="0"/>
      <w:marBottom w:val="0"/>
      <w:divBdr>
        <w:top w:val="none" w:sz="0" w:space="0" w:color="auto"/>
        <w:left w:val="none" w:sz="0" w:space="0" w:color="auto"/>
        <w:bottom w:val="none" w:sz="0" w:space="0" w:color="auto"/>
        <w:right w:val="none" w:sz="0" w:space="0" w:color="auto"/>
      </w:divBdr>
    </w:div>
    <w:div w:id="1808886873">
      <w:bodyDiv w:val="1"/>
      <w:marLeft w:val="0"/>
      <w:marRight w:val="0"/>
      <w:marTop w:val="0"/>
      <w:marBottom w:val="0"/>
      <w:divBdr>
        <w:top w:val="none" w:sz="0" w:space="0" w:color="auto"/>
        <w:left w:val="none" w:sz="0" w:space="0" w:color="auto"/>
        <w:bottom w:val="none" w:sz="0" w:space="0" w:color="auto"/>
        <w:right w:val="none" w:sz="0" w:space="0" w:color="auto"/>
      </w:divBdr>
    </w:div>
    <w:div w:id="1981223292">
      <w:bodyDiv w:val="1"/>
      <w:marLeft w:val="0"/>
      <w:marRight w:val="0"/>
      <w:marTop w:val="0"/>
      <w:marBottom w:val="0"/>
      <w:divBdr>
        <w:top w:val="none" w:sz="0" w:space="0" w:color="auto"/>
        <w:left w:val="none" w:sz="0" w:space="0" w:color="auto"/>
        <w:bottom w:val="none" w:sz="0" w:space="0" w:color="auto"/>
        <w:right w:val="none" w:sz="0" w:space="0" w:color="auto"/>
      </w:divBdr>
    </w:div>
    <w:div w:id="20970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creativecommons.org/licenses/by-nc/4.0/" TargetMode="External"/><Relationship Id="rId10"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mailto:catherine@leberre.org"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92D6-177C-47BD-A9B5-646BA534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30687</Words>
  <Characters>174918</Characters>
  <Application>Microsoft Office Word</Application>
  <DocSecurity>0</DocSecurity>
  <Lines>1457</Lines>
  <Paragraphs>410</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205195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 Berre</dc:creator>
  <cp:lastModifiedBy>Lenovo</cp:lastModifiedBy>
  <cp:revision>2</cp:revision>
  <dcterms:created xsi:type="dcterms:W3CDTF">2020-08-06T08:39:00Z</dcterms:created>
  <dcterms:modified xsi:type="dcterms:W3CDTF">2020-08-06T08:39:00Z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id="gjKt5IBs"/&gt;&lt;style id="http://www.zotero.org/styles/world-journal-of-gastroenterology" hasBibliography="1" bibliographyStyleHasBeenSet="1"/&gt;&lt;prefs&gt;&lt;pref name="fieldType" value="Field"/&gt;&lt;pref name=</vt:lpwstr>
  </property>
  <property fmtid="{D5CDD505-2E9C-101B-9397-08002B2CF9AE}" pid="3" name="ZOTERO_PREF_2">
    <vt:lpwstr>"dontAskDelayCitationUpdates" value="true"/&gt;&lt;/prefs&gt;&lt;/data&gt;</vt:lpwstr>
  </property>
</Properties>
</file>