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69C3" w14:textId="77777777" w:rsidR="00A77B3E" w:rsidRDefault="005510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CB62925" w14:textId="77777777" w:rsidR="00A77B3E" w:rsidRDefault="005510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56390</w:t>
      </w:r>
    </w:p>
    <w:p w14:paraId="435538F9" w14:textId="77777777" w:rsidR="00A77B3E" w:rsidRDefault="005510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7777BB4" w14:textId="77777777" w:rsidR="00A77B3E" w:rsidRDefault="00A77B3E">
      <w:pPr>
        <w:spacing w:line="360" w:lineRule="auto"/>
        <w:jc w:val="both"/>
      </w:pPr>
    </w:p>
    <w:p w14:paraId="7DD17AA9" w14:textId="77777777" w:rsidR="00A77B3E" w:rsidRDefault="0055108A">
      <w:pPr>
        <w:spacing w:line="360" w:lineRule="auto"/>
        <w:jc w:val="both"/>
      </w:pPr>
      <w:r>
        <w:rPr>
          <w:rFonts w:ascii="Book Antiqua" w:eastAsia="Book Antiqua" w:hAnsi="Book Antiqua" w:cs="Book Antiqua"/>
          <w:b/>
          <w:i/>
          <w:color w:val="000000"/>
        </w:rPr>
        <w:t>Observational Study</w:t>
      </w:r>
    </w:p>
    <w:p w14:paraId="685B902A" w14:textId="77777777" w:rsidR="001E2481" w:rsidRPr="001E2481" w:rsidRDefault="003C3977">
      <w:pPr>
        <w:spacing w:line="360" w:lineRule="auto"/>
        <w:jc w:val="both"/>
        <w:rPr>
          <w:rFonts w:ascii="Book Antiqua" w:hAnsi="Book Antiqua" w:cs="Book Antiqua"/>
          <w:b/>
          <w:bCs/>
          <w:color w:val="000000"/>
          <w:szCs w:val="32"/>
          <w:lang w:eastAsia="zh-CN"/>
        </w:rPr>
      </w:pPr>
      <w:bookmarkStart w:id="0" w:name="OLE_LINK22"/>
      <w:bookmarkStart w:id="1" w:name="OLE_LINK23"/>
      <w:r>
        <w:rPr>
          <w:rFonts w:ascii="Book Antiqua" w:eastAsia="Book Antiqua" w:hAnsi="Book Antiqua" w:cs="Book Antiqua"/>
          <w:b/>
          <w:bCs/>
          <w:color w:val="000000"/>
          <w:szCs w:val="32"/>
        </w:rPr>
        <w:t xml:space="preserve">Defining the </w:t>
      </w:r>
      <w:r w:rsidR="0055108A">
        <w:rPr>
          <w:rFonts w:ascii="Book Antiqua" w:eastAsia="Book Antiqua" w:hAnsi="Book Antiqua" w:cs="Book Antiqua"/>
          <w:b/>
          <w:bCs/>
          <w:color w:val="000000"/>
          <w:szCs w:val="32"/>
        </w:rPr>
        <w:t xml:space="preserve">advantages and </w:t>
      </w:r>
      <w:r>
        <w:rPr>
          <w:rFonts w:ascii="Book Antiqua" w:eastAsia="Book Antiqua" w:hAnsi="Book Antiqua" w:cs="Book Antiqua"/>
          <w:b/>
          <w:bCs/>
          <w:color w:val="000000"/>
          <w:szCs w:val="32"/>
        </w:rPr>
        <w:t xml:space="preserve">exposing the </w:t>
      </w:r>
      <w:r w:rsidR="0055108A">
        <w:rPr>
          <w:rFonts w:ascii="Book Antiqua" w:eastAsia="Book Antiqua" w:hAnsi="Book Antiqua" w:cs="Book Antiqua"/>
          <w:b/>
          <w:bCs/>
          <w:color w:val="000000"/>
          <w:szCs w:val="32"/>
        </w:rPr>
        <w:t xml:space="preserve">limitations of endoscopic variceal ligation in controlling acute bleeding and achieving </w:t>
      </w:r>
      <w:r w:rsidR="0055108A" w:rsidRPr="001E2481">
        <w:rPr>
          <w:rFonts w:ascii="Book Antiqua" w:eastAsia="Book Antiqua" w:hAnsi="Book Antiqua" w:cs="Book Antiqua"/>
          <w:b/>
          <w:bCs/>
          <w:iCs/>
          <w:color w:val="000000"/>
          <w:szCs w:val="32"/>
        </w:rPr>
        <w:t>complete</w:t>
      </w:r>
      <w:r w:rsidR="0055108A">
        <w:rPr>
          <w:rFonts w:ascii="Book Antiqua" w:eastAsia="Book Antiqua" w:hAnsi="Book Antiqua" w:cs="Book Antiqua"/>
          <w:b/>
          <w:bCs/>
          <w:color w:val="000000"/>
          <w:szCs w:val="32"/>
        </w:rPr>
        <w:t xml:space="preserve"> variceal eradication</w:t>
      </w:r>
    </w:p>
    <w:p w14:paraId="1BB69552" w14:textId="77777777" w:rsidR="001E2481" w:rsidRDefault="001E2481">
      <w:pPr>
        <w:spacing w:line="360" w:lineRule="auto"/>
        <w:jc w:val="both"/>
        <w:rPr>
          <w:rFonts w:ascii="Book Antiqua" w:hAnsi="Book Antiqua" w:cs="Book Antiqua"/>
          <w:b/>
          <w:bCs/>
          <w:color w:val="000000"/>
          <w:szCs w:val="32"/>
          <w:lang w:eastAsia="zh-CN"/>
        </w:rPr>
      </w:pPr>
    </w:p>
    <w:bookmarkEnd w:id="0"/>
    <w:bookmarkEnd w:id="1"/>
    <w:p w14:paraId="468B1A25" w14:textId="77777777" w:rsidR="00A77B3E" w:rsidRDefault="00AD2999">
      <w:pPr>
        <w:spacing w:line="360" w:lineRule="auto"/>
        <w:jc w:val="both"/>
      </w:pPr>
      <w:r>
        <w:rPr>
          <w:rFonts w:ascii="Book Antiqua" w:eastAsia="Book Antiqua" w:hAnsi="Book Antiqua" w:cs="Book Antiqua"/>
          <w:color w:val="000000"/>
        </w:rPr>
        <w:t xml:space="preserve">Krige </w:t>
      </w:r>
      <w:r>
        <w:rPr>
          <w:rFonts w:ascii="Book Antiqua" w:hAnsi="Book Antiqua" w:cs="Book Antiqua" w:hint="eastAsia"/>
          <w:color w:val="000000"/>
          <w:lang w:eastAsia="zh-CN"/>
        </w:rPr>
        <w:t>J</w:t>
      </w:r>
      <w:r w:rsidRPr="00AD2999">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55108A">
        <w:rPr>
          <w:rFonts w:ascii="Book Antiqua" w:eastAsia="Book Antiqua" w:hAnsi="Book Antiqua" w:cs="Book Antiqua"/>
          <w:color w:val="000000"/>
        </w:rPr>
        <w:t>Benefits and limitations of endoscopic variceal ligation</w:t>
      </w:r>
    </w:p>
    <w:p w14:paraId="6176CF7C" w14:textId="77777777" w:rsidR="00A77B3E" w:rsidRDefault="00A77B3E">
      <w:pPr>
        <w:spacing w:line="360" w:lineRule="auto"/>
        <w:jc w:val="both"/>
      </w:pPr>
    </w:p>
    <w:p w14:paraId="2602C448" w14:textId="77777777" w:rsidR="00A77B3E" w:rsidRPr="001E2481" w:rsidRDefault="0055108A">
      <w:pPr>
        <w:spacing w:line="360" w:lineRule="auto"/>
        <w:jc w:val="both"/>
      </w:pPr>
      <w:r w:rsidRPr="001E2481">
        <w:rPr>
          <w:rFonts w:ascii="Book Antiqua" w:eastAsia="Book Antiqua" w:hAnsi="Book Antiqua" w:cs="Book Antiqua"/>
          <w:color w:val="000000"/>
        </w:rPr>
        <w:t>Jake Krige, Eduard Jonas, Urda Kotze, Christo Kloppers, Karan Gandhi, Hisham Allam, Marc Bernon, Sean Burmeister, Mashiko Setshedi</w:t>
      </w:r>
    </w:p>
    <w:p w14:paraId="5330B7C6" w14:textId="77777777" w:rsidR="00A77B3E" w:rsidRDefault="00A77B3E">
      <w:pPr>
        <w:spacing w:line="360" w:lineRule="auto"/>
        <w:jc w:val="both"/>
      </w:pPr>
    </w:p>
    <w:p w14:paraId="0F071AEC" w14:textId="77777777" w:rsidR="00A77B3E" w:rsidRDefault="0055108A">
      <w:pPr>
        <w:spacing w:line="360" w:lineRule="auto"/>
        <w:jc w:val="both"/>
      </w:pPr>
      <w:r>
        <w:rPr>
          <w:rFonts w:ascii="Book Antiqua" w:eastAsia="Book Antiqua" w:hAnsi="Book Antiqua" w:cs="Book Antiqua"/>
          <w:b/>
          <w:bCs/>
          <w:color w:val="000000"/>
        </w:rPr>
        <w:t xml:space="preserve">Jake Krige, Eduard Jonas, Urda Kotze, Christo Kloppers, Karan Gandhi, Hisham Allam, Marc </w:t>
      </w:r>
      <w:proofErr w:type="spellStart"/>
      <w:r>
        <w:rPr>
          <w:rFonts w:ascii="Book Antiqua" w:eastAsia="Book Antiqua" w:hAnsi="Book Antiqua" w:cs="Book Antiqua"/>
          <w:b/>
          <w:bCs/>
          <w:color w:val="000000"/>
        </w:rPr>
        <w:t>Bernon</w:t>
      </w:r>
      <w:proofErr w:type="spellEnd"/>
      <w:r>
        <w:rPr>
          <w:rFonts w:ascii="Book Antiqua" w:eastAsia="Book Antiqua" w:hAnsi="Book Antiqua" w:cs="Book Antiqua"/>
          <w:b/>
          <w:bCs/>
          <w:color w:val="000000"/>
        </w:rPr>
        <w:t xml:space="preserve">, Sean Burmeister, </w:t>
      </w:r>
      <w:proofErr w:type="spellStart"/>
      <w:r>
        <w:rPr>
          <w:rFonts w:ascii="Book Antiqua" w:eastAsia="Book Antiqua" w:hAnsi="Book Antiqua" w:cs="Book Antiqua"/>
          <w:b/>
          <w:bCs/>
          <w:color w:val="000000"/>
        </w:rPr>
        <w:t>Mashiko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Setshedi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Departments of Surgery and Medicine, </w:t>
      </w:r>
      <w:bookmarkStart w:id="2" w:name="OLE_LINK12"/>
      <w:bookmarkStart w:id="3" w:name="OLE_LINK13"/>
      <w:r>
        <w:rPr>
          <w:rFonts w:ascii="Book Antiqua" w:eastAsia="Book Antiqua" w:hAnsi="Book Antiqua" w:cs="Book Antiqua"/>
          <w:color w:val="000000"/>
        </w:rPr>
        <w:t>University of Cape Town Health Sciences Faculty</w:t>
      </w:r>
      <w:bookmarkEnd w:id="2"/>
      <w:bookmarkEnd w:id="3"/>
      <w:r>
        <w:rPr>
          <w:rFonts w:ascii="Book Antiqua" w:eastAsia="Book Antiqua" w:hAnsi="Book Antiqua" w:cs="Book Antiqua"/>
          <w:color w:val="000000"/>
        </w:rPr>
        <w:t>, Cape Town 7925, South Africa</w:t>
      </w:r>
    </w:p>
    <w:p w14:paraId="1EA08A1B" w14:textId="77777777" w:rsidR="00A77B3E" w:rsidRDefault="00A77B3E">
      <w:pPr>
        <w:spacing w:line="360" w:lineRule="auto"/>
        <w:jc w:val="both"/>
      </w:pPr>
    </w:p>
    <w:p w14:paraId="0FDEF465" w14:textId="77777777" w:rsidR="00A77B3E" w:rsidRDefault="0055108A">
      <w:pPr>
        <w:spacing w:line="360" w:lineRule="auto"/>
        <w:jc w:val="both"/>
      </w:pPr>
      <w:r>
        <w:rPr>
          <w:rFonts w:ascii="Book Antiqua" w:eastAsia="Book Antiqua" w:hAnsi="Book Antiqua" w:cs="Book Antiqua"/>
          <w:b/>
          <w:bCs/>
          <w:color w:val="000000"/>
        </w:rPr>
        <w:t xml:space="preserve">Jake Krige, </w:t>
      </w:r>
      <w:r w:rsidR="00AB72B4">
        <w:rPr>
          <w:rFonts w:ascii="Book Antiqua" w:eastAsia="Book Antiqua" w:hAnsi="Book Antiqua" w:cs="Book Antiqua"/>
          <w:color w:val="000000"/>
        </w:rPr>
        <w:t>Department of Surgery, University of Cape Town Health Sciences Faculty,</w:t>
      </w:r>
      <w:r w:rsidR="00AB72B4">
        <w:rPr>
          <w:rFonts w:ascii="Book Antiqua" w:hAnsi="Book Antiqua" w:cs="Book Antiqua" w:hint="eastAsia"/>
          <w:color w:val="000000"/>
          <w:lang w:eastAsia="zh-CN"/>
        </w:rPr>
        <w:t xml:space="preserve"> </w:t>
      </w:r>
      <w:r>
        <w:rPr>
          <w:rFonts w:ascii="Book Antiqua" w:eastAsia="Book Antiqua" w:hAnsi="Book Antiqua" w:cs="Book Antiqua"/>
          <w:color w:val="000000"/>
        </w:rPr>
        <w:t>Cape Town 7925, South Africa</w:t>
      </w:r>
    </w:p>
    <w:p w14:paraId="77527E36" w14:textId="77777777" w:rsidR="00A77B3E" w:rsidRDefault="00A77B3E">
      <w:pPr>
        <w:spacing w:line="360" w:lineRule="auto"/>
        <w:jc w:val="both"/>
      </w:pPr>
    </w:p>
    <w:p w14:paraId="32C0CE4F" w14:textId="7343497F" w:rsidR="00A77B3E" w:rsidRDefault="0055108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Krige J, Jonas E and Kotze U d</w:t>
      </w:r>
      <w:r w:rsidR="009D0FCB">
        <w:rPr>
          <w:rFonts w:ascii="Book Antiqua" w:eastAsia="Book Antiqua" w:hAnsi="Book Antiqua" w:cs="Book Antiqua"/>
          <w:color w:val="000000"/>
          <w:shd w:val="clear" w:color="auto" w:fill="FFFFFF"/>
        </w:rPr>
        <w:t>evised</w:t>
      </w:r>
      <w:r>
        <w:rPr>
          <w:rFonts w:ascii="Book Antiqua" w:eastAsia="Book Antiqua" w:hAnsi="Book Antiqua" w:cs="Book Antiqua"/>
          <w:color w:val="000000"/>
          <w:shd w:val="clear" w:color="auto" w:fill="FFFFFF"/>
        </w:rPr>
        <w:t xml:space="preserve"> the study concept and design; Krige J, Kotze U </w:t>
      </w:r>
      <w:r w:rsidR="009D0FCB">
        <w:rPr>
          <w:rFonts w:ascii="Book Antiqua" w:eastAsia="Book Antiqua" w:hAnsi="Book Antiqua" w:cs="Book Antiqua"/>
          <w:color w:val="000000"/>
          <w:shd w:val="clear" w:color="auto" w:fill="FFFFFF"/>
        </w:rPr>
        <w:t>were involved in</w:t>
      </w:r>
      <w:r>
        <w:rPr>
          <w:rFonts w:ascii="Book Antiqua" w:eastAsia="Book Antiqua" w:hAnsi="Book Antiqua" w:cs="Book Antiqua"/>
          <w:color w:val="000000"/>
          <w:shd w:val="clear" w:color="auto" w:fill="FFFFFF"/>
        </w:rPr>
        <w:t xml:space="preserve"> acquisition of data; Krige J, Jonas E, Kotze U, Kloppers C, Gandhi K, Allam H, </w:t>
      </w:r>
      <w:proofErr w:type="spellStart"/>
      <w:r>
        <w:rPr>
          <w:rFonts w:ascii="Book Antiqua" w:eastAsia="Book Antiqua" w:hAnsi="Book Antiqua" w:cs="Book Antiqua"/>
          <w:color w:val="000000"/>
          <w:shd w:val="clear" w:color="auto" w:fill="FFFFFF"/>
        </w:rPr>
        <w:t>Bernon</w:t>
      </w:r>
      <w:proofErr w:type="spellEnd"/>
      <w:r>
        <w:rPr>
          <w:rFonts w:ascii="Book Antiqua" w:eastAsia="Book Antiqua" w:hAnsi="Book Antiqua" w:cs="Book Antiqua"/>
          <w:color w:val="000000"/>
          <w:shd w:val="clear" w:color="auto" w:fill="FFFFFF"/>
        </w:rPr>
        <w:t xml:space="preserve"> M and Burmeister S analy</w:t>
      </w:r>
      <w:r w:rsidR="009D0FCB">
        <w:rPr>
          <w:rFonts w:ascii="Book Antiqua" w:eastAsia="Book Antiqua" w:hAnsi="Book Antiqua" w:cs="Book Antiqua"/>
          <w:color w:val="000000"/>
          <w:shd w:val="clear" w:color="auto" w:fill="FFFFFF"/>
        </w:rPr>
        <w:t>zed</w:t>
      </w:r>
      <w:r>
        <w:rPr>
          <w:rFonts w:ascii="Book Antiqua" w:eastAsia="Book Antiqua" w:hAnsi="Book Antiqua" w:cs="Book Antiqua"/>
          <w:color w:val="000000"/>
          <w:shd w:val="clear" w:color="auto" w:fill="FFFFFF"/>
        </w:rPr>
        <w:t xml:space="preserve"> and interpret</w:t>
      </w:r>
      <w:r w:rsidR="009D0FCB">
        <w:rPr>
          <w:rFonts w:ascii="Book Antiqua" w:eastAsia="Book Antiqua" w:hAnsi="Book Antiqua" w:cs="Book Antiqua"/>
          <w:color w:val="000000"/>
          <w:shd w:val="clear" w:color="auto" w:fill="FFFFFF"/>
        </w:rPr>
        <w:t>ed the</w:t>
      </w:r>
      <w:r>
        <w:rPr>
          <w:rFonts w:ascii="Book Antiqua" w:eastAsia="Book Antiqua" w:hAnsi="Book Antiqua" w:cs="Book Antiqua"/>
          <w:color w:val="000000"/>
          <w:shd w:val="clear" w:color="auto" w:fill="FFFFFF"/>
        </w:rPr>
        <w:t xml:space="preserve"> data; Krige J, Jonas E and Kotze U drafted the manuscript; Krige J, Jonas E, Kotze U, Kloppers C, Gandhi K, Allam H, Bernon M, Burmeister S and </w:t>
      </w:r>
      <w:proofErr w:type="spellStart"/>
      <w:r>
        <w:rPr>
          <w:rFonts w:ascii="Book Antiqua" w:eastAsia="Book Antiqua" w:hAnsi="Book Antiqua" w:cs="Book Antiqua"/>
          <w:color w:val="000000"/>
          <w:shd w:val="clear" w:color="auto" w:fill="FFFFFF"/>
        </w:rPr>
        <w:t>Setshedi</w:t>
      </w:r>
      <w:proofErr w:type="spellEnd"/>
      <w:r>
        <w:rPr>
          <w:rFonts w:ascii="Book Antiqua" w:eastAsia="Book Antiqua" w:hAnsi="Book Antiqua" w:cs="Book Antiqua"/>
          <w:color w:val="000000"/>
          <w:shd w:val="clear" w:color="auto" w:fill="FFFFFF"/>
        </w:rPr>
        <w:t xml:space="preserve"> M critical</w:t>
      </w:r>
      <w:r w:rsidR="009D0FCB">
        <w:rPr>
          <w:rFonts w:ascii="Book Antiqua" w:eastAsia="Book Antiqua" w:hAnsi="Book Antiqua" w:cs="Book Antiqua"/>
          <w:color w:val="000000"/>
          <w:shd w:val="clear" w:color="auto" w:fill="FFFFFF"/>
        </w:rPr>
        <w:t>ly</w:t>
      </w:r>
      <w:r>
        <w:rPr>
          <w:rFonts w:ascii="Book Antiqua" w:eastAsia="Book Antiqua" w:hAnsi="Book Antiqua" w:cs="Book Antiqua"/>
          <w:color w:val="000000"/>
          <w:shd w:val="clear" w:color="auto" w:fill="FFFFFF"/>
        </w:rPr>
        <w:t xml:space="preserve"> revis</w:t>
      </w:r>
      <w:r w:rsidR="009D0FCB">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the manuscript for important intellectual content; Krige J, Kotze U and </w:t>
      </w:r>
      <w:proofErr w:type="spellStart"/>
      <w:r>
        <w:rPr>
          <w:rFonts w:ascii="Book Antiqua" w:eastAsia="Book Antiqua" w:hAnsi="Book Antiqua" w:cs="Book Antiqua"/>
          <w:color w:val="000000"/>
          <w:shd w:val="clear" w:color="auto" w:fill="FFFFFF"/>
        </w:rPr>
        <w:t>Setshedi</w:t>
      </w:r>
      <w:proofErr w:type="spellEnd"/>
      <w:r>
        <w:rPr>
          <w:rFonts w:ascii="Book Antiqua" w:eastAsia="Book Antiqua" w:hAnsi="Book Antiqua" w:cs="Book Antiqua"/>
          <w:color w:val="000000"/>
          <w:shd w:val="clear" w:color="auto" w:fill="FFFFFF"/>
        </w:rPr>
        <w:t xml:space="preserve"> M </w:t>
      </w:r>
      <w:r w:rsidR="009D0FCB">
        <w:rPr>
          <w:rFonts w:ascii="Book Antiqua" w:eastAsia="Book Antiqua" w:hAnsi="Book Antiqua" w:cs="Book Antiqua"/>
          <w:color w:val="000000"/>
          <w:shd w:val="clear" w:color="auto" w:fill="FFFFFF"/>
        </w:rPr>
        <w:t>carried out</w:t>
      </w:r>
      <w:r>
        <w:rPr>
          <w:rFonts w:ascii="Book Antiqua" w:eastAsia="Book Antiqua" w:hAnsi="Book Antiqua" w:cs="Book Antiqua"/>
          <w:color w:val="000000"/>
          <w:shd w:val="clear" w:color="auto" w:fill="FFFFFF"/>
        </w:rPr>
        <w:t xml:space="preserve"> the statistical analysis;</w:t>
      </w:r>
      <w:r w:rsidR="00F32328">
        <w:rPr>
          <w:rFonts w:hint="eastAsia"/>
          <w:lang w:eastAsia="zh-CN"/>
        </w:rPr>
        <w:t xml:space="preserve"> </w:t>
      </w:r>
      <w:r>
        <w:rPr>
          <w:rFonts w:ascii="Book Antiqua" w:eastAsia="Book Antiqua" w:hAnsi="Book Antiqua" w:cs="Book Antiqua"/>
          <w:color w:val="000000"/>
          <w:shd w:val="clear" w:color="auto" w:fill="FFFFFF"/>
        </w:rPr>
        <w:t xml:space="preserve">Krige J and Jonas E </w:t>
      </w:r>
      <w:r w:rsidR="009D0FCB">
        <w:rPr>
          <w:rFonts w:ascii="Book Antiqua" w:eastAsia="Book Antiqua" w:hAnsi="Book Antiqua" w:cs="Book Antiqua"/>
          <w:color w:val="000000"/>
          <w:shd w:val="clear" w:color="auto" w:fill="FFFFFF"/>
        </w:rPr>
        <w:t xml:space="preserve">provided </w:t>
      </w:r>
      <w:r>
        <w:rPr>
          <w:rFonts w:ascii="Book Antiqua" w:eastAsia="Book Antiqua" w:hAnsi="Book Antiqua" w:cs="Book Antiqua"/>
          <w:color w:val="000000"/>
          <w:shd w:val="clear" w:color="auto" w:fill="FFFFFF"/>
        </w:rPr>
        <w:t>final approv</w:t>
      </w:r>
      <w:r w:rsidR="009D0FCB">
        <w:rPr>
          <w:rFonts w:ascii="Book Antiqua" w:eastAsia="Book Antiqua" w:hAnsi="Book Antiqua" w:cs="Book Antiqua"/>
          <w:color w:val="000000"/>
          <w:shd w:val="clear" w:color="auto" w:fill="FFFFFF"/>
        </w:rPr>
        <w:t>al of</w:t>
      </w:r>
      <w:r>
        <w:rPr>
          <w:rFonts w:ascii="Book Antiqua" w:eastAsia="Book Antiqua" w:hAnsi="Book Antiqua" w:cs="Book Antiqua"/>
          <w:color w:val="000000"/>
          <w:shd w:val="clear" w:color="auto" w:fill="FFFFFF"/>
        </w:rPr>
        <w:t xml:space="preserve"> the article.</w:t>
      </w:r>
    </w:p>
    <w:p w14:paraId="29B78DBC" w14:textId="77777777" w:rsidR="00A77B3E" w:rsidRDefault="00A77B3E">
      <w:pPr>
        <w:spacing w:line="360" w:lineRule="auto"/>
        <w:jc w:val="both"/>
      </w:pPr>
    </w:p>
    <w:p w14:paraId="01C52165" w14:textId="77777777" w:rsidR="00A77B3E" w:rsidRDefault="0055108A">
      <w:pPr>
        <w:spacing w:line="360" w:lineRule="auto"/>
        <w:jc w:val="both"/>
      </w:pPr>
      <w:r>
        <w:rPr>
          <w:rFonts w:ascii="Book Antiqua" w:eastAsia="Book Antiqua" w:hAnsi="Book Antiqua" w:cs="Book Antiqua"/>
          <w:b/>
          <w:bCs/>
          <w:color w:val="000000"/>
        </w:rPr>
        <w:lastRenderedPageBreak/>
        <w:t xml:space="preserve">Corresponding author: Jake Krige, </w:t>
      </w:r>
      <w:r w:rsidR="00DA6D6D">
        <w:rPr>
          <w:rFonts w:ascii="Book Antiqua" w:eastAsia="Book Antiqua" w:hAnsi="Book Antiqua" w:cs="Book Antiqua"/>
          <w:b/>
          <w:bCs/>
          <w:color w:val="000000"/>
        </w:rPr>
        <w:t xml:space="preserve">MBChB, MSc, PhD, </w:t>
      </w:r>
      <w:r>
        <w:rPr>
          <w:rFonts w:ascii="Book Antiqua" w:eastAsia="Book Antiqua" w:hAnsi="Book Antiqua" w:cs="Book Antiqua"/>
          <w:b/>
          <w:bCs/>
          <w:color w:val="000000"/>
        </w:rPr>
        <w:t xml:space="preserve">FACS, FRCS (Ed), </w:t>
      </w:r>
      <w:r w:rsidR="00DA6D6D">
        <w:rPr>
          <w:rFonts w:ascii="Book Antiqua" w:eastAsia="Book Antiqua" w:hAnsi="Book Antiqua" w:cs="Book Antiqua"/>
          <w:b/>
          <w:bCs/>
          <w:color w:val="000000"/>
        </w:rPr>
        <w:t>FCS</w:t>
      </w:r>
      <w:r w:rsidR="00AB72B4">
        <w:rPr>
          <w:rFonts w:ascii="Book Antiqua" w:hAnsi="Book Antiqua" w:cs="Book Antiqua" w:hint="eastAsia"/>
          <w:b/>
          <w:bCs/>
          <w:color w:val="000000"/>
          <w:lang w:eastAsia="zh-CN"/>
        </w:rPr>
        <w:t xml:space="preserve"> </w:t>
      </w:r>
      <w:r w:rsidR="00DA6D6D">
        <w:rPr>
          <w:rFonts w:ascii="Book Antiqua" w:eastAsia="Book Antiqua" w:hAnsi="Book Antiqua" w:cs="Book Antiqua"/>
          <w:b/>
          <w:bCs/>
          <w:color w:val="000000"/>
        </w:rPr>
        <w:t>(SA)</w:t>
      </w:r>
      <w:r>
        <w:rPr>
          <w:rFonts w:ascii="Book Antiqua" w:eastAsia="Book Antiqua" w:hAnsi="Book Antiqua" w:cs="Book Antiqua"/>
          <w:b/>
          <w:bCs/>
          <w:color w:val="000000"/>
        </w:rPr>
        <w:t xml:space="preserve">, Emeritus Professor, </w:t>
      </w:r>
      <w:r w:rsidR="00DA6D6D">
        <w:rPr>
          <w:rFonts w:ascii="Book Antiqua" w:eastAsia="Book Antiqua" w:hAnsi="Book Antiqua" w:cs="Book Antiqua"/>
          <w:color w:val="000000"/>
        </w:rPr>
        <w:t xml:space="preserve">Department </w:t>
      </w:r>
      <w:r>
        <w:rPr>
          <w:rFonts w:ascii="Book Antiqua" w:eastAsia="Book Antiqua" w:hAnsi="Book Antiqua" w:cs="Book Antiqua"/>
          <w:color w:val="000000"/>
        </w:rPr>
        <w:t>of Surgery, University of Cape Town Health Sciences Faculty, Anzio Road, Cape Town 7925, South Africa. jej</w:t>
      </w:r>
      <w:r w:rsidR="00DA6D6D">
        <w:rPr>
          <w:rFonts w:ascii="Book Antiqua" w:eastAsia="Book Antiqua" w:hAnsi="Book Antiqua" w:cs="Book Antiqua"/>
          <w:color w:val="000000"/>
        </w:rPr>
        <w:t>.</w:t>
      </w:r>
      <w:r>
        <w:rPr>
          <w:rFonts w:ascii="Book Antiqua" w:eastAsia="Book Antiqua" w:hAnsi="Book Antiqua" w:cs="Book Antiqua"/>
          <w:color w:val="000000"/>
        </w:rPr>
        <w:t>krige@</w:t>
      </w:r>
      <w:r w:rsidR="00DA6D6D">
        <w:rPr>
          <w:rFonts w:ascii="Book Antiqua" w:eastAsia="Book Antiqua" w:hAnsi="Book Antiqua" w:cs="Book Antiqua"/>
          <w:color w:val="000000"/>
        </w:rPr>
        <w:t>uct.ac.za</w:t>
      </w:r>
    </w:p>
    <w:p w14:paraId="029EC6BC" w14:textId="77777777" w:rsidR="00A77B3E" w:rsidRDefault="00A77B3E">
      <w:pPr>
        <w:spacing w:line="360" w:lineRule="auto"/>
        <w:jc w:val="both"/>
      </w:pPr>
    </w:p>
    <w:p w14:paraId="203ABFC4" w14:textId="77777777" w:rsidR="00A77B3E" w:rsidRDefault="005510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2020</w:t>
      </w:r>
    </w:p>
    <w:p w14:paraId="08DB85CA" w14:textId="77777777" w:rsidR="00A77B3E" w:rsidRDefault="0055108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2020</w:t>
      </w:r>
    </w:p>
    <w:p w14:paraId="68A83C12" w14:textId="77777777" w:rsidR="00A77B3E" w:rsidRDefault="0055108A">
      <w:pPr>
        <w:spacing w:line="360" w:lineRule="auto"/>
        <w:jc w:val="both"/>
      </w:pPr>
      <w:r>
        <w:rPr>
          <w:rFonts w:ascii="Book Antiqua" w:eastAsia="Book Antiqua" w:hAnsi="Book Antiqua" w:cs="Book Antiqua"/>
          <w:b/>
          <w:bCs/>
          <w:color w:val="000000"/>
        </w:rPr>
        <w:t xml:space="preserve">Accepted: </w:t>
      </w:r>
      <w:r w:rsidR="00247D04" w:rsidRPr="00247D04">
        <w:rPr>
          <w:rFonts w:ascii="Book Antiqua" w:eastAsia="Book Antiqua" w:hAnsi="Book Antiqua" w:cs="Book Antiqua"/>
          <w:bCs/>
          <w:color w:val="000000"/>
        </w:rPr>
        <w:t>September 11, 2020</w:t>
      </w:r>
    </w:p>
    <w:p w14:paraId="19156664" w14:textId="77777777" w:rsidR="00A77B3E" w:rsidRDefault="0055108A">
      <w:pPr>
        <w:spacing w:line="360" w:lineRule="auto"/>
        <w:jc w:val="both"/>
      </w:pPr>
      <w:r>
        <w:rPr>
          <w:rFonts w:ascii="Book Antiqua" w:eastAsia="Book Antiqua" w:hAnsi="Book Antiqua" w:cs="Book Antiqua"/>
          <w:b/>
          <w:bCs/>
          <w:color w:val="000000"/>
        </w:rPr>
        <w:t xml:space="preserve">Published online: </w:t>
      </w:r>
    </w:p>
    <w:p w14:paraId="6505DAB9" w14:textId="77777777" w:rsidR="00A77B3E" w:rsidRDefault="00A77B3E">
      <w:pPr>
        <w:spacing w:line="360" w:lineRule="auto"/>
        <w:jc w:val="both"/>
        <w:sectPr w:rsidR="00A77B3E" w:rsidSect="004B47DB">
          <w:footerReference w:type="default" r:id="rId7"/>
          <w:pgSz w:w="11907" w:h="16839" w:code="9"/>
          <w:pgMar w:top="1418" w:right="1701" w:bottom="1418" w:left="1701" w:header="720" w:footer="720" w:gutter="0"/>
          <w:cols w:space="720"/>
          <w:docGrid w:linePitch="360"/>
        </w:sectPr>
      </w:pPr>
    </w:p>
    <w:p w14:paraId="2CA4E797" w14:textId="77777777" w:rsidR="00A77B3E" w:rsidRDefault="0055108A">
      <w:pPr>
        <w:spacing w:line="360" w:lineRule="auto"/>
        <w:jc w:val="both"/>
      </w:pPr>
      <w:r>
        <w:rPr>
          <w:rFonts w:ascii="Book Antiqua" w:eastAsia="Book Antiqua" w:hAnsi="Book Antiqua" w:cs="Book Antiqua"/>
          <w:b/>
          <w:color w:val="000000"/>
        </w:rPr>
        <w:lastRenderedPageBreak/>
        <w:t>Abstract</w:t>
      </w:r>
    </w:p>
    <w:p w14:paraId="4D555369" w14:textId="77777777" w:rsidR="00A77B3E" w:rsidRDefault="0055108A">
      <w:pPr>
        <w:spacing w:line="360" w:lineRule="auto"/>
        <w:jc w:val="both"/>
      </w:pPr>
      <w:r>
        <w:rPr>
          <w:rFonts w:ascii="Book Antiqua" w:eastAsia="Book Antiqua" w:hAnsi="Book Antiqua" w:cs="Book Antiqua"/>
          <w:color w:val="000000"/>
        </w:rPr>
        <w:t>BACKGROUND</w:t>
      </w:r>
    </w:p>
    <w:p w14:paraId="5D6DCEE4" w14:textId="58B7AA98" w:rsidR="00A77B3E" w:rsidRDefault="0055108A">
      <w:pPr>
        <w:spacing w:line="360" w:lineRule="auto"/>
        <w:jc w:val="both"/>
      </w:pPr>
      <w:r>
        <w:rPr>
          <w:rFonts w:ascii="Book Antiqua" w:eastAsia="Book Antiqua" w:hAnsi="Book Antiqua" w:cs="Book Antiqua"/>
          <w:color w:val="000000"/>
        </w:rPr>
        <w:t xml:space="preserve">Bleeding esophageal varices (BEV) is a potentially life-threatening complication in patients with portal hypertension with mortality rates as high as 25% within six weeks of the index variceal bleed. </w:t>
      </w:r>
      <w:r w:rsidR="00DA6D6D">
        <w:rPr>
          <w:rFonts w:ascii="Book Antiqua" w:eastAsia="Book Antiqua" w:hAnsi="Book Antiqua" w:cs="Book Antiqua"/>
          <w:color w:val="000000"/>
        </w:rPr>
        <w:t xml:space="preserve">After control of the </w:t>
      </w:r>
      <w:r>
        <w:rPr>
          <w:rFonts w:ascii="Book Antiqua" w:eastAsia="Book Antiqua" w:hAnsi="Book Antiqua" w:cs="Book Antiqua"/>
          <w:color w:val="000000"/>
        </w:rPr>
        <w:t xml:space="preserve">initial bleeding episode patients should enter a long-term surveillance program with endoscopic intervention combined with non-selective β-blockers to </w:t>
      </w:r>
      <w:r w:rsidR="00DA6D6D">
        <w:rPr>
          <w:rFonts w:ascii="Book Antiqua" w:eastAsia="Book Antiqua" w:hAnsi="Book Antiqua" w:cs="Book Antiqua"/>
          <w:color w:val="000000"/>
        </w:rPr>
        <w:t xml:space="preserve">prevent </w:t>
      </w:r>
      <w:r>
        <w:rPr>
          <w:rFonts w:ascii="Book Antiqua" w:eastAsia="Book Antiqua" w:hAnsi="Book Antiqua" w:cs="Book Antiqua"/>
          <w:color w:val="000000"/>
        </w:rPr>
        <w:t>further bleeding and eradicate EV.</w:t>
      </w:r>
    </w:p>
    <w:p w14:paraId="58A6E24F" w14:textId="77777777" w:rsidR="00A77B3E" w:rsidRDefault="00A77B3E">
      <w:pPr>
        <w:spacing w:line="360" w:lineRule="auto"/>
        <w:jc w:val="both"/>
      </w:pPr>
    </w:p>
    <w:p w14:paraId="1544D69B" w14:textId="77777777" w:rsidR="00A77B3E" w:rsidRDefault="0055108A">
      <w:pPr>
        <w:spacing w:line="360" w:lineRule="auto"/>
        <w:jc w:val="both"/>
      </w:pPr>
      <w:r>
        <w:rPr>
          <w:rFonts w:ascii="Book Antiqua" w:eastAsia="Book Antiqua" w:hAnsi="Book Antiqua" w:cs="Book Antiqua"/>
          <w:color w:val="000000"/>
        </w:rPr>
        <w:t>AIM</w:t>
      </w:r>
    </w:p>
    <w:p w14:paraId="0CE9ACFD" w14:textId="5B575D2F" w:rsidR="00A77B3E" w:rsidRDefault="0055108A">
      <w:pPr>
        <w:spacing w:line="360" w:lineRule="auto"/>
        <w:jc w:val="both"/>
      </w:pPr>
      <w:r>
        <w:rPr>
          <w:rFonts w:ascii="Book Antiqua" w:eastAsia="Book Antiqua" w:hAnsi="Book Antiqua" w:cs="Book Antiqua"/>
          <w:color w:val="000000"/>
        </w:rPr>
        <w:t xml:space="preserve">To assess the efficacy of endoscopic variceal ligation (EVL) in controlling acute variceal bleeding, preventing variceal recurrence and rebleeding and achieving </w:t>
      </w:r>
      <w:r w:rsidRPr="00AB72B4">
        <w:rPr>
          <w:rFonts w:ascii="Book Antiqua" w:eastAsia="Book Antiqua" w:hAnsi="Book Antiqua" w:cs="Book Antiqua"/>
          <w:color w:val="000000"/>
        </w:rPr>
        <w:t>complete</w:t>
      </w:r>
      <w:r>
        <w:rPr>
          <w:rFonts w:ascii="Book Antiqua" w:eastAsia="Book Antiqua" w:hAnsi="Book Antiqua" w:cs="Book Antiqua"/>
          <w:color w:val="000000"/>
        </w:rPr>
        <w:t xml:space="preserve"> eradication of esophageal varices (EV) in patients who present with BEV.</w:t>
      </w:r>
    </w:p>
    <w:p w14:paraId="7B9E0D9E" w14:textId="77777777" w:rsidR="00A77B3E" w:rsidRDefault="00A77B3E">
      <w:pPr>
        <w:spacing w:line="360" w:lineRule="auto"/>
        <w:jc w:val="both"/>
      </w:pPr>
    </w:p>
    <w:p w14:paraId="797D70F0" w14:textId="77777777" w:rsidR="00A77B3E" w:rsidRDefault="0055108A">
      <w:pPr>
        <w:spacing w:line="360" w:lineRule="auto"/>
        <w:jc w:val="both"/>
      </w:pPr>
      <w:r>
        <w:rPr>
          <w:rFonts w:ascii="Book Antiqua" w:eastAsia="Book Antiqua" w:hAnsi="Book Antiqua" w:cs="Book Antiqua"/>
          <w:color w:val="000000"/>
        </w:rPr>
        <w:t>METHODS</w:t>
      </w:r>
    </w:p>
    <w:p w14:paraId="5C62A1D8" w14:textId="77777777" w:rsidR="00A77B3E" w:rsidRDefault="0055108A">
      <w:pPr>
        <w:spacing w:line="360" w:lineRule="auto"/>
        <w:jc w:val="both"/>
      </w:pPr>
      <w:r>
        <w:rPr>
          <w:rFonts w:ascii="Book Antiqua" w:eastAsia="Book Antiqua" w:hAnsi="Book Antiqua" w:cs="Book Antiqua"/>
          <w:color w:val="000000"/>
        </w:rPr>
        <w:t>A prospectively documented single-center database was used to retrospectively identify all patients with BEV who were treated with EVL between 2000 and 2018. Control of acute bleeding, variceal recurrence, rebleeding, eradication and survival were analyzed using Baveno assessment criteria.</w:t>
      </w:r>
    </w:p>
    <w:p w14:paraId="4EE7C2A5" w14:textId="77777777" w:rsidR="00A77B3E" w:rsidRDefault="00A77B3E">
      <w:pPr>
        <w:spacing w:line="360" w:lineRule="auto"/>
        <w:jc w:val="both"/>
      </w:pPr>
    </w:p>
    <w:p w14:paraId="2C23125A" w14:textId="77777777" w:rsidR="00A77B3E" w:rsidRDefault="0055108A">
      <w:pPr>
        <w:spacing w:line="360" w:lineRule="auto"/>
        <w:jc w:val="both"/>
      </w:pPr>
      <w:r>
        <w:rPr>
          <w:rFonts w:ascii="Book Antiqua" w:eastAsia="Book Antiqua" w:hAnsi="Book Antiqua" w:cs="Book Antiqua"/>
          <w:color w:val="000000"/>
        </w:rPr>
        <w:t>RESULTS</w:t>
      </w:r>
    </w:p>
    <w:p w14:paraId="5883DB70" w14:textId="570F8573" w:rsidR="00A77B3E" w:rsidRDefault="0055108A">
      <w:pPr>
        <w:spacing w:line="360" w:lineRule="auto"/>
        <w:jc w:val="both"/>
      </w:pPr>
      <w:r>
        <w:rPr>
          <w:rFonts w:ascii="Book Antiqua" w:eastAsia="Book Antiqua" w:hAnsi="Book Antiqua" w:cs="Book Antiqua"/>
          <w:color w:val="000000"/>
        </w:rPr>
        <w:t>One hundred and forty patients (100 men, 40 women; mean age 50 years; range, 21–84 years; Child-Pugh grade A</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32; B</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48; C</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60) underwent 160 emergency and 298 elective EVL interventions during a total of 928 endoscopy sessions. One hundred and fourteen (81%) of the 140 patients had variceal bleeding that was effectively controlled during the index banding procedure and never bled again from EV</w:t>
      </w:r>
      <w:r w:rsidR="00322FBF">
        <w:rPr>
          <w:rFonts w:ascii="Book Antiqua" w:eastAsia="Book Antiqua" w:hAnsi="Book Antiqua" w:cs="Book Antiqua"/>
          <w:color w:val="000000"/>
        </w:rPr>
        <w:t>,</w:t>
      </w:r>
      <w:r>
        <w:rPr>
          <w:rFonts w:ascii="Book Antiqua" w:eastAsia="Book Antiqua" w:hAnsi="Book Antiqua" w:cs="Book Antiqua"/>
          <w:color w:val="000000"/>
        </w:rPr>
        <w:t xml:space="preserve"> while 26 (19%) patients had complicated and refractory variceal bleeding. EVL controlled the acute sentinel variceal bleed during the first endoscopic intervention in 134 of 140 patients (95.7%). Six patients required balloon tamponade for control and 4 other patients rebled in </w:t>
      </w:r>
      <w:r>
        <w:rPr>
          <w:rFonts w:ascii="Book Antiqua" w:eastAsia="Book Antiqua" w:hAnsi="Book Antiqua" w:cs="Book Antiqua"/>
          <w:color w:val="000000"/>
        </w:rPr>
        <w:lastRenderedPageBreak/>
        <w:t xml:space="preserve">hospital. </w:t>
      </w:r>
      <w:proofErr w:type="gramStart"/>
      <w:r>
        <w:rPr>
          <w:rFonts w:ascii="Book Antiqua" w:eastAsia="Book Antiqua" w:hAnsi="Book Antiqua" w:cs="Book Antiqua"/>
          <w:color w:val="000000"/>
        </w:rPr>
        <w:t>Overall</w:t>
      </w:r>
      <w:proofErr w:type="gramEnd"/>
      <w:r>
        <w:rPr>
          <w:rFonts w:ascii="Book Antiqua" w:eastAsia="Book Antiqua" w:hAnsi="Book Antiqua" w:cs="Book Antiqua"/>
          <w:color w:val="000000"/>
        </w:rPr>
        <w:t xml:space="preserve"> 5-</w:t>
      </w:r>
      <w:r w:rsidR="009442C9">
        <w:rPr>
          <w:rFonts w:ascii="Book Antiqua" w:eastAsia="Book Antiqua" w:hAnsi="Book Antiqua" w:cs="Book Antiqua"/>
          <w:color w:val="000000"/>
        </w:rPr>
        <w:t xml:space="preserve">d </w:t>
      </w:r>
      <w:r>
        <w:rPr>
          <w:rFonts w:ascii="Book Antiqua" w:eastAsia="Book Antiqua" w:hAnsi="Book Antiqua" w:cs="Book Antiqua"/>
          <w:color w:val="000000"/>
        </w:rPr>
        <w:t>endoscopic failure to control variceal bleeding was 7.1%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four patients required a salvage</w:t>
      </w:r>
      <w:r w:rsidR="00AA76DA" w:rsidRPr="00AA76DA">
        <w:rPr>
          <w:rFonts w:ascii="Book Antiqua" w:eastAsia="Book Antiqua" w:hAnsi="Book Antiqua" w:cs="Book Antiqua"/>
          <w:color w:val="000000"/>
        </w:rPr>
        <w:t xml:space="preserve"> </w:t>
      </w:r>
      <w:proofErr w:type="spellStart"/>
      <w:r w:rsidR="00AA76DA">
        <w:rPr>
          <w:rFonts w:ascii="Book Antiqua" w:eastAsia="Book Antiqua" w:hAnsi="Book Antiqua" w:cs="Book Antiqua"/>
          <w:color w:val="000000"/>
        </w:rPr>
        <w:t>transjugular</w:t>
      </w:r>
      <w:proofErr w:type="spellEnd"/>
      <w:r w:rsidR="00AA76DA">
        <w:rPr>
          <w:rFonts w:ascii="Book Antiqua" w:eastAsia="Book Antiqua" w:hAnsi="Book Antiqua" w:cs="Book Antiqua"/>
          <w:color w:val="000000"/>
        </w:rPr>
        <w:t xml:space="preserve"> intrahepatic portosystemic shunt</w:t>
      </w:r>
      <w:r>
        <w:rPr>
          <w:rFonts w:ascii="Book Antiqua" w:eastAsia="Book Antiqua" w:hAnsi="Book Antiqua" w:cs="Book Antiqua"/>
          <w:color w:val="000000"/>
        </w:rPr>
        <w:t>. Index admission mortality was 14.2% (</w:t>
      </w:r>
      <w:r>
        <w:rPr>
          <w:rFonts w:ascii="Book Antiqua" w:eastAsia="Book Antiqua" w:hAnsi="Book Antiqua" w:cs="Book Antiqua"/>
          <w:i/>
          <w:iCs/>
          <w:color w:val="000000"/>
        </w:rPr>
        <w:t>n</w:t>
      </w:r>
      <w:r>
        <w:rPr>
          <w:rFonts w:ascii="Book Antiqua" w:eastAsia="Book Antiqua" w:hAnsi="Book Antiqua" w:cs="Book Antiqua"/>
          <w:color w:val="000000"/>
        </w:rPr>
        <w:t xml:space="preserve"> = 20). EV were completely eradicated in 50 of 111 patients (45%) who survived &gt;</w:t>
      </w:r>
      <w:r w:rsidR="008E352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whom 31 recurred and 3 rebled. Sixteen (13.3%) of 120 surviving patients subsequently had 21 EV rebleeding episodes and 10 patients bled from other sources after discharge from hospital. Overall rebleeding from all sources after 2 years was 21.7% (</w:t>
      </w:r>
      <w:r>
        <w:rPr>
          <w:rFonts w:ascii="Book Antiqua" w:eastAsia="Book Antiqua" w:hAnsi="Book Antiqua" w:cs="Book Antiqua"/>
          <w:i/>
          <w:iCs/>
          <w:color w:val="000000"/>
        </w:rPr>
        <w:t>n</w:t>
      </w:r>
      <w:r>
        <w:rPr>
          <w:rFonts w:ascii="Book Antiqua" w:eastAsia="Book Antiqua" w:hAnsi="Book Antiqua" w:cs="Book Antiqua"/>
          <w:color w:val="000000"/>
        </w:rPr>
        <w:t xml:space="preserve"> = 26). Sixty-nine (49.3%) of the 140 patients died</w:t>
      </w:r>
      <w:r w:rsidR="00DA6D6D">
        <w:rPr>
          <w:rFonts w:ascii="Book Antiqua" w:eastAsia="Book Antiqua" w:hAnsi="Book Antiqua" w:cs="Book Antiqua"/>
          <w:color w:val="000000"/>
        </w:rPr>
        <w:t>,</w:t>
      </w:r>
      <w:r>
        <w:rPr>
          <w:rFonts w:ascii="Book Antiqua" w:eastAsia="Book Antiqua" w:hAnsi="Book Antiqua" w:cs="Book Antiqua"/>
          <w:color w:val="000000"/>
        </w:rPr>
        <w:t xml:space="preserve"> mainly </w:t>
      </w:r>
      <w:r w:rsidR="00322FBF">
        <w:rPr>
          <w:rFonts w:ascii="Book Antiqua" w:eastAsia="Book Antiqua" w:hAnsi="Book Antiqua" w:cs="Book Antiqua"/>
          <w:color w:val="000000"/>
        </w:rPr>
        <w:t>due to</w:t>
      </w:r>
      <w:r>
        <w:rPr>
          <w:rFonts w:ascii="Book Antiqua" w:eastAsia="Book Antiqua" w:hAnsi="Book Antiqua" w:cs="Book Antiqua"/>
          <w:color w:val="000000"/>
        </w:rPr>
        <w:t xml:space="preserve"> liver failure (</w:t>
      </w:r>
      <w:r>
        <w:rPr>
          <w:rFonts w:ascii="Book Antiqua" w:eastAsia="Book Antiqua" w:hAnsi="Book Antiqua" w:cs="Book Antiqua"/>
          <w:i/>
          <w:iCs/>
          <w:color w:val="000000"/>
        </w:rPr>
        <w:t>n</w:t>
      </w:r>
      <w:r>
        <w:rPr>
          <w:rFonts w:ascii="Book Antiqua" w:eastAsia="Book Antiqua" w:hAnsi="Book Antiqua" w:cs="Book Antiqua"/>
          <w:color w:val="000000"/>
        </w:rPr>
        <w:t xml:space="preserve"> = 46) during follow-up. Cumulative survival for the 140 patients was 71.4% at 1 year, 65% at 3 years, 60% at 5 years and 52.1% at 10 years. </w:t>
      </w:r>
    </w:p>
    <w:p w14:paraId="5586423C" w14:textId="77777777" w:rsidR="00A77B3E" w:rsidRDefault="00A77B3E">
      <w:pPr>
        <w:spacing w:line="360" w:lineRule="auto"/>
        <w:jc w:val="both"/>
      </w:pPr>
    </w:p>
    <w:p w14:paraId="1AA7DCE1" w14:textId="77777777" w:rsidR="00A77B3E" w:rsidRDefault="0055108A">
      <w:pPr>
        <w:spacing w:line="360" w:lineRule="auto"/>
        <w:jc w:val="both"/>
      </w:pPr>
      <w:r>
        <w:rPr>
          <w:rFonts w:ascii="Book Antiqua" w:eastAsia="Book Antiqua" w:hAnsi="Book Antiqua" w:cs="Book Antiqua"/>
          <w:color w:val="000000"/>
        </w:rPr>
        <w:t>CONCLUSION</w:t>
      </w:r>
    </w:p>
    <w:p w14:paraId="34D1587D" w14:textId="77777777" w:rsidR="00A77B3E" w:rsidRDefault="0055108A">
      <w:pPr>
        <w:spacing w:line="360" w:lineRule="auto"/>
        <w:jc w:val="both"/>
      </w:pPr>
      <w:r>
        <w:rPr>
          <w:rFonts w:ascii="Book Antiqua" w:eastAsia="Book Antiqua" w:hAnsi="Book Antiqua" w:cs="Book Antiqua"/>
          <w:color w:val="000000"/>
        </w:rPr>
        <w:t xml:space="preserve">EVL was highly effective in controlling the sentinel variceal bleed with an overall 5-day failure to control bleeding of 7.1%. Although repeated EVL achieved </w:t>
      </w:r>
      <w:r w:rsidRPr="00250BCC">
        <w:rPr>
          <w:rFonts w:ascii="Book Antiqua" w:eastAsia="Book Antiqua" w:hAnsi="Book Antiqua" w:cs="Book Antiqua"/>
          <w:iCs/>
          <w:color w:val="000000"/>
        </w:rPr>
        <w:t>complete</w:t>
      </w:r>
      <w:r w:rsidRPr="00322FBF">
        <w:rPr>
          <w:rFonts w:ascii="Book Antiqua" w:eastAsia="Book Antiqua" w:hAnsi="Book Antiqua" w:cs="Book Antiqua"/>
          <w:color w:val="000000"/>
        </w:rPr>
        <w:t xml:space="preserve"> </w:t>
      </w:r>
      <w:r>
        <w:rPr>
          <w:rFonts w:ascii="Book Antiqua" w:eastAsia="Book Antiqua" w:hAnsi="Book Antiqua" w:cs="Book Antiqua"/>
          <w:color w:val="000000"/>
        </w:rPr>
        <w:t xml:space="preserve">variceal eradication in less than half of patients with BEV, of whom 62% recurred, there was a significant reduction in subsequent rebleeding. </w:t>
      </w:r>
    </w:p>
    <w:p w14:paraId="5E3C8874" w14:textId="77777777" w:rsidR="00A77B3E" w:rsidRDefault="00A77B3E">
      <w:pPr>
        <w:spacing w:line="360" w:lineRule="auto"/>
        <w:jc w:val="both"/>
      </w:pPr>
    </w:p>
    <w:p w14:paraId="534BAA33" w14:textId="77777777" w:rsidR="00A77B3E" w:rsidRDefault="008E3525">
      <w:pPr>
        <w:spacing w:line="360" w:lineRule="auto"/>
        <w:jc w:val="both"/>
      </w:pPr>
      <w:r>
        <w:rPr>
          <w:rFonts w:ascii="Book Antiqua" w:eastAsia="Book Antiqua" w:hAnsi="Book Antiqua" w:cs="Book Antiqua"/>
          <w:b/>
          <w:bCs/>
          <w:color w:val="000000"/>
        </w:rPr>
        <w:t xml:space="preserve">Key </w:t>
      </w:r>
      <w:r>
        <w:rPr>
          <w:rFonts w:ascii="Book Antiqua" w:hAnsi="Book Antiqua" w:cs="Book Antiqua" w:hint="eastAsia"/>
          <w:b/>
          <w:bCs/>
          <w:color w:val="000000"/>
          <w:lang w:eastAsia="zh-CN"/>
        </w:rPr>
        <w:t>W</w:t>
      </w:r>
      <w:r w:rsidR="0055108A">
        <w:rPr>
          <w:rFonts w:ascii="Book Antiqua" w:eastAsia="Book Antiqua" w:hAnsi="Book Antiqua" w:cs="Book Antiqua"/>
          <w:b/>
          <w:bCs/>
          <w:color w:val="000000"/>
        </w:rPr>
        <w:t xml:space="preserve">ords: </w:t>
      </w:r>
      <w:r w:rsidR="0055108A">
        <w:rPr>
          <w:rFonts w:ascii="Book Antiqua" w:eastAsia="Book Antiqua" w:hAnsi="Book Antiqua" w:cs="Book Antiqua"/>
          <w:color w:val="000000"/>
        </w:rPr>
        <w:t xml:space="preserve">Endoscopy; Variceal ligation; Variceal bleeding; Secondary prophylaxis; </w:t>
      </w:r>
      <w:r w:rsidR="00DA6D6D">
        <w:rPr>
          <w:rFonts w:ascii="Book Antiqua" w:eastAsia="Book Antiqua" w:hAnsi="Book Antiqua" w:cs="Book Antiqua"/>
          <w:color w:val="000000"/>
        </w:rPr>
        <w:t>E</w:t>
      </w:r>
      <w:r w:rsidR="0055108A">
        <w:rPr>
          <w:rFonts w:ascii="Book Antiqua" w:eastAsia="Book Antiqua" w:hAnsi="Book Antiqua" w:cs="Book Antiqua"/>
          <w:color w:val="000000"/>
        </w:rPr>
        <w:t>sophageal varices; Variceal recurrence</w:t>
      </w:r>
    </w:p>
    <w:p w14:paraId="18CD3B20" w14:textId="77777777" w:rsidR="00A77B3E" w:rsidRDefault="00A77B3E">
      <w:pPr>
        <w:spacing w:line="360" w:lineRule="auto"/>
        <w:jc w:val="both"/>
      </w:pPr>
    </w:p>
    <w:p w14:paraId="1461F0E0" w14:textId="77777777" w:rsidR="00A77B3E" w:rsidRDefault="0055108A">
      <w:pPr>
        <w:spacing w:line="360" w:lineRule="auto"/>
        <w:jc w:val="both"/>
      </w:pPr>
      <w:r>
        <w:rPr>
          <w:rFonts w:ascii="Book Antiqua" w:eastAsia="Book Antiqua" w:hAnsi="Book Antiqua" w:cs="Book Antiqua"/>
          <w:color w:val="000000"/>
        </w:rPr>
        <w:t xml:space="preserve">Krige J, Jonas E, Kotze U, Kloppers C, Gandhi K, Allam H, Bernon M, Burmeister S, Setshedi M. </w:t>
      </w:r>
      <w:r w:rsidR="00AB72B4" w:rsidRPr="00AB72B4">
        <w:rPr>
          <w:rFonts w:ascii="Book Antiqua" w:eastAsia="Book Antiqua" w:hAnsi="Book Antiqua" w:cs="Book Antiqua"/>
          <w:color w:val="000000"/>
        </w:rPr>
        <w:t>Defining the advantages and exposing the limitations of endoscopic variceal ligation in controlling acute bleeding and achieving complete variceal eradication</w:t>
      </w:r>
      <w:r w:rsidR="00AB72B4">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In press</w:t>
      </w:r>
    </w:p>
    <w:p w14:paraId="0C628856" w14:textId="77777777" w:rsidR="00A77B3E" w:rsidRDefault="00A77B3E">
      <w:pPr>
        <w:spacing w:line="360" w:lineRule="auto"/>
        <w:jc w:val="both"/>
      </w:pPr>
    </w:p>
    <w:p w14:paraId="3B14FF3E" w14:textId="0BBC0716" w:rsidR="00A77B3E" w:rsidRDefault="008E3525">
      <w:pPr>
        <w:spacing w:line="360" w:lineRule="auto"/>
        <w:jc w:val="both"/>
      </w:pPr>
      <w:r>
        <w:rPr>
          <w:rFonts w:ascii="Book Antiqua" w:eastAsia="Book Antiqua" w:hAnsi="Book Antiqua" w:cs="Book Antiqua"/>
          <w:b/>
          <w:bCs/>
          <w:color w:val="000000"/>
        </w:rPr>
        <w:t xml:space="preserve">Core </w:t>
      </w:r>
      <w:r>
        <w:rPr>
          <w:rFonts w:ascii="Book Antiqua" w:hAnsi="Book Antiqua" w:cs="Book Antiqua" w:hint="eastAsia"/>
          <w:b/>
          <w:bCs/>
          <w:color w:val="000000"/>
          <w:lang w:eastAsia="zh-CN"/>
        </w:rPr>
        <w:t>T</w:t>
      </w:r>
      <w:r w:rsidR="0055108A">
        <w:rPr>
          <w:rFonts w:ascii="Book Antiqua" w:eastAsia="Book Antiqua" w:hAnsi="Book Antiqua" w:cs="Book Antiqua"/>
          <w:b/>
          <w:bCs/>
          <w:color w:val="000000"/>
        </w:rPr>
        <w:t xml:space="preserve">ip: </w:t>
      </w:r>
      <w:r w:rsidR="0055108A">
        <w:rPr>
          <w:rFonts w:ascii="Book Antiqua" w:eastAsia="Book Antiqua" w:hAnsi="Book Antiqua" w:cs="Book Antiqua"/>
          <w:color w:val="000000"/>
        </w:rPr>
        <w:t>Control of acute bleeding is crucial in patients with portal hypertension and actively bleeding esophageal varices</w:t>
      </w:r>
      <w:r w:rsidR="00322FBF">
        <w:rPr>
          <w:rFonts w:ascii="Book Antiqua" w:eastAsia="Book Antiqua" w:hAnsi="Book Antiqua" w:cs="Book Antiqua"/>
          <w:color w:val="000000"/>
        </w:rPr>
        <w:t xml:space="preserve"> (BEV)</w:t>
      </w:r>
      <w:r w:rsidR="0055108A">
        <w:rPr>
          <w:rFonts w:ascii="Book Antiqua" w:eastAsia="Book Antiqua" w:hAnsi="Book Antiqua" w:cs="Book Antiqua"/>
          <w:color w:val="000000"/>
        </w:rPr>
        <w:t xml:space="preserve">. The present study demonstrated that </w:t>
      </w:r>
      <w:r w:rsidR="00D666D2">
        <w:rPr>
          <w:rFonts w:ascii="Book Antiqua" w:eastAsia="Book Antiqua" w:hAnsi="Book Antiqua" w:cs="Book Antiqua"/>
          <w:color w:val="000000"/>
        </w:rPr>
        <w:t xml:space="preserve">endoscopic variceal ligation </w:t>
      </w:r>
      <w:r w:rsidR="00D666D2">
        <w:rPr>
          <w:rFonts w:ascii="Book Antiqua" w:hAnsi="Book Antiqua" w:cs="Book Antiqua" w:hint="eastAsia"/>
          <w:color w:val="000000"/>
          <w:lang w:eastAsia="zh-CN"/>
        </w:rPr>
        <w:t>(</w:t>
      </w:r>
      <w:r w:rsidR="0055108A">
        <w:rPr>
          <w:rFonts w:ascii="Book Antiqua" w:eastAsia="Book Antiqua" w:hAnsi="Book Antiqua" w:cs="Book Antiqua"/>
          <w:color w:val="000000"/>
        </w:rPr>
        <w:t>EVL</w:t>
      </w:r>
      <w:r w:rsidR="00D666D2">
        <w:rPr>
          <w:rFonts w:ascii="Book Antiqua" w:hAnsi="Book Antiqua" w:cs="Book Antiqua" w:hint="eastAsia"/>
          <w:color w:val="000000"/>
          <w:lang w:eastAsia="zh-CN"/>
        </w:rPr>
        <w:t>)</w:t>
      </w:r>
      <w:r w:rsidR="0055108A">
        <w:rPr>
          <w:rFonts w:ascii="Book Antiqua" w:eastAsia="Book Antiqua" w:hAnsi="Book Antiqua" w:cs="Book Antiqua"/>
          <w:color w:val="000000"/>
        </w:rPr>
        <w:t xml:space="preserve"> was highly effective in controlling acute variceal bleeding during the first endoscopic intervention in 95.7% of 140 pati</w:t>
      </w:r>
      <w:r w:rsidR="00D666D2">
        <w:rPr>
          <w:rFonts w:ascii="Book Antiqua" w:eastAsia="Book Antiqua" w:hAnsi="Book Antiqua" w:cs="Book Antiqua"/>
          <w:color w:val="000000"/>
        </w:rPr>
        <w:t>ents with an overall 5-d</w:t>
      </w:r>
      <w:r w:rsidR="0055108A">
        <w:rPr>
          <w:rFonts w:ascii="Book Antiqua" w:eastAsia="Book Antiqua" w:hAnsi="Book Antiqua" w:cs="Book Antiqua"/>
          <w:color w:val="000000"/>
        </w:rPr>
        <w:t xml:space="preserve"> failure to control bleeding of 7.1%. </w:t>
      </w:r>
      <w:r w:rsidR="0055108A">
        <w:rPr>
          <w:rFonts w:ascii="Book Antiqua" w:eastAsia="Book Antiqua" w:hAnsi="Book Antiqua" w:cs="Book Antiqua"/>
          <w:color w:val="000000"/>
        </w:rPr>
        <w:lastRenderedPageBreak/>
        <w:t xml:space="preserve">Although repeated EVL achieved </w:t>
      </w:r>
      <w:r w:rsidR="0055108A" w:rsidRPr="00AB72B4">
        <w:rPr>
          <w:rFonts w:ascii="Book Antiqua" w:eastAsia="Book Antiqua" w:hAnsi="Book Antiqua" w:cs="Book Antiqua"/>
          <w:color w:val="000000"/>
        </w:rPr>
        <w:t>complete</w:t>
      </w:r>
      <w:r w:rsidR="0055108A">
        <w:rPr>
          <w:rFonts w:ascii="Book Antiqua" w:eastAsia="Book Antiqua" w:hAnsi="Book Antiqua" w:cs="Book Antiqua"/>
          <w:color w:val="000000"/>
        </w:rPr>
        <w:t xml:space="preserve"> variceal eradication in less than half of patients with BEV, of </w:t>
      </w:r>
      <w:r w:rsidR="00591A89">
        <w:rPr>
          <w:rFonts w:ascii="Book Antiqua" w:eastAsia="Book Antiqua" w:hAnsi="Book Antiqua" w:cs="Book Antiqua"/>
          <w:color w:val="000000"/>
        </w:rPr>
        <w:t>which</w:t>
      </w:r>
      <w:r w:rsidR="0055108A">
        <w:rPr>
          <w:rFonts w:ascii="Book Antiqua" w:eastAsia="Book Antiqua" w:hAnsi="Book Antiqua" w:cs="Book Antiqua"/>
          <w:color w:val="000000"/>
        </w:rPr>
        <w:t xml:space="preserve"> 62% recurred, there was a significant reduction in subsequent rebleeding. EVL was effective and safe with a low complication rate in treating BEV.</w:t>
      </w:r>
    </w:p>
    <w:p w14:paraId="2F90C99D" w14:textId="77777777" w:rsidR="00A77B3E" w:rsidRDefault="00A77B3E">
      <w:pPr>
        <w:spacing w:line="360" w:lineRule="auto"/>
        <w:jc w:val="both"/>
      </w:pPr>
    </w:p>
    <w:p w14:paraId="60934893" w14:textId="77777777" w:rsidR="00A77B3E" w:rsidRDefault="00C913F4">
      <w:pPr>
        <w:spacing w:line="360" w:lineRule="auto"/>
        <w:jc w:val="both"/>
      </w:pPr>
      <w:r>
        <w:rPr>
          <w:rFonts w:ascii="Book Antiqua" w:eastAsia="Book Antiqua" w:hAnsi="Book Antiqua" w:cs="Book Antiqua"/>
          <w:b/>
          <w:caps/>
          <w:color w:val="000000"/>
          <w:u w:val="single"/>
        </w:rPr>
        <w:br w:type="page"/>
      </w:r>
      <w:r w:rsidR="0055108A">
        <w:rPr>
          <w:rFonts w:ascii="Book Antiqua" w:eastAsia="Book Antiqua" w:hAnsi="Book Antiqua" w:cs="Book Antiqua"/>
          <w:b/>
          <w:caps/>
          <w:color w:val="000000"/>
          <w:u w:val="single"/>
        </w:rPr>
        <w:lastRenderedPageBreak/>
        <w:t>INTRODUCTION</w:t>
      </w:r>
    </w:p>
    <w:p w14:paraId="0D54269E" w14:textId="7B5B13BD" w:rsidR="00A77B3E" w:rsidRDefault="0055108A">
      <w:pPr>
        <w:spacing w:line="360" w:lineRule="auto"/>
        <w:jc w:val="both"/>
      </w:pPr>
      <w:r>
        <w:rPr>
          <w:rFonts w:ascii="Book Antiqua" w:eastAsia="Book Antiqua" w:hAnsi="Book Antiqua" w:cs="Book Antiqua"/>
          <w:color w:val="000000"/>
        </w:rPr>
        <w:t xml:space="preserve">Bleeding esophageal varices (BEV) is a potentially life-threatening complication in patients with portal hypertension with mortality rates as high as 25% within six weeks of the index variceal </w:t>
      </w:r>
      <w:proofErr w:type="gramStart"/>
      <w:r>
        <w:rPr>
          <w:rFonts w:ascii="Book Antiqua" w:eastAsia="Book Antiqua" w:hAnsi="Book Antiqua" w:cs="Book Antiqua"/>
          <w:color w:val="000000"/>
        </w:rPr>
        <w:t>bleed</w:t>
      </w:r>
      <w:r w:rsidR="00B679C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Although endoscopic intervention provides the optimal emergency method </w:t>
      </w:r>
      <w:r w:rsidR="00322FBF">
        <w:rPr>
          <w:rFonts w:ascii="Book Antiqua" w:eastAsia="Book Antiqua" w:hAnsi="Book Antiqua" w:cs="Book Antiqua"/>
          <w:color w:val="000000"/>
        </w:rPr>
        <w:t>to</w:t>
      </w:r>
      <w:r>
        <w:rPr>
          <w:rFonts w:ascii="Book Antiqua" w:eastAsia="Book Antiqua" w:hAnsi="Book Antiqua" w:cs="Book Antiqua"/>
          <w:color w:val="000000"/>
        </w:rPr>
        <w:t xml:space="preserve"> control actively BEV, the risks of bleeding complications remain substantial and as many as 23% of patients have treatment failure within 5</w:t>
      </w:r>
      <w:r w:rsidR="0005326D">
        <w:rPr>
          <w:rFonts w:ascii="Book Antiqua" w:eastAsia="Book Antiqua" w:hAnsi="Book Antiqua" w:cs="Book Antiqua"/>
          <w:color w:val="000000"/>
        </w:rPr>
        <w:t>-</w:t>
      </w:r>
      <w:r>
        <w:rPr>
          <w:rFonts w:ascii="Book Antiqua" w:eastAsia="Book Antiqua" w:hAnsi="Book Antiqua" w:cs="Book Antiqua"/>
          <w:color w:val="000000"/>
        </w:rPr>
        <w:t xml:space="preserve">d due to either uncontrolled or early </w:t>
      </w:r>
      <w:proofErr w:type="gramStart"/>
      <w:r>
        <w:rPr>
          <w:rFonts w:ascii="Book Antiqua" w:eastAsia="Book Antiqua" w:hAnsi="Book Antiqua" w:cs="Book Antiqua"/>
          <w:color w:val="000000"/>
        </w:rPr>
        <w:t>rebleeding</w:t>
      </w:r>
      <w:r w:rsidR="00B679C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Approximately 60% of survivors rebleed within two years after the initial bleeding episode with a mortality rate of 30</w:t>
      </w:r>
      <w:proofErr w:type="gramStart"/>
      <w:r>
        <w:rPr>
          <w:rFonts w:ascii="Book Antiqua" w:eastAsia="Book Antiqua" w:hAnsi="Book Antiqua" w:cs="Book Antiqua"/>
          <w:color w:val="000000"/>
        </w:rPr>
        <w:t>%</w:t>
      </w:r>
      <w:r w:rsidR="00B679C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Secondary prophylaxis of variceal bleeding is thus crucial and there is </w:t>
      </w:r>
      <w:r w:rsidR="00322FBF">
        <w:rPr>
          <w:rFonts w:ascii="Book Antiqua" w:eastAsia="Book Antiqua" w:hAnsi="Book Antiqua" w:cs="Book Antiqua"/>
          <w:color w:val="000000"/>
        </w:rPr>
        <w:t xml:space="preserve">a </w:t>
      </w:r>
      <w:r>
        <w:rPr>
          <w:rFonts w:ascii="Book Antiqua" w:eastAsia="Book Antiqua" w:hAnsi="Book Antiqua" w:cs="Book Antiqua"/>
          <w:color w:val="000000"/>
        </w:rPr>
        <w:t>general consensus, supported by the American Association for the Study of Liver Diseases (AASLD), the American Society for Gastrointestinal Endoscopy (ASGE) and the British Society of Gastroenterology (BSG) guidelines that following an initial bleeding episode patients should enter a long-term surveillance program with endoscopic intervention combined with non-selective β-blockers to pre-empt further bleeding and eradicate EV</w:t>
      </w:r>
      <w:r w:rsidR="00B679C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1,3-5</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05A2E7F" w14:textId="77777777" w:rsidR="00A77B3E" w:rsidRDefault="0055108A" w:rsidP="00D666D2">
      <w:pPr>
        <w:spacing w:line="360" w:lineRule="auto"/>
        <w:ind w:firstLineChars="100" w:firstLine="240"/>
        <w:jc w:val="both"/>
      </w:pPr>
      <w:r>
        <w:rPr>
          <w:rFonts w:ascii="Book Antiqua" w:eastAsia="Book Antiqua" w:hAnsi="Book Antiqua" w:cs="Book Antiqua"/>
          <w:color w:val="000000"/>
        </w:rPr>
        <w:t>Endoscopic variceal ligation (EVL) has replaced injection sclerotherapy (IST) as the endoscopic interventional procedure of choice for BEV, supported by randomized controlled trial data that show more rapid eradication of varices with lower rates of recurrent bleeding and fewer endoscopic-related complications</w:t>
      </w:r>
      <w:r w:rsidR="00B679C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few studies have specifically evaluated detailed outcome</w:t>
      </w:r>
      <w:r w:rsidR="005F1BFE">
        <w:rPr>
          <w:rFonts w:ascii="Book Antiqua" w:eastAsia="Book Antiqua" w:hAnsi="Book Antiqua" w:cs="Book Antiqua"/>
          <w:color w:val="000000"/>
        </w:rPr>
        <w:t>s</w:t>
      </w:r>
      <w:r>
        <w:rPr>
          <w:rFonts w:ascii="Book Antiqua" w:eastAsia="Book Antiqua" w:hAnsi="Book Antiqua" w:cs="Book Antiqua"/>
          <w:color w:val="000000"/>
        </w:rPr>
        <w:t xml:space="preserve"> in relation to the inherent technical constraints of ligating device design which may influence the effectiveness of EVL in controlling acute variceal bleeding and in particular, achieving</w:t>
      </w:r>
      <w:r w:rsidRPr="00B679CB">
        <w:rPr>
          <w:rFonts w:ascii="Book Antiqua" w:eastAsia="Book Antiqua" w:hAnsi="Book Antiqua" w:cs="Book Antiqua"/>
          <w:color w:val="000000"/>
        </w:rPr>
        <w:t xml:space="preserve"> </w:t>
      </w:r>
      <w:r w:rsidRPr="00AB72B4">
        <w:rPr>
          <w:rFonts w:ascii="Book Antiqua" w:eastAsia="Book Antiqua" w:hAnsi="Book Antiqua" w:cs="Book Antiqua"/>
          <w:iCs/>
          <w:color w:val="000000"/>
        </w:rPr>
        <w:t>complete</w:t>
      </w:r>
      <w:r w:rsidRPr="00B679CB">
        <w:rPr>
          <w:rFonts w:ascii="Book Antiqua" w:eastAsia="Book Antiqua" w:hAnsi="Book Antiqua" w:cs="Book Antiqua"/>
          <w:color w:val="000000"/>
        </w:rPr>
        <w:t xml:space="preserve"> e</w:t>
      </w:r>
      <w:r>
        <w:rPr>
          <w:rFonts w:ascii="Book Antiqua" w:eastAsia="Book Antiqua" w:hAnsi="Book Antiqua" w:cs="Book Antiqua"/>
          <w:color w:val="000000"/>
        </w:rPr>
        <w:t xml:space="preserve">radication of varices, a problem conceptually more relevant to endoscopic banding than sclerotherapy. This prospective study, based on a protocol-driven standardized EVL technique from a high-volume academic endoscopy referral </w:t>
      </w:r>
      <w:r w:rsidR="0005326D">
        <w:rPr>
          <w:rFonts w:ascii="Book Antiqua" w:eastAsia="Book Antiqua" w:hAnsi="Book Antiqua" w:cs="Book Antiqua"/>
          <w:color w:val="000000"/>
        </w:rPr>
        <w:t>center</w:t>
      </w:r>
      <w:r>
        <w:rPr>
          <w:rFonts w:ascii="Book Antiqua" w:eastAsia="Book Antiqua" w:hAnsi="Book Antiqua" w:cs="Book Antiqua"/>
          <w:color w:val="000000"/>
        </w:rPr>
        <w:t xml:space="preserve">, assessed the efficacy of EVL in controlling acute variceal bleeding, preventing early rebleeding and achieving </w:t>
      </w:r>
      <w:r w:rsidRPr="00AB72B4">
        <w:rPr>
          <w:rFonts w:ascii="Book Antiqua" w:eastAsia="Book Antiqua" w:hAnsi="Book Antiqua" w:cs="Book Antiqua"/>
          <w:color w:val="000000"/>
        </w:rPr>
        <w:t>complete</w:t>
      </w:r>
      <w:r>
        <w:rPr>
          <w:rFonts w:ascii="Book Antiqua" w:eastAsia="Book Antiqua" w:hAnsi="Book Antiqua" w:cs="Book Antiqua"/>
          <w:color w:val="000000"/>
        </w:rPr>
        <w:t xml:space="preserve"> and durable variceal eradication to prevent late recurrent bleeding in a cohort of patients who presented with an index variceal bleeding event.</w:t>
      </w:r>
    </w:p>
    <w:p w14:paraId="4EB6B9B1" w14:textId="77777777" w:rsidR="00A77B3E" w:rsidRDefault="00A77B3E">
      <w:pPr>
        <w:spacing w:line="360" w:lineRule="auto"/>
        <w:jc w:val="both"/>
      </w:pPr>
    </w:p>
    <w:p w14:paraId="52FEA95F" w14:textId="77777777" w:rsidR="00A77B3E" w:rsidRDefault="0055108A">
      <w:pPr>
        <w:spacing w:line="360" w:lineRule="auto"/>
        <w:jc w:val="both"/>
      </w:pPr>
      <w:r>
        <w:rPr>
          <w:rFonts w:ascii="Book Antiqua" w:eastAsia="Book Antiqua" w:hAnsi="Book Antiqua" w:cs="Book Antiqua"/>
          <w:b/>
          <w:caps/>
          <w:color w:val="000000"/>
          <w:u w:val="single"/>
        </w:rPr>
        <w:t>MATERIALS AND METHODS</w:t>
      </w:r>
    </w:p>
    <w:p w14:paraId="0EB474D6" w14:textId="77777777" w:rsidR="00A77B3E" w:rsidRPr="000668A2" w:rsidRDefault="000668A2">
      <w:pPr>
        <w:spacing w:line="360" w:lineRule="auto"/>
        <w:jc w:val="both"/>
        <w:rPr>
          <w:b/>
          <w:i/>
        </w:rPr>
      </w:pPr>
      <w:r w:rsidRPr="000668A2">
        <w:rPr>
          <w:rFonts w:ascii="Book Antiqua" w:eastAsia="Book Antiqua" w:hAnsi="Book Antiqua" w:cs="Book Antiqua"/>
          <w:b/>
          <w:i/>
          <w:color w:val="000000"/>
        </w:rPr>
        <w:t>Patients and methods</w:t>
      </w:r>
    </w:p>
    <w:p w14:paraId="3BF2E89E" w14:textId="77777777" w:rsidR="00A77B3E" w:rsidRDefault="0055108A">
      <w:pPr>
        <w:spacing w:line="360" w:lineRule="auto"/>
        <w:jc w:val="both"/>
      </w:pPr>
      <w:r>
        <w:rPr>
          <w:rFonts w:ascii="Book Antiqua" w:eastAsia="Book Antiqua" w:hAnsi="Book Antiqua" w:cs="Book Antiqua"/>
          <w:color w:val="000000"/>
        </w:rPr>
        <w:t xml:space="preserve">Consecutive adult patients with endoscopically proven BEV admitted to a specialist surgical gastroenterology unit with a particular interest in portal hypertension in Groote Schuur Hospital, Cape Town between January 2000 and December 2018 were assessed. Patients who had received sclerotherapy or had endoscopic treatment initiated elsewhere were excluded. The outcome of all endoscopic treatments, both emergency and subsequent elective therapy, was </w:t>
      </w:r>
      <w:r w:rsidR="00015363">
        <w:rPr>
          <w:rFonts w:ascii="Book Antiqua" w:eastAsia="Book Antiqua" w:hAnsi="Book Antiqua" w:cs="Book Antiqua"/>
          <w:color w:val="000000"/>
        </w:rPr>
        <w:t>analyzed</w:t>
      </w:r>
      <w:r>
        <w:rPr>
          <w:rFonts w:ascii="Book Antiqua" w:eastAsia="Book Antiqua" w:hAnsi="Book Antiqua" w:cs="Book Antiqua"/>
          <w:color w:val="000000"/>
        </w:rPr>
        <w:t xml:space="preserve"> to assess the efficacy of EVL in acute variceal bleeding control and achieving </w:t>
      </w:r>
      <w:r w:rsidRPr="00AB72B4">
        <w:rPr>
          <w:rFonts w:ascii="Book Antiqua" w:eastAsia="Book Antiqua" w:hAnsi="Book Antiqua" w:cs="Book Antiqua"/>
          <w:color w:val="000000"/>
        </w:rPr>
        <w:t>complete</w:t>
      </w:r>
      <w:r>
        <w:rPr>
          <w:rFonts w:ascii="Book Antiqua" w:eastAsia="Book Antiqua" w:hAnsi="Book Antiqua" w:cs="Book Antiqua"/>
          <w:color w:val="000000"/>
        </w:rPr>
        <w:t xml:space="preserve"> and lasting variceal eradication.</w:t>
      </w:r>
      <w:r w:rsidR="0005326D">
        <w:rPr>
          <w:rFonts w:ascii="Book Antiqua" w:eastAsia="Book Antiqua" w:hAnsi="Book Antiqua" w:cs="Book Antiqua"/>
          <w:color w:val="000000"/>
        </w:rPr>
        <w:t xml:space="preserve"> </w:t>
      </w:r>
      <w:r w:rsidR="0005326D" w:rsidRPr="0005326D">
        <w:rPr>
          <w:rFonts w:ascii="Book Antiqua" w:eastAsia="Book Antiqua" w:hAnsi="Book Antiqua" w:cs="Book Antiqua"/>
          <w:color w:val="000000"/>
        </w:rPr>
        <w:t xml:space="preserve">The study was a monocentric retrospective analysis following </w:t>
      </w:r>
      <w:proofErr w:type="spellStart"/>
      <w:r w:rsidR="0005326D" w:rsidRPr="0005326D">
        <w:rPr>
          <w:rFonts w:ascii="Book Antiqua" w:eastAsia="Book Antiqua" w:hAnsi="Book Antiqua" w:cs="Book Antiqua"/>
          <w:color w:val="000000"/>
        </w:rPr>
        <w:t>STrengthening</w:t>
      </w:r>
      <w:proofErr w:type="spellEnd"/>
      <w:r w:rsidR="0005326D" w:rsidRPr="0005326D">
        <w:rPr>
          <w:rFonts w:ascii="Book Antiqua" w:eastAsia="Book Antiqua" w:hAnsi="Book Antiqua" w:cs="Book Antiqua"/>
          <w:color w:val="000000"/>
        </w:rPr>
        <w:t xml:space="preserve"> the Reporting of </w:t>
      </w:r>
      <w:proofErr w:type="spellStart"/>
      <w:r w:rsidR="0005326D" w:rsidRPr="0005326D">
        <w:rPr>
          <w:rFonts w:ascii="Book Antiqua" w:eastAsia="Book Antiqua" w:hAnsi="Book Antiqua" w:cs="Book Antiqua"/>
          <w:color w:val="000000"/>
        </w:rPr>
        <w:t>OBservational</w:t>
      </w:r>
      <w:proofErr w:type="spellEnd"/>
      <w:r w:rsidR="0005326D" w:rsidRPr="0005326D">
        <w:rPr>
          <w:rFonts w:ascii="Book Antiqua" w:eastAsia="Book Antiqua" w:hAnsi="Book Antiqua" w:cs="Book Antiqua"/>
          <w:color w:val="000000"/>
        </w:rPr>
        <w:t xml:space="preserve"> studies in Epidemiology (STROBE) statements of all patients.  After approval from the institutional Human Research and Ethics Committee, the unit database was searched and filtered for adult patients with endoscopically proven BEV who received EVL as the endoscopic method of treatment.</w:t>
      </w:r>
    </w:p>
    <w:p w14:paraId="70D2DC0C" w14:textId="77777777" w:rsidR="000668A2" w:rsidRDefault="000668A2">
      <w:pPr>
        <w:spacing w:line="360" w:lineRule="auto"/>
        <w:jc w:val="both"/>
        <w:rPr>
          <w:rFonts w:ascii="Book Antiqua" w:hAnsi="Book Antiqua" w:cs="Book Antiqua"/>
          <w:b/>
          <w:bCs/>
          <w:i/>
          <w:color w:val="000000"/>
          <w:lang w:eastAsia="zh-CN"/>
        </w:rPr>
      </w:pPr>
    </w:p>
    <w:p w14:paraId="6450B2B7" w14:textId="77777777" w:rsidR="00A77B3E" w:rsidRPr="000668A2" w:rsidRDefault="0055108A">
      <w:pPr>
        <w:spacing w:line="360" w:lineRule="auto"/>
        <w:jc w:val="both"/>
        <w:rPr>
          <w:i/>
        </w:rPr>
      </w:pPr>
      <w:r w:rsidRPr="000668A2">
        <w:rPr>
          <w:rFonts w:ascii="Book Antiqua" w:eastAsia="Book Antiqua" w:hAnsi="Book Antiqua" w:cs="Book Antiqua"/>
          <w:b/>
          <w:bCs/>
          <w:i/>
          <w:color w:val="000000"/>
        </w:rPr>
        <w:t>Data extraction</w:t>
      </w:r>
    </w:p>
    <w:p w14:paraId="06E50827" w14:textId="701123D5" w:rsidR="00A77B3E" w:rsidRDefault="0055108A">
      <w:pPr>
        <w:spacing w:line="360" w:lineRule="auto"/>
        <w:jc w:val="both"/>
      </w:pPr>
      <w:r>
        <w:rPr>
          <w:rFonts w:ascii="Book Antiqua" w:eastAsia="Book Antiqua" w:hAnsi="Book Antiqua" w:cs="Book Antiqua"/>
          <w:color w:val="000000"/>
        </w:rPr>
        <w:t xml:space="preserve">All data were entered prospectively into a bespoke computer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by a dedicated research and data manager. Data collected included demographic and clinical information, cause of portal hypertension, Child–Pugh score, hematology and liver function tests, liver biopsy, imaging results, endoscopy information, including variceal size, number of bands placed at each session, the interval between and the number of banding sessions. Outcome data included the efficacy of EVL in controlling the acute index bleed, preventing early rebleeding, achieving </w:t>
      </w:r>
      <w:r w:rsidRPr="00AB72B4">
        <w:rPr>
          <w:rFonts w:ascii="Book Antiqua" w:eastAsia="Book Antiqua" w:hAnsi="Book Antiqua" w:cs="Book Antiqua"/>
          <w:color w:val="000000"/>
        </w:rPr>
        <w:t>complete</w:t>
      </w:r>
      <w:r>
        <w:rPr>
          <w:rFonts w:ascii="Book Antiqua" w:eastAsia="Book Antiqua" w:hAnsi="Book Antiqua" w:cs="Book Antiqua"/>
          <w:color w:val="000000"/>
        </w:rPr>
        <w:t xml:space="preserve"> variceal eradication, minimizing late recurrent bleeding and overall survival. Data were analy</w:t>
      </w:r>
      <w:r w:rsidR="00AA76DA">
        <w:rPr>
          <w:rFonts w:ascii="Book Antiqua" w:eastAsia="Book Antiqua" w:hAnsi="Book Antiqua" w:cs="Book Antiqua"/>
          <w:color w:val="000000"/>
        </w:rPr>
        <w:t>z</w:t>
      </w:r>
      <w:r>
        <w:rPr>
          <w:rFonts w:ascii="Book Antiqua" w:eastAsia="Book Antiqua" w:hAnsi="Book Antiqua" w:cs="Book Antiqua"/>
          <w:color w:val="000000"/>
        </w:rPr>
        <w:t>ed on 30 January 2020.</w:t>
      </w:r>
    </w:p>
    <w:p w14:paraId="1B766256" w14:textId="77777777" w:rsidR="00801875" w:rsidRDefault="00801875">
      <w:pPr>
        <w:spacing w:line="360" w:lineRule="auto"/>
        <w:jc w:val="both"/>
        <w:rPr>
          <w:rFonts w:ascii="Book Antiqua" w:hAnsi="Book Antiqua" w:cs="Book Antiqua"/>
          <w:b/>
          <w:bCs/>
          <w:i/>
          <w:color w:val="000000"/>
          <w:lang w:eastAsia="zh-CN"/>
        </w:rPr>
      </w:pPr>
    </w:p>
    <w:p w14:paraId="27A7507D" w14:textId="77777777" w:rsidR="00A77B3E" w:rsidRPr="00801875" w:rsidRDefault="0055108A">
      <w:pPr>
        <w:spacing w:line="360" w:lineRule="auto"/>
        <w:jc w:val="both"/>
        <w:rPr>
          <w:i/>
        </w:rPr>
      </w:pPr>
      <w:r w:rsidRPr="00801875">
        <w:rPr>
          <w:rFonts w:ascii="Book Antiqua" w:eastAsia="Book Antiqua" w:hAnsi="Book Antiqua" w:cs="Book Antiqua"/>
          <w:b/>
          <w:bCs/>
          <w:i/>
          <w:color w:val="000000"/>
        </w:rPr>
        <w:t>Study endpoints</w:t>
      </w:r>
    </w:p>
    <w:p w14:paraId="58C79DAE" w14:textId="77777777" w:rsidR="00A77B3E" w:rsidRDefault="0055108A">
      <w:pPr>
        <w:spacing w:line="360" w:lineRule="auto"/>
        <w:jc w:val="both"/>
      </w:pPr>
      <w:r>
        <w:rPr>
          <w:rFonts w:ascii="Book Antiqua" w:eastAsia="Book Antiqua" w:hAnsi="Book Antiqua" w:cs="Book Antiqua"/>
          <w:color w:val="000000"/>
        </w:rPr>
        <w:lastRenderedPageBreak/>
        <w:t>The primary endpoints of the study we</w:t>
      </w:r>
      <w:r w:rsidR="00801875">
        <w:rPr>
          <w:rFonts w:ascii="Book Antiqua" w:eastAsia="Book Antiqua" w:hAnsi="Book Antiqua" w:cs="Book Antiqua"/>
          <w:color w:val="000000"/>
        </w:rPr>
        <w:t>re (</w:t>
      </w:r>
      <w:r w:rsidR="00801875">
        <w:rPr>
          <w:rFonts w:ascii="Book Antiqua" w:hAnsi="Book Antiqua" w:cs="Book Antiqua" w:hint="eastAsia"/>
          <w:color w:val="000000"/>
          <w:lang w:eastAsia="zh-CN"/>
        </w:rPr>
        <w:t>1</w:t>
      </w:r>
      <w:r>
        <w:rPr>
          <w:rFonts w:ascii="Book Antiqua" w:eastAsia="Book Antiqua" w:hAnsi="Book Antiqua" w:cs="Book Antiqua"/>
          <w:color w:val="000000"/>
        </w:rPr>
        <w:t>) effective endoscopic control of the index</w:t>
      </w:r>
      <w:r w:rsidR="00801875">
        <w:rPr>
          <w:rFonts w:ascii="Book Antiqua" w:eastAsia="Book Antiqua" w:hAnsi="Book Antiqua" w:cs="Book Antiqua"/>
          <w:color w:val="000000"/>
        </w:rPr>
        <w:t xml:space="preserve"> variceal bleeding event</w:t>
      </w:r>
      <w:r w:rsidR="009442C9">
        <w:rPr>
          <w:rFonts w:ascii="Book Antiqua" w:eastAsia="Book Antiqua" w:hAnsi="Book Antiqua" w:cs="Book Antiqua"/>
          <w:color w:val="000000"/>
        </w:rPr>
        <w:t>;</w:t>
      </w:r>
      <w:r w:rsidR="00801875">
        <w:rPr>
          <w:rFonts w:ascii="Book Antiqua" w:eastAsia="Book Antiqua" w:hAnsi="Book Antiqua" w:cs="Book Antiqua"/>
          <w:color w:val="000000"/>
        </w:rPr>
        <w:t xml:space="preserve"> and (</w:t>
      </w:r>
      <w:r w:rsidR="00801875">
        <w:rPr>
          <w:rFonts w:ascii="Book Antiqua" w:hAnsi="Book Antiqua" w:cs="Book Antiqua" w:hint="eastAsia"/>
          <w:color w:val="000000"/>
          <w:lang w:eastAsia="zh-CN"/>
        </w:rPr>
        <w:t>2</w:t>
      </w:r>
      <w:r>
        <w:rPr>
          <w:rFonts w:ascii="Book Antiqua" w:eastAsia="Book Antiqua" w:hAnsi="Book Antiqua" w:cs="Book Antiqua"/>
          <w:color w:val="000000"/>
        </w:rPr>
        <w:t>) success in achieving</w:t>
      </w:r>
      <w:r w:rsidRPr="00801875">
        <w:rPr>
          <w:rFonts w:ascii="Book Antiqua" w:eastAsia="Book Antiqua" w:hAnsi="Book Antiqua" w:cs="Book Antiqua"/>
          <w:color w:val="000000"/>
        </w:rPr>
        <w:t xml:space="preserve"> </w:t>
      </w:r>
      <w:r w:rsidRPr="00801875">
        <w:rPr>
          <w:rFonts w:ascii="Book Antiqua" w:eastAsia="Book Antiqua" w:hAnsi="Book Antiqua" w:cs="Book Antiqua"/>
          <w:iCs/>
          <w:color w:val="000000"/>
        </w:rPr>
        <w:t>complete</w:t>
      </w:r>
      <w:r>
        <w:rPr>
          <w:rFonts w:ascii="Book Antiqua" w:eastAsia="Book Antiqua" w:hAnsi="Book Antiqua" w:cs="Book Antiqua"/>
          <w:color w:val="000000"/>
        </w:rPr>
        <w:t xml:space="preserve"> variceal eradication as defined in the analysis criteria.</w:t>
      </w:r>
      <w:r w:rsidR="00801875">
        <w:rPr>
          <w:rFonts w:ascii="Book Antiqua" w:eastAsia="Book Antiqua" w:hAnsi="Book Antiqua" w:cs="Book Antiqua"/>
          <w:color w:val="000000"/>
        </w:rPr>
        <w:t xml:space="preserve"> Secondary endpoints included (</w:t>
      </w:r>
      <w:r w:rsidR="00801875">
        <w:rPr>
          <w:rFonts w:ascii="Book Antiqua" w:hAnsi="Book Antiqua" w:cs="Book Antiqua" w:hint="eastAsia"/>
          <w:color w:val="000000"/>
          <w:lang w:eastAsia="zh-CN"/>
        </w:rPr>
        <w:t>1</w:t>
      </w:r>
      <w:r w:rsidR="00801875">
        <w:rPr>
          <w:rFonts w:ascii="Book Antiqua" w:eastAsia="Book Antiqua" w:hAnsi="Book Antiqua" w:cs="Book Antiqua"/>
          <w:color w:val="000000"/>
        </w:rPr>
        <w:t>) early rebleeding</w:t>
      </w:r>
      <w:r w:rsidR="0080187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01875">
        <w:rPr>
          <w:rFonts w:ascii="Book Antiqua" w:hAnsi="Book Antiqua" w:cs="Book Antiqua" w:hint="eastAsia"/>
          <w:color w:val="000000"/>
          <w:lang w:eastAsia="zh-CN"/>
        </w:rPr>
        <w:t>2</w:t>
      </w:r>
      <w:r>
        <w:rPr>
          <w:rFonts w:ascii="Book Antiqua" w:eastAsia="Book Antiqua" w:hAnsi="Book Antiqua" w:cs="Book Antiqua"/>
          <w:color w:val="000000"/>
        </w:rPr>
        <w:t>) variceal recurrence and rebleeding</w:t>
      </w:r>
      <w:r w:rsidR="009442C9">
        <w:rPr>
          <w:rFonts w:ascii="Book Antiqua" w:eastAsia="Book Antiqua" w:hAnsi="Book Antiqua" w:cs="Book Antiqua"/>
          <w:color w:val="000000"/>
        </w:rPr>
        <w:t>;</w:t>
      </w:r>
      <w:r>
        <w:rPr>
          <w:rFonts w:ascii="Book Antiqua" w:eastAsia="Book Antiqua" w:hAnsi="Book Antiqua" w:cs="Book Antiqua"/>
          <w:color w:val="000000"/>
        </w:rPr>
        <w:t xml:space="preserve"> and (</w:t>
      </w:r>
      <w:r w:rsidR="00801875">
        <w:rPr>
          <w:rFonts w:ascii="Book Antiqua" w:hAnsi="Book Antiqua" w:cs="Book Antiqua" w:hint="eastAsia"/>
          <w:color w:val="000000"/>
          <w:lang w:eastAsia="zh-CN"/>
        </w:rPr>
        <w:t>3</w:t>
      </w:r>
      <w:r>
        <w:rPr>
          <w:rFonts w:ascii="Book Antiqua" w:eastAsia="Book Antiqua" w:hAnsi="Book Antiqua" w:cs="Book Antiqua"/>
          <w:color w:val="000000"/>
        </w:rPr>
        <w:t>) overall survival.</w:t>
      </w:r>
    </w:p>
    <w:p w14:paraId="7CF906FB" w14:textId="77777777" w:rsidR="00801875" w:rsidRPr="009442C9" w:rsidRDefault="00801875">
      <w:pPr>
        <w:spacing w:line="360" w:lineRule="auto"/>
        <w:jc w:val="both"/>
        <w:rPr>
          <w:rFonts w:ascii="Book Antiqua" w:hAnsi="Book Antiqua" w:cs="Book Antiqua"/>
          <w:b/>
          <w:bCs/>
          <w:i/>
          <w:color w:val="000000"/>
          <w:lang w:eastAsia="zh-CN"/>
        </w:rPr>
      </w:pPr>
    </w:p>
    <w:p w14:paraId="788DC52A" w14:textId="77777777" w:rsidR="00A77B3E" w:rsidRPr="00801875" w:rsidRDefault="0055108A">
      <w:pPr>
        <w:spacing w:line="360" w:lineRule="auto"/>
        <w:jc w:val="both"/>
        <w:rPr>
          <w:i/>
        </w:rPr>
      </w:pPr>
      <w:r w:rsidRPr="00801875">
        <w:rPr>
          <w:rFonts w:ascii="Book Antiqua" w:eastAsia="Book Antiqua" w:hAnsi="Book Antiqua" w:cs="Book Antiqua"/>
          <w:b/>
          <w:bCs/>
          <w:i/>
          <w:color w:val="000000"/>
        </w:rPr>
        <w:t xml:space="preserve">Acute bleeding management and technique of variceal ligation </w:t>
      </w:r>
    </w:p>
    <w:p w14:paraId="71D1D15E" w14:textId="2D843311" w:rsidR="00A77B3E" w:rsidRDefault="0055108A">
      <w:pPr>
        <w:spacing w:line="360" w:lineRule="auto"/>
        <w:jc w:val="both"/>
      </w:pPr>
      <w:r>
        <w:rPr>
          <w:rFonts w:ascii="Book Antiqua" w:eastAsia="Book Antiqua" w:hAnsi="Book Antiqua" w:cs="Book Antiqua"/>
          <w:color w:val="000000"/>
        </w:rPr>
        <w:t xml:space="preserve">Details of the acute bleeding management protocol in our unit have been published </w:t>
      </w:r>
      <w:proofErr w:type="gramStart"/>
      <w:r>
        <w:rPr>
          <w:rFonts w:ascii="Book Antiqua" w:eastAsia="Book Antiqua" w:hAnsi="Book Antiqua" w:cs="Book Antiqua"/>
          <w:color w:val="000000"/>
        </w:rPr>
        <w:t>previously</w:t>
      </w:r>
      <w:r w:rsidR="0080187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7-9</w:t>
      </w:r>
      <w:r w:rsidR="0080187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As soon as the patient was stable, diagnostic endoscopy and EVL were </w:t>
      </w:r>
      <w:proofErr w:type="gramStart"/>
      <w:r>
        <w:rPr>
          <w:rFonts w:ascii="Book Antiqua" w:eastAsia="Book Antiqua" w:hAnsi="Book Antiqua" w:cs="Book Antiqua"/>
          <w:color w:val="000000"/>
        </w:rPr>
        <w:t>performed</w:t>
      </w:r>
      <w:r w:rsidR="00801875">
        <w:rPr>
          <w:rFonts w:ascii="Book Antiqua" w:hAnsi="Book Antiqua" w:cs="Book Antiqua" w:hint="eastAsia"/>
          <w:color w:val="000000"/>
          <w:vertAlign w:val="superscript"/>
          <w:lang w:eastAsia="zh-CN"/>
        </w:rPr>
        <w:t>[</w:t>
      </w:r>
      <w:proofErr w:type="gramEnd"/>
      <w:r w:rsidR="00801875">
        <w:rPr>
          <w:rFonts w:ascii="Book Antiqua" w:eastAsia="Book Antiqua" w:hAnsi="Book Antiqua" w:cs="Book Antiqua"/>
          <w:color w:val="000000"/>
          <w:szCs w:val="30"/>
          <w:vertAlign w:val="superscript"/>
        </w:rPr>
        <w:t>10</w:t>
      </w:r>
      <w:r w:rsidR="0080187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w:t>
      </w:r>
      <w:r w:rsidR="0080187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Endoscopic banding devices used during the study period included the Saeed Multi-band </w:t>
      </w:r>
      <w:proofErr w:type="spellStart"/>
      <w:r>
        <w:rPr>
          <w:rFonts w:ascii="Book Antiqua" w:eastAsia="Book Antiqua" w:hAnsi="Book Antiqua" w:cs="Book Antiqua"/>
          <w:color w:val="000000"/>
        </w:rPr>
        <w:t>Ligator</w:t>
      </w:r>
      <w:proofErr w:type="spellEnd"/>
      <w:r>
        <w:rPr>
          <w:rFonts w:ascii="Book Antiqua" w:eastAsia="Book Antiqua" w:hAnsi="Book Antiqua" w:cs="Book Antiqua"/>
          <w:color w:val="000000"/>
        </w:rPr>
        <w:t xml:space="preserve"> (Cook Endoscopy, Winston-Salem, NC</w:t>
      </w:r>
      <w:r w:rsidR="00AA76DA">
        <w:rPr>
          <w:rFonts w:ascii="Book Antiqua" w:eastAsia="Book Antiqua" w:hAnsi="Book Antiqua" w:cs="Book Antiqua"/>
          <w:color w:val="000000"/>
        </w:rPr>
        <w:t>, USA</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Speedband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Superview</w:t>
      </w:r>
      <w:proofErr w:type="spellEnd"/>
      <w:r>
        <w:rPr>
          <w:rFonts w:ascii="Book Antiqua" w:eastAsia="Book Antiqua" w:hAnsi="Book Antiqua" w:cs="Book Antiqua"/>
          <w:color w:val="000000"/>
        </w:rPr>
        <w:t xml:space="preserve"> Super 7 Multiple Band </w:t>
      </w:r>
      <w:proofErr w:type="spellStart"/>
      <w:r>
        <w:rPr>
          <w:rFonts w:ascii="Book Antiqua" w:eastAsia="Book Antiqua" w:hAnsi="Book Antiqua" w:cs="Book Antiqua"/>
          <w:color w:val="000000"/>
        </w:rPr>
        <w:t>Ligator</w:t>
      </w:r>
      <w:proofErr w:type="spellEnd"/>
      <w:r>
        <w:rPr>
          <w:rFonts w:ascii="Book Antiqua" w:eastAsia="Book Antiqua" w:hAnsi="Book Antiqua" w:cs="Book Antiqua"/>
          <w:color w:val="000000"/>
        </w:rPr>
        <w:t xml:space="preserve"> (Boston Scientific Corp</w:t>
      </w:r>
      <w:r w:rsidR="00AA76DA">
        <w:rPr>
          <w:rFonts w:ascii="Book Antiqua" w:eastAsia="Book Antiqua" w:hAnsi="Book Antiqua" w:cs="Book Antiqua"/>
          <w:color w:val="000000"/>
        </w:rPr>
        <w:t>.</w:t>
      </w:r>
      <w:r>
        <w:rPr>
          <w:rFonts w:ascii="Book Antiqua" w:eastAsia="Book Antiqua" w:hAnsi="Book Antiqua" w:cs="Book Antiqua"/>
          <w:color w:val="000000"/>
        </w:rPr>
        <w:t>, Natick, M</w:t>
      </w:r>
      <w:r w:rsidR="00AA76DA">
        <w:rPr>
          <w:rFonts w:ascii="Book Antiqua" w:eastAsia="Book Antiqua" w:hAnsi="Book Antiqua" w:cs="Book Antiqua"/>
          <w:color w:val="000000"/>
        </w:rPr>
        <w:t xml:space="preserve">A, </w:t>
      </w:r>
      <w:proofErr w:type="gramStart"/>
      <w:r w:rsidR="00AA76DA">
        <w:rPr>
          <w:rFonts w:ascii="Book Antiqua" w:eastAsia="Book Antiqua" w:hAnsi="Book Antiqua" w:cs="Book Antiqua"/>
          <w:color w:val="000000"/>
        </w:rPr>
        <w:t>USA</w:t>
      </w:r>
      <w:r>
        <w:rPr>
          <w:rFonts w:ascii="Book Antiqua" w:eastAsia="Book Antiqua" w:hAnsi="Book Antiqua" w:cs="Book Antiqua"/>
          <w:color w:val="000000"/>
        </w:rPr>
        <w:t>)</w:t>
      </w:r>
      <w:r w:rsidR="00010577">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11</w:t>
      </w:r>
      <w:r w:rsidR="000105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Full details of the variceal ligation technique used have been published </w:t>
      </w:r>
      <w:proofErr w:type="gramStart"/>
      <w:r>
        <w:rPr>
          <w:rFonts w:ascii="Book Antiqua" w:eastAsia="Book Antiqua" w:hAnsi="Book Antiqua" w:cs="Book Antiqua"/>
          <w:color w:val="000000"/>
        </w:rPr>
        <w:t>previously</w:t>
      </w:r>
      <w:r w:rsidR="0001057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12-14</w:t>
      </w:r>
      <w:r w:rsidR="000105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During endoscopy for the sentinel bleed and subsequent bleeds, a band was applied first to the bleeding varix and then proximally in a helical fashion for approximately 10 cm to the remaining varices. In patients in whom bleeding could not be controlled a </w:t>
      </w:r>
      <w:proofErr w:type="spellStart"/>
      <w:r>
        <w:rPr>
          <w:rFonts w:ascii="Book Antiqua" w:eastAsia="Book Antiqua" w:hAnsi="Book Antiqua" w:cs="Book Antiqua"/>
          <w:color w:val="000000"/>
        </w:rPr>
        <w:t>Sengstaken</w:t>
      </w:r>
      <w:proofErr w:type="spellEnd"/>
      <w:r>
        <w:rPr>
          <w:rFonts w:ascii="Book Antiqua" w:eastAsia="Book Antiqua" w:hAnsi="Book Antiqua" w:cs="Book Antiqua"/>
          <w:color w:val="000000"/>
        </w:rPr>
        <w:t xml:space="preserve">-Blakemore or Minnesota balloon tube was inserted for immediate tamponade and further endoscopic procedures were performed within 24 h. When endoscopic measures failed </w:t>
      </w:r>
      <w:proofErr w:type="spellStart"/>
      <w:r w:rsidR="00AA76DA">
        <w:rPr>
          <w:rFonts w:ascii="Book Antiqua" w:eastAsia="Book Antiqua" w:hAnsi="Book Antiqua" w:cs="Book Antiqua"/>
          <w:color w:val="000000"/>
        </w:rPr>
        <w:t>transjugular</w:t>
      </w:r>
      <w:proofErr w:type="spellEnd"/>
      <w:r w:rsidR="00AA76DA">
        <w:rPr>
          <w:rFonts w:ascii="Book Antiqua" w:eastAsia="Book Antiqua" w:hAnsi="Book Antiqua" w:cs="Book Antiqua"/>
          <w:color w:val="000000"/>
        </w:rPr>
        <w:t xml:space="preserve"> intrahepatic portosystemic shunt (</w:t>
      </w:r>
      <w:r>
        <w:rPr>
          <w:rFonts w:ascii="Book Antiqua" w:eastAsia="Book Antiqua" w:hAnsi="Book Antiqua" w:cs="Book Antiqua"/>
          <w:color w:val="000000"/>
        </w:rPr>
        <w:t>TIPS</w:t>
      </w:r>
      <w:r w:rsidR="00AA76DA">
        <w:rPr>
          <w:rFonts w:ascii="Book Antiqua" w:eastAsia="Book Antiqua" w:hAnsi="Book Antiqua" w:cs="Book Antiqua"/>
          <w:color w:val="000000"/>
        </w:rPr>
        <w:t>)</w:t>
      </w:r>
      <w:r>
        <w:rPr>
          <w:rFonts w:ascii="Book Antiqua" w:eastAsia="Book Antiqua" w:hAnsi="Book Antiqua" w:cs="Book Antiqua"/>
          <w:color w:val="000000"/>
        </w:rPr>
        <w:t xml:space="preserve"> was used as rescue treatment.</w:t>
      </w:r>
    </w:p>
    <w:p w14:paraId="1959FFC2" w14:textId="77777777" w:rsidR="00A77B3E" w:rsidRDefault="0055108A" w:rsidP="00010577">
      <w:pPr>
        <w:spacing w:line="360" w:lineRule="auto"/>
        <w:ind w:firstLineChars="100" w:firstLine="240"/>
        <w:jc w:val="both"/>
      </w:pPr>
      <w:r>
        <w:rPr>
          <w:rFonts w:ascii="Book Antiqua" w:eastAsia="Book Antiqua" w:hAnsi="Book Antiqua" w:cs="Book Antiqua"/>
          <w:color w:val="000000"/>
        </w:rPr>
        <w:t xml:space="preserve">Patients underwent regular EVL until complete variceal eradication, defined as the absence of varices, was achieved. In a subcategory of patients who had residual varices which were too small or insufficiently pliable to be suctioned into the banding device to allow secure and safe band deployment, complete eradication was not pursued. After the initial EVL session during the index admission to hospital, subsequent variceal ligation procedures were undertaken at two-week intervals as an outpatient until the varices were eradicated or unsuitable for continued ligation. Surveillance endoscopy was performed at 3 and 6 </w:t>
      </w:r>
      <w:r w:rsidR="0005326D">
        <w:rPr>
          <w:rFonts w:ascii="Book Antiqua" w:eastAsia="Book Antiqua" w:hAnsi="Book Antiqua" w:cs="Book Antiqua"/>
          <w:color w:val="000000"/>
        </w:rPr>
        <w:t xml:space="preserve">monthly intervals </w:t>
      </w:r>
      <w:r>
        <w:rPr>
          <w:rFonts w:ascii="Book Antiqua" w:eastAsia="Book Antiqua" w:hAnsi="Book Antiqua" w:cs="Book Antiqua"/>
          <w:color w:val="000000"/>
        </w:rPr>
        <w:t xml:space="preserve">and then annually to identify recurrence or persistent varices and repeat EVL performed whenever technically feasible. All patients </w:t>
      </w:r>
      <w:r>
        <w:rPr>
          <w:rFonts w:ascii="Book Antiqua" w:eastAsia="Book Antiqua" w:hAnsi="Book Antiqua" w:cs="Book Antiqua"/>
          <w:color w:val="000000"/>
        </w:rPr>
        <w:lastRenderedPageBreak/>
        <w:t>were given non-selective β–blockers (NSBB) during follow-up unless specifically contra-indicated.</w:t>
      </w:r>
    </w:p>
    <w:p w14:paraId="2CB56BA7" w14:textId="77777777" w:rsidR="00010577" w:rsidRDefault="00010577">
      <w:pPr>
        <w:spacing w:line="360" w:lineRule="auto"/>
        <w:jc w:val="both"/>
        <w:rPr>
          <w:rFonts w:ascii="Book Antiqua" w:hAnsi="Book Antiqua" w:cs="Book Antiqua"/>
          <w:b/>
          <w:bCs/>
          <w:i/>
          <w:color w:val="000000"/>
          <w:lang w:eastAsia="zh-CN"/>
        </w:rPr>
      </w:pPr>
    </w:p>
    <w:p w14:paraId="46EFA5A8" w14:textId="77777777" w:rsidR="00A77B3E" w:rsidRPr="00010577" w:rsidRDefault="0055108A">
      <w:pPr>
        <w:spacing w:line="360" w:lineRule="auto"/>
        <w:jc w:val="both"/>
        <w:rPr>
          <w:i/>
        </w:rPr>
      </w:pPr>
      <w:r w:rsidRPr="00010577">
        <w:rPr>
          <w:rFonts w:ascii="Book Antiqua" w:eastAsia="Book Antiqua" w:hAnsi="Book Antiqua" w:cs="Book Antiqua"/>
          <w:b/>
          <w:bCs/>
          <w:i/>
          <w:color w:val="000000"/>
        </w:rPr>
        <w:t>Rebleeding</w:t>
      </w:r>
    </w:p>
    <w:p w14:paraId="72B2FC83" w14:textId="77777777" w:rsidR="00A77B3E" w:rsidRDefault="0055108A">
      <w:pPr>
        <w:spacing w:line="360" w:lineRule="auto"/>
        <w:jc w:val="both"/>
      </w:pPr>
      <w:r>
        <w:rPr>
          <w:rFonts w:ascii="Book Antiqua" w:eastAsia="Book Antiqua" w:hAnsi="Book Antiqua" w:cs="Book Antiqua"/>
          <w:color w:val="000000"/>
        </w:rPr>
        <w:t>Baveno cr</w:t>
      </w:r>
      <w:r w:rsidR="00010577">
        <w:rPr>
          <w:rFonts w:ascii="Book Antiqua" w:eastAsia="Book Antiqua" w:hAnsi="Book Antiqua" w:cs="Book Antiqua"/>
          <w:color w:val="000000"/>
        </w:rPr>
        <w:t>iteria were used to define 5</w:t>
      </w:r>
      <w:r w:rsidR="00FC3755">
        <w:rPr>
          <w:rFonts w:ascii="Book Antiqua" w:eastAsia="Book Antiqua" w:hAnsi="Book Antiqua" w:cs="Book Antiqua"/>
          <w:color w:val="000000"/>
        </w:rPr>
        <w:t>-</w:t>
      </w:r>
      <w:r w:rsidR="00010577">
        <w:rPr>
          <w:rFonts w:ascii="Book Antiqua" w:eastAsia="Book Antiqua" w:hAnsi="Book Antiqua" w:cs="Book Antiqua"/>
          <w:color w:val="000000"/>
        </w:rPr>
        <w:t>d</w:t>
      </w:r>
      <w:r>
        <w:rPr>
          <w:rFonts w:ascii="Book Antiqua" w:eastAsia="Book Antiqua" w:hAnsi="Book Antiqua" w:cs="Book Antiqua"/>
          <w:color w:val="000000"/>
        </w:rPr>
        <w:t xml:space="preserve"> and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failure to control </w:t>
      </w:r>
      <w:proofErr w:type="gramStart"/>
      <w:r>
        <w:rPr>
          <w:rFonts w:ascii="Book Antiqua" w:eastAsia="Book Antiqua" w:hAnsi="Book Antiqua" w:cs="Book Antiqua"/>
          <w:color w:val="000000"/>
        </w:rPr>
        <w:t>bleeding</w:t>
      </w:r>
      <w:r w:rsidR="0001057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w:t>
      </w:r>
      <w:r w:rsidR="000105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Additional variceal ligation was undertaken if bleeding was due to residual or recurrent varices. Other sources of bleeding, such as gastric varices, portal hypertensive gastropathy, peptic ulcers or erosive gastritis were included in the definition of rebleeding and treated on their merits.</w:t>
      </w:r>
    </w:p>
    <w:p w14:paraId="578E2FAA" w14:textId="77777777" w:rsidR="00010577" w:rsidRDefault="00010577">
      <w:pPr>
        <w:spacing w:line="360" w:lineRule="auto"/>
        <w:jc w:val="both"/>
        <w:rPr>
          <w:rFonts w:ascii="Book Antiqua" w:hAnsi="Book Antiqua" w:cs="Book Antiqua"/>
          <w:b/>
          <w:bCs/>
          <w:i/>
          <w:color w:val="000000"/>
          <w:lang w:eastAsia="zh-CN"/>
        </w:rPr>
      </w:pPr>
    </w:p>
    <w:p w14:paraId="04C77330" w14:textId="77777777" w:rsidR="009442C9" w:rsidRDefault="009442C9">
      <w:pPr>
        <w:spacing w:line="360" w:lineRule="auto"/>
        <w:jc w:val="both"/>
        <w:rPr>
          <w:rFonts w:ascii="Book Antiqua" w:eastAsia="Book Antiqua" w:hAnsi="Book Antiqua" w:cs="Book Antiqua"/>
          <w:b/>
          <w:bCs/>
          <w:i/>
          <w:color w:val="000000"/>
        </w:rPr>
      </w:pPr>
      <w:r w:rsidRPr="009442C9">
        <w:rPr>
          <w:rFonts w:ascii="Book Antiqua" w:eastAsia="Book Antiqua" w:hAnsi="Book Antiqua" w:cs="Book Antiqua"/>
          <w:b/>
          <w:bCs/>
          <w:i/>
          <w:color w:val="000000"/>
        </w:rPr>
        <w:t>Statistical</w:t>
      </w:r>
      <w:r>
        <w:rPr>
          <w:rFonts w:ascii="Book Antiqua" w:eastAsia="Book Antiqua" w:hAnsi="Book Antiqua" w:cs="Book Antiqua"/>
          <w:b/>
          <w:bCs/>
          <w:i/>
          <w:color w:val="000000"/>
        </w:rPr>
        <w:t xml:space="preserve"> </w:t>
      </w:r>
      <w:r w:rsidRPr="009442C9">
        <w:rPr>
          <w:rFonts w:ascii="Book Antiqua" w:eastAsia="Book Antiqua" w:hAnsi="Book Antiqua" w:cs="Book Antiqua"/>
          <w:b/>
          <w:bCs/>
          <w:i/>
          <w:color w:val="000000"/>
        </w:rPr>
        <w:t>analysis</w:t>
      </w:r>
    </w:p>
    <w:p w14:paraId="729AB786" w14:textId="3F2F8B34" w:rsidR="00A77B3E" w:rsidRDefault="0055108A">
      <w:pPr>
        <w:spacing w:line="360" w:lineRule="auto"/>
        <w:jc w:val="both"/>
      </w:pPr>
      <w:r>
        <w:rPr>
          <w:rFonts w:ascii="Book Antiqua" w:eastAsia="Book Antiqua" w:hAnsi="Book Antiqua" w:cs="Book Antiqua"/>
          <w:color w:val="000000"/>
        </w:rPr>
        <w:t xml:space="preserve">The Student </w:t>
      </w:r>
      <w:r w:rsidRPr="009442C9">
        <w:rPr>
          <w:rFonts w:ascii="Book Antiqua" w:eastAsia="Book Antiqua" w:hAnsi="Book Antiqua" w:cs="Book Antiqua"/>
          <w:i/>
          <w:color w:val="000000"/>
        </w:rPr>
        <w:t>t</w:t>
      </w:r>
      <w:r>
        <w:rPr>
          <w:rFonts w:ascii="Book Antiqua" w:eastAsia="Book Antiqua" w:hAnsi="Book Antiqua" w:cs="Book Antiqua"/>
          <w:color w:val="000000"/>
        </w:rPr>
        <w:t xml:space="preserve">-test and </w:t>
      </w:r>
      <w:r w:rsidRPr="009442C9">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were used when appropriate and the Kaplan–Meier method was used to estimate the cumulative incidence of re-bleeding and actuarial survival. Multivariate analysis was used to assess risk factors for rebleeding. A </w:t>
      </w:r>
      <w:r>
        <w:rPr>
          <w:rFonts w:ascii="Book Antiqua" w:eastAsia="Book Antiqua" w:hAnsi="Book Antiqua" w:cs="Book Antiqua"/>
          <w:i/>
          <w:iCs/>
          <w:color w:val="000000"/>
        </w:rPr>
        <w:t xml:space="preserve">P </w:t>
      </w:r>
      <w:r>
        <w:rPr>
          <w:rFonts w:ascii="Book Antiqua" w:eastAsia="Book Antiqua" w:hAnsi="Book Antiqua" w:cs="Book Antiqua"/>
          <w:color w:val="000000"/>
        </w:rPr>
        <w:t>value &lt; 0.05 was considered significant. SAS System Package version 9.2.1 software (SAS Systems Internat</w:t>
      </w:r>
      <w:r w:rsidR="00010577">
        <w:rPr>
          <w:rFonts w:ascii="Book Antiqua" w:eastAsia="Book Antiqua" w:hAnsi="Book Antiqua" w:cs="Book Antiqua"/>
          <w:color w:val="000000"/>
        </w:rPr>
        <w:t>ional, Cary, NC, U</w:t>
      </w:r>
      <w:r w:rsidR="00010577">
        <w:rPr>
          <w:rFonts w:ascii="Book Antiqua" w:hAnsi="Book Antiqua" w:cs="Book Antiqua" w:hint="eastAsia"/>
          <w:color w:val="000000"/>
          <w:lang w:eastAsia="zh-CN"/>
        </w:rPr>
        <w:t>S</w:t>
      </w:r>
      <w:r w:rsidR="008654C4">
        <w:rPr>
          <w:rFonts w:ascii="Book Antiqua" w:hAnsi="Book Antiqua" w:cs="Book Antiqua"/>
          <w:color w:val="000000"/>
          <w:lang w:eastAsia="zh-CN"/>
        </w:rPr>
        <w:t>A</w:t>
      </w:r>
      <w:r>
        <w:rPr>
          <w:rFonts w:ascii="Book Antiqua" w:eastAsia="Book Antiqua" w:hAnsi="Book Antiqua" w:cs="Book Antiqua"/>
          <w:color w:val="000000"/>
        </w:rPr>
        <w:t>) was used for statistical analysis. Data were censored at the time of the last clinic or endoscopy visit, TIPS placement or death. Ethical and institutional review board approval (HREC 120/2019) was obtained before study initiation and data analysis.</w:t>
      </w:r>
    </w:p>
    <w:p w14:paraId="347F8DA3" w14:textId="77777777" w:rsidR="00A77B3E" w:rsidRDefault="00A77B3E">
      <w:pPr>
        <w:spacing w:line="360" w:lineRule="auto"/>
        <w:jc w:val="both"/>
      </w:pPr>
    </w:p>
    <w:p w14:paraId="1C6966BB" w14:textId="77777777" w:rsidR="00A77B3E" w:rsidRDefault="0055108A">
      <w:pPr>
        <w:spacing w:line="360" w:lineRule="auto"/>
        <w:jc w:val="both"/>
      </w:pPr>
      <w:r>
        <w:rPr>
          <w:rFonts w:ascii="Book Antiqua" w:eastAsia="Book Antiqua" w:hAnsi="Book Antiqua" w:cs="Book Antiqua"/>
          <w:b/>
          <w:caps/>
          <w:color w:val="000000"/>
          <w:u w:val="single"/>
        </w:rPr>
        <w:t>RESULTS</w:t>
      </w:r>
    </w:p>
    <w:p w14:paraId="1296D679" w14:textId="6D218C89" w:rsidR="00A77B3E" w:rsidRDefault="0055108A">
      <w:pPr>
        <w:spacing w:line="360" w:lineRule="auto"/>
        <w:jc w:val="both"/>
      </w:pPr>
      <w:r>
        <w:rPr>
          <w:rFonts w:ascii="Book Antiqua" w:eastAsia="Book Antiqua" w:hAnsi="Book Antiqua" w:cs="Book Antiqua"/>
          <w:color w:val="000000"/>
        </w:rPr>
        <w:t xml:space="preserve">The 140 patients (100 men, 40 women, median age: 50 years; range: 21-84 years) included 32 Child-Pugh grade A, 48 grade B and 60 grade C patients when assessed on first admission to hospital (Table 1). The underlying diagnoses were alcoholic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75 (53.6%), hepatitis B infection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 (9.9%), cryptogenic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13 (9.9%), hepatitis and alcohol </w:t>
      </w:r>
      <w:r>
        <w:rPr>
          <w:rFonts w:ascii="Book Antiqua" w:eastAsia="Book Antiqua" w:hAnsi="Book Antiqua" w:cs="Book Antiqua"/>
          <w:i/>
          <w:iCs/>
          <w:color w:val="000000"/>
        </w:rPr>
        <w:t>n</w:t>
      </w:r>
      <w:r>
        <w:rPr>
          <w:rFonts w:ascii="Book Antiqua" w:eastAsia="Book Antiqua" w:hAnsi="Book Antiqua" w:cs="Book Antiqua"/>
          <w:color w:val="000000"/>
        </w:rPr>
        <w:t xml:space="preserve"> = 9 (6.4%), </w:t>
      </w:r>
      <w:r w:rsidR="008F544E">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8 (5.7%), schistosomiasis </w:t>
      </w:r>
      <w:r>
        <w:rPr>
          <w:rFonts w:ascii="Book Antiqua" w:eastAsia="Book Antiqua" w:hAnsi="Book Antiqua" w:cs="Book Antiqua"/>
          <w:i/>
          <w:iCs/>
          <w:color w:val="000000"/>
        </w:rPr>
        <w:t>n</w:t>
      </w:r>
      <w:r>
        <w:rPr>
          <w:rFonts w:ascii="Book Antiqua" w:eastAsia="Book Antiqua" w:hAnsi="Book Antiqua" w:cs="Book Antiqua"/>
          <w:color w:val="000000"/>
        </w:rPr>
        <w:t xml:space="preserve"> = 7 (5%), and portal vein thrombosis </w:t>
      </w:r>
      <w:r>
        <w:rPr>
          <w:rFonts w:ascii="Book Antiqua" w:eastAsia="Book Antiqua" w:hAnsi="Book Antiqua" w:cs="Book Antiqua"/>
          <w:i/>
          <w:iCs/>
          <w:color w:val="000000"/>
        </w:rPr>
        <w:t>n</w:t>
      </w:r>
      <w:r>
        <w:rPr>
          <w:rFonts w:ascii="Book Antiqua" w:eastAsia="Book Antiqua" w:hAnsi="Book Antiqua" w:cs="Book Antiqua"/>
          <w:color w:val="000000"/>
        </w:rPr>
        <w:t xml:space="preserve"> = 5 (3.6%). The remaining ten patients had autoimmune hepatitis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3), hepatitis C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one each of granulomatous hepatitis, myelofibrosis, Budd-Chiari</w:t>
      </w:r>
      <w:r w:rsidR="000405AE">
        <w:rPr>
          <w:rFonts w:ascii="Book Antiqua" w:eastAsia="Book Antiqua" w:hAnsi="Book Antiqua" w:cs="Book Antiqua"/>
          <w:color w:val="000000"/>
        </w:rPr>
        <w:t xml:space="preserve"> syndrome</w:t>
      </w:r>
      <w:r>
        <w:rPr>
          <w:rFonts w:ascii="Book Antiqua" w:eastAsia="Book Antiqua" w:hAnsi="Book Antiqua" w:cs="Book Antiqua"/>
          <w:color w:val="000000"/>
        </w:rPr>
        <w:t xml:space="preserve">, chronic active hepatitis and </w:t>
      </w:r>
      <w:r w:rsidR="008F544E">
        <w:rPr>
          <w:rFonts w:ascii="Book Antiqua" w:eastAsia="Book Antiqua" w:hAnsi="Book Antiqua" w:cs="Book Antiqua"/>
          <w:color w:val="000000"/>
        </w:rPr>
        <w:t xml:space="preserve">primary </w:t>
      </w:r>
      <w:r w:rsidR="008F544E">
        <w:rPr>
          <w:rFonts w:ascii="Book Antiqua" w:eastAsia="Book Antiqua" w:hAnsi="Book Antiqua" w:cs="Book Antiqua"/>
          <w:color w:val="000000"/>
        </w:rPr>
        <w:lastRenderedPageBreak/>
        <w:t>sclerosing cholangitis</w:t>
      </w:r>
      <w:r>
        <w:rPr>
          <w:rFonts w:ascii="Book Antiqua" w:eastAsia="Book Antiqua" w:hAnsi="Book Antiqua" w:cs="Book Antiqua"/>
          <w:color w:val="000000"/>
        </w:rPr>
        <w:t>. The 140 patients received 160 emergency and 298 elective EVL procedures during a total of 928 endoscopy sessions.</w:t>
      </w:r>
    </w:p>
    <w:p w14:paraId="3FAE9ED2" w14:textId="77777777" w:rsidR="00845897" w:rsidRDefault="00845897">
      <w:pPr>
        <w:spacing w:line="360" w:lineRule="auto"/>
        <w:jc w:val="both"/>
        <w:rPr>
          <w:rFonts w:ascii="Book Antiqua" w:hAnsi="Book Antiqua" w:cs="Book Antiqua"/>
          <w:b/>
          <w:bCs/>
          <w:i/>
          <w:color w:val="000000"/>
          <w:lang w:eastAsia="zh-CN"/>
        </w:rPr>
      </w:pPr>
    </w:p>
    <w:p w14:paraId="290FC757" w14:textId="77777777" w:rsidR="00A77B3E" w:rsidRPr="00845897" w:rsidRDefault="0055108A">
      <w:pPr>
        <w:spacing w:line="360" w:lineRule="auto"/>
        <w:jc w:val="both"/>
        <w:rPr>
          <w:i/>
        </w:rPr>
      </w:pPr>
      <w:r w:rsidRPr="00845897">
        <w:rPr>
          <w:rFonts w:ascii="Book Antiqua" w:eastAsia="Book Antiqua" w:hAnsi="Book Antiqua" w:cs="Book Antiqua"/>
          <w:b/>
          <w:bCs/>
          <w:i/>
          <w:color w:val="000000"/>
        </w:rPr>
        <w:t>Control of bleeding during the index endoscopic procedure</w:t>
      </w:r>
    </w:p>
    <w:p w14:paraId="5D5F2168" w14:textId="77777777" w:rsidR="00A77B3E" w:rsidRDefault="0055108A">
      <w:pPr>
        <w:spacing w:line="360" w:lineRule="auto"/>
        <w:jc w:val="both"/>
      </w:pPr>
      <w:r>
        <w:rPr>
          <w:rFonts w:ascii="Book Antiqua" w:eastAsia="Book Antiqua" w:hAnsi="Book Antiqua" w:cs="Book Antiqua"/>
          <w:color w:val="000000"/>
        </w:rPr>
        <w:t>Acute bleeding was successfully controlled by EVL in 134 of 140 patients (95.7%) during the index endoscopic procedure (Figure 1). A balloon tube was used in six patients in whom acute bleeding could not be controlled by EVL, and a further fo</w:t>
      </w:r>
      <w:r w:rsidR="001A54CC">
        <w:rPr>
          <w:rFonts w:ascii="Book Antiqua" w:eastAsia="Book Antiqua" w:hAnsi="Book Antiqua" w:cs="Book Antiqua"/>
          <w:color w:val="000000"/>
        </w:rPr>
        <w:t>ur patients rebled within 5</w:t>
      </w:r>
      <w:r w:rsidR="00FC3755">
        <w:rPr>
          <w:rFonts w:ascii="Book Antiqua" w:eastAsia="Book Antiqua" w:hAnsi="Book Antiqua" w:cs="Book Antiqua"/>
          <w:color w:val="000000"/>
        </w:rPr>
        <w:t>-</w:t>
      </w:r>
      <w:r w:rsidR="001A54CC">
        <w:rPr>
          <w:rFonts w:ascii="Book Antiqua" w:eastAsia="Book Antiqua" w:hAnsi="Book Antiqua" w:cs="Book Antiqua"/>
          <w:color w:val="000000"/>
        </w:rPr>
        <w:t>d</w:t>
      </w:r>
      <w:r>
        <w:rPr>
          <w:rFonts w:ascii="Book Antiqua" w:eastAsia="Book Antiqua" w:hAnsi="Book Antiqua" w:cs="Book Antiqua"/>
          <w:color w:val="000000"/>
        </w:rPr>
        <w:t>, resulting in</w:t>
      </w:r>
      <w:r w:rsidR="001A54CC">
        <w:rPr>
          <w:rFonts w:ascii="Book Antiqua" w:eastAsia="Book Antiqua" w:hAnsi="Book Antiqua" w:cs="Book Antiqua"/>
          <w:color w:val="000000"/>
        </w:rPr>
        <w:t xml:space="preserve"> a cumulative 5</w:t>
      </w:r>
      <w:r w:rsidR="00FC3755">
        <w:rPr>
          <w:rFonts w:ascii="Book Antiqua" w:eastAsia="Book Antiqua" w:hAnsi="Book Antiqua" w:cs="Book Antiqua"/>
          <w:color w:val="000000"/>
        </w:rPr>
        <w:t>-</w:t>
      </w:r>
      <w:r w:rsidR="001A54CC">
        <w:rPr>
          <w:rFonts w:ascii="Book Antiqua" w:eastAsia="Book Antiqua" w:hAnsi="Book Antiqua" w:cs="Book Antiqua"/>
          <w:color w:val="000000"/>
        </w:rPr>
        <w:t>d</w:t>
      </w:r>
      <w:r>
        <w:rPr>
          <w:rFonts w:ascii="Book Antiqua" w:eastAsia="Book Antiqua" w:hAnsi="Book Antiqua" w:cs="Book Antiqua"/>
          <w:color w:val="000000"/>
        </w:rPr>
        <w:t xml:space="preserve"> failure to control bleeding of 7.1% (</w:t>
      </w:r>
      <w:r>
        <w:rPr>
          <w:rFonts w:ascii="Book Antiqua" w:eastAsia="Book Antiqua" w:hAnsi="Book Antiqua" w:cs="Book Antiqua"/>
          <w:i/>
          <w:iCs/>
          <w:color w:val="000000"/>
        </w:rPr>
        <w:t>n</w:t>
      </w:r>
      <w:r>
        <w:rPr>
          <w:rFonts w:ascii="Book Antiqua" w:eastAsia="Book Antiqua" w:hAnsi="Book Antiqua" w:cs="Book Antiqua"/>
          <w:color w:val="000000"/>
        </w:rPr>
        <w:t xml:space="preserve"> = 10; C</w:t>
      </w:r>
      <w:r w:rsidR="000405AE">
        <w:rPr>
          <w:rFonts w:ascii="Book Antiqua" w:eastAsia="Book Antiqua" w:hAnsi="Book Antiqua" w:cs="Book Antiqua"/>
          <w:color w:val="000000"/>
        </w:rPr>
        <w:t>hild</w:t>
      </w:r>
      <w:r>
        <w:rPr>
          <w:rFonts w:ascii="Book Antiqua" w:eastAsia="Book Antiqua" w:hAnsi="Book Antiqua" w:cs="Book Antiqua"/>
          <w:color w:val="000000"/>
        </w:rPr>
        <w:t>-P</w:t>
      </w:r>
      <w:r w:rsidR="000405AE">
        <w:rPr>
          <w:rFonts w:ascii="Book Antiqua" w:eastAsia="Book Antiqua" w:hAnsi="Book Antiqua" w:cs="Book Antiqua"/>
          <w:color w:val="000000"/>
        </w:rPr>
        <w:t>ugh</w:t>
      </w:r>
      <w:r>
        <w:rPr>
          <w:rFonts w:ascii="Book Antiqua" w:eastAsia="Book Antiqua" w:hAnsi="Book Antiqua" w:cs="Book Antiqua"/>
          <w:color w:val="000000"/>
        </w:rPr>
        <w:t xml:space="preserve"> grade A </w:t>
      </w:r>
      <w:r>
        <w:rPr>
          <w:rFonts w:ascii="Book Antiqua" w:eastAsia="Book Antiqua" w:hAnsi="Book Antiqua" w:cs="Book Antiqua"/>
          <w:i/>
          <w:iCs/>
          <w:color w:val="000000"/>
        </w:rPr>
        <w:t>n</w:t>
      </w:r>
      <w:r>
        <w:rPr>
          <w:rFonts w:ascii="Book Antiqua" w:eastAsia="Book Antiqua" w:hAnsi="Book Antiqua" w:cs="Book Antiqua"/>
          <w:color w:val="000000"/>
        </w:rPr>
        <w:t xml:space="preserve"> = 0, grade B </w:t>
      </w:r>
      <w:r>
        <w:rPr>
          <w:rFonts w:ascii="Book Antiqua" w:eastAsia="Book Antiqua" w:hAnsi="Book Antiqua" w:cs="Book Antiqua"/>
          <w:i/>
          <w:iCs/>
          <w:color w:val="000000"/>
        </w:rPr>
        <w:t>n</w:t>
      </w:r>
      <w:r>
        <w:rPr>
          <w:rFonts w:ascii="Book Antiqua" w:eastAsia="Book Antiqua" w:hAnsi="Book Antiqua" w:cs="Book Antiqua"/>
          <w:color w:val="000000"/>
        </w:rPr>
        <w:t xml:space="preserve"> = 1, grade C </w:t>
      </w:r>
      <w:r>
        <w:rPr>
          <w:rFonts w:ascii="Book Antiqua" w:eastAsia="Book Antiqua" w:hAnsi="Book Antiqua" w:cs="Book Antiqua"/>
          <w:i/>
          <w:iCs/>
          <w:color w:val="000000"/>
        </w:rPr>
        <w:t>n</w:t>
      </w:r>
      <w:r>
        <w:rPr>
          <w:rFonts w:ascii="Book Antiqua" w:eastAsia="Book Antiqua" w:hAnsi="Book Antiqua" w:cs="Book Antiqua"/>
          <w:color w:val="000000"/>
        </w:rPr>
        <w:t xml:space="preserve"> = 9). These ten patients required 11 additional endoscopic banding sessions and four patients with recalcitrant variceal bleeding required a salvage TIPS.</w:t>
      </w:r>
    </w:p>
    <w:p w14:paraId="25917397" w14:textId="77777777" w:rsidR="00845897" w:rsidRDefault="00845897">
      <w:pPr>
        <w:spacing w:line="360" w:lineRule="auto"/>
        <w:jc w:val="both"/>
        <w:rPr>
          <w:rFonts w:ascii="Book Antiqua" w:hAnsi="Book Antiqua" w:cs="Book Antiqua"/>
          <w:b/>
          <w:bCs/>
          <w:i/>
          <w:color w:val="000000"/>
          <w:lang w:eastAsia="zh-CN"/>
        </w:rPr>
      </w:pPr>
    </w:p>
    <w:p w14:paraId="580C3568" w14:textId="77777777" w:rsidR="00A77B3E" w:rsidRPr="00845897" w:rsidRDefault="0055108A">
      <w:pPr>
        <w:spacing w:line="360" w:lineRule="auto"/>
        <w:jc w:val="both"/>
        <w:rPr>
          <w:i/>
        </w:rPr>
      </w:pPr>
      <w:r w:rsidRPr="00845897">
        <w:rPr>
          <w:rFonts w:ascii="Book Antiqua" w:eastAsia="Book Antiqua" w:hAnsi="Book Antiqua" w:cs="Book Antiqua"/>
          <w:b/>
          <w:bCs/>
          <w:i/>
          <w:color w:val="000000"/>
        </w:rPr>
        <w:t>Index admission mortality</w:t>
      </w:r>
    </w:p>
    <w:p w14:paraId="6769B08B" w14:textId="547E0D24" w:rsidR="00A77B3E" w:rsidRDefault="0055108A">
      <w:pPr>
        <w:spacing w:line="360" w:lineRule="auto"/>
        <w:jc w:val="both"/>
      </w:pPr>
      <w:r>
        <w:rPr>
          <w:rFonts w:ascii="Book Antiqua" w:eastAsia="Book Antiqua" w:hAnsi="Book Antiqua" w:cs="Book Antiqua"/>
          <w:color w:val="000000"/>
        </w:rPr>
        <w:t>The index in-hospital admission mortality was 14.2% (</w:t>
      </w:r>
      <w:r>
        <w:rPr>
          <w:rFonts w:ascii="Book Antiqua" w:eastAsia="Book Antiqua" w:hAnsi="Book Antiqua" w:cs="Book Antiqua"/>
          <w:i/>
          <w:iCs/>
          <w:color w:val="000000"/>
        </w:rPr>
        <w:t>n</w:t>
      </w:r>
      <w:r>
        <w:rPr>
          <w:rFonts w:ascii="Book Antiqua" w:eastAsia="Book Antiqua" w:hAnsi="Book Antiqua" w:cs="Book Antiqua"/>
          <w:color w:val="000000"/>
        </w:rPr>
        <w:t xml:space="preserve"> = 20) </w:t>
      </w:r>
      <w:r w:rsidR="00374CE7">
        <w:rPr>
          <w:rFonts w:ascii="Book Antiqua" w:eastAsia="Book Antiqua" w:hAnsi="Book Antiqua" w:cs="Book Antiqua"/>
          <w:color w:val="000000"/>
        </w:rPr>
        <w:t>with a median survival of 8 d</w:t>
      </w:r>
      <w:r>
        <w:rPr>
          <w:rFonts w:ascii="Book Antiqua" w:eastAsia="Book Antiqua" w:hAnsi="Book Antiqua" w:cs="Book Antiqua"/>
          <w:color w:val="000000"/>
        </w:rPr>
        <w:t xml:space="preserve"> (range 1-44). Ten patients died of multi-organ failure (MOF) including two of the four patients who had a salvage TIPS. A further seven patients died of progressive liver failure, another as a result of advanced </w:t>
      </w:r>
      <w:r w:rsidR="008F544E">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and two elderly patients </w:t>
      </w:r>
      <w:r w:rsidR="008F544E">
        <w:rPr>
          <w:rFonts w:ascii="Book Antiqua" w:eastAsia="Book Antiqua" w:hAnsi="Book Antiqua" w:cs="Book Antiqua"/>
          <w:color w:val="000000"/>
        </w:rPr>
        <w:t xml:space="preserve">with vasculopathy </w:t>
      </w:r>
      <w:r>
        <w:rPr>
          <w:rFonts w:ascii="Book Antiqua" w:eastAsia="Book Antiqua" w:hAnsi="Book Antiqua" w:cs="Book Antiqua"/>
          <w:color w:val="000000"/>
        </w:rPr>
        <w:t xml:space="preserve">died of a myocardial infarction. The index admission mortality for the 32 Child-Pugh </w:t>
      </w:r>
      <w:r w:rsidR="00EB53F1">
        <w:rPr>
          <w:rFonts w:ascii="Book Antiqua" w:eastAsia="Book Antiqua" w:hAnsi="Book Antiqua" w:cs="Book Antiqua"/>
          <w:color w:val="000000"/>
        </w:rPr>
        <w:t xml:space="preserve">grade </w:t>
      </w:r>
      <w:r>
        <w:rPr>
          <w:rFonts w:ascii="Book Antiqua" w:eastAsia="Book Antiqua" w:hAnsi="Book Antiqua" w:cs="Book Antiqua"/>
          <w:color w:val="000000"/>
        </w:rPr>
        <w:t xml:space="preserve">A patients was 0, </w:t>
      </w:r>
      <w:r w:rsidR="008F544E">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48 Child-Pugh </w:t>
      </w:r>
      <w:r w:rsidR="00EB53F1">
        <w:rPr>
          <w:rFonts w:ascii="Book Antiqua" w:eastAsia="Book Antiqua" w:hAnsi="Book Antiqua" w:cs="Book Antiqua"/>
          <w:color w:val="000000"/>
        </w:rPr>
        <w:t xml:space="preserve">grade </w:t>
      </w:r>
      <w:r>
        <w:rPr>
          <w:rFonts w:ascii="Book Antiqua" w:eastAsia="Book Antiqua" w:hAnsi="Book Antiqua" w:cs="Book Antiqua"/>
          <w:color w:val="000000"/>
        </w:rPr>
        <w:t xml:space="preserve">B patients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 xml:space="preserve">2.1% and </w:t>
      </w:r>
      <w:r w:rsidR="008F544E">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60 Child-Pugh </w:t>
      </w:r>
      <w:r w:rsidR="00EB53F1">
        <w:rPr>
          <w:rFonts w:ascii="Book Antiqua" w:eastAsia="Book Antiqua" w:hAnsi="Book Antiqua" w:cs="Book Antiqua"/>
          <w:color w:val="000000"/>
        </w:rPr>
        <w:t xml:space="preserve">grade </w:t>
      </w:r>
      <w:r>
        <w:rPr>
          <w:rFonts w:ascii="Book Antiqua" w:eastAsia="Book Antiqua" w:hAnsi="Book Antiqua" w:cs="Book Antiqua"/>
          <w:color w:val="000000"/>
        </w:rPr>
        <w:t xml:space="preserve">C patients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31.7% (19 of 60 patients).</w:t>
      </w:r>
    </w:p>
    <w:p w14:paraId="5CA6B590" w14:textId="77777777" w:rsidR="00374CE7" w:rsidRDefault="00374CE7">
      <w:pPr>
        <w:spacing w:line="360" w:lineRule="auto"/>
        <w:jc w:val="both"/>
        <w:rPr>
          <w:rFonts w:ascii="Book Antiqua" w:hAnsi="Book Antiqua" w:cs="Book Antiqua"/>
          <w:b/>
          <w:bCs/>
          <w:color w:val="000000"/>
          <w:lang w:eastAsia="zh-CN"/>
        </w:rPr>
      </w:pPr>
    </w:p>
    <w:p w14:paraId="029032D4" w14:textId="77777777" w:rsidR="00A77B3E" w:rsidRPr="00521F9A" w:rsidRDefault="0055108A">
      <w:pPr>
        <w:spacing w:line="360" w:lineRule="auto"/>
        <w:jc w:val="both"/>
        <w:rPr>
          <w:i/>
        </w:rPr>
      </w:pPr>
      <w:r w:rsidRPr="00521F9A">
        <w:rPr>
          <w:rFonts w:ascii="Book Antiqua" w:eastAsia="Book Antiqua" w:hAnsi="Book Antiqua" w:cs="Book Antiqua"/>
          <w:b/>
          <w:bCs/>
          <w:i/>
          <w:color w:val="000000"/>
        </w:rPr>
        <w:t>Rebleeding after index admission</w:t>
      </w:r>
    </w:p>
    <w:p w14:paraId="70FA9680" w14:textId="02CAF586" w:rsidR="00A77B3E" w:rsidRDefault="0055108A">
      <w:pPr>
        <w:spacing w:line="360" w:lineRule="auto"/>
        <w:jc w:val="both"/>
      </w:pPr>
      <w:r>
        <w:rPr>
          <w:rFonts w:ascii="Book Antiqua" w:eastAsia="Book Antiqua" w:hAnsi="Book Antiqua" w:cs="Book Antiqua"/>
          <w:color w:val="000000"/>
        </w:rPr>
        <w:t>Overall</w:t>
      </w:r>
      <w:r w:rsidR="008F544E">
        <w:rPr>
          <w:rFonts w:ascii="Book Antiqua" w:eastAsia="Book Antiqua" w:hAnsi="Book Antiqua" w:cs="Book Antiqua"/>
          <w:color w:val="000000"/>
        </w:rPr>
        <w:t>,</w:t>
      </w:r>
      <w:r>
        <w:rPr>
          <w:rFonts w:ascii="Book Antiqua" w:eastAsia="Book Antiqua" w:hAnsi="Book Antiqua" w:cs="Book Antiqua"/>
          <w:color w:val="000000"/>
        </w:rPr>
        <w:t xml:space="preserve"> 26 (21.7%) of the 120 surviving patients had 31 recurrent bleeding episodes after discharge from hospital. Two of these patients survived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 Sixteen patients had 21 EV rebleeding episodes which were successfully treated with emergency EVL. The 6-mo EV specific rebleeding incidence was 8.3% (</w:t>
      </w:r>
      <w:r>
        <w:rPr>
          <w:rFonts w:ascii="Book Antiqua" w:eastAsia="Book Antiqua" w:hAnsi="Book Antiqua" w:cs="Book Antiqua"/>
          <w:i/>
          <w:iCs/>
          <w:color w:val="000000"/>
        </w:rPr>
        <w:t>n</w:t>
      </w:r>
      <w:r>
        <w:rPr>
          <w:rFonts w:ascii="Book Antiqua" w:eastAsia="Book Antiqua" w:hAnsi="Book Antiqua" w:cs="Book Antiqua"/>
          <w:color w:val="000000"/>
        </w:rPr>
        <w:t xml:space="preserve"> = 10 patients), </w:t>
      </w:r>
      <w:r w:rsidR="008F544E">
        <w:rPr>
          <w:rFonts w:ascii="Book Antiqua" w:eastAsia="Book Antiqua" w:hAnsi="Book Antiqua" w:cs="Book Antiqua"/>
          <w:color w:val="000000"/>
        </w:rPr>
        <w:t xml:space="preserve">at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12.5% (</w:t>
      </w:r>
      <w:r>
        <w:rPr>
          <w:rFonts w:ascii="Book Antiqua" w:eastAsia="Book Antiqua" w:hAnsi="Book Antiqua" w:cs="Book Antiqua"/>
          <w:i/>
          <w:iCs/>
          <w:color w:val="000000"/>
        </w:rPr>
        <w:t>n</w:t>
      </w:r>
      <w:r>
        <w:rPr>
          <w:rFonts w:ascii="Book Antiqua" w:eastAsia="Book Antiqua" w:hAnsi="Book Antiqua" w:cs="Book Antiqua"/>
          <w:color w:val="000000"/>
        </w:rPr>
        <w:t xml:space="preserve"> = 15), </w:t>
      </w:r>
      <w:r w:rsidR="008F544E">
        <w:rPr>
          <w:rFonts w:ascii="Book Antiqua" w:eastAsia="Book Antiqua" w:hAnsi="Book Antiqua" w:cs="Book Antiqua"/>
          <w:color w:val="000000"/>
        </w:rPr>
        <w:t xml:space="preserve">at </w:t>
      </w:r>
      <w:r>
        <w:rPr>
          <w:rFonts w:ascii="Book Antiqua" w:eastAsia="Book Antiqua" w:hAnsi="Book Antiqua" w:cs="Book Antiqua"/>
          <w:color w:val="000000"/>
        </w:rPr>
        <w:t>2 year</w:t>
      </w:r>
      <w:r>
        <w:rPr>
          <w:rFonts w:ascii="Book Antiqua" w:eastAsia="Book Antiqua" w:hAnsi="Book Antiqua" w:cs="Book Antiqua"/>
          <w:i/>
          <w:iCs/>
          <w:color w:val="000000"/>
        </w:rPr>
        <w:t>s</w:t>
      </w:r>
      <w:r>
        <w:rPr>
          <w:rFonts w:ascii="Book Antiqua" w:eastAsia="Book Antiqua" w:hAnsi="Book Antiqua" w:cs="Book Antiqua"/>
          <w:color w:val="000000"/>
        </w:rPr>
        <w:t xml:space="preserve">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12.5% (</w:t>
      </w:r>
      <w:r>
        <w:rPr>
          <w:rFonts w:ascii="Book Antiqua" w:eastAsia="Book Antiqua" w:hAnsi="Book Antiqua" w:cs="Book Antiqua"/>
          <w:i/>
          <w:iCs/>
          <w:color w:val="000000"/>
        </w:rPr>
        <w:t>n</w:t>
      </w:r>
      <w:r>
        <w:rPr>
          <w:rFonts w:ascii="Book Antiqua" w:eastAsia="Book Antiqua" w:hAnsi="Book Antiqua" w:cs="Book Antiqua"/>
          <w:color w:val="000000"/>
        </w:rPr>
        <w:t xml:space="preserve"> = 15)</w:t>
      </w:r>
      <w:r>
        <w:rPr>
          <w:rFonts w:ascii="Book Antiqua" w:eastAsia="Book Antiqua" w:hAnsi="Book Antiqua" w:cs="Book Antiqua"/>
          <w:i/>
          <w:iCs/>
          <w:color w:val="000000"/>
        </w:rPr>
        <w:t xml:space="preserve"> </w:t>
      </w:r>
      <w:r>
        <w:rPr>
          <w:rFonts w:ascii="Book Antiqua" w:eastAsia="Book Antiqua" w:hAnsi="Book Antiqua" w:cs="Book Antiqua"/>
          <w:color w:val="000000"/>
        </w:rPr>
        <w:t>and beyond 2 years the total cumulative rebleeding rate after initial index control was 13.3% (</w:t>
      </w:r>
      <w:r>
        <w:rPr>
          <w:rFonts w:ascii="Book Antiqua" w:eastAsia="Book Antiqua" w:hAnsi="Book Antiqua" w:cs="Book Antiqua"/>
          <w:i/>
          <w:iCs/>
          <w:color w:val="000000"/>
        </w:rPr>
        <w:t>n</w:t>
      </w:r>
      <w:r>
        <w:rPr>
          <w:rFonts w:ascii="Book Antiqua" w:eastAsia="Book Antiqua" w:hAnsi="Book Antiqua" w:cs="Book Antiqua"/>
          <w:color w:val="000000"/>
        </w:rPr>
        <w:t xml:space="preserve"> = 16). The remaining ten patients had bleeding from other sources which included gastric varices (</w:t>
      </w:r>
      <w:r>
        <w:rPr>
          <w:rFonts w:ascii="Book Antiqua" w:eastAsia="Book Antiqua" w:hAnsi="Book Antiqua" w:cs="Book Antiqua"/>
          <w:i/>
          <w:iCs/>
          <w:color w:val="000000"/>
        </w:rPr>
        <w:t>n</w:t>
      </w:r>
      <w:r>
        <w:rPr>
          <w:rFonts w:ascii="Book Antiqua" w:eastAsia="Book Antiqua" w:hAnsi="Book Antiqua" w:cs="Book Antiqua"/>
          <w:color w:val="000000"/>
        </w:rPr>
        <w:t xml:space="preserve"> = 3), gastric </w:t>
      </w:r>
      <w:r>
        <w:rPr>
          <w:rFonts w:ascii="Book Antiqua" w:eastAsia="Book Antiqua" w:hAnsi="Book Antiqua" w:cs="Book Antiqua"/>
          <w:color w:val="000000"/>
        </w:rPr>
        <w:lastRenderedPageBreak/>
        <w:t>ulcers (</w:t>
      </w:r>
      <w:r>
        <w:rPr>
          <w:rFonts w:ascii="Book Antiqua" w:eastAsia="Book Antiqua" w:hAnsi="Book Antiqua" w:cs="Book Antiqua"/>
          <w:i/>
          <w:iCs/>
          <w:color w:val="000000"/>
        </w:rPr>
        <w:t>n</w:t>
      </w:r>
      <w:r>
        <w:rPr>
          <w:rFonts w:ascii="Book Antiqua" w:eastAsia="Book Antiqua" w:hAnsi="Book Antiqua" w:cs="Book Antiqua"/>
          <w:color w:val="000000"/>
        </w:rPr>
        <w:t xml:space="preserve"> = 4), duodenal ulcer (</w:t>
      </w:r>
      <w:r>
        <w:rPr>
          <w:rFonts w:ascii="Book Antiqua" w:eastAsia="Book Antiqua" w:hAnsi="Book Antiqua" w:cs="Book Antiqua"/>
          <w:i/>
          <w:iCs/>
          <w:color w:val="000000"/>
        </w:rPr>
        <w:t>n</w:t>
      </w:r>
      <w:r>
        <w:rPr>
          <w:rFonts w:ascii="Book Antiqua" w:eastAsia="Book Antiqua" w:hAnsi="Book Antiqua" w:cs="Book Antiqua"/>
          <w:color w:val="000000"/>
        </w:rPr>
        <w:t xml:space="preserve"> = 1), esophagitis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r w:rsidR="008F544E">
        <w:rPr>
          <w:rFonts w:ascii="Book Antiqua" w:eastAsia="Book Antiqua" w:hAnsi="Book Antiqua" w:cs="Book Antiqua"/>
          <w:color w:val="000000"/>
        </w:rPr>
        <w:t xml:space="preserve">and </w:t>
      </w:r>
      <w:r>
        <w:rPr>
          <w:rFonts w:ascii="Book Antiqua" w:eastAsia="Book Antiqua" w:hAnsi="Book Antiqua" w:cs="Book Antiqua"/>
          <w:color w:val="000000"/>
        </w:rPr>
        <w:t>Mallory Weiss tear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6-mo overall all sources rebleeding incidence was 13.3% (</w:t>
      </w:r>
      <w:r>
        <w:rPr>
          <w:rFonts w:ascii="Book Antiqua" w:eastAsia="Book Antiqua" w:hAnsi="Book Antiqua" w:cs="Book Antiqua"/>
          <w:i/>
          <w:iCs/>
          <w:color w:val="000000"/>
        </w:rPr>
        <w:t>n</w:t>
      </w:r>
      <w:r>
        <w:rPr>
          <w:rFonts w:ascii="Book Antiqua" w:eastAsia="Book Antiqua" w:hAnsi="Book Antiqua" w:cs="Book Antiqua"/>
          <w:color w:val="000000"/>
        </w:rPr>
        <w:t xml:space="preserve"> = 16 patients), </w:t>
      </w:r>
      <w:r w:rsidR="008F544E">
        <w:rPr>
          <w:rFonts w:ascii="Book Antiqua" w:eastAsia="Book Antiqua" w:hAnsi="Book Antiqua" w:cs="Book Antiqua"/>
          <w:color w:val="000000"/>
        </w:rPr>
        <w:t xml:space="preserve">at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17.5% (</w:t>
      </w:r>
      <w:r>
        <w:rPr>
          <w:rFonts w:ascii="Book Antiqua" w:eastAsia="Book Antiqua" w:hAnsi="Book Antiqua" w:cs="Book Antiqua"/>
          <w:i/>
          <w:iCs/>
          <w:color w:val="000000"/>
        </w:rPr>
        <w:t>n</w:t>
      </w:r>
      <w:r>
        <w:rPr>
          <w:rFonts w:ascii="Book Antiqua" w:eastAsia="Book Antiqua" w:hAnsi="Book Antiqua" w:cs="Book Antiqua"/>
          <w:color w:val="000000"/>
        </w:rPr>
        <w:t xml:space="preserve"> = 21), </w:t>
      </w:r>
      <w:r w:rsidR="008F544E">
        <w:rPr>
          <w:rFonts w:ascii="Book Antiqua" w:eastAsia="Book Antiqua" w:hAnsi="Book Antiqua" w:cs="Book Antiqua"/>
          <w:color w:val="000000"/>
        </w:rPr>
        <w:t xml:space="preserve">at </w:t>
      </w:r>
      <w:r>
        <w:rPr>
          <w:rFonts w:ascii="Book Antiqua" w:eastAsia="Book Antiqua" w:hAnsi="Book Antiqua" w:cs="Book Antiqua"/>
          <w:color w:val="000000"/>
        </w:rPr>
        <w:t>2 year</w:t>
      </w:r>
      <w:r>
        <w:rPr>
          <w:rFonts w:ascii="Book Antiqua" w:eastAsia="Book Antiqua" w:hAnsi="Book Antiqua" w:cs="Book Antiqua"/>
          <w:i/>
          <w:iCs/>
          <w:color w:val="000000"/>
        </w:rPr>
        <w:t>s</w:t>
      </w:r>
      <w:r>
        <w:rPr>
          <w:rFonts w:ascii="Book Antiqua" w:eastAsia="Book Antiqua" w:hAnsi="Book Antiqua" w:cs="Book Antiqua"/>
          <w:color w:val="000000"/>
        </w:rPr>
        <w:t xml:space="preserve">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20.8% (</w:t>
      </w:r>
      <w:r>
        <w:rPr>
          <w:rFonts w:ascii="Book Antiqua" w:eastAsia="Book Antiqua" w:hAnsi="Book Antiqua" w:cs="Book Antiqua"/>
          <w:i/>
          <w:iCs/>
          <w:color w:val="000000"/>
        </w:rPr>
        <w:t>n</w:t>
      </w:r>
      <w:r>
        <w:rPr>
          <w:rFonts w:ascii="Book Antiqua" w:eastAsia="Book Antiqua" w:hAnsi="Book Antiqua" w:cs="Book Antiqua"/>
          <w:color w:val="000000"/>
        </w:rPr>
        <w:t xml:space="preserve"> = 25)</w:t>
      </w:r>
      <w:r>
        <w:rPr>
          <w:rFonts w:ascii="Book Antiqua" w:eastAsia="Book Antiqua" w:hAnsi="Book Antiqua" w:cs="Book Antiqua"/>
          <w:i/>
          <w:iCs/>
          <w:color w:val="000000"/>
        </w:rPr>
        <w:t xml:space="preserve"> </w:t>
      </w:r>
      <w:r>
        <w:rPr>
          <w:rFonts w:ascii="Book Antiqua" w:eastAsia="Book Antiqua" w:hAnsi="Book Antiqua" w:cs="Book Antiqua"/>
          <w:color w:val="000000"/>
        </w:rPr>
        <w:t>and beyond 2 years the total cumulative rebleeding rate after initial index control was 21.7% (</w:t>
      </w:r>
      <w:r>
        <w:rPr>
          <w:rFonts w:ascii="Book Antiqua" w:eastAsia="Book Antiqua" w:hAnsi="Book Antiqua" w:cs="Book Antiqua"/>
          <w:i/>
          <w:iCs/>
          <w:color w:val="000000"/>
        </w:rPr>
        <w:t>n</w:t>
      </w:r>
      <w:r>
        <w:rPr>
          <w:rFonts w:ascii="Book Antiqua" w:eastAsia="Book Antiqua" w:hAnsi="Book Antiqua" w:cs="Book Antiqua"/>
          <w:color w:val="000000"/>
        </w:rPr>
        <w:t xml:space="preserve"> = 26</w:t>
      </w:r>
      <w:r w:rsidR="0063757C">
        <w:rPr>
          <w:rFonts w:ascii="Book Antiqua" w:hAnsi="Book Antiqua" w:cs="Book Antiqua" w:hint="eastAsia"/>
          <w:color w:val="000000"/>
          <w:lang w:eastAsia="zh-CN"/>
        </w:rPr>
        <w:t xml:space="preserve">, </w:t>
      </w:r>
      <w:r>
        <w:rPr>
          <w:rFonts w:ascii="Book Antiqua" w:eastAsia="Book Antiqua" w:hAnsi="Book Antiqua" w:cs="Book Antiqua"/>
          <w:color w:val="000000"/>
        </w:rPr>
        <w:t>Table 2).</w:t>
      </w:r>
    </w:p>
    <w:p w14:paraId="586CA223" w14:textId="77777777" w:rsidR="00F03A1A" w:rsidRDefault="00F03A1A">
      <w:pPr>
        <w:spacing w:line="360" w:lineRule="auto"/>
        <w:jc w:val="both"/>
        <w:rPr>
          <w:rFonts w:ascii="Book Antiqua" w:hAnsi="Book Antiqua" w:cs="Book Antiqua"/>
          <w:b/>
          <w:bCs/>
          <w:i/>
          <w:color w:val="000000"/>
          <w:lang w:eastAsia="zh-CN"/>
        </w:rPr>
      </w:pPr>
    </w:p>
    <w:p w14:paraId="5A951060" w14:textId="77777777" w:rsidR="00A77B3E" w:rsidRPr="00F03A1A" w:rsidRDefault="0055108A">
      <w:pPr>
        <w:spacing w:line="360" w:lineRule="auto"/>
        <w:jc w:val="both"/>
        <w:rPr>
          <w:i/>
        </w:rPr>
      </w:pPr>
      <w:r w:rsidRPr="00F03A1A">
        <w:rPr>
          <w:rFonts w:ascii="Book Antiqua" w:eastAsia="Book Antiqua" w:hAnsi="Book Antiqua" w:cs="Book Antiqua"/>
          <w:b/>
          <w:bCs/>
          <w:i/>
          <w:color w:val="000000"/>
        </w:rPr>
        <w:t>Eradication of varices</w:t>
      </w:r>
    </w:p>
    <w:p w14:paraId="23A20FCA" w14:textId="77777777" w:rsidR="00A77B3E" w:rsidRDefault="0055108A">
      <w:pPr>
        <w:spacing w:line="360" w:lineRule="auto"/>
        <w:jc w:val="both"/>
      </w:pPr>
      <w:r>
        <w:rPr>
          <w:rFonts w:ascii="Book Antiqua" w:eastAsia="Book Antiqua" w:hAnsi="Book Antiqua" w:cs="Book Antiqua"/>
          <w:color w:val="000000"/>
        </w:rPr>
        <w:t xml:space="preserve">Eradication was achieved in 50 of 111 patients (45%) who survived longer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 median of 2 banding procedures (range 1-13), during a median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0.5-55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(Table 1). EV remained eradicated in 19 (Child</w:t>
      </w:r>
      <w:r w:rsidR="000405AE">
        <w:rPr>
          <w:rFonts w:ascii="Book Antiqua" w:eastAsia="Book Antiqua" w:hAnsi="Book Antiqua" w:cs="Book Antiqua"/>
          <w:color w:val="000000"/>
        </w:rPr>
        <w:t>-Pugh</w:t>
      </w:r>
      <w:r>
        <w:rPr>
          <w:rFonts w:ascii="Book Antiqua" w:eastAsia="Book Antiqua" w:hAnsi="Book Antiqua" w:cs="Book Antiqua"/>
          <w:color w:val="000000"/>
        </w:rPr>
        <w:t xml:space="preserve"> grade A </w:t>
      </w:r>
      <w:r>
        <w:rPr>
          <w:rFonts w:ascii="Book Antiqua" w:eastAsia="Book Antiqua" w:hAnsi="Book Antiqua" w:cs="Book Antiqua"/>
          <w:i/>
          <w:iCs/>
          <w:color w:val="000000"/>
        </w:rPr>
        <w:t>n</w:t>
      </w:r>
      <w:r>
        <w:rPr>
          <w:rFonts w:ascii="Book Antiqua" w:eastAsia="Book Antiqua" w:hAnsi="Book Antiqua" w:cs="Book Antiqua"/>
          <w:color w:val="000000"/>
        </w:rPr>
        <w:t xml:space="preserve"> = 6, grade B </w:t>
      </w:r>
      <w:r>
        <w:rPr>
          <w:rFonts w:ascii="Book Antiqua" w:eastAsia="Book Antiqua" w:hAnsi="Book Antiqua" w:cs="Book Antiqua"/>
          <w:i/>
          <w:iCs/>
          <w:color w:val="000000"/>
        </w:rPr>
        <w:t>n</w:t>
      </w:r>
      <w:r>
        <w:rPr>
          <w:rFonts w:ascii="Book Antiqua" w:eastAsia="Book Antiqua" w:hAnsi="Book Antiqua" w:cs="Book Antiqua"/>
          <w:color w:val="000000"/>
        </w:rPr>
        <w:t xml:space="preserve"> = 6, grade C </w:t>
      </w:r>
      <w:r>
        <w:rPr>
          <w:rFonts w:ascii="Book Antiqua" w:eastAsia="Book Antiqua" w:hAnsi="Book Antiqua" w:cs="Book Antiqua"/>
          <w:i/>
          <w:iCs/>
          <w:color w:val="000000"/>
        </w:rPr>
        <w:t>n</w:t>
      </w:r>
      <w:r>
        <w:rPr>
          <w:rFonts w:ascii="Book Antiqua" w:eastAsia="Book Antiqua" w:hAnsi="Book Antiqua" w:cs="Book Antiqua"/>
          <w:color w:val="000000"/>
        </w:rPr>
        <w:t xml:space="preserve"> = 7) patients with a median follow-up from eradication of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4-112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 Seven of the 19 patients died after a median survival of 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4-112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1B4474DA" w14:textId="77777777" w:rsidR="009273BB" w:rsidRDefault="009273BB">
      <w:pPr>
        <w:spacing w:line="360" w:lineRule="auto"/>
        <w:jc w:val="both"/>
        <w:rPr>
          <w:rFonts w:ascii="Book Antiqua" w:hAnsi="Book Antiqua" w:cs="Book Antiqua"/>
          <w:b/>
          <w:bCs/>
          <w:i/>
          <w:color w:val="000000"/>
          <w:lang w:eastAsia="zh-CN"/>
        </w:rPr>
      </w:pPr>
    </w:p>
    <w:p w14:paraId="2C439913" w14:textId="77777777" w:rsidR="00A77B3E" w:rsidRPr="009273BB" w:rsidRDefault="0055108A">
      <w:pPr>
        <w:spacing w:line="360" w:lineRule="auto"/>
        <w:jc w:val="both"/>
        <w:rPr>
          <w:i/>
        </w:rPr>
      </w:pPr>
      <w:r w:rsidRPr="009273BB">
        <w:rPr>
          <w:rFonts w:ascii="Book Antiqua" w:eastAsia="Book Antiqua" w:hAnsi="Book Antiqua" w:cs="Book Antiqua"/>
          <w:b/>
          <w:bCs/>
          <w:i/>
          <w:color w:val="000000"/>
        </w:rPr>
        <w:t>Recurrent bleeding after variceal eradication</w:t>
      </w:r>
    </w:p>
    <w:p w14:paraId="38544B7D" w14:textId="77777777" w:rsidR="00A77B3E" w:rsidRDefault="0055108A">
      <w:pPr>
        <w:spacing w:line="360" w:lineRule="auto"/>
        <w:jc w:val="both"/>
      </w:pPr>
      <w:r>
        <w:rPr>
          <w:rFonts w:ascii="Book Antiqua" w:eastAsia="Book Antiqua" w:hAnsi="Book Antiqua" w:cs="Book Antiqua"/>
          <w:color w:val="000000"/>
        </w:rPr>
        <w:t xml:space="preserve">Three of the 31 patients with recurrent EV after eradication presented with variceal rebleeding at 3, 4 and 25 </w:t>
      </w:r>
      <w:proofErr w:type="spellStart"/>
      <w:r>
        <w:rPr>
          <w:rFonts w:ascii="Book Antiqua" w:eastAsia="Book Antiqua" w:hAnsi="Book Antiqua" w:cs="Book Antiqua"/>
          <w:color w:val="000000"/>
        </w:rPr>
        <w:t>mo</w:t>
      </w:r>
      <w:proofErr w:type="spellEnd"/>
      <w:r w:rsidR="00EB53F1">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EB53F1">
        <w:rPr>
          <w:rFonts w:ascii="Book Antiqua" w:eastAsia="Book Antiqua" w:hAnsi="Book Antiqua" w:cs="Book Antiqua"/>
          <w:color w:val="000000"/>
        </w:rPr>
        <w:t>,</w:t>
      </w:r>
      <w:r>
        <w:rPr>
          <w:rFonts w:ascii="Book Antiqua" w:eastAsia="Book Antiqua" w:hAnsi="Book Antiqua" w:cs="Book Antiqua"/>
          <w:color w:val="000000"/>
        </w:rPr>
        <w:t xml:space="preserve"> and were successfully treated with EVL.</w:t>
      </w:r>
    </w:p>
    <w:p w14:paraId="14E0CF3B" w14:textId="77777777" w:rsidR="009273BB" w:rsidRDefault="009273BB">
      <w:pPr>
        <w:spacing w:line="360" w:lineRule="auto"/>
        <w:jc w:val="both"/>
        <w:rPr>
          <w:rFonts w:ascii="Book Antiqua" w:hAnsi="Book Antiqua" w:cs="Book Antiqua"/>
          <w:b/>
          <w:bCs/>
          <w:i/>
          <w:color w:val="000000"/>
          <w:lang w:eastAsia="zh-CN"/>
        </w:rPr>
      </w:pPr>
    </w:p>
    <w:p w14:paraId="0F7AD597" w14:textId="77777777" w:rsidR="00A77B3E" w:rsidRPr="009273BB" w:rsidRDefault="0055108A">
      <w:pPr>
        <w:spacing w:line="360" w:lineRule="auto"/>
        <w:jc w:val="both"/>
        <w:rPr>
          <w:i/>
        </w:rPr>
      </w:pPr>
      <w:r w:rsidRPr="009273BB">
        <w:rPr>
          <w:rFonts w:ascii="Book Antiqua" w:eastAsia="Book Antiqua" w:hAnsi="Book Antiqua" w:cs="Book Antiqua"/>
          <w:b/>
          <w:bCs/>
          <w:i/>
          <w:color w:val="000000"/>
        </w:rPr>
        <w:t>Varices not eradicated</w:t>
      </w:r>
    </w:p>
    <w:p w14:paraId="7660BC72" w14:textId="3F39C82F" w:rsidR="00A77B3E" w:rsidRDefault="0055108A">
      <w:pPr>
        <w:spacing w:line="360" w:lineRule="auto"/>
        <w:jc w:val="both"/>
      </w:pPr>
      <w:r>
        <w:rPr>
          <w:rFonts w:ascii="Book Antiqua" w:eastAsia="Book Antiqua" w:hAnsi="Book Antiqua" w:cs="Book Antiqua"/>
          <w:color w:val="000000"/>
        </w:rPr>
        <w:t xml:space="preserve">The 61 patients whose EV were not eradicated had a total of 224 banding procedures (median 5 banding procedures, range 1-11) during a mean of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 Twenty three of the 61 patients died (18 due to progressive liver failure, 3 with MOF aggravated by recurrent BEV and 2 due to hepatorenal failure) at a median of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3-103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remaining 38 patients were followed up for a median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0.5-99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In 41 patients who had at least 4 banding sessions</w:t>
      </w:r>
      <w:r w:rsidR="00EB53F1">
        <w:rPr>
          <w:rFonts w:ascii="Book Antiqua" w:eastAsia="Book Antiqua" w:hAnsi="Book Antiqua" w:cs="Book Antiqua"/>
          <w:color w:val="000000"/>
        </w:rPr>
        <w:t>,</w:t>
      </w:r>
      <w:r>
        <w:rPr>
          <w:rFonts w:ascii="Book Antiqua" w:eastAsia="Book Antiqua" w:hAnsi="Book Antiqua" w:cs="Book Antiqua"/>
          <w:color w:val="000000"/>
        </w:rPr>
        <w:t xml:space="preserve"> EV reduced in size to either grade 1 (</w:t>
      </w:r>
      <w:r>
        <w:rPr>
          <w:rFonts w:ascii="Book Antiqua" w:eastAsia="Book Antiqua" w:hAnsi="Book Antiqua" w:cs="Book Antiqua"/>
          <w:i/>
          <w:iCs/>
          <w:color w:val="000000"/>
        </w:rPr>
        <w:t>n</w:t>
      </w:r>
      <w:r>
        <w:rPr>
          <w:rFonts w:ascii="Book Antiqua" w:eastAsia="Book Antiqua" w:hAnsi="Book Antiqua" w:cs="Book Antiqua"/>
          <w:color w:val="000000"/>
        </w:rPr>
        <w:t xml:space="preserve"> = 25) or grade 2 (</w:t>
      </w:r>
      <w:r>
        <w:rPr>
          <w:rFonts w:ascii="Book Antiqua" w:eastAsia="Book Antiqua" w:hAnsi="Book Antiqua" w:cs="Book Antiqua"/>
          <w:i/>
          <w:iCs/>
          <w:color w:val="000000"/>
        </w:rPr>
        <w:t>n</w:t>
      </w:r>
      <w:r>
        <w:rPr>
          <w:rFonts w:ascii="Book Antiqua" w:eastAsia="Book Antiqua" w:hAnsi="Book Antiqua" w:cs="Book Antiqua"/>
          <w:color w:val="000000"/>
        </w:rPr>
        <w:t xml:space="preserve"> = 16) none of whom rebled despite no further EVL. This group in whom EVL was not technically possible w</w:t>
      </w:r>
      <w:r w:rsidR="00EB53F1">
        <w:rPr>
          <w:rFonts w:ascii="Book Antiqua" w:eastAsia="Book Antiqua" w:hAnsi="Book Antiqua" w:cs="Book Antiqua"/>
          <w:color w:val="000000"/>
        </w:rPr>
        <w:t>as</w:t>
      </w:r>
      <w:r>
        <w:rPr>
          <w:rFonts w:ascii="Book Antiqua" w:eastAsia="Book Antiqua" w:hAnsi="Book Antiqua" w:cs="Book Antiqua"/>
          <w:color w:val="000000"/>
        </w:rPr>
        <w:t xml:space="preserve"> regarded as</w:t>
      </w:r>
      <w:r w:rsidR="00EB53F1">
        <w:rPr>
          <w:rFonts w:ascii="Book Antiqua" w:eastAsia="Book Antiqua" w:hAnsi="Book Antiqua" w:cs="Book Antiqua"/>
          <w:color w:val="000000"/>
        </w:rPr>
        <w:t xml:space="preserve"> having</w:t>
      </w:r>
      <w:r>
        <w:rPr>
          <w:rFonts w:ascii="Book Antiqua" w:eastAsia="Book Antiqua" w:hAnsi="Book Antiqua" w:cs="Book Antiqua"/>
          <w:color w:val="000000"/>
        </w:rPr>
        <w:t xml:space="preserve"> “functional eradication” as results were comparable to those with complete eradication.</w:t>
      </w:r>
    </w:p>
    <w:p w14:paraId="782A6343" w14:textId="77777777" w:rsidR="009273BB" w:rsidRDefault="009273BB">
      <w:pPr>
        <w:spacing w:line="360" w:lineRule="auto"/>
        <w:jc w:val="both"/>
        <w:rPr>
          <w:rFonts w:ascii="Book Antiqua" w:hAnsi="Book Antiqua" w:cs="Book Antiqua"/>
          <w:b/>
          <w:bCs/>
          <w:i/>
          <w:color w:val="000000"/>
          <w:lang w:eastAsia="zh-CN"/>
        </w:rPr>
      </w:pPr>
    </w:p>
    <w:p w14:paraId="0D2EF94E" w14:textId="77777777" w:rsidR="00A77B3E" w:rsidRPr="009273BB" w:rsidRDefault="0055108A">
      <w:pPr>
        <w:spacing w:line="360" w:lineRule="auto"/>
        <w:jc w:val="both"/>
        <w:rPr>
          <w:i/>
        </w:rPr>
      </w:pPr>
      <w:r w:rsidRPr="009273BB">
        <w:rPr>
          <w:rFonts w:ascii="Book Antiqua" w:eastAsia="Book Antiqua" w:hAnsi="Book Antiqua" w:cs="Book Antiqua"/>
          <w:b/>
          <w:bCs/>
          <w:i/>
          <w:color w:val="000000"/>
        </w:rPr>
        <w:lastRenderedPageBreak/>
        <w:t>Esophageal complications</w:t>
      </w:r>
    </w:p>
    <w:p w14:paraId="5E1ED178" w14:textId="26C176E3" w:rsidR="00A77B3E" w:rsidRDefault="0055108A">
      <w:pPr>
        <w:spacing w:line="360" w:lineRule="auto"/>
        <w:jc w:val="both"/>
      </w:pPr>
      <w:r>
        <w:rPr>
          <w:rFonts w:ascii="Book Antiqua" w:eastAsia="Book Antiqua" w:hAnsi="Book Antiqua" w:cs="Book Antiqua"/>
          <w:color w:val="000000"/>
        </w:rPr>
        <w:t>Esophageal strictur</w:t>
      </w:r>
      <w:r w:rsidR="00EB53F1">
        <w:rPr>
          <w:rFonts w:ascii="Book Antiqua" w:eastAsia="Book Antiqua" w:hAnsi="Book Antiqua" w:cs="Book Antiqua"/>
          <w:color w:val="000000"/>
        </w:rPr>
        <w:t>e</w:t>
      </w:r>
      <w:r>
        <w:rPr>
          <w:rFonts w:ascii="Book Antiqua" w:eastAsia="Book Antiqua" w:hAnsi="Book Antiqua" w:cs="Book Antiqua"/>
          <w:color w:val="000000"/>
        </w:rPr>
        <w:t xml:space="preserve"> at the banding site was noted in 16 patients during a follow-up endoscopy, none of whom required esophageal dilatation for relief of symptoms and resolved after passage of the endoscope.</w:t>
      </w:r>
    </w:p>
    <w:p w14:paraId="5F56C1E8" w14:textId="77777777" w:rsidR="00FD5252" w:rsidRDefault="00FD5252">
      <w:pPr>
        <w:spacing w:line="360" w:lineRule="auto"/>
        <w:jc w:val="both"/>
        <w:rPr>
          <w:rFonts w:ascii="Book Antiqua" w:hAnsi="Book Antiqua" w:cs="Book Antiqua"/>
          <w:b/>
          <w:bCs/>
          <w:i/>
          <w:color w:val="000000"/>
          <w:lang w:eastAsia="zh-CN"/>
        </w:rPr>
      </w:pPr>
    </w:p>
    <w:p w14:paraId="1E59CEE7" w14:textId="77777777" w:rsidR="00A77B3E" w:rsidRPr="00FD5252" w:rsidRDefault="0055108A">
      <w:pPr>
        <w:spacing w:line="360" w:lineRule="auto"/>
        <w:jc w:val="both"/>
        <w:rPr>
          <w:i/>
        </w:rPr>
      </w:pPr>
      <w:r w:rsidRPr="00FD5252">
        <w:rPr>
          <w:rFonts w:ascii="Book Antiqua" w:eastAsia="Book Antiqua" w:hAnsi="Book Antiqua" w:cs="Book Antiqua"/>
          <w:b/>
          <w:bCs/>
          <w:i/>
          <w:color w:val="000000"/>
        </w:rPr>
        <w:t>Survival analysis</w:t>
      </w:r>
    </w:p>
    <w:p w14:paraId="766343CA" w14:textId="77777777" w:rsidR="00A77B3E" w:rsidRDefault="0055108A">
      <w:pPr>
        <w:spacing w:line="360" w:lineRule="auto"/>
        <w:jc w:val="both"/>
      </w:pPr>
      <w:r>
        <w:rPr>
          <w:rFonts w:ascii="Book Antiqua" w:eastAsia="Book Antiqua" w:hAnsi="Book Antiqua" w:cs="Book Antiqua"/>
          <w:color w:val="000000"/>
        </w:rPr>
        <w:t xml:space="preserve">During a median follow-up period of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9-220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EB53F1">
        <w:rPr>
          <w:rFonts w:ascii="Book Antiqua" w:eastAsia="Book Antiqua" w:hAnsi="Book Antiqua" w:cs="Book Antiqua"/>
          <w:color w:val="000000"/>
        </w:rPr>
        <w:t>,</w:t>
      </w:r>
      <w:r>
        <w:rPr>
          <w:rFonts w:ascii="Book Antiqua" w:eastAsia="Book Antiqua" w:hAnsi="Book Antiqua" w:cs="Book Antiqua"/>
          <w:color w:val="000000"/>
        </w:rPr>
        <w:t xml:space="preserve"> 69 (49.3%) of the 140 patients died (mean: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0.03-141.7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Liver failure (</w:t>
      </w:r>
      <w:r>
        <w:rPr>
          <w:rFonts w:ascii="Book Antiqua" w:eastAsia="Book Antiqua" w:hAnsi="Book Antiqua" w:cs="Book Antiqua"/>
          <w:i/>
          <w:iCs/>
          <w:color w:val="000000"/>
        </w:rPr>
        <w:t>n</w:t>
      </w:r>
      <w:r>
        <w:rPr>
          <w:rFonts w:ascii="Book Antiqua" w:eastAsia="Book Antiqua" w:hAnsi="Book Antiqua" w:cs="Book Antiqua"/>
          <w:color w:val="000000"/>
        </w:rPr>
        <w:t xml:space="preserve"> = 46) was the most common cause of death followed by MOF in 14 patients. The cumulative overall survival of all 140 patients by life table analysis was 71.4% at 1 year, 65% at 3 years, 60% at 5 years and 52.1% at 10 years.</w:t>
      </w:r>
      <w:bookmarkStart w:id="4" w:name="OLE_LINK3"/>
      <w:bookmarkStart w:id="5" w:name="OLE_LINK4"/>
      <w:r>
        <w:rPr>
          <w:rFonts w:ascii="Book Antiqua" w:eastAsia="Book Antiqua" w:hAnsi="Book Antiqua" w:cs="Book Antiqua"/>
          <w:color w:val="000000"/>
        </w:rPr>
        <w:t xml:space="preserve"> Overall survival according to Child-Pugh grading</w:t>
      </w:r>
      <w:bookmarkEnd w:id="4"/>
      <w:bookmarkEnd w:id="5"/>
      <w:r>
        <w:rPr>
          <w:rFonts w:ascii="Book Antiqua" w:eastAsia="Book Antiqua" w:hAnsi="Book Antiqua" w:cs="Book Antiqua"/>
          <w:color w:val="000000"/>
        </w:rPr>
        <w:t xml:space="preserve"> is presented in Table 3. </w:t>
      </w:r>
      <w:bookmarkStart w:id="6" w:name="OLE_LINK5"/>
      <w:bookmarkStart w:id="7" w:name="OLE_LINK6"/>
      <w:r>
        <w:rPr>
          <w:rFonts w:ascii="Book Antiqua" w:eastAsia="Book Antiqua" w:hAnsi="Book Antiqua" w:cs="Book Antiqua"/>
          <w:color w:val="000000"/>
        </w:rPr>
        <w:t>No significant specific risk factors for rebleeding were evident on multivariate analysis</w:t>
      </w:r>
      <w:bookmarkEnd w:id="6"/>
      <w:bookmarkEnd w:id="7"/>
      <w:r>
        <w:rPr>
          <w:rFonts w:ascii="Book Antiqua" w:eastAsia="Book Antiqua" w:hAnsi="Book Antiqua" w:cs="Book Antiqua"/>
          <w:color w:val="000000"/>
        </w:rPr>
        <w:t xml:space="preserve"> (Table 4). </w:t>
      </w:r>
    </w:p>
    <w:p w14:paraId="592C8E59" w14:textId="77777777" w:rsidR="00A77B3E" w:rsidRDefault="00A77B3E">
      <w:pPr>
        <w:spacing w:line="360" w:lineRule="auto"/>
        <w:jc w:val="both"/>
      </w:pPr>
    </w:p>
    <w:p w14:paraId="1D5DD0D0" w14:textId="77777777" w:rsidR="00A77B3E" w:rsidRDefault="0055108A">
      <w:pPr>
        <w:spacing w:line="360" w:lineRule="auto"/>
        <w:jc w:val="both"/>
      </w:pPr>
      <w:r>
        <w:rPr>
          <w:rFonts w:ascii="Book Antiqua" w:eastAsia="Book Antiqua" w:hAnsi="Book Antiqua" w:cs="Book Antiqua"/>
          <w:b/>
          <w:caps/>
          <w:color w:val="000000"/>
          <w:u w:val="single"/>
        </w:rPr>
        <w:t>DISCUSSION</w:t>
      </w:r>
    </w:p>
    <w:p w14:paraId="3320854B" w14:textId="66FABBB4" w:rsidR="00A77B3E" w:rsidRDefault="0055108A">
      <w:pPr>
        <w:spacing w:line="360" w:lineRule="auto"/>
        <w:jc w:val="both"/>
      </w:pPr>
      <w:r>
        <w:rPr>
          <w:rFonts w:ascii="Book Antiqua" w:eastAsia="Book Antiqua" w:hAnsi="Book Antiqua" w:cs="Book Antiqua"/>
          <w:color w:val="000000"/>
        </w:rPr>
        <w:t xml:space="preserve">In this prospective study the efficacy of EVL was evaluated in a large cohort of consecutive portal hypertensive patients treated at a specialist endoscopy referral </w:t>
      </w:r>
      <w:r w:rsidR="00FC3755">
        <w:rPr>
          <w:rFonts w:ascii="Book Antiqua" w:eastAsia="Book Antiqua" w:hAnsi="Book Antiqua" w:cs="Book Antiqua"/>
          <w:color w:val="000000"/>
        </w:rPr>
        <w:t xml:space="preserve">center </w:t>
      </w:r>
      <w:r>
        <w:rPr>
          <w:rFonts w:ascii="Book Antiqua" w:eastAsia="Book Antiqua" w:hAnsi="Book Antiqua" w:cs="Book Antiqua"/>
          <w:color w:val="000000"/>
        </w:rPr>
        <w:t xml:space="preserve">using specific and validated endpoints including control of the initial bleeding event and subsequent variceal eradication, rebleeding and recurrence. Acute control of active variceal bleeding was highly successful and hemostasis was achieved in 95.7% of patients with minimal banding morbidity. However, varices were </w:t>
      </w:r>
      <w:r w:rsidRPr="003E1661">
        <w:rPr>
          <w:rFonts w:ascii="Book Antiqua" w:eastAsia="Book Antiqua" w:hAnsi="Book Antiqua" w:cs="Book Antiqua"/>
          <w:iCs/>
          <w:color w:val="000000"/>
        </w:rPr>
        <w:t>completely</w:t>
      </w:r>
      <w:r>
        <w:rPr>
          <w:rFonts w:ascii="Book Antiqua" w:eastAsia="Book Antiqua" w:hAnsi="Book Antiqua" w:cs="Book Antiqua"/>
          <w:color w:val="000000"/>
        </w:rPr>
        <w:t xml:space="preserve"> eradicated in only 45% of patients who survived more than 3 mo. Furthermore, varices recurred in 62% of patients previously eradicated and 9.7% of these had further variceal bleeding. Overall, 81% of patients in this study had bleeding that was effectively controlled during the index banding procedure and, after repeat banding, never bled again from esophageal varices. However, the remaining 19% of the cohort had refractory and complicated variceal bleeding and required either balloon tamponade during the index endoscopy (4%) or rebled during the initial hospitali</w:t>
      </w:r>
      <w:r w:rsidR="003F2250">
        <w:rPr>
          <w:rFonts w:ascii="Book Antiqua" w:eastAsia="Book Antiqua" w:hAnsi="Book Antiqua" w:cs="Book Antiqua"/>
          <w:color w:val="000000"/>
        </w:rPr>
        <w:t>z</w:t>
      </w:r>
      <w:r>
        <w:rPr>
          <w:rFonts w:ascii="Book Antiqua" w:eastAsia="Book Antiqua" w:hAnsi="Book Antiqua" w:cs="Book Antiqua"/>
          <w:color w:val="000000"/>
        </w:rPr>
        <w:t xml:space="preserve">ation (3%) or rebled subsequently (12%) over the next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residual or recurrent esophageal varices. As EVL is now universally regarded as the </w:t>
      </w:r>
      <w:r>
        <w:rPr>
          <w:rFonts w:ascii="Book Antiqua" w:eastAsia="Book Antiqua" w:hAnsi="Book Antiqua" w:cs="Book Antiqua"/>
          <w:color w:val="000000"/>
        </w:rPr>
        <w:lastRenderedPageBreak/>
        <w:t xml:space="preserve">endoscopic method of choice for treating </w:t>
      </w:r>
      <w:proofErr w:type="gramStart"/>
      <w:r>
        <w:rPr>
          <w:rFonts w:ascii="Book Antiqua" w:eastAsia="Book Antiqua" w:hAnsi="Book Antiqua" w:cs="Book Antiqua"/>
          <w:color w:val="000000"/>
        </w:rPr>
        <w:t>EV</w:t>
      </w:r>
      <w:r w:rsidR="003E16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3E16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data in this study are relevant and pertinent to current endoscopic variceal management and emphasize several important and unresolved issues related to the role of EVL in achieving hemostasis in actively bleeding varices and variceal eradication to prevent rebleeding</w:t>
      </w:r>
      <w:r w:rsidR="003E166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1-4</w:t>
      </w:r>
      <w:r w:rsidR="003E16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1A65DE6" w14:textId="77777777" w:rsidR="00A77B3E" w:rsidRDefault="0055108A" w:rsidP="003E1661">
      <w:pPr>
        <w:spacing w:line="360" w:lineRule="auto"/>
        <w:ind w:firstLineChars="100" w:firstLine="240"/>
        <w:jc w:val="both"/>
      </w:pPr>
      <w:r>
        <w:rPr>
          <w:rFonts w:ascii="Book Antiqua" w:eastAsia="Book Antiqua" w:hAnsi="Book Antiqua" w:cs="Book Antiqua"/>
          <w:color w:val="000000"/>
        </w:rPr>
        <w:t xml:space="preserve">Experts agree that EVL requires a high level of manipulative skill and mature judgement, especially when applying bands during active variceal </w:t>
      </w:r>
      <w:proofErr w:type="gramStart"/>
      <w:r>
        <w:rPr>
          <w:rFonts w:ascii="Book Antiqua" w:eastAsia="Book Antiqua" w:hAnsi="Book Antiqua" w:cs="Book Antiqua"/>
          <w:color w:val="000000"/>
        </w:rPr>
        <w:t>bleeding</w:t>
      </w:r>
      <w:r w:rsidR="003E166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15</w:t>
      </w:r>
      <w:r w:rsidR="003E16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Despite initial </w:t>
      </w:r>
      <w:proofErr w:type="spellStart"/>
      <w:r>
        <w:rPr>
          <w:rFonts w:ascii="Book Antiqua" w:eastAsia="Book Antiqua" w:hAnsi="Book Antiqua" w:cs="Book Antiqua"/>
          <w:color w:val="000000"/>
        </w:rPr>
        <w:t>scepticism</w:t>
      </w:r>
      <w:proofErr w:type="spellEnd"/>
      <w:r>
        <w:rPr>
          <w:rFonts w:ascii="Book Antiqua" w:eastAsia="Book Antiqua" w:hAnsi="Book Antiqua" w:cs="Book Antiqua"/>
          <w:color w:val="000000"/>
        </w:rPr>
        <w:t xml:space="preserve"> and concerns that EVL would prove less effective than sclerotherapy in achieving control of actively bleeding varices as blood or clot filling the cap during profuse bleeding may obscure vision and limit accurate band deployment, there were very few failures of acute hemostasis in this study. In three small non-randomized studies by El-</w:t>
      </w:r>
      <w:proofErr w:type="spellStart"/>
      <w:proofErr w:type="gramStart"/>
      <w:r>
        <w:rPr>
          <w:rFonts w:ascii="Book Antiqua" w:eastAsia="Book Antiqua" w:hAnsi="Book Antiqua" w:cs="Book Antiqua"/>
          <w:color w:val="000000"/>
        </w:rPr>
        <w:t>Saify</w:t>
      </w:r>
      <w:proofErr w:type="spellEnd"/>
      <w:r w:rsidR="003E16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16</w:t>
      </w:r>
      <w:r w:rsidR="003E166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Saeed</w:t>
      </w:r>
      <w:r w:rsidR="003E166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17</w:t>
      </w:r>
      <w:r w:rsidR="003E166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Hou</w:t>
      </w:r>
      <w:r w:rsidR="003E166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18</w:t>
      </w:r>
      <w:r w:rsidR="003E166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active variceal bleeding control was reported in 100% of patients. Patient numbers in these studies, however, were small and there was no consistency in the definition of duration of control of active bleeding. In an updated analysis of 17 prospective </w:t>
      </w:r>
      <w:r w:rsidR="003D2DFE">
        <w:rPr>
          <w:rFonts w:ascii="Book Antiqua" w:hAnsi="Book Antiqua" w:cs="Book Antiqua" w:hint="eastAsia"/>
          <w:color w:val="000000"/>
          <w:lang w:eastAsia="zh-CN"/>
        </w:rPr>
        <w:t>r</w:t>
      </w:r>
      <w:r w:rsidR="003D2DFE" w:rsidRPr="003D2DFE">
        <w:rPr>
          <w:rFonts w:ascii="Book Antiqua" w:eastAsia="Book Antiqua" w:hAnsi="Book Antiqua" w:cs="Book Antiqua"/>
          <w:color w:val="000000"/>
        </w:rPr>
        <w:t xml:space="preserve">andomized controlled trials </w:t>
      </w:r>
      <w:r w:rsidR="003D2DFE">
        <w:rPr>
          <w:rFonts w:ascii="Book Antiqua" w:hAnsi="Book Antiqua" w:cs="Book Antiqua" w:hint="eastAsia"/>
          <w:color w:val="000000"/>
          <w:lang w:eastAsia="zh-CN"/>
        </w:rPr>
        <w:t>(</w:t>
      </w:r>
      <w:r>
        <w:rPr>
          <w:rFonts w:ascii="Book Antiqua" w:eastAsia="Book Antiqua" w:hAnsi="Book Antiqua" w:cs="Book Antiqua"/>
          <w:color w:val="000000"/>
        </w:rPr>
        <w:t>RCTs</w:t>
      </w:r>
      <w:r w:rsidR="003D2DFE">
        <w:rPr>
          <w:rFonts w:ascii="Book Antiqua" w:hAnsi="Book Antiqua" w:cs="Book Antiqua" w:hint="eastAsia"/>
          <w:color w:val="000000"/>
          <w:lang w:eastAsia="zh-CN"/>
        </w:rPr>
        <w:t>)</w:t>
      </w:r>
      <w:r>
        <w:rPr>
          <w:rFonts w:ascii="Book Antiqua" w:eastAsia="Book Antiqua" w:hAnsi="Book Antiqua" w:cs="Book Antiqua"/>
          <w:color w:val="000000"/>
        </w:rPr>
        <w:t xml:space="preserve"> comparing EVL with sclerotherapy, bleeding variceal control with EVL ranged from 86% to 100%, and was significantly better than IST in 2</w:t>
      </w:r>
      <w:r w:rsidR="00160B7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19,20</w:t>
      </w:r>
      <w:r w:rsidR="00160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of 17 RCT</w:t>
      </w:r>
      <w:r w:rsidR="003F2250">
        <w:rPr>
          <w:rFonts w:ascii="Book Antiqua" w:eastAsia="Book Antiqua" w:hAnsi="Book Antiqua" w:cs="Book Antiqua"/>
          <w:color w:val="000000"/>
        </w:rPr>
        <w:t>s</w:t>
      </w:r>
      <w:r w:rsidR="00160B7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21-35</w:t>
      </w:r>
      <w:r w:rsidR="00160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(Table 4). However, the reported efficacy of EVL in these RCTs varied widely due to arbitrary and inconsistent definitions of bleeding </w:t>
      </w:r>
      <w:proofErr w:type="gramStart"/>
      <w:r>
        <w:rPr>
          <w:rFonts w:ascii="Book Antiqua" w:eastAsia="Book Antiqua" w:hAnsi="Book Antiqua" w:cs="Book Antiqua"/>
          <w:color w:val="000000"/>
        </w:rPr>
        <w:t>control</w:t>
      </w:r>
      <w:r w:rsidR="00160B77" w:rsidRPr="00160B7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w:t>
      </w:r>
      <w:r w:rsidR="00160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66CF740" w14:textId="77777777" w:rsidR="00A77B3E" w:rsidRDefault="0055108A" w:rsidP="005D75C4">
      <w:pPr>
        <w:spacing w:line="360" w:lineRule="auto"/>
        <w:ind w:firstLineChars="100" w:firstLine="240"/>
        <w:jc w:val="both"/>
      </w:pPr>
      <w:r>
        <w:rPr>
          <w:rFonts w:ascii="Book Antiqua" w:eastAsia="Book Antiqua" w:hAnsi="Book Antiqua" w:cs="Book Antiqua"/>
          <w:color w:val="000000"/>
        </w:rPr>
        <w:t>The incidence of variceal rebleeding after EVL in RCTs ranges from 0% to 36% (Table 4). In a meta-analysis</w:t>
      </w:r>
      <w:r w:rsidR="005D75C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of 14 RCTs, the overall rebleeding rate for EVL patients was 21.7% compared to an earlier analysis of RCTs which showed a median rebleeding rate of 32%</w:t>
      </w:r>
      <w:r w:rsidR="005D75C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36</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the calculations and denominators in many papers are not clearly defined and lack adherence to uniform standard definitions of rebleeding including time periods, whether overall or confined to variceal bleeding, or uncontrolled, or during the first admission or during long-term follow-up. In addition, there is non-uniformity among different trials in the definition of recurrent bleeding which may include esophageal, gastric and ectopic varices and non-variceal sources (portal hypertensive gastropathy, treatment-induced or peptic ulcer)</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25,26</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our study we defined these criteria </w:t>
      </w:r>
      <w:r>
        <w:rPr>
          <w:rFonts w:ascii="Book Antiqua" w:eastAsia="Book Antiqua" w:hAnsi="Book Antiqua" w:cs="Book Antiqua"/>
          <w:color w:val="000000"/>
        </w:rPr>
        <w:lastRenderedPageBreak/>
        <w:t>and analyzed the three specific and crucial time periods. The most common source of recurrent bleeding in our patient cohort during the early phase after initiation of endoscopic therapy and before variceal eradication was from patent residual varices which occurred in two-thirds of bleeding episodes</w:t>
      </w:r>
      <w:r w:rsidR="003F2250">
        <w:rPr>
          <w:rFonts w:ascii="Book Antiqua" w:eastAsia="Book Antiqua" w:hAnsi="Book Antiqua" w:cs="Book Antiqua"/>
          <w:color w:val="000000"/>
        </w:rPr>
        <w:t>,</w:t>
      </w:r>
      <w:r>
        <w:rPr>
          <w:rFonts w:ascii="Book Antiqua" w:eastAsia="Book Antiqua" w:hAnsi="Book Antiqua" w:cs="Book Antiqua"/>
          <w:color w:val="000000"/>
        </w:rPr>
        <w:t xml:space="preserve"> while one-third rebled from other sources.</w:t>
      </w:r>
    </w:p>
    <w:p w14:paraId="7D564304" w14:textId="7E17577F" w:rsidR="00A77B3E" w:rsidRDefault="0055108A" w:rsidP="005D75C4">
      <w:pPr>
        <w:spacing w:line="360" w:lineRule="auto"/>
        <w:ind w:firstLineChars="100" w:firstLine="240"/>
        <w:jc w:val="both"/>
      </w:pPr>
      <w:r>
        <w:rPr>
          <w:rFonts w:ascii="Book Antiqua" w:eastAsia="Book Antiqua" w:hAnsi="Book Antiqua" w:cs="Book Antiqua"/>
          <w:color w:val="000000"/>
        </w:rPr>
        <w:t xml:space="preserve">Current AASLD/ACG guidelines emphasize total eradication of all varices as the desired endpoint of </w:t>
      </w:r>
      <w:proofErr w:type="gramStart"/>
      <w:r>
        <w:rPr>
          <w:rFonts w:ascii="Book Antiqua" w:eastAsia="Book Antiqua" w:hAnsi="Book Antiqua" w:cs="Book Antiqua"/>
          <w:color w:val="000000"/>
        </w:rPr>
        <w:t>EVL</w:t>
      </w:r>
      <w:r w:rsidR="005D75C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Similarly, the reported incidence of variceal eradication varies widely, ranging from a high of 95% to a low of 55% in RCTs (Table 5). A plausible explanation </w:t>
      </w:r>
      <w:r w:rsidR="003F2250">
        <w:rPr>
          <w:rFonts w:ascii="Book Antiqua" w:eastAsia="Book Antiqua" w:hAnsi="Book Antiqua" w:cs="Book Antiqua"/>
          <w:color w:val="000000"/>
        </w:rPr>
        <w:t>is</w:t>
      </w:r>
      <w:r>
        <w:rPr>
          <w:rFonts w:ascii="Book Antiqua" w:eastAsia="Book Antiqua" w:hAnsi="Book Antiqua" w:cs="Book Antiqua"/>
          <w:color w:val="000000"/>
        </w:rPr>
        <w:t xml:space="preserve"> th</w:t>
      </w:r>
      <w:r w:rsidR="003F2250">
        <w:rPr>
          <w:rFonts w:ascii="Book Antiqua" w:eastAsia="Book Antiqua" w:hAnsi="Book Antiqua" w:cs="Book Antiqua"/>
          <w:color w:val="000000"/>
        </w:rPr>
        <w:t>at</w:t>
      </w:r>
      <w:r>
        <w:rPr>
          <w:rFonts w:ascii="Book Antiqua" w:eastAsia="Book Antiqua" w:hAnsi="Book Antiqua" w:cs="Book Antiqua"/>
          <w:color w:val="000000"/>
        </w:rPr>
        <w:t xml:space="preserve"> inconsistent definitions </w:t>
      </w:r>
      <w:r w:rsidR="003F2250">
        <w:rPr>
          <w:rFonts w:ascii="Book Antiqua" w:eastAsia="Book Antiqua" w:hAnsi="Book Antiqua" w:cs="Book Antiqua"/>
          <w:color w:val="000000"/>
        </w:rPr>
        <w:t xml:space="preserve">were </w:t>
      </w:r>
      <w:r>
        <w:rPr>
          <w:rFonts w:ascii="Book Antiqua" w:eastAsia="Book Antiqua" w:hAnsi="Book Antiqua" w:cs="Book Antiqua"/>
          <w:color w:val="000000"/>
        </w:rPr>
        <w:t>used and in some reports the definition of variceal eradication included varices too small to be ligated.</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The wide variation in eradication rates may also be related to different treatment protocols such as different treatment intervals, number of bands applied per session and selective banding of EV in some </w:t>
      </w:r>
      <w:r w:rsidR="00FC3755">
        <w:rPr>
          <w:rFonts w:ascii="Book Antiqua" w:eastAsia="Book Antiqua" w:hAnsi="Book Antiqua" w:cs="Book Antiqua"/>
          <w:color w:val="000000"/>
        </w:rPr>
        <w:t xml:space="preserve">centers </w:t>
      </w:r>
      <w:r>
        <w:rPr>
          <w:rFonts w:ascii="Book Antiqua" w:eastAsia="Book Antiqua" w:hAnsi="Book Antiqua" w:cs="Book Antiqua"/>
          <w:color w:val="000000"/>
        </w:rPr>
        <w:t>which band only grade 3–4 EV</w:t>
      </w:r>
      <w:r w:rsidR="005D75C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26,27</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Ultimately</w:t>
      </w:r>
      <w:r w:rsidR="003F2250">
        <w:rPr>
          <w:rFonts w:ascii="Book Antiqua" w:eastAsia="Book Antiqua" w:hAnsi="Book Antiqua" w:cs="Book Antiqua"/>
          <w:color w:val="000000"/>
        </w:rPr>
        <w:t>,</w:t>
      </w:r>
      <w:r>
        <w:rPr>
          <w:rFonts w:ascii="Book Antiqua" w:eastAsia="Book Antiqua" w:hAnsi="Book Antiqua" w:cs="Book Antiqua"/>
          <w:color w:val="000000"/>
        </w:rPr>
        <w:t xml:space="preserve"> the results of any long-term banding study are influenced by the diligence and regularity of follow-up endoscopy and the meticulousness and reproducibility of the methodology</w:t>
      </w:r>
      <w:r w:rsidR="003F2250">
        <w:rPr>
          <w:rFonts w:ascii="Book Antiqua" w:eastAsia="Book Antiqua" w:hAnsi="Book Antiqua" w:cs="Book Antiqua"/>
          <w:color w:val="000000"/>
        </w:rPr>
        <w:t>,</w:t>
      </w:r>
      <w:r>
        <w:rPr>
          <w:rFonts w:ascii="Book Antiqua" w:eastAsia="Book Antiqua" w:hAnsi="Book Antiqua" w:cs="Book Antiqua"/>
          <w:color w:val="000000"/>
        </w:rPr>
        <w:t xml:space="preserve"> and </w:t>
      </w:r>
      <w:r w:rsidR="003F2250">
        <w:rPr>
          <w:rFonts w:ascii="Book Antiqua" w:eastAsia="Book Antiqua" w:hAnsi="Book Antiqua" w:cs="Book Antiqua"/>
          <w:color w:val="000000"/>
        </w:rPr>
        <w:t xml:space="preserve">the </w:t>
      </w:r>
      <w:r>
        <w:rPr>
          <w:rFonts w:ascii="Book Antiqua" w:eastAsia="Book Antiqua" w:hAnsi="Book Antiqua" w:cs="Book Antiqua"/>
          <w:color w:val="000000"/>
        </w:rPr>
        <w:t>accuracy with which residual variceal size is recorded.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 is increasing recognition that two important limitations of long-term EVL are the number of varices that are resistant to </w:t>
      </w:r>
      <w:r w:rsidRPr="000F35D3">
        <w:rPr>
          <w:rFonts w:ascii="Book Antiqua" w:eastAsia="Book Antiqua" w:hAnsi="Book Antiqua" w:cs="Book Antiqua"/>
          <w:iCs/>
          <w:color w:val="000000"/>
        </w:rPr>
        <w:t>complete</w:t>
      </w:r>
      <w:r>
        <w:rPr>
          <w:rFonts w:ascii="Book Antiqua" w:eastAsia="Book Antiqua" w:hAnsi="Book Antiqua" w:cs="Book Antiqua"/>
          <w:color w:val="000000"/>
        </w:rPr>
        <w:t xml:space="preserve"> eradication and the substantial variceal recurrence rate after eradication. Both limitations are influenced by the design and mechanism of ligation. Experienced endoscopists know that EVL becomes increasingly difficult as varices decrease in </w:t>
      </w:r>
      <w:proofErr w:type="gramStart"/>
      <w:r>
        <w:rPr>
          <w:rFonts w:ascii="Book Antiqua" w:eastAsia="Book Antiqua" w:hAnsi="Book Antiqua" w:cs="Book Antiqua"/>
          <w:color w:val="000000"/>
        </w:rPr>
        <w:t>size</w:t>
      </w:r>
      <w:r w:rsidR="000F35D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15,37</w:t>
      </w:r>
      <w:r w:rsidR="000F35D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Small varices are difficult to ligate effectively for two technical reasons. Grade I and 2 varices do not have sufficient variceal substance to provide purchase and grip for the constricting elastic band. In addition, mucosal fibrosis due to prior banding episodes further limits mucosal pliability and the ability to suck enough tissue into the cap, thus preventing successful band application. Of note are the number of RCTs which report higher variceal recurrence rates in patients undergoing EVL (Table 5).</w:t>
      </w:r>
    </w:p>
    <w:p w14:paraId="7155E3EA" w14:textId="6084B16D" w:rsidR="00A77B3E" w:rsidRDefault="0055108A" w:rsidP="000F35D3">
      <w:pPr>
        <w:spacing w:line="360" w:lineRule="auto"/>
        <w:ind w:firstLineChars="100" w:firstLine="240"/>
        <w:jc w:val="both"/>
      </w:pPr>
      <w:r>
        <w:rPr>
          <w:rFonts w:ascii="Book Antiqua" w:eastAsia="Book Antiqua" w:hAnsi="Book Antiqua" w:cs="Book Antiqua"/>
          <w:color w:val="000000"/>
        </w:rPr>
        <w:t>The number of endoscopy sessions required to achieve variceal eradication has varied considerably within reported series and between cent</w:t>
      </w:r>
      <w:r w:rsidR="003F2250">
        <w:rPr>
          <w:rFonts w:ascii="Book Antiqua" w:eastAsia="Book Antiqua" w:hAnsi="Book Antiqua" w:cs="Book Antiqua"/>
          <w:color w:val="000000"/>
        </w:rPr>
        <w:t>er</w:t>
      </w:r>
      <w:r>
        <w:rPr>
          <w:rFonts w:ascii="Book Antiqua" w:eastAsia="Book Antiqua" w:hAnsi="Book Antiqua" w:cs="Book Antiqua"/>
          <w:color w:val="000000"/>
        </w:rPr>
        <w:t xml:space="preserve">s (Table 5). A number of studies, including a meta-analysis by Ko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indicated that EVL </w:t>
      </w:r>
      <w:r>
        <w:rPr>
          <w:rFonts w:ascii="Book Antiqua" w:eastAsia="Book Antiqua" w:hAnsi="Book Antiqua" w:cs="Book Antiqua"/>
          <w:color w:val="000000"/>
        </w:rPr>
        <w:lastRenderedPageBreak/>
        <w:t>achieved variceal eradication rates between 79% and 100</w:t>
      </w:r>
      <w:proofErr w:type="gramStart"/>
      <w:r>
        <w:rPr>
          <w:rFonts w:ascii="Book Antiqua" w:eastAsia="Book Antiqua" w:hAnsi="Book Antiqua" w:cs="Book Antiqua"/>
          <w:color w:val="000000"/>
        </w:rPr>
        <w:t>%</w:t>
      </w:r>
      <w:r w:rsidR="000F35D3">
        <w:rPr>
          <w:rFonts w:ascii="Book Antiqua" w:hAnsi="Book Antiqua" w:cs="Book Antiqua" w:hint="eastAsia"/>
          <w:color w:val="000000"/>
          <w:vertAlign w:val="superscript"/>
          <w:lang w:eastAsia="zh-CN"/>
        </w:rPr>
        <w:t>[</w:t>
      </w:r>
      <w:proofErr w:type="gramEnd"/>
      <w:r w:rsidR="004204B4">
        <w:rPr>
          <w:rFonts w:ascii="Book Antiqua" w:hAnsi="Book Antiqua" w:cs="Book Antiqua" w:hint="eastAsia"/>
          <w:color w:val="000000"/>
          <w:vertAlign w:val="superscript"/>
          <w:lang w:eastAsia="zh-CN"/>
        </w:rPr>
        <w:t>18,</w:t>
      </w:r>
      <w:r>
        <w:rPr>
          <w:rFonts w:ascii="Book Antiqua" w:eastAsia="Book Antiqua" w:hAnsi="Book Antiqua" w:cs="Book Antiqua"/>
          <w:color w:val="000000"/>
          <w:szCs w:val="30"/>
          <w:vertAlign w:val="superscript"/>
        </w:rPr>
        <w:t>38-4</w:t>
      </w:r>
      <w:r w:rsidR="004204B4">
        <w:rPr>
          <w:rFonts w:ascii="Book Antiqua" w:hAnsi="Book Antiqua" w:cs="Book Antiqua" w:hint="eastAsia"/>
          <w:color w:val="000000"/>
          <w:szCs w:val="30"/>
          <w:vertAlign w:val="superscript"/>
          <w:lang w:eastAsia="zh-CN"/>
        </w:rPr>
        <w:t>2</w:t>
      </w:r>
      <w:r w:rsidR="000F35D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While there is some evidence to suggest that the methodology and technique of EVL might affect the number of sessions necessary to achieve obliteration, this alone does not explain the substantial differences found between patients. Furthermore, the reproducibility, method and accuracy with which residual variceal size is recorded is dependent on the degree of insufflation used during endoscopy as prolonged or over-inflation during endoscopy tends to flatten varices which then appear misleadingly small. </w:t>
      </w:r>
    </w:p>
    <w:p w14:paraId="071584C4" w14:textId="1731AA80" w:rsidR="00A77B3E" w:rsidRDefault="0055108A" w:rsidP="004A2A78">
      <w:pPr>
        <w:spacing w:line="360" w:lineRule="auto"/>
        <w:ind w:firstLineChars="100" w:firstLine="240"/>
        <w:jc w:val="both"/>
      </w:pPr>
      <w:r>
        <w:rPr>
          <w:rFonts w:ascii="Book Antiqua" w:eastAsia="Book Antiqua" w:hAnsi="Book Antiqua" w:cs="Book Antiqua"/>
          <w:color w:val="000000"/>
        </w:rPr>
        <w:t>A major drawback of EVL is the higher propensity to variceal recurrence when compared to IST in RCT</w:t>
      </w:r>
      <w:r w:rsidR="00BC454E">
        <w:rPr>
          <w:rFonts w:ascii="Book Antiqua" w:eastAsia="Book Antiqua" w:hAnsi="Book Antiqua" w:cs="Book Antiqua"/>
          <w:color w:val="000000"/>
        </w:rPr>
        <w:t>s</w:t>
      </w:r>
      <w:r>
        <w:rPr>
          <w:rFonts w:ascii="Book Antiqua" w:eastAsia="Book Antiqua" w:hAnsi="Book Antiqua" w:cs="Book Antiqua"/>
          <w:color w:val="000000"/>
        </w:rPr>
        <w:t xml:space="preserve"> (Table 5). Although new varices formed following initial eradication in 31 of 50 (62%) patients in our study, this was associated with rebleeding in only 3 (9.7%) patients. Variceal recurrence in other studies ranged between 8% and 48% after </w:t>
      </w:r>
      <w:proofErr w:type="gramStart"/>
      <w:r>
        <w:rPr>
          <w:rFonts w:ascii="Book Antiqua" w:eastAsia="Book Antiqua" w:hAnsi="Book Antiqua" w:cs="Book Antiqua"/>
          <w:color w:val="000000"/>
        </w:rPr>
        <w:t>banding</w:t>
      </w:r>
      <w:r w:rsidR="004A2A78">
        <w:rPr>
          <w:rFonts w:ascii="Book Antiqua" w:hAnsi="Book Antiqua" w:cs="Book Antiqua" w:hint="eastAsia"/>
          <w:color w:val="000000"/>
          <w:vertAlign w:val="superscript"/>
          <w:lang w:eastAsia="zh-CN"/>
        </w:rPr>
        <w:t>[</w:t>
      </w:r>
      <w:proofErr w:type="gramEnd"/>
      <w:r w:rsidR="004204B4">
        <w:rPr>
          <w:rFonts w:ascii="Book Antiqua" w:hAnsi="Book Antiqua" w:cs="Book Antiqua" w:hint="eastAsia"/>
          <w:color w:val="000000"/>
          <w:vertAlign w:val="superscript"/>
          <w:lang w:eastAsia="zh-CN"/>
        </w:rPr>
        <w:t>18,</w:t>
      </w:r>
      <w:r>
        <w:rPr>
          <w:rFonts w:ascii="Book Antiqua" w:eastAsia="Book Antiqua" w:hAnsi="Book Antiqua" w:cs="Book Antiqua"/>
          <w:color w:val="000000"/>
          <w:szCs w:val="30"/>
          <w:vertAlign w:val="superscript"/>
        </w:rPr>
        <w:t>35,42</w:t>
      </w:r>
      <w:r w:rsidR="004A2A7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More recent studies </w:t>
      </w:r>
      <w:r w:rsidR="004B4405">
        <w:rPr>
          <w:rFonts w:ascii="Book Antiqua" w:eastAsia="Book Antiqua" w:hAnsi="Book Antiqua" w:cs="Book Antiqua"/>
          <w:color w:val="000000"/>
        </w:rPr>
        <w:t>have shown</w:t>
      </w:r>
      <w:r>
        <w:rPr>
          <w:rFonts w:ascii="Book Antiqua" w:eastAsia="Book Antiqua" w:hAnsi="Book Antiqua" w:cs="Book Antiqua"/>
          <w:color w:val="000000"/>
        </w:rPr>
        <w:t xml:space="preserve"> recurrence rates of 12% to 36% (mean 25%) using EVL and </w:t>
      </w:r>
      <w:proofErr w:type="gramStart"/>
      <w:r>
        <w:rPr>
          <w:rFonts w:ascii="Book Antiqua" w:eastAsia="Book Antiqua" w:hAnsi="Book Antiqua" w:cs="Book Antiqua"/>
          <w:color w:val="000000"/>
        </w:rPr>
        <w:t>NSBB</w:t>
      </w:r>
      <w:r w:rsidR="004A2A78">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26</w:t>
      </w:r>
      <w:r w:rsidR="00543CE5">
        <w:rPr>
          <w:rFonts w:ascii="Book Antiqua" w:hAnsi="Book Antiqua" w:cs="Book Antiqua" w:hint="eastAsia"/>
          <w:color w:val="000000"/>
          <w:szCs w:val="30"/>
          <w:vertAlign w:val="superscript"/>
          <w:lang w:eastAsia="zh-CN"/>
        </w:rPr>
        <w:t>-</w:t>
      </w:r>
      <w:r w:rsidR="00543CE5">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30</w:t>
      </w:r>
      <w:r w:rsidR="004A2A7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Interpretation of these results is complicated by the differences in length of follow up, definitions of variceal recurrence, different medications and dosage used and </w:t>
      </w:r>
      <w:r w:rsidR="004B4405">
        <w:rPr>
          <w:rFonts w:ascii="Book Antiqua" w:eastAsia="Book Antiqua" w:hAnsi="Book Antiqua" w:cs="Book Antiqua"/>
          <w:color w:val="000000"/>
        </w:rPr>
        <w:t xml:space="preserve">the </w:t>
      </w:r>
      <w:r>
        <w:rPr>
          <w:rFonts w:ascii="Book Antiqua" w:eastAsia="Book Antiqua" w:hAnsi="Book Antiqua" w:cs="Book Antiqua"/>
          <w:color w:val="000000"/>
        </w:rPr>
        <w:t xml:space="preserve">etiology of portal hypertension. Accumulated evidence suggests that patent para-esophageal and peri-esophageal variceal feeder vessels predispose to variceal recurrence. Data from RCTs show lower recurrence rates after IST, probably because sclerotherapy induces fibrosis and eradication of perforating veins in contrast to band ligation, which does not affect collateral vessels in the deeper esophageal wall </w:t>
      </w:r>
      <w:proofErr w:type="gramStart"/>
      <w:r>
        <w:rPr>
          <w:rFonts w:ascii="Book Antiqua" w:eastAsia="Book Antiqua" w:hAnsi="Book Antiqua" w:cs="Book Antiqua"/>
          <w:color w:val="000000"/>
        </w:rPr>
        <w:t>layers</w:t>
      </w:r>
      <w:r w:rsidR="004A2A78">
        <w:rPr>
          <w:rFonts w:ascii="Book Antiqua" w:hAnsi="Book Antiqua" w:cs="Book Antiqua" w:hint="eastAsia"/>
          <w:color w:val="000000"/>
          <w:vertAlign w:val="superscript"/>
          <w:lang w:eastAsia="zh-CN"/>
        </w:rPr>
        <w:t>[</w:t>
      </w:r>
      <w:proofErr w:type="gramEnd"/>
      <w:r w:rsidR="004204B4">
        <w:rPr>
          <w:rFonts w:ascii="Book Antiqua" w:hAnsi="Book Antiqua" w:cs="Book Antiqua" w:hint="eastAsia"/>
          <w:color w:val="000000"/>
          <w:vertAlign w:val="superscript"/>
          <w:lang w:eastAsia="zh-CN"/>
        </w:rPr>
        <w:t>18,</w:t>
      </w:r>
      <w:r>
        <w:rPr>
          <w:rFonts w:ascii="Book Antiqua" w:eastAsia="Book Antiqua" w:hAnsi="Book Antiqua" w:cs="Book Antiqua"/>
          <w:color w:val="000000"/>
          <w:szCs w:val="30"/>
          <w:vertAlign w:val="superscript"/>
        </w:rPr>
        <w:t>42</w:t>
      </w:r>
      <w:r w:rsidR="004A2A7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F931750" w14:textId="77777777" w:rsidR="00A77B3E" w:rsidRDefault="0055108A" w:rsidP="00DF3A50">
      <w:pPr>
        <w:spacing w:line="360" w:lineRule="auto"/>
        <w:ind w:firstLineChars="100" w:firstLine="240"/>
        <w:jc w:val="both"/>
      </w:pPr>
      <w:r>
        <w:rPr>
          <w:rFonts w:ascii="Book Antiqua" w:eastAsia="Book Antiqua" w:hAnsi="Book Antiqua" w:cs="Book Antiqua"/>
          <w:color w:val="000000"/>
        </w:rPr>
        <w:t xml:space="preserve">The current study has several limitations. Firstly, as the study was conducted in a single </w:t>
      </w:r>
      <w:r w:rsidR="00BC454E">
        <w:rPr>
          <w:rFonts w:ascii="Book Antiqua" w:eastAsia="Book Antiqua" w:hAnsi="Book Antiqua" w:cs="Book Antiqua"/>
          <w:color w:val="000000"/>
        </w:rPr>
        <w:t xml:space="preserve">center </w:t>
      </w:r>
      <w:r>
        <w:rPr>
          <w:rFonts w:ascii="Book Antiqua" w:eastAsia="Book Antiqua" w:hAnsi="Book Antiqua" w:cs="Book Antiqua"/>
          <w:color w:val="000000"/>
        </w:rPr>
        <w:t xml:space="preserve">academic tertiary referral </w:t>
      </w:r>
      <w:r w:rsidR="00BC454E">
        <w:rPr>
          <w:rFonts w:ascii="Book Antiqua" w:eastAsia="Book Antiqua" w:hAnsi="Book Antiqua" w:cs="Book Antiqua"/>
          <w:color w:val="000000"/>
        </w:rPr>
        <w:t xml:space="preserve">hospital </w:t>
      </w:r>
      <w:r>
        <w:rPr>
          <w:rFonts w:ascii="Book Antiqua" w:eastAsia="Book Antiqua" w:hAnsi="Book Antiqua" w:cs="Book Antiqua"/>
          <w:color w:val="000000"/>
        </w:rPr>
        <w:t xml:space="preserve">with experienced on-call endoscopists and staff available around the clock, patient selection and treatment bias may occur as similar advanced interventions may not be available or replicated in smaller hospitals. Secondly, half the patients in the study were Child-Pugh grade C with hepatic decompensation associated with the highest mortality and our results cannot be generalized to all other patient populations. The use of an inclusive “all-cause” definition for rebleeding was </w:t>
      </w:r>
      <w:r>
        <w:rPr>
          <w:rFonts w:ascii="Book Antiqua" w:eastAsia="Book Antiqua" w:hAnsi="Book Antiqua" w:cs="Book Antiqua"/>
          <w:color w:val="000000"/>
        </w:rPr>
        <w:lastRenderedPageBreak/>
        <w:t>applied to minimize bias found in previous definitions which often excluded non-variceal causes of re-bleeding.</w:t>
      </w:r>
    </w:p>
    <w:p w14:paraId="28F2362D" w14:textId="77777777" w:rsidR="00A77B3E" w:rsidRDefault="0055108A" w:rsidP="00DF3A50">
      <w:pPr>
        <w:spacing w:line="360" w:lineRule="auto"/>
        <w:ind w:firstLineChars="100" w:firstLine="240"/>
        <w:jc w:val="both"/>
      </w:pPr>
      <w:r>
        <w:rPr>
          <w:rFonts w:ascii="Book Antiqua" w:eastAsia="Book Antiqua" w:hAnsi="Book Antiqua" w:cs="Book Antiqua"/>
          <w:color w:val="000000"/>
        </w:rPr>
        <w:t xml:space="preserve">The strengths of this study are derived from the implementation of a modern protocol-driven and standardized EVL technique in a specialist endoscopy </w:t>
      </w:r>
      <w:r w:rsidR="00BC454E">
        <w:rPr>
          <w:rFonts w:ascii="Book Antiqua" w:eastAsia="Book Antiqua" w:hAnsi="Book Antiqua" w:cs="Book Antiqua"/>
          <w:color w:val="000000"/>
        </w:rPr>
        <w:t>center</w:t>
      </w:r>
      <w:r>
        <w:rPr>
          <w:rFonts w:ascii="Book Antiqua" w:eastAsia="Book Antiqua" w:hAnsi="Book Antiqua" w:cs="Book Antiqua"/>
          <w:color w:val="000000"/>
        </w:rPr>
        <w:t xml:space="preserve">. In order to provide the highest possible level of uniformity and to </w:t>
      </w:r>
      <w:r w:rsidR="00BC454E">
        <w:rPr>
          <w:rFonts w:ascii="Book Antiqua" w:eastAsia="Book Antiqua" w:hAnsi="Book Antiqua" w:cs="Book Antiqua"/>
          <w:color w:val="000000"/>
        </w:rPr>
        <w:t xml:space="preserve">minimize </w:t>
      </w:r>
      <w:r>
        <w:rPr>
          <w:rFonts w:ascii="Book Antiqua" w:eastAsia="Book Antiqua" w:hAnsi="Book Antiqua" w:cs="Book Antiqua"/>
          <w:color w:val="000000"/>
        </w:rPr>
        <w:t>differences in the zero-time entry, only patients who received their initial and subsequent treatment in our unit were included. The study design minimized possible biases that may arise from patient selection, referral practices and local variations in treatment strategies. The use of rebleeding and death as the main outcomes provided robust, consistent and objective end-points in the study. Unlike other studies which included non-consecutive patients, incomplete reporting of inclusion and exclusion criteria and have incomplete follow-up or inclusion of patients at differing disease stages without separate analyses, our study design avoided these pitfalls by excluding non-measurable biases.</w:t>
      </w:r>
    </w:p>
    <w:p w14:paraId="6F151537" w14:textId="77777777" w:rsidR="00A77B3E" w:rsidRDefault="00A77B3E">
      <w:pPr>
        <w:spacing w:line="360" w:lineRule="auto"/>
        <w:jc w:val="both"/>
      </w:pPr>
    </w:p>
    <w:p w14:paraId="16DBDA04" w14:textId="77777777" w:rsidR="00A77B3E" w:rsidRDefault="0055108A">
      <w:pPr>
        <w:spacing w:line="360" w:lineRule="auto"/>
        <w:jc w:val="both"/>
      </w:pPr>
      <w:r>
        <w:rPr>
          <w:rFonts w:ascii="Book Antiqua" w:eastAsia="Book Antiqua" w:hAnsi="Book Antiqua" w:cs="Book Antiqua"/>
          <w:b/>
          <w:caps/>
          <w:color w:val="000000"/>
          <w:u w:val="single"/>
        </w:rPr>
        <w:t>CONCLUSION</w:t>
      </w:r>
    </w:p>
    <w:p w14:paraId="0B4788D3" w14:textId="6A20234C" w:rsidR="00A77B3E" w:rsidRDefault="0055108A">
      <w:pPr>
        <w:spacing w:line="360" w:lineRule="auto"/>
        <w:jc w:val="both"/>
      </w:pPr>
      <w:r>
        <w:rPr>
          <w:rFonts w:ascii="Book Antiqua" w:eastAsia="Book Antiqua" w:hAnsi="Book Antiqua" w:cs="Book Antiqua"/>
          <w:color w:val="000000"/>
        </w:rPr>
        <w:t>In conclusion, this study confirms that EVL provides the optimal endoscopic method both for control of acute bleeding and for the long-term treatment of varices despite the higher tendency for recurrence. Consistent with previous reports</w:t>
      </w:r>
      <w:r w:rsidR="004B4405">
        <w:rPr>
          <w:rFonts w:ascii="Book Antiqua" w:eastAsia="Book Antiqua" w:hAnsi="Book Antiqua" w:cs="Book Antiqua"/>
          <w:color w:val="000000"/>
        </w:rPr>
        <w:t>,</w:t>
      </w:r>
      <w:r>
        <w:rPr>
          <w:rFonts w:ascii="Book Antiqua" w:eastAsia="Book Antiqua" w:hAnsi="Book Antiqua" w:cs="Book Antiqua"/>
          <w:color w:val="000000"/>
        </w:rPr>
        <w:t xml:space="preserve"> EVL in this study was safe with low procedure-related complication rates. While complete visual eradication of varices is more frequently achievable with IST and has consistently been used as the desired endpoint for endoscopic variceal intervention, this goal is not always attainable in EVL. As alluded to above, the inherent attributes of EVL and IST are dissimilar and complete eradication may not be achievable in all patients undergoing EVL. Overall four-fifths of patients in this study had EV that were easily managed and responded to β-blockers and EVL with no further bleeding after the initial index intervention. </w:t>
      </w:r>
      <w:r w:rsidR="004B4405">
        <w:rPr>
          <w:rFonts w:ascii="Book Antiqua" w:eastAsia="Book Antiqua" w:hAnsi="Book Antiqua" w:cs="Book Antiqua"/>
          <w:color w:val="000000"/>
        </w:rPr>
        <w:t>However, t</w:t>
      </w:r>
      <w:r>
        <w:rPr>
          <w:rFonts w:ascii="Book Antiqua" w:eastAsia="Book Antiqua" w:hAnsi="Book Antiqua" w:cs="Book Antiqua"/>
          <w:color w:val="000000"/>
        </w:rPr>
        <w:t xml:space="preserve">he remaining one-fifth </w:t>
      </w:r>
      <w:r w:rsidR="004B4405">
        <w:rPr>
          <w:rFonts w:ascii="Book Antiqua" w:eastAsia="Book Antiqua" w:hAnsi="Book Antiqua" w:cs="Book Antiqua"/>
          <w:color w:val="000000"/>
        </w:rPr>
        <w:t xml:space="preserve">of patients </w:t>
      </w:r>
      <w:r>
        <w:rPr>
          <w:rFonts w:ascii="Book Antiqua" w:eastAsia="Book Antiqua" w:hAnsi="Book Antiqua" w:cs="Book Antiqua"/>
          <w:color w:val="000000"/>
        </w:rPr>
        <w:t>were complicated and had bleeding that was difficult to control in the short and long</w:t>
      </w:r>
      <w:r w:rsidR="00BC454E">
        <w:rPr>
          <w:rFonts w:ascii="Book Antiqua" w:eastAsia="Book Antiqua" w:hAnsi="Book Antiqua" w:cs="Book Antiqua"/>
          <w:color w:val="000000"/>
        </w:rPr>
        <w:t>-</w:t>
      </w:r>
      <w:r>
        <w:rPr>
          <w:rFonts w:ascii="Book Antiqua" w:eastAsia="Book Antiqua" w:hAnsi="Book Antiqua" w:cs="Book Antiqua"/>
          <w:color w:val="000000"/>
        </w:rPr>
        <w:t xml:space="preserve">term despite being on combination therapy. We have identified a </w:t>
      </w:r>
      <w:r>
        <w:rPr>
          <w:rFonts w:ascii="Book Antiqua" w:eastAsia="Book Antiqua" w:hAnsi="Book Antiqua" w:cs="Book Antiqua"/>
          <w:color w:val="000000"/>
        </w:rPr>
        <w:lastRenderedPageBreak/>
        <w:t>subgroup of patients with small (Gr</w:t>
      </w:r>
      <w:r w:rsidR="004B4405">
        <w:rPr>
          <w:rFonts w:ascii="Book Antiqua" w:eastAsia="Book Antiqua" w:hAnsi="Book Antiqua" w:cs="Book Antiqua"/>
          <w:color w:val="000000"/>
        </w:rPr>
        <w:t>ade</w:t>
      </w:r>
      <w:r>
        <w:rPr>
          <w:rFonts w:ascii="Book Antiqua" w:eastAsia="Book Antiqua" w:hAnsi="Book Antiqua" w:cs="Book Antiqua"/>
          <w:color w:val="000000"/>
        </w:rPr>
        <w:t xml:space="preserve"> 1 and 2) varices where size and mucosal scarring preclude further safe banding. Importantly we have shown that these patients have “stable varices” with no rebleeding or progression which resulted in “functional eradication” despite the presence of residual small visible varices. The results of this study should stimulate further research to optimize robust and objective endpoints for reporting of EVL which are likely to differ from the historical outcomes reported in previous RCTs. The elusive Holy Grail of endoscopic variceal banding remains the attainment of long-term bleed-free survival.</w:t>
      </w:r>
    </w:p>
    <w:p w14:paraId="5258B110" w14:textId="77777777" w:rsidR="00A77B3E" w:rsidRDefault="00A77B3E">
      <w:pPr>
        <w:spacing w:line="360" w:lineRule="auto"/>
        <w:jc w:val="both"/>
      </w:pPr>
    </w:p>
    <w:p w14:paraId="2F8D854F" w14:textId="77777777" w:rsidR="00A77B3E" w:rsidRDefault="0055108A">
      <w:pPr>
        <w:spacing w:line="360" w:lineRule="auto"/>
        <w:jc w:val="both"/>
      </w:pPr>
      <w:r>
        <w:rPr>
          <w:rFonts w:ascii="Book Antiqua" w:eastAsia="Book Antiqua" w:hAnsi="Book Antiqua" w:cs="Book Antiqua"/>
          <w:b/>
          <w:caps/>
          <w:color w:val="000000"/>
          <w:u w:val="single"/>
        </w:rPr>
        <w:t>ARTICLE HIGHLIGHTS</w:t>
      </w:r>
    </w:p>
    <w:p w14:paraId="63400103"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Research background</w:t>
      </w:r>
    </w:p>
    <w:p w14:paraId="2973BDB6" w14:textId="39540BB0"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 xml:space="preserve">Bleeding esophageal varices (BEV) is a potentially life-threatening complication in patients with portal hypertension with mortality rates as high as 25% within six weeks of the index variceal bleed. Although endoscopic intervention provides the optimal emergency method </w:t>
      </w:r>
      <w:r w:rsidR="004B4405">
        <w:rPr>
          <w:rFonts w:ascii="Book Antiqua" w:eastAsia="Book Antiqua" w:hAnsi="Book Antiqua" w:cs="Book Antiqua"/>
          <w:color w:val="000000"/>
        </w:rPr>
        <w:t>to</w:t>
      </w:r>
      <w:r w:rsidRPr="00037B5D">
        <w:rPr>
          <w:rFonts w:ascii="Book Antiqua" w:eastAsia="Book Antiqua" w:hAnsi="Book Antiqua" w:cs="Book Antiqua"/>
          <w:color w:val="000000"/>
        </w:rPr>
        <w:t xml:space="preserve"> control actively BEV, the risks of bleeding complications remain substantial and as many as 23% of patients have treatment failure within 5</w:t>
      </w:r>
      <w:r w:rsidR="00BC454E">
        <w:rPr>
          <w:rFonts w:ascii="Book Antiqua" w:eastAsia="Book Antiqua" w:hAnsi="Book Antiqua" w:cs="Book Antiqua"/>
          <w:color w:val="000000"/>
        </w:rPr>
        <w:t>-</w:t>
      </w:r>
      <w:r w:rsidRPr="00037B5D">
        <w:rPr>
          <w:rFonts w:ascii="Book Antiqua" w:eastAsia="Book Antiqua" w:hAnsi="Book Antiqua" w:cs="Book Antiqua"/>
          <w:color w:val="000000"/>
        </w:rPr>
        <w:t xml:space="preserve">d due to either uncontrolled or early rebleeding. Approximately 60% of survivors rebleed within two years after the initial bleeding episode with a mortality rate of 30%. Secondary prophylaxis to prevent further variceal bleeding is thus crucial. </w:t>
      </w:r>
    </w:p>
    <w:p w14:paraId="5841BEFD" w14:textId="77777777" w:rsidR="00037B5D" w:rsidRDefault="00037B5D" w:rsidP="00037B5D">
      <w:pPr>
        <w:spacing w:line="360" w:lineRule="auto"/>
        <w:jc w:val="both"/>
        <w:rPr>
          <w:rFonts w:ascii="Book Antiqua" w:hAnsi="Book Antiqua" w:cs="Book Antiqua"/>
          <w:color w:val="000000"/>
          <w:lang w:eastAsia="zh-CN"/>
        </w:rPr>
      </w:pPr>
    </w:p>
    <w:p w14:paraId="6D48E1E0"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Research motivation</w:t>
      </w:r>
    </w:p>
    <w:p w14:paraId="200E32C8" w14:textId="77777777"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Endoscopic variceal ligation (EVL) has replaced injection sclerotherapy (IST) as the endoscopic interventional procedure of choice for BEV, supported by randomized controlled trial data that show more rapid eradication of varices with lower rates of recurrent bleeding and fewer endoscopic-related complications. However, few studies have specifically evaluated detailed outcome</w:t>
      </w:r>
      <w:r w:rsidR="004B4405">
        <w:rPr>
          <w:rFonts w:ascii="Book Antiqua" w:eastAsia="Book Antiqua" w:hAnsi="Book Antiqua" w:cs="Book Antiqua"/>
          <w:color w:val="000000"/>
        </w:rPr>
        <w:t>s</w:t>
      </w:r>
      <w:r w:rsidRPr="00037B5D">
        <w:rPr>
          <w:rFonts w:ascii="Book Antiqua" w:eastAsia="Book Antiqua" w:hAnsi="Book Antiqua" w:cs="Book Antiqua"/>
          <w:color w:val="000000"/>
        </w:rPr>
        <w:t xml:space="preserve"> in relation to the inherent technical constraints of ligating device design which may influence the effectiveness of EVL in controlling acute </w:t>
      </w:r>
      <w:r w:rsidRPr="00037B5D">
        <w:rPr>
          <w:rFonts w:ascii="Book Antiqua" w:eastAsia="Book Antiqua" w:hAnsi="Book Antiqua" w:cs="Book Antiqua"/>
          <w:color w:val="000000"/>
        </w:rPr>
        <w:lastRenderedPageBreak/>
        <w:t xml:space="preserve">variceal bleeding and in particular, achieving complete eradication of varices, a problem conceptually more relevant to endoscopic banding than sclerotherapy. </w:t>
      </w:r>
    </w:p>
    <w:p w14:paraId="5BBEE56A" w14:textId="77777777" w:rsidR="00037B5D" w:rsidRDefault="00037B5D" w:rsidP="00037B5D">
      <w:pPr>
        <w:spacing w:line="360" w:lineRule="auto"/>
        <w:jc w:val="both"/>
        <w:rPr>
          <w:rFonts w:ascii="Book Antiqua" w:hAnsi="Book Antiqua" w:cs="Book Antiqua"/>
          <w:color w:val="000000"/>
          <w:lang w:eastAsia="zh-CN"/>
        </w:rPr>
      </w:pPr>
    </w:p>
    <w:p w14:paraId="45740DA4"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 xml:space="preserve">Research objectives </w:t>
      </w:r>
    </w:p>
    <w:p w14:paraId="103C2945" w14:textId="77777777"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 xml:space="preserve">This analysis, based on a protocol-driven standardized EVL technique from a high-volume academic endoscopy referral </w:t>
      </w:r>
      <w:r w:rsidR="00BC454E">
        <w:rPr>
          <w:rFonts w:ascii="Book Antiqua" w:eastAsia="Book Antiqua" w:hAnsi="Book Antiqua" w:cs="Book Antiqua"/>
          <w:color w:val="000000"/>
        </w:rPr>
        <w:t xml:space="preserve"> center</w:t>
      </w:r>
      <w:r w:rsidRPr="00037B5D">
        <w:rPr>
          <w:rFonts w:ascii="Book Antiqua" w:eastAsia="Book Antiqua" w:hAnsi="Book Antiqua" w:cs="Book Antiqua"/>
          <w:color w:val="000000"/>
        </w:rPr>
        <w:t>, used STROBE guidelines to assess the efficacy of EVL in controlling acute variceal bleeding, preventing early rebleeding and achieving complete and durable variceal eradication to prevent late recurrent bleeding in a cohort of patients who presented with an index variceal bleeding event.</w:t>
      </w:r>
    </w:p>
    <w:p w14:paraId="6F07E3A0" w14:textId="77777777" w:rsidR="00037B5D" w:rsidRDefault="00037B5D" w:rsidP="00037B5D">
      <w:pPr>
        <w:spacing w:line="360" w:lineRule="auto"/>
        <w:jc w:val="both"/>
        <w:rPr>
          <w:rFonts w:ascii="Book Antiqua" w:hAnsi="Book Antiqua" w:cs="Book Antiqua"/>
          <w:color w:val="000000"/>
          <w:lang w:eastAsia="zh-CN"/>
        </w:rPr>
      </w:pPr>
    </w:p>
    <w:p w14:paraId="1CB46DBC"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Research methods</w:t>
      </w:r>
    </w:p>
    <w:p w14:paraId="50E27B78" w14:textId="77777777"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 xml:space="preserve">Consecutive adult patients with endoscopically proven BEV between January 2000 and December 2018 were assessed. The outcome of all endoscopic treatments, both emergency and subsequent elective therapy, was </w:t>
      </w:r>
      <w:r w:rsidR="00785CEC" w:rsidRPr="00037B5D">
        <w:rPr>
          <w:rFonts w:ascii="Book Antiqua" w:eastAsia="Book Antiqua" w:hAnsi="Book Antiqua" w:cs="Book Antiqua"/>
          <w:color w:val="000000"/>
        </w:rPr>
        <w:t>analyzed</w:t>
      </w:r>
      <w:r w:rsidRPr="00037B5D">
        <w:rPr>
          <w:rFonts w:ascii="Book Antiqua" w:eastAsia="Book Antiqua" w:hAnsi="Book Antiqua" w:cs="Book Antiqua"/>
          <w:color w:val="000000"/>
        </w:rPr>
        <w:t xml:space="preserve"> to assess the efficacy of EVL in acute variceal bleeding control and achieving complete and lasting variceal eradication. Data collected included demographic and clinical information, cause of portal hypertension, Child–Pugh score, hematology and liver function tests, liver biopsy, imaging results, endoscopy information, including variceal size, number of bands placed at each session, the interval between and the number of banding sessions. Outcome data included the efficacy of EVL in controlling the acute index bleed, preventing early rebleeding, achieving complete variceal eradication, minimizing late recurrent bleeding and overall survival. The primar</w:t>
      </w:r>
      <w:r w:rsidR="00785CEC">
        <w:rPr>
          <w:rFonts w:ascii="Book Antiqua" w:eastAsia="Book Antiqua" w:hAnsi="Book Antiqua" w:cs="Book Antiqua"/>
          <w:color w:val="000000"/>
        </w:rPr>
        <w:t>y endpoints of the study were (1</w:t>
      </w:r>
      <w:r w:rsidRPr="00037B5D">
        <w:rPr>
          <w:rFonts w:ascii="Book Antiqua" w:eastAsia="Book Antiqua" w:hAnsi="Book Antiqua" w:cs="Book Antiqua"/>
          <w:color w:val="000000"/>
        </w:rPr>
        <w:t>) effective endoscopic control of the index</w:t>
      </w:r>
      <w:r w:rsidR="00785CEC">
        <w:rPr>
          <w:rFonts w:ascii="Book Antiqua" w:eastAsia="Book Antiqua" w:hAnsi="Book Antiqua" w:cs="Book Antiqua"/>
          <w:color w:val="000000"/>
        </w:rPr>
        <w:t xml:space="preserve"> variceal bleeding event and (2</w:t>
      </w:r>
      <w:r w:rsidRPr="00037B5D">
        <w:rPr>
          <w:rFonts w:ascii="Book Antiqua" w:eastAsia="Book Antiqua" w:hAnsi="Book Antiqua" w:cs="Book Antiqua"/>
          <w:color w:val="000000"/>
        </w:rPr>
        <w:t>) success in achieving complete variceal eradication as defined in the analysis criteria.</w:t>
      </w:r>
      <w:r w:rsidR="00785CEC">
        <w:rPr>
          <w:rFonts w:ascii="Book Antiqua" w:eastAsia="Book Antiqua" w:hAnsi="Book Antiqua" w:cs="Book Antiqua"/>
          <w:color w:val="000000"/>
        </w:rPr>
        <w:t xml:space="preserve"> Secondary endpoints included (1) early rebleeding</w:t>
      </w:r>
      <w:r w:rsidR="00785CEC">
        <w:rPr>
          <w:rFonts w:ascii="Book Antiqua" w:hAnsi="Book Antiqua" w:cs="Book Antiqua" w:hint="eastAsia"/>
          <w:color w:val="000000"/>
          <w:lang w:eastAsia="zh-CN"/>
        </w:rPr>
        <w:t>;</w:t>
      </w:r>
      <w:r w:rsidR="00785CEC">
        <w:rPr>
          <w:rFonts w:ascii="Book Antiqua" w:eastAsia="Book Antiqua" w:hAnsi="Book Antiqua" w:cs="Book Antiqua"/>
          <w:color w:val="000000"/>
        </w:rPr>
        <w:t xml:space="preserve"> (</w:t>
      </w:r>
      <w:r w:rsidR="00785CEC">
        <w:rPr>
          <w:rFonts w:ascii="Book Antiqua" w:hAnsi="Book Antiqua" w:cs="Book Antiqua" w:hint="eastAsia"/>
          <w:color w:val="000000"/>
          <w:lang w:eastAsia="zh-CN"/>
        </w:rPr>
        <w:t>2</w:t>
      </w:r>
      <w:r w:rsidRPr="00037B5D">
        <w:rPr>
          <w:rFonts w:ascii="Book Antiqua" w:eastAsia="Book Antiqua" w:hAnsi="Book Antiqua" w:cs="Book Antiqua"/>
          <w:color w:val="000000"/>
        </w:rPr>
        <w:t>) variceal re</w:t>
      </w:r>
      <w:r w:rsidR="00785CEC">
        <w:rPr>
          <w:rFonts w:ascii="Book Antiqua" w:eastAsia="Book Antiqua" w:hAnsi="Book Antiqua" w:cs="Book Antiqua"/>
          <w:color w:val="000000"/>
        </w:rPr>
        <w:t>currence and rebleeding and (</w:t>
      </w:r>
      <w:r w:rsidR="00785CEC">
        <w:rPr>
          <w:rFonts w:ascii="Book Antiqua" w:hAnsi="Book Antiqua" w:cs="Book Antiqua" w:hint="eastAsia"/>
          <w:color w:val="000000"/>
          <w:lang w:eastAsia="zh-CN"/>
        </w:rPr>
        <w:t>3</w:t>
      </w:r>
      <w:r w:rsidRPr="00037B5D">
        <w:rPr>
          <w:rFonts w:ascii="Book Antiqua" w:eastAsia="Book Antiqua" w:hAnsi="Book Antiqua" w:cs="Book Antiqua"/>
          <w:color w:val="000000"/>
        </w:rPr>
        <w:t>) overall survival.</w:t>
      </w:r>
    </w:p>
    <w:p w14:paraId="1BA790F3" w14:textId="77777777" w:rsidR="00037B5D" w:rsidRDefault="00037B5D" w:rsidP="00037B5D">
      <w:pPr>
        <w:spacing w:line="360" w:lineRule="auto"/>
        <w:jc w:val="both"/>
        <w:rPr>
          <w:rFonts w:ascii="Book Antiqua" w:hAnsi="Book Antiqua" w:cs="Book Antiqua"/>
          <w:color w:val="000000"/>
          <w:lang w:eastAsia="zh-CN"/>
        </w:rPr>
      </w:pPr>
    </w:p>
    <w:p w14:paraId="06707267"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 xml:space="preserve">Research results </w:t>
      </w:r>
    </w:p>
    <w:p w14:paraId="22E18EC5" w14:textId="68512A63"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lastRenderedPageBreak/>
        <w:t>Acute control of active variceal bleeding in the 140 patients was highly successful and hemostasis was achieved in 95.7% of patients with minimal banding morbidity. However, varices were completely eradicated in only 45% of patients who survived more than 3 months. Furthermore, varices recurred in 62% of patients previously eradicated and 9.7% of these had further variceal bleeding. Overall, 81% of patients in this study had bleeding that was effectively controlled during the index banding procedure and, after repeat banding, never bled again from esophageal varices. However, the remaining 19% of the cohort had refractory and complicated variceal bleeding and required either balloon tamponade during the index endoscopy (4%) or rebled during the initial hospitali</w:t>
      </w:r>
      <w:r w:rsidR="00033C5B">
        <w:rPr>
          <w:rFonts w:ascii="Book Antiqua" w:eastAsia="Book Antiqua" w:hAnsi="Book Antiqua" w:cs="Book Antiqua"/>
          <w:color w:val="000000"/>
        </w:rPr>
        <w:t>z</w:t>
      </w:r>
      <w:r w:rsidRPr="00037B5D">
        <w:rPr>
          <w:rFonts w:ascii="Book Antiqua" w:eastAsia="Book Antiqua" w:hAnsi="Book Antiqua" w:cs="Book Antiqua"/>
          <w:color w:val="000000"/>
        </w:rPr>
        <w:t xml:space="preserve">ation (3%) or rebled subsequently (12%) over the next 24 months from residual or recurrent esophageal varices. </w:t>
      </w:r>
    </w:p>
    <w:p w14:paraId="422EDBA1" w14:textId="77777777" w:rsidR="00037B5D" w:rsidRDefault="00037B5D" w:rsidP="00037B5D">
      <w:pPr>
        <w:spacing w:line="360" w:lineRule="auto"/>
        <w:jc w:val="both"/>
        <w:rPr>
          <w:rFonts w:ascii="Book Antiqua" w:hAnsi="Book Antiqua" w:cs="Book Antiqua"/>
          <w:color w:val="000000"/>
          <w:lang w:eastAsia="zh-CN"/>
        </w:rPr>
      </w:pPr>
    </w:p>
    <w:p w14:paraId="1AAC94F2"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 xml:space="preserve">Research conclusions </w:t>
      </w:r>
    </w:p>
    <w:p w14:paraId="69DAB924" w14:textId="77777777"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 xml:space="preserve">In conclusion, this study confirms that EVL provides the optimal endoscopic method both for control of acute bleeding and for the long-term treatment of varices despite the higher tendency for recurrence. Consistent with previous reports EVL in this study was safe with low procedure-related complication rates. While complete visual eradication of varices is more frequently achievable with IST and has consistently been used as the desired endpoint for endoscopic variceal intervention, this goal is not always attainable in EVL. </w:t>
      </w:r>
    </w:p>
    <w:p w14:paraId="06FD80E2" w14:textId="77777777" w:rsidR="00037B5D" w:rsidRDefault="00037B5D" w:rsidP="00037B5D">
      <w:pPr>
        <w:spacing w:line="360" w:lineRule="auto"/>
        <w:jc w:val="both"/>
        <w:rPr>
          <w:rFonts w:ascii="Book Antiqua" w:hAnsi="Book Antiqua" w:cs="Book Antiqua"/>
          <w:color w:val="000000"/>
          <w:lang w:eastAsia="zh-CN"/>
        </w:rPr>
      </w:pPr>
    </w:p>
    <w:p w14:paraId="464619AB"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 xml:space="preserve">Research perspectives </w:t>
      </w:r>
    </w:p>
    <w:p w14:paraId="0A539E79" w14:textId="77777777" w:rsidR="00A77B3E" w:rsidRPr="00037B5D" w:rsidRDefault="00037B5D" w:rsidP="00037B5D">
      <w:pPr>
        <w:spacing w:line="360" w:lineRule="auto"/>
        <w:jc w:val="both"/>
        <w:rPr>
          <w:lang w:eastAsia="zh-CN"/>
        </w:rPr>
      </w:pPr>
      <w:r w:rsidRPr="00037B5D">
        <w:rPr>
          <w:rFonts w:ascii="Book Antiqua" w:eastAsia="Book Antiqua" w:hAnsi="Book Antiqua" w:cs="Book Antiqua"/>
          <w:color w:val="000000"/>
        </w:rPr>
        <w:t xml:space="preserve">In this study we have identified a subgroup of patients with small varices where size and mucosal scarring preclude further safe banding. Importantly we have shown that these patients have “stable varices” with no rebleeding or progression which resulted in “functional eradication” despite the presence of residual small visible varices. The results of this study should stimulate further research to optimize robust and objective endpoints for reporting of EVL which are likely to differ from the historical outcomes reported in previous </w:t>
      </w:r>
      <w:r w:rsidR="003D2DFE">
        <w:rPr>
          <w:rFonts w:ascii="Book Antiqua" w:hAnsi="Book Antiqua" w:cs="Book Antiqua" w:hint="eastAsia"/>
          <w:color w:val="000000"/>
          <w:lang w:eastAsia="zh-CN"/>
        </w:rPr>
        <w:lastRenderedPageBreak/>
        <w:t>r</w:t>
      </w:r>
      <w:r w:rsidR="003D2DFE" w:rsidRPr="003D2DFE">
        <w:rPr>
          <w:rFonts w:ascii="Book Antiqua" w:eastAsia="Book Antiqua" w:hAnsi="Book Antiqua" w:cs="Book Antiqua"/>
          <w:color w:val="000000"/>
        </w:rPr>
        <w:t>andomized controlled trials</w:t>
      </w:r>
      <w:r w:rsidRPr="00037B5D">
        <w:rPr>
          <w:rFonts w:ascii="Book Antiqua" w:eastAsia="Book Antiqua" w:hAnsi="Book Antiqua" w:cs="Book Antiqua"/>
          <w:color w:val="000000"/>
        </w:rPr>
        <w:t>. The elusive Holy Grail of endoscopic variceal banding remains the attainment of long-term bleed-free survival.</w:t>
      </w:r>
    </w:p>
    <w:p w14:paraId="44F34A45" w14:textId="77777777" w:rsidR="00A77B3E" w:rsidRDefault="00A77B3E">
      <w:pPr>
        <w:spacing w:line="360" w:lineRule="auto"/>
        <w:jc w:val="both"/>
      </w:pPr>
    </w:p>
    <w:p w14:paraId="44750964" w14:textId="77777777" w:rsidR="00A77B3E" w:rsidRDefault="0055108A">
      <w:pPr>
        <w:spacing w:line="360" w:lineRule="auto"/>
        <w:jc w:val="both"/>
      </w:pPr>
      <w:r>
        <w:rPr>
          <w:rFonts w:ascii="Book Antiqua" w:eastAsia="Book Antiqua" w:hAnsi="Book Antiqua" w:cs="Book Antiqua"/>
          <w:b/>
          <w:color w:val="000000"/>
        </w:rPr>
        <w:t>REFERENCES</w:t>
      </w:r>
    </w:p>
    <w:p w14:paraId="58F61060"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 </w:t>
      </w:r>
      <w:r w:rsidRPr="00962DA9">
        <w:rPr>
          <w:rFonts w:ascii="Book Antiqua" w:eastAsia="宋体" w:hAnsi="Book Antiqua"/>
          <w:b/>
          <w:kern w:val="2"/>
          <w:lang w:eastAsia="zh-CN"/>
        </w:rPr>
        <w:t>Garcia-Tsao G</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Abraldes</w:t>
      </w:r>
      <w:proofErr w:type="spellEnd"/>
      <w:r w:rsidRPr="00962DA9">
        <w:rPr>
          <w:rFonts w:ascii="Book Antiqua" w:eastAsia="宋体" w:hAnsi="Book Antiqua"/>
          <w:kern w:val="2"/>
          <w:lang w:eastAsia="zh-CN"/>
        </w:rPr>
        <w:t xml:space="preserve"> JG, </w:t>
      </w:r>
      <w:proofErr w:type="spellStart"/>
      <w:r w:rsidRPr="00962DA9">
        <w:rPr>
          <w:rFonts w:ascii="Book Antiqua" w:eastAsia="宋体" w:hAnsi="Book Antiqua"/>
          <w:kern w:val="2"/>
          <w:lang w:eastAsia="zh-CN"/>
        </w:rPr>
        <w:t>Berzigotti</w:t>
      </w:r>
      <w:proofErr w:type="spellEnd"/>
      <w:r w:rsidRPr="00962DA9">
        <w:rPr>
          <w:rFonts w:ascii="Book Antiqua" w:eastAsia="宋体" w:hAnsi="Book Antiqua"/>
          <w:kern w:val="2"/>
          <w:lang w:eastAsia="zh-CN"/>
        </w:rPr>
        <w:t xml:space="preserve"> A, Bosch J. Portal hypertensive bleeding in cirrhosis: Risk stratification, diagnosis, and management: 2016 practice guidance by the American Association for the study of liver diseases.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2017; </w:t>
      </w:r>
      <w:r w:rsidRPr="00962DA9">
        <w:rPr>
          <w:rFonts w:ascii="Book Antiqua" w:eastAsia="宋体" w:hAnsi="Book Antiqua"/>
          <w:b/>
          <w:kern w:val="2"/>
          <w:lang w:eastAsia="zh-CN"/>
        </w:rPr>
        <w:t>65</w:t>
      </w:r>
      <w:r w:rsidRPr="00962DA9">
        <w:rPr>
          <w:rFonts w:ascii="Book Antiqua" w:eastAsia="宋体" w:hAnsi="Book Antiqua"/>
          <w:kern w:val="2"/>
          <w:lang w:eastAsia="zh-CN"/>
        </w:rPr>
        <w:t>: 310-335 [PMID: 27786365 DOI: 10.1002/hep.28906]</w:t>
      </w:r>
    </w:p>
    <w:p w14:paraId="72DF24EA"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 </w:t>
      </w:r>
      <w:proofErr w:type="spellStart"/>
      <w:r w:rsidRPr="00962DA9">
        <w:rPr>
          <w:rFonts w:ascii="Book Antiqua" w:eastAsia="宋体" w:hAnsi="Book Antiqua"/>
          <w:b/>
          <w:kern w:val="2"/>
          <w:lang w:eastAsia="zh-CN"/>
        </w:rPr>
        <w:t>Amitrano</w:t>
      </w:r>
      <w:proofErr w:type="spellEnd"/>
      <w:r w:rsidRPr="00962DA9">
        <w:rPr>
          <w:rFonts w:ascii="Book Antiqua" w:eastAsia="宋体" w:hAnsi="Book Antiqua"/>
          <w:b/>
          <w:kern w:val="2"/>
          <w:lang w:eastAsia="zh-CN"/>
        </w:rPr>
        <w:t xml:space="preserve"> L</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Guardascione</w:t>
      </w:r>
      <w:proofErr w:type="spellEnd"/>
      <w:r w:rsidRPr="00962DA9">
        <w:rPr>
          <w:rFonts w:ascii="Book Antiqua" w:eastAsia="宋体" w:hAnsi="Book Antiqua"/>
          <w:kern w:val="2"/>
          <w:lang w:eastAsia="zh-CN"/>
        </w:rPr>
        <w:t xml:space="preserve"> MA, </w:t>
      </w:r>
      <w:proofErr w:type="spellStart"/>
      <w:r w:rsidRPr="00962DA9">
        <w:rPr>
          <w:rFonts w:ascii="Book Antiqua" w:eastAsia="宋体" w:hAnsi="Book Antiqua"/>
          <w:kern w:val="2"/>
          <w:lang w:eastAsia="zh-CN"/>
        </w:rPr>
        <w:t>Manguso</w:t>
      </w:r>
      <w:proofErr w:type="spellEnd"/>
      <w:r w:rsidRPr="00962DA9">
        <w:rPr>
          <w:rFonts w:ascii="Book Antiqua" w:eastAsia="宋体" w:hAnsi="Book Antiqua"/>
          <w:kern w:val="2"/>
          <w:lang w:eastAsia="zh-CN"/>
        </w:rPr>
        <w:t xml:space="preserve"> F, </w:t>
      </w:r>
      <w:proofErr w:type="spellStart"/>
      <w:r w:rsidRPr="00962DA9">
        <w:rPr>
          <w:rFonts w:ascii="Book Antiqua" w:eastAsia="宋体" w:hAnsi="Book Antiqua"/>
          <w:kern w:val="2"/>
          <w:lang w:eastAsia="zh-CN"/>
        </w:rPr>
        <w:t>Bennato</w:t>
      </w:r>
      <w:proofErr w:type="spellEnd"/>
      <w:r w:rsidRPr="00962DA9">
        <w:rPr>
          <w:rFonts w:ascii="Book Antiqua" w:eastAsia="宋体" w:hAnsi="Book Antiqua"/>
          <w:kern w:val="2"/>
          <w:lang w:eastAsia="zh-CN"/>
        </w:rPr>
        <w:t xml:space="preserve"> R, Bove A, DeNucci C, Lombardi G, Martino R, </w:t>
      </w:r>
      <w:proofErr w:type="spellStart"/>
      <w:r w:rsidRPr="00962DA9">
        <w:rPr>
          <w:rFonts w:ascii="Book Antiqua" w:eastAsia="宋体" w:hAnsi="Book Antiqua"/>
          <w:kern w:val="2"/>
          <w:lang w:eastAsia="zh-CN"/>
        </w:rPr>
        <w:t>Menchise</w:t>
      </w:r>
      <w:proofErr w:type="spellEnd"/>
      <w:r w:rsidRPr="00962DA9">
        <w:rPr>
          <w:rFonts w:ascii="Book Antiqua" w:eastAsia="宋体" w:hAnsi="Book Antiqua"/>
          <w:kern w:val="2"/>
          <w:lang w:eastAsia="zh-CN"/>
        </w:rPr>
        <w:t xml:space="preserve"> A, Orsini L, </w:t>
      </w:r>
      <w:proofErr w:type="spellStart"/>
      <w:r w:rsidRPr="00962DA9">
        <w:rPr>
          <w:rFonts w:ascii="Book Antiqua" w:eastAsia="宋体" w:hAnsi="Book Antiqua"/>
          <w:kern w:val="2"/>
          <w:lang w:eastAsia="zh-CN"/>
        </w:rPr>
        <w:t>Picascia</w:t>
      </w:r>
      <w:proofErr w:type="spellEnd"/>
      <w:r w:rsidRPr="00962DA9">
        <w:rPr>
          <w:rFonts w:ascii="Book Antiqua" w:eastAsia="宋体" w:hAnsi="Book Antiqua"/>
          <w:kern w:val="2"/>
          <w:lang w:eastAsia="zh-CN"/>
        </w:rPr>
        <w:t xml:space="preserve"> S, Riccio E. The effectiveness of current acute variceal bleed treatments in unselected cirrhotic patients: refining short-term prognosis and risk factors. </w:t>
      </w:r>
      <w:r w:rsidRPr="00962DA9">
        <w:rPr>
          <w:rFonts w:ascii="Book Antiqua" w:eastAsia="宋体" w:hAnsi="Book Antiqua"/>
          <w:i/>
          <w:kern w:val="2"/>
          <w:lang w:eastAsia="zh-CN"/>
        </w:rPr>
        <w:t>Am J Gastroenterol</w:t>
      </w:r>
      <w:r w:rsidRPr="00962DA9">
        <w:rPr>
          <w:rFonts w:ascii="Book Antiqua" w:eastAsia="宋体" w:hAnsi="Book Antiqua"/>
          <w:kern w:val="2"/>
          <w:lang w:eastAsia="zh-CN"/>
        </w:rPr>
        <w:t xml:space="preserve"> 2012; </w:t>
      </w:r>
      <w:r w:rsidRPr="00962DA9">
        <w:rPr>
          <w:rFonts w:ascii="Book Antiqua" w:eastAsia="宋体" w:hAnsi="Book Antiqua"/>
          <w:b/>
          <w:kern w:val="2"/>
          <w:lang w:eastAsia="zh-CN"/>
        </w:rPr>
        <w:t>107</w:t>
      </w:r>
      <w:r w:rsidRPr="00962DA9">
        <w:rPr>
          <w:rFonts w:ascii="Book Antiqua" w:eastAsia="宋体" w:hAnsi="Book Antiqua"/>
          <w:kern w:val="2"/>
          <w:lang w:eastAsia="zh-CN"/>
        </w:rPr>
        <w:t>: 1872-1878 [PMID: 23007003 DOI: 10.1038/ajg.2012.313]</w:t>
      </w:r>
    </w:p>
    <w:p w14:paraId="75981061"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 </w:t>
      </w:r>
      <w:r w:rsidRPr="00962DA9">
        <w:rPr>
          <w:rFonts w:ascii="Book Antiqua" w:eastAsia="宋体" w:hAnsi="Book Antiqua"/>
          <w:b/>
          <w:kern w:val="2"/>
          <w:lang w:eastAsia="zh-CN"/>
        </w:rPr>
        <w:t>Fortune BE</w:t>
      </w:r>
      <w:r w:rsidRPr="00962DA9">
        <w:rPr>
          <w:rFonts w:ascii="Book Antiqua" w:eastAsia="宋体" w:hAnsi="Book Antiqua"/>
          <w:kern w:val="2"/>
          <w:lang w:eastAsia="zh-CN"/>
        </w:rPr>
        <w:t xml:space="preserve">, Garcia-Tsao G, </w:t>
      </w:r>
      <w:proofErr w:type="spellStart"/>
      <w:r w:rsidRPr="00962DA9">
        <w:rPr>
          <w:rFonts w:ascii="Book Antiqua" w:eastAsia="宋体" w:hAnsi="Book Antiqua"/>
          <w:kern w:val="2"/>
          <w:lang w:eastAsia="zh-CN"/>
        </w:rPr>
        <w:t>Ciarleglio</w:t>
      </w:r>
      <w:proofErr w:type="spellEnd"/>
      <w:r w:rsidRPr="00962DA9">
        <w:rPr>
          <w:rFonts w:ascii="Book Antiqua" w:eastAsia="宋体" w:hAnsi="Book Antiqua"/>
          <w:kern w:val="2"/>
          <w:lang w:eastAsia="zh-CN"/>
        </w:rPr>
        <w:t xml:space="preserve"> M, Deng Y, Fallon MB, </w:t>
      </w:r>
      <w:proofErr w:type="spellStart"/>
      <w:r w:rsidRPr="00962DA9">
        <w:rPr>
          <w:rFonts w:ascii="Book Antiqua" w:eastAsia="宋体" w:hAnsi="Book Antiqua"/>
          <w:kern w:val="2"/>
          <w:lang w:eastAsia="zh-CN"/>
        </w:rPr>
        <w:t>Sigal</w:t>
      </w:r>
      <w:proofErr w:type="spellEnd"/>
      <w:r w:rsidRPr="00962DA9">
        <w:rPr>
          <w:rFonts w:ascii="Book Antiqua" w:eastAsia="宋体" w:hAnsi="Book Antiqua"/>
          <w:kern w:val="2"/>
          <w:lang w:eastAsia="zh-CN"/>
        </w:rPr>
        <w:t xml:space="preserve"> S, </w:t>
      </w:r>
      <w:proofErr w:type="spellStart"/>
      <w:r w:rsidRPr="00962DA9">
        <w:rPr>
          <w:rFonts w:ascii="Book Antiqua" w:eastAsia="宋体" w:hAnsi="Book Antiqua"/>
          <w:kern w:val="2"/>
          <w:lang w:eastAsia="zh-CN"/>
        </w:rPr>
        <w:t>Chalasani</w:t>
      </w:r>
      <w:proofErr w:type="spellEnd"/>
      <w:r w:rsidRPr="00962DA9">
        <w:rPr>
          <w:rFonts w:ascii="Book Antiqua" w:eastAsia="宋体" w:hAnsi="Book Antiqua"/>
          <w:kern w:val="2"/>
          <w:lang w:eastAsia="zh-CN"/>
        </w:rPr>
        <w:t xml:space="preserve"> NP, Lim JK, Reuben A, Vargas HE, Abrams G, Lewis MD, </w:t>
      </w:r>
      <w:proofErr w:type="spellStart"/>
      <w:r w:rsidRPr="00962DA9">
        <w:rPr>
          <w:rFonts w:ascii="Book Antiqua" w:eastAsia="宋体" w:hAnsi="Book Antiqua"/>
          <w:kern w:val="2"/>
          <w:lang w:eastAsia="zh-CN"/>
        </w:rPr>
        <w:t>Hassanein</w:t>
      </w:r>
      <w:proofErr w:type="spellEnd"/>
      <w:r w:rsidRPr="00962DA9">
        <w:rPr>
          <w:rFonts w:ascii="Book Antiqua" w:eastAsia="宋体" w:hAnsi="Book Antiqua"/>
          <w:kern w:val="2"/>
          <w:lang w:eastAsia="zh-CN"/>
        </w:rPr>
        <w:t xml:space="preserve"> T, Trotter JF, Sanyal AJ, Beavers KL, Ganger D, </w:t>
      </w:r>
      <w:proofErr w:type="spellStart"/>
      <w:r w:rsidRPr="00962DA9">
        <w:rPr>
          <w:rFonts w:ascii="Book Antiqua" w:eastAsia="宋体" w:hAnsi="Book Antiqua"/>
          <w:kern w:val="2"/>
          <w:lang w:eastAsia="zh-CN"/>
        </w:rPr>
        <w:t>Thuluvath</w:t>
      </w:r>
      <w:proofErr w:type="spellEnd"/>
      <w:r w:rsidRPr="00962DA9">
        <w:rPr>
          <w:rFonts w:ascii="Book Antiqua" w:eastAsia="宋体" w:hAnsi="Book Antiqua"/>
          <w:kern w:val="2"/>
          <w:lang w:eastAsia="zh-CN"/>
        </w:rPr>
        <w:t xml:space="preserve"> PJ, Grace ND, </w:t>
      </w:r>
      <w:proofErr w:type="spellStart"/>
      <w:r w:rsidRPr="00962DA9">
        <w:rPr>
          <w:rFonts w:ascii="Book Antiqua" w:eastAsia="宋体" w:hAnsi="Book Antiqua"/>
          <w:kern w:val="2"/>
          <w:lang w:eastAsia="zh-CN"/>
        </w:rPr>
        <w:t>Groszmann</w:t>
      </w:r>
      <w:proofErr w:type="spellEnd"/>
      <w:r w:rsidRPr="00962DA9">
        <w:rPr>
          <w:rFonts w:ascii="Book Antiqua" w:eastAsia="宋体" w:hAnsi="Book Antiqua"/>
          <w:kern w:val="2"/>
          <w:lang w:eastAsia="zh-CN"/>
        </w:rPr>
        <w:t xml:space="preserve"> RJ; Vapreotide Study Group. Child-Turcotte-Pugh Class is Best at Stratifying Risk in Variceal Hemorrhage: Analysis of a US Multicenter Prospective Study. </w:t>
      </w:r>
      <w:r w:rsidRPr="00962DA9">
        <w:rPr>
          <w:rFonts w:ascii="Book Antiqua" w:eastAsia="宋体" w:hAnsi="Book Antiqua"/>
          <w:i/>
          <w:kern w:val="2"/>
          <w:lang w:eastAsia="zh-CN"/>
        </w:rPr>
        <w:t>J Clin Gastroenterol</w:t>
      </w:r>
      <w:r w:rsidRPr="00962DA9">
        <w:rPr>
          <w:rFonts w:ascii="Book Antiqua" w:eastAsia="宋体" w:hAnsi="Book Antiqua"/>
          <w:kern w:val="2"/>
          <w:lang w:eastAsia="zh-CN"/>
        </w:rPr>
        <w:t xml:space="preserve"> 2017; </w:t>
      </w:r>
      <w:r w:rsidRPr="00962DA9">
        <w:rPr>
          <w:rFonts w:ascii="Book Antiqua" w:eastAsia="宋体" w:hAnsi="Book Antiqua"/>
          <w:b/>
          <w:kern w:val="2"/>
          <w:lang w:eastAsia="zh-CN"/>
        </w:rPr>
        <w:t>51</w:t>
      </w:r>
      <w:r w:rsidRPr="00962DA9">
        <w:rPr>
          <w:rFonts w:ascii="Book Antiqua" w:eastAsia="宋体" w:hAnsi="Book Antiqua"/>
          <w:kern w:val="2"/>
          <w:lang w:eastAsia="zh-CN"/>
        </w:rPr>
        <w:t>: 446-453 [PMID: 27779613 DOI: 10.1097/MCG.0000000000000733]</w:t>
      </w:r>
    </w:p>
    <w:p w14:paraId="65B93E51"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4 </w:t>
      </w:r>
      <w:r w:rsidRPr="00962DA9">
        <w:rPr>
          <w:rFonts w:ascii="Book Antiqua" w:eastAsia="宋体" w:hAnsi="Book Antiqua"/>
          <w:b/>
          <w:kern w:val="2"/>
          <w:lang w:eastAsia="zh-CN"/>
        </w:rPr>
        <w:t>Tripathi D</w:t>
      </w:r>
      <w:r w:rsidRPr="00962DA9">
        <w:rPr>
          <w:rFonts w:ascii="Book Antiqua" w:eastAsia="宋体" w:hAnsi="Book Antiqua"/>
          <w:kern w:val="2"/>
          <w:lang w:eastAsia="zh-CN"/>
        </w:rPr>
        <w:t xml:space="preserve">, Stanley AJ, Hayes PC, Patch D, </w:t>
      </w:r>
      <w:proofErr w:type="spellStart"/>
      <w:r w:rsidRPr="00962DA9">
        <w:rPr>
          <w:rFonts w:ascii="Book Antiqua" w:eastAsia="宋体" w:hAnsi="Book Antiqua"/>
          <w:kern w:val="2"/>
          <w:lang w:eastAsia="zh-CN"/>
        </w:rPr>
        <w:t>Millson</w:t>
      </w:r>
      <w:proofErr w:type="spellEnd"/>
      <w:r w:rsidRPr="00962DA9">
        <w:rPr>
          <w:rFonts w:ascii="Book Antiqua" w:eastAsia="宋体" w:hAnsi="Book Antiqua"/>
          <w:kern w:val="2"/>
          <w:lang w:eastAsia="zh-CN"/>
        </w:rPr>
        <w:t xml:space="preserve"> C, </w:t>
      </w:r>
      <w:proofErr w:type="spellStart"/>
      <w:r w:rsidRPr="00962DA9">
        <w:rPr>
          <w:rFonts w:ascii="Book Antiqua" w:eastAsia="宋体" w:hAnsi="Book Antiqua"/>
          <w:kern w:val="2"/>
          <w:lang w:eastAsia="zh-CN"/>
        </w:rPr>
        <w:t>Mehrzad</w:t>
      </w:r>
      <w:proofErr w:type="spellEnd"/>
      <w:r w:rsidRPr="00962DA9">
        <w:rPr>
          <w:rFonts w:ascii="Book Antiqua" w:eastAsia="宋体" w:hAnsi="Book Antiqua"/>
          <w:kern w:val="2"/>
          <w:lang w:eastAsia="zh-CN"/>
        </w:rPr>
        <w:t xml:space="preserve"> H, Austin A, Ferguson JW, </w:t>
      </w:r>
      <w:proofErr w:type="spellStart"/>
      <w:r w:rsidRPr="00962DA9">
        <w:rPr>
          <w:rFonts w:ascii="Book Antiqua" w:eastAsia="宋体" w:hAnsi="Book Antiqua"/>
          <w:kern w:val="2"/>
          <w:lang w:eastAsia="zh-CN"/>
        </w:rPr>
        <w:t>Olliff</w:t>
      </w:r>
      <w:proofErr w:type="spellEnd"/>
      <w:r w:rsidRPr="00962DA9">
        <w:rPr>
          <w:rFonts w:ascii="Book Antiqua" w:eastAsia="宋体" w:hAnsi="Book Antiqua"/>
          <w:kern w:val="2"/>
          <w:lang w:eastAsia="zh-CN"/>
        </w:rPr>
        <w:t xml:space="preserve"> SP, Hudson M, Christie JM; Clinical Services and Standards Committee of the British Society of Gastroenterology. U.K. guidelines on the management of variceal </w:t>
      </w:r>
      <w:proofErr w:type="spellStart"/>
      <w:r w:rsidRPr="00962DA9">
        <w:rPr>
          <w:rFonts w:ascii="Book Antiqua" w:eastAsia="宋体" w:hAnsi="Book Antiqua"/>
          <w:kern w:val="2"/>
          <w:lang w:eastAsia="zh-CN"/>
        </w:rPr>
        <w:t>haemorrhage</w:t>
      </w:r>
      <w:proofErr w:type="spellEnd"/>
      <w:r w:rsidRPr="00962DA9">
        <w:rPr>
          <w:rFonts w:ascii="Book Antiqua" w:eastAsia="宋体" w:hAnsi="Book Antiqua"/>
          <w:kern w:val="2"/>
          <w:lang w:eastAsia="zh-CN"/>
        </w:rPr>
        <w:t xml:space="preserve"> in cirrhotic patients. </w:t>
      </w:r>
      <w:r w:rsidRPr="00962DA9">
        <w:rPr>
          <w:rFonts w:ascii="Book Antiqua" w:eastAsia="宋体" w:hAnsi="Book Antiqua"/>
          <w:i/>
          <w:kern w:val="2"/>
          <w:lang w:eastAsia="zh-CN"/>
        </w:rPr>
        <w:t>Gut</w:t>
      </w:r>
      <w:r w:rsidRPr="00962DA9">
        <w:rPr>
          <w:rFonts w:ascii="Book Antiqua" w:eastAsia="宋体" w:hAnsi="Book Antiqua"/>
          <w:kern w:val="2"/>
          <w:lang w:eastAsia="zh-CN"/>
        </w:rPr>
        <w:t xml:space="preserve"> 2015; </w:t>
      </w:r>
      <w:r w:rsidRPr="00962DA9">
        <w:rPr>
          <w:rFonts w:ascii="Book Antiqua" w:eastAsia="宋体" w:hAnsi="Book Antiqua"/>
          <w:b/>
          <w:kern w:val="2"/>
          <w:lang w:eastAsia="zh-CN"/>
        </w:rPr>
        <w:t>64</w:t>
      </w:r>
      <w:r w:rsidRPr="00962DA9">
        <w:rPr>
          <w:rFonts w:ascii="Book Antiqua" w:eastAsia="宋体" w:hAnsi="Book Antiqua"/>
          <w:kern w:val="2"/>
          <w:lang w:eastAsia="zh-CN"/>
        </w:rPr>
        <w:t>: 1680-1704 [PMID: 25887380 DOI: 10.1136/gutjnl-2015-309262]</w:t>
      </w:r>
    </w:p>
    <w:p w14:paraId="0E98849E"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5 </w:t>
      </w:r>
      <w:r w:rsidRPr="00962DA9">
        <w:rPr>
          <w:rFonts w:ascii="Book Antiqua" w:eastAsia="宋体" w:hAnsi="Book Antiqua"/>
          <w:b/>
          <w:kern w:val="2"/>
          <w:lang w:eastAsia="zh-CN"/>
        </w:rPr>
        <w:t xml:space="preserve">de </w:t>
      </w:r>
      <w:proofErr w:type="spellStart"/>
      <w:r w:rsidRPr="00962DA9">
        <w:rPr>
          <w:rFonts w:ascii="Book Antiqua" w:eastAsia="宋体" w:hAnsi="Book Antiqua"/>
          <w:b/>
          <w:kern w:val="2"/>
          <w:lang w:eastAsia="zh-CN"/>
        </w:rPr>
        <w:t>Franchis</w:t>
      </w:r>
      <w:proofErr w:type="spellEnd"/>
      <w:r w:rsidRPr="00962DA9">
        <w:rPr>
          <w:rFonts w:ascii="Book Antiqua" w:eastAsia="宋体" w:hAnsi="Book Antiqua"/>
          <w:b/>
          <w:kern w:val="2"/>
          <w:lang w:eastAsia="zh-CN"/>
        </w:rPr>
        <w:t xml:space="preserve"> R</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Baveno</w:t>
      </w:r>
      <w:proofErr w:type="spellEnd"/>
      <w:r w:rsidRPr="00962DA9">
        <w:rPr>
          <w:rFonts w:ascii="Book Antiqua" w:eastAsia="宋体" w:hAnsi="Book Antiqua"/>
          <w:kern w:val="2"/>
          <w:lang w:eastAsia="zh-CN"/>
        </w:rPr>
        <w:t xml:space="preserve"> VI Faculty. Expanding consensus in portal hypertension: Report of the Baveno VI Consensus Workshop: Stratifying risk and individualizing care for portal hypertension.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2015; </w:t>
      </w:r>
      <w:r w:rsidRPr="00962DA9">
        <w:rPr>
          <w:rFonts w:ascii="Book Antiqua" w:eastAsia="宋体" w:hAnsi="Book Antiqua"/>
          <w:b/>
          <w:kern w:val="2"/>
          <w:lang w:eastAsia="zh-CN"/>
        </w:rPr>
        <w:t>63</w:t>
      </w:r>
      <w:r w:rsidRPr="00962DA9">
        <w:rPr>
          <w:rFonts w:ascii="Book Antiqua" w:eastAsia="宋体" w:hAnsi="Book Antiqua"/>
          <w:kern w:val="2"/>
          <w:lang w:eastAsia="zh-CN"/>
        </w:rPr>
        <w:t>: 743-752 [PMID: 26047908 DOI: 10.1016/j.jhep.2015.05.022]</w:t>
      </w:r>
    </w:p>
    <w:p w14:paraId="0C24570D"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6 </w:t>
      </w:r>
      <w:r w:rsidRPr="00962DA9">
        <w:rPr>
          <w:rFonts w:ascii="Book Antiqua" w:eastAsia="宋体" w:hAnsi="Book Antiqua"/>
          <w:b/>
          <w:kern w:val="2"/>
          <w:lang w:eastAsia="zh-CN"/>
        </w:rPr>
        <w:t>Dai C</w:t>
      </w:r>
      <w:r w:rsidRPr="00962DA9">
        <w:rPr>
          <w:rFonts w:ascii="Book Antiqua" w:eastAsia="宋体" w:hAnsi="Book Antiqua"/>
          <w:kern w:val="2"/>
          <w:lang w:eastAsia="zh-CN"/>
        </w:rPr>
        <w:t xml:space="preserve">, Liu WX, Jiang M, Sun MJ. Endoscopic variceal ligation compared with endoscopic injection sclerotherapy for treatment of esophageal variceal </w:t>
      </w:r>
      <w:r w:rsidRPr="00962DA9">
        <w:rPr>
          <w:rFonts w:ascii="Book Antiqua" w:eastAsia="宋体" w:hAnsi="Book Antiqua"/>
          <w:kern w:val="2"/>
          <w:lang w:eastAsia="zh-CN"/>
        </w:rPr>
        <w:lastRenderedPageBreak/>
        <w:t xml:space="preserve">hemorrhage: a meta-analysis. </w:t>
      </w:r>
      <w:r w:rsidRPr="00962DA9">
        <w:rPr>
          <w:rFonts w:ascii="Book Antiqua" w:eastAsia="宋体" w:hAnsi="Book Antiqua"/>
          <w:i/>
          <w:kern w:val="2"/>
          <w:lang w:eastAsia="zh-CN"/>
        </w:rPr>
        <w:t>World J Gastroenterol</w:t>
      </w:r>
      <w:r w:rsidRPr="00962DA9">
        <w:rPr>
          <w:rFonts w:ascii="Book Antiqua" w:eastAsia="宋体" w:hAnsi="Book Antiqua"/>
          <w:kern w:val="2"/>
          <w:lang w:eastAsia="zh-CN"/>
        </w:rPr>
        <w:t xml:space="preserve"> 2015; </w:t>
      </w:r>
      <w:r w:rsidRPr="00962DA9">
        <w:rPr>
          <w:rFonts w:ascii="Book Antiqua" w:eastAsia="宋体" w:hAnsi="Book Antiqua"/>
          <w:b/>
          <w:kern w:val="2"/>
          <w:lang w:eastAsia="zh-CN"/>
        </w:rPr>
        <w:t>21</w:t>
      </w:r>
      <w:r w:rsidRPr="00962DA9">
        <w:rPr>
          <w:rFonts w:ascii="Book Antiqua" w:eastAsia="宋体" w:hAnsi="Book Antiqua"/>
          <w:kern w:val="2"/>
          <w:lang w:eastAsia="zh-CN"/>
        </w:rPr>
        <w:t>: 2534-2541 [PMID: 25741164 DOI: 10.3748/wjg.v21.i8.2534]</w:t>
      </w:r>
    </w:p>
    <w:p w14:paraId="692C434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7 </w:t>
      </w:r>
      <w:r w:rsidRPr="00962DA9">
        <w:rPr>
          <w:rFonts w:ascii="Book Antiqua" w:eastAsia="宋体" w:hAnsi="Book Antiqua"/>
          <w:b/>
          <w:kern w:val="2"/>
          <w:lang w:eastAsia="zh-CN"/>
        </w:rPr>
        <w:t>Krige J</w:t>
      </w:r>
      <w:r w:rsidRPr="00962DA9">
        <w:rPr>
          <w:rFonts w:ascii="Book Antiqua" w:eastAsia="宋体" w:hAnsi="Book Antiqua"/>
          <w:kern w:val="2"/>
          <w:lang w:eastAsia="zh-CN"/>
        </w:rPr>
        <w:t xml:space="preserve">, Spence RT, Jonas E, </w:t>
      </w:r>
      <w:proofErr w:type="spellStart"/>
      <w:r w:rsidRPr="00962DA9">
        <w:rPr>
          <w:rFonts w:ascii="Book Antiqua" w:eastAsia="宋体" w:hAnsi="Book Antiqua"/>
          <w:kern w:val="2"/>
          <w:lang w:eastAsia="zh-CN"/>
        </w:rPr>
        <w:t>Hoogerboord</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Ellsmere</w:t>
      </w:r>
      <w:proofErr w:type="spellEnd"/>
      <w:r w:rsidRPr="00962DA9">
        <w:rPr>
          <w:rFonts w:ascii="Book Antiqua" w:eastAsia="宋体" w:hAnsi="Book Antiqua"/>
          <w:kern w:val="2"/>
          <w:lang w:eastAsia="zh-CN"/>
        </w:rPr>
        <w:t xml:space="preserve"> J. A New Recalibrated Four-Category Child-Pugh Score Performs Better than the Original Child-Pugh and MELD Scores in Predicting In-Hospital Mortality in Decompensated Alcoholic Cirrhotic Patients with Acute Variceal Bleeding: a Real-World Cohort Analysis. </w:t>
      </w:r>
      <w:r w:rsidRPr="00962DA9">
        <w:rPr>
          <w:rFonts w:ascii="Book Antiqua" w:eastAsia="宋体" w:hAnsi="Book Antiqua"/>
          <w:i/>
          <w:kern w:val="2"/>
          <w:lang w:eastAsia="zh-CN"/>
        </w:rPr>
        <w:t>World J Surg</w:t>
      </w:r>
      <w:r w:rsidRPr="00962DA9">
        <w:rPr>
          <w:rFonts w:ascii="Book Antiqua" w:eastAsia="宋体" w:hAnsi="Book Antiqua"/>
          <w:kern w:val="2"/>
          <w:lang w:eastAsia="zh-CN"/>
        </w:rPr>
        <w:t xml:space="preserve"> 2020; </w:t>
      </w:r>
      <w:r w:rsidRPr="00962DA9">
        <w:rPr>
          <w:rFonts w:ascii="Book Antiqua" w:eastAsia="宋体" w:hAnsi="Book Antiqua"/>
          <w:b/>
          <w:kern w:val="2"/>
          <w:lang w:eastAsia="zh-CN"/>
        </w:rPr>
        <w:t>44</w:t>
      </w:r>
      <w:r w:rsidRPr="00962DA9">
        <w:rPr>
          <w:rFonts w:ascii="Book Antiqua" w:eastAsia="宋体" w:hAnsi="Book Antiqua"/>
          <w:kern w:val="2"/>
          <w:lang w:eastAsia="zh-CN"/>
        </w:rPr>
        <w:t>: 241-246 [PMID: 31583458 DOI: 10.1007/s00268-019-05211-8]</w:t>
      </w:r>
    </w:p>
    <w:p w14:paraId="621E8F94"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8 </w:t>
      </w:r>
      <w:r w:rsidRPr="00962DA9">
        <w:rPr>
          <w:rFonts w:ascii="Book Antiqua" w:eastAsia="宋体" w:hAnsi="Book Antiqua"/>
          <w:b/>
          <w:kern w:val="2"/>
          <w:lang w:eastAsia="zh-CN"/>
        </w:rPr>
        <w:t>Krige JE</w:t>
      </w:r>
      <w:r w:rsidRPr="00962DA9">
        <w:rPr>
          <w:rFonts w:ascii="Book Antiqua" w:eastAsia="宋体" w:hAnsi="Book Antiqua"/>
          <w:kern w:val="2"/>
          <w:lang w:eastAsia="zh-CN"/>
        </w:rPr>
        <w:t xml:space="preserve">, Kotze UK, Distiller G, Shaw JM, Bornman PC. Predictive factors for rebleeding and death in alcoholic cirrhotic patients with acute variceal bleeding: a multivariate analysis. </w:t>
      </w:r>
      <w:r w:rsidRPr="00962DA9">
        <w:rPr>
          <w:rFonts w:ascii="Book Antiqua" w:eastAsia="宋体" w:hAnsi="Book Antiqua"/>
          <w:i/>
          <w:kern w:val="2"/>
          <w:lang w:eastAsia="zh-CN"/>
        </w:rPr>
        <w:t>World J Surg</w:t>
      </w:r>
      <w:r w:rsidRPr="00962DA9">
        <w:rPr>
          <w:rFonts w:ascii="Book Antiqua" w:eastAsia="宋体" w:hAnsi="Book Antiqua"/>
          <w:kern w:val="2"/>
          <w:lang w:eastAsia="zh-CN"/>
        </w:rPr>
        <w:t xml:space="preserve"> 2009; </w:t>
      </w:r>
      <w:r w:rsidRPr="00962DA9">
        <w:rPr>
          <w:rFonts w:ascii="Book Antiqua" w:eastAsia="宋体" w:hAnsi="Book Antiqua"/>
          <w:b/>
          <w:kern w:val="2"/>
          <w:lang w:eastAsia="zh-CN"/>
        </w:rPr>
        <w:t>33</w:t>
      </w:r>
      <w:r w:rsidRPr="00962DA9">
        <w:rPr>
          <w:rFonts w:ascii="Book Antiqua" w:eastAsia="宋体" w:hAnsi="Book Antiqua"/>
          <w:kern w:val="2"/>
          <w:lang w:eastAsia="zh-CN"/>
        </w:rPr>
        <w:t>: 2127-2135 [PMID: 19672651 DOI: 10.1007/s00268-009-0172-6]</w:t>
      </w:r>
    </w:p>
    <w:p w14:paraId="4976F9D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9 </w:t>
      </w:r>
      <w:r w:rsidRPr="00962DA9">
        <w:rPr>
          <w:rFonts w:ascii="Book Antiqua" w:eastAsia="宋体" w:hAnsi="Book Antiqua"/>
          <w:b/>
          <w:kern w:val="2"/>
          <w:lang w:eastAsia="zh-CN"/>
        </w:rPr>
        <w:t>Krige JE</w:t>
      </w:r>
      <w:r w:rsidRPr="00962DA9">
        <w:rPr>
          <w:rFonts w:ascii="Book Antiqua" w:eastAsia="宋体" w:hAnsi="Book Antiqua"/>
          <w:kern w:val="2"/>
          <w:lang w:eastAsia="zh-CN"/>
        </w:rPr>
        <w:t xml:space="preserve">, Kotze UK, Bornman PC, Shaw JM, Klipin M. Variceal recurrence, rebleeding, and survival after endoscopic injection sclerotherapy in 287 alcoholic cirrhotic patients with bleeding esophageal varices. </w:t>
      </w:r>
      <w:r w:rsidRPr="00962DA9">
        <w:rPr>
          <w:rFonts w:ascii="Book Antiqua" w:eastAsia="宋体" w:hAnsi="Book Antiqua"/>
          <w:i/>
          <w:kern w:val="2"/>
          <w:lang w:eastAsia="zh-CN"/>
        </w:rPr>
        <w:t>Ann Surg</w:t>
      </w:r>
      <w:r w:rsidRPr="00962DA9">
        <w:rPr>
          <w:rFonts w:ascii="Book Antiqua" w:eastAsia="宋体" w:hAnsi="Book Antiqua"/>
          <w:kern w:val="2"/>
          <w:lang w:eastAsia="zh-CN"/>
        </w:rPr>
        <w:t xml:space="preserve"> 2006; </w:t>
      </w:r>
      <w:r w:rsidRPr="00962DA9">
        <w:rPr>
          <w:rFonts w:ascii="Book Antiqua" w:eastAsia="宋体" w:hAnsi="Book Antiqua"/>
          <w:b/>
          <w:kern w:val="2"/>
          <w:lang w:eastAsia="zh-CN"/>
        </w:rPr>
        <w:t>244</w:t>
      </w:r>
      <w:r w:rsidRPr="00962DA9">
        <w:rPr>
          <w:rFonts w:ascii="Book Antiqua" w:eastAsia="宋体" w:hAnsi="Book Antiqua"/>
          <w:kern w:val="2"/>
          <w:lang w:eastAsia="zh-CN"/>
        </w:rPr>
        <w:t>: 764-770 [PMID: 17060770 DOI: 10.1097/01.sla.0000231704.45005.4e]</w:t>
      </w:r>
    </w:p>
    <w:p w14:paraId="745C1F45"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10 </w:t>
      </w:r>
      <w:r w:rsidRPr="00962DA9">
        <w:rPr>
          <w:rFonts w:ascii="Book Antiqua" w:eastAsia="宋体" w:hAnsi="Book Antiqua"/>
          <w:b/>
          <w:kern w:val="2"/>
          <w:lang w:eastAsia="zh-CN"/>
        </w:rPr>
        <w:t>Terblanche J</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Stiegmann</w:t>
      </w:r>
      <w:proofErr w:type="spellEnd"/>
      <w:r w:rsidRPr="00962DA9">
        <w:rPr>
          <w:rFonts w:ascii="Book Antiqua" w:eastAsia="宋体" w:hAnsi="Book Antiqua"/>
          <w:kern w:val="2"/>
          <w:lang w:eastAsia="zh-CN"/>
        </w:rPr>
        <w:t xml:space="preserve"> GV, Krige JE, Bornman PC. Long-term management of variceal bleeding: the place of varix injection and ligation. </w:t>
      </w:r>
      <w:r w:rsidRPr="00962DA9">
        <w:rPr>
          <w:rFonts w:ascii="Book Antiqua" w:eastAsia="宋体" w:hAnsi="Book Antiqua"/>
          <w:i/>
          <w:kern w:val="2"/>
          <w:lang w:eastAsia="zh-CN"/>
        </w:rPr>
        <w:t>World J Surg</w:t>
      </w:r>
      <w:r w:rsidRPr="00962DA9">
        <w:rPr>
          <w:rFonts w:ascii="Book Antiqua" w:eastAsia="宋体" w:hAnsi="Book Antiqua"/>
          <w:kern w:val="2"/>
          <w:lang w:eastAsia="zh-CN"/>
        </w:rPr>
        <w:t xml:space="preserve"> 1994; </w:t>
      </w:r>
      <w:r w:rsidRPr="00962DA9">
        <w:rPr>
          <w:rFonts w:ascii="Book Antiqua" w:eastAsia="宋体" w:hAnsi="Book Antiqua"/>
          <w:b/>
          <w:kern w:val="2"/>
          <w:lang w:eastAsia="zh-CN"/>
        </w:rPr>
        <w:t>18</w:t>
      </w:r>
      <w:r w:rsidRPr="00962DA9">
        <w:rPr>
          <w:rFonts w:ascii="Book Antiqua" w:eastAsia="宋体" w:hAnsi="Book Antiqua"/>
          <w:kern w:val="2"/>
          <w:lang w:eastAsia="zh-CN"/>
        </w:rPr>
        <w:t>: 185-192 [PMID: 8042321 DOI: 10.1007/BF00294399]</w:t>
      </w:r>
    </w:p>
    <w:p w14:paraId="0D289CA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11 </w:t>
      </w:r>
      <w:r w:rsidRPr="00962DA9">
        <w:rPr>
          <w:rFonts w:ascii="Book Antiqua" w:eastAsia="宋体" w:hAnsi="Book Antiqua"/>
          <w:b/>
          <w:kern w:val="2"/>
          <w:lang w:eastAsia="zh-CN"/>
        </w:rPr>
        <w:t>Tait IS</w:t>
      </w:r>
      <w:r w:rsidRPr="00962DA9">
        <w:rPr>
          <w:rFonts w:ascii="Book Antiqua" w:eastAsia="宋体" w:hAnsi="Book Antiqua"/>
          <w:kern w:val="2"/>
          <w:lang w:eastAsia="zh-CN"/>
        </w:rPr>
        <w:t xml:space="preserve">, Krige JE, Terblanche J. Endoscopic band ligation of </w:t>
      </w:r>
      <w:proofErr w:type="spellStart"/>
      <w:r w:rsidRPr="00962DA9">
        <w:rPr>
          <w:rFonts w:ascii="Book Antiqua" w:eastAsia="宋体" w:hAnsi="Book Antiqua"/>
          <w:kern w:val="2"/>
          <w:lang w:eastAsia="zh-CN"/>
        </w:rPr>
        <w:t>oesophageal</w:t>
      </w:r>
      <w:proofErr w:type="spellEnd"/>
      <w:r w:rsidRPr="00962DA9">
        <w:rPr>
          <w:rFonts w:ascii="Book Antiqua" w:eastAsia="宋体" w:hAnsi="Book Antiqua"/>
          <w:kern w:val="2"/>
          <w:lang w:eastAsia="zh-CN"/>
        </w:rPr>
        <w:t xml:space="preserve"> varices. </w:t>
      </w:r>
      <w:r w:rsidRPr="00962DA9">
        <w:rPr>
          <w:rFonts w:ascii="Book Antiqua" w:eastAsia="宋体" w:hAnsi="Book Antiqua"/>
          <w:i/>
          <w:kern w:val="2"/>
          <w:lang w:eastAsia="zh-CN"/>
        </w:rPr>
        <w:t>Br J Surg</w:t>
      </w:r>
      <w:r w:rsidRPr="00962DA9">
        <w:rPr>
          <w:rFonts w:ascii="Book Antiqua" w:eastAsia="宋体" w:hAnsi="Book Antiqua"/>
          <w:kern w:val="2"/>
          <w:lang w:eastAsia="zh-CN"/>
        </w:rPr>
        <w:t xml:space="preserve"> 1999; </w:t>
      </w:r>
      <w:r w:rsidRPr="00962DA9">
        <w:rPr>
          <w:rFonts w:ascii="Book Antiqua" w:eastAsia="宋体" w:hAnsi="Book Antiqua"/>
          <w:b/>
          <w:kern w:val="2"/>
          <w:lang w:eastAsia="zh-CN"/>
        </w:rPr>
        <w:t>86</w:t>
      </w:r>
      <w:r w:rsidRPr="00962DA9">
        <w:rPr>
          <w:rFonts w:ascii="Book Antiqua" w:eastAsia="宋体" w:hAnsi="Book Antiqua"/>
          <w:kern w:val="2"/>
          <w:lang w:eastAsia="zh-CN"/>
        </w:rPr>
        <w:t>: 437-446 [PMID: 10215811 DOI: 10.1046/j.1365-2168.1999.01109.x]</w:t>
      </w:r>
    </w:p>
    <w:p w14:paraId="6A0F16AC"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12 </w:t>
      </w:r>
      <w:r w:rsidRPr="00962DA9">
        <w:rPr>
          <w:rFonts w:ascii="Book Antiqua" w:eastAsia="宋体" w:hAnsi="Book Antiqua"/>
          <w:b/>
          <w:kern w:val="2"/>
          <w:lang w:eastAsia="zh-CN"/>
        </w:rPr>
        <w:t>Krige JEJ,</w:t>
      </w:r>
      <w:r w:rsidRPr="00962DA9">
        <w:rPr>
          <w:rFonts w:ascii="Book Antiqua" w:eastAsia="宋体" w:hAnsi="Book Antiqua"/>
          <w:kern w:val="2"/>
          <w:lang w:eastAsia="zh-CN"/>
        </w:rPr>
        <w:t xml:space="preserve"> Bornman PC. Endoscopic therapy in the management of esophageal varices: injection sclerotherapy and variceal ligation. In: </w:t>
      </w:r>
      <w:proofErr w:type="spellStart"/>
      <w:r w:rsidRPr="00962DA9">
        <w:rPr>
          <w:rFonts w:ascii="Book Antiqua" w:eastAsia="宋体" w:hAnsi="Book Antiqua"/>
          <w:kern w:val="2"/>
          <w:lang w:eastAsia="zh-CN"/>
        </w:rPr>
        <w:t>Blumgart</w:t>
      </w:r>
      <w:proofErr w:type="spellEnd"/>
      <w:r w:rsidRPr="00962DA9">
        <w:rPr>
          <w:rFonts w:ascii="Book Antiqua" w:eastAsia="宋体" w:hAnsi="Book Antiqua"/>
          <w:kern w:val="2"/>
          <w:lang w:eastAsia="zh-CN"/>
        </w:rPr>
        <w:t xml:space="preserve"> L (ed) Surgery of the Liver, Biliary Tract and Pancreas, 4th Edition, Saunders, Elsevier, </w:t>
      </w:r>
      <w:r w:rsidR="00AA1711">
        <w:rPr>
          <w:rFonts w:ascii="Book Antiqua" w:eastAsia="宋体" w:hAnsi="Book Antiqua"/>
          <w:kern w:val="2"/>
          <w:lang w:eastAsia="zh-CN"/>
        </w:rPr>
        <w:t>Philadelphia. 2007</w:t>
      </w:r>
      <w:r w:rsidR="0066079C">
        <w:rPr>
          <w:rFonts w:ascii="Book Antiqua" w:eastAsia="宋体" w:hAnsi="Book Antiqua"/>
          <w:kern w:val="2"/>
          <w:lang w:eastAsia="zh-CN"/>
        </w:rPr>
        <w:t xml:space="preserve">: </w:t>
      </w:r>
      <w:r w:rsidR="00AA1711">
        <w:rPr>
          <w:rFonts w:ascii="Book Antiqua" w:eastAsia="宋体" w:hAnsi="Book Antiqua"/>
          <w:kern w:val="2"/>
          <w:lang w:eastAsia="zh-CN"/>
        </w:rPr>
        <w:t>1579-1593</w:t>
      </w:r>
    </w:p>
    <w:p w14:paraId="5FE5BA6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13 </w:t>
      </w:r>
      <w:r w:rsidRPr="00962DA9">
        <w:rPr>
          <w:rFonts w:ascii="Book Antiqua" w:eastAsia="宋体" w:hAnsi="Book Antiqua"/>
          <w:b/>
          <w:kern w:val="2"/>
          <w:lang w:eastAsia="zh-CN"/>
        </w:rPr>
        <w:t>Krige JEJ,</w:t>
      </w:r>
      <w:r w:rsidRPr="00962DA9">
        <w:rPr>
          <w:rFonts w:ascii="Book Antiqua" w:eastAsia="宋体" w:hAnsi="Book Antiqua"/>
          <w:kern w:val="2"/>
          <w:lang w:eastAsia="zh-CN"/>
        </w:rPr>
        <w:t xml:space="preserve"> Botha JF, Bornman PC. </w:t>
      </w:r>
      <w:bookmarkStart w:id="8" w:name="OLE_LINK7"/>
      <w:bookmarkStart w:id="9" w:name="OLE_LINK8"/>
      <w:r w:rsidRPr="00962DA9">
        <w:rPr>
          <w:rFonts w:ascii="Book Antiqua" w:eastAsia="宋体" w:hAnsi="Book Antiqua"/>
          <w:kern w:val="2"/>
          <w:lang w:eastAsia="zh-CN"/>
        </w:rPr>
        <w:t>Endoscopic variceal ligation for bleeding esophageal varices</w:t>
      </w:r>
      <w:bookmarkEnd w:id="8"/>
      <w:bookmarkEnd w:id="9"/>
      <w:r w:rsidRPr="00962DA9">
        <w:rPr>
          <w:rFonts w:ascii="Book Antiqua" w:eastAsia="宋体" w:hAnsi="Book Antiqua"/>
          <w:kern w:val="2"/>
          <w:lang w:eastAsia="zh-CN"/>
        </w:rPr>
        <w:t xml:space="preserve">. </w:t>
      </w:r>
      <w:r w:rsidRPr="00AA1711">
        <w:rPr>
          <w:rFonts w:ascii="Book Antiqua" w:eastAsia="宋体" w:hAnsi="Book Antiqua"/>
          <w:i/>
          <w:kern w:val="2"/>
          <w:lang w:eastAsia="zh-CN"/>
        </w:rPr>
        <w:t>Digest</w:t>
      </w:r>
      <w:r w:rsidR="00787050">
        <w:rPr>
          <w:rFonts w:ascii="Book Antiqua" w:eastAsia="宋体" w:hAnsi="Book Antiqua"/>
          <w:i/>
          <w:kern w:val="2"/>
          <w:lang w:eastAsia="zh-CN"/>
        </w:rPr>
        <w:t xml:space="preserve"> </w:t>
      </w:r>
      <w:proofErr w:type="spellStart"/>
      <w:r w:rsidRPr="00AA1711">
        <w:rPr>
          <w:rFonts w:ascii="Book Antiqua" w:eastAsia="宋体" w:hAnsi="Book Antiqua"/>
          <w:i/>
          <w:kern w:val="2"/>
          <w:lang w:eastAsia="zh-CN"/>
        </w:rPr>
        <w:t>Endosc</w:t>
      </w:r>
      <w:proofErr w:type="spellEnd"/>
      <w:r w:rsidR="00787050">
        <w:rPr>
          <w:rFonts w:ascii="Book Antiqua" w:eastAsia="宋体" w:hAnsi="Book Antiqua"/>
          <w:i/>
          <w:kern w:val="2"/>
          <w:lang w:eastAsia="zh-CN"/>
        </w:rPr>
        <w:t xml:space="preserve"> </w:t>
      </w:r>
      <w:r w:rsidRPr="00962DA9">
        <w:rPr>
          <w:rFonts w:ascii="Book Antiqua" w:eastAsia="宋体" w:hAnsi="Book Antiqua"/>
          <w:kern w:val="2"/>
          <w:lang w:eastAsia="zh-CN"/>
        </w:rPr>
        <w:t xml:space="preserve">1999; </w:t>
      </w:r>
      <w:r w:rsidRPr="00962DA9">
        <w:rPr>
          <w:rFonts w:ascii="Book Antiqua" w:eastAsia="宋体" w:hAnsi="Book Antiqua"/>
          <w:b/>
          <w:kern w:val="2"/>
          <w:lang w:eastAsia="zh-CN"/>
        </w:rPr>
        <w:t>11</w:t>
      </w:r>
      <w:r w:rsidRPr="00962DA9">
        <w:rPr>
          <w:rFonts w:ascii="Book Antiqua" w:eastAsia="宋体" w:hAnsi="Book Antiqua"/>
          <w:kern w:val="2"/>
          <w:lang w:eastAsia="zh-CN"/>
        </w:rPr>
        <w:t>:</w:t>
      </w:r>
      <w:r w:rsidR="00AA1711">
        <w:rPr>
          <w:rFonts w:ascii="Book Antiqua" w:eastAsia="宋体" w:hAnsi="Book Antiqua" w:hint="eastAsia"/>
          <w:kern w:val="2"/>
          <w:lang w:eastAsia="zh-CN"/>
        </w:rPr>
        <w:t xml:space="preserve"> </w:t>
      </w:r>
      <w:r w:rsidR="00AA1711">
        <w:rPr>
          <w:rFonts w:ascii="Book Antiqua" w:eastAsia="宋体" w:hAnsi="Book Antiqua"/>
          <w:kern w:val="2"/>
          <w:lang w:eastAsia="zh-CN"/>
        </w:rPr>
        <w:t>315-320</w:t>
      </w:r>
      <w:r w:rsidRPr="00962DA9">
        <w:rPr>
          <w:rFonts w:ascii="Book Antiqua" w:eastAsia="宋体" w:hAnsi="Book Antiqua"/>
          <w:kern w:val="2"/>
          <w:lang w:eastAsia="zh-CN"/>
        </w:rPr>
        <w:t xml:space="preserve"> </w:t>
      </w:r>
      <w:r w:rsidR="00AA1711">
        <w:rPr>
          <w:rFonts w:ascii="Book Antiqua" w:eastAsia="宋体" w:hAnsi="Book Antiqua" w:hint="eastAsia"/>
          <w:kern w:val="2"/>
          <w:lang w:eastAsia="zh-CN"/>
        </w:rPr>
        <w:t>[</w:t>
      </w:r>
      <w:r w:rsidRPr="00962DA9">
        <w:rPr>
          <w:rFonts w:ascii="Book Antiqua" w:eastAsia="宋体" w:hAnsi="Book Antiqua"/>
          <w:kern w:val="2"/>
          <w:lang w:eastAsia="zh-CN"/>
        </w:rPr>
        <w:t>DOI: 10.1111/j.1443-1661.1999.tb00015.x</w:t>
      </w:r>
      <w:r w:rsidR="00AA1711">
        <w:rPr>
          <w:rFonts w:ascii="Book Antiqua" w:eastAsia="宋体" w:hAnsi="Book Antiqua" w:hint="eastAsia"/>
          <w:kern w:val="2"/>
          <w:lang w:eastAsia="zh-CN"/>
        </w:rPr>
        <w:t>]</w:t>
      </w:r>
    </w:p>
    <w:p w14:paraId="0B2D9755"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14 </w:t>
      </w:r>
      <w:r w:rsidRPr="00962DA9">
        <w:rPr>
          <w:rFonts w:ascii="Book Antiqua" w:eastAsia="宋体" w:hAnsi="Book Antiqua"/>
          <w:b/>
          <w:kern w:val="2"/>
          <w:lang w:eastAsia="zh-CN"/>
        </w:rPr>
        <w:t>Krige JEJ,</w:t>
      </w:r>
      <w:r w:rsidRPr="00962DA9">
        <w:rPr>
          <w:rFonts w:ascii="Book Antiqua" w:eastAsia="宋体" w:hAnsi="Book Antiqua"/>
          <w:kern w:val="2"/>
          <w:lang w:eastAsia="zh-CN"/>
        </w:rPr>
        <w:t xml:space="preserve"> Thomson SR. Endoscopic therapy in the management of esophageal varices. In: Fischer. (Ed) Mastery of Surgery, 7th Edition. Lippincott, </w:t>
      </w:r>
      <w:proofErr w:type="spellStart"/>
      <w:r w:rsidRPr="00962DA9">
        <w:rPr>
          <w:rFonts w:ascii="Book Antiqua" w:eastAsia="宋体" w:hAnsi="Book Antiqua"/>
          <w:kern w:val="2"/>
          <w:lang w:eastAsia="zh-CN"/>
        </w:rPr>
        <w:lastRenderedPageBreak/>
        <w:t>WilliamsWilkens</w:t>
      </w:r>
      <w:proofErr w:type="spellEnd"/>
      <w:r w:rsidRPr="00962DA9">
        <w:rPr>
          <w:rFonts w:ascii="Book Antiqua" w:eastAsia="宋体" w:hAnsi="Book Antiqua"/>
          <w:kern w:val="2"/>
          <w:lang w:eastAsia="zh-CN"/>
        </w:rPr>
        <w:t>. P</w:t>
      </w:r>
      <w:r w:rsidR="00AA1711">
        <w:rPr>
          <w:rFonts w:ascii="Book Antiqua" w:eastAsia="宋体" w:hAnsi="Book Antiqua"/>
          <w:kern w:val="2"/>
          <w:lang w:eastAsia="zh-CN"/>
        </w:rPr>
        <w:t>hiladelphia. 2019</w:t>
      </w:r>
      <w:r w:rsidR="002D5171">
        <w:rPr>
          <w:rFonts w:ascii="Book Antiqua" w:eastAsia="宋体" w:hAnsi="Book Antiqua"/>
          <w:kern w:val="2"/>
          <w:lang w:eastAsia="zh-CN"/>
        </w:rPr>
        <w:t xml:space="preserve">: </w:t>
      </w:r>
      <w:r w:rsidR="00AA1711">
        <w:rPr>
          <w:rFonts w:ascii="Book Antiqua" w:eastAsia="宋体" w:hAnsi="Book Antiqua"/>
          <w:kern w:val="2"/>
          <w:lang w:eastAsia="zh-CN"/>
        </w:rPr>
        <w:t>1616-1629</w:t>
      </w:r>
    </w:p>
    <w:p w14:paraId="6F13400A"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15 </w:t>
      </w:r>
      <w:r w:rsidRPr="00962DA9">
        <w:rPr>
          <w:rFonts w:ascii="Book Antiqua" w:eastAsia="宋体" w:hAnsi="Book Antiqua"/>
          <w:b/>
          <w:kern w:val="2"/>
          <w:lang w:eastAsia="zh-CN"/>
        </w:rPr>
        <w:t>Baron TH</w:t>
      </w:r>
      <w:r w:rsidRPr="00962DA9">
        <w:rPr>
          <w:rFonts w:ascii="Book Antiqua" w:eastAsia="宋体" w:hAnsi="Book Antiqua"/>
          <w:kern w:val="2"/>
          <w:lang w:eastAsia="zh-CN"/>
        </w:rPr>
        <w:t xml:space="preserve">, Wong Kee Song LM. Endoscopic variceal band ligation. </w:t>
      </w:r>
      <w:r w:rsidRPr="00962DA9">
        <w:rPr>
          <w:rFonts w:ascii="Book Antiqua" w:eastAsia="宋体" w:hAnsi="Book Antiqua"/>
          <w:i/>
          <w:kern w:val="2"/>
          <w:lang w:eastAsia="zh-CN"/>
        </w:rPr>
        <w:t>Am J Gastroenterol</w:t>
      </w:r>
      <w:r w:rsidRPr="00962DA9">
        <w:rPr>
          <w:rFonts w:ascii="Book Antiqua" w:eastAsia="宋体" w:hAnsi="Book Antiqua"/>
          <w:kern w:val="2"/>
          <w:lang w:eastAsia="zh-CN"/>
        </w:rPr>
        <w:t xml:space="preserve"> 2009; </w:t>
      </w:r>
      <w:r w:rsidRPr="00962DA9">
        <w:rPr>
          <w:rFonts w:ascii="Book Antiqua" w:eastAsia="宋体" w:hAnsi="Book Antiqua"/>
          <w:b/>
          <w:kern w:val="2"/>
          <w:lang w:eastAsia="zh-CN"/>
        </w:rPr>
        <w:t>104</w:t>
      </w:r>
      <w:r w:rsidRPr="00962DA9">
        <w:rPr>
          <w:rFonts w:ascii="Book Antiqua" w:eastAsia="宋体" w:hAnsi="Book Antiqua"/>
          <w:kern w:val="2"/>
          <w:lang w:eastAsia="zh-CN"/>
        </w:rPr>
        <w:t>: 1083-1085 [PMID: 19417747 DOI: 10.1038/ajg.2008.17]</w:t>
      </w:r>
    </w:p>
    <w:p w14:paraId="508CA742"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16 </w:t>
      </w:r>
      <w:r w:rsidRPr="00962DA9">
        <w:rPr>
          <w:rFonts w:ascii="Book Antiqua" w:eastAsia="宋体" w:hAnsi="Book Antiqua"/>
          <w:b/>
          <w:kern w:val="2"/>
          <w:lang w:eastAsia="zh-CN"/>
        </w:rPr>
        <w:t>El-</w:t>
      </w:r>
      <w:proofErr w:type="spellStart"/>
      <w:r w:rsidRPr="00962DA9">
        <w:rPr>
          <w:rFonts w:ascii="Book Antiqua" w:eastAsia="宋体" w:hAnsi="Book Antiqua"/>
          <w:b/>
          <w:kern w:val="2"/>
          <w:lang w:eastAsia="zh-CN"/>
        </w:rPr>
        <w:t>Saify</w:t>
      </w:r>
      <w:proofErr w:type="spellEnd"/>
      <w:r w:rsidRPr="00962DA9">
        <w:rPr>
          <w:rFonts w:ascii="Book Antiqua" w:eastAsia="宋体" w:hAnsi="Book Antiqua"/>
          <w:b/>
          <w:kern w:val="2"/>
          <w:lang w:eastAsia="zh-CN"/>
        </w:rPr>
        <w:t xml:space="preserve"> WM</w:t>
      </w:r>
      <w:r w:rsidRPr="00962DA9">
        <w:rPr>
          <w:rFonts w:ascii="Book Antiqua" w:eastAsia="宋体" w:hAnsi="Book Antiqua"/>
          <w:kern w:val="2"/>
          <w:lang w:eastAsia="zh-CN"/>
        </w:rPr>
        <w:t xml:space="preserve">, Mourad FA. Use of the six-shooter ligation device in the management of bleeding esophageal varices: a developing-country experience. </w:t>
      </w:r>
      <w:r w:rsidRPr="00962DA9">
        <w:rPr>
          <w:rFonts w:ascii="Book Antiqua" w:eastAsia="宋体" w:hAnsi="Book Antiqua"/>
          <w:i/>
          <w:kern w:val="2"/>
          <w:lang w:eastAsia="zh-CN"/>
        </w:rPr>
        <w:t>Dig Dis Sci</w:t>
      </w:r>
      <w:r w:rsidRPr="00962DA9">
        <w:rPr>
          <w:rFonts w:ascii="Book Antiqua" w:eastAsia="宋体" w:hAnsi="Book Antiqua"/>
          <w:kern w:val="2"/>
          <w:lang w:eastAsia="zh-CN"/>
        </w:rPr>
        <w:t xml:space="preserve"> 2005; </w:t>
      </w:r>
      <w:r w:rsidRPr="00962DA9">
        <w:rPr>
          <w:rFonts w:ascii="Book Antiqua" w:eastAsia="宋体" w:hAnsi="Book Antiqua"/>
          <w:b/>
          <w:kern w:val="2"/>
          <w:lang w:eastAsia="zh-CN"/>
        </w:rPr>
        <w:t>50</w:t>
      </w:r>
      <w:r w:rsidRPr="00962DA9">
        <w:rPr>
          <w:rFonts w:ascii="Book Antiqua" w:eastAsia="宋体" w:hAnsi="Book Antiqua"/>
          <w:kern w:val="2"/>
          <w:lang w:eastAsia="zh-CN"/>
        </w:rPr>
        <w:t>: 394-398 [PMID: 15745107 DOI: 10.1007/s10620-005-1617-x]</w:t>
      </w:r>
    </w:p>
    <w:p w14:paraId="3EF970E9"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17 </w:t>
      </w:r>
      <w:r w:rsidRPr="00962DA9">
        <w:rPr>
          <w:rFonts w:ascii="Book Antiqua" w:eastAsia="宋体" w:hAnsi="Book Antiqua"/>
          <w:b/>
          <w:kern w:val="2"/>
          <w:lang w:eastAsia="zh-CN"/>
        </w:rPr>
        <w:t>Saeed ZA</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Stiegmann</w:t>
      </w:r>
      <w:proofErr w:type="spellEnd"/>
      <w:r w:rsidRPr="00962DA9">
        <w:rPr>
          <w:rFonts w:ascii="Book Antiqua" w:eastAsia="宋体" w:hAnsi="Book Antiqua"/>
          <w:kern w:val="2"/>
          <w:lang w:eastAsia="zh-CN"/>
        </w:rPr>
        <w:t xml:space="preserve"> GV, Ramirez FC, Reveille RM, Goff JS, </w:t>
      </w:r>
      <w:proofErr w:type="spellStart"/>
      <w:r w:rsidRPr="00962DA9">
        <w:rPr>
          <w:rFonts w:ascii="Book Antiqua" w:eastAsia="宋体" w:hAnsi="Book Antiqua"/>
          <w:kern w:val="2"/>
          <w:lang w:eastAsia="zh-CN"/>
        </w:rPr>
        <w:t>Hepps</w:t>
      </w:r>
      <w:proofErr w:type="spellEnd"/>
      <w:r w:rsidRPr="00962DA9">
        <w:rPr>
          <w:rFonts w:ascii="Book Antiqua" w:eastAsia="宋体" w:hAnsi="Book Antiqua"/>
          <w:kern w:val="2"/>
          <w:lang w:eastAsia="zh-CN"/>
        </w:rPr>
        <w:t xml:space="preserve"> KS, Cole RA. Endoscopic variceal ligation is superior to combined ligation and sclerotherapy for esophageal varices: a multicenter prospective randomized trial.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25</w:t>
      </w:r>
      <w:r w:rsidRPr="00962DA9">
        <w:rPr>
          <w:rFonts w:ascii="Book Antiqua" w:eastAsia="宋体" w:hAnsi="Book Antiqua"/>
          <w:kern w:val="2"/>
          <w:lang w:eastAsia="zh-CN"/>
        </w:rPr>
        <w:t>: 71-74 [PMID: 8985267 DOI: 10.1002/hep.510250113]</w:t>
      </w:r>
    </w:p>
    <w:p w14:paraId="026D5DA2"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18 </w:t>
      </w:r>
      <w:r w:rsidRPr="00962DA9">
        <w:rPr>
          <w:rFonts w:ascii="Book Antiqua" w:eastAsia="宋体" w:hAnsi="Book Antiqua"/>
          <w:b/>
          <w:kern w:val="2"/>
          <w:lang w:eastAsia="zh-CN"/>
        </w:rPr>
        <w:t>Hou MC</w:t>
      </w:r>
      <w:r w:rsidRPr="00962DA9">
        <w:rPr>
          <w:rFonts w:ascii="Book Antiqua" w:eastAsia="宋体" w:hAnsi="Book Antiqua"/>
          <w:kern w:val="2"/>
          <w:lang w:eastAsia="zh-CN"/>
        </w:rPr>
        <w:t xml:space="preserve">, Lin HC, Lee FY, Chang FY, Lee SD. Recurrence of esophageal varices following endoscopic treatment and its impact on rebleeding: comparison of sclerotherapy and ligation.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2000; </w:t>
      </w:r>
      <w:r w:rsidRPr="00962DA9">
        <w:rPr>
          <w:rFonts w:ascii="Book Antiqua" w:eastAsia="宋体" w:hAnsi="Book Antiqua"/>
          <w:b/>
          <w:kern w:val="2"/>
          <w:lang w:eastAsia="zh-CN"/>
        </w:rPr>
        <w:t>32</w:t>
      </w:r>
      <w:r w:rsidRPr="00962DA9">
        <w:rPr>
          <w:rFonts w:ascii="Book Antiqua" w:eastAsia="宋体" w:hAnsi="Book Antiqua"/>
          <w:kern w:val="2"/>
          <w:lang w:eastAsia="zh-CN"/>
        </w:rPr>
        <w:t>: 202-208 [PMID: 10707859 DOI: 10.1016/s0168-8278(00)80064-1]</w:t>
      </w:r>
    </w:p>
    <w:p w14:paraId="38ADD22A"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19 </w:t>
      </w:r>
      <w:r w:rsidRPr="00962DA9">
        <w:rPr>
          <w:rFonts w:ascii="Book Antiqua" w:eastAsia="宋体" w:hAnsi="Book Antiqua"/>
          <w:b/>
          <w:kern w:val="2"/>
          <w:lang w:eastAsia="zh-CN"/>
        </w:rPr>
        <w:t>Lo GH</w:t>
      </w:r>
      <w:r w:rsidRPr="00962DA9">
        <w:rPr>
          <w:rFonts w:ascii="Book Antiqua" w:eastAsia="宋体" w:hAnsi="Book Antiqua"/>
          <w:kern w:val="2"/>
          <w:lang w:eastAsia="zh-CN"/>
        </w:rPr>
        <w:t xml:space="preserve">, Lai KH, Cheng JS, Lin CK, Huang JS, Hsu PI, Chiang HT. Emergency banding ligation versus sclerotherapy for the control of active bleeding from esophageal varices.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25</w:t>
      </w:r>
      <w:r w:rsidRPr="00962DA9">
        <w:rPr>
          <w:rFonts w:ascii="Book Antiqua" w:eastAsia="宋体" w:hAnsi="Book Antiqua"/>
          <w:kern w:val="2"/>
          <w:lang w:eastAsia="zh-CN"/>
        </w:rPr>
        <w:t>: 1101-1104 [PMID: 9141424 DOI: 10.1002/hep.510250509]</w:t>
      </w:r>
    </w:p>
    <w:p w14:paraId="7F646594"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20 </w:t>
      </w:r>
      <w:r w:rsidRPr="00962DA9">
        <w:rPr>
          <w:rFonts w:ascii="Book Antiqua" w:eastAsia="宋体" w:hAnsi="Book Antiqua"/>
          <w:b/>
          <w:kern w:val="2"/>
          <w:lang w:eastAsia="zh-CN"/>
        </w:rPr>
        <w:t>Villanueva C</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Piqueras</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Aracil</w:t>
      </w:r>
      <w:proofErr w:type="spellEnd"/>
      <w:r w:rsidRPr="00962DA9">
        <w:rPr>
          <w:rFonts w:ascii="Book Antiqua" w:eastAsia="宋体" w:hAnsi="Book Antiqua"/>
          <w:kern w:val="2"/>
          <w:lang w:eastAsia="zh-CN"/>
        </w:rPr>
        <w:t xml:space="preserve"> C, Gómez C, López-Balaguer JM, Gonzalez B, Gallego A, </w:t>
      </w:r>
      <w:proofErr w:type="spellStart"/>
      <w:r w:rsidRPr="00962DA9">
        <w:rPr>
          <w:rFonts w:ascii="Book Antiqua" w:eastAsia="宋体" w:hAnsi="Book Antiqua"/>
          <w:kern w:val="2"/>
          <w:lang w:eastAsia="zh-CN"/>
        </w:rPr>
        <w:t>Torras</w:t>
      </w:r>
      <w:proofErr w:type="spellEnd"/>
      <w:r w:rsidRPr="00962DA9">
        <w:rPr>
          <w:rFonts w:ascii="Book Antiqua" w:eastAsia="宋体" w:hAnsi="Book Antiqua"/>
          <w:kern w:val="2"/>
          <w:lang w:eastAsia="zh-CN"/>
        </w:rPr>
        <w:t xml:space="preserve"> X, Soriano G, </w:t>
      </w:r>
      <w:proofErr w:type="spellStart"/>
      <w:r w:rsidRPr="00962DA9">
        <w:rPr>
          <w:rFonts w:ascii="Book Antiqua" w:eastAsia="宋体" w:hAnsi="Book Antiqua"/>
          <w:kern w:val="2"/>
          <w:lang w:eastAsia="zh-CN"/>
        </w:rPr>
        <w:t>Sáinz</w:t>
      </w:r>
      <w:proofErr w:type="spellEnd"/>
      <w:r w:rsidRPr="00962DA9">
        <w:rPr>
          <w:rFonts w:ascii="Book Antiqua" w:eastAsia="宋体" w:hAnsi="Book Antiqua"/>
          <w:kern w:val="2"/>
          <w:lang w:eastAsia="zh-CN"/>
        </w:rPr>
        <w:t xml:space="preserve"> S, Benito S, </w:t>
      </w:r>
      <w:proofErr w:type="spellStart"/>
      <w:r w:rsidRPr="00962DA9">
        <w:rPr>
          <w:rFonts w:ascii="Book Antiqua" w:eastAsia="宋体" w:hAnsi="Book Antiqua"/>
          <w:kern w:val="2"/>
          <w:lang w:eastAsia="zh-CN"/>
        </w:rPr>
        <w:t>Balanzó</w:t>
      </w:r>
      <w:proofErr w:type="spellEnd"/>
      <w:r w:rsidRPr="00962DA9">
        <w:rPr>
          <w:rFonts w:ascii="Book Antiqua" w:eastAsia="宋体" w:hAnsi="Book Antiqua"/>
          <w:kern w:val="2"/>
          <w:lang w:eastAsia="zh-CN"/>
        </w:rPr>
        <w:t xml:space="preserve"> J. A randomized controlled trial comparing ligation and sclerotherapy as emergency endoscopic treatment added to somatostatin in acute variceal bleeding.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2006; </w:t>
      </w:r>
      <w:r w:rsidRPr="00962DA9">
        <w:rPr>
          <w:rFonts w:ascii="Book Antiqua" w:eastAsia="宋体" w:hAnsi="Book Antiqua"/>
          <w:b/>
          <w:kern w:val="2"/>
          <w:lang w:eastAsia="zh-CN"/>
        </w:rPr>
        <w:t>45</w:t>
      </w:r>
      <w:r w:rsidRPr="00962DA9">
        <w:rPr>
          <w:rFonts w:ascii="Book Antiqua" w:eastAsia="宋体" w:hAnsi="Book Antiqua"/>
          <w:kern w:val="2"/>
          <w:lang w:eastAsia="zh-CN"/>
        </w:rPr>
        <w:t>: 560-567 [PMID: 16904224 DOI: 10.1016/j.jhep.2006.05.016]</w:t>
      </w:r>
    </w:p>
    <w:p w14:paraId="4999EB2E"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21 </w:t>
      </w:r>
      <w:proofErr w:type="spellStart"/>
      <w:r w:rsidRPr="00962DA9">
        <w:rPr>
          <w:rFonts w:ascii="Book Antiqua" w:eastAsia="宋体" w:hAnsi="Book Antiqua"/>
          <w:b/>
          <w:kern w:val="2"/>
          <w:lang w:eastAsia="zh-CN"/>
        </w:rPr>
        <w:t>Stiegmann</w:t>
      </w:r>
      <w:proofErr w:type="spellEnd"/>
      <w:r w:rsidRPr="00962DA9">
        <w:rPr>
          <w:rFonts w:ascii="Book Antiqua" w:eastAsia="宋体" w:hAnsi="Book Antiqua"/>
          <w:b/>
          <w:kern w:val="2"/>
          <w:lang w:eastAsia="zh-CN"/>
        </w:rPr>
        <w:t xml:space="preserve"> GV</w:t>
      </w:r>
      <w:r w:rsidRPr="00962DA9">
        <w:rPr>
          <w:rFonts w:ascii="Book Antiqua" w:eastAsia="宋体" w:hAnsi="Book Antiqua"/>
          <w:kern w:val="2"/>
          <w:lang w:eastAsia="zh-CN"/>
        </w:rPr>
        <w:t xml:space="preserve">, Goff JS, </w:t>
      </w:r>
      <w:proofErr w:type="spellStart"/>
      <w:r w:rsidRPr="00962DA9">
        <w:rPr>
          <w:rFonts w:ascii="Book Antiqua" w:eastAsia="宋体" w:hAnsi="Book Antiqua"/>
          <w:kern w:val="2"/>
          <w:lang w:eastAsia="zh-CN"/>
        </w:rPr>
        <w:t>Michaletz-Onody</w:t>
      </w:r>
      <w:proofErr w:type="spellEnd"/>
      <w:r w:rsidRPr="00962DA9">
        <w:rPr>
          <w:rFonts w:ascii="Book Antiqua" w:eastAsia="宋体" w:hAnsi="Book Antiqua"/>
          <w:kern w:val="2"/>
          <w:lang w:eastAsia="zh-CN"/>
        </w:rPr>
        <w:t xml:space="preserve"> PA, </w:t>
      </w:r>
      <w:proofErr w:type="spellStart"/>
      <w:r w:rsidRPr="00962DA9">
        <w:rPr>
          <w:rFonts w:ascii="Book Antiqua" w:eastAsia="宋体" w:hAnsi="Book Antiqua"/>
          <w:kern w:val="2"/>
          <w:lang w:eastAsia="zh-CN"/>
        </w:rPr>
        <w:t>Korula</w:t>
      </w:r>
      <w:proofErr w:type="spellEnd"/>
      <w:r w:rsidRPr="00962DA9">
        <w:rPr>
          <w:rFonts w:ascii="Book Antiqua" w:eastAsia="宋体" w:hAnsi="Book Antiqua"/>
          <w:kern w:val="2"/>
          <w:lang w:eastAsia="zh-CN"/>
        </w:rPr>
        <w:t xml:space="preserve"> J, Lieberman D, Saeed ZA, Reveille RM, Sun JH, Lowenstein SR. Endoscopic sclerotherapy as compared with endoscopic ligation for bleeding esophageal varices. </w:t>
      </w:r>
      <w:r w:rsidRPr="00962DA9">
        <w:rPr>
          <w:rFonts w:ascii="Book Antiqua" w:eastAsia="宋体" w:hAnsi="Book Antiqua"/>
          <w:i/>
          <w:kern w:val="2"/>
          <w:lang w:eastAsia="zh-CN"/>
        </w:rPr>
        <w:t xml:space="preserve">N </w:t>
      </w:r>
      <w:proofErr w:type="spellStart"/>
      <w:r w:rsidRPr="00962DA9">
        <w:rPr>
          <w:rFonts w:ascii="Book Antiqua" w:eastAsia="宋体" w:hAnsi="Book Antiqua"/>
          <w:i/>
          <w:kern w:val="2"/>
          <w:lang w:eastAsia="zh-CN"/>
        </w:rPr>
        <w:t>Engl</w:t>
      </w:r>
      <w:proofErr w:type="spellEnd"/>
      <w:r w:rsidRPr="00962DA9">
        <w:rPr>
          <w:rFonts w:ascii="Book Antiqua" w:eastAsia="宋体" w:hAnsi="Book Antiqua"/>
          <w:i/>
          <w:kern w:val="2"/>
          <w:lang w:eastAsia="zh-CN"/>
        </w:rPr>
        <w:t xml:space="preserve"> J Med</w:t>
      </w:r>
      <w:r w:rsidRPr="00962DA9">
        <w:rPr>
          <w:rFonts w:ascii="Book Antiqua" w:eastAsia="宋体" w:hAnsi="Book Antiqua"/>
          <w:kern w:val="2"/>
          <w:lang w:eastAsia="zh-CN"/>
        </w:rPr>
        <w:t xml:space="preserve"> 1992; </w:t>
      </w:r>
      <w:r w:rsidRPr="00962DA9">
        <w:rPr>
          <w:rFonts w:ascii="Book Antiqua" w:eastAsia="宋体" w:hAnsi="Book Antiqua"/>
          <w:b/>
          <w:kern w:val="2"/>
          <w:lang w:eastAsia="zh-CN"/>
        </w:rPr>
        <w:t>326</w:t>
      </w:r>
      <w:r w:rsidRPr="00962DA9">
        <w:rPr>
          <w:rFonts w:ascii="Book Antiqua" w:eastAsia="宋体" w:hAnsi="Book Antiqua"/>
          <w:kern w:val="2"/>
          <w:lang w:eastAsia="zh-CN"/>
        </w:rPr>
        <w:t>: 1527-1532 [PMID: 1579136 DOI: 10.1056/NEJM199206043262304]</w:t>
      </w:r>
    </w:p>
    <w:p w14:paraId="30E02CD6"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22 </w:t>
      </w:r>
      <w:r w:rsidRPr="00962DA9">
        <w:rPr>
          <w:rFonts w:ascii="Book Antiqua" w:eastAsia="宋体" w:hAnsi="Book Antiqua"/>
          <w:b/>
          <w:kern w:val="2"/>
          <w:lang w:eastAsia="zh-CN"/>
        </w:rPr>
        <w:t>Laine L</w:t>
      </w:r>
      <w:r w:rsidRPr="00962DA9">
        <w:rPr>
          <w:rFonts w:ascii="Book Antiqua" w:eastAsia="宋体" w:hAnsi="Book Antiqua"/>
          <w:kern w:val="2"/>
          <w:lang w:eastAsia="zh-CN"/>
        </w:rPr>
        <w:t>, el-</w:t>
      </w:r>
      <w:proofErr w:type="spellStart"/>
      <w:r w:rsidRPr="00962DA9">
        <w:rPr>
          <w:rFonts w:ascii="Book Antiqua" w:eastAsia="宋体" w:hAnsi="Book Antiqua"/>
          <w:kern w:val="2"/>
          <w:lang w:eastAsia="zh-CN"/>
        </w:rPr>
        <w:t>Newihi</w:t>
      </w:r>
      <w:proofErr w:type="spellEnd"/>
      <w:r w:rsidRPr="00962DA9">
        <w:rPr>
          <w:rFonts w:ascii="Book Antiqua" w:eastAsia="宋体" w:hAnsi="Book Antiqua"/>
          <w:kern w:val="2"/>
          <w:lang w:eastAsia="zh-CN"/>
        </w:rPr>
        <w:t xml:space="preserve"> HM, </w:t>
      </w:r>
      <w:proofErr w:type="spellStart"/>
      <w:r w:rsidRPr="00962DA9">
        <w:rPr>
          <w:rFonts w:ascii="Book Antiqua" w:eastAsia="宋体" w:hAnsi="Book Antiqua"/>
          <w:kern w:val="2"/>
          <w:lang w:eastAsia="zh-CN"/>
        </w:rPr>
        <w:t>Migikovsky</w:t>
      </w:r>
      <w:proofErr w:type="spellEnd"/>
      <w:r w:rsidRPr="00962DA9">
        <w:rPr>
          <w:rFonts w:ascii="Book Antiqua" w:eastAsia="宋体" w:hAnsi="Book Antiqua"/>
          <w:kern w:val="2"/>
          <w:lang w:eastAsia="zh-CN"/>
        </w:rPr>
        <w:t xml:space="preserve"> B, Sloane R, Garcia F. Endoscopic ligation compared with sclerotherapy for the treatment of bleeding esophageal varices. </w:t>
      </w:r>
      <w:r w:rsidRPr="00962DA9">
        <w:rPr>
          <w:rFonts w:ascii="Book Antiqua" w:eastAsia="宋体" w:hAnsi="Book Antiqua"/>
          <w:i/>
          <w:kern w:val="2"/>
          <w:lang w:eastAsia="zh-CN"/>
        </w:rPr>
        <w:t>Ann Intern Med</w:t>
      </w:r>
      <w:r w:rsidRPr="00962DA9">
        <w:rPr>
          <w:rFonts w:ascii="Book Antiqua" w:eastAsia="宋体" w:hAnsi="Book Antiqua"/>
          <w:kern w:val="2"/>
          <w:lang w:eastAsia="zh-CN"/>
        </w:rPr>
        <w:t xml:space="preserve"> 1993; </w:t>
      </w:r>
      <w:r w:rsidRPr="00962DA9">
        <w:rPr>
          <w:rFonts w:ascii="Book Antiqua" w:eastAsia="宋体" w:hAnsi="Book Antiqua"/>
          <w:b/>
          <w:kern w:val="2"/>
          <w:lang w:eastAsia="zh-CN"/>
        </w:rPr>
        <w:t>119</w:t>
      </w:r>
      <w:r w:rsidRPr="00962DA9">
        <w:rPr>
          <w:rFonts w:ascii="Book Antiqua" w:eastAsia="宋体" w:hAnsi="Book Antiqua"/>
          <w:kern w:val="2"/>
          <w:lang w:eastAsia="zh-CN"/>
        </w:rPr>
        <w:t>: 1-7 [PMID: 8498757 DOI: 10.7326/0003-4819-119-1-199307010-00001]</w:t>
      </w:r>
    </w:p>
    <w:p w14:paraId="2324E184"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lastRenderedPageBreak/>
        <w:t xml:space="preserve">23 </w:t>
      </w:r>
      <w:proofErr w:type="spellStart"/>
      <w:r w:rsidRPr="00962DA9">
        <w:rPr>
          <w:rFonts w:ascii="Book Antiqua" w:eastAsia="宋体" w:hAnsi="Book Antiqua"/>
          <w:b/>
          <w:kern w:val="2"/>
          <w:lang w:eastAsia="zh-CN"/>
        </w:rPr>
        <w:t>Gimson</w:t>
      </w:r>
      <w:proofErr w:type="spellEnd"/>
      <w:r w:rsidRPr="00962DA9">
        <w:rPr>
          <w:rFonts w:ascii="Book Antiqua" w:eastAsia="宋体" w:hAnsi="Book Antiqua"/>
          <w:b/>
          <w:kern w:val="2"/>
          <w:lang w:eastAsia="zh-CN"/>
        </w:rPr>
        <w:t xml:space="preserve"> AE</w:t>
      </w:r>
      <w:r w:rsidRPr="00962DA9">
        <w:rPr>
          <w:rFonts w:ascii="Book Antiqua" w:eastAsia="宋体" w:hAnsi="Book Antiqua"/>
          <w:kern w:val="2"/>
          <w:lang w:eastAsia="zh-CN"/>
        </w:rPr>
        <w:t xml:space="preserve">, Ramage JK, </w:t>
      </w:r>
      <w:proofErr w:type="spellStart"/>
      <w:r w:rsidRPr="00962DA9">
        <w:rPr>
          <w:rFonts w:ascii="Book Antiqua" w:eastAsia="宋体" w:hAnsi="Book Antiqua"/>
          <w:kern w:val="2"/>
          <w:lang w:eastAsia="zh-CN"/>
        </w:rPr>
        <w:t>Panos</w:t>
      </w:r>
      <w:proofErr w:type="spellEnd"/>
      <w:r w:rsidRPr="00962DA9">
        <w:rPr>
          <w:rFonts w:ascii="Book Antiqua" w:eastAsia="宋体" w:hAnsi="Book Antiqua"/>
          <w:kern w:val="2"/>
          <w:lang w:eastAsia="zh-CN"/>
        </w:rPr>
        <w:t xml:space="preserve"> MZ, </w:t>
      </w:r>
      <w:proofErr w:type="spellStart"/>
      <w:r w:rsidRPr="00962DA9">
        <w:rPr>
          <w:rFonts w:ascii="Book Antiqua" w:eastAsia="宋体" w:hAnsi="Book Antiqua"/>
          <w:kern w:val="2"/>
          <w:lang w:eastAsia="zh-CN"/>
        </w:rPr>
        <w:t>Hayllar</w:t>
      </w:r>
      <w:proofErr w:type="spellEnd"/>
      <w:r w:rsidRPr="00962DA9">
        <w:rPr>
          <w:rFonts w:ascii="Book Antiqua" w:eastAsia="宋体" w:hAnsi="Book Antiqua"/>
          <w:kern w:val="2"/>
          <w:lang w:eastAsia="zh-CN"/>
        </w:rPr>
        <w:t xml:space="preserve"> K, Harrison PM, Williams R, </w:t>
      </w:r>
      <w:proofErr w:type="spellStart"/>
      <w:r w:rsidRPr="00962DA9">
        <w:rPr>
          <w:rFonts w:ascii="Book Antiqua" w:eastAsia="宋体" w:hAnsi="Book Antiqua"/>
          <w:kern w:val="2"/>
          <w:lang w:eastAsia="zh-CN"/>
        </w:rPr>
        <w:t>Westaby</w:t>
      </w:r>
      <w:proofErr w:type="spellEnd"/>
      <w:r w:rsidRPr="00962DA9">
        <w:rPr>
          <w:rFonts w:ascii="Book Antiqua" w:eastAsia="宋体" w:hAnsi="Book Antiqua"/>
          <w:kern w:val="2"/>
          <w:lang w:eastAsia="zh-CN"/>
        </w:rPr>
        <w:t xml:space="preserve"> D. </w:t>
      </w:r>
      <w:proofErr w:type="spellStart"/>
      <w:r w:rsidRPr="00962DA9">
        <w:rPr>
          <w:rFonts w:ascii="Book Antiqua" w:eastAsia="宋体" w:hAnsi="Book Antiqua"/>
          <w:kern w:val="2"/>
          <w:lang w:eastAsia="zh-CN"/>
        </w:rPr>
        <w:t>Randomised</w:t>
      </w:r>
      <w:proofErr w:type="spellEnd"/>
      <w:r w:rsidRPr="00962DA9">
        <w:rPr>
          <w:rFonts w:ascii="Book Antiqua" w:eastAsia="宋体" w:hAnsi="Book Antiqua"/>
          <w:kern w:val="2"/>
          <w:lang w:eastAsia="zh-CN"/>
        </w:rPr>
        <w:t xml:space="preserve"> trial of variceal banding ligation versus injection sclerotherapy for bleeding </w:t>
      </w:r>
      <w:proofErr w:type="spellStart"/>
      <w:r w:rsidRPr="00962DA9">
        <w:rPr>
          <w:rFonts w:ascii="Book Antiqua" w:eastAsia="宋体" w:hAnsi="Book Antiqua"/>
          <w:kern w:val="2"/>
          <w:lang w:eastAsia="zh-CN"/>
        </w:rPr>
        <w:t>oesophageal</w:t>
      </w:r>
      <w:proofErr w:type="spellEnd"/>
      <w:r w:rsidRPr="00962DA9">
        <w:rPr>
          <w:rFonts w:ascii="Book Antiqua" w:eastAsia="宋体" w:hAnsi="Book Antiqua"/>
          <w:kern w:val="2"/>
          <w:lang w:eastAsia="zh-CN"/>
        </w:rPr>
        <w:t xml:space="preserve"> varices. </w:t>
      </w:r>
      <w:r w:rsidRPr="00962DA9">
        <w:rPr>
          <w:rFonts w:ascii="Book Antiqua" w:eastAsia="宋体" w:hAnsi="Book Antiqua"/>
          <w:i/>
          <w:kern w:val="2"/>
          <w:lang w:eastAsia="zh-CN"/>
        </w:rPr>
        <w:t>Lancet</w:t>
      </w:r>
      <w:r w:rsidRPr="00962DA9">
        <w:rPr>
          <w:rFonts w:ascii="Book Antiqua" w:eastAsia="宋体" w:hAnsi="Book Antiqua"/>
          <w:kern w:val="2"/>
          <w:lang w:eastAsia="zh-CN"/>
        </w:rPr>
        <w:t xml:space="preserve"> 1993; </w:t>
      </w:r>
      <w:r w:rsidRPr="00962DA9">
        <w:rPr>
          <w:rFonts w:ascii="Book Antiqua" w:eastAsia="宋体" w:hAnsi="Book Antiqua"/>
          <w:b/>
          <w:kern w:val="2"/>
          <w:lang w:eastAsia="zh-CN"/>
        </w:rPr>
        <w:t>342</w:t>
      </w:r>
      <w:r w:rsidRPr="00962DA9">
        <w:rPr>
          <w:rFonts w:ascii="Book Antiqua" w:eastAsia="宋体" w:hAnsi="Book Antiqua"/>
          <w:kern w:val="2"/>
          <w:lang w:eastAsia="zh-CN"/>
        </w:rPr>
        <w:t>: 391-394 [PMID: 8101900 DOI: 10.1016/0140-6736(93)92812-8]</w:t>
      </w:r>
    </w:p>
    <w:p w14:paraId="58EC3B46"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24 </w:t>
      </w:r>
      <w:r w:rsidRPr="00962DA9">
        <w:rPr>
          <w:rFonts w:ascii="Book Antiqua" w:eastAsia="宋体" w:hAnsi="Book Antiqua"/>
          <w:b/>
          <w:kern w:val="2"/>
          <w:lang w:eastAsia="zh-CN"/>
        </w:rPr>
        <w:t>Lo GH</w:t>
      </w:r>
      <w:r w:rsidRPr="00962DA9">
        <w:rPr>
          <w:rFonts w:ascii="Book Antiqua" w:eastAsia="宋体" w:hAnsi="Book Antiqua"/>
          <w:kern w:val="2"/>
          <w:lang w:eastAsia="zh-CN"/>
        </w:rPr>
        <w:t xml:space="preserve">, Lai KH, Cheng JS, </w:t>
      </w:r>
      <w:proofErr w:type="spellStart"/>
      <w:r w:rsidRPr="00962DA9">
        <w:rPr>
          <w:rFonts w:ascii="Book Antiqua" w:eastAsia="宋体" w:hAnsi="Book Antiqua"/>
          <w:kern w:val="2"/>
          <w:lang w:eastAsia="zh-CN"/>
        </w:rPr>
        <w:t>Hwu</w:t>
      </w:r>
      <w:proofErr w:type="spellEnd"/>
      <w:r w:rsidRPr="00962DA9">
        <w:rPr>
          <w:rFonts w:ascii="Book Antiqua" w:eastAsia="宋体" w:hAnsi="Book Antiqua"/>
          <w:kern w:val="2"/>
          <w:lang w:eastAsia="zh-CN"/>
        </w:rPr>
        <w:t xml:space="preserve"> JH, Chang CF, Chen SM, Chiang HT. A prospective, randomized trial of sclerotherapy versus ligation in the management of bleeding esophageal varices.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1995; </w:t>
      </w:r>
      <w:r w:rsidRPr="00962DA9">
        <w:rPr>
          <w:rFonts w:ascii="Book Antiqua" w:eastAsia="宋体" w:hAnsi="Book Antiqua"/>
          <w:b/>
          <w:kern w:val="2"/>
          <w:lang w:eastAsia="zh-CN"/>
        </w:rPr>
        <w:t>22</w:t>
      </w:r>
      <w:r w:rsidRPr="00962DA9">
        <w:rPr>
          <w:rFonts w:ascii="Book Antiqua" w:eastAsia="宋体" w:hAnsi="Book Antiqua"/>
          <w:kern w:val="2"/>
          <w:lang w:eastAsia="zh-CN"/>
        </w:rPr>
        <w:t>: 466-471 [</w:t>
      </w:r>
      <w:bookmarkStart w:id="10" w:name="OLE_LINK9"/>
      <w:bookmarkStart w:id="11" w:name="OLE_LINK10"/>
      <w:r w:rsidRPr="00962DA9">
        <w:rPr>
          <w:rFonts w:ascii="Book Antiqua" w:eastAsia="宋体" w:hAnsi="Book Antiqua"/>
          <w:kern w:val="2"/>
          <w:lang w:eastAsia="zh-CN"/>
        </w:rPr>
        <w:t>PMID: 7635414</w:t>
      </w:r>
      <w:bookmarkEnd w:id="10"/>
      <w:bookmarkEnd w:id="11"/>
      <w:r w:rsidRPr="00962DA9">
        <w:rPr>
          <w:rFonts w:ascii="Book Antiqua" w:eastAsia="宋体" w:hAnsi="Book Antiqua"/>
          <w:kern w:val="2"/>
          <w:lang w:eastAsia="zh-CN"/>
        </w:rPr>
        <w:t>]</w:t>
      </w:r>
    </w:p>
    <w:p w14:paraId="79AAE0B7"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25 </w:t>
      </w:r>
      <w:r w:rsidRPr="00962DA9">
        <w:rPr>
          <w:rFonts w:ascii="Book Antiqua" w:eastAsia="宋体" w:hAnsi="Book Antiqua"/>
          <w:b/>
          <w:kern w:val="2"/>
          <w:lang w:eastAsia="zh-CN"/>
        </w:rPr>
        <w:t>Hou MC</w:t>
      </w:r>
      <w:r w:rsidRPr="00962DA9">
        <w:rPr>
          <w:rFonts w:ascii="Book Antiqua" w:eastAsia="宋体" w:hAnsi="Book Antiqua"/>
          <w:kern w:val="2"/>
          <w:lang w:eastAsia="zh-CN"/>
        </w:rPr>
        <w:t xml:space="preserve">, Lin HC, </w:t>
      </w:r>
      <w:proofErr w:type="spellStart"/>
      <w:r w:rsidRPr="00962DA9">
        <w:rPr>
          <w:rFonts w:ascii="Book Antiqua" w:eastAsia="宋体" w:hAnsi="Book Antiqua"/>
          <w:kern w:val="2"/>
          <w:lang w:eastAsia="zh-CN"/>
        </w:rPr>
        <w:t>Kuo</w:t>
      </w:r>
      <w:proofErr w:type="spellEnd"/>
      <w:r w:rsidRPr="00962DA9">
        <w:rPr>
          <w:rFonts w:ascii="Book Antiqua" w:eastAsia="宋体" w:hAnsi="Book Antiqua"/>
          <w:kern w:val="2"/>
          <w:lang w:eastAsia="zh-CN"/>
        </w:rPr>
        <w:t xml:space="preserve"> BI, Chen CH, Lee FY, Lee SD. Comparison of endoscopic variceal injection sclerotherapy and ligation for the treatment of esophageal variceal hemorrhage: a prospective randomized trial.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1995; </w:t>
      </w:r>
      <w:r w:rsidRPr="00962DA9">
        <w:rPr>
          <w:rFonts w:ascii="Book Antiqua" w:eastAsia="宋体" w:hAnsi="Book Antiqua"/>
          <w:b/>
          <w:kern w:val="2"/>
          <w:lang w:eastAsia="zh-CN"/>
        </w:rPr>
        <w:t>21</w:t>
      </w:r>
      <w:r w:rsidRPr="00962DA9">
        <w:rPr>
          <w:rFonts w:ascii="Book Antiqua" w:eastAsia="宋体" w:hAnsi="Book Antiqua"/>
          <w:kern w:val="2"/>
          <w:lang w:eastAsia="zh-CN"/>
        </w:rPr>
        <w:t>: 1517-1522 [</w:t>
      </w:r>
      <w:bookmarkStart w:id="12" w:name="OLE_LINK11"/>
      <w:bookmarkStart w:id="13" w:name="OLE_LINK15"/>
      <w:r w:rsidRPr="00962DA9">
        <w:rPr>
          <w:rFonts w:ascii="Book Antiqua" w:eastAsia="宋体" w:hAnsi="Book Antiqua"/>
          <w:kern w:val="2"/>
          <w:lang w:eastAsia="zh-CN"/>
        </w:rPr>
        <w:t>PMID: 7768494</w:t>
      </w:r>
      <w:bookmarkEnd w:id="12"/>
      <w:bookmarkEnd w:id="13"/>
      <w:r w:rsidRPr="00962DA9">
        <w:rPr>
          <w:rFonts w:ascii="Book Antiqua" w:eastAsia="宋体" w:hAnsi="Book Antiqua"/>
          <w:kern w:val="2"/>
          <w:lang w:eastAsia="zh-CN"/>
        </w:rPr>
        <w:t>]</w:t>
      </w:r>
    </w:p>
    <w:p w14:paraId="2B7BC916"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26 </w:t>
      </w:r>
      <w:r w:rsidRPr="00962DA9">
        <w:rPr>
          <w:rFonts w:ascii="Book Antiqua" w:eastAsia="宋体" w:hAnsi="Book Antiqua"/>
          <w:b/>
          <w:kern w:val="2"/>
          <w:lang w:eastAsia="zh-CN"/>
        </w:rPr>
        <w:t>Sarin SK</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Govil</w:t>
      </w:r>
      <w:proofErr w:type="spellEnd"/>
      <w:r w:rsidRPr="00962DA9">
        <w:rPr>
          <w:rFonts w:ascii="Book Antiqua" w:eastAsia="宋体" w:hAnsi="Book Antiqua"/>
          <w:kern w:val="2"/>
          <w:lang w:eastAsia="zh-CN"/>
        </w:rPr>
        <w:t xml:space="preserve"> A, Jain AK, </w:t>
      </w:r>
      <w:proofErr w:type="spellStart"/>
      <w:r w:rsidRPr="00962DA9">
        <w:rPr>
          <w:rFonts w:ascii="Book Antiqua" w:eastAsia="宋体" w:hAnsi="Book Antiqua"/>
          <w:kern w:val="2"/>
          <w:lang w:eastAsia="zh-CN"/>
        </w:rPr>
        <w:t>Guptan</w:t>
      </w:r>
      <w:proofErr w:type="spellEnd"/>
      <w:r w:rsidRPr="00962DA9">
        <w:rPr>
          <w:rFonts w:ascii="Book Antiqua" w:eastAsia="宋体" w:hAnsi="Book Antiqua"/>
          <w:kern w:val="2"/>
          <w:lang w:eastAsia="zh-CN"/>
        </w:rPr>
        <w:t xml:space="preserve"> RC, Issar SK, Jain M, Murthy NS. Prospective randomized trial of endoscopic sclerotherapy versus variceal band ligation for esophageal varices: influence on gastropathy, gastric varices and variceal recurrence.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26</w:t>
      </w:r>
      <w:r w:rsidRPr="00962DA9">
        <w:rPr>
          <w:rFonts w:ascii="Book Antiqua" w:eastAsia="宋体" w:hAnsi="Book Antiqua"/>
          <w:kern w:val="2"/>
          <w:lang w:eastAsia="zh-CN"/>
        </w:rPr>
        <w:t>: 826-832 [PMID: 9126795 DOI: 10.1016/s0168-8278(97)80248-6]</w:t>
      </w:r>
    </w:p>
    <w:p w14:paraId="46DE2D87"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27 </w:t>
      </w:r>
      <w:proofErr w:type="spellStart"/>
      <w:r w:rsidRPr="00962DA9">
        <w:rPr>
          <w:rFonts w:ascii="Book Antiqua" w:eastAsia="宋体" w:hAnsi="Book Antiqua"/>
          <w:b/>
          <w:kern w:val="2"/>
          <w:lang w:eastAsia="zh-CN"/>
        </w:rPr>
        <w:t>Baroncini</w:t>
      </w:r>
      <w:proofErr w:type="spellEnd"/>
      <w:r w:rsidRPr="00962DA9">
        <w:rPr>
          <w:rFonts w:ascii="Book Antiqua" w:eastAsia="宋体" w:hAnsi="Book Antiqua"/>
          <w:b/>
          <w:kern w:val="2"/>
          <w:lang w:eastAsia="zh-CN"/>
        </w:rPr>
        <w:t xml:space="preserve"> D</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Milandri</w:t>
      </w:r>
      <w:proofErr w:type="spellEnd"/>
      <w:r w:rsidRPr="00962DA9">
        <w:rPr>
          <w:rFonts w:ascii="Book Antiqua" w:eastAsia="宋体" w:hAnsi="Book Antiqua"/>
          <w:kern w:val="2"/>
          <w:lang w:eastAsia="zh-CN"/>
        </w:rPr>
        <w:t xml:space="preserve"> GL, </w:t>
      </w:r>
      <w:proofErr w:type="spellStart"/>
      <w:r w:rsidRPr="00962DA9">
        <w:rPr>
          <w:rFonts w:ascii="Book Antiqua" w:eastAsia="宋体" w:hAnsi="Book Antiqua"/>
          <w:kern w:val="2"/>
          <w:lang w:eastAsia="zh-CN"/>
        </w:rPr>
        <w:t>Borioni</w:t>
      </w:r>
      <w:proofErr w:type="spellEnd"/>
      <w:r w:rsidRPr="00962DA9">
        <w:rPr>
          <w:rFonts w:ascii="Book Antiqua" w:eastAsia="宋体" w:hAnsi="Book Antiqua"/>
          <w:kern w:val="2"/>
          <w:lang w:eastAsia="zh-CN"/>
        </w:rPr>
        <w:t xml:space="preserve"> D, </w:t>
      </w:r>
      <w:proofErr w:type="spellStart"/>
      <w:r w:rsidRPr="00962DA9">
        <w:rPr>
          <w:rFonts w:ascii="Book Antiqua" w:eastAsia="宋体" w:hAnsi="Book Antiqua"/>
          <w:kern w:val="2"/>
          <w:lang w:eastAsia="zh-CN"/>
        </w:rPr>
        <w:t>Piemontese</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Cennamo</w:t>
      </w:r>
      <w:proofErr w:type="spellEnd"/>
      <w:r w:rsidRPr="00962DA9">
        <w:rPr>
          <w:rFonts w:ascii="Book Antiqua" w:eastAsia="宋体" w:hAnsi="Book Antiqua"/>
          <w:kern w:val="2"/>
          <w:lang w:eastAsia="zh-CN"/>
        </w:rPr>
        <w:t xml:space="preserve"> V, Billi P, Dal Monte PP, </w:t>
      </w:r>
      <w:proofErr w:type="spellStart"/>
      <w:r w:rsidRPr="00962DA9">
        <w:rPr>
          <w:rFonts w:ascii="Book Antiqua" w:eastAsia="宋体" w:hAnsi="Book Antiqua"/>
          <w:kern w:val="2"/>
          <w:lang w:eastAsia="zh-CN"/>
        </w:rPr>
        <w:t>D'Imperio</w:t>
      </w:r>
      <w:proofErr w:type="spellEnd"/>
      <w:r w:rsidRPr="00962DA9">
        <w:rPr>
          <w:rFonts w:ascii="Book Antiqua" w:eastAsia="宋体" w:hAnsi="Book Antiqua"/>
          <w:kern w:val="2"/>
          <w:lang w:eastAsia="zh-CN"/>
        </w:rPr>
        <w:t xml:space="preserve"> N. A prospective randomized trial of sclerotherapy versus ligation in the elective treatment of bleeding esophageal varices. </w:t>
      </w:r>
      <w:r w:rsidRPr="00962DA9">
        <w:rPr>
          <w:rFonts w:ascii="Book Antiqua" w:eastAsia="宋体" w:hAnsi="Book Antiqua"/>
          <w:i/>
          <w:kern w:val="2"/>
          <w:lang w:eastAsia="zh-CN"/>
        </w:rPr>
        <w:t>Endoscopy</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29</w:t>
      </w:r>
      <w:r w:rsidRPr="00962DA9">
        <w:rPr>
          <w:rFonts w:ascii="Book Antiqua" w:eastAsia="宋体" w:hAnsi="Book Antiqua"/>
          <w:kern w:val="2"/>
          <w:lang w:eastAsia="zh-CN"/>
        </w:rPr>
        <w:t>: 235-240 [PMID: 9255524 DOI: 10.1055/s-2007-1004182]</w:t>
      </w:r>
    </w:p>
    <w:p w14:paraId="54857A65"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28 </w:t>
      </w:r>
      <w:r w:rsidRPr="00962DA9">
        <w:rPr>
          <w:rFonts w:ascii="Book Antiqua" w:eastAsia="宋体" w:hAnsi="Book Antiqua"/>
          <w:b/>
          <w:kern w:val="2"/>
          <w:lang w:eastAsia="zh-CN"/>
        </w:rPr>
        <w:t>Avgerinos A</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Armonis</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Manolakopoulos</w:t>
      </w:r>
      <w:proofErr w:type="spellEnd"/>
      <w:r w:rsidRPr="00962DA9">
        <w:rPr>
          <w:rFonts w:ascii="Book Antiqua" w:eastAsia="宋体" w:hAnsi="Book Antiqua"/>
          <w:kern w:val="2"/>
          <w:lang w:eastAsia="zh-CN"/>
        </w:rPr>
        <w:t xml:space="preserve"> S, </w:t>
      </w:r>
      <w:proofErr w:type="spellStart"/>
      <w:r w:rsidRPr="00962DA9">
        <w:rPr>
          <w:rFonts w:ascii="Book Antiqua" w:eastAsia="宋体" w:hAnsi="Book Antiqua"/>
          <w:kern w:val="2"/>
          <w:lang w:eastAsia="zh-CN"/>
        </w:rPr>
        <w:t>Poulianos</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Rekoumis</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Sgourou</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Gouma</w:t>
      </w:r>
      <w:proofErr w:type="spellEnd"/>
      <w:r w:rsidRPr="00962DA9">
        <w:rPr>
          <w:rFonts w:ascii="Book Antiqua" w:eastAsia="宋体" w:hAnsi="Book Antiqua"/>
          <w:kern w:val="2"/>
          <w:lang w:eastAsia="zh-CN"/>
        </w:rPr>
        <w:t xml:space="preserve"> P, </w:t>
      </w:r>
      <w:proofErr w:type="spellStart"/>
      <w:r w:rsidRPr="00962DA9">
        <w:rPr>
          <w:rFonts w:ascii="Book Antiqua" w:eastAsia="宋体" w:hAnsi="Book Antiqua"/>
          <w:kern w:val="2"/>
          <w:lang w:eastAsia="zh-CN"/>
        </w:rPr>
        <w:t>Raptis</w:t>
      </w:r>
      <w:proofErr w:type="spellEnd"/>
      <w:r w:rsidRPr="00962DA9">
        <w:rPr>
          <w:rFonts w:ascii="Book Antiqua" w:eastAsia="宋体" w:hAnsi="Book Antiqua"/>
          <w:kern w:val="2"/>
          <w:lang w:eastAsia="zh-CN"/>
        </w:rPr>
        <w:t xml:space="preserve"> S. Endoscopic sclerotherapy versus variceal ligation in the long-term management of patients with cirrhosis after variceal bleeding. A prospective randomized study.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26</w:t>
      </w:r>
      <w:r w:rsidRPr="00962DA9">
        <w:rPr>
          <w:rFonts w:ascii="Book Antiqua" w:eastAsia="宋体" w:hAnsi="Book Antiqua"/>
          <w:kern w:val="2"/>
          <w:lang w:eastAsia="zh-CN"/>
        </w:rPr>
        <w:t>: 1034-1041 [PMID: 9186834 DOI: 10.1016/s0168-8278(97)80112-2]</w:t>
      </w:r>
    </w:p>
    <w:p w14:paraId="1FB5532E"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29 </w:t>
      </w:r>
      <w:r w:rsidRPr="00962DA9">
        <w:rPr>
          <w:rFonts w:ascii="Book Antiqua" w:eastAsia="宋体" w:hAnsi="Book Antiqua"/>
          <w:b/>
          <w:kern w:val="2"/>
          <w:lang w:eastAsia="zh-CN"/>
        </w:rPr>
        <w:t>Siqueira ES</w:t>
      </w:r>
      <w:r w:rsidRPr="00962DA9">
        <w:rPr>
          <w:rFonts w:ascii="Book Antiqua" w:eastAsia="宋体" w:hAnsi="Book Antiqua"/>
          <w:kern w:val="2"/>
          <w:lang w:eastAsia="zh-CN"/>
        </w:rPr>
        <w:t xml:space="preserve">, Rohr MR, Libera ED, Castro RR, Ferrari AP. Band ligation or sclerotherapy as endoscopic treatment for </w:t>
      </w:r>
      <w:proofErr w:type="spellStart"/>
      <w:r w:rsidRPr="00962DA9">
        <w:rPr>
          <w:rFonts w:ascii="Book Antiqua" w:eastAsia="宋体" w:hAnsi="Book Antiqua"/>
          <w:kern w:val="2"/>
          <w:lang w:eastAsia="zh-CN"/>
        </w:rPr>
        <w:t>oesophageal</w:t>
      </w:r>
      <w:proofErr w:type="spellEnd"/>
      <w:r w:rsidRPr="00962DA9">
        <w:rPr>
          <w:rFonts w:ascii="Book Antiqua" w:eastAsia="宋体" w:hAnsi="Book Antiqua"/>
          <w:kern w:val="2"/>
          <w:lang w:eastAsia="zh-CN"/>
        </w:rPr>
        <w:t xml:space="preserve"> varices in </w:t>
      </w:r>
      <w:proofErr w:type="spellStart"/>
      <w:r w:rsidRPr="00962DA9">
        <w:rPr>
          <w:rFonts w:ascii="Book Antiqua" w:eastAsia="宋体" w:hAnsi="Book Antiqua"/>
          <w:kern w:val="2"/>
          <w:lang w:eastAsia="zh-CN"/>
        </w:rPr>
        <w:t>schistosomotic</w:t>
      </w:r>
      <w:proofErr w:type="spellEnd"/>
      <w:r w:rsidRPr="00962DA9">
        <w:rPr>
          <w:rFonts w:ascii="Book Antiqua" w:eastAsia="宋体" w:hAnsi="Book Antiqua"/>
          <w:kern w:val="2"/>
          <w:lang w:eastAsia="zh-CN"/>
        </w:rPr>
        <w:t xml:space="preserve"> patients: results of a randomized study. </w:t>
      </w:r>
      <w:r w:rsidRPr="00962DA9">
        <w:rPr>
          <w:rFonts w:ascii="Book Antiqua" w:eastAsia="宋体" w:hAnsi="Book Antiqua"/>
          <w:i/>
          <w:kern w:val="2"/>
          <w:lang w:eastAsia="zh-CN"/>
        </w:rPr>
        <w:t>HPB Surg</w:t>
      </w:r>
      <w:r w:rsidRPr="00962DA9">
        <w:rPr>
          <w:rFonts w:ascii="Book Antiqua" w:eastAsia="宋体" w:hAnsi="Book Antiqua"/>
          <w:kern w:val="2"/>
          <w:lang w:eastAsia="zh-CN"/>
        </w:rPr>
        <w:t xml:space="preserve"> 1998; </w:t>
      </w:r>
      <w:r w:rsidRPr="00962DA9">
        <w:rPr>
          <w:rFonts w:ascii="Book Antiqua" w:eastAsia="宋体" w:hAnsi="Book Antiqua"/>
          <w:b/>
          <w:kern w:val="2"/>
          <w:lang w:eastAsia="zh-CN"/>
        </w:rPr>
        <w:t>11</w:t>
      </w:r>
      <w:r w:rsidRPr="00962DA9">
        <w:rPr>
          <w:rFonts w:ascii="Book Antiqua" w:eastAsia="宋体" w:hAnsi="Book Antiqua"/>
          <w:kern w:val="2"/>
          <w:lang w:eastAsia="zh-CN"/>
        </w:rPr>
        <w:t>: 27-32 [PMID: 9830578 DOI: 10.1155/1998/68394]</w:t>
      </w:r>
    </w:p>
    <w:p w14:paraId="0A44C110"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30 </w:t>
      </w:r>
      <w:r w:rsidRPr="00962DA9">
        <w:rPr>
          <w:rFonts w:ascii="Book Antiqua" w:eastAsia="宋体" w:hAnsi="Book Antiqua"/>
          <w:b/>
          <w:kern w:val="2"/>
          <w:lang w:eastAsia="zh-CN"/>
        </w:rPr>
        <w:t>de la Peña J</w:t>
      </w:r>
      <w:r w:rsidRPr="00962DA9">
        <w:rPr>
          <w:rFonts w:ascii="Book Antiqua" w:eastAsia="宋体" w:hAnsi="Book Antiqua"/>
          <w:kern w:val="2"/>
          <w:lang w:eastAsia="zh-CN"/>
        </w:rPr>
        <w:t xml:space="preserve">, Rivero M, Sanchez E, </w:t>
      </w:r>
      <w:proofErr w:type="spellStart"/>
      <w:r w:rsidRPr="00962DA9">
        <w:rPr>
          <w:rFonts w:ascii="Book Antiqua" w:eastAsia="宋体" w:hAnsi="Book Antiqua"/>
          <w:kern w:val="2"/>
          <w:lang w:eastAsia="zh-CN"/>
        </w:rPr>
        <w:t>Fábrega</w:t>
      </w:r>
      <w:proofErr w:type="spellEnd"/>
      <w:r w:rsidRPr="00962DA9">
        <w:rPr>
          <w:rFonts w:ascii="Book Antiqua" w:eastAsia="宋体" w:hAnsi="Book Antiqua"/>
          <w:kern w:val="2"/>
          <w:lang w:eastAsia="zh-CN"/>
        </w:rPr>
        <w:t xml:space="preserve"> E, Crespo J, Pons-Romero F. </w:t>
      </w:r>
      <w:r w:rsidRPr="00962DA9">
        <w:rPr>
          <w:rFonts w:ascii="Book Antiqua" w:eastAsia="宋体" w:hAnsi="Book Antiqua"/>
          <w:kern w:val="2"/>
          <w:lang w:eastAsia="zh-CN"/>
        </w:rPr>
        <w:lastRenderedPageBreak/>
        <w:t xml:space="preserve">Variceal ligation compared with endoscopic sclerotherapy for variceal hemorrhage: prospective randomized trial. </w:t>
      </w:r>
      <w:proofErr w:type="spellStart"/>
      <w:r w:rsidRPr="00962DA9">
        <w:rPr>
          <w:rFonts w:ascii="Book Antiqua" w:eastAsia="宋体" w:hAnsi="Book Antiqua"/>
          <w:i/>
          <w:kern w:val="2"/>
          <w:lang w:eastAsia="zh-CN"/>
        </w:rPr>
        <w:t>Gastrointest</w:t>
      </w:r>
      <w:proofErr w:type="spellEnd"/>
      <w:r w:rsidRPr="00962DA9">
        <w:rPr>
          <w:rFonts w:ascii="Book Antiqua" w:eastAsia="宋体" w:hAnsi="Book Antiqua"/>
          <w:i/>
          <w:kern w:val="2"/>
          <w:lang w:eastAsia="zh-CN"/>
        </w:rPr>
        <w:t xml:space="preserve"> </w:t>
      </w:r>
      <w:proofErr w:type="spellStart"/>
      <w:r w:rsidRPr="00962DA9">
        <w:rPr>
          <w:rFonts w:ascii="Book Antiqua" w:eastAsia="宋体" w:hAnsi="Book Antiqua"/>
          <w:i/>
          <w:kern w:val="2"/>
          <w:lang w:eastAsia="zh-CN"/>
        </w:rPr>
        <w:t>Endosc</w:t>
      </w:r>
      <w:proofErr w:type="spellEnd"/>
      <w:r w:rsidRPr="00962DA9">
        <w:rPr>
          <w:rFonts w:ascii="Book Antiqua" w:eastAsia="宋体" w:hAnsi="Book Antiqua"/>
          <w:kern w:val="2"/>
          <w:lang w:eastAsia="zh-CN"/>
        </w:rPr>
        <w:t xml:space="preserve"> 1999; </w:t>
      </w:r>
      <w:r w:rsidRPr="00962DA9">
        <w:rPr>
          <w:rFonts w:ascii="Book Antiqua" w:eastAsia="宋体" w:hAnsi="Book Antiqua"/>
          <w:b/>
          <w:kern w:val="2"/>
          <w:lang w:eastAsia="zh-CN"/>
        </w:rPr>
        <w:t>49</w:t>
      </w:r>
      <w:r w:rsidRPr="00962DA9">
        <w:rPr>
          <w:rFonts w:ascii="Book Antiqua" w:eastAsia="宋体" w:hAnsi="Book Antiqua"/>
          <w:kern w:val="2"/>
          <w:lang w:eastAsia="zh-CN"/>
        </w:rPr>
        <w:t>: 417-423 [PMID: 10202052 DOI: 10.1016/s0016-5107(99)70036-2]</w:t>
      </w:r>
    </w:p>
    <w:p w14:paraId="0AAF42E1"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31 </w:t>
      </w:r>
      <w:proofErr w:type="spellStart"/>
      <w:r w:rsidRPr="00962DA9">
        <w:rPr>
          <w:rFonts w:ascii="Book Antiqua" w:eastAsia="宋体" w:hAnsi="Book Antiqua"/>
          <w:b/>
          <w:kern w:val="2"/>
          <w:lang w:eastAsia="zh-CN"/>
        </w:rPr>
        <w:t>Masci</w:t>
      </w:r>
      <w:proofErr w:type="spellEnd"/>
      <w:r w:rsidRPr="00962DA9">
        <w:rPr>
          <w:rFonts w:ascii="Book Antiqua" w:eastAsia="宋体" w:hAnsi="Book Antiqua"/>
          <w:b/>
          <w:kern w:val="2"/>
          <w:lang w:eastAsia="zh-CN"/>
        </w:rPr>
        <w:t xml:space="preserve"> E</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Stigliano</w:t>
      </w:r>
      <w:proofErr w:type="spellEnd"/>
      <w:r w:rsidRPr="00962DA9">
        <w:rPr>
          <w:rFonts w:ascii="Book Antiqua" w:eastAsia="宋体" w:hAnsi="Book Antiqua"/>
          <w:kern w:val="2"/>
          <w:lang w:eastAsia="zh-CN"/>
        </w:rPr>
        <w:t xml:space="preserve"> R, </w:t>
      </w:r>
      <w:proofErr w:type="spellStart"/>
      <w:r w:rsidRPr="00962DA9">
        <w:rPr>
          <w:rFonts w:ascii="Book Antiqua" w:eastAsia="宋体" w:hAnsi="Book Antiqua"/>
          <w:kern w:val="2"/>
          <w:lang w:eastAsia="zh-CN"/>
        </w:rPr>
        <w:t>Mariani</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Bertoni</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Baroncini</w:t>
      </w:r>
      <w:proofErr w:type="spellEnd"/>
      <w:r w:rsidRPr="00962DA9">
        <w:rPr>
          <w:rFonts w:ascii="Book Antiqua" w:eastAsia="宋体" w:hAnsi="Book Antiqua"/>
          <w:kern w:val="2"/>
          <w:lang w:eastAsia="zh-CN"/>
        </w:rPr>
        <w:t xml:space="preserve"> D, </w:t>
      </w:r>
      <w:proofErr w:type="spellStart"/>
      <w:r w:rsidRPr="00962DA9">
        <w:rPr>
          <w:rFonts w:ascii="Book Antiqua" w:eastAsia="宋体" w:hAnsi="Book Antiqua"/>
          <w:kern w:val="2"/>
          <w:lang w:eastAsia="zh-CN"/>
        </w:rPr>
        <w:t>Cennamo</w:t>
      </w:r>
      <w:proofErr w:type="spellEnd"/>
      <w:r w:rsidRPr="00962DA9">
        <w:rPr>
          <w:rFonts w:ascii="Book Antiqua" w:eastAsia="宋体" w:hAnsi="Book Antiqua"/>
          <w:kern w:val="2"/>
          <w:lang w:eastAsia="zh-CN"/>
        </w:rPr>
        <w:t xml:space="preserve"> V, </w:t>
      </w:r>
      <w:proofErr w:type="spellStart"/>
      <w:r w:rsidRPr="00962DA9">
        <w:rPr>
          <w:rFonts w:ascii="Book Antiqua" w:eastAsia="宋体" w:hAnsi="Book Antiqua"/>
          <w:kern w:val="2"/>
          <w:lang w:eastAsia="zh-CN"/>
        </w:rPr>
        <w:t>Micheletti</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Casetti</w:t>
      </w:r>
      <w:proofErr w:type="spellEnd"/>
      <w:r w:rsidRPr="00962DA9">
        <w:rPr>
          <w:rFonts w:ascii="Book Antiqua" w:eastAsia="宋体" w:hAnsi="Book Antiqua"/>
          <w:kern w:val="2"/>
          <w:lang w:eastAsia="zh-CN"/>
        </w:rPr>
        <w:t xml:space="preserve"> T, </w:t>
      </w:r>
      <w:proofErr w:type="spellStart"/>
      <w:r w:rsidRPr="00962DA9">
        <w:rPr>
          <w:rFonts w:ascii="Book Antiqua" w:eastAsia="宋体" w:hAnsi="Book Antiqua"/>
          <w:kern w:val="2"/>
          <w:lang w:eastAsia="zh-CN"/>
        </w:rPr>
        <w:t>Tansini</w:t>
      </w:r>
      <w:proofErr w:type="spellEnd"/>
      <w:r w:rsidRPr="00962DA9">
        <w:rPr>
          <w:rFonts w:ascii="Book Antiqua" w:eastAsia="宋体" w:hAnsi="Book Antiqua"/>
          <w:kern w:val="2"/>
          <w:lang w:eastAsia="zh-CN"/>
        </w:rPr>
        <w:t xml:space="preserve"> P, </w:t>
      </w:r>
      <w:proofErr w:type="spellStart"/>
      <w:r w:rsidRPr="00962DA9">
        <w:rPr>
          <w:rFonts w:ascii="Book Antiqua" w:eastAsia="宋体" w:hAnsi="Book Antiqua"/>
          <w:kern w:val="2"/>
          <w:lang w:eastAsia="zh-CN"/>
        </w:rPr>
        <w:t>Buscarini</w:t>
      </w:r>
      <w:proofErr w:type="spellEnd"/>
      <w:r w:rsidRPr="00962DA9">
        <w:rPr>
          <w:rFonts w:ascii="Book Antiqua" w:eastAsia="宋体" w:hAnsi="Book Antiqua"/>
          <w:kern w:val="2"/>
          <w:lang w:eastAsia="zh-CN"/>
        </w:rPr>
        <w:t xml:space="preserve"> E, </w:t>
      </w:r>
      <w:proofErr w:type="spellStart"/>
      <w:r w:rsidRPr="00962DA9">
        <w:rPr>
          <w:rFonts w:ascii="Book Antiqua" w:eastAsia="宋体" w:hAnsi="Book Antiqua"/>
          <w:kern w:val="2"/>
          <w:lang w:eastAsia="zh-CN"/>
        </w:rPr>
        <w:t>Ranzato</w:t>
      </w:r>
      <w:proofErr w:type="spellEnd"/>
      <w:r w:rsidRPr="00962DA9">
        <w:rPr>
          <w:rFonts w:ascii="Book Antiqua" w:eastAsia="宋体" w:hAnsi="Book Antiqua"/>
          <w:kern w:val="2"/>
          <w:lang w:eastAsia="zh-CN"/>
        </w:rPr>
        <w:t xml:space="preserve"> R, Norberto L. Prospective multicenter randomized trial comparing banding ligation with sclerotherapy of esophageal varices. </w:t>
      </w:r>
      <w:proofErr w:type="spellStart"/>
      <w:r w:rsidRPr="00962DA9">
        <w:rPr>
          <w:rFonts w:ascii="Book Antiqua" w:eastAsia="宋体" w:hAnsi="Book Antiqua"/>
          <w:i/>
          <w:kern w:val="2"/>
          <w:lang w:eastAsia="zh-CN"/>
        </w:rPr>
        <w:t>Hepatogastroenterology</w:t>
      </w:r>
      <w:proofErr w:type="spellEnd"/>
      <w:r w:rsidRPr="00962DA9">
        <w:rPr>
          <w:rFonts w:ascii="Book Antiqua" w:eastAsia="宋体" w:hAnsi="Book Antiqua"/>
          <w:kern w:val="2"/>
          <w:lang w:eastAsia="zh-CN"/>
        </w:rPr>
        <w:t xml:space="preserve"> 1999; </w:t>
      </w:r>
      <w:r w:rsidRPr="00962DA9">
        <w:rPr>
          <w:rFonts w:ascii="Book Antiqua" w:eastAsia="宋体" w:hAnsi="Book Antiqua"/>
          <w:b/>
          <w:kern w:val="2"/>
          <w:lang w:eastAsia="zh-CN"/>
        </w:rPr>
        <w:t>46</w:t>
      </w:r>
      <w:r w:rsidRPr="00962DA9">
        <w:rPr>
          <w:rFonts w:ascii="Book Antiqua" w:eastAsia="宋体" w:hAnsi="Book Antiqua"/>
          <w:kern w:val="2"/>
          <w:lang w:eastAsia="zh-CN"/>
        </w:rPr>
        <w:t>: 1769-1773 [</w:t>
      </w:r>
      <w:bookmarkStart w:id="14" w:name="OLE_LINK16"/>
      <w:bookmarkStart w:id="15" w:name="OLE_LINK17"/>
      <w:r w:rsidRPr="00962DA9">
        <w:rPr>
          <w:rFonts w:ascii="Book Antiqua" w:eastAsia="宋体" w:hAnsi="Book Antiqua"/>
          <w:kern w:val="2"/>
          <w:lang w:eastAsia="zh-CN"/>
        </w:rPr>
        <w:t>PMID: 10430341</w:t>
      </w:r>
      <w:bookmarkEnd w:id="14"/>
      <w:bookmarkEnd w:id="15"/>
      <w:r w:rsidRPr="00962DA9">
        <w:rPr>
          <w:rFonts w:ascii="Book Antiqua" w:eastAsia="宋体" w:hAnsi="Book Antiqua"/>
          <w:kern w:val="2"/>
          <w:lang w:eastAsia="zh-CN"/>
        </w:rPr>
        <w:t>]</w:t>
      </w:r>
    </w:p>
    <w:p w14:paraId="00A570D5"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32 </w:t>
      </w:r>
      <w:proofErr w:type="spellStart"/>
      <w:r w:rsidRPr="00962DA9">
        <w:rPr>
          <w:rFonts w:ascii="Book Antiqua" w:eastAsia="宋体" w:hAnsi="Book Antiqua"/>
          <w:b/>
          <w:kern w:val="2"/>
          <w:lang w:eastAsia="zh-CN"/>
        </w:rPr>
        <w:t>Zargar</w:t>
      </w:r>
      <w:proofErr w:type="spellEnd"/>
      <w:r w:rsidRPr="00962DA9">
        <w:rPr>
          <w:rFonts w:ascii="Book Antiqua" w:eastAsia="宋体" w:hAnsi="Book Antiqua"/>
          <w:b/>
          <w:kern w:val="2"/>
          <w:lang w:eastAsia="zh-CN"/>
        </w:rPr>
        <w:t xml:space="preserve"> SA</w:t>
      </w:r>
      <w:r w:rsidRPr="00962DA9">
        <w:rPr>
          <w:rFonts w:ascii="Book Antiqua" w:eastAsia="宋体" w:hAnsi="Book Antiqua"/>
          <w:kern w:val="2"/>
          <w:lang w:eastAsia="zh-CN"/>
        </w:rPr>
        <w:t xml:space="preserve">, Javid G, Khan BA, Shah OJ, </w:t>
      </w:r>
      <w:proofErr w:type="spellStart"/>
      <w:r w:rsidRPr="00962DA9">
        <w:rPr>
          <w:rFonts w:ascii="Book Antiqua" w:eastAsia="宋体" w:hAnsi="Book Antiqua"/>
          <w:kern w:val="2"/>
          <w:lang w:eastAsia="zh-CN"/>
        </w:rPr>
        <w:t>Yattoo</w:t>
      </w:r>
      <w:proofErr w:type="spellEnd"/>
      <w:r w:rsidRPr="00962DA9">
        <w:rPr>
          <w:rFonts w:ascii="Book Antiqua" w:eastAsia="宋体" w:hAnsi="Book Antiqua"/>
          <w:kern w:val="2"/>
          <w:lang w:eastAsia="zh-CN"/>
        </w:rPr>
        <w:t xml:space="preserve"> GN, Shah AH, Gulzar GM, Singh J, Shah NA, </w:t>
      </w:r>
      <w:proofErr w:type="spellStart"/>
      <w:r w:rsidRPr="00962DA9">
        <w:rPr>
          <w:rFonts w:ascii="Book Antiqua" w:eastAsia="宋体" w:hAnsi="Book Antiqua"/>
          <w:kern w:val="2"/>
          <w:lang w:eastAsia="zh-CN"/>
        </w:rPr>
        <w:t>Shafi</w:t>
      </w:r>
      <w:proofErr w:type="spellEnd"/>
      <w:r w:rsidRPr="00962DA9">
        <w:rPr>
          <w:rFonts w:ascii="Book Antiqua" w:eastAsia="宋体" w:hAnsi="Book Antiqua"/>
          <w:kern w:val="2"/>
          <w:lang w:eastAsia="zh-CN"/>
        </w:rPr>
        <w:t xml:space="preserve"> HM. Endoscopic ligation vs. sclerotherapy in adults with extrahepatic portal venous obstruction: a prospective randomized study. </w:t>
      </w:r>
      <w:proofErr w:type="spellStart"/>
      <w:r w:rsidRPr="00962DA9">
        <w:rPr>
          <w:rFonts w:ascii="Book Antiqua" w:eastAsia="宋体" w:hAnsi="Book Antiqua"/>
          <w:i/>
          <w:kern w:val="2"/>
          <w:lang w:eastAsia="zh-CN"/>
        </w:rPr>
        <w:t>Gastrointest</w:t>
      </w:r>
      <w:proofErr w:type="spellEnd"/>
      <w:r w:rsidRPr="00962DA9">
        <w:rPr>
          <w:rFonts w:ascii="Book Antiqua" w:eastAsia="宋体" w:hAnsi="Book Antiqua"/>
          <w:i/>
          <w:kern w:val="2"/>
          <w:lang w:eastAsia="zh-CN"/>
        </w:rPr>
        <w:t xml:space="preserve"> </w:t>
      </w:r>
      <w:proofErr w:type="spellStart"/>
      <w:r w:rsidRPr="00962DA9">
        <w:rPr>
          <w:rFonts w:ascii="Book Antiqua" w:eastAsia="宋体" w:hAnsi="Book Antiqua"/>
          <w:i/>
          <w:kern w:val="2"/>
          <w:lang w:eastAsia="zh-CN"/>
        </w:rPr>
        <w:t>Endosc</w:t>
      </w:r>
      <w:proofErr w:type="spellEnd"/>
      <w:r w:rsidRPr="00962DA9">
        <w:rPr>
          <w:rFonts w:ascii="Book Antiqua" w:eastAsia="宋体" w:hAnsi="Book Antiqua"/>
          <w:kern w:val="2"/>
          <w:lang w:eastAsia="zh-CN"/>
        </w:rPr>
        <w:t xml:space="preserve"> 2005; </w:t>
      </w:r>
      <w:r w:rsidRPr="00962DA9">
        <w:rPr>
          <w:rFonts w:ascii="Book Antiqua" w:eastAsia="宋体" w:hAnsi="Book Antiqua"/>
          <w:b/>
          <w:kern w:val="2"/>
          <w:lang w:eastAsia="zh-CN"/>
        </w:rPr>
        <w:t>61</w:t>
      </w:r>
      <w:r w:rsidRPr="00962DA9">
        <w:rPr>
          <w:rFonts w:ascii="Book Antiqua" w:eastAsia="宋体" w:hAnsi="Book Antiqua"/>
          <w:kern w:val="2"/>
          <w:lang w:eastAsia="zh-CN"/>
        </w:rPr>
        <w:t>: 58-66 [PMID: 15672057 DOI: 10.1016/s0016-5107(04)02455-1]</w:t>
      </w:r>
    </w:p>
    <w:p w14:paraId="65E64C9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33 </w:t>
      </w:r>
      <w:proofErr w:type="spellStart"/>
      <w:r w:rsidRPr="00962DA9">
        <w:rPr>
          <w:rFonts w:ascii="Book Antiqua" w:eastAsia="宋体" w:hAnsi="Book Antiqua"/>
          <w:b/>
          <w:kern w:val="2"/>
          <w:lang w:eastAsia="zh-CN"/>
        </w:rPr>
        <w:t>Fakhry</w:t>
      </w:r>
      <w:proofErr w:type="spellEnd"/>
      <w:r w:rsidRPr="00962DA9">
        <w:rPr>
          <w:rFonts w:ascii="Book Antiqua" w:eastAsia="宋体" w:hAnsi="Book Antiqua"/>
          <w:b/>
          <w:kern w:val="2"/>
          <w:lang w:eastAsia="zh-CN"/>
        </w:rPr>
        <w:t xml:space="preserve"> S,</w:t>
      </w:r>
      <w:r w:rsidRPr="00962DA9">
        <w:rPr>
          <w:rFonts w:ascii="Book Antiqua" w:eastAsia="宋体" w:hAnsi="Book Antiqua"/>
          <w:kern w:val="2"/>
          <w:lang w:eastAsia="zh-CN"/>
        </w:rPr>
        <w:t xml:space="preserve"> Omar M, </w:t>
      </w:r>
      <w:proofErr w:type="spellStart"/>
      <w:r w:rsidRPr="00962DA9">
        <w:rPr>
          <w:rFonts w:ascii="Book Antiqua" w:eastAsia="宋体" w:hAnsi="Book Antiqua"/>
          <w:kern w:val="2"/>
          <w:lang w:eastAsia="zh-CN"/>
        </w:rPr>
        <w:t>Gannam</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Syam</w:t>
      </w:r>
      <w:proofErr w:type="spellEnd"/>
      <w:r w:rsidRPr="00962DA9">
        <w:rPr>
          <w:rFonts w:ascii="Book Antiqua" w:eastAsia="宋体" w:hAnsi="Book Antiqua"/>
          <w:kern w:val="2"/>
          <w:lang w:eastAsia="zh-CN"/>
        </w:rPr>
        <w:t xml:space="preserve"> M, Attia M, </w:t>
      </w:r>
      <w:proofErr w:type="spellStart"/>
      <w:r w:rsidRPr="00962DA9">
        <w:rPr>
          <w:rFonts w:ascii="Book Antiqua" w:eastAsia="宋体" w:hAnsi="Book Antiqua"/>
          <w:kern w:val="2"/>
          <w:lang w:eastAsia="zh-CN"/>
        </w:rPr>
        <w:t>Moustafa</w:t>
      </w:r>
      <w:proofErr w:type="spellEnd"/>
      <w:r w:rsidRPr="00962DA9">
        <w:rPr>
          <w:rFonts w:ascii="Book Antiqua" w:eastAsia="宋体" w:hAnsi="Book Antiqua"/>
          <w:kern w:val="2"/>
          <w:lang w:eastAsia="zh-CN"/>
        </w:rPr>
        <w:t xml:space="preserve"> I, El-</w:t>
      </w:r>
      <w:proofErr w:type="spellStart"/>
      <w:r w:rsidRPr="00962DA9">
        <w:rPr>
          <w:rFonts w:ascii="Book Antiqua" w:eastAsia="宋体" w:hAnsi="Book Antiqua"/>
          <w:kern w:val="2"/>
          <w:lang w:eastAsia="zh-CN"/>
        </w:rPr>
        <w:t>Beheiry</w:t>
      </w:r>
      <w:proofErr w:type="spellEnd"/>
      <w:r w:rsidRPr="00962DA9">
        <w:rPr>
          <w:rFonts w:ascii="Book Antiqua" w:eastAsia="宋体" w:hAnsi="Book Antiqua"/>
          <w:kern w:val="2"/>
          <w:lang w:eastAsia="zh-CN"/>
        </w:rPr>
        <w:t xml:space="preserve"> N, Hunter, S. </w:t>
      </w:r>
      <w:bookmarkStart w:id="16" w:name="OLE_LINK18"/>
      <w:bookmarkStart w:id="17" w:name="OLE_LINK19"/>
      <w:r w:rsidRPr="00962DA9">
        <w:rPr>
          <w:rFonts w:ascii="Book Antiqua" w:eastAsia="宋体" w:hAnsi="Book Antiqua"/>
          <w:kern w:val="2"/>
          <w:lang w:eastAsia="zh-CN"/>
        </w:rPr>
        <w:t xml:space="preserve">Endoscopic sclerotherapy versus endoscopic variceal ligation in the management of bleeding esophageal varices: a prospective randomized study in </w:t>
      </w:r>
      <w:proofErr w:type="spellStart"/>
      <w:r w:rsidRPr="00962DA9">
        <w:rPr>
          <w:rFonts w:ascii="Book Antiqua" w:eastAsia="宋体" w:hAnsi="Book Antiqua"/>
          <w:kern w:val="2"/>
          <w:lang w:eastAsia="zh-CN"/>
        </w:rPr>
        <w:t>schistosomal</w:t>
      </w:r>
      <w:proofErr w:type="spellEnd"/>
      <w:r w:rsidRPr="00962DA9">
        <w:rPr>
          <w:rFonts w:ascii="Book Antiqua" w:eastAsia="宋体" w:hAnsi="Book Antiqua"/>
          <w:kern w:val="2"/>
          <w:lang w:eastAsia="zh-CN"/>
        </w:rPr>
        <w:t xml:space="preserve"> hepatic fibrosis</w:t>
      </w:r>
      <w:bookmarkEnd w:id="16"/>
      <w:bookmarkEnd w:id="17"/>
      <w:r w:rsidRPr="00962DA9">
        <w:rPr>
          <w:rFonts w:ascii="Book Antiqua" w:eastAsia="宋体" w:hAnsi="Book Antiqua"/>
          <w:kern w:val="2"/>
          <w:lang w:eastAsia="zh-CN"/>
        </w:rPr>
        <w:t xml:space="preserve">. </w:t>
      </w:r>
      <w:proofErr w:type="spellStart"/>
      <w:r w:rsidRPr="00AA1711">
        <w:rPr>
          <w:rFonts w:ascii="Book Antiqua" w:eastAsia="宋体" w:hAnsi="Book Antiqua"/>
          <w:i/>
          <w:kern w:val="2"/>
          <w:lang w:eastAsia="zh-CN"/>
        </w:rPr>
        <w:t>Endosc</w:t>
      </w:r>
      <w:proofErr w:type="spellEnd"/>
      <w:r w:rsidR="00E175BC">
        <w:rPr>
          <w:rFonts w:ascii="Book Antiqua" w:eastAsia="宋体" w:hAnsi="Book Antiqua"/>
          <w:i/>
          <w:kern w:val="2"/>
          <w:lang w:eastAsia="zh-CN"/>
        </w:rPr>
        <w:t xml:space="preserve"> </w:t>
      </w:r>
      <w:r w:rsidRPr="00AA1711">
        <w:rPr>
          <w:rFonts w:ascii="Book Antiqua" w:eastAsia="宋体" w:hAnsi="Book Antiqua"/>
          <w:i/>
          <w:kern w:val="2"/>
          <w:lang w:eastAsia="zh-CN"/>
        </w:rPr>
        <w:t>Arab Edition</w:t>
      </w:r>
      <w:r w:rsidRPr="00962DA9">
        <w:rPr>
          <w:rFonts w:ascii="Book Antiqua" w:eastAsia="宋体" w:hAnsi="Book Antiqua"/>
          <w:kern w:val="2"/>
          <w:lang w:eastAsia="zh-CN"/>
        </w:rPr>
        <w:t xml:space="preserve"> 2000; </w:t>
      </w:r>
      <w:r w:rsidRPr="00962DA9">
        <w:rPr>
          <w:rFonts w:ascii="Book Antiqua" w:eastAsia="宋体" w:hAnsi="Book Antiqua"/>
          <w:b/>
          <w:kern w:val="2"/>
          <w:lang w:eastAsia="zh-CN"/>
        </w:rPr>
        <w:t>1</w:t>
      </w:r>
      <w:r w:rsidRPr="00962DA9">
        <w:rPr>
          <w:rFonts w:ascii="Book Antiqua" w:eastAsia="宋体" w:hAnsi="Book Antiqua"/>
          <w:kern w:val="2"/>
          <w:lang w:eastAsia="zh-CN"/>
        </w:rPr>
        <w:t>:</w:t>
      </w:r>
      <w:r w:rsidR="00AA1711">
        <w:rPr>
          <w:rFonts w:ascii="Book Antiqua" w:eastAsia="宋体" w:hAnsi="Book Antiqua" w:hint="eastAsia"/>
          <w:kern w:val="2"/>
          <w:lang w:eastAsia="zh-CN"/>
        </w:rPr>
        <w:t xml:space="preserve"> </w:t>
      </w:r>
      <w:r w:rsidR="00AA1711">
        <w:rPr>
          <w:rFonts w:ascii="Book Antiqua" w:eastAsia="宋体" w:hAnsi="Book Antiqua"/>
          <w:kern w:val="2"/>
          <w:lang w:eastAsia="zh-CN"/>
        </w:rPr>
        <w:t>39-44</w:t>
      </w:r>
    </w:p>
    <w:p w14:paraId="4F15BD1C"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34 </w:t>
      </w:r>
      <w:r w:rsidRPr="00962DA9">
        <w:rPr>
          <w:rFonts w:ascii="Book Antiqua" w:eastAsia="宋体" w:hAnsi="Book Antiqua"/>
          <w:b/>
          <w:kern w:val="2"/>
          <w:lang w:eastAsia="zh-CN"/>
        </w:rPr>
        <w:t>Luz GO</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Maluf</w:t>
      </w:r>
      <w:proofErr w:type="spellEnd"/>
      <w:r w:rsidRPr="00962DA9">
        <w:rPr>
          <w:rFonts w:ascii="Book Antiqua" w:eastAsia="宋体" w:hAnsi="Book Antiqua"/>
          <w:kern w:val="2"/>
          <w:lang w:eastAsia="zh-CN"/>
        </w:rPr>
        <w:t xml:space="preserve">-Filho F, </w:t>
      </w:r>
      <w:proofErr w:type="spellStart"/>
      <w:r w:rsidRPr="00962DA9">
        <w:rPr>
          <w:rFonts w:ascii="Book Antiqua" w:eastAsia="宋体" w:hAnsi="Book Antiqua"/>
          <w:kern w:val="2"/>
          <w:lang w:eastAsia="zh-CN"/>
        </w:rPr>
        <w:t>Matuguma</w:t>
      </w:r>
      <w:proofErr w:type="spellEnd"/>
      <w:r w:rsidRPr="00962DA9">
        <w:rPr>
          <w:rFonts w:ascii="Book Antiqua" w:eastAsia="宋体" w:hAnsi="Book Antiqua"/>
          <w:kern w:val="2"/>
          <w:lang w:eastAsia="zh-CN"/>
        </w:rPr>
        <w:t xml:space="preserve"> SE, Hondo FY, Ide E, Melo JM, Cheng S, Sakai P. Comparison between endoscopic sclerotherapy and band ligation for hemostasis of acute variceal bleeding. </w:t>
      </w:r>
      <w:r w:rsidRPr="00962DA9">
        <w:rPr>
          <w:rFonts w:ascii="Book Antiqua" w:eastAsia="宋体" w:hAnsi="Book Antiqua"/>
          <w:i/>
          <w:kern w:val="2"/>
          <w:lang w:eastAsia="zh-CN"/>
        </w:rPr>
        <w:t xml:space="preserve">World J </w:t>
      </w:r>
      <w:proofErr w:type="spellStart"/>
      <w:r w:rsidRPr="00962DA9">
        <w:rPr>
          <w:rFonts w:ascii="Book Antiqua" w:eastAsia="宋体" w:hAnsi="Book Antiqua"/>
          <w:i/>
          <w:kern w:val="2"/>
          <w:lang w:eastAsia="zh-CN"/>
        </w:rPr>
        <w:t>Gastrointest</w:t>
      </w:r>
      <w:proofErr w:type="spellEnd"/>
      <w:r w:rsidRPr="00962DA9">
        <w:rPr>
          <w:rFonts w:ascii="Book Antiqua" w:eastAsia="宋体" w:hAnsi="Book Antiqua"/>
          <w:i/>
          <w:kern w:val="2"/>
          <w:lang w:eastAsia="zh-CN"/>
        </w:rPr>
        <w:t xml:space="preserve"> </w:t>
      </w:r>
      <w:proofErr w:type="spellStart"/>
      <w:r w:rsidRPr="00962DA9">
        <w:rPr>
          <w:rFonts w:ascii="Book Antiqua" w:eastAsia="宋体" w:hAnsi="Book Antiqua"/>
          <w:i/>
          <w:kern w:val="2"/>
          <w:lang w:eastAsia="zh-CN"/>
        </w:rPr>
        <w:t>Endosc</w:t>
      </w:r>
      <w:proofErr w:type="spellEnd"/>
      <w:r w:rsidRPr="00962DA9">
        <w:rPr>
          <w:rFonts w:ascii="Book Antiqua" w:eastAsia="宋体" w:hAnsi="Book Antiqua"/>
          <w:kern w:val="2"/>
          <w:lang w:eastAsia="zh-CN"/>
        </w:rPr>
        <w:t xml:space="preserve"> 2011; </w:t>
      </w:r>
      <w:r w:rsidRPr="00962DA9">
        <w:rPr>
          <w:rFonts w:ascii="Book Antiqua" w:eastAsia="宋体" w:hAnsi="Book Antiqua"/>
          <w:b/>
          <w:kern w:val="2"/>
          <w:lang w:eastAsia="zh-CN"/>
        </w:rPr>
        <w:t>3</w:t>
      </w:r>
      <w:r w:rsidRPr="00962DA9">
        <w:rPr>
          <w:rFonts w:ascii="Book Antiqua" w:eastAsia="宋体" w:hAnsi="Book Antiqua"/>
          <w:kern w:val="2"/>
          <w:lang w:eastAsia="zh-CN"/>
        </w:rPr>
        <w:t>: 95-100 [PMID: 21772940 DOI: 10.4253/wjge.v3.i5.95]</w:t>
      </w:r>
    </w:p>
    <w:p w14:paraId="1004C892"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35 </w:t>
      </w:r>
      <w:r w:rsidRPr="00962DA9">
        <w:rPr>
          <w:rFonts w:ascii="Book Antiqua" w:eastAsia="宋体" w:hAnsi="Book Antiqua"/>
          <w:b/>
          <w:kern w:val="2"/>
          <w:lang w:eastAsia="zh-CN"/>
        </w:rPr>
        <w:t>Ali SM</w:t>
      </w:r>
      <w:r w:rsidRPr="00962DA9">
        <w:rPr>
          <w:rFonts w:ascii="Book Antiqua" w:eastAsia="宋体" w:hAnsi="Book Antiqua"/>
          <w:kern w:val="2"/>
          <w:lang w:eastAsia="zh-CN"/>
        </w:rPr>
        <w:t xml:space="preserve">, Wu S, Xu H, Liu H, Hao J, Qin C. A Prospective Study of Endoscopic Injection Sclerotherapy and Endoscopic Variceal Ligation in the Treatment of Esophageal Varices. </w:t>
      </w:r>
      <w:r w:rsidRPr="00962DA9">
        <w:rPr>
          <w:rFonts w:ascii="Book Antiqua" w:eastAsia="宋体" w:hAnsi="Book Antiqua"/>
          <w:i/>
          <w:kern w:val="2"/>
          <w:lang w:eastAsia="zh-CN"/>
        </w:rPr>
        <w:t xml:space="preserve">J </w:t>
      </w:r>
      <w:proofErr w:type="spellStart"/>
      <w:r w:rsidRPr="00962DA9">
        <w:rPr>
          <w:rFonts w:ascii="Book Antiqua" w:eastAsia="宋体" w:hAnsi="Book Antiqua"/>
          <w:i/>
          <w:kern w:val="2"/>
          <w:lang w:eastAsia="zh-CN"/>
        </w:rPr>
        <w:t>Laparoendosc</w:t>
      </w:r>
      <w:proofErr w:type="spellEnd"/>
      <w:r w:rsidRPr="00962DA9">
        <w:rPr>
          <w:rFonts w:ascii="Book Antiqua" w:eastAsia="宋体" w:hAnsi="Book Antiqua"/>
          <w:i/>
          <w:kern w:val="2"/>
          <w:lang w:eastAsia="zh-CN"/>
        </w:rPr>
        <w:t xml:space="preserve"> Adv Surg Tech A</w:t>
      </w:r>
      <w:r w:rsidRPr="00962DA9">
        <w:rPr>
          <w:rFonts w:ascii="Book Antiqua" w:eastAsia="宋体" w:hAnsi="Book Antiqua"/>
          <w:kern w:val="2"/>
          <w:lang w:eastAsia="zh-CN"/>
        </w:rPr>
        <w:t xml:space="preserve"> 2017; </w:t>
      </w:r>
      <w:r w:rsidRPr="00962DA9">
        <w:rPr>
          <w:rFonts w:ascii="Book Antiqua" w:eastAsia="宋体" w:hAnsi="Book Antiqua"/>
          <w:b/>
          <w:kern w:val="2"/>
          <w:lang w:eastAsia="zh-CN"/>
        </w:rPr>
        <w:t>27</w:t>
      </w:r>
      <w:r w:rsidRPr="00962DA9">
        <w:rPr>
          <w:rFonts w:ascii="Book Antiqua" w:eastAsia="宋体" w:hAnsi="Book Antiqua"/>
          <w:kern w:val="2"/>
          <w:lang w:eastAsia="zh-CN"/>
        </w:rPr>
        <w:t>: 333-341 [PMID: 28221819 DOI: 10.1089/lap.2016.0436]</w:t>
      </w:r>
    </w:p>
    <w:p w14:paraId="228F4402"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36 </w:t>
      </w:r>
      <w:proofErr w:type="spellStart"/>
      <w:r w:rsidRPr="00962DA9">
        <w:rPr>
          <w:rFonts w:ascii="Book Antiqua" w:eastAsia="宋体" w:hAnsi="Book Antiqua"/>
          <w:b/>
          <w:kern w:val="2"/>
          <w:lang w:eastAsia="zh-CN"/>
        </w:rPr>
        <w:t>Burgener</w:t>
      </w:r>
      <w:proofErr w:type="spellEnd"/>
      <w:r w:rsidRPr="00962DA9">
        <w:rPr>
          <w:rFonts w:ascii="Book Antiqua" w:eastAsia="宋体" w:hAnsi="Book Antiqua"/>
          <w:b/>
          <w:kern w:val="2"/>
          <w:lang w:eastAsia="zh-CN"/>
        </w:rPr>
        <w:t xml:space="preserve"> FA</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Spataro</w:t>
      </w:r>
      <w:proofErr w:type="spellEnd"/>
      <w:r w:rsidRPr="00962DA9">
        <w:rPr>
          <w:rFonts w:ascii="Book Antiqua" w:eastAsia="宋体" w:hAnsi="Book Antiqua"/>
          <w:kern w:val="2"/>
          <w:lang w:eastAsia="zh-CN"/>
        </w:rPr>
        <w:t xml:space="preserve"> RF. Early medullary cystic disease: a </w:t>
      </w:r>
      <w:proofErr w:type="spellStart"/>
      <w:r w:rsidRPr="00962DA9">
        <w:rPr>
          <w:rFonts w:ascii="Book Antiqua" w:eastAsia="宋体" w:hAnsi="Book Antiqua"/>
          <w:kern w:val="2"/>
          <w:lang w:eastAsia="zh-CN"/>
        </w:rPr>
        <w:t>urographic</w:t>
      </w:r>
      <w:proofErr w:type="spellEnd"/>
      <w:r w:rsidRPr="00962DA9">
        <w:rPr>
          <w:rFonts w:ascii="Book Antiqua" w:eastAsia="宋体" w:hAnsi="Book Antiqua"/>
          <w:kern w:val="2"/>
          <w:lang w:eastAsia="zh-CN"/>
        </w:rPr>
        <w:t xml:space="preserve"> diagnosis? </w:t>
      </w:r>
      <w:r w:rsidRPr="00962DA9">
        <w:rPr>
          <w:rFonts w:ascii="Book Antiqua" w:eastAsia="宋体" w:hAnsi="Book Antiqua"/>
          <w:i/>
          <w:kern w:val="2"/>
          <w:lang w:eastAsia="zh-CN"/>
        </w:rPr>
        <w:t>Radiology</w:t>
      </w:r>
      <w:r w:rsidRPr="00962DA9">
        <w:rPr>
          <w:rFonts w:ascii="Book Antiqua" w:eastAsia="宋体" w:hAnsi="Book Antiqua"/>
          <w:kern w:val="2"/>
          <w:lang w:eastAsia="zh-CN"/>
        </w:rPr>
        <w:t xml:space="preserve"> 1979; </w:t>
      </w:r>
      <w:r w:rsidRPr="00962DA9">
        <w:rPr>
          <w:rFonts w:ascii="Book Antiqua" w:eastAsia="宋体" w:hAnsi="Book Antiqua"/>
          <w:b/>
          <w:kern w:val="2"/>
          <w:lang w:eastAsia="zh-CN"/>
        </w:rPr>
        <w:t>130</w:t>
      </w:r>
      <w:r w:rsidRPr="00962DA9">
        <w:rPr>
          <w:rFonts w:ascii="Book Antiqua" w:eastAsia="宋体" w:hAnsi="Book Antiqua"/>
          <w:kern w:val="2"/>
          <w:lang w:eastAsia="zh-CN"/>
        </w:rPr>
        <w:t>: 321-322 [PMID: 760142 DOI: 10.1002/hep.1840220145]</w:t>
      </w:r>
    </w:p>
    <w:p w14:paraId="6D30D8B1" w14:textId="77777777" w:rsidR="00962DA9" w:rsidRPr="00AA1711"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37 </w:t>
      </w:r>
      <w:r w:rsidR="00AA1711" w:rsidRPr="00AA1711">
        <w:rPr>
          <w:rFonts w:ascii="Book Antiqua" w:eastAsia="宋体" w:hAnsi="Book Antiqua"/>
          <w:b/>
          <w:kern w:val="2"/>
          <w:lang w:eastAsia="zh-CN"/>
        </w:rPr>
        <w:t>Kim DH</w:t>
      </w:r>
      <w:r w:rsidR="00AA1711" w:rsidRPr="00AA1711">
        <w:rPr>
          <w:rFonts w:ascii="Book Antiqua" w:eastAsia="宋体" w:hAnsi="Book Antiqua"/>
          <w:kern w:val="2"/>
          <w:lang w:eastAsia="zh-CN"/>
        </w:rPr>
        <w:t xml:space="preserve">, Cho E, Jun CH, Son DJ, Lee MJ, Park CH, Cho SB, Park SY, Kim HS, Choi SK, </w:t>
      </w:r>
      <w:proofErr w:type="spellStart"/>
      <w:r w:rsidR="00AA1711" w:rsidRPr="00AA1711">
        <w:rPr>
          <w:rFonts w:ascii="Book Antiqua" w:eastAsia="宋体" w:hAnsi="Book Antiqua"/>
          <w:kern w:val="2"/>
          <w:lang w:eastAsia="zh-CN"/>
        </w:rPr>
        <w:t>Rew</w:t>
      </w:r>
      <w:proofErr w:type="spellEnd"/>
      <w:r w:rsidR="00AA1711" w:rsidRPr="00AA1711">
        <w:rPr>
          <w:rFonts w:ascii="Book Antiqua" w:eastAsia="宋体" w:hAnsi="Book Antiqua"/>
          <w:kern w:val="2"/>
          <w:lang w:eastAsia="zh-CN"/>
        </w:rPr>
        <w:t xml:space="preserve"> JS. Risk Factors and On-site Rescue Treatments for Endoscopic Variceal Ligation Failure. </w:t>
      </w:r>
      <w:r w:rsidR="00AA1711" w:rsidRPr="00AA1711">
        <w:rPr>
          <w:rFonts w:ascii="Book Antiqua" w:eastAsia="宋体" w:hAnsi="Book Antiqua"/>
          <w:i/>
          <w:kern w:val="2"/>
          <w:lang w:eastAsia="zh-CN"/>
        </w:rPr>
        <w:t>Korean J Gastroenterol</w:t>
      </w:r>
      <w:r w:rsidR="00AA1711" w:rsidRPr="00AA1711">
        <w:rPr>
          <w:rFonts w:ascii="Book Antiqua" w:eastAsia="宋体" w:hAnsi="Book Antiqua"/>
          <w:kern w:val="2"/>
          <w:lang w:eastAsia="zh-CN"/>
        </w:rPr>
        <w:t xml:space="preserve"> 2018;</w:t>
      </w:r>
      <w:r w:rsidR="00AA1711">
        <w:rPr>
          <w:rFonts w:ascii="Book Antiqua" w:eastAsia="宋体" w:hAnsi="Book Antiqua" w:hint="eastAsia"/>
          <w:kern w:val="2"/>
          <w:lang w:eastAsia="zh-CN"/>
        </w:rPr>
        <w:t xml:space="preserve"> </w:t>
      </w:r>
      <w:r w:rsidR="00AA1711" w:rsidRPr="00AA1711">
        <w:rPr>
          <w:rFonts w:ascii="Book Antiqua" w:eastAsia="宋体" w:hAnsi="Book Antiqua"/>
          <w:b/>
          <w:kern w:val="2"/>
          <w:lang w:eastAsia="zh-CN"/>
        </w:rPr>
        <w:t>7</w:t>
      </w:r>
      <w:r w:rsidR="00AA1711" w:rsidRPr="00AA1711">
        <w:rPr>
          <w:rFonts w:ascii="Book Antiqua" w:eastAsia="宋体" w:hAnsi="Book Antiqua"/>
          <w:kern w:val="2"/>
          <w:lang w:eastAsia="zh-CN"/>
        </w:rPr>
        <w:t>:</w:t>
      </w:r>
      <w:r w:rsidR="00AA1711">
        <w:rPr>
          <w:rFonts w:ascii="Book Antiqua" w:eastAsia="宋体" w:hAnsi="Book Antiqua" w:hint="eastAsia"/>
          <w:kern w:val="2"/>
          <w:lang w:eastAsia="zh-CN"/>
        </w:rPr>
        <w:t xml:space="preserve"> </w:t>
      </w:r>
      <w:r w:rsidR="00AA1711">
        <w:rPr>
          <w:rFonts w:ascii="Book Antiqua" w:eastAsia="宋体" w:hAnsi="Book Antiqua"/>
          <w:kern w:val="2"/>
          <w:lang w:eastAsia="zh-CN"/>
        </w:rPr>
        <w:t>188-196</w:t>
      </w:r>
      <w:r w:rsidR="00AA1711" w:rsidRPr="00AA1711">
        <w:rPr>
          <w:rFonts w:ascii="Book Antiqua" w:eastAsia="宋体" w:hAnsi="Book Antiqua"/>
          <w:kern w:val="2"/>
          <w:lang w:eastAsia="zh-CN"/>
        </w:rPr>
        <w:t xml:space="preserve"> </w:t>
      </w:r>
      <w:r w:rsidR="00AA1711">
        <w:rPr>
          <w:rFonts w:ascii="Book Antiqua" w:eastAsia="宋体" w:hAnsi="Book Antiqua" w:hint="eastAsia"/>
          <w:kern w:val="2"/>
          <w:lang w:eastAsia="zh-CN"/>
        </w:rPr>
        <w:t>[</w:t>
      </w:r>
      <w:r w:rsidR="00AA1711" w:rsidRPr="00AA1711">
        <w:rPr>
          <w:rFonts w:ascii="Book Antiqua" w:eastAsia="宋体" w:hAnsi="Book Antiqua"/>
          <w:kern w:val="2"/>
          <w:lang w:eastAsia="zh-CN"/>
        </w:rPr>
        <w:t xml:space="preserve">PMID: </w:t>
      </w:r>
      <w:r w:rsidR="00AA1711" w:rsidRPr="00AA1711">
        <w:rPr>
          <w:rFonts w:ascii="Book Antiqua" w:eastAsia="宋体" w:hAnsi="Book Antiqua"/>
          <w:kern w:val="2"/>
          <w:lang w:eastAsia="zh-CN"/>
        </w:rPr>
        <w:lastRenderedPageBreak/>
        <w:t>30419643</w:t>
      </w:r>
      <w:r w:rsidR="00AA1711">
        <w:rPr>
          <w:rFonts w:ascii="Book Antiqua" w:eastAsia="宋体" w:hAnsi="Book Antiqua" w:hint="eastAsia"/>
          <w:kern w:val="2"/>
          <w:lang w:eastAsia="zh-CN"/>
        </w:rPr>
        <w:t xml:space="preserve"> DOI</w:t>
      </w:r>
      <w:r w:rsidR="00AA1711" w:rsidRPr="00AA1711">
        <w:rPr>
          <w:rFonts w:ascii="Book Antiqua" w:eastAsia="宋体" w:hAnsi="Book Antiqua"/>
          <w:kern w:val="2"/>
          <w:lang w:eastAsia="zh-CN"/>
        </w:rPr>
        <w:t>: 10.4166/kjg.2018.72.4.188</w:t>
      </w:r>
      <w:r w:rsidR="00AA1711">
        <w:rPr>
          <w:rFonts w:ascii="Book Antiqua" w:eastAsia="宋体" w:hAnsi="Book Antiqua" w:hint="eastAsia"/>
          <w:kern w:val="2"/>
          <w:lang w:eastAsia="zh-CN"/>
        </w:rPr>
        <w:t>]</w:t>
      </w:r>
    </w:p>
    <w:p w14:paraId="05F5E196"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38 </w:t>
      </w:r>
      <w:r w:rsidRPr="00962DA9">
        <w:rPr>
          <w:rFonts w:ascii="Book Antiqua" w:eastAsia="宋体" w:hAnsi="Book Antiqua"/>
          <w:b/>
          <w:kern w:val="2"/>
          <w:lang w:eastAsia="zh-CN"/>
        </w:rPr>
        <w:t>Ray G</w:t>
      </w:r>
      <w:r w:rsidRPr="00962DA9">
        <w:rPr>
          <w:rFonts w:ascii="Book Antiqua" w:eastAsia="宋体" w:hAnsi="Book Antiqua"/>
          <w:kern w:val="2"/>
          <w:lang w:eastAsia="zh-CN"/>
        </w:rPr>
        <w:t xml:space="preserve">. Long-term outcome of endoscopic variceal band ligation of esophageal varices in patients with chronic liver disease. </w:t>
      </w:r>
      <w:r w:rsidRPr="00962DA9">
        <w:rPr>
          <w:rFonts w:ascii="Book Antiqua" w:eastAsia="宋体" w:hAnsi="Book Antiqua"/>
          <w:i/>
          <w:kern w:val="2"/>
          <w:lang w:eastAsia="zh-CN"/>
        </w:rPr>
        <w:t>Indian J Gastroenterol</w:t>
      </w:r>
      <w:r w:rsidRPr="00962DA9">
        <w:rPr>
          <w:rFonts w:ascii="Book Antiqua" w:eastAsia="宋体" w:hAnsi="Book Antiqua"/>
          <w:kern w:val="2"/>
          <w:lang w:eastAsia="zh-CN"/>
        </w:rPr>
        <w:t xml:space="preserve"> 2019; </w:t>
      </w:r>
      <w:r w:rsidRPr="00962DA9">
        <w:rPr>
          <w:rFonts w:ascii="Book Antiqua" w:eastAsia="宋体" w:hAnsi="Book Antiqua"/>
          <w:b/>
          <w:kern w:val="2"/>
          <w:lang w:eastAsia="zh-CN"/>
        </w:rPr>
        <w:t>38</w:t>
      </w:r>
      <w:r w:rsidRPr="00962DA9">
        <w:rPr>
          <w:rFonts w:ascii="Book Antiqua" w:eastAsia="宋体" w:hAnsi="Book Antiqua"/>
          <w:kern w:val="2"/>
          <w:lang w:eastAsia="zh-CN"/>
        </w:rPr>
        <w:t>: 69-76 [PMID: 30868452 DOI: 10.1007/s12664-019-00938-7]</w:t>
      </w:r>
    </w:p>
    <w:p w14:paraId="44DBDE88"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39 </w:t>
      </w:r>
      <w:proofErr w:type="spellStart"/>
      <w:r w:rsidRPr="00962DA9">
        <w:rPr>
          <w:rFonts w:ascii="Book Antiqua" w:eastAsia="宋体" w:hAnsi="Book Antiqua"/>
          <w:b/>
          <w:kern w:val="2"/>
          <w:lang w:eastAsia="zh-CN"/>
        </w:rPr>
        <w:t>Aggeletopoulou</w:t>
      </w:r>
      <w:proofErr w:type="spellEnd"/>
      <w:r w:rsidRPr="00962DA9">
        <w:rPr>
          <w:rFonts w:ascii="Book Antiqua" w:eastAsia="宋体" w:hAnsi="Book Antiqua"/>
          <w:b/>
          <w:kern w:val="2"/>
          <w:lang w:eastAsia="zh-CN"/>
        </w:rPr>
        <w:t xml:space="preserve"> I</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Konstantakis</w:t>
      </w:r>
      <w:proofErr w:type="spellEnd"/>
      <w:r w:rsidRPr="00962DA9">
        <w:rPr>
          <w:rFonts w:ascii="Book Antiqua" w:eastAsia="宋体" w:hAnsi="Book Antiqua"/>
          <w:kern w:val="2"/>
          <w:lang w:eastAsia="zh-CN"/>
        </w:rPr>
        <w:t xml:space="preserve"> C, </w:t>
      </w:r>
      <w:proofErr w:type="spellStart"/>
      <w:r w:rsidRPr="00962DA9">
        <w:rPr>
          <w:rFonts w:ascii="Book Antiqua" w:eastAsia="宋体" w:hAnsi="Book Antiqua"/>
          <w:kern w:val="2"/>
          <w:lang w:eastAsia="zh-CN"/>
        </w:rPr>
        <w:t>Manolakopoulos</w:t>
      </w:r>
      <w:proofErr w:type="spellEnd"/>
      <w:r w:rsidRPr="00962DA9">
        <w:rPr>
          <w:rFonts w:ascii="Book Antiqua" w:eastAsia="宋体" w:hAnsi="Book Antiqua"/>
          <w:kern w:val="2"/>
          <w:lang w:eastAsia="zh-CN"/>
        </w:rPr>
        <w:t xml:space="preserve"> S, </w:t>
      </w:r>
      <w:proofErr w:type="spellStart"/>
      <w:r w:rsidRPr="00962DA9">
        <w:rPr>
          <w:rFonts w:ascii="Book Antiqua" w:eastAsia="宋体" w:hAnsi="Book Antiqua"/>
          <w:kern w:val="2"/>
          <w:lang w:eastAsia="zh-CN"/>
        </w:rPr>
        <w:t>Triantos</w:t>
      </w:r>
      <w:proofErr w:type="spellEnd"/>
      <w:r w:rsidRPr="00962DA9">
        <w:rPr>
          <w:rFonts w:ascii="Book Antiqua" w:eastAsia="宋体" w:hAnsi="Book Antiqua"/>
          <w:kern w:val="2"/>
          <w:lang w:eastAsia="zh-CN"/>
        </w:rPr>
        <w:t xml:space="preserve"> C. Role of band ligation for secondary prophylaxis of variceal bleeding. </w:t>
      </w:r>
      <w:r w:rsidRPr="00962DA9">
        <w:rPr>
          <w:rFonts w:ascii="Book Antiqua" w:eastAsia="宋体" w:hAnsi="Book Antiqua"/>
          <w:i/>
          <w:kern w:val="2"/>
          <w:lang w:eastAsia="zh-CN"/>
        </w:rPr>
        <w:t>World J Gastroenterol</w:t>
      </w:r>
      <w:r w:rsidRPr="00962DA9">
        <w:rPr>
          <w:rFonts w:ascii="Book Antiqua" w:eastAsia="宋体" w:hAnsi="Book Antiqua"/>
          <w:kern w:val="2"/>
          <w:lang w:eastAsia="zh-CN"/>
        </w:rPr>
        <w:t xml:space="preserve"> 2018; </w:t>
      </w:r>
      <w:r w:rsidRPr="00962DA9">
        <w:rPr>
          <w:rFonts w:ascii="Book Antiqua" w:eastAsia="宋体" w:hAnsi="Book Antiqua"/>
          <w:b/>
          <w:kern w:val="2"/>
          <w:lang w:eastAsia="zh-CN"/>
        </w:rPr>
        <w:t>24</w:t>
      </w:r>
      <w:r w:rsidRPr="00962DA9">
        <w:rPr>
          <w:rFonts w:ascii="Book Antiqua" w:eastAsia="宋体" w:hAnsi="Book Antiqua"/>
          <w:kern w:val="2"/>
          <w:lang w:eastAsia="zh-CN"/>
        </w:rPr>
        <w:t>: 2902-2914 [PMID: 30018485 DOI: 10.3748/wjg.v24.i26.2902]</w:t>
      </w:r>
    </w:p>
    <w:p w14:paraId="41F4D33C"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40 </w:t>
      </w:r>
      <w:r w:rsidRPr="00962DA9">
        <w:rPr>
          <w:rFonts w:ascii="Book Antiqua" w:eastAsia="宋体" w:hAnsi="Book Antiqua"/>
          <w:b/>
          <w:kern w:val="2"/>
          <w:lang w:eastAsia="zh-CN"/>
        </w:rPr>
        <w:t>Branch-Elliman W</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Perumalswami</w:t>
      </w:r>
      <w:proofErr w:type="spellEnd"/>
      <w:r w:rsidRPr="00962DA9">
        <w:rPr>
          <w:rFonts w:ascii="Book Antiqua" w:eastAsia="宋体" w:hAnsi="Book Antiqua"/>
          <w:kern w:val="2"/>
          <w:lang w:eastAsia="zh-CN"/>
        </w:rPr>
        <w:t xml:space="preserve"> P, Factor SH, Sled SM, Flamm SL. Rates of recurrent variceal bleeding are low with modern esophageal banding strategies: a retrospective cohort study. </w:t>
      </w:r>
      <w:proofErr w:type="spellStart"/>
      <w:r w:rsidRPr="00962DA9">
        <w:rPr>
          <w:rFonts w:ascii="Book Antiqua" w:eastAsia="宋体" w:hAnsi="Book Antiqua"/>
          <w:i/>
          <w:kern w:val="2"/>
          <w:lang w:eastAsia="zh-CN"/>
        </w:rPr>
        <w:t>Scand</w:t>
      </w:r>
      <w:proofErr w:type="spellEnd"/>
      <w:r w:rsidRPr="00962DA9">
        <w:rPr>
          <w:rFonts w:ascii="Book Antiqua" w:eastAsia="宋体" w:hAnsi="Book Antiqua"/>
          <w:i/>
          <w:kern w:val="2"/>
          <w:lang w:eastAsia="zh-CN"/>
        </w:rPr>
        <w:t xml:space="preserve"> J Gastroenterol</w:t>
      </w:r>
      <w:r w:rsidRPr="00962DA9">
        <w:rPr>
          <w:rFonts w:ascii="Book Antiqua" w:eastAsia="宋体" w:hAnsi="Book Antiqua"/>
          <w:kern w:val="2"/>
          <w:lang w:eastAsia="zh-CN"/>
        </w:rPr>
        <w:t xml:space="preserve"> 2015; </w:t>
      </w:r>
      <w:r w:rsidRPr="00962DA9">
        <w:rPr>
          <w:rFonts w:ascii="Book Antiqua" w:eastAsia="宋体" w:hAnsi="Book Antiqua"/>
          <w:b/>
          <w:kern w:val="2"/>
          <w:lang w:eastAsia="zh-CN"/>
        </w:rPr>
        <w:t>50</w:t>
      </w:r>
      <w:r w:rsidRPr="00962DA9">
        <w:rPr>
          <w:rFonts w:ascii="Book Antiqua" w:eastAsia="宋体" w:hAnsi="Book Antiqua"/>
          <w:kern w:val="2"/>
          <w:lang w:eastAsia="zh-CN"/>
        </w:rPr>
        <w:t>: 1059-1067 [PMID: 25865440 DOI: 10.3109/00365521.2015.1027263]</w:t>
      </w:r>
    </w:p>
    <w:p w14:paraId="685877BE"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41 </w:t>
      </w:r>
      <w:r w:rsidRPr="00962DA9">
        <w:rPr>
          <w:rFonts w:ascii="Book Antiqua" w:eastAsia="宋体" w:hAnsi="Book Antiqua"/>
          <w:b/>
          <w:kern w:val="2"/>
          <w:lang w:eastAsia="zh-CN"/>
        </w:rPr>
        <w:t>Ko SY</w:t>
      </w:r>
      <w:r w:rsidRPr="00962DA9">
        <w:rPr>
          <w:rFonts w:ascii="Book Antiqua" w:eastAsia="宋体" w:hAnsi="Book Antiqua"/>
          <w:kern w:val="2"/>
          <w:lang w:eastAsia="zh-CN"/>
        </w:rPr>
        <w:t xml:space="preserve">, Kim JH, Choe WH, Kwon SY, Lee CH. Pharmacotherapy alone vs endoscopic variceal ligation combination for secondary prevention of </w:t>
      </w:r>
      <w:proofErr w:type="spellStart"/>
      <w:r w:rsidRPr="00962DA9">
        <w:rPr>
          <w:rFonts w:ascii="Book Antiqua" w:eastAsia="宋体" w:hAnsi="Book Antiqua"/>
          <w:kern w:val="2"/>
          <w:lang w:eastAsia="zh-CN"/>
        </w:rPr>
        <w:t>oesophageal</w:t>
      </w:r>
      <w:proofErr w:type="spellEnd"/>
      <w:r w:rsidRPr="00962DA9">
        <w:rPr>
          <w:rFonts w:ascii="Book Antiqua" w:eastAsia="宋体" w:hAnsi="Book Antiqua"/>
          <w:kern w:val="2"/>
          <w:lang w:eastAsia="zh-CN"/>
        </w:rPr>
        <w:t xml:space="preserve"> variceal bleeding: meta-analysis. </w:t>
      </w:r>
      <w:r w:rsidRPr="00962DA9">
        <w:rPr>
          <w:rFonts w:ascii="Book Antiqua" w:eastAsia="宋体" w:hAnsi="Book Antiqua"/>
          <w:i/>
          <w:kern w:val="2"/>
          <w:lang w:eastAsia="zh-CN"/>
        </w:rPr>
        <w:t>Liver Int</w:t>
      </w:r>
      <w:r w:rsidRPr="00962DA9">
        <w:rPr>
          <w:rFonts w:ascii="Book Antiqua" w:eastAsia="宋体" w:hAnsi="Book Antiqua"/>
          <w:kern w:val="2"/>
          <w:lang w:eastAsia="zh-CN"/>
        </w:rPr>
        <w:t xml:space="preserve"> 2012; </w:t>
      </w:r>
      <w:r w:rsidRPr="00962DA9">
        <w:rPr>
          <w:rFonts w:ascii="Book Antiqua" w:eastAsia="宋体" w:hAnsi="Book Antiqua"/>
          <w:b/>
          <w:kern w:val="2"/>
          <w:lang w:eastAsia="zh-CN"/>
        </w:rPr>
        <w:t>32</w:t>
      </w:r>
      <w:r w:rsidRPr="00962DA9">
        <w:rPr>
          <w:rFonts w:ascii="Book Antiqua" w:eastAsia="宋体" w:hAnsi="Book Antiqua"/>
          <w:kern w:val="2"/>
          <w:lang w:eastAsia="zh-CN"/>
        </w:rPr>
        <w:t>: 867-869 [PMID: 22133043 DOI: 10.1111/j.1478-3231.2011.02681.x]</w:t>
      </w:r>
    </w:p>
    <w:p w14:paraId="24F690C9"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42 </w:t>
      </w:r>
      <w:r w:rsidRPr="00962DA9">
        <w:rPr>
          <w:rFonts w:ascii="Book Antiqua" w:eastAsia="宋体" w:hAnsi="Book Antiqua"/>
          <w:b/>
          <w:kern w:val="2"/>
          <w:lang w:eastAsia="zh-CN"/>
        </w:rPr>
        <w:t>Cho H</w:t>
      </w:r>
      <w:r w:rsidRPr="00962DA9">
        <w:rPr>
          <w:rFonts w:ascii="Book Antiqua" w:eastAsia="宋体" w:hAnsi="Book Antiqua"/>
          <w:kern w:val="2"/>
          <w:lang w:eastAsia="zh-CN"/>
        </w:rPr>
        <w:t xml:space="preserve">, Nagata N, </w:t>
      </w:r>
      <w:proofErr w:type="spellStart"/>
      <w:r w:rsidRPr="00962DA9">
        <w:rPr>
          <w:rFonts w:ascii="Book Antiqua" w:eastAsia="宋体" w:hAnsi="Book Antiqua"/>
          <w:kern w:val="2"/>
          <w:lang w:eastAsia="zh-CN"/>
        </w:rPr>
        <w:t>Shimbo</w:t>
      </w:r>
      <w:proofErr w:type="spellEnd"/>
      <w:r w:rsidRPr="00962DA9">
        <w:rPr>
          <w:rFonts w:ascii="Book Antiqua" w:eastAsia="宋体" w:hAnsi="Book Antiqua"/>
          <w:kern w:val="2"/>
          <w:lang w:eastAsia="zh-CN"/>
        </w:rPr>
        <w:t xml:space="preserve"> T, Sakurai T, </w:t>
      </w:r>
      <w:proofErr w:type="spellStart"/>
      <w:r w:rsidRPr="00962DA9">
        <w:rPr>
          <w:rFonts w:ascii="Book Antiqua" w:eastAsia="宋体" w:hAnsi="Book Antiqua"/>
          <w:kern w:val="2"/>
          <w:lang w:eastAsia="zh-CN"/>
        </w:rPr>
        <w:t>Sekine</w:t>
      </w:r>
      <w:proofErr w:type="spellEnd"/>
      <w:r w:rsidRPr="00962DA9">
        <w:rPr>
          <w:rFonts w:ascii="Book Antiqua" w:eastAsia="宋体" w:hAnsi="Book Antiqua"/>
          <w:kern w:val="2"/>
          <w:lang w:eastAsia="zh-CN"/>
        </w:rPr>
        <w:t xml:space="preserve"> K, Okubo H, </w:t>
      </w:r>
      <w:proofErr w:type="spellStart"/>
      <w:r w:rsidRPr="00962DA9">
        <w:rPr>
          <w:rFonts w:ascii="Book Antiqua" w:eastAsia="宋体" w:hAnsi="Book Antiqua"/>
          <w:kern w:val="2"/>
          <w:lang w:eastAsia="zh-CN"/>
        </w:rPr>
        <w:t>Imbe</w:t>
      </w:r>
      <w:proofErr w:type="spellEnd"/>
      <w:r w:rsidRPr="00962DA9">
        <w:rPr>
          <w:rFonts w:ascii="Book Antiqua" w:eastAsia="宋体" w:hAnsi="Book Antiqua"/>
          <w:kern w:val="2"/>
          <w:lang w:eastAsia="zh-CN"/>
        </w:rPr>
        <w:t xml:space="preserve"> K, Watanabe K, </w:t>
      </w:r>
      <w:proofErr w:type="spellStart"/>
      <w:r w:rsidRPr="00962DA9">
        <w:rPr>
          <w:rFonts w:ascii="Book Antiqua" w:eastAsia="宋体" w:hAnsi="Book Antiqua"/>
          <w:kern w:val="2"/>
          <w:lang w:eastAsia="zh-CN"/>
        </w:rPr>
        <w:t>Mikami</w:t>
      </w:r>
      <w:proofErr w:type="spellEnd"/>
      <w:r w:rsidRPr="00962DA9">
        <w:rPr>
          <w:rFonts w:ascii="Book Antiqua" w:eastAsia="宋体" w:hAnsi="Book Antiqua"/>
          <w:kern w:val="2"/>
          <w:lang w:eastAsia="zh-CN"/>
        </w:rPr>
        <w:t xml:space="preserve"> S, Yokoi C, </w:t>
      </w:r>
      <w:proofErr w:type="spellStart"/>
      <w:r w:rsidRPr="00962DA9">
        <w:rPr>
          <w:rFonts w:ascii="Book Antiqua" w:eastAsia="宋体" w:hAnsi="Book Antiqua"/>
          <w:kern w:val="2"/>
          <w:lang w:eastAsia="zh-CN"/>
        </w:rPr>
        <w:t>Kobayakawa</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Mizokami</w:t>
      </w:r>
      <w:proofErr w:type="spellEnd"/>
      <w:r w:rsidRPr="00962DA9">
        <w:rPr>
          <w:rFonts w:ascii="Book Antiqua" w:eastAsia="宋体" w:hAnsi="Book Antiqua"/>
          <w:kern w:val="2"/>
          <w:lang w:eastAsia="zh-CN"/>
        </w:rPr>
        <w:t xml:space="preserve"> M, Yanase M, Akiyama J, </w:t>
      </w:r>
      <w:proofErr w:type="spellStart"/>
      <w:r w:rsidRPr="00962DA9">
        <w:rPr>
          <w:rFonts w:ascii="Book Antiqua" w:eastAsia="宋体" w:hAnsi="Book Antiqua"/>
          <w:kern w:val="2"/>
          <w:lang w:eastAsia="zh-CN"/>
        </w:rPr>
        <w:t>Uemura</w:t>
      </w:r>
      <w:proofErr w:type="spellEnd"/>
      <w:r w:rsidRPr="00962DA9">
        <w:rPr>
          <w:rFonts w:ascii="Book Antiqua" w:eastAsia="宋体" w:hAnsi="Book Antiqua"/>
          <w:kern w:val="2"/>
          <w:lang w:eastAsia="zh-CN"/>
        </w:rPr>
        <w:t xml:space="preserve"> N. Recurrence and prognosis of patients emergently hospitalized for acute esophageal variceal bleeding: A long-term cohort study. </w:t>
      </w:r>
      <w:r w:rsidRPr="00962DA9">
        <w:rPr>
          <w:rFonts w:ascii="Book Antiqua" w:eastAsia="宋体" w:hAnsi="Book Antiqua"/>
          <w:i/>
          <w:kern w:val="2"/>
          <w:lang w:eastAsia="zh-CN"/>
        </w:rPr>
        <w:t>Hepatol Res</w:t>
      </w:r>
      <w:r w:rsidRPr="00962DA9">
        <w:rPr>
          <w:rFonts w:ascii="Book Antiqua" w:eastAsia="宋体" w:hAnsi="Book Antiqua"/>
          <w:kern w:val="2"/>
          <w:lang w:eastAsia="zh-CN"/>
        </w:rPr>
        <w:t xml:space="preserve"> 2016; </w:t>
      </w:r>
      <w:r w:rsidRPr="00962DA9">
        <w:rPr>
          <w:rFonts w:ascii="Book Antiqua" w:eastAsia="宋体" w:hAnsi="Book Antiqua"/>
          <w:b/>
          <w:kern w:val="2"/>
          <w:lang w:eastAsia="zh-CN"/>
        </w:rPr>
        <w:t>46</w:t>
      </w:r>
      <w:r w:rsidRPr="00962DA9">
        <w:rPr>
          <w:rFonts w:ascii="Book Antiqua" w:eastAsia="宋体" w:hAnsi="Book Antiqua"/>
          <w:kern w:val="2"/>
          <w:lang w:eastAsia="zh-CN"/>
        </w:rPr>
        <w:t>: 1338-1346 [PMID: 26946225 DOI: 10.1111/hepr.12692]</w:t>
      </w:r>
    </w:p>
    <w:p w14:paraId="221D43EA" w14:textId="77777777" w:rsidR="00E93A67" w:rsidRPr="00E93A67" w:rsidRDefault="00E93A67" w:rsidP="00037B5D">
      <w:pPr>
        <w:spacing w:line="360" w:lineRule="auto"/>
        <w:jc w:val="both"/>
        <w:rPr>
          <w:rFonts w:ascii="Book Antiqua" w:hAnsi="Book Antiqua" w:cs="Book Antiqua"/>
          <w:color w:val="000000"/>
          <w:lang w:eastAsia="zh-CN"/>
        </w:rPr>
        <w:sectPr w:rsidR="00E93A67" w:rsidRPr="00E93A67" w:rsidSect="00037B5D">
          <w:pgSz w:w="11907" w:h="16839" w:code="9"/>
          <w:pgMar w:top="1418" w:right="1701" w:bottom="1418" w:left="1701" w:header="720" w:footer="720" w:gutter="0"/>
          <w:cols w:space="720"/>
          <w:docGrid w:linePitch="360"/>
        </w:sectPr>
      </w:pPr>
    </w:p>
    <w:p w14:paraId="57C33A21" w14:textId="77777777" w:rsidR="00A77B3E" w:rsidRDefault="0055108A">
      <w:pPr>
        <w:spacing w:line="360" w:lineRule="auto"/>
        <w:jc w:val="both"/>
      </w:pPr>
      <w:r>
        <w:rPr>
          <w:rFonts w:ascii="Book Antiqua" w:eastAsia="Book Antiqua" w:hAnsi="Book Antiqua" w:cs="Book Antiqua"/>
          <w:b/>
          <w:color w:val="000000"/>
        </w:rPr>
        <w:lastRenderedPageBreak/>
        <w:t>Footnotes</w:t>
      </w:r>
    </w:p>
    <w:p w14:paraId="7799E0D2" w14:textId="77777777" w:rsidR="00A77B3E" w:rsidRPr="005A4E24" w:rsidRDefault="0055108A">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w:t>
      </w:r>
      <w:r w:rsidR="005A4E24" w:rsidRPr="00343006">
        <w:rPr>
          <w:rFonts w:ascii="Book Antiqua" w:eastAsia="Book Antiqua" w:hAnsi="Book Antiqua" w:cs="Book Antiqua"/>
          <w:color w:val="000000"/>
        </w:rPr>
        <w:t xml:space="preserve"> Human Research Ethics Committee </w:t>
      </w:r>
      <w:r w:rsidR="00343006" w:rsidRPr="00343006">
        <w:rPr>
          <w:rFonts w:ascii="Book Antiqua" w:eastAsia="Book Antiqua" w:hAnsi="Book Antiqua" w:cs="Book Antiqua"/>
          <w:color w:val="000000"/>
        </w:rPr>
        <w:t>University of Cape Town Health Sciences Faculty</w:t>
      </w:r>
      <w:r w:rsidR="005A4E24">
        <w:rPr>
          <w:rFonts w:ascii="Book Antiqua" w:hAnsi="Book Antiqua" w:cs="Book Antiqua" w:hint="eastAsia"/>
          <w:color w:val="000000"/>
          <w:lang w:eastAsia="zh-CN"/>
        </w:rPr>
        <w:t>.</w:t>
      </w:r>
    </w:p>
    <w:p w14:paraId="6552DA83" w14:textId="77777777" w:rsidR="00A77B3E" w:rsidRDefault="00A77B3E">
      <w:pPr>
        <w:spacing w:line="360" w:lineRule="auto"/>
        <w:jc w:val="both"/>
      </w:pPr>
    </w:p>
    <w:p w14:paraId="3695C81B" w14:textId="77777777" w:rsidR="00A77B3E" w:rsidRPr="00462064" w:rsidRDefault="0055108A">
      <w:pPr>
        <w:spacing w:line="360" w:lineRule="auto"/>
        <w:jc w:val="both"/>
        <w:rPr>
          <w:lang w:eastAsia="zh-CN"/>
        </w:rPr>
      </w:pPr>
      <w:bookmarkStart w:id="18" w:name="OLE_LINK14"/>
      <w:r>
        <w:rPr>
          <w:rFonts w:ascii="Book Antiqua" w:eastAsia="Book Antiqua" w:hAnsi="Book Antiqua" w:cs="Book Antiqua"/>
          <w:b/>
          <w:bCs/>
          <w:color w:val="000000"/>
        </w:rPr>
        <w:t>Conflict-of-interest</w:t>
      </w:r>
      <w:bookmarkEnd w:id="18"/>
      <w:r>
        <w:rPr>
          <w:rFonts w:ascii="Book Antiqua" w:eastAsia="Book Antiqua" w:hAnsi="Book Antiqua" w:cs="Book Antiqua"/>
          <w:b/>
          <w:bCs/>
          <w:color w:val="000000"/>
        </w:rPr>
        <w:t xml:space="preserve"> statement: </w:t>
      </w:r>
      <w:r w:rsidR="00462064">
        <w:rPr>
          <w:rFonts w:ascii="Book Antiqua" w:hAnsi="Book Antiqua" w:cs="Book Antiqua" w:hint="eastAsia"/>
          <w:color w:val="000000"/>
          <w:lang w:eastAsia="zh-CN"/>
        </w:rPr>
        <w:t xml:space="preserve">They authors declare </w:t>
      </w:r>
      <w:r w:rsidR="00880179">
        <w:rPr>
          <w:rFonts w:ascii="Book Antiqua" w:hAnsi="Book Antiqua" w:cs="Book Antiqua" w:hint="eastAsia"/>
          <w:color w:val="000000"/>
          <w:lang w:eastAsia="zh-CN"/>
        </w:rPr>
        <w:t>they have no</w:t>
      </w:r>
      <w:r w:rsidR="00880179" w:rsidRPr="00880179">
        <w:t xml:space="preserve"> </w:t>
      </w:r>
      <w:r w:rsidR="00880179">
        <w:rPr>
          <w:rFonts w:ascii="Book Antiqua" w:hAnsi="Book Antiqua" w:cs="Book Antiqua" w:hint="eastAsia"/>
          <w:color w:val="000000"/>
          <w:lang w:eastAsia="zh-CN"/>
        </w:rPr>
        <w:t>c</w:t>
      </w:r>
      <w:r w:rsidR="00880179" w:rsidRPr="00880179">
        <w:rPr>
          <w:rFonts w:ascii="Book Antiqua" w:hAnsi="Book Antiqua" w:cs="Book Antiqua"/>
          <w:color w:val="000000"/>
          <w:lang w:eastAsia="zh-CN"/>
        </w:rPr>
        <w:t>onflict-of-interest</w:t>
      </w:r>
      <w:r w:rsidR="00880179">
        <w:rPr>
          <w:rFonts w:ascii="Book Antiqua" w:hAnsi="Book Antiqua" w:cs="Book Antiqua" w:hint="eastAsia"/>
          <w:color w:val="000000"/>
          <w:lang w:eastAsia="zh-CN"/>
        </w:rPr>
        <w:t>.</w:t>
      </w:r>
    </w:p>
    <w:p w14:paraId="2B2A7898" w14:textId="77777777" w:rsidR="00A77B3E" w:rsidRDefault="00A77B3E">
      <w:pPr>
        <w:spacing w:line="360" w:lineRule="auto"/>
        <w:jc w:val="both"/>
      </w:pPr>
    </w:p>
    <w:p w14:paraId="17612F52" w14:textId="77777777" w:rsidR="00A77B3E" w:rsidRPr="001816A8" w:rsidRDefault="0055108A">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w:t>
      </w:r>
      <w:r w:rsidR="001816A8">
        <w:rPr>
          <w:rFonts w:ascii="Book Antiqua" w:hAnsi="Book Antiqua" w:cs="Book Antiqua" w:hint="eastAsia"/>
          <w:color w:val="000000"/>
          <w:lang w:eastAsia="zh-CN"/>
        </w:rPr>
        <w:t>.</w:t>
      </w:r>
    </w:p>
    <w:p w14:paraId="066116F0" w14:textId="77777777" w:rsidR="00A77B3E" w:rsidRDefault="00A77B3E">
      <w:pPr>
        <w:spacing w:line="360" w:lineRule="auto"/>
        <w:jc w:val="both"/>
      </w:pPr>
    </w:p>
    <w:p w14:paraId="55B9A6DD" w14:textId="77777777" w:rsidR="000E2AE9" w:rsidRPr="00FB687C" w:rsidRDefault="000E2AE9" w:rsidP="000E2AE9">
      <w:pPr>
        <w:spacing w:line="360" w:lineRule="auto"/>
        <w:jc w:val="both"/>
        <w:rPr>
          <w:rFonts w:ascii="Book Antiqua" w:hAnsi="Book Antiqua"/>
          <w:b/>
        </w:rPr>
      </w:pPr>
      <w:r w:rsidRPr="00FB687C">
        <w:rPr>
          <w:rFonts w:ascii="Book Antiqua" w:hAnsi="Book Antiqua"/>
          <w:b/>
        </w:rPr>
        <w:t>STROBE statement:</w:t>
      </w:r>
      <w:r>
        <w:rPr>
          <w:rFonts w:ascii="Book Antiqua" w:hAnsi="Book Antiqua"/>
          <w:b/>
        </w:rPr>
        <w:t xml:space="preserve"> </w:t>
      </w:r>
      <w:r w:rsidRPr="00BE588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E435688" w14:textId="77777777" w:rsidR="000E2AE9" w:rsidRDefault="000E2AE9">
      <w:pPr>
        <w:spacing w:line="360" w:lineRule="auto"/>
        <w:jc w:val="both"/>
      </w:pPr>
    </w:p>
    <w:p w14:paraId="085B8EFA" w14:textId="77777777" w:rsidR="00A77B3E" w:rsidRDefault="005510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88D20E" w14:textId="77777777" w:rsidR="00A77B3E" w:rsidRDefault="00A77B3E">
      <w:pPr>
        <w:spacing w:line="360" w:lineRule="auto"/>
        <w:jc w:val="both"/>
      </w:pPr>
    </w:p>
    <w:p w14:paraId="0AEF36A2" w14:textId="77777777" w:rsidR="00A77B3E" w:rsidRDefault="0055108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E17FA">
        <w:rPr>
          <w:rFonts w:ascii="Book Antiqua" w:eastAsia="Book Antiqua" w:hAnsi="Book Antiqua" w:cs="Book Antiqua"/>
          <w:color w:val="000000"/>
        </w:rPr>
        <w:t>m</w:t>
      </w:r>
      <w:r>
        <w:rPr>
          <w:rFonts w:ascii="Book Antiqua" w:eastAsia="Book Antiqua" w:hAnsi="Book Antiqua" w:cs="Book Antiqua"/>
          <w:color w:val="000000"/>
        </w:rPr>
        <w:t>anuscript</w:t>
      </w:r>
    </w:p>
    <w:p w14:paraId="160FACA3" w14:textId="77777777" w:rsidR="00A77B3E" w:rsidRDefault="00A77B3E">
      <w:pPr>
        <w:spacing w:line="360" w:lineRule="auto"/>
        <w:jc w:val="both"/>
      </w:pPr>
    </w:p>
    <w:p w14:paraId="725E9D23" w14:textId="77777777" w:rsidR="00A77B3E" w:rsidRDefault="005510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2020</w:t>
      </w:r>
    </w:p>
    <w:p w14:paraId="32BF4333" w14:textId="77777777" w:rsidR="00A77B3E" w:rsidRDefault="005510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14:paraId="6E81BC30" w14:textId="77777777" w:rsidR="00A77B3E" w:rsidRDefault="0055108A">
      <w:pPr>
        <w:spacing w:line="360" w:lineRule="auto"/>
        <w:jc w:val="both"/>
      </w:pPr>
      <w:r>
        <w:rPr>
          <w:rFonts w:ascii="Book Antiqua" w:eastAsia="Book Antiqua" w:hAnsi="Book Antiqua" w:cs="Book Antiqua"/>
          <w:b/>
          <w:color w:val="000000"/>
        </w:rPr>
        <w:t xml:space="preserve">Article in press: </w:t>
      </w:r>
    </w:p>
    <w:p w14:paraId="021D7447" w14:textId="77777777" w:rsidR="00A77B3E" w:rsidRDefault="00A77B3E">
      <w:pPr>
        <w:spacing w:line="360" w:lineRule="auto"/>
        <w:jc w:val="both"/>
      </w:pPr>
    </w:p>
    <w:p w14:paraId="3F027E91" w14:textId="77777777" w:rsidR="00A77B3E" w:rsidRDefault="0055108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FE17FA">
        <w:rPr>
          <w:rFonts w:ascii="Book Antiqua" w:eastAsia="Book Antiqua" w:hAnsi="Book Antiqua" w:cs="Book Antiqua"/>
          <w:color w:val="000000"/>
        </w:rPr>
        <w:t>h</w:t>
      </w:r>
      <w:r>
        <w:rPr>
          <w:rFonts w:ascii="Book Antiqua" w:eastAsia="Book Antiqua" w:hAnsi="Book Antiqua" w:cs="Book Antiqua"/>
          <w:color w:val="000000"/>
        </w:rPr>
        <w:t>epatology</w:t>
      </w:r>
    </w:p>
    <w:p w14:paraId="5DBE520C" w14:textId="77777777" w:rsidR="00A77B3E" w:rsidRDefault="005510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Africa</w:t>
      </w:r>
    </w:p>
    <w:p w14:paraId="695E913D" w14:textId="77777777" w:rsidR="00A77B3E" w:rsidRDefault="0055108A">
      <w:pPr>
        <w:spacing w:line="360" w:lineRule="auto"/>
        <w:jc w:val="both"/>
      </w:pPr>
      <w:r>
        <w:rPr>
          <w:rFonts w:ascii="Book Antiqua" w:eastAsia="Book Antiqua" w:hAnsi="Book Antiqua" w:cs="Book Antiqua"/>
          <w:b/>
          <w:color w:val="000000"/>
        </w:rPr>
        <w:t>Peer-review report’s scientific quality classification</w:t>
      </w:r>
    </w:p>
    <w:p w14:paraId="6BF6CD2A" w14:textId="77777777" w:rsidR="00A77B3E" w:rsidRDefault="0055108A">
      <w:pPr>
        <w:spacing w:line="360" w:lineRule="auto"/>
        <w:jc w:val="both"/>
      </w:pPr>
      <w:r>
        <w:rPr>
          <w:rFonts w:ascii="Book Antiqua" w:eastAsia="Book Antiqua" w:hAnsi="Book Antiqua" w:cs="Book Antiqua"/>
          <w:color w:val="000000"/>
        </w:rPr>
        <w:t>Grade A (Excellent): 0</w:t>
      </w:r>
    </w:p>
    <w:p w14:paraId="7629B5B2" w14:textId="77777777" w:rsidR="00A77B3E" w:rsidRDefault="0055108A">
      <w:pPr>
        <w:spacing w:line="360" w:lineRule="auto"/>
        <w:jc w:val="both"/>
      </w:pPr>
      <w:r>
        <w:rPr>
          <w:rFonts w:ascii="Book Antiqua" w:eastAsia="Book Antiqua" w:hAnsi="Book Antiqua" w:cs="Book Antiqua"/>
          <w:color w:val="000000"/>
        </w:rPr>
        <w:t>Grade B (Very good): 0</w:t>
      </w:r>
    </w:p>
    <w:p w14:paraId="392C6E2B" w14:textId="77777777" w:rsidR="00A77B3E" w:rsidRDefault="0055108A">
      <w:pPr>
        <w:spacing w:line="360" w:lineRule="auto"/>
        <w:jc w:val="both"/>
      </w:pPr>
      <w:r>
        <w:rPr>
          <w:rFonts w:ascii="Book Antiqua" w:eastAsia="Book Antiqua" w:hAnsi="Book Antiqua" w:cs="Book Antiqua"/>
          <w:color w:val="000000"/>
        </w:rPr>
        <w:lastRenderedPageBreak/>
        <w:t>Grade C (Good): C</w:t>
      </w:r>
    </w:p>
    <w:p w14:paraId="788B2EE0" w14:textId="77777777" w:rsidR="00A77B3E" w:rsidRDefault="0055108A">
      <w:pPr>
        <w:spacing w:line="360" w:lineRule="auto"/>
        <w:jc w:val="both"/>
      </w:pPr>
      <w:r>
        <w:rPr>
          <w:rFonts w:ascii="Book Antiqua" w:eastAsia="Book Antiqua" w:hAnsi="Book Antiqua" w:cs="Book Antiqua"/>
          <w:color w:val="000000"/>
        </w:rPr>
        <w:t>Grade D (Fair): 0</w:t>
      </w:r>
    </w:p>
    <w:p w14:paraId="0E923D9D" w14:textId="77777777" w:rsidR="00A77B3E" w:rsidRDefault="0055108A">
      <w:pPr>
        <w:spacing w:line="360" w:lineRule="auto"/>
        <w:jc w:val="both"/>
      </w:pPr>
      <w:r>
        <w:rPr>
          <w:rFonts w:ascii="Book Antiqua" w:eastAsia="Book Antiqua" w:hAnsi="Book Antiqua" w:cs="Book Antiqua"/>
          <w:color w:val="000000"/>
        </w:rPr>
        <w:t>Grade E (Poor): E</w:t>
      </w:r>
    </w:p>
    <w:p w14:paraId="1B527BCA" w14:textId="77777777" w:rsidR="00A77B3E" w:rsidRDefault="00A77B3E">
      <w:pPr>
        <w:spacing w:line="360" w:lineRule="auto"/>
        <w:jc w:val="both"/>
      </w:pPr>
    </w:p>
    <w:p w14:paraId="4663C05C" w14:textId="77777777" w:rsidR="00C67EC3" w:rsidRDefault="005510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Kadayifci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Karagiannakis</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033C5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BD76A4D" w14:textId="77777777" w:rsidR="00227026" w:rsidRPr="00227026" w:rsidRDefault="00C67EC3" w:rsidP="00C67EC3">
      <w:pPr>
        <w:tabs>
          <w:tab w:val="left" w:pos="0"/>
        </w:tabs>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227026">
        <w:rPr>
          <w:rFonts w:ascii="Book Antiqua" w:hAnsi="Book Antiqua" w:cs="Book Antiqua" w:hint="eastAsia"/>
          <w:b/>
          <w:color w:val="000000"/>
          <w:lang w:eastAsia="zh-CN"/>
        </w:rPr>
        <w:lastRenderedPageBreak/>
        <w:t>Figure legends</w:t>
      </w:r>
    </w:p>
    <w:p w14:paraId="121606DC" w14:textId="77777777" w:rsidR="00B53E57" w:rsidRDefault="00B53E57" w:rsidP="00C67EC3">
      <w:pPr>
        <w:tabs>
          <w:tab w:val="left" w:pos="0"/>
        </w:tabs>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val="en-GB" w:eastAsia="zh-CN"/>
        </w:rPr>
        <w:drawing>
          <wp:inline distT="0" distB="0" distL="0" distR="0" wp14:anchorId="5CCA2A8F" wp14:editId="52CF95B3">
            <wp:extent cx="5391150" cy="40781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2391" cy="4079111"/>
                    </a:xfrm>
                    <a:prstGeom prst="rect">
                      <a:avLst/>
                    </a:prstGeom>
                    <a:noFill/>
                  </pic:spPr>
                </pic:pic>
              </a:graphicData>
            </a:graphic>
          </wp:inline>
        </w:drawing>
      </w:r>
    </w:p>
    <w:p w14:paraId="7211D533" w14:textId="77777777" w:rsidR="000B3386" w:rsidRDefault="00C67EC3" w:rsidP="00B53E57">
      <w:pPr>
        <w:tabs>
          <w:tab w:val="left" w:pos="0"/>
        </w:tabs>
        <w:adjustRightInd w:val="0"/>
        <w:snapToGrid w:val="0"/>
        <w:spacing w:line="360" w:lineRule="auto"/>
        <w:jc w:val="both"/>
        <w:rPr>
          <w:rFonts w:ascii="Book Antiqua" w:eastAsia="宋体" w:hAnsi="Book Antiqua" w:cs="Calibri"/>
          <w:lang w:val="en-GB" w:eastAsia="zh-CN"/>
        </w:rPr>
      </w:pPr>
      <w:r w:rsidRPr="00C67EC3">
        <w:rPr>
          <w:rFonts w:ascii="Book Antiqua" w:eastAsia="宋体" w:hAnsi="Book Antiqua" w:cs="Calibri"/>
          <w:b/>
          <w:lang w:val="en-GB" w:eastAsia="en-ZA"/>
        </w:rPr>
        <w:t xml:space="preserve">Figure 1 Flow diagram showing outcome after the first variceal bleed in 140 patients treated by emergency </w:t>
      </w:r>
      <w:r w:rsidR="000B3386" w:rsidRPr="000B3386">
        <w:rPr>
          <w:rFonts w:ascii="Book Antiqua" w:eastAsia="宋体" w:hAnsi="Book Antiqua" w:cs="Calibri"/>
          <w:b/>
          <w:lang w:val="en-GB" w:eastAsia="en-ZA"/>
        </w:rPr>
        <w:t>endoscopic variceal ligation</w:t>
      </w:r>
      <w:r w:rsidR="00B53E57">
        <w:rPr>
          <w:rFonts w:ascii="Book Antiqua" w:eastAsia="宋体" w:hAnsi="Book Antiqua" w:cs="Calibri" w:hint="eastAsia"/>
          <w:b/>
          <w:lang w:val="en-GB" w:eastAsia="zh-CN"/>
        </w:rPr>
        <w:t xml:space="preserve">. </w:t>
      </w:r>
      <w:r w:rsidRPr="00C67EC3">
        <w:rPr>
          <w:rFonts w:ascii="Book Antiqua" w:eastAsia="宋体" w:hAnsi="Book Antiqua" w:cs="Calibri"/>
          <w:lang w:val="en-GB" w:eastAsia="en-ZA"/>
        </w:rPr>
        <w:t>EV</w:t>
      </w:r>
      <w:r w:rsidR="00B53E57">
        <w:rPr>
          <w:rFonts w:ascii="Book Antiqua" w:eastAsia="宋体" w:hAnsi="Book Antiqua" w:cs="Calibri" w:hint="eastAsia"/>
          <w:lang w:val="en-GB" w:eastAsia="zh-CN"/>
        </w:rPr>
        <w:t>:</w:t>
      </w:r>
      <w:r w:rsidRPr="00C67EC3">
        <w:rPr>
          <w:rFonts w:ascii="Book Antiqua" w:eastAsia="宋体" w:hAnsi="Book Antiqua" w:cs="Calibri"/>
          <w:lang w:val="en-GB" w:eastAsia="en-ZA"/>
        </w:rPr>
        <w:t xml:space="preserve"> </w:t>
      </w:r>
      <w:proofErr w:type="spellStart"/>
      <w:r w:rsidR="00B53E57">
        <w:rPr>
          <w:rFonts w:ascii="Book Antiqua" w:eastAsia="宋体" w:hAnsi="Book Antiqua" w:cs="Calibri" w:hint="eastAsia"/>
          <w:lang w:val="en-GB" w:eastAsia="zh-CN"/>
        </w:rPr>
        <w:t>E</w:t>
      </w:r>
      <w:r w:rsidR="00B53E57">
        <w:rPr>
          <w:rFonts w:ascii="Book Antiqua" w:eastAsia="宋体" w:hAnsi="Book Antiqua" w:cs="Calibri"/>
          <w:lang w:val="en-GB" w:eastAsia="en-ZA"/>
        </w:rPr>
        <w:t>sophageal</w:t>
      </w:r>
      <w:proofErr w:type="spellEnd"/>
      <w:r w:rsidR="00B53E57">
        <w:rPr>
          <w:rFonts w:ascii="Book Antiqua" w:eastAsia="宋体" w:hAnsi="Book Antiqua" w:cs="Calibri"/>
          <w:lang w:val="en-GB" w:eastAsia="en-ZA"/>
        </w:rPr>
        <w:t xml:space="preserve"> varices</w:t>
      </w:r>
      <w:r w:rsidR="000B3386">
        <w:rPr>
          <w:rFonts w:ascii="Book Antiqua" w:eastAsia="宋体" w:hAnsi="Book Antiqua" w:cs="Calibri" w:hint="eastAsia"/>
          <w:lang w:val="en-GB" w:eastAsia="zh-CN"/>
        </w:rPr>
        <w:t>.</w:t>
      </w:r>
    </w:p>
    <w:p w14:paraId="312CF6F8" w14:textId="77777777" w:rsidR="00C67EC3" w:rsidRPr="00C67EC3" w:rsidRDefault="000B3386" w:rsidP="0088164F">
      <w:pPr>
        <w:tabs>
          <w:tab w:val="left" w:pos="0"/>
        </w:tabs>
        <w:adjustRightInd w:val="0"/>
        <w:snapToGrid w:val="0"/>
        <w:spacing w:line="360" w:lineRule="auto"/>
        <w:jc w:val="both"/>
        <w:rPr>
          <w:rFonts w:ascii="Book Antiqua" w:eastAsia="宋体" w:hAnsi="Book Antiqua" w:cs="Calibri"/>
          <w:b/>
          <w:lang w:val="en-GB" w:eastAsia="zh-CN"/>
        </w:rPr>
      </w:pPr>
      <w:r>
        <w:rPr>
          <w:rFonts w:ascii="Book Antiqua" w:eastAsia="宋体" w:hAnsi="Book Antiqua" w:cs="Calibri"/>
          <w:lang w:val="en-GB" w:eastAsia="zh-CN"/>
        </w:rPr>
        <w:br w:type="page"/>
      </w:r>
      <w:r w:rsidR="0088164F">
        <w:rPr>
          <w:rFonts w:ascii="Book Antiqua" w:eastAsia="宋体" w:hAnsi="Book Antiqua" w:cs="Calibri"/>
          <w:b/>
          <w:lang w:val="en-GB" w:eastAsia="en-ZA"/>
        </w:rPr>
        <w:lastRenderedPageBreak/>
        <w:t>Table 1</w:t>
      </w:r>
      <w:r w:rsidR="0088164F">
        <w:rPr>
          <w:rFonts w:ascii="Book Antiqua" w:eastAsia="宋体" w:hAnsi="Book Antiqua" w:cs="Calibri" w:hint="eastAsia"/>
          <w:b/>
          <w:lang w:val="en-GB" w:eastAsia="zh-CN"/>
        </w:rPr>
        <w:t xml:space="preserve"> </w:t>
      </w:r>
      <w:r w:rsidR="0088164F" w:rsidRPr="0088164F">
        <w:rPr>
          <w:rFonts w:ascii="Book Antiqua" w:eastAsia="宋体" w:hAnsi="Book Antiqua" w:cs="Calibri"/>
          <w:b/>
          <w:lang w:val="en-GB" w:eastAsia="zh-CN"/>
        </w:rPr>
        <w:t>Number of banding procedures and time to eradication of varices</w:t>
      </w:r>
    </w:p>
    <w:tbl>
      <w:tblPr>
        <w:tblW w:w="5000" w:type="pct"/>
        <w:tblBorders>
          <w:top w:val="single" w:sz="6" w:space="0" w:color="auto"/>
          <w:bottom w:val="single" w:sz="6" w:space="0" w:color="auto"/>
        </w:tblBorders>
        <w:tblLook w:val="0000" w:firstRow="0" w:lastRow="0" w:firstColumn="0" w:lastColumn="0" w:noHBand="0" w:noVBand="0"/>
      </w:tblPr>
      <w:tblGrid>
        <w:gridCol w:w="923"/>
        <w:gridCol w:w="1136"/>
        <w:gridCol w:w="1150"/>
        <w:gridCol w:w="1349"/>
        <w:gridCol w:w="1430"/>
        <w:gridCol w:w="1596"/>
        <w:gridCol w:w="1136"/>
      </w:tblGrid>
      <w:tr w:rsidR="00C67EC3" w:rsidRPr="00C67EC3" w14:paraId="19AD03A1" w14:textId="77777777" w:rsidTr="001B35D8">
        <w:tc>
          <w:tcPr>
            <w:tcW w:w="479" w:type="pct"/>
            <w:tcBorders>
              <w:top w:val="single" w:sz="6" w:space="0" w:color="auto"/>
              <w:bottom w:val="single" w:sz="6" w:space="0" w:color="auto"/>
            </w:tcBorders>
            <w:shd w:val="clear" w:color="auto" w:fill="auto"/>
          </w:tcPr>
          <w:p w14:paraId="250B623C"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 xml:space="preserve">Child- </w:t>
            </w:r>
          </w:p>
          <w:p w14:paraId="40C45EFB"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Pugh</w:t>
            </w:r>
          </w:p>
          <w:p w14:paraId="487C8C17"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grade</w:t>
            </w:r>
          </w:p>
          <w:p w14:paraId="6D171E14"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p>
        </w:tc>
        <w:tc>
          <w:tcPr>
            <w:tcW w:w="609" w:type="pct"/>
            <w:tcBorders>
              <w:top w:val="single" w:sz="6" w:space="0" w:color="auto"/>
              <w:bottom w:val="single" w:sz="6" w:space="0" w:color="auto"/>
            </w:tcBorders>
            <w:shd w:val="clear" w:color="auto" w:fill="auto"/>
          </w:tcPr>
          <w:p w14:paraId="2AE9C94C"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Number of patients</w:t>
            </w:r>
          </w:p>
        </w:tc>
        <w:tc>
          <w:tcPr>
            <w:tcW w:w="595" w:type="pct"/>
            <w:tcBorders>
              <w:top w:val="single" w:sz="6" w:space="0" w:color="auto"/>
              <w:bottom w:val="single" w:sz="6" w:space="0" w:color="auto"/>
            </w:tcBorders>
            <w:shd w:val="clear" w:color="auto" w:fill="auto"/>
          </w:tcPr>
          <w:p w14:paraId="65DC2EF7"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Survival</w:t>
            </w:r>
          </w:p>
          <w:p w14:paraId="4B02A913" w14:textId="77777777" w:rsidR="00C67EC3" w:rsidRPr="00C67EC3" w:rsidRDefault="00C67EC3" w:rsidP="0088164F">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&gt; 90 d</w:t>
            </w:r>
          </w:p>
        </w:tc>
        <w:tc>
          <w:tcPr>
            <w:tcW w:w="708" w:type="pct"/>
            <w:tcBorders>
              <w:top w:val="single" w:sz="6" w:space="0" w:color="auto"/>
              <w:bottom w:val="single" w:sz="6" w:space="0" w:color="auto"/>
            </w:tcBorders>
            <w:shd w:val="clear" w:color="auto" w:fill="auto"/>
          </w:tcPr>
          <w:p w14:paraId="401D1498"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Number</w:t>
            </w:r>
          </w:p>
          <w:p w14:paraId="36ABEB21"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eradicated</w:t>
            </w:r>
          </w:p>
        </w:tc>
        <w:tc>
          <w:tcPr>
            <w:tcW w:w="921" w:type="pct"/>
            <w:tcBorders>
              <w:top w:val="single" w:sz="6" w:space="0" w:color="auto"/>
              <w:bottom w:val="single" w:sz="6" w:space="0" w:color="auto"/>
            </w:tcBorders>
            <w:shd w:val="clear" w:color="auto" w:fill="auto"/>
          </w:tcPr>
          <w:p w14:paraId="7C6817A4"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Number of banding procedures</w:t>
            </w:r>
          </w:p>
          <w:p w14:paraId="405FF9CC"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median (range)</w:t>
            </w:r>
          </w:p>
        </w:tc>
        <w:tc>
          <w:tcPr>
            <w:tcW w:w="1062" w:type="pct"/>
            <w:tcBorders>
              <w:top w:val="single" w:sz="6" w:space="0" w:color="auto"/>
              <w:bottom w:val="single" w:sz="6" w:space="0" w:color="auto"/>
            </w:tcBorders>
            <w:shd w:val="clear" w:color="auto" w:fill="auto"/>
          </w:tcPr>
          <w:p w14:paraId="3CFECD78"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Months to eradicate</w:t>
            </w:r>
          </w:p>
          <w:p w14:paraId="161D3D94"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median (range)</w:t>
            </w:r>
          </w:p>
        </w:tc>
        <w:tc>
          <w:tcPr>
            <w:tcW w:w="626" w:type="pct"/>
            <w:tcBorders>
              <w:top w:val="single" w:sz="6" w:space="0" w:color="auto"/>
              <w:bottom w:val="single" w:sz="6" w:space="0" w:color="auto"/>
            </w:tcBorders>
            <w:shd w:val="clear" w:color="auto" w:fill="auto"/>
          </w:tcPr>
          <w:p w14:paraId="7AD00717"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Number recurred</w:t>
            </w:r>
          </w:p>
        </w:tc>
      </w:tr>
      <w:tr w:rsidR="00C67EC3" w:rsidRPr="00C67EC3" w14:paraId="36E298FC" w14:textId="77777777" w:rsidTr="001B35D8">
        <w:tc>
          <w:tcPr>
            <w:tcW w:w="479" w:type="pct"/>
            <w:tcBorders>
              <w:top w:val="single" w:sz="6" w:space="0" w:color="auto"/>
            </w:tcBorders>
            <w:shd w:val="clear" w:color="auto" w:fill="auto"/>
          </w:tcPr>
          <w:p w14:paraId="1D70FE26"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A</w:t>
            </w:r>
          </w:p>
        </w:tc>
        <w:tc>
          <w:tcPr>
            <w:tcW w:w="609" w:type="pct"/>
            <w:tcBorders>
              <w:top w:val="single" w:sz="6" w:space="0" w:color="auto"/>
            </w:tcBorders>
            <w:shd w:val="clear" w:color="auto" w:fill="auto"/>
          </w:tcPr>
          <w:p w14:paraId="12D2B64C"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842B0D">
              <w:rPr>
                <w:rFonts w:ascii="Book Antiqua" w:eastAsia="宋体" w:hAnsi="Book Antiqua" w:cs="Calibri"/>
                <w:i/>
                <w:lang w:val="en-GB" w:eastAsia="en-ZA"/>
              </w:rPr>
              <w:t>n</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32</w:t>
            </w:r>
          </w:p>
        </w:tc>
        <w:tc>
          <w:tcPr>
            <w:tcW w:w="595" w:type="pct"/>
            <w:tcBorders>
              <w:top w:val="single" w:sz="6" w:space="0" w:color="auto"/>
            </w:tcBorders>
            <w:shd w:val="clear" w:color="auto" w:fill="auto"/>
          </w:tcPr>
          <w:p w14:paraId="38A847D1"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32</w:t>
            </w:r>
          </w:p>
        </w:tc>
        <w:tc>
          <w:tcPr>
            <w:tcW w:w="708" w:type="pct"/>
            <w:tcBorders>
              <w:top w:val="single" w:sz="6" w:space="0" w:color="auto"/>
            </w:tcBorders>
            <w:shd w:val="clear" w:color="auto" w:fill="auto"/>
          </w:tcPr>
          <w:p w14:paraId="2AD7FE56"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15</w:t>
            </w:r>
          </w:p>
        </w:tc>
        <w:tc>
          <w:tcPr>
            <w:tcW w:w="921" w:type="pct"/>
            <w:tcBorders>
              <w:top w:val="single" w:sz="6" w:space="0" w:color="auto"/>
            </w:tcBorders>
            <w:shd w:val="clear" w:color="auto" w:fill="auto"/>
          </w:tcPr>
          <w:p w14:paraId="3B44E1D0"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3 (1-13)</w:t>
            </w:r>
          </w:p>
        </w:tc>
        <w:tc>
          <w:tcPr>
            <w:tcW w:w="1062" w:type="pct"/>
            <w:tcBorders>
              <w:top w:val="single" w:sz="6" w:space="0" w:color="auto"/>
            </w:tcBorders>
            <w:shd w:val="clear" w:color="auto" w:fill="auto"/>
          </w:tcPr>
          <w:p w14:paraId="5C97C7B8"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15 (1-55)</w:t>
            </w:r>
          </w:p>
        </w:tc>
        <w:tc>
          <w:tcPr>
            <w:tcW w:w="626" w:type="pct"/>
            <w:tcBorders>
              <w:top w:val="single" w:sz="6" w:space="0" w:color="auto"/>
            </w:tcBorders>
            <w:shd w:val="clear" w:color="auto" w:fill="auto"/>
          </w:tcPr>
          <w:p w14:paraId="45D5D1E8"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9</w:t>
            </w:r>
          </w:p>
        </w:tc>
      </w:tr>
      <w:tr w:rsidR="00C67EC3" w:rsidRPr="00C67EC3" w14:paraId="51CF7B85" w14:textId="77777777" w:rsidTr="001B35D8">
        <w:tc>
          <w:tcPr>
            <w:tcW w:w="479" w:type="pct"/>
            <w:shd w:val="clear" w:color="auto" w:fill="auto"/>
          </w:tcPr>
          <w:p w14:paraId="2E13BE02"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B</w:t>
            </w:r>
          </w:p>
        </w:tc>
        <w:tc>
          <w:tcPr>
            <w:tcW w:w="609" w:type="pct"/>
            <w:shd w:val="clear" w:color="auto" w:fill="auto"/>
          </w:tcPr>
          <w:p w14:paraId="466D30FC"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842B0D">
              <w:rPr>
                <w:rFonts w:ascii="Book Antiqua" w:eastAsia="宋体" w:hAnsi="Book Antiqua" w:cs="Calibri"/>
                <w:i/>
                <w:lang w:val="en-GB" w:eastAsia="en-ZA"/>
              </w:rPr>
              <w:t>n</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48</w:t>
            </w:r>
          </w:p>
        </w:tc>
        <w:tc>
          <w:tcPr>
            <w:tcW w:w="595" w:type="pct"/>
            <w:shd w:val="clear" w:color="auto" w:fill="auto"/>
          </w:tcPr>
          <w:p w14:paraId="65FD20B7"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44</w:t>
            </w:r>
          </w:p>
        </w:tc>
        <w:tc>
          <w:tcPr>
            <w:tcW w:w="708" w:type="pct"/>
            <w:shd w:val="clear" w:color="auto" w:fill="auto"/>
          </w:tcPr>
          <w:p w14:paraId="3ADCFF45"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18</w:t>
            </w:r>
          </w:p>
        </w:tc>
        <w:tc>
          <w:tcPr>
            <w:tcW w:w="921" w:type="pct"/>
            <w:shd w:val="clear" w:color="auto" w:fill="auto"/>
          </w:tcPr>
          <w:p w14:paraId="4B39DE65"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2 (1-12)</w:t>
            </w:r>
          </w:p>
        </w:tc>
        <w:tc>
          <w:tcPr>
            <w:tcW w:w="1062" w:type="pct"/>
            <w:shd w:val="clear" w:color="auto" w:fill="auto"/>
          </w:tcPr>
          <w:p w14:paraId="0615AADA"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4 (1-29)</w:t>
            </w:r>
          </w:p>
        </w:tc>
        <w:tc>
          <w:tcPr>
            <w:tcW w:w="626" w:type="pct"/>
            <w:shd w:val="clear" w:color="auto" w:fill="auto"/>
          </w:tcPr>
          <w:p w14:paraId="08481EBA"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12</w:t>
            </w:r>
          </w:p>
        </w:tc>
      </w:tr>
      <w:tr w:rsidR="00C67EC3" w:rsidRPr="00C67EC3" w14:paraId="15699353" w14:textId="77777777" w:rsidTr="001B35D8">
        <w:tc>
          <w:tcPr>
            <w:tcW w:w="479" w:type="pct"/>
            <w:shd w:val="clear" w:color="auto" w:fill="auto"/>
          </w:tcPr>
          <w:p w14:paraId="1FC26EC4"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C</w:t>
            </w:r>
          </w:p>
        </w:tc>
        <w:tc>
          <w:tcPr>
            <w:tcW w:w="609" w:type="pct"/>
            <w:shd w:val="clear" w:color="auto" w:fill="auto"/>
          </w:tcPr>
          <w:p w14:paraId="012019B1"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842B0D">
              <w:rPr>
                <w:rFonts w:ascii="Book Antiqua" w:eastAsia="宋体" w:hAnsi="Book Antiqua" w:cs="Calibri"/>
                <w:i/>
                <w:lang w:val="en-GB" w:eastAsia="en-ZA"/>
              </w:rPr>
              <w:t>n</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60</w:t>
            </w:r>
          </w:p>
        </w:tc>
        <w:tc>
          <w:tcPr>
            <w:tcW w:w="595" w:type="pct"/>
            <w:shd w:val="clear" w:color="auto" w:fill="auto"/>
          </w:tcPr>
          <w:p w14:paraId="47864F87"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35</w:t>
            </w:r>
          </w:p>
        </w:tc>
        <w:tc>
          <w:tcPr>
            <w:tcW w:w="708" w:type="pct"/>
            <w:shd w:val="clear" w:color="auto" w:fill="auto"/>
          </w:tcPr>
          <w:p w14:paraId="06A5B8AD"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17</w:t>
            </w:r>
          </w:p>
        </w:tc>
        <w:tc>
          <w:tcPr>
            <w:tcW w:w="921" w:type="pct"/>
            <w:shd w:val="clear" w:color="auto" w:fill="auto"/>
          </w:tcPr>
          <w:p w14:paraId="1EAA807E"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2 (1-5)</w:t>
            </w:r>
          </w:p>
        </w:tc>
        <w:tc>
          <w:tcPr>
            <w:tcW w:w="1062" w:type="pct"/>
            <w:shd w:val="clear" w:color="auto" w:fill="auto"/>
          </w:tcPr>
          <w:p w14:paraId="0E102BBB"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3 (1-47)</w:t>
            </w:r>
          </w:p>
        </w:tc>
        <w:tc>
          <w:tcPr>
            <w:tcW w:w="626" w:type="pct"/>
            <w:shd w:val="clear" w:color="auto" w:fill="auto"/>
          </w:tcPr>
          <w:p w14:paraId="1D6A6320"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10</w:t>
            </w:r>
          </w:p>
        </w:tc>
      </w:tr>
      <w:tr w:rsidR="00C67EC3" w:rsidRPr="00C67EC3" w14:paraId="33940FEE" w14:textId="77777777" w:rsidTr="001B35D8">
        <w:tc>
          <w:tcPr>
            <w:tcW w:w="479" w:type="pct"/>
            <w:shd w:val="clear" w:color="auto" w:fill="auto"/>
          </w:tcPr>
          <w:p w14:paraId="0E45A2AF"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Total</w:t>
            </w:r>
          </w:p>
        </w:tc>
        <w:tc>
          <w:tcPr>
            <w:tcW w:w="609" w:type="pct"/>
            <w:shd w:val="clear" w:color="auto" w:fill="auto"/>
          </w:tcPr>
          <w:p w14:paraId="207ECAA6"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842B0D">
              <w:rPr>
                <w:rFonts w:ascii="Book Antiqua" w:eastAsia="宋体" w:hAnsi="Book Antiqua" w:cs="Calibri"/>
                <w:i/>
                <w:lang w:val="en-GB" w:eastAsia="en-ZA"/>
              </w:rPr>
              <w:t>n</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140</w:t>
            </w:r>
          </w:p>
        </w:tc>
        <w:tc>
          <w:tcPr>
            <w:tcW w:w="595" w:type="pct"/>
            <w:shd w:val="clear" w:color="auto" w:fill="auto"/>
          </w:tcPr>
          <w:p w14:paraId="3B310930"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111</w:t>
            </w:r>
          </w:p>
        </w:tc>
        <w:tc>
          <w:tcPr>
            <w:tcW w:w="708" w:type="pct"/>
            <w:shd w:val="clear" w:color="auto" w:fill="auto"/>
          </w:tcPr>
          <w:p w14:paraId="633A49D5"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50</w:t>
            </w:r>
          </w:p>
        </w:tc>
        <w:tc>
          <w:tcPr>
            <w:tcW w:w="921" w:type="pct"/>
            <w:shd w:val="clear" w:color="auto" w:fill="auto"/>
          </w:tcPr>
          <w:p w14:paraId="4E2F5096"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2 (1-13)</w:t>
            </w:r>
          </w:p>
        </w:tc>
        <w:tc>
          <w:tcPr>
            <w:tcW w:w="1062" w:type="pct"/>
            <w:shd w:val="clear" w:color="auto" w:fill="auto"/>
          </w:tcPr>
          <w:p w14:paraId="08336D07"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5 (1-55)</w:t>
            </w:r>
          </w:p>
        </w:tc>
        <w:tc>
          <w:tcPr>
            <w:tcW w:w="626" w:type="pct"/>
            <w:shd w:val="clear" w:color="auto" w:fill="auto"/>
          </w:tcPr>
          <w:p w14:paraId="37EA538D"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13</w:t>
            </w:r>
          </w:p>
        </w:tc>
      </w:tr>
    </w:tbl>
    <w:p w14:paraId="5233F0C8" w14:textId="77777777" w:rsidR="00C67EC3" w:rsidRPr="00C67EC3" w:rsidRDefault="00C67EC3" w:rsidP="00C67EC3">
      <w:pPr>
        <w:adjustRightInd w:val="0"/>
        <w:snapToGrid w:val="0"/>
        <w:spacing w:line="360" w:lineRule="auto"/>
        <w:jc w:val="both"/>
        <w:rPr>
          <w:rFonts w:ascii="Book Antiqua" w:eastAsia="Calibri" w:hAnsi="Book Antiqua" w:cs="Calibri"/>
          <w:b/>
          <w:lang w:val="en-ZA"/>
        </w:rPr>
      </w:pPr>
    </w:p>
    <w:p w14:paraId="2DA901E6" w14:textId="77777777" w:rsidR="00C67EC3" w:rsidRPr="001C37AA" w:rsidRDefault="00842B0D" w:rsidP="00C67EC3">
      <w:pPr>
        <w:adjustRightInd w:val="0"/>
        <w:snapToGrid w:val="0"/>
        <w:spacing w:line="360" w:lineRule="auto"/>
        <w:jc w:val="both"/>
        <w:rPr>
          <w:rFonts w:ascii="Book Antiqua" w:hAnsi="Book Antiqua" w:cs="Calibri"/>
          <w:b/>
          <w:lang w:val="en-ZA" w:eastAsia="zh-CN"/>
        </w:rPr>
      </w:pPr>
      <w:r>
        <w:rPr>
          <w:rFonts w:ascii="Book Antiqua" w:eastAsia="Calibri" w:hAnsi="Book Antiqua" w:cs="Calibri"/>
          <w:b/>
          <w:lang w:val="en-ZA"/>
        </w:rPr>
        <w:br w:type="page"/>
      </w:r>
      <w:r w:rsidR="001C37AA">
        <w:rPr>
          <w:rFonts w:ascii="Book Antiqua" w:eastAsia="Calibri" w:hAnsi="Book Antiqua" w:cs="Calibri"/>
          <w:b/>
          <w:lang w:val="en-ZA"/>
        </w:rPr>
        <w:lastRenderedPageBreak/>
        <w:t xml:space="preserve">Table 2 </w:t>
      </w:r>
      <w:r w:rsidR="001C37AA" w:rsidRPr="001C37AA">
        <w:rPr>
          <w:rFonts w:ascii="Book Antiqua" w:eastAsia="Calibri" w:hAnsi="Book Antiqua" w:cs="Calibri"/>
          <w:b/>
          <w:lang w:val="en-ZA"/>
        </w:rPr>
        <w:t>Rebleeding after index admission in 120 surviving patients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809"/>
        <w:gridCol w:w="1825"/>
        <w:gridCol w:w="1809"/>
        <w:gridCol w:w="1825"/>
      </w:tblGrid>
      <w:tr w:rsidR="00C67EC3" w:rsidRPr="00C67EC3" w14:paraId="29A9B66E" w14:textId="77777777" w:rsidTr="006A71D4">
        <w:tc>
          <w:tcPr>
            <w:tcW w:w="1526" w:type="dxa"/>
            <w:tcBorders>
              <w:top w:val="single" w:sz="4" w:space="0" w:color="auto"/>
              <w:bottom w:val="nil"/>
            </w:tcBorders>
            <w:shd w:val="clear" w:color="auto" w:fill="auto"/>
          </w:tcPr>
          <w:p w14:paraId="47BA94D8" w14:textId="77777777" w:rsidR="00C67EC3" w:rsidRPr="001B35D8" w:rsidRDefault="00C67EC3" w:rsidP="00C67EC3">
            <w:pPr>
              <w:adjustRightInd w:val="0"/>
              <w:snapToGrid w:val="0"/>
              <w:spacing w:line="360" w:lineRule="auto"/>
              <w:jc w:val="both"/>
              <w:rPr>
                <w:rFonts w:ascii="Book Antiqua" w:hAnsi="Book Antiqua" w:cs="Calibri"/>
              </w:rPr>
            </w:pPr>
          </w:p>
        </w:tc>
        <w:tc>
          <w:tcPr>
            <w:tcW w:w="3858" w:type="dxa"/>
            <w:gridSpan w:val="2"/>
            <w:tcBorders>
              <w:top w:val="single" w:sz="4" w:space="0" w:color="auto"/>
              <w:bottom w:val="nil"/>
            </w:tcBorders>
            <w:shd w:val="clear" w:color="auto" w:fill="auto"/>
          </w:tcPr>
          <w:p w14:paraId="5BECF676" w14:textId="77777777" w:rsidR="00C67EC3" w:rsidRPr="00C67EC3" w:rsidRDefault="00C67EC3" w:rsidP="00C67EC3">
            <w:pPr>
              <w:adjustRightInd w:val="0"/>
              <w:snapToGrid w:val="0"/>
              <w:spacing w:line="360" w:lineRule="auto"/>
              <w:jc w:val="both"/>
              <w:rPr>
                <w:rFonts w:ascii="Book Antiqua" w:hAnsi="Book Antiqua" w:cs="Calibri"/>
                <w:b/>
              </w:rPr>
            </w:pPr>
            <w:r w:rsidRPr="00C67EC3">
              <w:rPr>
                <w:rFonts w:ascii="Book Antiqua" w:hAnsi="Book Antiqua" w:cs="Calibri"/>
                <w:b/>
              </w:rPr>
              <w:t>Overall bleeding from all sources</w:t>
            </w:r>
          </w:p>
        </w:tc>
        <w:tc>
          <w:tcPr>
            <w:tcW w:w="3858" w:type="dxa"/>
            <w:gridSpan w:val="2"/>
            <w:tcBorders>
              <w:top w:val="single" w:sz="4" w:space="0" w:color="auto"/>
              <w:bottom w:val="nil"/>
            </w:tcBorders>
            <w:shd w:val="clear" w:color="auto" w:fill="auto"/>
          </w:tcPr>
          <w:p w14:paraId="2CB7FE76" w14:textId="77777777" w:rsidR="00C67EC3" w:rsidRPr="00C67EC3" w:rsidRDefault="00C67EC3" w:rsidP="00C67EC3">
            <w:pPr>
              <w:adjustRightInd w:val="0"/>
              <w:snapToGrid w:val="0"/>
              <w:spacing w:line="360" w:lineRule="auto"/>
              <w:jc w:val="both"/>
              <w:rPr>
                <w:rFonts w:ascii="Book Antiqua" w:hAnsi="Book Antiqua" w:cs="Calibri"/>
                <w:b/>
              </w:rPr>
            </w:pPr>
            <w:r w:rsidRPr="00C67EC3">
              <w:rPr>
                <w:rFonts w:ascii="Book Antiqua" w:hAnsi="Book Antiqua" w:cs="Calibri"/>
                <w:b/>
              </w:rPr>
              <w:t xml:space="preserve">Bleeding from </w:t>
            </w:r>
            <w:proofErr w:type="spellStart"/>
            <w:r w:rsidRPr="00C67EC3">
              <w:rPr>
                <w:rFonts w:ascii="Book Antiqua" w:hAnsi="Book Antiqua" w:cs="Calibri"/>
                <w:b/>
              </w:rPr>
              <w:t>esophageal</w:t>
            </w:r>
            <w:proofErr w:type="spellEnd"/>
            <w:r w:rsidRPr="00C67EC3">
              <w:rPr>
                <w:rFonts w:ascii="Book Antiqua" w:hAnsi="Book Antiqua" w:cs="Calibri"/>
                <w:b/>
              </w:rPr>
              <w:t xml:space="preserve"> varices</w:t>
            </w:r>
          </w:p>
        </w:tc>
      </w:tr>
      <w:tr w:rsidR="00C67EC3" w:rsidRPr="00C67EC3" w14:paraId="126D6615" w14:textId="77777777" w:rsidTr="006A71D4">
        <w:tc>
          <w:tcPr>
            <w:tcW w:w="1526" w:type="dxa"/>
            <w:tcBorders>
              <w:top w:val="nil"/>
              <w:bottom w:val="single" w:sz="4" w:space="0" w:color="auto"/>
            </w:tcBorders>
            <w:shd w:val="clear" w:color="auto" w:fill="auto"/>
          </w:tcPr>
          <w:p w14:paraId="6EC87153" w14:textId="77777777" w:rsidR="00C67EC3" w:rsidRPr="001B35D8" w:rsidRDefault="00C67EC3" w:rsidP="00C67EC3">
            <w:pPr>
              <w:adjustRightInd w:val="0"/>
              <w:snapToGrid w:val="0"/>
              <w:spacing w:line="360" w:lineRule="auto"/>
              <w:jc w:val="both"/>
              <w:rPr>
                <w:rFonts w:ascii="Book Antiqua" w:hAnsi="Book Antiqua" w:cs="Calibri"/>
              </w:rPr>
            </w:pPr>
          </w:p>
        </w:tc>
        <w:tc>
          <w:tcPr>
            <w:tcW w:w="1929" w:type="dxa"/>
            <w:tcBorders>
              <w:top w:val="nil"/>
              <w:bottom w:val="single" w:sz="4" w:space="0" w:color="auto"/>
            </w:tcBorders>
            <w:shd w:val="clear" w:color="auto" w:fill="auto"/>
          </w:tcPr>
          <w:p w14:paraId="1AB0756A" w14:textId="77777777" w:rsidR="00C67EC3" w:rsidRPr="006A71D4" w:rsidRDefault="00C67EC3" w:rsidP="00C67EC3">
            <w:pPr>
              <w:adjustRightInd w:val="0"/>
              <w:snapToGrid w:val="0"/>
              <w:spacing w:line="360" w:lineRule="auto"/>
              <w:jc w:val="both"/>
              <w:rPr>
                <w:rFonts w:ascii="Book Antiqua" w:hAnsi="Book Antiqua" w:cs="Calibri"/>
                <w:b/>
              </w:rPr>
            </w:pPr>
            <w:r w:rsidRPr="006A71D4">
              <w:rPr>
                <w:rFonts w:ascii="Book Antiqua" w:hAnsi="Book Antiqua" w:cs="Calibri"/>
                <w:b/>
              </w:rPr>
              <w:t>Patients</w:t>
            </w:r>
          </w:p>
        </w:tc>
        <w:tc>
          <w:tcPr>
            <w:tcW w:w="1929" w:type="dxa"/>
            <w:tcBorders>
              <w:top w:val="nil"/>
              <w:bottom w:val="single" w:sz="4" w:space="0" w:color="auto"/>
            </w:tcBorders>
            <w:shd w:val="clear" w:color="auto" w:fill="auto"/>
          </w:tcPr>
          <w:p w14:paraId="7E952B83" w14:textId="77777777" w:rsidR="00C67EC3" w:rsidRPr="006A71D4" w:rsidRDefault="00C67EC3" w:rsidP="00C67EC3">
            <w:pPr>
              <w:adjustRightInd w:val="0"/>
              <w:snapToGrid w:val="0"/>
              <w:spacing w:line="360" w:lineRule="auto"/>
              <w:jc w:val="both"/>
              <w:rPr>
                <w:rFonts w:ascii="Book Antiqua" w:hAnsi="Book Antiqua" w:cs="Calibri"/>
                <w:b/>
              </w:rPr>
            </w:pPr>
            <w:r w:rsidRPr="006A71D4">
              <w:rPr>
                <w:rFonts w:ascii="Book Antiqua" w:hAnsi="Book Antiqua" w:cs="Calibri"/>
                <w:b/>
              </w:rPr>
              <w:t>Bleeding events</w:t>
            </w:r>
          </w:p>
        </w:tc>
        <w:tc>
          <w:tcPr>
            <w:tcW w:w="1929" w:type="dxa"/>
            <w:tcBorders>
              <w:top w:val="nil"/>
              <w:bottom w:val="single" w:sz="4" w:space="0" w:color="auto"/>
            </w:tcBorders>
            <w:shd w:val="clear" w:color="auto" w:fill="auto"/>
          </w:tcPr>
          <w:p w14:paraId="3BB32FC9" w14:textId="77777777" w:rsidR="00C67EC3" w:rsidRPr="006A71D4" w:rsidRDefault="00C67EC3" w:rsidP="00C67EC3">
            <w:pPr>
              <w:adjustRightInd w:val="0"/>
              <w:snapToGrid w:val="0"/>
              <w:spacing w:line="360" w:lineRule="auto"/>
              <w:jc w:val="both"/>
              <w:rPr>
                <w:rFonts w:ascii="Book Antiqua" w:hAnsi="Book Antiqua" w:cs="Calibri"/>
                <w:b/>
                <w:lang w:val="en-GB" w:eastAsia="en-ZA"/>
              </w:rPr>
            </w:pPr>
            <w:r w:rsidRPr="006A71D4">
              <w:rPr>
                <w:rFonts w:ascii="Book Antiqua" w:hAnsi="Book Antiqua" w:cs="Calibri"/>
                <w:b/>
                <w:lang w:val="en-GB" w:eastAsia="en-ZA"/>
              </w:rPr>
              <w:t>Patients</w:t>
            </w:r>
          </w:p>
        </w:tc>
        <w:tc>
          <w:tcPr>
            <w:tcW w:w="1929" w:type="dxa"/>
            <w:tcBorders>
              <w:top w:val="nil"/>
              <w:bottom w:val="single" w:sz="4" w:space="0" w:color="auto"/>
            </w:tcBorders>
            <w:shd w:val="clear" w:color="auto" w:fill="auto"/>
          </w:tcPr>
          <w:p w14:paraId="643CFAC6" w14:textId="77777777" w:rsidR="00C67EC3" w:rsidRPr="006A71D4" w:rsidRDefault="00C67EC3" w:rsidP="00C67EC3">
            <w:pPr>
              <w:adjustRightInd w:val="0"/>
              <w:snapToGrid w:val="0"/>
              <w:spacing w:line="360" w:lineRule="auto"/>
              <w:jc w:val="both"/>
              <w:rPr>
                <w:rFonts w:ascii="Book Antiqua" w:hAnsi="Book Antiqua" w:cs="Calibri"/>
                <w:b/>
                <w:lang w:val="en-GB" w:eastAsia="en-ZA"/>
              </w:rPr>
            </w:pPr>
            <w:r w:rsidRPr="006A71D4">
              <w:rPr>
                <w:rFonts w:ascii="Book Antiqua" w:hAnsi="Book Antiqua" w:cs="Calibri"/>
                <w:b/>
                <w:lang w:val="en-GB" w:eastAsia="en-ZA"/>
              </w:rPr>
              <w:t>Bleeding events</w:t>
            </w:r>
          </w:p>
        </w:tc>
      </w:tr>
      <w:tr w:rsidR="00C67EC3" w:rsidRPr="00C67EC3" w14:paraId="39A50810" w14:textId="77777777" w:rsidTr="006A71D4">
        <w:tc>
          <w:tcPr>
            <w:tcW w:w="1526" w:type="dxa"/>
            <w:tcBorders>
              <w:top w:val="single" w:sz="4" w:space="0" w:color="auto"/>
            </w:tcBorders>
            <w:shd w:val="clear" w:color="auto" w:fill="auto"/>
          </w:tcPr>
          <w:p w14:paraId="09F1F98A" w14:textId="77777777" w:rsidR="00C67EC3" w:rsidRPr="001B35D8" w:rsidRDefault="00C67EC3" w:rsidP="001B35D8">
            <w:pPr>
              <w:adjustRightInd w:val="0"/>
              <w:snapToGrid w:val="0"/>
              <w:spacing w:line="360" w:lineRule="auto"/>
              <w:jc w:val="both"/>
              <w:rPr>
                <w:rFonts w:ascii="Book Antiqua" w:hAnsi="Book Antiqua" w:cs="Calibri"/>
              </w:rPr>
            </w:pPr>
            <w:r w:rsidRPr="001B35D8">
              <w:rPr>
                <w:rFonts w:ascii="Book Antiqua" w:hAnsi="Book Antiqua" w:cs="Calibri"/>
              </w:rPr>
              <w:t>&lt;</w:t>
            </w:r>
            <w:r w:rsidR="001B35D8">
              <w:rPr>
                <w:rFonts w:ascii="Book Antiqua" w:eastAsiaTheme="minorEastAsia" w:hAnsi="Book Antiqua" w:cs="Calibri" w:hint="eastAsia"/>
                <w:lang w:eastAsia="zh-CN"/>
              </w:rPr>
              <w:t xml:space="preserve"> </w:t>
            </w:r>
            <w:r w:rsidRPr="001B35D8">
              <w:rPr>
                <w:rFonts w:ascii="Book Antiqua" w:hAnsi="Book Antiqua" w:cs="Calibri"/>
              </w:rPr>
              <w:t xml:space="preserve">6 </w:t>
            </w:r>
            <w:proofErr w:type="spellStart"/>
            <w:r w:rsidRPr="001B35D8">
              <w:rPr>
                <w:rFonts w:ascii="Book Antiqua" w:hAnsi="Book Antiqua" w:cs="Calibri"/>
              </w:rPr>
              <w:t>mo</w:t>
            </w:r>
            <w:proofErr w:type="spellEnd"/>
          </w:p>
        </w:tc>
        <w:tc>
          <w:tcPr>
            <w:tcW w:w="1929" w:type="dxa"/>
            <w:tcBorders>
              <w:top w:val="single" w:sz="4" w:space="0" w:color="auto"/>
            </w:tcBorders>
            <w:shd w:val="clear" w:color="auto" w:fill="auto"/>
          </w:tcPr>
          <w:p w14:paraId="22FEE8AB"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16 (13.3%)</w:t>
            </w:r>
          </w:p>
        </w:tc>
        <w:tc>
          <w:tcPr>
            <w:tcW w:w="1929" w:type="dxa"/>
            <w:tcBorders>
              <w:top w:val="single" w:sz="4" w:space="0" w:color="auto"/>
            </w:tcBorders>
            <w:shd w:val="clear" w:color="auto" w:fill="auto"/>
          </w:tcPr>
          <w:p w14:paraId="2830B12E"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22</w:t>
            </w:r>
          </w:p>
        </w:tc>
        <w:tc>
          <w:tcPr>
            <w:tcW w:w="1929" w:type="dxa"/>
            <w:tcBorders>
              <w:top w:val="single" w:sz="4" w:space="0" w:color="auto"/>
            </w:tcBorders>
            <w:shd w:val="clear" w:color="auto" w:fill="auto"/>
          </w:tcPr>
          <w:p w14:paraId="6F09E901"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10 (8.3%)</w:t>
            </w:r>
          </w:p>
        </w:tc>
        <w:tc>
          <w:tcPr>
            <w:tcW w:w="1929" w:type="dxa"/>
            <w:tcBorders>
              <w:top w:val="single" w:sz="4" w:space="0" w:color="auto"/>
            </w:tcBorders>
            <w:shd w:val="clear" w:color="auto" w:fill="auto"/>
          </w:tcPr>
          <w:p w14:paraId="6A3CCD83"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16</w:t>
            </w:r>
          </w:p>
        </w:tc>
      </w:tr>
      <w:tr w:rsidR="00C67EC3" w:rsidRPr="00C67EC3" w14:paraId="6FEAEF74" w14:textId="77777777" w:rsidTr="001B35D8">
        <w:tc>
          <w:tcPr>
            <w:tcW w:w="1526" w:type="dxa"/>
            <w:shd w:val="clear" w:color="auto" w:fill="auto"/>
          </w:tcPr>
          <w:p w14:paraId="0B330FC1" w14:textId="77777777" w:rsidR="00C67EC3" w:rsidRPr="001B35D8" w:rsidRDefault="00C67EC3" w:rsidP="001B35D8">
            <w:pPr>
              <w:adjustRightInd w:val="0"/>
              <w:snapToGrid w:val="0"/>
              <w:spacing w:line="360" w:lineRule="auto"/>
              <w:jc w:val="both"/>
              <w:rPr>
                <w:rFonts w:ascii="Book Antiqua" w:hAnsi="Book Antiqua" w:cs="Calibri"/>
              </w:rPr>
            </w:pPr>
            <w:r w:rsidRPr="001B35D8">
              <w:rPr>
                <w:rFonts w:ascii="Book Antiqua" w:hAnsi="Book Antiqua" w:cs="Calibri"/>
              </w:rPr>
              <w:t xml:space="preserve">6-12 </w:t>
            </w:r>
            <w:proofErr w:type="spellStart"/>
            <w:r w:rsidRPr="001B35D8">
              <w:rPr>
                <w:rFonts w:ascii="Book Antiqua" w:hAnsi="Book Antiqua" w:cs="Calibri"/>
              </w:rPr>
              <w:t>mo</w:t>
            </w:r>
            <w:proofErr w:type="spellEnd"/>
          </w:p>
        </w:tc>
        <w:tc>
          <w:tcPr>
            <w:tcW w:w="1929" w:type="dxa"/>
            <w:shd w:val="clear" w:color="auto" w:fill="auto"/>
          </w:tcPr>
          <w:p w14:paraId="40F00C98"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21 (17.5%)</w:t>
            </w:r>
          </w:p>
        </w:tc>
        <w:tc>
          <w:tcPr>
            <w:tcW w:w="1929" w:type="dxa"/>
            <w:shd w:val="clear" w:color="auto" w:fill="auto"/>
          </w:tcPr>
          <w:p w14:paraId="542006DF"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28</w:t>
            </w:r>
          </w:p>
        </w:tc>
        <w:tc>
          <w:tcPr>
            <w:tcW w:w="1929" w:type="dxa"/>
            <w:shd w:val="clear" w:color="auto" w:fill="auto"/>
          </w:tcPr>
          <w:p w14:paraId="6BB4892D"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15 (12.5%)</w:t>
            </w:r>
          </w:p>
        </w:tc>
        <w:tc>
          <w:tcPr>
            <w:tcW w:w="1929" w:type="dxa"/>
            <w:shd w:val="clear" w:color="auto" w:fill="auto"/>
          </w:tcPr>
          <w:p w14:paraId="07FF8055"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20</w:t>
            </w:r>
          </w:p>
        </w:tc>
      </w:tr>
      <w:tr w:rsidR="00C67EC3" w:rsidRPr="00C67EC3" w14:paraId="289E1E05" w14:textId="77777777" w:rsidTr="001B35D8">
        <w:tc>
          <w:tcPr>
            <w:tcW w:w="1526" w:type="dxa"/>
            <w:shd w:val="clear" w:color="auto" w:fill="auto"/>
          </w:tcPr>
          <w:p w14:paraId="22F12649" w14:textId="77777777" w:rsidR="00C67EC3" w:rsidRPr="001B35D8" w:rsidRDefault="00C67EC3" w:rsidP="001B35D8">
            <w:pPr>
              <w:adjustRightInd w:val="0"/>
              <w:snapToGrid w:val="0"/>
              <w:spacing w:line="360" w:lineRule="auto"/>
              <w:jc w:val="both"/>
              <w:rPr>
                <w:rFonts w:ascii="Book Antiqua" w:eastAsiaTheme="minorEastAsia" w:hAnsi="Book Antiqua" w:cs="Calibri"/>
                <w:lang w:eastAsia="zh-CN"/>
              </w:rPr>
            </w:pPr>
            <w:r w:rsidRPr="001B35D8">
              <w:rPr>
                <w:rFonts w:ascii="Book Antiqua" w:hAnsi="Book Antiqua" w:cs="Calibri"/>
              </w:rPr>
              <w:t xml:space="preserve">1- 2 </w:t>
            </w:r>
            <w:proofErr w:type="spellStart"/>
            <w:r w:rsidRPr="001B35D8">
              <w:rPr>
                <w:rFonts w:ascii="Book Antiqua" w:hAnsi="Book Antiqua" w:cs="Calibri"/>
              </w:rPr>
              <w:t>yr</w:t>
            </w:r>
            <w:proofErr w:type="spellEnd"/>
          </w:p>
        </w:tc>
        <w:tc>
          <w:tcPr>
            <w:tcW w:w="1929" w:type="dxa"/>
            <w:shd w:val="clear" w:color="auto" w:fill="auto"/>
          </w:tcPr>
          <w:p w14:paraId="18567CCA"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25 (20.8%)</w:t>
            </w:r>
          </w:p>
        </w:tc>
        <w:tc>
          <w:tcPr>
            <w:tcW w:w="1929" w:type="dxa"/>
            <w:shd w:val="clear" w:color="auto" w:fill="auto"/>
          </w:tcPr>
          <w:p w14:paraId="48FE02AF"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30</w:t>
            </w:r>
          </w:p>
        </w:tc>
        <w:tc>
          <w:tcPr>
            <w:tcW w:w="1929" w:type="dxa"/>
            <w:shd w:val="clear" w:color="auto" w:fill="auto"/>
          </w:tcPr>
          <w:p w14:paraId="53B9E158"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15 (12.5%)</w:t>
            </w:r>
          </w:p>
        </w:tc>
        <w:tc>
          <w:tcPr>
            <w:tcW w:w="1929" w:type="dxa"/>
            <w:shd w:val="clear" w:color="auto" w:fill="auto"/>
          </w:tcPr>
          <w:p w14:paraId="1D06CAC8"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20</w:t>
            </w:r>
          </w:p>
        </w:tc>
      </w:tr>
      <w:tr w:rsidR="00C67EC3" w:rsidRPr="00C67EC3" w14:paraId="6B972A4F" w14:textId="77777777" w:rsidTr="001B35D8">
        <w:tc>
          <w:tcPr>
            <w:tcW w:w="1526" w:type="dxa"/>
            <w:shd w:val="clear" w:color="auto" w:fill="auto"/>
          </w:tcPr>
          <w:p w14:paraId="54F2649B" w14:textId="77777777" w:rsidR="00C67EC3" w:rsidRPr="001B35D8" w:rsidRDefault="00C67EC3" w:rsidP="001B35D8">
            <w:pPr>
              <w:adjustRightInd w:val="0"/>
              <w:snapToGrid w:val="0"/>
              <w:spacing w:line="360" w:lineRule="auto"/>
              <w:jc w:val="both"/>
              <w:rPr>
                <w:rFonts w:ascii="Book Antiqua" w:eastAsiaTheme="minorEastAsia" w:hAnsi="Book Antiqua" w:cs="Calibri"/>
                <w:lang w:eastAsia="zh-CN"/>
              </w:rPr>
            </w:pPr>
            <w:r w:rsidRPr="001B35D8">
              <w:rPr>
                <w:rFonts w:ascii="Book Antiqua" w:hAnsi="Book Antiqua" w:cs="Calibri"/>
              </w:rPr>
              <w:t xml:space="preserve">&gt; 2 </w:t>
            </w:r>
            <w:proofErr w:type="spellStart"/>
            <w:r w:rsidRPr="001B35D8">
              <w:rPr>
                <w:rFonts w:ascii="Book Antiqua" w:hAnsi="Book Antiqua" w:cs="Calibri"/>
              </w:rPr>
              <w:t>yr</w:t>
            </w:r>
            <w:proofErr w:type="spellEnd"/>
          </w:p>
        </w:tc>
        <w:tc>
          <w:tcPr>
            <w:tcW w:w="1929" w:type="dxa"/>
            <w:shd w:val="clear" w:color="auto" w:fill="auto"/>
          </w:tcPr>
          <w:p w14:paraId="720A7063"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26 (21.7%)</w:t>
            </w:r>
          </w:p>
        </w:tc>
        <w:tc>
          <w:tcPr>
            <w:tcW w:w="1929" w:type="dxa"/>
            <w:shd w:val="clear" w:color="auto" w:fill="auto"/>
          </w:tcPr>
          <w:p w14:paraId="15867D41"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31</w:t>
            </w:r>
          </w:p>
        </w:tc>
        <w:tc>
          <w:tcPr>
            <w:tcW w:w="1929" w:type="dxa"/>
            <w:shd w:val="clear" w:color="auto" w:fill="auto"/>
          </w:tcPr>
          <w:p w14:paraId="637FE0AE"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16 (13.3%)</w:t>
            </w:r>
          </w:p>
        </w:tc>
        <w:tc>
          <w:tcPr>
            <w:tcW w:w="1929" w:type="dxa"/>
            <w:shd w:val="clear" w:color="auto" w:fill="auto"/>
          </w:tcPr>
          <w:p w14:paraId="3BDB6AA6"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21</w:t>
            </w:r>
          </w:p>
        </w:tc>
      </w:tr>
      <w:tr w:rsidR="00C67EC3" w:rsidRPr="00C67EC3" w14:paraId="5C645319" w14:textId="77777777" w:rsidTr="001B35D8">
        <w:tc>
          <w:tcPr>
            <w:tcW w:w="1526" w:type="dxa"/>
            <w:shd w:val="clear" w:color="auto" w:fill="auto"/>
          </w:tcPr>
          <w:p w14:paraId="213F07E5" w14:textId="77777777" w:rsidR="00C67EC3" w:rsidRPr="001B35D8" w:rsidRDefault="00C67EC3" w:rsidP="00C67EC3">
            <w:pPr>
              <w:adjustRightInd w:val="0"/>
              <w:snapToGrid w:val="0"/>
              <w:spacing w:line="360" w:lineRule="auto"/>
              <w:jc w:val="both"/>
              <w:rPr>
                <w:rFonts w:ascii="Book Antiqua" w:hAnsi="Book Antiqua" w:cs="Calibri"/>
              </w:rPr>
            </w:pPr>
            <w:r w:rsidRPr="001B35D8">
              <w:rPr>
                <w:rFonts w:ascii="Book Antiqua" w:hAnsi="Book Antiqua" w:cs="Calibri"/>
              </w:rPr>
              <w:t>Overall</w:t>
            </w:r>
          </w:p>
        </w:tc>
        <w:tc>
          <w:tcPr>
            <w:tcW w:w="1929" w:type="dxa"/>
            <w:shd w:val="clear" w:color="auto" w:fill="auto"/>
          </w:tcPr>
          <w:p w14:paraId="0A1EA4F3"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26 (21.7%)</w:t>
            </w:r>
          </w:p>
        </w:tc>
        <w:tc>
          <w:tcPr>
            <w:tcW w:w="1929" w:type="dxa"/>
            <w:shd w:val="clear" w:color="auto" w:fill="auto"/>
          </w:tcPr>
          <w:p w14:paraId="54AAC010"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31</w:t>
            </w:r>
          </w:p>
        </w:tc>
        <w:tc>
          <w:tcPr>
            <w:tcW w:w="1929" w:type="dxa"/>
            <w:shd w:val="clear" w:color="auto" w:fill="auto"/>
          </w:tcPr>
          <w:p w14:paraId="35971216"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16 (13.3%)</w:t>
            </w:r>
          </w:p>
        </w:tc>
        <w:tc>
          <w:tcPr>
            <w:tcW w:w="1929" w:type="dxa"/>
            <w:shd w:val="clear" w:color="auto" w:fill="auto"/>
          </w:tcPr>
          <w:p w14:paraId="7F9D9B86"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21</w:t>
            </w:r>
          </w:p>
        </w:tc>
      </w:tr>
    </w:tbl>
    <w:p w14:paraId="0FD4C3D2" w14:textId="77777777" w:rsidR="001B35D8" w:rsidRDefault="001B35D8" w:rsidP="00C67EC3">
      <w:pPr>
        <w:adjustRightInd w:val="0"/>
        <w:snapToGrid w:val="0"/>
        <w:spacing w:line="360" w:lineRule="auto"/>
        <w:jc w:val="both"/>
        <w:rPr>
          <w:rFonts w:ascii="Book Antiqua" w:eastAsia="Calibri" w:hAnsi="Book Antiqua" w:cs="Calibri"/>
          <w:b/>
          <w:lang w:val="en-ZA"/>
        </w:rPr>
      </w:pPr>
    </w:p>
    <w:p w14:paraId="70690BAE" w14:textId="77777777" w:rsidR="00C67EC3" w:rsidRPr="006A71D4" w:rsidRDefault="00C67EC3" w:rsidP="00C67EC3">
      <w:pPr>
        <w:adjustRightInd w:val="0"/>
        <w:snapToGrid w:val="0"/>
        <w:spacing w:line="360" w:lineRule="auto"/>
        <w:jc w:val="both"/>
        <w:rPr>
          <w:rFonts w:ascii="Book Antiqua" w:hAnsi="Book Antiqua" w:cs="Calibri"/>
          <w:b/>
          <w:lang w:val="en-ZA" w:eastAsia="zh-CN"/>
        </w:rPr>
      </w:pPr>
    </w:p>
    <w:p w14:paraId="08F1FB7D" w14:textId="77777777" w:rsidR="00C67EC3" w:rsidRPr="006A71D4" w:rsidRDefault="006A71D4" w:rsidP="00C67EC3">
      <w:pPr>
        <w:adjustRightInd w:val="0"/>
        <w:snapToGrid w:val="0"/>
        <w:spacing w:line="360" w:lineRule="auto"/>
        <w:jc w:val="both"/>
        <w:rPr>
          <w:rFonts w:ascii="Book Antiqua" w:hAnsi="Book Antiqua" w:cs="Calibri"/>
          <w:b/>
          <w:lang w:val="en-ZA" w:eastAsia="zh-CN"/>
        </w:rPr>
      </w:pPr>
      <w:r>
        <w:rPr>
          <w:rFonts w:ascii="Book Antiqua" w:eastAsia="Calibri" w:hAnsi="Book Antiqua" w:cs="Calibri"/>
          <w:b/>
          <w:lang w:val="en-ZA"/>
        </w:rPr>
        <w:br w:type="page"/>
      </w:r>
      <w:r>
        <w:rPr>
          <w:rFonts w:ascii="Book Antiqua" w:eastAsia="Calibri" w:hAnsi="Book Antiqua" w:cs="Calibri"/>
          <w:b/>
          <w:lang w:val="en-ZA"/>
        </w:rPr>
        <w:lastRenderedPageBreak/>
        <w:t xml:space="preserve">Table 3 </w:t>
      </w:r>
      <w:r w:rsidRPr="006A71D4">
        <w:rPr>
          <w:rFonts w:ascii="Book Antiqua" w:eastAsia="Calibri" w:hAnsi="Book Antiqua" w:cs="Calibri"/>
          <w:b/>
          <w:lang w:val="en-ZA"/>
        </w:rPr>
        <w:t>Cumulative survival by Child-Pugh grade</w:t>
      </w:r>
      <w:r w:rsidR="00FE17FA">
        <w:rPr>
          <w:rFonts w:ascii="Book Antiqua" w:eastAsia="Calibri" w:hAnsi="Book Antiqua" w:cs="Calibri"/>
          <w:b/>
          <w:lang w:val="en-ZA"/>
        </w:rPr>
        <w:t>,</w:t>
      </w:r>
      <w:r w:rsidR="00FE17FA" w:rsidRPr="00FE17FA">
        <w:rPr>
          <w:rFonts w:ascii="Book Antiqua" w:eastAsia="Calibri" w:hAnsi="Book Antiqua" w:cs="Calibri"/>
          <w:b/>
          <w:i/>
          <w:lang w:val="en-ZA"/>
        </w:rPr>
        <w:t xml:space="preserve"> n</w:t>
      </w:r>
      <w:r w:rsidR="00FE17FA">
        <w:rPr>
          <w:rFonts w:ascii="Book Antiqua" w:eastAsia="Calibri" w:hAnsi="Book Antiqua" w:cs="Calibri"/>
          <w:b/>
          <w:lang w:val="en-ZA"/>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1527"/>
        <w:gridCol w:w="1673"/>
        <w:gridCol w:w="1380"/>
        <w:gridCol w:w="1380"/>
        <w:gridCol w:w="1380"/>
        <w:gridCol w:w="1380"/>
      </w:tblGrid>
      <w:tr w:rsidR="00C67EC3" w:rsidRPr="00C67EC3" w14:paraId="3AD273C9" w14:textId="77777777" w:rsidTr="006A71D4">
        <w:tc>
          <w:tcPr>
            <w:tcW w:w="1668" w:type="dxa"/>
            <w:tcBorders>
              <w:top w:val="single" w:sz="4" w:space="0" w:color="auto"/>
              <w:bottom w:val="single" w:sz="4" w:space="0" w:color="auto"/>
            </w:tcBorders>
            <w:shd w:val="clear" w:color="auto" w:fill="auto"/>
            <w:vAlign w:val="center"/>
          </w:tcPr>
          <w:p w14:paraId="4649A5D4" w14:textId="77777777" w:rsidR="00C67EC3" w:rsidRPr="00C67EC3" w:rsidRDefault="00C67EC3" w:rsidP="00C67EC3">
            <w:pPr>
              <w:adjustRightInd w:val="0"/>
              <w:snapToGrid w:val="0"/>
              <w:spacing w:line="360" w:lineRule="auto"/>
              <w:jc w:val="both"/>
              <w:rPr>
                <w:rFonts w:ascii="Book Antiqua" w:eastAsia="Calibri" w:hAnsi="Book Antiqua" w:cs="Calibri"/>
                <w:b/>
                <w:lang w:val="en-ZA"/>
              </w:rPr>
            </w:pPr>
            <w:r w:rsidRPr="00C67EC3">
              <w:rPr>
                <w:rFonts w:ascii="Book Antiqua" w:eastAsia="Calibri" w:hAnsi="Book Antiqua" w:cs="Calibri"/>
                <w:b/>
                <w:lang w:val="en-ZA"/>
              </w:rPr>
              <w:t>Child-Pugh Grade</w:t>
            </w:r>
          </w:p>
        </w:tc>
        <w:tc>
          <w:tcPr>
            <w:tcW w:w="1798" w:type="dxa"/>
            <w:tcBorders>
              <w:top w:val="single" w:sz="4" w:space="0" w:color="auto"/>
              <w:bottom w:val="single" w:sz="4" w:space="0" w:color="auto"/>
            </w:tcBorders>
            <w:shd w:val="clear" w:color="auto" w:fill="auto"/>
            <w:vAlign w:val="center"/>
          </w:tcPr>
          <w:p w14:paraId="126B916E" w14:textId="77777777" w:rsidR="00C67EC3" w:rsidRPr="00C67EC3" w:rsidRDefault="00C67EC3" w:rsidP="00C67EC3">
            <w:pPr>
              <w:adjustRightInd w:val="0"/>
              <w:snapToGrid w:val="0"/>
              <w:spacing w:line="360" w:lineRule="auto"/>
              <w:jc w:val="both"/>
              <w:rPr>
                <w:rFonts w:ascii="Book Antiqua" w:eastAsia="Calibri" w:hAnsi="Book Antiqua" w:cs="Calibri"/>
                <w:b/>
                <w:lang w:val="en-ZA"/>
              </w:rPr>
            </w:pPr>
            <w:r w:rsidRPr="00C67EC3">
              <w:rPr>
                <w:rFonts w:ascii="Book Antiqua" w:eastAsia="Calibri" w:hAnsi="Book Antiqua" w:cs="Calibri"/>
                <w:b/>
                <w:lang w:val="en-ZA"/>
              </w:rPr>
              <w:t>Number of patients</w:t>
            </w:r>
          </w:p>
        </w:tc>
        <w:tc>
          <w:tcPr>
            <w:tcW w:w="1444" w:type="dxa"/>
            <w:tcBorders>
              <w:top w:val="single" w:sz="4" w:space="0" w:color="auto"/>
              <w:bottom w:val="single" w:sz="4" w:space="0" w:color="auto"/>
            </w:tcBorders>
            <w:shd w:val="clear" w:color="auto" w:fill="auto"/>
            <w:vAlign w:val="center"/>
          </w:tcPr>
          <w:p w14:paraId="43B6F384" w14:textId="77777777" w:rsidR="00C67EC3" w:rsidRPr="00C67EC3" w:rsidRDefault="00C67EC3" w:rsidP="00065C0A">
            <w:pPr>
              <w:adjustRightInd w:val="0"/>
              <w:snapToGrid w:val="0"/>
              <w:spacing w:line="360" w:lineRule="auto"/>
              <w:jc w:val="both"/>
              <w:rPr>
                <w:rFonts w:ascii="Book Antiqua" w:eastAsia="Calibri" w:hAnsi="Book Antiqua" w:cs="Calibri"/>
                <w:b/>
                <w:lang w:val="en-ZA"/>
              </w:rPr>
            </w:pPr>
            <w:r w:rsidRPr="00C67EC3">
              <w:rPr>
                <w:rFonts w:ascii="Book Antiqua" w:eastAsia="Calibri" w:hAnsi="Book Antiqua" w:cs="Calibri"/>
                <w:b/>
                <w:lang w:val="en-ZA"/>
              </w:rPr>
              <w:t>1</w:t>
            </w:r>
            <w:r w:rsidR="00065C0A">
              <w:rPr>
                <w:rFonts w:ascii="Book Antiqua" w:eastAsia="Calibri" w:hAnsi="Book Antiqua" w:cs="Calibri"/>
                <w:b/>
                <w:lang w:val="en-ZA"/>
              </w:rPr>
              <w:t>-</w:t>
            </w:r>
            <w:r w:rsidRPr="00C67EC3">
              <w:rPr>
                <w:rFonts w:ascii="Book Antiqua" w:eastAsia="Calibri" w:hAnsi="Book Antiqua" w:cs="Calibri"/>
                <w:b/>
                <w:lang w:val="en-ZA"/>
              </w:rPr>
              <w:t>yr survival</w:t>
            </w:r>
          </w:p>
        </w:tc>
        <w:tc>
          <w:tcPr>
            <w:tcW w:w="1444" w:type="dxa"/>
            <w:tcBorders>
              <w:top w:val="single" w:sz="4" w:space="0" w:color="auto"/>
              <w:bottom w:val="single" w:sz="4" w:space="0" w:color="auto"/>
            </w:tcBorders>
            <w:shd w:val="clear" w:color="auto" w:fill="auto"/>
            <w:vAlign w:val="center"/>
          </w:tcPr>
          <w:p w14:paraId="5CA8DE87" w14:textId="77777777" w:rsidR="00C67EC3" w:rsidRPr="00C67EC3" w:rsidRDefault="00C67EC3" w:rsidP="00065C0A">
            <w:pPr>
              <w:adjustRightInd w:val="0"/>
              <w:snapToGrid w:val="0"/>
              <w:spacing w:line="360" w:lineRule="auto"/>
              <w:jc w:val="both"/>
              <w:rPr>
                <w:rFonts w:ascii="Book Antiqua" w:eastAsia="Calibri" w:hAnsi="Book Antiqua" w:cs="Calibri"/>
                <w:b/>
                <w:lang w:val="en-ZA"/>
              </w:rPr>
            </w:pPr>
            <w:r w:rsidRPr="00C67EC3">
              <w:rPr>
                <w:rFonts w:ascii="Book Antiqua" w:eastAsia="Calibri" w:hAnsi="Book Antiqua" w:cs="Calibri"/>
                <w:b/>
                <w:lang w:val="en-ZA"/>
              </w:rPr>
              <w:t>3</w:t>
            </w:r>
            <w:r w:rsidR="00065C0A">
              <w:rPr>
                <w:rFonts w:ascii="Book Antiqua" w:eastAsia="Calibri" w:hAnsi="Book Antiqua" w:cs="Calibri"/>
                <w:b/>
                <w:lang w:val="en-ZA"/>
              </w:rPr>
              <w:t>-</w:t>
            </w:r>
            <w:r w:rsidRPr="00C67EC3">
              <w:rPr>
                <w:rFonts w:ascii="Book Antiqua" w:eastAsia="Calibri" w:hAnsi="Book Antiqua" w:cs="Calibri"/>
                <w:b/>
                <w:lang w:val="en-ZA"/>
              </w:rPr>
              <w:t>yr survival</w:t>
            </w:r>
          </w:p>
        </w:tc>
        <w:tc>
          <w:tcPr>
            <w:tcW w:w="1444" w:type="dxa"/>
            <w:tcBorders>
              <w:top w:val="single" w:sz="4" w:space="0" w:color="auto"/>
              <w:bottom w:val="single" w:sz="4" w:space="0" w:color="auto"/>
            </w:tcBorders>
            <w:shd w:val="clear" w:color="auto" w:fill="auto"/>
            <w:vAlign w:val="center"/>
          </w:tcPr>
          <w:p w14:paraId="556DB722" w14:textId="77777777" w:rsidR="00C67EC3" w:rsidRPr="00C67EC3" w:rsidRDefault="000C57E7" w:rsidP="00065C0A">
            <w:pPr>
              <w:adjustRightInd w:val="0"/>
              <w:snapToGrid w:val="0"/>
              <w:spacing w:line="360" w:lineRule="auto"/>
              <w:jc w:val="both"/>
              <w:rPr>
                <w:rFonts w:ascii="Book Antiqua" w:eastAsia="Calibri" w:hAnsi="Book Antiqua" w:cs="Calibri"/>
                <w:b/>
                <w:lang w:val="en-ZA"/>
              </w:rPr>
            </w:pPr>
            <w:r>
              <w:rPr>
                <w:rFonts w:ascii="Book Antiqua" w:eastAsia="Calibri" w:hAnsi="Book Antiqua" w:cs="Calibri"/>
                <w:b/>
                <w:lang w:val="en-ZA"/>
              </w:rPr>
              <w:t>5</w:t>
            </w:r>
            <w:r w:rsidR="00065C0A">
              <w:rPr>
                <w:rFonts w:ascii="Book Antiqua" w:eastAsia="Calibri" w:hAnsi="Book Antiqua" w:cs="Calibri"/>
                <w:b/>
                <w:lang w:val="en-ZA"/>
              </w:rPr>
              <w:t>-</w:t>
            </w:r>
            <w:r>
              <w:rPr>
                <w:rFonts w:ascii="Book Antiqua" w:eastAsia="Calibri" w:hAnsi="Book Antiqua" w:cs="Calibri"/>
                <w:b/>
                <w:lang w:val="en-ZA"/>
              </w:rPr>
              <w:t>y</w:t>
            </w:r>
            <w:r w:rsidR="00C67EC3" w:rsidRPr="00C67EC3">
              <w:rPr>
                <w:rFonts w:ascii="Book Antiqua" w:eastAsia="Calibri" w:hAnsi="Book Antiqua" w:cs="Calibri"/>
                <w:b/>
                <w:lang w:val="en-ZA"/>
              </w:rPr>
              <w:t>r survival</w:t>
            </w:r>
          </w:p>
        </w:tc>
        <w:tc>
          <w:tcPr>
            <w:tcW w:w="1444" w:type="dxa"/>
            <w:tcBorders>
              <w:top w:val="single" w:sz="4" w:space="0" w:color="auto"/>
              <w:bottom w:val="single" w:sz="4" w:space="0" w:color="auto"/>
            </w:tcBorders>
            <w:shd w:val="clear" w:color="auto" w:fill="auto"/>
            <w:vAlign w:val="center"/>
          </w:tcPr>
          <w:p w14:paraId="6D17883D" w14:textId="77777777" w:rsidR="00C67EC3" w:rsidRPr="00C67EC3" w:rsidRDefault="000C57E7" w:rsidP="00065C0A">
            <w:pPr>
              <w:adjustRightInd w:val="0"/>
              <w:snapToGrid w:val="0"/>
              <w:spacing w:line="360" w:lineRule="auto"/>
              <w:jc w:val="both"/>
              <w:rPr>
                <w:rFonts w:ascii="Book Antiqua" w:eastAsia="Calibri" w:hAnsi="Book Antiqua" w:cs="Calibri"/>
                <w:b/>
                <w:lang w:val="en-ZA"/>
              </w:rPr>
            </w:pPr>
            <w:r>
              <w:rPr>
                <w:rFonts w:ascii="Book Antiqua" w:eastAsia="Calibri" w:hAnsi="Book Antiqua" w:cs="Calibri"/>
                <w:b/>
                <w:lang w:val="en-ZA"/>
              </w:rPr>
              <w:t>10</w:t>
            </w:r>
            <w:r w:rsidR="00065C0A">
              <w:rPr>
                <w:rFonts w:ascii="Book Antiqua" w:eastAsia="Calibri" w:hAnsi="Book Antiqua" w:cs="Calibri"/>
                <w:b/>
                <w:lang w:val="en-ZA"/>
              </w:rPr>
              <w:t>-</w:t>
            </w:r>
            <w:r>
              <w:rPr>
                <w:rFonts w:ascii="Book Antiqua" w:eastAsia="Calibri" w:hAnsi="Book Antiqua" w:cs="Calibri"/>
                <w:b/>
                <w:lang w:val="en-ZA"/>
              </w:rPr>
              <w:t>y</w:t>
            </w:r>
            <w:r w:rsidR="00C67EC3" w:rsidRPr="00C67EC3">
              <w:rPr>
                <w:rFonts w:ascii="Book Antiqua" w:eastAsia="Calibri" w:hAnsi="Book Antiqua" w:cs="Calibri"/>
                <w:b/>
                <w:lang w:val="en-ZA"/>
              </w:rPr>
              <w:t>r survival</w:t>
            </w:r>
          </w:p>
        </w:tc>
      </w:tr>
      <w:tr w:rsidR="00C67EC3" w:rsidRPr="00C67EC3" w14:paraId="0905956A" w14:textId="77777777" w:rsidTr="006A71D4">
        <w:tc>
          <w:tcPr>
            <w:tcW w:w="1668" w:type="dxa"/>
            <w:tcBorders>
              <w:top w:val="single" w:sz="4" w:space="0" w:color="auto"/>
            </w:tcBorders>
            <w:shd w:val="clear" w:color="auto" w:fill="auto"/>
            <w:vAlign w:val="center"/>
          </w:tcPr>
          <w:p w14:paraId="36B0C7F4" w14:textId="77777777" w:rsidR="00C67EC3" w:rsidRPr="00361678"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lang w:val="en-ZA"/>
              </w:rPr>
              <w:t>A</w:t>
            </w:r>
          </w:p>
        </w:tc>
        <w:tc>
          <w:tcPr>
            <w:tcW w:w="1798" w:type="dxa"/>
            <w:tcBorders>
              <w:top w:val="single" w:sz="4" w:space="0" w:color="auto"/>
            </w:tcBorders>
            <w:shd w:val="clear" w:color="auto" w:fill="auto"/>
            <w:vAlign w:val="center"/>
          </w:tcPr>
          <w:p w14:paraId="36F39EA1"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i/>
                <w:lang w:val="en-ZA"/>
              </w:rPr>
              <w:t>n</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32</w:t>
            </w:r>
          </w:p>
        </w:tc>
        <w:tc>
          <w:tcPr>
            <w:tcW w:w="1444" w:type="dxa"/>
            <w:tcBorders>
              <w:top w:val="single" w:sz="4" w:space="0" w:color="auto"/>
            </w:tcBorders>
            <w:shd w:val="clear" w:color="auto" w:fill="auto"/>
            <w:vAlign w:val="center"/>
          </w:tcPr>
          <w:p w14:paraId="3B1948CD"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30 (93.7</w:t>
            </w:r>
            <w:r w:rsidR="00FE17FA">
              <w:rPr>
                <w:rFonts w:ascii="Book Antiqua" w:eastAsia="Calibri" w:hAnsi="Book Antiqua" w:cs="Calibri"/>
                <w:lang w:val="en-ZA"/>
              </w:rPr>
              <w:t>)</w:t>
            </w:r>
          </w:p>
        </w:tc>
        <w:tc>
          <w:tcPr>
            <w:tcW w:w="1444" w:type="dxa"/>
            <w:tcBorders>
              <w:top w:val="single" w:sz="4" w:space="0" w:color="auto"/>
            </w:tcBorders>
            <w:shd w:val="clear" w:color="auto" w:fill="auto"/>
            <w:vAlign w:val="center"/>
          </w:tcPr>
          <w:p w14:paraId="540AB0CB"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29 (90.6</w:t>
            </w:r>
            <w:r w:rsidR="00FE17FA">
              <w:rPr>
                <w:rFonts w:ascii="Book Antiqua" w:eastAsia="Calibri" w:hAnsi="Book Antiqua" w:cs="Calibri"/>
                <w:lang w:val="en-ZA"/>
              </w:rPr>
              <w:t>)</w:t>
            </w:r>
          </w:p>
        </w:tc>
        <w:tc>
          <w:tcPr>
            <w:tcW w:w="1444" w:type="dxa"/>
            <w:tcBorders>
              <w:top w:val="single" w:sz="4" w:space="0" w:color="auto"/>
            </w:tcBorders>
            <w:shd w:val="clear" w:color="auto" w:fill="auto"/>
            <w:vAlign w:val="center"/>
          </w:tcPr>
          <w:p w14:paraId="392D5129"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29</w:t>
            </w:r>
            <w:r w:rsidR="00FE17FA">
              <w:rPr>
                <w:rFonts w:ascii="Book Antiqua" w:eastAsia="Calibri" w:hAnsi="Book Antiqua" w:cs="Calibri"/>
                <w:lang w:val="en-ZA"/>
              </w:rPr>
              <w:t xml:space="preserve"> </w:t>
            </w:r>
            <w:r w:rsidRPr="00C67EC3">
              <w:rPr>
                <w:rFonts w:ascii="Book Antiqua" w:eastAsia="Calibri" w:hAnsi="Book Antiqua" w:cs="Calibri"/>
                <w:lang w:val="en-ZA"/>
              </w:rPr>
              <w:t>(90.6</w:t>
            </w:r>
            <w:r w:rsidR="00FE17FA">
              <w:rPr>
                <w:rFonts w:ascii="Book Antiqua" w:eastAsia="Calibri" w:hAnsi="Book Antiqua" w:cs="Calibri"/>
                <w:lang w:val="en-ZA"/>
              </w:rPr>
              <w:t>)</w:t>
            </w:r>
          </w:p>
        </w:tc>
        <w:tc>
          <w:tcPr>
            <w:tcW w:w="1444" w:type="dxa"/>
            <w:tcBorders>
              <w:top w:val="single" w:sz="4" w:space="0" w:color="auto"/>
            </w:tcBorders>
            <w:shd w:val="clear" w:color="auto" w:fill="auto"/>
            <w:vAlign w:val="center"/>
          </w:tcPr>
          <w:p w14:paraId="1A8F5D93"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25 (78.1</w:t>
            </w:r>
            <w:r w:rsidR="00FE17FA">
              <w:rPr>
                <w:rFonts w:ascii="Book Antiqua" w:eastAsia="Calibri" w:hAnsi="Book Antiqua" w:cs="Calibri"/>
                <w:lang w:val="en-ZA"/>
              </w:rPr>
              <w:t>)</w:t>
            </w:r>
          </w:p>
        </w:tc>
      </w:tr>
      <w:tr w:rsidR="00C67EC3" w:rsidRPr="00C67EC3" w14:paraId="60EA7DDE" w14:textId="77777777" w:rsidTr="006A71D4">
        <w:tc>
          <w:tcPr>
            <w:tcW w:w="1668" w:type="dxa"/>
            <w:shd w:val="clear" w:color="auto" w:fill="auto"/>
            <w:vAlign w:val="center"/>
          </w:tcPr>
          <w:p w14:paraId="3641C226" w14:textId="77777777" w:rsidR="00C67EC3" w:rsidRPr="00361678"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lang w:val="en-ZA"/>
              </w:rPr>
              <w:t>B</w:t>
            </w:r>
          </w:p>
        </w:tc>
        <w:tc>
          <w:tcPr>
            <w:tcW w:w="1798" w:type="dxa"/>
            <w:shd w:val="clear" w:color="auto" w:fill="auto"/>
            <w:vAlign w:val="center"/>
          </w:tcPr>
          <w:p w14:paraId="13C1FFF4"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i/>
                <w:lang w:val="en-ZA"/>
              </w:rPr>
              <w:t>n</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48</w:t>
            </w:r>
          </w:p>
        </w:tc>
        <w:tc>
          <w:tcPr>
            <w:tcW w:w="1444" w:type="dxa"/>
            <w:shd w:val="clear" w:color="auto" w:fill="auto"/>
            <w:vAlign w:val="center"/>
          </w:tcPr>
          <w:p w14:paraId="1484E672"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40 (83.3</w:t>
            </w:r>
            <w:r w:rsidR="00FE17FA">
              <w:rPr>
                <w:rFonts w:ascii="Book Antiqua" w:eastAsia="Calibri" w:hAnsi="Book Antiqua" w:cs="Calibri"/>
                <w:lang w:val="en-ZA"/>
              </w:rPr>
              <w:t>)</w:t>
            </w:r>
          </w:p>
        </w:tc>
        <w:tc>
          <w:tcPr>
            <w:tcW w:w="1444" w:type="dxa"/>
            <w:shd w:val="clear" w:color="auto" w:fill="auto"/>
            <w:vAlign w:val="center"/>
          </w:tcPr>
          <w:p w14:paraId="49895CBC"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36(75</w:t>
            </w:r>
            <w:r w:rsidR="00FE17FA">
              <w:rPr>
                <w:rFonts w:ascii="Book Antiqua" w:eastAsia="Calibri" w:hAnsi="Book Antiqua" w:cs="Calibri"/>
                <w:lang w:val="en-ZA"/>
              </w:rPr>
              <w:t>)</w:t>
            </w:r>
          </w:p>
        </w:tc>
        <w:tc>
          <w:tcPr>
            <w:tcW w:w="1444" w:type="dxa"/>
            <w:shd w:val="clear" w:color="auto" w:fill="auto"/>
            <w:vAlign w:val="center"/>
          </w:tcPr>
          <w:p w14:paraId="35B7706A"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34 (70.8</w:t>
            </w:r>
            <w:r w:rsidR="00FE17FA">
              <w:rPr>
                <w:rFonts w:ascii="Book Antiqua" w:eastAsia="Calibri" w:hAnsi="Book Antiqua" w:cs="Calibri"/>
                <w:lang w:val="en-ZA"/>
              </w:rPr>
              <w:t>)</w:t>
            </w:r>
          </w:p>
        </w:tc>
        <w:tc>
          <w:tcPr>
            <w:tcW w:w="1444" w:type="dxa"/>
            <w:shd w:val="clear" w:color="auto" w:fill="auto"/>
            <w:vAlign w:val="center"/>
          </w:tcPr>
          <w:p w14:paraId="59605D5C"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31 (64.5</w:t>
            </w:r>
            <w:r w:rsidR="00FE17FA">
              <w:rPr>
                <w:rFonts w:ascii="Book Antiqua" w:eastAsia="Calibri" w:hAnsi="Book Antiqua" w:cs="Calibri"/>
                <w:lang w:val="en-ZA"/>
              </w:rPr>
              <w:t>)</w:t>
            </w:r>
          </w:p>
        </w:tc>
      </w:tr>
      <w:tr w:rsidR="00C67EC3" w:rsidRPr="00C67EC3" w14:paraId="687778D4" w14:textId="77777777" w:rsidTr="006A71D4">
        <w:tc>
          <w:tcPr>
            <w:tcW w:w="1668" w:type="dxa"/>
            <w:shd w:val="clear" w:color="auto" w:fill="auto"/>
            <w:vAlign w:val="center"/>
          </w:tcPr>
          <w:p w14:paraId="1EEB999F" w14:textId="77777777" w:rsidR="00C67EC3" w:rsidRPr="00361678"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lang w:val="en-ZA"/>
              </w:rPr>
              <w:t>C</w:t>
            </w:r>
          </w:p>
        </w:tc>
        <w:tc>
          <w:tcPr>
            <w:tcW w:w="1798" w:type="dxa"/>
            <w:shd w:val="clear" w:color="auto" w:fill="auto"/>
            <w:vAlign w:val="center"/>
          </w:tcPr>
          <w:p w14:paraId="4F7138C9"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i/>
                <w:lang w:val="en-ZA"/>
              </w:rPr>
              <w:t>n</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60</w:t>
            </w:r>
          </w:p>
        </w:tc>
        <w:tc>
          <w:tcPr>
            <w:tcW w:w="1444" w:type="dxa"/>
            <w:shd w:val="clear" w:color="auto" w:fill="auto"/>
            <w:vAlign w:val="center"/>
          </w:tcPr>
          <w:p w14:paraId="459C508F"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30 (50</w:t>
            </w:r>
            <w:r w:rsidR="00FE17FA">
              <w:rPr>
                <w:rFonts w:ascii="Book Antiqua" w:eastAsia="Calibri" w:hAnsi="Book Antiqua" w:cs="Calibri"/>
                <w:lang w:val="en-ZA"/>
              </w:rPr>
              <w:t>)</w:t>
            </w:r>
          </w:p>
        </w:tc>
        <w:tc>
          <w:tcPr>
            <w:tcW w:w="1444" w:type="dxa"/>
            <w:shd w:val="clear" w:color="auto" w:fill="auto"/>
            <w:vAlign w:val="center"/>
          </w:tcPr>
          <w:p w14:paraId="18CB5A1D"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26 (43.3</w:t>
            </w:r>
            <w:r w:rsidR="00FE17FA">
              <w:rPr>
                <w:rFonts w:ascii="Book Antiqua" w:eastAsia="Calibri" w:hAnsi="Book Antiqua" w:cs="Calibri"/>
                <w:lang w:val="en-ZA"/>
              </w:rPr>
              <w:t>)</w:t>
            </w:r>
          </w:p>
        </w:tc>
        <w:tc>
          <w:tcPr>
            <w:tcW w:w="1444" w:type="dxa"/>
            <w:shd w:val="clear" w:color="auto" w:fill="auto"/>
            <w:vAlign w:val="center"/>
          </w:tcPr>
          <w:p w14:paraId="4C4CCE0C"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21 (35</w:t>
            </w:r>
            <w:r w:rsidR="00FE17FA">
              <w:rPr>
                <w:rFonts w:ascii="Book Antiqua" w:eastAsia="Calibri" w:hAnsi="Book Antiqua" w:cs="Calibri"/>
                <w:lang w:val="en-ZA"/>
              </w:rPr>
              <w:t>)</w:t>
            </w:r>
          </w:p>
        </w:tc>
        <w:tc>
          <w:tcPr>
            <w:tcW w:w="1444" w:type="dxa"/>
            <w:shd w:val="clear" w:color="auto" w:fill="auto"/>
            <w:vAlign w:val="center"/>
          </w:tcPr>
          <w:p w14:paraId="39896F16"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17 (28.3</w:t>
            </w:r>
            <w:r w:rsidR="00FE17FA">
              <w:rPr>
                <w:rFonts w:ascii="Book Antiqua" w:eastAsia="Calibri" w:hAnsi="Book Antiqua" w:cs="Calibri"/>
                <w:lang w:val="en-ZA"/>
              </w:rPr>
              <w:t>)</w:t>
            </w:r>
          </w:p>
        </w:tc>
      </w:tr>
    </w:tbl>
    <w:p w14:paraId="4A63550D"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p>
    <w:p w14:paraId="5FC2AD1C"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p>
    <w:p w14:paraId="4A77FFC3" w14:textId="77777777" w:rsidR="00C67EC3" w:rsidRPr="00C67EC3" w:rsidRDefault="0014200F" w:rsidP="00C67EC3">
      <w:pPr>
        <w:adjustRightInd w:val="0"/>
        <w:snapToGrid w:val="0"/>
        <w:spacing w:line="360" w:lineRule="auto"/>
        <w:jc w:val="both"/>
        <w:rPr>
          <w:rFonts w:ascii="Book Antiqua" w:eastAsia="宋体" w:hAnsi="Book Antiqua" w:cs="Arial"/>
          <w:b/>
          <w:bCs/>
          <w:lang w:val="en-GB" w:eastAsia="zh-CN"/>
        </w:rPr>
      </w:pPr>
      <w:r>
        <w:rPr>
          <w:rFonts w:ascii="Book Antiqua" w:eastAsia="宋体" w:hAnsi="Book Antiqua" w:cs="Arial"/>
          <w:b/>
          <w:bCs/>
          <w:lang w:val="en-GB" w:eastAsia="en-ZA"/>
        </w:rPr>
        <w:br w:type="page"/>
      </w:r>
      <w:r w:rsidR="00C67EC3" w:rsidRPr="00C67EC3">
        <w:rPr>
          <w:rFonts w:ascii="Book Antiqua" w:eastAsia="宋体" w:hAnsi="Book Antiqua" w:cs="Arial"/>
          <w:b/>
          <w:bCs/>
          <w:lang w:val="en-GB" w:eastAsia="en-ZA"/>
        </w:rPr>
        <w:lastRenderedPageBreak/>
        <w:t>Table 4</w:t>
      </w:r>
      <w:r w:rsidR="00AF063C" w:rsidRPr="00AF063C">
        <w:t xml:space="preserve"> </w:t>
      </w:r>
      <w:r w:rsidR="00AF063C">
        <w:rPr>
          <w:rFonts w:ascii="Book Antiqua" w:eastAsia="宋体" w:hAnsi="Book Antiqua" w:cs="Arial" w:hint="eastAsia"/>
          <w:b/>
          <w:bCs/>
          <w:lang w:val="en-GB" w:eastAsia="zh-CN"/>
        </w:rPr>
        <w:t>S</w:t>
      </w:r>
      <w:r w:rsidR="00AF063C" w:rsidRPr="00AF063C">
        <w:rPr>
          <w:rFonts w:ascii="Book Antiqua" w:eastAsia="宋体" w:hAnsi="Book Antiqua" w:cs="Arial"/>
          <w:b/>
          <w:bCs/>
          <w:lang w:val="en-GB" w:eastAsia="en-ZA"/>
        </w:rPr>
        <w:t>pecific risk factors for rebleeding on multivariate analysis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62"/>
        <w:gridCol w:w="1928"/>
        <w:gridCol w:w="1928"/>
        <w:gridCol w:w="1453"/>
      </w:tblGrid>
      <w:tr w:rsidR="00C67EC3" w:rsidRPr="00C67EC3" w14:paraId="78A8EF5A" w14:textId="77777777" w:rsidTr="006B096A">
        <w:tc>
          <w:tcPr>
            <w:tcW w:w="1949" w:type="dxa"/>
            <w:tcBorders>
              <w:top w:val="single" w:sz="4" w:space="0" w:color="auto"/>
              <w:bottom w:val="single" w:sz="4" w:space="0" w:color="auto"/>
            </w:tcBorders>
            <w:shd w:val="clear" w:color="auto" w:fill="auto"/>
          </w:tcPr>
          <w:p w14:paraId="789BA797" w14:textId="77777777" w:rsidR="00C67EC3" w:rsidRPr="006B096A" w:rsidRDefault="00C67EC3" w:rsidP="00C67EC3">
            <w:pPr>
              <w:adjustRightInd w:val="0"/>
              <w:snapToGrid w:val="0"/>
              <w:spacing w:line="360" w:lineRule="auto"/>
              <w:jc w:val="both"/>
              <w:rPr>
                <w:rFonts w:ascii="Book Antiqua" w:hAnsi="Book Antiqua" w:cs="Arial"/>
                <w:lang w:val="en-GB" w:eastAsia="en-ZA"/>
              </w:rPr>
            </w:pPr>
          </w:p>
        </w:tc>
        <w:tc>
          <w:tcPr>
            <w:tcW w:w="1462" w:type="dxa"/>
            <w:tcBorders>
              <w:top w:val="single" w:sz="4" w:space="0" w:color="auto"/>
              <w:bottom w:val="single" w:sz="4" w:space="0" w:color="auto"/>
            </w:tcBorders>
            <w:shd w:val="clear" w:color="auto" w:fill="auto"/>
          </w:tcPr>
          <w:p w14:paraId="06793E33"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C67EC3">
              <w:rPr>
                <w:rFonts w:ascii="Book Antiqua" w:hAnsi="Book Antiqua"/>
                <w:b/>
                <w:bCs/>
                <w:lang w:val="en-GB" w:eastAsia="en-ZA"/>
              </w:rPr>
              <w:t>Total</w:t>
            </w:r>
          </w:p>
          <w:p w14:paraId="7453E531"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14200F">
              <w:rPr>
                <w:rFonts w:ascii="Book Antiqua" w:hAnsi="Book Antiqua"/>
                <w:b/>
                <w:bCs/>
                <w:i/>
                <w:lang w:val="en-GB" w:eastAsia="en-ZA"/>
              </w:rPr>
              <w:t>n</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140</w:t>
            </w:r>
          </w:p>
        </w:tc>
        <w:tc>
          <w:tcPr>
            <w:tcW w:w="1928" w:type="dxa"/>
            <w:tcBorders>
              <w:top w:val="single" w:sz="4" w:space="0" w:color="auto"/>
              <w:bottom w:val="single" w:sz="4" w:space="0" w:color="auto"/>
            </w:tcBorders>
            <w:shd w:val="clear" w:color="auto" w:fill="auto"/>
          </w:tcPr>
          <w:p w14:paraId="518C919E"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C67EC3">
              <w:rPr>
                <w:rFonts w:ascii="Book Antiqua" w:hAnsi="Book Antiqua"/>
                <w:b/>
                <w:bCs/>
                <w:lang w:val="en-GB" w:eastAsia="en-ZA"/>
              </w:rPr>
              <w:t xml:space="preserve">No Rebleeding </w:t>
            </w:r>
            <w:r w:rsidRPr="0014200F">
              <w:rPr>
                <w:rFonts w:ascii="Book Antiqua" w:hAnsi="Book Antiqua"/>
                <w:b/>
                <w:bCs/>
                <w:i/>
                <w:lang w:val="en-GB" w:eastAsia="en-ZA"/>
              </w:rPr>
              <w:t>n</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104</w:t>
            </w:r>
          </w:p>
        </w:tc>
        <w:tc>
          <w:tcPr>
            <w:tcW w:w="1928" w:type="dxa"/>
            <w:tcBorders>
              <w:top w:val="single" w:sz="4" w:space="0" w:color="auto"/>
              <w:bottom w:val="single" w:sz="4" w:space="0" w:color="auto"/>
            </w:tcBorders>
            <w:shd w:val="clear" w:color="auto" w:fill="auto"/>
          </w:tcPr>
          <w:p w14:paraId="18BB4E51"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C67EC3">
              <w:rPr>
                <w:rFonts w:ascii="Book Antiqua" w:hAnsi="Book Antiqua"/>
                <w:b/>
                <w:bCs/>
                <w:lang w:val="en-GB" w:eastAsia="en-ZA"/>
              </w:rPr>
              <w:t>Rebleeding</w:t>
            </w:r>
          </w:p>
          <w:p w14:paraId="64B82CD3"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14200F">
              <w:rPr>
                <w:rFonts w:ascii="Book Antiqua" w:hAnsi="Book Antiqua"/>
                <w:b/>
                <w:bCs/>
                <w:i/>
                <w:lang w:val="en-GB" w:eastAsia="en-ZA"/>
              </w:rPr>
              <w:t>n</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36</w:t>
            </w:r>
          </w:p>
        </w:tc>
        <w:tc>
          <w:tcPr>
            <w:tcW w:w="1453" w:type="dxa"/>
            <w:tcBorders>
              <w:top w:val="single" w:sz="4" w:space="0" w:color="auto"/>
              <w:bottom w:val="single" w:sz="4" w:space="0" w:color="auto"/>
            </w:tcBorders>
            <w:shd w:val="clear" w:color="auto" w:fill="auto"/>
          </w:tcPr>
          <w:p w14:paraId="089C8BB9" w14:textId="77777777" w:rsidR="00C67EC3" w:rsidRPr="00C67EC3" w:rsidRDefault="006B096A" w:rsidP="006E4D7C">
            <w:pPr>
              <w:adjustRightInd w:val="0"/>
              <w:snapToGrid w:val="0"/>
              <w:spacing w:line="360" w:lineRule="auto"/>
              <w:jc w:val="both"/>
              <w:rPr>
                <w:rFonts w:ascii="Book Antiqua" w:hAnsi="Book Antiqua"/>
                <w:b/>
                <w:bCs/>
                <w:lang w:val="en-GB" w:eastAsia="en-ZA"/>
              </w:rPr>
            </w:pPr>
            <w:r w:rsidRPr="006B096A">
              <w:rPr>
                <w:rFonts w:ascii="Book Antiqua" w:hAnsi="Book Antiqua"/>
                <w:b/>
                <w:bCs/>
                <w:i/>
                <w:lang w:val="en-GB" w:eastAsia="en-ZA"/>
              </w:rPr>
              <w:t>P</w:t>
            </w:r>
            <w:r w:rsidR="006E4D7C">
              <w:rPr>
                <w:rFonts w:ascii="Book Antiqua" w:hAnsi="Book Antiqua"/>
                <w:b/>
                <w:bCs/>
                <w:lang w:val="en-GB" w:eastAsia="en-ZA"/>
              </w:rPr>
              <w:t xml:space="preserve"> </w:t>
            </w:r>
            <w:r w:rsidR="00C67EC3" w:rsidRPr="00C67EC3">
              <w:rPr>
                <w:rFonts w:ascii="Book Antiqua" w:hAnsi="Book Antiqua"/>
                <w:b/>
                <w:bCs/>
                <w:lang w:val="en-GB" w:eastAsia="en-ZA"/>
              </w:rPr>
              <w:t>value</w:t>
            </w:r>
          </w:p>
        </w:tc>
      </w:tr>
      <w:tr w:rsidR="006B096A" w:rsidRPr="00C67EC3" w14:paraId="2F54DB46" w14:textId="77777777" w:rsidTr="006B096A">
        <w:trPr>
          <w:trHeight w:val="447"/>
        </w:trPr>
        <w:tc>
          <w:tcPr>
            <w:tcW w:w="1949" w:type="dxa"/>
            <w:tcBorders>
              <w:top w:val="single" w:sz="4" w:space="0" w:color="auto"/>
              <w:bottom w:val="nil"/>
            </w:tcBorders>
            <w:shd w:val="clear" w:color="auto" w:fill="auto"/>
          </w:tcPr>
          <w:p w14:paraId="03F343EA" w14:textId="77777777" w:rsidR="006B096A" w:rsidRPr="006B096A" w:rsidRDefault="006B096A" w:rsidP="00C67EC3">
            <w:pPr>
              <w:adjustRightInd w:val="0"/>
              <w:snapToGrid w:val="0"/>
              <w:spacing w:line="360" w:lineRule="auto"/>
              <w:jc w:val="both"/>
              <w:rPr>
                <w:rFonts w:ascii="Book Antiqua" w:eastAsiaTheme="minorEastAsia" w:hAnsi="Book Antiqua" w:cs="Arial"/>
                <w:bCs/>
                <w:lang w:val="en-GB" w:eastAsia="zh-CN"/>
              </w:rPr>
            </w:pPr>
            <w:r w:rsidRPr="006B096A">
              <w:rPr>
                <w:rFonts w:ascii="Book Antiqua" w:hAnsi="Book Antiqua" w:cs="Arial"/>
                <w:bCs/>
                <w:lang w:val="en-GB" w:eastAsia="en-ZA"/>
              </w:rPr>
              <w:t>Age</w:t>
            </w:r>
          </w:p>
        </w:tc>
        <w:tc>
          <w:tcPr>
            <w:tcW w:w="1462" w:type="dxa"/>
            <w:tcBorders>
              <w:top w:val="single" w:sz="4" w:space="0" w:color="auto"/>
            </w:tcBorders>
            <w:shd w:val="clear" w:color="auto" w:fill="auto"/>
          </w:tcPr>
          <w:p w14:paraId="268110FF"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c>
          <w:tcPr>
            <w:tcW w:w="1928" w:type="dxa"/>
            <w:tcBorders>
              <w:top w:val="single" w:sz="4" w:space="0" w:color="auto"/>
            </w:tcBorders>
            <w:shd w:val="clear" w:color="auto" w:fill="auto"/>
          </w:tcPr>
          <w:p w14:paraId="4075C7D3"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c>
          <w:tcPr>
            <w:tcW w:w="1928" w:type="dxa"/>
            <w:tcBorders>
              <w:top w:val="single" w:sz="4" w:space="0" w:color="auto"/>
            </w:tcBorders>
            <w:shd w:val="clear" w:color="auto" w:fill="auto"/>
          </w:tcPr>
          <w:p w14:paraId="017FC48B"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c>
          <w:tcPr>
            <w:tcW w:w="1453" w:type="dxa"/>
            <w:vMerge w:val="restart"/>
            <w:tcBorders>
              <w:top w:val="single" w:sz="4" w:space="0" w:color="auto"/>
            </w:tcBorders>
            <w:shd w:val="clear" w:color="auto" w:fill="auto"/>
          </w:tcPr>
          <w:p w14:paraId="1DA3C8A3" w14:textId="77777777" w:rsidR="006B096A" w:rsidRPr="00C67EC3" w:rsidRDefault="006B096A"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0.149</w:t>
            </w:r>
          </w:p>
        </w:tc>
      </w:tr>
      <w:tr w:rsidR="006B096A" w:rsidRPr="00C67EC3" w14:paraId="6530DE13" w14:textId="77777777" w:rsidTr="006B096A">
        <w:trPr>
          <w:trHeight w:val="446"/>
        </w:trPr>
        <w:tc>
          <w:tcPr>
            <w:tcW w:w="1949" w:type="dxa"/>
            <w:tcBorders>
              <w:top w:val="nil"/>
              <w:bottom w:val="nil"/>
            </w:tcBorders>
            <w:shd w:val="clear" w:color="auto" w:fill="auto"/>
          </w:tcPr>
          <w:p w14:paraId="656CEB66" w14:textId="77777777" w:rsidR="006B096A" w:rsidRPr="006B096A" w:rsidRDefault="006B096A" w:rsidP="006B096A">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 xml:space="preserve">20-39 </w:t>
            </w:r>
            <w:proofErr w:type="spellStart"/>
            <w:r w:rsidRPr="006B096A">
              <w:rPr>
                <w:rFonts w:ascii="Book Antiqua" w:hAnsi="Book Antiqua" w:cs="Arial"/>
                <w:lang w:val="en-GB" w:eastAsia="en-ZA"/>
              </w:rPr>
              <w:t>yr</w:t>
            </w:r>
            <w:proofErr w:type="spellEnd"/>
          </w:p>
        </w:tc>
        <w:tc>
          <w:tcPr>
            <w:tcW w:w="1462" w:type="dxa"/>
            <w:shd w:val="clear" w:color="auto" w:fill="auto"/>
          </w:tcPr>
          <w:p w14:paraId="1E8F9DE2"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36</w:t>
            </w:r>
          </w:p>
        </w:tc>
        <w:tc>
          <w:tcPr>
            <w:tcW w:w="1928" w:type="dxa"/>
            <w:shd w:val="clear" w:color="auto" w:fill="auto"/>
          </w:tcPr>
          <w:p w14:paraId="06A89F9A"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30</w:t>
            </w:r>
          </w:p>
        </w:tc>
        <w:tc>
          <w:tcPr>
            <w:tcW w:w="1928" w:type="dxa"/>
            <w:shd w:val="clear" w:color="auto" w:fill="auto"/>
          </w:tcPr>
          <w:p w14:paraId="0DFF88C7"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6</w:t>
            </w:r>
          </w:p>
        </w:tc>
        <w:tc>
          <w:tcPr>
            <w:tcW w:w="1453" w:type="dxa"/>
            <w:vMerge/>
            <w:shd w:val="clear" w:color="auto" w:fill="auto"/>
          </w:tcPr>
          <w:p w14:paraId="1F2EE5C1"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r>
      <w:tr w:rsidR="006B096A" w:rsidRPr="00C67EC3" w14:paraId="741C32CB" w14:textId="77777777" w:rsidTr="006B096A">
        <w:trPr>
          <w:trHeight w:val="446"/>
        </w:trPr>
        <w:tc>
          <w:tcPr>
            <w:tcW w:w="1949" w:type="dxa"/>
            <w:tcBorders>
              <w:top w:val="nil"/>
              <w:bottom w:val="nil"/>
            </w:tcBorders>
            <w:shd w:val="clear" w:color="auto" w:fill="auto"/>
          </w:tcPr>
          <w:p w14:paraId="1EC46B40" w14:textId="77777777" w:rsidR="006B096A" w:rsidRPr="009A17A0" w:rsidRDefault="009A17A0" w:rsidP="006B096A">
            <w:pPr>
              <w:adjustRightInd w:val="0"/>
              <w:snapToGrid w:val="0"/>
              <w:spacing w:line="360" w:lineRule="auto"/>
              <w:ind w:firstLineChars="50" w:firstLine="120"/>
              <w:jc w:val="both"/>
              <w:rPr>
                <w:rFonts w:ascii="Book Antiqua" w:eastAsiaTheme="minorEastAsia" w:hAnsi="Book Antiqua" w:cs="Arial"/>
                <w:lang w:val="en-GB" w:eastAsia="zh-CN"/>
              </w:rPr>
            </w:pPr>
            <w:r>
              <w:rPr>
                <w:rFonts w:ascii="Book Antiqua" w:hAnsi="Book Antiqua" w:cs="Arial"/>
                <w:lang w:val="en-GB" w:eastAsia="en-ZA"/>
              </w:rPr>
              <w:t xml:space="preserve">40-59 </w:t>
            </w:r>
            <w:proofErr w:type="spellStart"/>
            <w:r>
              <w:rPr>
                <w:rFonts w:ascii="Book Antiqua" w:hAnsi="Book Antiqua" w:cs="Arial"/>
                <w:lang w:val="en-GB" w:eastAsia="en-ZA"/>
              </w:rPr>
              <w:t>y</w:t>
            </w:r>
            <w:r w:rsidR="006B096A" w:rsidRPr="006B096A">
              <w:rPr>
                <w:rFonts w:ascii="Book Antiqua" w:hAnsi="Book Antiqua" w:cs="Arial"/>
                <w:lang w:val="en-GB" w:eastAsia="en-ZA"/>
              </w:rPr>
              <w:t>r</w:t>
            </w:r>
            <w:proofErr w:type="spellEnd"/>
          </w:p>
        </w:tc>
        <w:tc>
          <w:tcPr>
            <w:tcW w:w="1462" w:type="dxa"/>
            <w:shd w:val="clear" w:color="auto" w:fill="auto"/>
          </w:tcPr>
          <w:p w14:paraId="705342C0"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74</w:t>
            </w:r>
          </w:p>
        </w:tc>
        <w:tc>
          <w:tcPr>
            <w:tcW w:w="1928" w:type="dxa"/>
            <w:shd w:val="clear" w:color="auto" w:fill="auto"/>
          </w:tcPr>
          <w:p w14:paraId="4534AB0C"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50</w:t>
            </w:r>
          </w:p>
        </w:tc>
        <w:tc>
          <w:tcPr>
            <w:tcW w:w="1928" w:type="dxa"/>
            <w:shd w:val="clear" w:color="auto" w:fill="auto"/>
          </w:tcPr>
          <w:p w14:paraId="1092C966"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24</w:t>
            </w:r>
          </w:p>
        </w:tc>
        <w:tc>
          <w:tcPr>
            <w:tcW w:w="1453" w:type="dxa"/>
            <w:vMerge/>
            <w:shd w:val="clear" w:color="auto" w:fill="auto"/>
          </w:tcPr>
          <w:p w14:paraId="6A44FFF4"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r>
      <w:tr w:rsidR="006B096A" w:rsidRPr="00C67EC3" w14:paraId="44156661" w14:textId="77777777" w:rsidTr="006B096A">
        <w:trPr>
          <w:trHeight w:val="446"/>
        </w:trPr>
        <w:tc>
          <w:tcPr>
            <w:tcW w:w="1949" w:type="dxa"/>
            <w:tcBorders>
              <w:top w:val="nil"/>
              <w:bottom w:val="nil"/>
            </w:tcBorders>
            <w:shd w:val="clear" w:color="auto" w:fill="auto"/>
          </w:tcPr>
          <w:p w14:paraId="78D578F3" w14:textId="77777777" w:rsidR="006B096A" w:rsidRPr="009A17A0" w:rsidRDefault="00DD3F21" w:rsidP="006B096A">
            <w:pPr>
              <w:adjustRightInd w:val="0"/>
              <w:snapToGrid w:val="0"/>
              <w:spacing w:line="360" w:lineRule="auto"/>
              <w:ind w:firstLineChars="50" w:firstLine="120"/>
              <w:jc w:val="both"/>
              <w:rPr>
                <w:rFonts w:ascii="Book Antiqua" w:eastAsiaTheme="minorEastAsia" w:hAnsi="Book Antiqua" w:cs="Arial"/>
                <w:bCs/>
                <w:lang w:val="en-GB" w:eastAsia="zh-CN"/>
              </w:rPr>
            </w:pPr>
            <w:r>
              <w:rPr>
                <w:rFonts w:ascii="Book Antiqua" w:eastAsiaTheme="minorEastAsia" w:hAnsi="Book Antiqua" w:cs="Arial" w:hint="eastAsia"/>
                <w:lang w:val="en-GB" w:eastAsia="zh-CN"/>
              </w:rPr>
              <w:t xml:space="preserve">&gt; </w:t>
            </w:r>
            <w:r>
              <w:rPr>
                <w:rFonts w:ascii="Book Antiqua" w:hAnsi="Book Antiqua" w:cs="Arial"/>
                <w:lang w:val="en-GB" w:eastAsia="en-ZA"/>
              </w:rPr>
              <w:t>60</w:t>
            </w:r>
            <w:r w:rsidR="009A17A0">
              <w:rPr>
                <w:rFonts w:ascii="Book Antiqua" w:hAnsi="Book Antiqua" w:cs="Arial"/>
                <w:lang w:val="en-GB" w:eastAsia="en-ZA"/>
              </w:rPr>
              <w:t xml:space="preserve"> </w:t>
            </w:r>
            <w:proofErr w:type="spellStart"/>
            <w:r w:rsidR="009A17A0">
              <w:rPr>
                <w:rFonts w:ascii="Book Antiqua" w:hAnsi="Book Antiqua" w:cs="Arial"/>
                <w:lang w:val="en-GB" w:eastAsia="en-ZA"/>
              </w:rPr>
              <w:t>y</w:t>
            </w:r>
            <w:r w:rsidR="006B096A" w:rsidRPr="006B096A">
              <w:rPr>
                <w:rFonts w:ascii="Book Antiqua" w:hAnsi="Book Antiqua" w:cs="Arial"/>
                <w:lang w:val="en-GB" w:eastAsia="en-ZA"/>
              </w:rPr>
              <w:t>r</w:t>
            </w:r>
            <w:proofErr w:type="spellEnd"/>
          </w:p>
        </w:tc>
        <w:tc>
          <w:tcPr>
            <w:tcW w:w="1462" w:type="dxa"/>
            <w:shd w:val="clear" w:color="auto" w:fill="auto"/>
          </w:tcPr>
          <w:p w14:paraId="308DEF00" w14:textId="77777777" w:rsidR="006B096A" w:rsidRPr="00C67EC3" w:rsidRDefault="006B096A"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30</w:t>
            </w:r>
          </w:p>
        </w:tc>
        <w:tc>
          <w:tcPr>
            <w:tcW w:w="1928" w:type="dxa"/>
            <w:shd w:val="clear" w:color="auto" w:fill="auto"/>
          </w:tcPr>
          <w:p w14:paraId="50169C0E" w14:textId="77777777" w:rsidR="006B096A" w:rsidRPr="00C67EC3" w:rsidRDefault="006B096A"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24</w:t>
            </w:r>
          </w:p>
        </w:tc>
        <w:tc>
          <w:tcPr>
            <w:tcW w:w="1928" w:type="dxa"/>
            <w:shd w:val="clear" w:color="auto" w:fill="auto"/>
          </w:tcPr>
          <w:p w14:paraId="0E6DA2C0" w14:textId="77777777" w:rsidR="006B096A" w:rsidRPr="00C67EC3" w:rsidRDefault="006B096A"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6</w:t>
            </w:r>
          </w:p>
        </w:tc>
        <w:tc>
          <w:tcPr>
            <w:tcW w:w="1453" w:type="dxa"/>
            <w:vMerge/>
            <w:shd w:val="clear" w:color="auto" w:fill="auto"/>
          </w:tcPr>
          <w:p w14:paraId="1F09552D"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r>
      <w:tr w:rsidR="005B3054" w:rsidRPr="00C67EC3" w14:paraId="4CFA772A" w14:textId="77777777" w:rsidTr="005B3054">
        <w:trPr>
          <w:trHeight w:val="445"/>
        </w:trPr>
        <w:tc>
          <w:tcPr>
            <w:tcW w:w="1949" w:type="dxa"/>
            <w:tcBorders>
              <w:top w:val="nil"/>
            </w:tcBorders>
            <w:shd w:val="clear" w:color="auto" w:fill="auto"/>
          </w:tcPr>
          <w:p w14:paraId="04057893" w14:textId="77777777" w:rsidR="005B3054" w:rsidRPr="005B3054" w:rsidRDefault="005B3054" w:rsidP="00C67EC3">
            <w:pPr>
              <w:adjustRightInd w:val="0"/>
              <w:snapToGrid w:val="0"/>
              <w:spacing w:line="360" w:lineRule="auto"/>
              <w:jc w:val="both"/>
              <w:rPr>
                <w:rFonts w:ascii="Book Antiqua" w:eastAsiaTheme="minorEastAsia" w:hAnsi="Book Antiqua" w:cs="Arial"/>
                <w:lang w:val="en-GB" w:eastAsia="zh-CN"/>
              </w:rPr>
            </w:pPr>
            <w:r w:rsidRPr="006B096A">
              <w:rPr>
                <w:rFonts w:ascii="Book Antiqua" w:hAnsi="Book Antiqua" w:cs="Arial"/>
                <w:lang w:val="en-GB" w:eastAsia="en-ZA"/>
              </w:rPr>
              <w:t>Gender</w:t>
            </w:r>
          </w:p>
        </w:tc>
        <w:tc>
          <w:tcPr>
            <w:tcW w:w="1462" w:type="dxa"/>
            <w:shd w:val="clear" w:color="auto" w:fill="auto"/>
          </w:tcPr>
          <w:p w14:paraId="60EF5101"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580376A4"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17EB6545"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c>
          <w:tcPr>
            <w:tcW w:w="1453" w:type="dxa"/>
            <w:vMerge w:val="restart"/>
            <w:shd w:val="clear" w:color="auto" w:fill="auto"/>
          </w:tcPr>
          <w:p w14:paraId="3C98CCED" w14:textId="77777777" w:rsidR="005B3054" w:rsidRPr="00C67EC3" w:rsidRDefault="005B3054"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0.112</w:t>
            </w:r>
          </w:p>
        </w:tc>
      </w:tr>
      <w:tr w:rsidR="005B3054" w:rsidRPr="00C67EC3" w14:paraId="715294DB" w14:textId="77777777" w:rsidTr="006B096A">
        <w:trPr>
          <w:trHeight w:val="445"/>
        </w:trPr>
        <w:tc>
          <w:tcPr>
            <w:tcW w:w="1949" w:type="dxa"/>
            <w:tcBorders>
              <w:top w:val="nil"/>
            </w:tcBorders>
            <w:shd w:val="clear" w:color="auto" w:fill="auto"/>
          </w:tcPr>
          <w:p w14:paraId="3FBA62A5" w14:textId="77777777" w:rsidR="005B3054" w:rsidRPr="005B3054" w:rsidRDefault="005B3054" w:rsidP="005B3054">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Male</w:t>
            </w:r>
          </w:p>
        </w:tc>
        <w:tc>
          <w:tcPr>
            <w:tcW w:w="1462" w:type="dxa"/>
            <w:shd w:val="clear" w:color="auto" w:fill="auto"/>
          </w:tcPr>
          <w:p w14:paraId="6C672C5B" w14:textId="77777777" w:rsidR="005B3054" w:rsidRPr="005B3054" w:rsidRDefault="005B3054"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100</w:t>
            </w:r>
          </w:p>
        </w:tc>
        <w:tc>
          <w:tcPr>
            <w:tcW w:w="1928" w:type="dxa"/>
            <w:shd w:val="clear" w:color="auto" w:fill="auto"/>
          </w:tcPr>
          <w:p w14:paraId="4D1D85C9" w14:textId="77777777" w:rsidR="005B3054" w:rsidRPr="005B3054" w:rsidRDefault="005B3054"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78</w:t>
            </w:r>
          </w:p>
        </w:tc>
        <w:tc>
          <w:tcPr>
            <w:tcW w:w="1928" w:type="dxa"/>
            <w:shd w:val="clear" w:color="auto" w:fill="auto"/>
          </w:tcPr>
          <w:p w14:paraId="00A24B10" w14:textId="77777777" w:rsidR="005B3054" w:rsidRPr="005B3054" w:rsidRDefault="005B3054"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22</w:t>
            </w:r>
          </w:p>
        </w:tc>
        <w:tc>
          <w:tcPr>
            <w:tcW w:w="1453" w:type="dxa"/>
            <w:vMerge/>
            <w:shd w:val="clear" w:color="auto" w:fill="auto"/>
          </w:tcPr>
          <w:p w14:paraId="6D264C86"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r>
      <w:tr w:rsidR="005B3054" w:rsidRPr="00C67EC3" w14:paraId="76456E49" w14:textId="77777777" w:rsidTr="006B096A">
        <w:trPr>
          <w:trHeight w:val="445"/>
        </w:trPr>
        <w:tc>
          <w:tcPr>
            <w:tcW w:w="1949" w:type="dxa"/>
            <w:tcBorders>
              <w:top w:val="nil"/>
            </w:tcBorders>
            <w:shd w:val="clear" w:color="auto" w:fill="auto"/>
          </w:tcPr>
          <w:p w14:paraId="08259BC2" w14:textId="77777777" w:rsidR="005B3054" w:rsidRPr="006B096A" w:rsidRDefault="005B3054" w:rsidP="005B3054">
            <w:pPr>
              <w:adjustRightInd w:val="0"/>
              <w:snapToGrid w:val="0"/>
              <w:spacing w:line="360" w:lineRule="auto"/>
              <w:ind w:firstLineChars="50" w:firstLine="120"/>
              <w:jc w:val="both"/>
              <w:rPr>
                <w:rFonts w:ascii="Book Antiqua" w:hAnsi="Book Antiqua" w:cs="Arial"/>
                <w:lang w:val="en-GB" w:eastAsia="en-ZA"/>
              </w:rPr>
            </w:pPr>
            <w:r w:rsidRPr="006B096A">
              <w:rPr>
                <w:rFonts w:ascii="Book Antiqua" w:hAnsi="Book Antiqua" w:cs="Arial"/>
                <w:lang w:val="en-GB" w:eastAsia="en-ZA"/>
              </w:rPr>
              <w:t>Female</w:t>
            </w:r>
          </w:p>
        </w:tc>
        <w:tc>
          <w:tcPr>
            <w:tcW w:w="1462" w:type="dxa"/>
            <w:shd w:val="clear" w:color="auto" w:fill="auto"/>
          </w:tcPr>
          <w:p w14:paraId="25D5213E" w14:textId="77777777" w:rsidR="005B3054" w:rsidRPr="00C67EC3" w:rsidRDefault="005B3054"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40</w:t>
            </w:r>
          </w:p>
        </w:tc>
        <w:tc>
          <w:tcPr>
            <w:tcW w:w="1928" w:type="dxa"/>
            <w:shd w:val="clear" w:color="auto" w:fill="auto"/>
          </w:tcPr>
          <w:p w14:paraId="7C69111A" w14:textId="77777777" w:rsidR="005B3054" w:rsidRPr="00C67EC3" w:rsidRDefault="005B3054"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26</w:t>
            </w:r>
          </w:p>
        </w:tc>
        <w:tc>
          <w:tcPr>
            <w:tcW w:w="1928" w:type="dxa"/>
            <w:shd w:val="clear" w:color="auto" w:fill="auto"/>
          </w:tcPr>
          <w:p w14:paraId="65C1FA85" w14:textId="77777777" w:rsidR="005B3054" w:rsidRPr="00C67EC3" w:rsidRDefault="005B3054"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14</w:t>
            </w:r>
          </w:p>
        </w:tc>
        <w:tc>
          <w:tcPr>
            <w:tcW w:w="1453" w:type="dxa"/>
            <w:vMerge/>
            <w:shd w:val="clear" w:color="auto" w:fill="auto"/>
          </w:tcPr>
          <w:p w14:paraId="5DB4A5B1"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r>
      <w:tr w:rsidR="00301145" w:rsidRPr="00C67EC3" w14:paraId="1EE1F75B" w14:textId="77777777" w:rsidTr="00301145">
        <w:trPr>
          <w:trHeight w:val="561"/>
        </w:trPr>
        <w:tc>
          <w:tcPr>
            <w:tcW w:w="1949" w:type="dxa"/>
            <w:shd w:val="clear" w:color="auto" w:fill="auto"/>
          </w:tcPr>
          <w:p w14:paraId="60A4D171" w14:textId="77777777" w:rsidR="00301145" w:rsidRPr="00301145" w:rsidRDefault="00301145" w:rsidP="00C67EC3">
            <w:pPr>
              <w:adjustRightInd w:val="0"/>
              <w:snapToGrid w:val="0"/>
              <w:spacing w:line="360" w:lineRule="auto"/>
              <w:jc w:val="both"/>
              <w:rPr>
                <w:rFonts w:ascii="Book Antiqua" w:eastAsiaTheme="minorEastAsia" w:hAnsi="Book Antiqua" w:cs="Arial"/>
                <w:bCs/>
                <w:lang w:val="en-GB" w:eastAsia="zh-CN"/>
              </w:rPr>
            </w:pPr>
            <w:r w:rsidRPr="006B096A">
              <w:rPr>
                <w:rFonts w:ascii="Book Antiqua" w:hAnsi="Book Antiqua" w:cs="Arial"/>
                <w:bCs/>
                <w:lang w:val="en-GB" w:eastAsia="en-ZA"/>
              </w:rPr>
              <w:t>Child-Pugh Grade</w:t>
            </w:r>
          </w:p>
        </w:tc>
        <w:tc>
          <w:tcPr>
            <w:tcW w:w="1462" w:type="dxa"/>
            <w:shd w:val="clear" w:color="auto" w:fill="auto"/>
          </w:tcPr>
          <w:p w14:paraId="2E03BDAF"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6090B00C"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29BEB585"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453" w:type="dxa"/>
            <w:vMerge w:val="restart"/>
            <w:shd w:val="clear" w:color="auto" w:fill="auto"/>
          </w:tcPr>
          <w:p w14:paraId="14467E25"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0.965</w:t>
            </w:r>
          </w:p>
          <w:p w14:paraId="6F620836"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4C7D5830" w14:textId="77777777" w:rsidTr="006B096A">
        <w:trPr>
          <w:trHeight w:val="558"/>
        </w:trPr>
        <w:tc>
          <w:tcPr>
            <w:tcW w:w="1949" w:type="dxa"/>
            <w:shd w:val="clear" w:color="auto" w:fill="auto"/>
          </w:tcPr>
          <w:p w14:paraId="5DDB1BB9" w14:textId="77777777" w:rsidR="00301145" w:rsidRPr="00301145" w:rsidRDefault="00301145" w:rsidP="009553F9">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A</w:t>
            </w:r>
          </w:p>
        </w:tc>
        <w:tc>
          <w:tcPr>
            <w:tcW w:w="1462" w:type="dxa"/>
            <w:shd w:val="clear" w:color="auto" w:fill="auto"/>
          </w:tcPr>
          <w:p w14:paraId="39C374DB"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32</w:t>
            </w:r>
          </w:p>
        </w:tc>
        <w:tc>
          <w:tcPr>
            <w:tcW w:w="1928" w:type="dxa"/>
            <w:shd w:val="clear" w:color="auto" w:fill="auto"/>
          </w:tcPr>
          <w:p w14:paraId="1A66B793"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24</w:t>
            </w:r>
          </w:p>
        </w:tc>
        <w:tc>
          <w:tcPr>
            <w:tcW w:w="1928" w:type="dxa"/>
            <w:shd w:val="clear" w:color="auto" w:fill="auto"/>
          </w:tcPr>
          <w:p w14:paraId="719D36D9"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8</w:t>
            </w:r>
          </w:p>
        </w:tc>
        <w:tc>
          <w:tcPr>
            <w:tcW w:w="1453" w:type="dxa"/>
            <w:vMerge/>
            <w:shd w:val="clear" w:color="auto" w:fill="auto"/>
          </w:tcPr>
          <w:p w14:paraId="374E28BB"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3CB13AA8" w14:textId="77777777" w:rsidTr="006B096A">
        <w:trPr>
          <w:trHeight w:val="558"/>
        </w:trPr>
        <w:tc>
          <w:tcPr>
            <w:tcW w:w="1949" w:type="dxa"/>
            <w:shd w:val="clear" w:color="auto" w:fill="auto"/>
          </w:tcPr>
          <w:p w14:paraId="7FAD037F" w14:textId="77777777" w:rsidR="00301145" w:rsidRPr="00301145" w:rsidRDefault="00301145" w:rsidP="009553F9">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B</w:t>
            </w:r>
          </w:p>
        </w:tc>
        <w:tc>
          <w:tcPr>
            <w:tcW w:w="1462" w:type="dxa"/>
            <w:shd w:val="clear" w:color="auto" w:fill="auto"/>
          </w:tcPr>
          <w:p w14:paraId="2B6C2C14"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48</w:t>
            </w:r>
          </w:p>
        </w:tc>
        <w:tc>
          <w:tcPr>
            <w:tcW w:w="1928" w:type="dxa"/>
            <w:shd w:val="clear" w:color="auto" w:fill="auto"/>
          </w:tcPr>
          <w:p w14:paraId="6FE3C85D"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35</w:t>
            </w:r>
          </w:p>
        </w:tc>
        <w:tc>
          <w:tcPr>
            <w:tcW w:w="1928" w:type="dxa"/>
            <w:shd w:val="clear" w:color="auto" w:fill="auto"/>
          </w:tcPr>
          <w:p w14:paraId="108A9478"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13</w:t>
            </w:r>
          </w:p>
        </w:tc>
        <w:tc>
          <w:tcPr>
            <w:tcW w:w="1453" w:type="dxa"/>
            <w:vMerge/>
            <w:shd w:val="clear" w:color="auto" w:fill="auto"/>
          </w:tcPr>
          <w:p w14:paraId="2F6E7CA9"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4658A20A" w14:textId="77777777" w:rsidTr="006B096A">
        <w:trPr>
          <w:trHeight w:val="558"/>
        </w:trPr>
        <w:tc>
          <w:tcPr>
            <w:tcW w:w="1949" w:type="dxa"/>
            <w:shd w:val="clear" w:color="auto" w:fill="auto"/>
          </w:tcPr>
          <w:p w14:paraId="76242202" w14:textId="77777777" w:rsidR="00301145" w:rsidRPr="006B096A" w:rsidRDefault="00301145" w:rsidP="009553F9">
            <w:pPr>
              <w:adjustRightInd w:val="0"/>
              <w:snapToGrid w:val="0"/>
              <w:spacing w:line="360" w:lineRule="auto"/>
              <w:ind w:firstLineChars="50" w:firstLine="120"/>
              <w:jc w:val="both"/>
              <w:rPr>
                <w:rFonts w:ascii="Book Antiqua" w:hAnsi="Book Antiqua" w:cs="Arial"/>
                <w:bCs/>
                <w:lang w:val="en-GB" w:eastAsia="en-ZA"/>
              </w:rPr>
            </w:pPr>
            <w:r w:rsidRPr="006B096A">
              <w:rPr>
                <w:rFonts w:ascii="Book Antiqua" w:hAnsi="Book Antiqua" w:cs="Arial"/>
                <w:lang w:val="en-GB" w:eastAsia="en-ZA"/>
              </w:rPr>
              <w:t>C</w:t>
            </w:r>
          </w:p>
        </w:tc>
        <w:tc>
          <w:tcPr>
            <w:tcW w:w="1462" w:type="dxa"/>
            <w:shd w:val="clear" w:color="auto" w:fill="auto"/>
          </w:tcPr>
          <w:p w14:paraId="6339A4E7"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60</w:t>
            </w:r>
          </w:p>
        </w:tc>
        <w:tc>
          <w:tcPr>
            <w:tcW w:w="1928" w:type="dxa"/>
            <w:shd w:val="clear" w:color="auto" w:fill="auto"/>
          </w:tcPr>
          <w:p w14:paraId="35782DA0"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45</w:t>
            </w:r>
          </w:p>
        </w:tc>
        <w:tc>
          <w:tcPr>
            <w:tcW w:w="1928" w:type="dxa"/>
            <w:shd w:val="clear" w:color="auto" w:fill="auto"/>
          </w:tcPr>
          <w:p w14:paraId="5E7B28B1"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15</w:t>
            </w:r>
          </w:p>
        </w:tc>
        <w:tc>
          <w:tcPr>
            <w:tcW w:w="1453" w:type="dxa"/>
            <w:vMerge/>
            <w:shd w:val="clear" w:color="auto" w:fill="auto"/>
          </w:tcPr>
          <w:p w14:paraId="35D4F8C6"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65A24949" w14:textId="77777777" w:rsidTr="00301145">
        <w:trPr>
          <w:trHeight w:val="595"/>
        </w:trPr>
        <w:tc>
          <w:tcPr>
            <w:tcW w:w="1949" w:type="dxa"/>
            <w:shd w:val="clear" w:color="auto" w:fill="auto"/>
          </w:tcPr>
          <w:p w14:paraId="514D38DE" w14:textId="77777777" w:rsidR="00301145" w:rsidRPr="00301145" w:rsidRDefault="00301145" w:rsidP="00C67EC3">
            <w:pPr>
              <w:adjustRightInd w:val="0"/>
              <w:snapToGrid w:val="0"/>
              <w:spacing w:line="360" w:lineRule="auto"/>
              <w:jc w:val="both"/>
              <w:rPr>
                <w:rFonts w:ascii="Book Antiqua" w:eastAsiaTheme="minorEastAsia" w:hAnsi="Book Antiqua" w:cs="Arial"/>
                <w:bCs/>
                <w:lang w:val="en-GB" w:eastAsia="zh-CN"/>
              </w:rPr>
            </w:pPr>
            <w:r w:rsidRPr="006B096A">
              <w:rPr>
                <w:rFonts w:ascii="Book Antiqua" w:hAnsi="Book Antiqua" w:cs="Arial"/>
                <w:bCs/>
                <w:lang w:val="en-GB" w:eastAsia="en-ZA"/>
              </w:rPr>
              <w:t>Cause of Varices</w:t>
            </w:r>
          </w:p>
        </w:tc>
        <w:tc>
          <w:tcPr>
            <w:tcW w:w="1462" w:type="dxa"/>
            <w:shd w:val="clear" w:color="auto" w:fill="auto"/>
          </w:tcPr>
          <w:p w14:paraId="1A8B7152"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72871401"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43175390"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453" w:type="dxa"/>
            <w:vMerge w:val="restart"/>
            <w:shd w:val="clear" w:color="auto" w:fill="auto"/>
          </w:tcPr>
          <w:p w14:paraId="70ED960C"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0.343</w:t>
            </w:r>
          </w:p>
        </w:tc>
      </w:tr>
      <w:tr w:rsidR="00301145" w:rsidRPr="00C67EC3" w14:paraId="567D137E" w14:textId="77777777" w:rsidTr="006B096A">
        <w:trPr>
          <w:trHeight w:val="595"/>
        </w:trPr>
        <w:tc>
          <w:tcPr>
            <w:tcW w:w="1949" w:type="dxa"/>
            <w:shd w:val="clear" w:color="auto" w:fill="auto"/>
          </w:tcPr>
          <w:p w14:paraId="1DE26A56" w14:textId="77777777" w:rsidR="00301145" w:rsidRPr="00301145" w:rsidRDefault="00301145" w:rsidP="009553F9">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Alcoholic</w:t>
            </w:r>
          </w:p>
        </w:tc>
        <w:tc>
          <w:tcPr>
            <w:tcW w:w="1462" w:type="dxa"/>
            <w:shd w:val="clear" w:color="auto" w:fill="auto"/>
          </w:tcPr>
          <w:p w14:paraId="12161F8A"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84</w:t>
            </w:r>
          </w:p>
        </w:tc>
        <w:tc>
          <w:tcPr>
            <w:tcW w:w="1928" w:type="dxa"/>
            <w:shd w:val="clear" w:color="auto" w:fill="auto"/>
          </w:tcPr>
          <w:p w14:paraId="75C4B0BE"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60</w:t>
            </w:r>
          </w:p>
        </w:tc>
        <w:tc>
          <w:tcPr>
            <w:tcW w:w="1928" w:type="dxa"/>
            <w:shd w:val="clear" w:color="auto" w:fill="auto"/>
          </w:tcPr>
          <w:p w14:paraId="15BD7165"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24</w:t>
            </w:r>
          </w:p>
        </w:tc>
        <w:tc>
          <w:tcPr>
            <w:tcW w:w="1453" w:type="dxa"/>
            <w:vMerge/>
            <w:shd w:val="clear" w:color="auto" w:fill="auto"/>
          </w:tcPr>
          <w:p w14:paraId="1FB3F9A6"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65AAB9F0" w14:textId="77777777" w:rsidTr="006B096A">
        <w:trPr>
          <w:trHeight w:val="595"/>
        </w:trPr>
        <w:tc>
          <w:tcPr>
            <w:tcW w:w="1949" w:type="dxa"/>
            <w:shd w:val="clear" w:color="auto" w:fill="auto"/>
          </w:tcPr>
          <w:p w14:paraId="1761BFD6" w14:textId="77777777" w:rsidR="00301145" w:rsidRPr="006B096A" w:rsidRDefault="00301145" w:rsidP="009553F9">
            <w:pPr>
              <w:adjustRightInd w:val="0"/>
              <w:snapToGrid w:val="0"/>
              <w:spacing w:line="360" w:lineRule="auto"/>
              <w:ind w:firstLineChars="50" w:firstLine="120"/>
              <w:jc w:val="both"/>
              <w:rPr>
                <w:rFonts w:ascii="Book Antiqua" w:hAnsi="Book Antiqua" w:cs="Arial"/>
                <w:bCs/>
                <w:lang w:val="en-GB" w:eastAsia="en-ZA"/>
              </w:rPr>
            </w:pPr>
            <w:r w:rsidRPr="006B096A">
              <w:rPr>
                <w:rFonts w:ascii="Book Antiqua" w:hAnsi="Book Antiqua" w:cs="Arial"/>
                <w:lang w:val="en-GB" w:eastAsia="en-ZA"/>
              </w:rPr>
              <w:t>Non-Alcoholic</w:t>
            </w:r>
          </w:p>
        </w:tc>
        <w:tc>
          <w:tcPr>
            <w:tcW w:w="1462" w:type="dxa"/>
            <w:shd w:val="clear" w:color="auto" w:fill="auto"/>
          </w:tcPr>
          <w:p w14:paraId="1C094046"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56</w:t>
            </w:r>
          </w:p>
        </w:tc>
        <w:tc>
          <w:tcPr>
            <w:tcW w:w="1928" w:type="dxa"/>
            <w:shd w:val="clear" w:color="auto" w:fill="auto"/>
          </w:tcPr>
          <w:p w14:paraId="29F37481"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44</w:t>
            </w:r>
          </w:p>
        </w:tc>
        <w:tc>
          <w:tcPr>
            <w:tcW w:w="1928" w:type="dxa"/>
            <w:shd w:val="clear" w:color="auto" w:fill="auto"/>
          </w:tcPr>
          <w:p w14:paraId="7BC93FBE"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12</w:t>
            </w:r>
          </w:p>
        </w:tc>
        <w:tc>
          <w:tcPr>
            <w:tcW w:w="1453" w:type="dxa"/>
            <w:vMerge/>
            <w:shd w:val="clear" w:color="auto" w:fill="auto"/>
          </w:tcPr>
          <w:p w14:paraId="729F55C7"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bl>
    <w:p w14:paraId="61AC15C2" w14:textId="77777777" w:rsidR="00C67EC3" w:rsidRPr="00C67EC3" w:rsidRDefault="00C67EC3" w:rsidP="00C67EC3">
      <w:pPr>
        <w:adjustRightInd w:val="0"/>
        <w:snapToGrid w:val="0"/>
        <w:spacing w:line="360" w:lineRule="auto"/>
        <w:jc w:val="both"/>
        <w:rPr>
          <w:rFonts w:ascii="Book Antiqua" w:eastAsia="宋体" w:hAnsi="Book Antiqua" w:cs="Arial"/>
          <w:lang w:val="en-GB" w:eastAsia="en-ZA"/>
        </w:rPr>
      </w:pPr>
    </w:p>
    <w:p w14:paraId="21CBB10F"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sectPr w:rsidR="00C67EC3" w:rsidRPr="00C67EC3" w:rsidSect="00037B5D">
          <w:headerReference w:type="even" r:id="rId9"/>
          <w:headerReference w:type="default" r:id="rId10"/>
          <w:footerReference w:type="even" r:id="rId11"/>
          <w:footerReference w:type="default" r:id="rId12"/>
          <w:pgSz w:w="11906" w:h="16838" w:code="9"/>
          <w:pgMar w:top="1418" w:right="1701" w:bottom="1418" w:left="1701" w:header="720" w:footer="720" w:gutter="0"/>
          <w:cols w:space="720"/>
          <w:titlePg/>
          <w:docGrid w:linePitch="326"/>
        </w:sectPr>
      </w:pPr>
    </w:p>
    <w:p w14:paraId="1E545069" w14:textId="77777777" w:rsidR="00C67EC3" w:rsidRPr="00C67EC3" w:rsidRDefault="00B35C6B" w:rsidP="00C67EC3">
      <w:pPr>
        <w:adjustRightInd w:val="0"/>
        <w:snapToGrid w:val="0"/>
        <w:spacing w:line="360" w:lineRule="auto"/>
        <w:jc w:val="both"/>
        <w:rPr>
          <w:rFonts w:ascii="Book Antiqua" w:eastAsia="宋体" w:hAnsi="Book Antiqua" w:cs="Calibri"/>
          <w:b/>
          <w:lang w:val="en-GB" w:eastAsia="en-ZA"/>
        </w:rPr>
      </w:pPr>
      <w:r>
        <w:rPr>
          <w:rFonts w:ascii="Book Antiqua" w:eastAsia="宋体" w:hAnsi="Book Antiqua" w:cs="Calibri"/>
          <w:b/>
          <w:lang w:val="en-GB" w:eastAsia="en-ZA"/>
        </w:rPr>
        <w:lastRenderedPageBreak/>
        <w:t>Table 5</w:t>
      </w:r>
      <w:r w:rsidR="00C67EC3" w:rsidRPr="00C67EC3">
        <w:rPr>
          <w:rFonts w:ascii="Book Antiqua" w:eastAsia="宋体" w:hAnsi="Book Antiqua" w:cs="Calibri"/>
          <w:b/>
          <w:lang w:val="en-GB" w:eastAsia="en-ZA"/>
        </w:rPr>
        <w:t xml:space="preserve"> Updated summary of published randomized controlled trials of </w:t>
      </w:r>
      <w:r w:rsidRPr="000B3386">
        <w:rPr>
          <w:rFonts w:ascii="Book Antiqua" w:eastAsia="宋体" w:hAnsi="Book Antiqua" w:cs="Calibri"/>
          <w:b/>
          <w:lang w:val="en-GB" w:eastAsia="en-ZA"/>
        </w:rPr>
        <w:t>endoscopic variceal ligation</w:t>
      </w:r>
      <w:r w:rsidR="00C67EC3" w:rsidRPr="00C67EC3">
        <w:rPr>
          <w:rFonts w:ascii="Book Antiqua" w:eastAsia="宋体" w:hAnsi="Book Antiqua" w:cs="Calibri"/>
          <w:b/>
          <w:lang w:val="en-GB" w:eastAsia="en-ZA"/>
        </w:rPr>
        <w:t xml:space="preserve"> </w:t>
      </w:r>
      <w:r w:rsidR="00C67EC3" w:rsidRPr="00B35C6B">
        <w:rPr>
          <w:rFonts w:ascii="Book Antiqua" w:eastAsia="宋体" w:hAnsi="Book Antiqua" w:cs="Calibri"/>
          <w:b/>
          <w:i/>
          <w:lang w:val="en-GB" w:eastAsia="en-ZA"/>
        </w:rPr>
        <w:t>vs</w:t>
      </w:r>
      <w:r w:rsidR="00C67EC3" w:rsidRPr="00C67EC3">
        <w:rPr>
          <w:rFonts w:ascii="Book Antiqua" w:eastAsia="宋体" w:hAnsi="Book Antiqua" w:cs="Calibri"/>
          <w:b/>
          <w:lang w:val="en-GB" w:eastAsia="en-ZA"/>
        </w:rPr>
        <w:t xml:space="preserve"> </w:t>
      </w:r>
      <w:r w:rsidRPr="00B35C6B">
        <w:rPr>
          <w:rFonts w:ascii="Book Antiqua" w:eastAsia="宋体" w:hAnsi="Book Antiqua" w:cs="Calibri"/>
          <w:b/>
          <w:lang w:val="en-GB" w:eastAsia="en-ZA"/>
        </w:rPr>
        <w:t>injection sclerotherapy</w:t>
      </w:r>
    </w:p>
    <w:tbl>
      <w:tblPr>
        <w:tblStyle w:val="af"/>
        <w:tblW w:w="15615" w:type="dxa"/>
        <w:tblInd w:w="-8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10"/>
        <w:gridCol w:w="1184"/>
        <w:gridCol w:w="724"/>
        <w:gridCol w:w="642"/>
        <w:gridCol w:w="794"/>
        <w:gridCol w:w="794"/>
        <w:gridCol w:w="710"/>
        <w:gridCol w:w="793"/>
        <w:gridCol w:w="799"/>
        <w:gridCol w:w="708"/>
        <w:gridCol w:w="718"/>
        <w:gridCol w:w="838"/>
        <w:gridCol w:w="928"/>
        <w:gridCol w:w="849"/>
        <w:gridCol w:w="854"/>
        <w:gridCol w:w="732"/>
        <w:gridCol w:w="778"/>
        <w:gridCol w:w="658"/>
      </w:tblGrid>
      <w:tr w:rsidR="001D0D13" w:rsidRPr="00E10F07" w14:paraId="60545EA0" w14:textId="77777777" w:rsidTr="00E10F07">
        <w:tc>
          <w:tcPr>
            <w:tcW w:w="0" w:type="auto"/>
            <w:vMerge w:val="restart"/>
            <w:tcBorders>
              <w:top w:val="single" w:sz="4" w:space="0" w:color="auto"/>
              <w:bottom w:val="nil"/>
            </w:tcBorders>
          </w:tcPr>
          <w:p w14:paraId="239D9C52" w14:textId="77777777" w:rsidR="0055108A" w:rsidRPr="004C73C7" w:rsidRDefault="004C73C7" w:rsidP="001D0D13">
            <w:pPr>
              <w:adjustRightInd w:val="0"/>
              <w:snapToGrid w:val="0"/>
              <w:spacing w:line="360" w:lineRule="auto"/>
              <w:jc w:val="both"/>
              <w:rPr>
                <w:rFonts w:ascii="Book Antiqua" w:eastAsiaTheme="minorEastAsia" w:hAnsi="Book Antiqua" w:cs="Calibri"/>
                <w:b/>
                <w:lang w:val="en-GB" w:eastAsia="zh-CN"/>
              </w:rPr>
            </w:pPr>
            <w:r>
              <w:rPr>
                <w:rFonts w:ascii="Book Antiqua" w:eastAsiaTheme="minorEastAsia" w:hAnsi="Book Antiqua" w:cs="Calibri" w:hint="eastAsia"/>
                <w:b/>
                <w:lang w:val="en-GB" w:eastAsia="zh-CN"/>
              </w:rPr>
              <w:t>Ref.</w:t>
            </w:r>
          </w:p>
        </w:tc>
        <w:tc>
          <w:tcPr>
            <w:tcW w:w="0" w:type="auto"/>
            <w:vMerge w:val="restart"/>
            <w:tcBorders>
              <w:top w:val="single" w:sz="4" w:space="0" w:color="auto"/>
              <w:bottom w:val="nil"/>
            </w:tcBorders>
          </w:tcPr>
          <w:p w14:paraId="7082B6E6"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Year</w:t>
            </w:r>
          </w:p>
        </w:tc>
        <w:tc>
          <w:tcPr>
            <w:tcW w:w="0" w:type="auto"/>
            <w:vMerge w:val="restart"/>
            <w:tcBorders>
              <w:top w:val="single" w:sz="4" w:space="0" w:color="auto"/>
              <w:bottom w:val="nil"/>
            </w:tcBorders>
          </w:tcPr>
          <w:p w14:paraId="61AF8FD6"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Number of patients</w:t>
            </w:r>
          </w:p>
        </w:tc>
        <w:tc>
          <w:tcPr>
            <w:tcW w:w="0" w:type="auto"/>
            <w:gridSpan w:val="2"/>
            <w:tcBorders>
              <w:top w:val="single" w:sz="4" w:space="0" w:color="auto"/>
              <w:bottom w:val="nil"/>
            </w:tcBorders>
          </w:tcPr>
          <w:p w14:paraId="272DEF5E"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Number in each group</w:t>
            </w:r>
          </w:p>
        </w:tc>
        <w:tc>
          <w:tcPr>
            <w:tcW w:w="0" w:type="auto"/>
            <w:gridSpan w:val="2"/>
            <w:tcBorders>
              <w:top w:val="single" w:sz="4" w:space="0" w:color="auto"/>
              <w:bottom w:val="nil"/>
            </w:tcBorders>
          </w:tcPr>
          <w:p w14:paraId="2844AED5"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Control of bleeding</w:t>
            </w:r>
          </w:p>
        </w:tc>
        <w:tc>
          <w:tcPr>
            <w:tcW w:w="0" w:type="auto"/>
            <w:gridSpan w:val="2"/>
            <w:tcBorders>
              <w:top w:val="single" w:sz="4" w:space="0" w:color="auto"/>
              <w:bottom w:val="nil"/>
            </w:tcBorders>
          </w:tcPr>
          <w:p w14:paraId="6DF3F85E"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Varices eradicated</w:t>
            </w:r>
          </w:p>
        </w:tc>
        <w:tc>
          <w:tcPr>
            <w:tcW w:w="0" w:type="auto"/>
            <w:gridSpan w:val="2"/>
            <w:tcBorders>
              <w:top w:val="single" w:sz="4" w:space="0" w:color="auto"/>
              <w:bottom w:val="nil"/>
            </w:tcBorders>
          </w:tcPr>
          <w:p w14:paraId="438C29EE"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Eradication sessions</w:t>
            </w:r>
          </w:p>
        </w:tc>
        <w:tc>
          <w:tcPr>
            <w:tcW w:w="0" w:type="auto"/>
            <w:gridSpan w:val="2"/>
            <w:tcBorders>
              <w:top w:val="single" w:sz="4" w:space="0" w:color="auto"/>
              <w:bottom w:val="nil"/>
            </w:tcBorders>
          </w:tcPr>
          <w:p w14:paraId="73316BFF"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Rebleeding</w:t>
            </w:r>
          </w:p>
        </w:tc>
        <w:tc>
          <w:tcPr>
            <w:tcW w:w="0" w:type="auto"/>
            <w:gridSpan w:val="2"/>
            <w:tcBorders>
              <w:top w:val="single" w:sz="4" w:space="0" w:color="auto"/>
              <w:bottom w:val="nil"/>
            </w:tcBorders>
          </w:tcPr>
          <w:p w14:paraId="4A08FBFD"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Major complications</w:t>
            </w:r>
          </w:p>
        </w:tc>
        <w:tc>
          <w:tcPr>
            <w:tcW w:w="0" w:type="auto"/>
            <w:gridSpan w:val="2"/>
            <w:tcBorders>
              <w:top w:val="single" w:sz="4" w:space="0" w:color="auto"/>
              <w:bottom w:val="nil"/>
            </w:tcBorders>
          </w:tcPr>
          <w:p w14:paraId="55B7F78B"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Variceal recurrence</w:t>
            </w:r>
          </w:p>
        </w:tc>
        <w:tc>
          <w:tcPr>
            <w:tcW w:w="0" w:type="auto"/>
            <w:gridSpan w:val="2"/>
            <w:tcBorders>
              <w:top w:val="single" w:sz="4" w:space="0" w:color="auto"/>
              <w:bottom w:val="nil"/>
            </w:tcBorders>
          </w:tcPr>
          <w:p w14:paraId="0DA07926"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Survival</w:t>
            </w:r>
          </w:p>
        </w:tc>
      </w:tr>
      <w:tr w:rsidR="001D0D13" w:rsidRPr="00E10F07" w14:paraId="3C0AB77F" w14:textId="77777777" w:rsidTr="00E10F07">
        <w:tc>
          <w:tcPr>
            <w:tcW w:w="0" w:type="auto"/>
            <w:vMerge/>
            <w:tcBorders>
              <w:top w:val="nil"/>
              <w:bottom w:val="single" w:sz="4" w:space="0" w:color="auto"/>
            </w:tcBorders>
          </w:tcPr>
          <w:p w14:paraId="1FBF065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p>
        </w:tc>
        <w:tc>
          <w:tcPr>
            <w:tcW w:w="0" w:type="auto"/>
            <w:vMerge/>
            <w:tcBorders>
              <w:top w:val="nil"/>
              <w:bottom w:val="single" w:sz="4" w:space="0" w:color="auto"/>
            </w:tcBorders>
          </w:tcPr>
          <w:p w14:paraId="7E62950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p>
        </w:tc>
        <w:tc>
          <w:tcPr>
            <w:tcW w:w="0" w:type="auto"/>
            <w:vMerge/>
            <w:tcBorders>
              <w:top w:val="nil"/>
              <w:bottom w:val="single" w:sz="4" w:space="0" w:color="auto"/>
            </w:tcBorders>
          </w:tcPr>
          <w:p w14:paraId="26FD6AC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p>
        </w:tc>
        <w:tc>
          <w:tcPr>
            <w:tcW w:w="0" w:type="auto"/>
            <w:tcBorders>
              <w:top w:val="nil"/>
              <w:bottom w:val="single" w:sz="4" w:space="0" w:color="auto"/>
            </w:tcBorders>
          </w:tcPr>
          <w:p w14:paraId="62F5C707"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09E151FB"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2412B605"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7CDD9B41"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5C9A0AB7"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1C9A034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5B7D34E7"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6D6367E5"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19959E33"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1BE2D47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67FE573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23658FD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0A4CB674"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3C003737"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6F52FFD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5E2E94AE"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r>
      <w:tr w:rsidR="001D0D13" w:rsidRPr="00E10F07" w14:paraId="6CA3ACE2" w14:textId="77777777" w:rsidTr="00E10F07">
        <w:tc>
          <w:tcPr>
            <w:tcW w:w="0" w:type="auto"/>
            <w:tcBorders>
              <w:top w:val="single" w:sz="4" w:space="0" w:color="auto"/>
            </w:tcBorders>
          </w:tcPr>
          <w:p w14:paraId="022E4647" w14:textId="77777777" w:rsidR="0055108A" w:rsidRPr="001D0D13"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Stiegmann</w:t>
            </w:r>
            <w:proofErr w:type="spellEnd"/>
            <w:r w:rsidR="001D0D13">
              <w:rPr>
                <w:rFonts w:ascii="Book Antiqua" w:eastAsiaTheme="minorEastAsia" w:hAnsi="Book Antiqua" w:cs="Calibri" w:hint="eastAsia"/>
                <w:lang w:val="en-GB" w:eastAsia="zh-CN"/>
              </w:rPr>
              <w:t xml:space="preserve"> </w:t>
            </w:r>
            <w:bookmarkStart w:id="19" w:name="OLE_LINK1"/>
            <w:bookmarkStart w:id="20" w:name="OLE_LINK2"/>
            <w:r w:rsidR="001D0D13" w:rsidRPr="001D0D13">
              <w:rPr>
                <w:rFonts w:ascii="Book Antiqua" w:eastAsiaTheme="minorEastAsia" w:hAnsi="Book Antiqua" w:cs="Calibri" w:hint="eastAsia"/>
                <w:i/>
                <w:lang w:val="en-GB" w:eastAsia="zh-CN"/>
              </w:rPr>
              <w:t>et al</w:t>
            </w:r>
            <w:bookmarkEnd w:id="19"/>
            <w:bookmarkEnd w:id="20"/>
            <w:r w:rsidR="001D0D13">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21</w:t>
            </w:r>
            <w:r w:rsidR="001D0D13">
              <w:rPr>
                <w:rFonts w:ascii="Book Antiqua" w:eastAsiaTheme="minorEastAsia" w:hAnsi="Book Antiqua" w:cs="Calibri" w:hint="eastAsia"/>
                <w:vertAlign w:val="superscript"/>
                <w:lang w:val="en-GB" w:eastAsia="zh-CN"/>
              </w:rPr>
              <w:t>]</w:t>
            </w:r>
          </w:p>
        </w:tc>
        <w:tc>
          <w:tcPr>
            <w:tcW w:w="0" w:type="auto"/>
            <w:tcBorders>
              <w:top w:val="single" w:sz="4" w:space="0" w:color="auto"/>
            </w:tcBorders>
          </w:tcPr>
          <w:p w14:paraId="444ABBA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1992</w:t>
            </w:r>
          </w:p>
        </w:tc>
        <w:tc>
          <w:tcPr>
            <w:tcW w:w="0" w:type="auto"/>
            <w:tcBorders>
              <w:top w:val="single" w:sz="4" w:space="0" w:color="auto"/>
            </w:tcBorders>
          </w:tcPr>
          <w:p w14:paraId="020ECA4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129</w:t>
            </w:r>
          </w:p>
        </w:tc>
        <w:tc>
          <w:tcPr>
            <w:tcW w:w="0" w:type="auto"/>
            <w:tcBorders>
              <w:top w:val="single" w:sz="4" w:space="0" w:color="auto"/>
            </w:tcBorders>
          </w:tcPr>
          <w:p w14:paraId="0C73860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64</w:t>
            </w:r>
          </w:p>
        </w:tc>
        <w:tc>
          <w:tcPr>
            <w:tcW w:w="0" w:type="auto"/>
            <w:tcBorders>
              <w:top w:val="single" w:sz="4" w:space="0" w:color="auto"/>
            </w:tcBorders>
          </w:tcPr>
          <w:p w14:paraId="46EA5C4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c>
          <w:tcPr>
            <w:tcW w:w="0" w:type="auto"/>
            <w:tcBorders>
              <w:top w:val="single" w:sz="4" w:space="0" w:color="auto"/>
            </w:tcBorders>
          </w:tcPr>
          <w:p w14:paraId="27E3833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86%</w:t>
            </w:r>
          </w:p>
        </w:tc>
        <w:tc>
          <w:tcPr>
            <w:tcW w:w="0" w:type="auto"/>
            <w:tcBorders>
              <w:top w:val="single" w:sz="4" w:space="0" w:color="auto"/>
            </w:tcBorders>
          </w:tcPr>
          <w:p w14:paraId="5E2E186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tcBorders>
              <w:top w:val="single" w:sz="4" w:space="0" w:color="auto"/>
            </w:tcBorders>
          </w:tcPr>
          <w:p w14:paraId="296AA9B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55%</w:t>
            </w:r>
          </w:p>
        </w:tc>
        <w:tc>
          <w:tcPr>
            <w:tcW w:w="0" w:type="auto"/>
            <w:tcBorders>
              <w:top w:val="single" w:sz="4" w:space="0" w:color="auto"/>
            </w:tcBorders>
          </w:tcPr>
          <w:p w14:paraId="7BFEA9B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56%</w:t>
            </w:r>
          </w:p>
        </w:tc>
        <w:tc>
          <w:tcPr>
            <w:tcW w:w="0" w:type="auto"/>
            <w:tcBorders>
              <w:top w:val="single" w:sz="4" w:space="0" w:color="auto"/>
            </w:tcBorders>
          </w:tcPr>
          <w:p w14:paraId="73C1236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w:t>
            </w:r>
          </w:p>
        </w:tc>
        <w:tc>
          <w:tcPr>
            <w:tcW w:w="0" w:type="auto"/>
            <w:tcBorders>
              <w:top w:val="single" w:sz="4" w:space="0" w:color="auto"/>
            </w:tcBorders>
          </w:tcPr>
          <w:p w14:paraId="5377E5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w:t>
            </w:r>
          </w:p>
        </w:tc>
        <w:tc>
          <w:tcPr>
            <w:tcW w:w="0" w:type="auto"/>
            <w:tcBorders>
              <w:top w:val="single" w:sz="4" w:space="0" w:color="auto"/>
            </w:tcBorders>
          </w:tcPr>
          <w:p w14:paraId="399E248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36%</w:t>
            </w:r>
          </w:p>
        </w:tc>
        <w:tc>
          <w:tcPr>
            <w:tcW w:w="0" w:type="auto"/>
            <w:tcBorders>
              <w:top w:val="single" w:sz="4" w:space="0" w:color="auto"/>
            </w:tcBorders>
          </w:tcPr>
          <w:p w14:paraId="02EC9E2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tcBorders>
              <w:top w:val="single" w:sz="4" w:space="0" w:color="auto"/>
            </w:tcBorders>
            <w:shd w:val="clear" w:color="auto" w:fill="auto"/>
          </w:tcPr>
          <w:p w14:paraId="4A7BCD6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w:t>
            </w:r>
          </w:p>
        </w:tc>
        <w:tc>
          <w:tcPr>
            <w:tcW w:w="0" w:type="auto"/>
            <w:tcBorders>
              <w:top w:val="single" w:sz="4" w:space="0" w:color="auto"/>
            </w:tcBorders>
            <w:shd w:val="clear" w:color="auto" w:fill="auto"/>
          </w:tcPr>
          <w:p w14:paraId="0A82D73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22%</w:t>
            </w:r>
          </w:p>
        </w:tc>
        <w:tc>
          <w:tcPr>
            <w:tcW w:w="0" w:type="auto"/>
            <w:tcBorders>
              <w:top w:val="single" w:sz="4" w:space="0" w:color="auto"/>
            </w:tcBorders>
          </w:tcPr>
          <w:p w14:paraId="5886FC5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33%</w:t>
            </w:r>
          </w:p>
        </w:tc>
        <w:tc>
          <w:tcPr>
            <w:tcW w:w="0" w:type="auto"/>
            <w:tcBorders>
              <w:top w:val="single" w:sz="4" w:space="0" w:color="auto"/>
            </w:tcBorders>
          </w:tcPr>
          <w:p w14:paraId="4D8BB1F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Borders>
              <w:top w:val="single" w:sz="4" w:space="0" w:color="auto"/>
            </w:tcBorders>
            <w:shd w:val="clear" w:color="auto" w:fill="auto"/>
          </w:tcPr>
          <w:p w14:paraId="0337C74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72%</w:t>
            </w:r>
          </w:p>
        </w:tc>
        <w:tc>
          <w:tcPr>
            <w:tcW w:w="0" w:type="auto"/>
            <w:tcBorders>
              <w:top w:val="single" w:sz="4" w:space="0" w:color="auto"/>
            </w:tcBorders>
            <w:shd w:val="clear" w:color="auto" w:fill="auto"/>
          </w:tcPr>
          <w:p w14:paraId="0DE3864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55%</w:t>
            </w:r>
          </w:p>
        </w:tc>
      </w:tr>
      <w:tr w:rsidR="001D0D13" w:rsidRPr="00E10F07" w14:paraId="7E2CD785" w14:textId="77777777" w:rsidTr="00E10F07">
        <w:tc>
          <w:tcPr>
            <w:tcW w:w="0" w:type="auto"/>
          </w:tcPr>
          <w:p w14:paraId="5E2C4F70"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Laine</w:t>
            </w:r>
            <w:r w:rsidR="00520CEE">
              <w:rPr>
                <w:rFonts w:ascii="Book Antiqua" w:eastAsiaTheme="minorEastAsia" w:hAnsi="Book Antiqua" w:cs="Calibri" w:hint="eastAsia"/>
                <w:lang w:val="en-GB" w:eastAsia="zh-CN"/>
              </w:rPr>
              <w:t xml:space="preserve">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22</w:t>
            </w:r>
            <w:r w:rsidR="00AE56B8">
              <w:rPr>
                <w:rFonts w:ascii="Book Antiqua" w:eastAsiaTheme="minorEastAsia" w:hAnsi="Book Antiqua" w:cs="Calibri" w:hint="eastAsia"/>
                <w:vertAlign w:val="superscript"/>
                <w:lang w:val="en-GB" w:eastAsia="zh-CN"/>
              </w:rPr>
              <w:t>]</w:t>
            </w:r>
          </w:p>
        </w:tc>
        <w:tc>
          <w:tcPr>
            <w:tcW w:w="0" w:type="auto"/>
          </w:tcPr>
          <w:p w14:paraId="64F066E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1993</w:t>
            </w:r>
          </w:p>
        </w:tc>
        <w:tc>
          <w:tcPr>
            <w:tcW w:w="0" w:type="auto"/>
          </w:tcPr>
          <w:p w14:paraId="75A8CFB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tcPr>
          <w:p w14:paraId="6835558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38</w:t>
            </w:r>
          </w:p>
        </w:tc>
        <w:tc>
          <w:tcPr>
            <w:tcW w:w="0" w:type="auto"/>
          </w:tcPr>
          <w:p w14:paraId="611E0E5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39</w:t>
            </w:r>
          </w:p>
        </w:tc>
        <w:tc>
          <w:tcPr>
            <w:tcW w:w="0" w:type="auto"/>
          </w:tcPr>
          <w:p w14:paraId="5919806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c>
          <w:tcPr>
            <w:tcW w:w="0" w:type="auto"/>
          </w:tcPr>
          <w:p w14:paraId="425F532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c>
          <w:tcPr>
            <w:tcW w:w="0" w:type="auto"/>
          </w:tcPr>
          <w:p w14:paraId="5E06867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59%</w:t>
            </w:r>
          </w:p>
        </w:tc>
        <w:tc>
          <w:tcPr>
            <w:tcW w:w="0" w:type="auto"/>
          </w:tcPr>
          <w:p w14:paraId="3B61680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69%</w:t>
            </w:r>
          </w:p>
        </w:tc>
        <w:tc>
          <w:tcPr>
            <w:tcW w:w="0" w:type="auto"/>
            <w:shd w:val="clear" w:color="auto" w:fill="auto"/>
          </w:tcPr>
          <w:p w14:paraId="22DFFA5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4.1</w:t>
            </w:r>
          </w:p>
        </w:tc>
        <w:tc>
          <w:tcPr>
            <w:tcW w:w="0" w:type="auto"/>
            <w:shd w:val="clear" w:color="auto" w:fill="auto"/>
          </w:tcPr>
          <w:p w14:paraId="05934E0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6.2</w:t>
            </w:r>
          </w:p>
        </w:tc>
        <w:tc>
          <w:tcPr>
            <w:tcW w:w="0" w:type="auto"/>
          </w:tcPr>
          <w:p w14:paraId="7F25DA8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24%</w:t>
            </w:r>
          </w:p>
        </w:tc>
        <w:tc>
          <w:tcPr>
            <w:tcW w:w="0" w:type="auto"/>
          </w:tcPr>
          <w:p w14:paraId="6A3E5C4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shd w:val="clear" w:color="auto" w:fill="auto"/>
          </w:tcPr>
          <w:p w14:paraId="75667F1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24%</w:t>
            </w:r>
          </w:p>
        </w:tc>
        <w:tc>
          <w:tcPr>
            <w:tcW w:w="0" w:type="auto"/>
            <w:shd w:val="clear" w:color="auto" w:fill="auto"/>
          </w:tcPr>
          <w:p w14:paraId="7826356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56%</w:t>
            </w:r>
          </w:p>
        </w:tc>
        <w:tc>
          <w:tcPr>
            <w:tcW w:w="0" w:type="auto"/>
          </w:tcPr>
          <w:p w14:paraId="6CDC668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E56DB8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452FCB3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c>
          <w:tcPr>
            <w:tcW w:w="0" w:type="auto"/>
            <w:shd w:val="clear" w:color="auto" w:fill="auto"/>
          </w:tcPr>
          <w:p w14:paraId="5592DCC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85%</w:t>
            </w:r>
          </w:p>
        </w:tc>
      </w:tr>
      <w:tr w:rsidR="001D0D13" w:rsidRPr="00E10F07" w14:paraId="0105A496" w14:textId="77777777" w:rsidTr="00E10F07">
        <w:tc>
          <w:tcPr>
            <w:tcW w:w="0" w:type="auto"/>
          </w:tcPr>
          <w:p w14:paraId="1954F49E"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Gimson</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23</w:t>
            </w:r>
            <w:r w:rsidR="00AE56B8">
              <w:rPr>
                <w:rFonts w:ascii="Book Antiqua" w:eastAsiaTheme="minorEastAsia" w:hAnsi="Book Antiqua" w:cs="Calibri" w:hint="eastAsia"/>
                <w:vertAlign w:val="superscript"/>
                <w:lang w:val="en-GB" w:eastAsia="zh-CN"/>
              </w:rPr>
              <w:t>]</w:t>
            </w:r>
          </w:p>
        </w:tc>
        <w:tc>
          <w:tcPr>
            <w:tcW w:w="0" w:type="auto"/>
          </w:tcPr>
          <w:p w14:paraId="6B39091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1993</w:t>
            </w:r>
          </w:p>
        </w:tc>
        <w:tc>
          <w:tcPr>
            <w:tcW w:w="0" w:type="auto"/>
          </w:tcPr>
          <w:p w14:paraId="061DCFC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103</w:t>
            </w:r>
          </w:p>
        </w:tc>
        <w:tc>
          <w:tcPr>
            <w:tcW w:w="0" w:type="auto"/>
          </w:tcPr>
          <w:p w14:paraId="40B9EAC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54</w:t>
            </w:r>
          </w:p>
        </w:tc>
        <w:tc>
          <w:tcPr>
            <w:tcW w:w="0" w:type="auto"/>
          </w:tcPr>
          <w:p w14:paraId="37709F1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49</w:t>
            </w:r>
          </w:p>
        </w:tc>
        <w:tc>
          <w:tcPr>
            <w:tcW w:w="0" w:type="auto"/>
          </w:tcPr>
          <w:p w14:paraId="76935A0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91%</w:t>
            </w:r>
          </w:p>
        </w:tc>
        <w:tc>
          <w:tcPr>
            <w:tcW w:w="0" w:type="auto"/>
          </w:tcPr>
          <w:p w14:paraId="0DF13B8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92%</w:t>
            </w:r>
          </w:p>
        </w:tc>
        <w:tc>
          <w:tcPr>
            <w:tcW w:w="0" w:type="auto"/>
          </w:tcPr>
          <w:p w14:paraId="7A86398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82%</w:t>
            </w:r>
          </w:p>
        </w:tc>
        <w:tc>
          <w:tcPr>
            <w:tcW w:w="0" w:type="auto"/>
          </w:tcPr>
          <w:p w14:paraId="0A590D4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71%</w:t>
            </w:r>
          </w:p>
        </w:tc>
        <w:tc>
          <w:tcPr>
            <w:tcW w:w="0" w:type="auto"/>
            <w:shd w:val="clear" w:color="auto" w:fill="auto"/>
          </w:tcPr>
          <w:p w14:paraId="155F9A7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3.4</w:t>
            </w:r>
          </w:p>
        </w:tc>
        <w:tc>
          <w:tcPr>
            <w:tcW w:w="0" w:type="auto"/>
            <w:shd w:val="clear" w:color="auto" w:fill="auto"/>
          </w:tcPr>
          <w:p w14:paraId="0FB48A4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4.9</w:t>
            </w:r>
          </w:p>
        </w:tc>
        <w:tc>
          <w:tcPr>
            <w:tcW w:w="0" w:type="auto"/>
            <w:shd w:val="clear" w:color="auto" w:fill="auto"/>
          </w:tcPr>
          <w:p w14:paraId="1C29026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30%</w:t>
            </w:r>
          </w:p>
        </w:tc>
        <w:tc>
          <w:tcPr>
            <w:tcW w:w="0" w:type="auto"/>
            <w:shd w:val="clear" w:color="auto" w:fill="auto"/>
          </w:tcPr>
          <w:p w14:paraId="6C4F2AD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53%</w:t>
            </w:r>
          </w:p>
        </w:tc>
        <w:tc>
          <w:tcPr>
            <w:tcW w:w="0" w:type="auto"/>
            <w:shd w:val="clear" w:color="auto" w:fill="auto"/>
          </w:tcPr>
          <w:p w14:paraId="342BAE7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69%</w:t>
            </w:r>
          </w:p>
        </w:tc>
        <w:tc>
          <w:tcPr>
            <w:tcW w:w="0" w:type="auto"/>
            <w:shd w:val="clear" w:color="auto" w:fill="auto"/>
          </w:tcPr>
          <w:p w14:paraId="0AD0A07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c>
          <w:tcPr>
            <w:tcW w:w="0" w:type="auto"/>
          </w:tcPr>
          <w:p w14:paraId="00A7ABA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3B71CE2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17FECB3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52%</w:t>
            </w:r>
          </w:p>
        </w:tc>
        <w:tc>
          <w:tcPr>
            <w:tcW w:w="0" w:type="auto"/>
            <w:shd w:val="clear" w:color="auto" w:fill="auto"/>
          </w:tcPr>
          <w:p w14:paraId="24C6FDD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18%</w:t>
            </w:r>
          </w:p>
        </w:tc>
      </w:tr>
      <w:tr w:rsidR="001D0D13" w:rsidRPr="00E10F07" w14:paraId="77909699" w14:textId="77777777" w:rsidTr="00E10F07">
        <w:tc>
          <w:tcPr>
            <w:tcW w:w="0" w:type="auto"/>
          </w:tcPr>
          <w:p w14:paraId="5087C2CB"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Lo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24</w:t>
            </w:r>
            <w:r w:rsidR="00AE56B8">
              <w:rPr>
                <w:rFonts w:ascii="Book Antiqua" w:eastAsiaTheme="minorEastAsia" w:hAnsi="Book Antiqua" w:cs="Calibri" w:hint="eastAsia"/>
                <w:vertAlign w:val="superscript"/>
                <w:lang w:val="en-GB" w:eastAsia="zh-CN"/>
              </w:rPr>
              <w:t>]</w:t>
            </w:r>
          </w:p>
        </w:tc>
        <w:tc>
          <w:tcPr>
            <w:tcW w:w="0" w:type="auto"/>
          </w:tcPr>
          <w:p w14:paraId="0348B75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1995</w:t>
            </w:r>
          </w:p>
        </w:tc>
        <w:tc>
          <w:tcPr>
            <w:tcW w:w="0" w:type="auto"/>
          </w:tcPr>
          <w:p w14:paraId="17AE88D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120</w:t>
            </w:r>
          </w:p>
        </w:tc>
        <w:tc>
          <w:tcPr>
            <w:tcW w:w="0" w:type="auto"/>
          </w:tcPr>
          <w:p w14:paraId="1DC503E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61</w:t>
            </w:r>
          </w:p>
        </w:tc>
        <w:tc>
          <w:tcPr>
            <w:tcW w:w="0" w:type="auto"/>
          </w:tcPr>
          <w:p w14:paraId="2A33138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59</w:t>
            </w:r>
          </w:p>
        </w:tc>
        <w:tc>
          <w:tcPr>
            <w:tcW w:w="0" w:type="auto"/>
          </w:tcPr>
          <w:p w14:paraId="047FEEE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tcPr>
          <w:p w14:paraId="3AFC6F0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013D37D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74%</w:t>
            </w:r>
          </w:p>
        </w:tc>
        <w:tc>
          <w:tcPr>
            <w:tcW w:w="0" w:type="auto"/>
          </w:tcPr>
          <w:p w14:paraId="2493FF1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63%</w:t>
            </w:r>
          </w:p>
        </w:tc>
        <w:tc>
          <w:tcPr>
            <w:tcW w:w="0" w:type="auto"/>
            <w:shd w:val="clear" w:color="auto" w:fill="auto"/>
          </w:tcPr>
          <w:p w14:paraId="5CADA98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3.8</w:t>
            </w:r>
          </w:p>
        </w:tc>
        <w:tc>
          <w:tcPr>
            <w:tcW w:w="0" w:type="auto"/>
            <w:shd w:val="clear" w:color="auto" w:fill="auto"/>
          </w:tcPr>
          <w:p w14:paraId="0D4CE69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c>
          <w:tcPr>
            <w:tcW w:w="0" w:type="auto"/>
            <w:shd w:val="clear" w:color="auto" w:fill="auto"/>
          </w:tcPr>
          <w:p w14:paraId="5A37D2E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11%</w:t>
            </w:r>
          </w:p>
        </w:tc>
        <w:tc>
          <w:tcPr>
            <w:tcW w:w="0" w:type="auto"/>
            <w:shd w:val="clear" w:color="auto" w:fill="auto"/>
          </w:tcPr>
          <w:p w14:paraId="2AA3A94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36%</w:t>
            </w:r>
          </w:p>
        </w:tc>
        <w:tc>
          <w:tcPr>
            <w:tcW w:w="0" w:type="auto"/>
            <w:shd w:val="clear" w:color="auto" w:fill="auto"/>
          </w:tcPr>
          <w:p w14:paraId="63A2318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3.3%</w:t>
            </w:r>
          </w:p>
        </w:tc>
        <w:tc>
          <w:tcPr>
            <w:tcW w:w="0" w:type="auto"/>
            <w:shd w:val="clear" w:color="auto" w:fill="auto"/>
          </w:tcPr>
          <w:p w14:paraId="60530A5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w:t>
            </w:r>
          </w:p>
        </w:tc>
        <w:tc>
          <w:tcPr>
            <w:tcW w:w="0" w:type="auto"/>
          </w:tcPr>
          <w:p w14:paraId="6CC0A6E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35D11E4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3283629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84%</w:t>
            </w:r>
          </w:p>
        </w:tc>
        <w:tc>
          <w:tcPr>
            <w:tcW w:w="0" w:type="auto"/>
            <w:shd w:val="clear" w:color="auto" w:fill="auto"/>
          </w:tcPr>
          <w:p w14:paraId="7569D15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68%</w:t>
            </w:r>
          </w:p>
        </w:tc>
      </w:tr>
      <w:tr w:rsidR="001D0D13" w:rsidRPr="00E10F07" w14:paraId="476683A8" w14:textId="77777777" w:rsidTr="00E10F07">
        <w:tc>
          <w:tcPr>
            <w:tcW w:w="0" w:type="auto"/>
          </w:tcPr>
          <w:p w14:paraId="00EE5B01"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Hou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25</w:t>
            </w:r>
            <w:r w:rsidR="00AE56B8">
              <w:rPr>
                <w:rFonts w:ascii="Book Antiqua" w:eastAsiaTheme="minorEastAsia" w:hAnsi="Book Antiqua" w:cs="Calibri" w:hint="eastAsia"/>
                <w:vertAlign w:val="superscript"/>
                <w:lang w:val="en-GB" w:eastAsia="zh-CN"/>
              </w:rPr>
              <w:t>]</w:t>
            </w:r>
          </w:p>
        </w:tc>
        <w:tc>
          <w:tcPr>
            <w:tcW w:w="0" w:type="auto"/>
          </w:tcPr>
          <w:p w14:paraId="5325ECB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1995</w:t>
            </w:r>
          </w:p>
        </w:tc>
        <w:tc>
          <w:tcPr>
            <w:tcW w:w="0" w:type="auto"/>
          </w:tcPr>
          <w:p w14:paraId="70F7CB0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134</w:t>
            </w:r>
          </w:p>
        </w:tc>
        <w:tc>
          <w:tcPr>
            <w:tcW w:w="0" w:type="auto"/>
          </w:tcPr>
          <w:p w14:paraId="6D35A67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67</w:t>
            </w:r>
          </w:p>
        </w:tc>
        <w:tc>
          <w:tcPr>
            <w:tcW w:w="0" w:type="auto"/>
          </w:tcPr>
          <w:p w14:paraId="3E3FD6B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67</w:t>
            </w:r>
          </w:p>
        </w:tc>
        <w:tc>
          <w:tcPr>
            <w:tcW w:w="0" w:type="auto"/>
          </w:tcPr>
          <w:p w14:paraId="321CAF8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1185A1D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88%</w:t>
            </w:r>
          </w:p>
        </w:tc>
        <w:tc>
          <w:tcPr>
            <w:tcW w:w="0" w:type="auto"/>
          </w:tcPr>
          <w:p w14:paraId="4E9F3F0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87%</w:t>
            </w:r>
          </w:p>
        </w:tc>
        <w:tc>
          <w:tcPr>
            <w:tcW w:w="0" w:type="auto"/>
          </w:tcPr>
          <w:p w14:paraId="4E41BBA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c>
          <w:tcPr>
            <w:tcW w:w="0" w:type="auto"/>
            <w:shd w:val="clear" w:color="auto" w:fill="auto"/>
          </w:tcPr>
          <w:p w14:paraId="4AC97DF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3.5</w:t>
            </w:r>
          </w:p>
        </w:tc>
        <w:tc>
          <w:tcPr>
            <w:tcW w:w="0" w:type="auto"/>
            <w:shd w:val="clear" w:color="auto" w:fill="auto"/>
          </w:tcPr>
          <w:p w14:paraId="2EF152D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4.6</w:t>
            </w:r>
          </w:p>
        </w:tc>
        <w:tc>
          <w:tcPr>
            <w:tcW w:w="0" w:type="auto"/>
          </w:tcPr>
          <w:p w14:paraId="7B03656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18%</w:t>
            </w:r>
          </w:p>
        </w:tc>
        <w:tc>
          <w:tcPr>
            <w:tcW w:w="0" w:type="auto"/>
          </w:tcPr>
          <w:p w14:paraId="4C56312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33%</w:t>
            </w:r>
          </w:p>
        </w:tc>
        <w:tc>
          <w:tcPr>
            <w:tcW w:w="0" w:type="auto"/>
            <w:shd w:val="clear" w:color="auto" w:fill="auto"/>
          </w:tcPr>
          <w:p w14:paraId="21A988D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w:t>
            </w:r>
          </w:p>
        </w:tc>
        <w:tc>
          <w:tcPr>
            <w:tcW w:w="0" w:type="auto"/>
            <w:shd w:val="clear" w:color="auto" w:fill="auto"/>
          </w:tcPr>
          <w:p w14:paraId="7FF3F68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22%</w:t>
            </w:r>
          </w:p>
        </w:tc>
        <w:tc>
          <w:tcPr>
            <w:tcW w:w="0" w:type="auto"/>
          </w:tcPr>
          <w:p w14:paraId="4D46538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tcPr>
          <w:p w14:paraId="1DFED6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30%</w:t>
            </w:r>
          </w:p>
        </w:tc>
        <w:tc>
          <w:tcPr>
            <w:tcW w:w="0" w:type="auto"/>
          </w:tcPr>
          <w:p w14:paraId="54698E6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c>
          <w:tcPr>
            <w:tcW w:w="0" w:type="auto"/>
          </w:tcPr>
          <w:p w14:paraId="7088B3C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84%</w:t>
            </w:r>
          </w:p>
        </w:tc>
      </w:tr>
      <w:tr w:rsidR="001D0D13" w:rsidRPr="00E10F07" w14:paraId="0AC8E92E" w14:textId="77777777" w:rsidTr="00E10F07">
        <w:tc>
          <w:tcPr>
            <w:tcW w:w="0" w:type="auto"/>
          </w:tcPr>
          <w:p w14:paraId="42D5A942"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Sarin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26</w:t>
            </w:r>
            <w:r w:rsidR="00AE56B8">
              <w:rPr>
                <w:rFonts w:ascii="Book Antiqua" w:eastAsiaTheme="minorEastAsia" w:hAnsi="Book Antiqua" w:cs="Calibri" w:hint="eastAsia"/>
                <w:vertAlign w:val="superscript"/>
                <w:lang w:val="en-GB" w:eastAsia="zh-CN"/>
              </w:rPr>
              <w:t>]</w:t>
            </w:r>
          </w:p>
        </w:tc>
        <w:tc>
          <w:tcPr>
            <w:tcW w:w="0" w:type="auto"/>
          </w:tcPr>
          <w:p w14:paraId="19CB320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1997</w:t>
            </w:r>
          </w:p>
        </w:tc>
        <w:tc>
          <w:tcPr>
            <w:tcW w:w="0" w:type="auto"/>
          </w:tcPr>
          <w:p w14:paraId="234B035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95</w:t>
            </w:r>
          </w:p>
        </w:tc>
        <w:tc>
          <w:tcPr>
            <w:tcW w:w="0" w:type="auto"/>
          </w:tcPr>
          <w:p w14:paraId="0FCC27C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47</w:t>
            </w:r>
          </w:p>
        </w:tc>
        <w:tc>
          <w:tcPr>
            <w:tcW w:w="0" w:type="auto"/>
          </w:tcPr>
          <w:p w14:paraId="261ECAD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tcPr>
          <w:p w14:paraId="06589A3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86%</w:t>
            </w:r>
          </w:p>
        </w:tc>
        <w:tc>
          <w:tcPr>
            <w:tcW w:w="0" w:type="auto"/>
          </w:tcPr>
          <w:p w14:paraId="1021BA8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78FC9E0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tcPr>
          <w:p w14:paraId="0E46A6F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shd w:val="clear" w:color="auto" w:fill="auto"/>
          </w:tcPr>
          <w:p w14:paraId="477F3AE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4.1</w:t>
            </w:r>
          </w:p>
        </w:tc>
        <w:tc>
          <w:tcPr>
            <w:tcW w:w="0" w:type="auto"/>
            <w:shd w:val="clear" w:color="auto" w:fill="auto"/>
          </w:tcPr>
          <w:p w14:paraId="7703711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5.2</w:t>
            </w:r>
          </w:p>
        </w:tc>
        <w:tc>
          <w:tcPr>
            <w:tcW w:w="0" w:type="auto"/>
          </w:tcPr>
          <w:p w14:paraId="5A16F3B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6.4%</w:t>
            </w:r>
          </w:p>
        </w:tc>
        <w:tc>
          <w:tcPr>
            <w:tcW w:w="0" w:type="auto"/>
          </w:tcPr>
          <w:p w14:paraId="3D8FDA3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20.8%</w:t>
            </w:r>
          </w:p>
        </w:tc>
        <w:tc>
          <w:tcPr>
            <w:tcW w:w="0" w:type="auto"/>
            <w:shd w:val="clear" w:color="auto" w:fill="auto"/>
          </w:tcPr>
          <w:p w14:paraId="52B4498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45%</w:t>
            </w:r>
          </w:p>
        </w:tc>
        <w:tc>
          <w:tcPr>
            <w:tcW w:w="0" w:type="auto"/>
            <w:shd w:val="clear" w:color="auto" w:fill="auto"/>
          </w:tcPr>
          <w:p w14:paraId="6976759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shd w:val="clear" w:color="auto" w:fill="auto"/>
          </w:tcPr>
          <w:p w14:paraId="0089499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28.7%</w:t>
            </w:r>
          </w:p>
        </w:tc>
        <w:tc>
          <w:tcPr>
            <w:tcW w:w="0" w:type="auto"/>
            <w:shd w:val="clear" w:color="auto" w:fill="auto"/>
          </w:tcPr>
          <w:p w14:paraId="2DD900B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7.5%</w:t>
            </w:r>
          </w:p>
        </w:tc>
        <w:tc>
          <w:tcPr>
            <w:tcW w:w="0" w:type="auto"/>
          </w:tcPr>
          <w:p w14:paraId="78FE5F8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c>
          <w:tcPr>
            <w:tcW w:w="0" w:type="auto"/>
          </w:tcPr>
          <w:p w14:paraId="51A38F9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r>
      <w:tr w:rsidR="001D0D13" w:rsidRPr="00E10F07" w14:paraId="287BE32B" w14:textId="77777777" w:rsidTr="00E10F07">
        <w:tc>
          <w:tcPr>
            <w:tcW w:w="0" w:type="auto"/>
          </w:tcPr>
          <w:p w14:paraId="58A64235"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Baroncini</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27</w:t>
            </w:r>
            <w:r w:rsidR="00AE56B8">
              <w:rPr>
                <w:rFonts w:ascii="Book Antiqua" w:eastAsiaTheme="minorEastAsia" w:hAnsi="Book Antiqua" w:cs="Calibri" w:hint="eastAsia"/>
                <w:vertAlign w:val="superscript"/>
                <w:lang w:val="en-GB" w:eastAsia="zh-CN"/>
              </w:rPr>
              <w:t>]</w:t>
            </w:r>
          </w:p>
        </w:tc>
        <w:tc>
          <w:tcPr>
            <w:tcW w:w="0" w:type="auto"/>
          </w:tcPr>
          <w:p w14:paraId="7D46C37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1997</w:t>
            </w:r>
          </w:p>
        </w:tc>
        <w:tc>
          <w:tcPr>
            <w:tcW w:w="0" w:type="auto"/>
          </w:tcPr>
          <w:p w14:paraId="1EC4BE3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111</w:t>
            </w:r>
          </w:p>
        </w:tc>
        <w:tc>
          <w:tcPr>
            <w:tcW w:w="0" w:type="auto"/>
          </w:tcPr>
          <w:p w14:paraId="7CC2EB1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57</w:t>
            </w:r>
          </w:p>
        </w:tc>
        <w:tc>
          <w:tcPr>
            <w:tcW w:w="0" w:type="auto"/>
          </w:tcPr>
          <w:p w14:paraId="5CC2F09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54</w:t>
            </w:r>
          </w:p>
        </w:tc>
        <w:tc>
          <w:tcPr>
            <w:tcW w:w="0" w:type="auto"/>
          </w:tcPr>
          <w:p w14:paraId="3D955D5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62A0C0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361C17F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c>
          <w:tcPr>
            <w:tcW w:w="0" w:type="auto"/>
          </w:tcPr>
          <w:p w14:paraId="6ED0847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c>
          <w:tcPr>
            <w:tcW w:w="0" w:type="auto"/>
            <w:shd w:val="clear" w:color="auto" w:fill="auto"/>
          </w:tcPr>
          <w:p w14:paraId="5076E7B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3.5</w:t>
            </w:r>
          </w:p>
        </w:tc>
        <w:tc>
          <w:tcPr>
            <w:tcW w:w="0" w:type="auto"/>
            <w:shd w:val="clear" w:color="auto" w:fill="auto"/>
          </w:tcPr>
          <w:p w14:paraId="7CA3C4D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4.0</w:t>
            </w:r>
          </w:p>
        </w:tc>
        <w:tc>
          <w:tcPr>
            <w:tcW w:w="0" w:type="auto"/>
          </w:tcPr>
          <w:p w14:paraId="31C2A3B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16%</w:t>
            </w:r>
          </w:p>
        </w:tc>
        <w:tc>
          <w:tcPr>
            <w:tcW w:w="0" w:type="auto"/>
          </w:tcPr>
          <w:p w14:paraId="130FDEB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w:t>
            </w:r>
          </w:p>
        </w:tc>
        <w:tc>
          <w:tcPr>
            <w:tcW w:w="0" w:type="auto"/>
            <w:shd w:val="clear" w:color="auto" w:fill="auto"/>
          </w:tcPr>
          <w:p w14:paraId="62E05C5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11%</w:t>
            </w:r>
          </w:p>
        </w:tc>
        <w:tc>
          <w:tcPr>
            <w:tcW w:w="0" w:type="auto"/>
            <w:shd w:val="clear" w:color="auto" w:fill="auto"/>
          </w:tcPr>
          <w:p w14:paraId="5443361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shd w:val="clear" w:color="auto" w:fill="auto"/>
          </w:tcPr>
          <w:p w14:paraId="318005C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30%</w:t>
            </w:r>
          </w:p>
        </w:tc>
        <w:tc>
          <w:tcPr>
            <w:tcW w:w="0" w:type="auto"/>
            <w:shd w:val="clear" w:color="auto" w:fill="auto"/>
          </w:tcPr>
          <w:p w14:paraId="176B485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13%</w:t>
            </w:r>
          </w:p>
        </w:tc>
        <w:tc>
          <w:tcPr>
            <w:tcW w:w="0" w:type="auto"/>
          </w:tcPr>
          <w:p w14:paraId="09C2F44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c>
          <w:tcPr>
            <w:tcW w:w="0" w:type="auto"/>
          </w:tcPr>
          <w:p w14:paraId="1722AE0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78%</w:t>
            </w:r>
          </w:p>
        </w:tc>
      </w:tr>
      <w:tr w:rsidR="001D0D13" w:rsidRPr="00E10F07" w14:paraId="605B191F" w14:textId="77777777" w:rsidTr="00E10F07">
        <w:tc>
          <w:tcPr>
            <w:tcW w:w="0" w:type="auto"/>
          </w:tcPr>
          <w:p w14:paraId="33C6B62C"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Avgerinos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28</w:t>
            </w:r>
            <w:r w:rsidR="00AE56B8">
              <w:rPr>
                <w:rFonts w:ascii="Book Antiqua" w:eastAsiaTheme="minorEastAsia" w:hAnsi="Book Antiqua" w:cs="Calibri" w:hint="eastAsia"/>
                <w:vertAlign w:val="superscript"/>
                <w:lang w:val="en-GB" w:eastAsia="zh-CN"/>
              </w:rPr>
              <w:t>]</w:t>
            </w:r>
          </w:p>
        </w:tc>
        <w:tc>
          <w:tcPr>
            <w:tcW w:w="0" w:type="auto"/>
          </w:tcPr>
          <w:p w14:paraId="69478FB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1997</w:t>
            </w:r>
          </w:p>
        </w:tc>
        <w:tc>
          <w:tcPr>
            <w:tcW w:w="0" w:type="auto"/>
          </w:tcPr>
          <w:p w14:paraId="7962837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tcPr>
          <w:p w14:paraId="5359D6A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tcPr>
          <w:p w14:paraId="388C928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40</w:t>
            </w:r>
          </w:p>
        </w:tc>
        <w:tc>
          <w:tcPr>
            <w:tcW w:w="0" w:type="auto"/>
          </w:tcPr>
          <w:p w14:paraId="03DDC79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6E3ECC6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7A35C3B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95%</w:t>
            </w:r>
          </w:p>
        </w:tc>
        <w:tc>
          <w:tcPr>
            <w:tcW w:w="0" w:type="auto"/>
          </w:tcPr>
          <w:p w14:paraId="7BA169C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98%</w:t>
            </w:r>
          </w:p>
        </w:tc>
        <w:tc>
          <w:tcPr>
            <w:tcW w:w="0" w:type="auto"/>
            <w:shd w:val="clear" w:color="auto" w:fill="auto"/>
          </w:tcPr>
          <w:p w14:paraId="7A645A6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shd w:val="clear" w:color="auto" w:fill="auto"/>
          </w:tcPr>
          <w:p w14:paraId="76ECEA2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5.8</w:t>
            </w:r>
          </w:p>
        </w:tc>
        <w:tc>
          <w:tcPr>
            <w:tcW w:w="0" w:type="auto"/>
          </w:tcPr>
          <w:p w14:paraId="79E0823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27%</w:t>
            </w:r>
          </w:p>
        </w:tc>
        <w:tc>
          <w:tcPr>
            <w:tcW w:w="0" w:type="auto"/>
          </w:tcPr>
          <w:p w14:paraId="34F01E9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shd w:val="clear" w:color="auto" w:fill="auto"/>
          </w:tcPr>
          <w:p w14:paraId="7AD18F7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35%</w:t>
            </w:r>
          </w:p>
        </w:tc>
        <w:tc>
          <w:tcPr>
            <w:tcW w:w="0" w:type="auto"/>
            <w:shd w:val="clear" w:color="auto" w:fill="auto"/>
          </w:tcPr>
          <w:p w14:paraId="547AC76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60%</w:t>
            </w:r>
          </w:p>
        </w:tc>
        <w:tc>
          <w:tcPr>
            <w:tcW w:w="0" w:type="auto"/>
            <w:shd w:val="clear" w:color="auto" w:fill="auto"/>
          </w:tcPr>
          <w:p w14:paraId="0541040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shd w:val="clear" w:color="auto" w:fill="auto"/>
          </w:tcPr>
          <w:p w14:paraId="2A4538B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44%</w:t>
            </w:r>
          </w:p>
        </w:tc>
        <w:tc>
          <w:tcPr>
            <w:tcW w:w="0" w:type="auto"/>
          </w:tcPr>
          <w:p w14:paraId="3C9CD39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676D1F6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r>
      <w:tr w:rsidR="001D0D13" w:rsidRPr="00E10F07" w14:paraId="19FE35CB" w14:textId="77777777" w:rsidTr="00E10F07">
        <w:tc>
          <w:tcPr>
            <w:tcW w:w="0" w:type="auto"/>
          </w:tcPr>
          <w:p w14:paraId="21DF9E85"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lastRenderedPageBreak/>
              <w:t xml:space="preserve">Lo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19</w:t>
            </w:r>
            <w:r w:rsidR="00133832">
              <w:rPr>
                <w:rFonts w:ascii="Book Antiqua" w:eastAsiaTheme="minorEastAsia" w:hAnsi="Book Antiqua" w:cs="Calibri" w:hint="eastAsia"/>
                <w:vertAlign w:val="superscript"/>
                <w:lang w:val="en-GB" w:eastAsia="zh-CN"/>
              </w:rPr>
              <w:t>]</w:t>
            </w:r>
          </w:p>
        </w:tc>
        <w:tc>
          <w:tcPr>
            <w:tcW w:w="0" w:type="auto"/>
          </w:tcPr>
          <w:p w14:paraId="1AD1092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1997</w:t>
            </w:r>
          </w:p>
        </w:tc>
        <w:tc>
          <w:tcPr>
            <w:tcW w:w="0" w:type="auto"/>
          </w:tcPr>
          <w:p w14:paraId="6058861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71</w:t>
            </w:r>
          </w:p>
        </w:tc>
        <w:tc>
          <w:tcPr>
            <w:tcW w:w="0" w:type="auto"/>
          </w:tcPr>
          <w:p w14:paraId="3F1CFC4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tcPr>
          <w:p w14:paraId="56079E3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34</w:t>
            </w:r>
          </w:p>
        </w:tc>
        <w:tc>
          <w:tcPr>
            <w:tcW w:w="0" w:type="auto"/>
            <w:shd w:val="clear" w:color="auto" w:fill="auto"/>
          </w:tcPr>
          <w:p w14:paraId="7D4D7D1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97%</w:t>
            </w:r>
          </w:p>
        </w:tc>
        <w:tc>
          <w:tcPr>
            <w:tcW w:w="0" w:type="auto"/>
            <w:shd w:val="clear" w:color="auto" w:fill="auto"/>
          </w:tcPr>
          <w:p w14:paraId="20C3F44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76%</w:t>
            </w:r>
          </w:p>
        </w:tc>
        <w:tc>
          <w:tcPr>
            <w:tcW w:w="0" w:type="auto"/>
          </w:tcPr>
          <w:p w14:paraId="187E3DD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3E179EA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B2F1B7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493D0B5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45E9703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17%</w:t>
            </w:r>
          </w:p>
        </w:tc>
        <w:tc>
          <w:tcPr>
            <w:tcW w:w="0" w:type="auto"/>
            <w:shd w:val="clear" w:color="auto" w:fill="auto"/>
          </w:tcPr>
          <w:p w14:paraId="27828C6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33%</w:t>
            </w:r>
          </w:p>
        </w:tc>
        <w:tc>
          <w:tcPr>
            <w:tcW w:w="0" w:type="auto"/>
            <w:shd w:val="clear" w:color="auto" w:fill="auto"/>
          </w:tcPr>
          <w:p w14:paraId="56511B8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w:t>
            </w:r>
          </w:p>
        </w:tc>
        <w:tc>
          <w:tcPr>
            <w:tcW w:w="0" w:type="auto"/>
            <w:shd w:val="clear" w:color="auto" w:fill="auto"/>
          </w:tcPr>
          <w:p w14:paraId="0099777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29%</w:t>
            </w:r>
          </w:p>
        </w:tc>
        <w:tc>
          <w:tcPr>
            <w:tcW w:w="0" w:type="auto"/>
            <w:shd w:val="clear" w:color="auto" w:fill="auto"/>
          </w:tcPr>
          <w:p w14:paraId="1A88C1E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0B83CB8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A23F51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81%</w:t>
            </w:r>
          </w:p>
        </w:tc>
        <w:tc>
          <w:tcPr>
            <w:tcW w:w="0" w:type="auto"/>
          </w:tcPr>
          <w:p w14:paraId="307F2D6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r>
      <w:tr w:rsidR="001D0D13" w:rsidRPr="00E10F07" w14:paraId="64669A3A" w14:textId="77777777" w:rsidTr="00E10F07">
        <w:tc>
          <w:tcPr>
            <w:tcW w:w="0" w:type="auto"/>
          </w:tcPr>
          <w:p w14:paraId="48627101"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Siqueira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29</w:t>
            </w:r>
            <w:r w:rsidR="00133832">
              <w:rPr>
                <w:rFonts w:ascii="Book Antiqua" w:eastAsiaTheme="minorEastAsia" w:hAnsi="Book Antiqua" w:cs="Calibri" w:hint="eastAsia"/>
                <w:vertAlign w:val="superscript"/>
                <w:lang w:val="en-GB" w:eastAsia="zh-CN"/>
              </w:rPr>
              <w:t>]</w:t>
            </w:r>
          </w:p>
        </w:tc>
        <w:tc>
          <w:tcPr>
            <w:tcW w:w="0" w:type="auto"/>
          </w:tcPr>
          <w:p w14:paraId="03961F6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1998</w:t>
            </w:r>
          </w:p>
        </w:tc>
        <w:tc>
          <w:tcPr>
            <w:tcW w:w="0" w:type="auto"/>
          </w:tcPr>
          <w:p w14:paraId="313FD62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40</w:t>
            </w:r>
          </w:p>
        </w:tc>
        <w:tc>
          <w:tcPr>
            <w:tcW w:w="0" w:type="auto"/>
          </w:tcPr>
          <w:p w14:paraId="7906D22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w:t>
            </w:r>
          </w:p>
        </w:tc>
        <w:tc>
          <w:tcPr>
            <w:tcW w:w="0" w:type="auto"/>
          </w:tcPr>
          <w:p w14:paraId="15B83EE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w:t>
            </w:r>
          </w:p>
        </w:tc>
        <w:tc>
          <w:tcPr>
            <w:tcW w:w="0" w:type="auto"/>
          </w:tcPr>
          <w:p w14:paraId="585170E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4764C04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7F3161B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90%</w:t>
            </w:r>
          </w:p>
        </w:tc>
        <w:tc>
          <w:tcPr>
            <w:tcW w:w="0" w:type="auto"/>
          </w:tcPr>
          <w:p w14:paraId="247FC33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546FEA5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tcPr>
          <w:p w14:paraId="647F017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shd w:val="clear" w:color="auto" w:fill="auto"/>
          </w:tcPr>
          <w:p w14:paraId="77694DC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0%</w:t>
            </w:r>
          </w:p>
        </w:tc>
        <w:tc>
          <w:tcPr>
            <w:tcW w:w="0" w:type="auto"/>
            <w:shd w:val="clear" w:color="auto" w:fill="auto"/>
          </w:tcPr>
          <w:p w14:paraId="1DDAF4E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w:t>
            </w:r>
          </w:p>
        </w:tc>
        <w:tc>
          <w:tcPr>
            <w:tcW w:w="0" w:type="auto"/>
            <w:shd w:val="clear" w:color="auto" w:fill="auto"/>
          </w:tcPr>
          <w:p w14:paraId="73F1778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1182CEA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623DE20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0%</w:t>
            </w:r>
          </w:p>
        </w:tc>
        <w:tc>
          <w:tcPr>
            <w:tcW w:w="0" w:type="auto"/>
            <w:shd w:val="clear" w:color="auto" w:fill="auto"/>
          </w:tcPr>
          <w:p w14:paraId="7B1459A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0%</w:t>
            </w:r>
          </w:p>
        </w:tc>
        <w:tc>
          <w:tcPr>
            <w:tcW w:w="0" w:type="auto"/>
          </w:tcPr>
          <w:p w14:paraId="56C0C10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3BB9DD2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95%</w:t>
            </w:r>
          </w:p>
        </w:tc>
      </w:tr>
      <w:tr w:rsidR="001D0D13" w:rsidRPr="00E10F07" w14:paraId="466F6134" w14:textId="77777777" w:rsidTr="00E10F07">
        <w:tc>
          <w:tcPr>
            <w:tcW w:w="0" w:type="auto"/>
          </w:tcPr>
          <w:p w14:paraId="4F379A95"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De la Pena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30</w:t>
            </w:r>
            <w:r w:rsidR="00133832">
              <w:rPr>
                <w:rFonts w:ascii="Book Antiqua" w:eastAsiaTheme="minorEastAsia" w:hAnsi="Book Antiqua" w:cs="Calibri" w:hint="eastAsia"/>
                <w:vertAlign w:val="superscript"/>
                <w:lang w:val="en-GB" w:eastAsia="zh-CN"/>
              </w:rPr>
              <w:t>]</w:t>
            </w:r>
          </w:p>
        </w:tc>
        <w:tc>
          <w:tcPr>
            <w:tcW w:w="0" w:type="auto"/>
          </w:tcPr>
          <w:p w14:paraId="2332151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1999</w:t>
            </w:r>
          </w:p>
        </w:tc>
        <w:tc>
          <w:tcPr>
            <w:tcW w:w="0" w:type="auto"/>
          </w:tcPr>
          <w:p w14:paraId="5360718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88</w:t>
            </w:r>
          </w:p>
        </w:tc>
        <w:tc>
          <w:tcPr>
            <w:tcW w:w="0" w:type="auto"/>
          </w:tcPr>
          <w:p w14:paraId="35EFC47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42</w:t>
            </w:r>
          </w:p>
        </w:tc>
        <w:tc>
          <w:tcPr>
            <w:tcW w:w="0" w:type="auto"/>
          </w:tcPr>
          <w:p w14:paraId="4A502E0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46</w:t>
            </w:r>
          </w:p>
        </w:tc>
        <w:tc>
          <w:tcPr>
            <w:tcW w:w="0" w:type="auto"/>
          </w:tcPr>
          <w:p w14:paraId="010333A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72E1C82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AC8D11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c>
          <w:tcPr>
            <w:tcW w:w="0" w:type="auto"/>
          </w:tcPr>
          <w:p w14:paraId="65096E7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71%</w:t>
            </w:r>
          </w:p>
        </w:tc>
        <w:tc>
          <w:tcPr>
            <w:tcW w:w="0" w:type="auto"/>
            <w:shd w:val="clear" w:color="auto" w:fill="auto"/>
          </w:tcPr>
          <w:p w14:paraId="35DEA2C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5.3</w:t>
            </w:r>
          </w:p>
        </w:tc>
        <w:tc>
          <w:tcPr>
            <w:tcW w:w="0" w:type="auto"/>
            <w:shd w:val="clear" w:color="auto" w:fill="auto"/>
          </w:tcPr>
          <w:p w14:paraId="391812F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6.6</w:t>
            </w:r>
          </w:p>
        </w:tc>
        <w:tc>
          <w:tcPr>
            <w:tcW w:w="0" w:type="auto"/>
            <w:shd w:val="clear" w:color="auto" w:fill="auto"/>
          </w:tcPr>
          <w:p w14:paraId="6B9DA4E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shd w:val="clear" w:color="auto" w:fill="auto"/>
          </w:tcPr>
          <w:p w14:paraId="19CB9A0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shd w:val="clear" w:color="auto" w:fill="auto"/>
          </w:tcPr>
          <w:p w14:paraId="32E0678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14%</w:t>
            </w:r>
          </w:p>
        </w:tc>
        <w:tc>
          <w:tcPr>
            <w:tcW w:w="0" w:type="auto"/>
            <w:shd w:val="clear" w:color="auto" w:fill="auto"/>
          </w:tcPr>
          <w:p w14:paraId="65F0FC0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41%</w:t>
            </w:r>
          </w:p>
        </w:tc>
        <w:tc>
          <w:tcPr>
            <w:tcW w:w="0" w:type="auto"/>
            <w:shd w:val="clear" w:color="auto" w:fill="auto"/>
          </w:tcPr>
          <w:p w14:paraId="6901DC7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47%</w:t>
            </w:r>
          </w:p>
        </w:tc>
        <w:tc>
          <w:tcPr>
            <w:tcW w:w="0" w:type="auto"/>
            <w:shd w:val="clear" w:color="auto" w:fill="auto"/>
          </w:tcPr>
          <w:p w14:paraId="0774342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23%</w:t>
            </w:r>
          </w:p>
        </w:tc>
        <w:tc>
          <w:tcPr>
            <w:tcW w:w="0" w:type="auto"/>
          </w:tcPr>
          <w:p w14:paraId="10016B0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81%</w:t>
            </w:r>
          </w:p>
        </w:tc>
        <w:tc>
          <w:tcPr>
            <w:tcW w:w="0" w:type="auto"/>
          </w:tcPr>
          <w:p w14:paraId="2172A6A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78%</w:t>
            </w:r>
          </w:p>
        </w:tc>
      </w:tr>
      <w:tr w:rsidR="001D0D13" w:rsidRPr="00E10F07" w14:paraId="252315DC" w14:textId="77777777" w:rsidTr="00E10F07">
        <w:tc>
          <w:tcPr>
            <w:tcW w:w="0" w:type="auto"/>
          </w:tcPr>
          <w:p w14:paraId="39F0E541"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Masci</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31</w:t>
            </w:r>
            <w:r w:rsidR="00133832">
              <w:rPr>
                <w:rFonts w:ascii="Book Antiqua" w:eastAsiaTheme="minorEastAsia" w:hAnsi="Book Antiqua" w:cs="Calibri" w:hint="eastAsia"/>
                <w:vertAlign w:val="superscript"/>
                <w:lang w:val="en-GB" w:eastAsia="zh-CN"/>
              </w:rPr>
              <w:t>]</w:t>
            </w:r>
          </w:p>
        </w:tc>
        <w:tc>
          <w:tcPr>
            <w:tcW w:w="0" w:type="auto"/>
          </w:tcPr>
          <w:p w14:paraId="6997AE8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1999</w:t>
            </w:r>
          </w:p>
        </w:tc>
        <w:tc>
          <w:tcPr>
            <w:tcW w:w="0" w:type="auto"/>
          </w:tcPr>
          <w:p w14:paraId="7B0F488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145F75C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Pr>
          <w:p w14:paraId="2D365FC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Pr>
          <w:p w14:paraId="1A056B9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CFDB4A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0C08765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88%</w:t>
            </w:r>
          </w:p>
        </w:tc>
        <w:tc>
          <w:tcPr>
            <w:tcW w:w="0" w:type="auto"/>
          </w:tcPr>
          <w:p w14:paraId="3BB08AE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82%</w:t>
            </w:r>
          </w:p>
        </w:tc>
        <w:tc>
          <w:tcPr>
            <w:tcW w:w="0" w:type="auto"/>
            <w:shd w:val="clear" w:color="auto" w:fill="auto"/>
          </w:tcPr>
          <w:p w14:paraId="7ECD623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3.4</w:t>
            </w:r>
          </w:p>
        </w:tc>
        <w:tc>
          <w:tcPr>
            <w:tcW w:w="0" w:type="auto"/>
            <w:shd w:val="clear" w:color="auto" w:fill="auto"/>
          </w:tcPr>
          <w:p w14:paraId="283E78F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5.3</w:t>
            </w:r>
          </w:p>
        </w:tc>
        <w:tc>
          <w:tcPr>
            <w:tcW w:w="0" w:type="auto"/>
            <w:shd w:val="clear" w:color="auto" w:fill="auto"/>
          </w:tcPr>
          <w:p w14:paraId="7FB3FF4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w:t>
            </w:r>
          </w:p>
        </w:tc>
        <w:tc>
          <w:tcPr>
            <w:tcW w:w="0" w:type="auto"/>
            <w:shd w:val="clear" w:color="auto" w:fill="auto"/>
          </w:tcPr>
          <w:p w14:paraId="3755860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42%</w:t>
            </w:r>
          </w:p>
        </w:tc>
        <w:tc>
          <w:tcPr>
            <w:tcW w:w="0" w:type="auto"/>
            <w:shd w:val="clear" w:color="auto" w:fill="auto"/>
          </w:tcPr>
          <w:p w14:paraId="6702E98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18%</w:t>
            </w:r>
          </w:p>
        </w:tc>
        <w:tc>
          <w:tcPr>
            <w:tcW w:w="0" w:type="auto"/>
            <w:shd w:val="clear" w:color="auto" w:fill="auto"/>
          </w:tcPr>
          <w:p w14:paraId="75C66C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38%</w:t>
            </w:r>
          </w:p>
        </w:tc>
        <w:tc>
          <w:tcPr>
            <w:tcW w:w="0" w:type="auto"/>
          </w:tcPr>
          <w:p w14:paraId="582F511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32%</w:t>
            </w:r>
          </w:p>
        </w:tc>
        <w:tc>
          <w:tcPr>
            <w:tcW w:w="0" w:type="auto"/>
          </w:tcPr>
          <w:p w14:paraId="2A47634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27%</w:t>
            </w:r>
          </w:p>
        </w:tc>
        <w:tc>
          <w:tcPr>
            <w:tcW w:w="0" w:type="auto"/>
          </w:tcPr>
          <w:p w14:paraId="0FB89F4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38C2D2F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78%</w:t>
            </w:r>
          </w:p>
        </w:tc>
      </w:tr>
      <w:tr w:rsidR="001D0D13" w:rsidRPr="00E10F07" w14:paraId="447D9E62" w14:textId="77777777" w:rsidTr="00E10F07">
        <w:tc>
          <w:tcPr>
            <w:tcW w:w="0" w:type="auto"/>
          </w:tcPr>
          <w:p w14:paraId="4E0A5623"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Fakhry</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32</w:t>
            </w:r>
            <w:r w:rsidR="00133832">
              <w:rPr>
                <w:rFonts w:ascii="Book Antiqua" w:eastAsiaTheme="minorEastAsia" w:hAnsi="Book Antiqua" w:cs="Calibri" w:hint="eastAsia"/>
                <w:vertAlign w:val="superscript"/>
                <w:lang w:val="en-GB" w:eastAsia="zh-CN"/>
              </w:rPr>
              <w:t>]</w:t>
            </w:r>
          </w:p>
        </w:tc>
        <w:tc>
          <w:tcPr>
            <w:tcW w:w="0" w:type="auto"/>
          </w:tcPr>
          <w:p w14:paraId="7D9765E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2000</w:t>
            </w:r>
          </w:p>
        </w:tc>
        <w:tc>
          <w:tcPr>
            <w:tcW w:w="0" w:type="auto"/>
          </w:tcPr>
          <w:p w14:paraId="342D9CB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84</w:t>
            </w:r>
          </w:p>
        </w:tc>
        <w:tc>
          <w:tcPr>
            <w:tcW w:w="0" w:type="auto"/>
          </w:tcPr>
          <w:p w14:paraId="54E3240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43</w:t>
            </w:r>
          </w:p>
        </w:tc>
        <w:tc>
          <w:tcPr>
            <w:tcW w:w="0" w:type="auto"/>
          </w:tcPr>
          <w:p w14:paraId="28E9F5D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41</w:t>
            </w:r>
          </w:p>
        </w:tc>
        <w:tc>
          <w:tcPr>
            <w:tcW w:w="0" w:type="auto"/>
          </w:tcPr>
          <w:p w14:paraId="3287FB2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tcPr>
          <w:p w14:paraId="25BB427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tcPr>
          <w:p w14:paraId="1BF2932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4403D53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6216C87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2.8</w:t>
            </w:r>
          </w:p>
        </w:tc>
        <w:tc>
          <w:tcPr>
            <w:tcW w:w="0" w:type="auto"/>
            <w:shd w:val="clear" w:color="auto" w:fill="auto"/>
          </w:tcPr>
          <w:p w14:paraId="1F14526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shd w:val="clear" w:color="auto" w:fill="auto"/>
          </w:tcPr>
          <w:p w14:paraId="69A9C1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16%</w:t>
            </w:r>
          </w:p>
        </w:tc>
        <w:tc>
          <w:tcPr>
            <w:tcW w:w="0" w:type="auto"/>
            <w:shd w:val="clear" w:color="auto" w:fill="auto"/>
          </w:tcPr>
          <w:p w14:paraId="30632A6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15%</w:t>
            </w:r>
          </w:p>
        </w:tc>
        <w:tc>
          <w:tcPr>
            <w:tcW w:w="0" w:type="auto"/>
            <w:shd w:val="clear" w:color="auto" w:fill="auto"/>
          </w:tcPr>
          <w:p w14:paraId="675E0D8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w:t>
            </w:r>
          </w:p>
        </w:tc>
        <w:tc>
          <w:tcPr>
            <w:tcW w:w="0" w:type="auto"/>
            <w:shd w:val="clear" w:color="auto" w:fill="auto"/>
          </w:tcPr>
          <w:p w14:paraId="1E39CDA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c>
          <w:tcPr>
            <w:tcW w:w="0" w:type="auto"/>
          </w:tcPr>
          <w:p w14:paraId="2A93892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21%</w:t>
            </w:r>
          </w:p>
        </w:tc>
        <w:tc>
          <w:tcPr>
            <w:tcW w:w="0" w:type="auto"/>
          </w:tcPr>
          <w:p w14:paraId="7901CFA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w:t>
            </w:r>
          </w:p>
        </w:tc>
        <w:tc>
          <w:tcPr>
            <w:tcW w:w="0" w:type="auto"/>
          </w:tcPr>
          <w:p w14:paraId="5587E06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c>
          <w:tcPr>
            <w:tcW w:w="0" w:type="auto"/>
          </w:tcPr>
          <w:p w14:paraId="58B8CC2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r>
      <w:tr w:rsidR="001D0D13" w:rsidRPr="00E10F07" w14:paraId="40CBF58A" w14:textId="77777777" w:rsidTr="00E10F07">
        <w:tc>
          <w:tcPr>
            <w:tcW w:w="0" w:type="auto"/>
          </w:tcPr>
          <w:p w14:paraId="2231ECBF"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Zargar</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33</w:t>
            </w:r>
            <w:r w:rsidR="00133832">
              <w:rPr>
                <w:rFonts w:ascii="Book Antiqua" w:eastAsiaTheme="minorEastAsia" w:hAnsi="Book Antiqua" w:cs="Calibri" w:hint="eastAsia"/>
                <w:vertAlign w:val="superscript"/>
                <w:lang w:val="en-GB" w:eastAsia="zh-CN"/>
              </w:rPr>
              <w:t>]</w:t>
            </w:r>
          </w:p>
        </w:tc>
        <w:tc>
          <w:tcPr>
            <w:tcW w:w="0" w:type="auto"/>
          </w:tcPr>
          <w:p w14:paraId="7054186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2005</w:t>
            </w:r>
          </w:p>
        </w:tc>
        <w:tc>
          <w:tcPr>
            <w:tcW w:w="0" w:type="auto"/>
          </w:tcPr>
          <w:p w14:paraId="6538158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73</w:t>
            </w:r>
          </w:p>
        </w:tc>
        <w:tc>
          <w:tcPr>
            <w:tcW w:w="0" w:type="auto"/>
          </w:tcPr>
          <w:p w14:paraId="339EE99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tcPr>
          <w:p w14:paraId="7273D78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36</w:t>
            </w:r>
          </w:p>
        </w:tc>
        <w:tc>
          <w:tcPr>
            <w:tcW w:w="0" w:type="auto"/>
          </w:tcPr>
          <w:p w14:paraId="61209DE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3B55850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83%</w:t>
            </w:r>
          </w:p>
        </w:tc>
        <w:tc>
          <w:tcPr>
            <w:tcW w:w="0" w:type="auto"/>
          </w:tcPr>
          <w:p w14:paraId="5ADC16A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95%</w:t>
            </w:r>
          </w:p>
        </w:tc>
        <w:tc>
          <w:tcPr>
            <w:tcW w:w="0" w:type="auto"/>
          </w:tcPr>
          <w:p w14:paraId="485F0E9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92%</w:t>
            </w:r>
          </w:p>
        </w:tc>
        <w:tc>
          <w:tcPr>
            <w:tcW w:w="0" w:type="auto"/>
            <w:shd w:val="clear" w:color="auto" w:fill="auto"/>
          </w:tcPr>
          <w:p w14:paraId="01BEA61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shd w:val="clear" w:color="auto" w:fill="auto"/>
          </w:tcPr>
          <w:p w14:paraId="09F6C34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shd w:val="clear" w:color="auto" w:fill="auto"/>
          </w:tcPr>
          <w:p w14:paraId="5AAD7AF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w:t>
            </w:r>
          </w:p>
        </w:tc>
        <w:tc>
          <w:tcPr>
            <w:tcW w:w="0" w:type="auto"/>
            <w:shd w:val="clear" w:color="auto" w:fill="auto"/>
          </w:tcPr>
          <w:p w14:paraId="4C534B3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w:t>
            </w:r>
          </w:p>
        </w:tc>
        <w:tc>
          <w:tcPr>
            <w:tcW w:w="0" w:type="auto"/>
            <w:shd w:val="clear" w:color="auto" w:fill="auto"/>
          </w:tcPr>
          <w:p w14:paraId="327919F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w:t>
            </w:r>
          </w:p>
        </w:tc>
        <w:tc>
          <w:tcPr>
            <w:tcW w:w="0" w:type="auto"/>
            <w:shd w:val="clear" w:color="auto" w:fill="auto"/>
          </w:tcPr>
          <w:p w14:paraId="6AE670F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22%</w:t>
            </w:r>
          </w:p>
        </w:tc>
        <w:tc>
          <w:tcPr>
            <w:tcW w:w="0" w:type="auto"/>
          </w:tcPr>
          <w:p w14:paraId="2588E28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11%</w:t>
            </w:r>
          </w:p>
        </w:tc>
        <w:tc>
          <w:tcPr>
            <w:tcW w:w="0" w:type="auto"/>
          </w:tcPr>
          <w:p w14:paraId="0F6799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w:t>
            </w:r>
          </w:p>
        </w:tc>
        <w:tc>
          <w:tcPr>
            <w:tcW w:w="0" w:type="auto"/>
          </w:tcPr>
          <w:p w14:paraId="146A6E6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219BF4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r>
      <w:tr w:rsidR="001D0D13" w:rsidRPr="00E10F07" w14:paraId="39DA1A44" w14:textId="77777777" w:rsidTr="00E10F07">
        <w:tc>
          <w:tcPr>
            <w:tcW w:w="0" w:type="auto"/>
          </w:tcPr>
          <w:p w14:paraId="6B977470"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Villanueva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20</w:t>
            </w:r>
            <w:r w:rsidR="00133832">
              <w:rPr>
                <w:rFonts w:ascii="Book Antiqua" w:eastAsiaTheme="minorEastAsia" w:hAnsi="Book Antiqua" w:cs="Calibri" w:hint="eastAsia"/>
                <w:vertAlign w:val="superscript"/>
                <w:lang w:val="en-GB" w:eastAsia="zh-CN"/>
              </w:rPr>
              <w:t>]</w:t>
            </w:r>
          </w:p>
        </w:tc>
        <w:tc>
          <w:tcPr>
            <w:tcW w:w="0" w:type="auto"/>
          </w:tcPr>
          <w:p w14:paraId="2C5AED9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2006</w:t>
            </w:r>
          </w:p>
        </w:tc>
        <w:tc>
          <w:tcPr>
            <w:tcW w:w="0" w:type="auto"/>
          </w:tcPr>
          <w:p w14:paraId="3758975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179</w:t>
            </w:r>
          </w:p>
        </w:tc>
        <w:tc>
          <w:tcPr>
            <w:tcW w:w="0" w:type="auto"/>
          </w:tcPr>
          <w:p w14:paraId="5CB298E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90</w:t>
            </w:r>
          </w:p>
        </w:tc>
        <w:tc>
          <w:tcPr>
            <w:tcW w:w="0" w:type="auto"/>
          </w:tcPr>
          <w:p w14:paraId="4AA0CDE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c>
          <w:tcPr>
            <w:tcW w:w="0" w:type="auto"/>
            <w:shd w:val="clear" w:color="auto" w:fill="auto"/>
          </w:tcPr>
          <w:p w14:paraId="1607032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96%</w:t>
            </w:r>
          </w:p>
        </w:tc>
        <w:tc>
          <w:tcPr>
            <w:tcW w:w="0" w:type="auto"/>
            <w:shd w:val="clear" w:color="auto" w:fill="auto"/>
          </w:tcPr>
          <w:p w14:paraId="26110E3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85%</w:t>
            </w:r>
          </w:p>
        </w:tc>
        <w:tc>
          <w:tcPr>
            <w:tcW w:w="0" w:type="auto"/>
          </w:tcPr>
          <w:p w14:paraId="775C2BE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60D0C6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5DA2341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32B4702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4F3F6B4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w:t>
            </w:r>
          </w:p>
        </w:tc>
        <w:tc>
          <w:tcPr>
            <w:tcW w:w="0" w:type="auto"/>
          </w:tcPr>
          <w:p w14:paraId="4F04285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w:t>
            </w:r>
          </w:p>
        </w:tc>
        <w:tc>
          <w:tcPr>
            <w:tcW w:w="0" w:type="auto"/>
            <w:shd w:val="clear" w:color="auto" w:fill="auto"/>
          </w:tcPr>
          <w:p w14:paraId="6D8D44E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w:t>
            </w:r>
          </w:p>
        </w:tc>
        <w:tc>
          <w:tcPr>
            <w:tcW w:w="0" w:type="auto"/>
            <w:shd w:val="clear" w:color="auto" w:fill="auto"/>
          </w:tcPr>
          <w:p w14:paraId="5F988EC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13%</w:t>
            </w:r>
          </w:p>
        </w:tc>
        <w:tc>
          <w:tcPr>
            <w:tcW w:w="0" w:type="auto"/>
          </w:tcPr>
          <w:p w14:paraId="7AAA721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77E7914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09BC4DB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87%</w:t>
            </w:r>
          </w:p>
        </w:tc>
        <w:tc>
          <w:tcPr>
            <w:tcW w:w="0" w:type="auto"/>
          </w:tcPr>
          <w:p w14:paraId="17FF57D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r>
      <w:tr w:rsidR="001D0D13" w:rsidRPr="00E10F07" w14:paraId="7A92FF8A" w14:textId="77777777" w:rsidTr="00E10F07">
        <w:tc>
          <w:tcPr>
            <w:tcW w:w="0" w:type="auto"/>
          </w:tcPr>
          <w:p w14:paraId="7F2E74E5"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Luz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34</w:t>
            </w:r>
            <w:r w:rsidR="00133832">
              <w:rPr>
                <w:rFonts w:ascii="Book Antiqua" w:eastAsiaTheme="minorEastAsia" w:hAnsi="Book Antiqua" w:cs="Calibri" w:hint="eastAsia"/>
                <w:vertAlign w:val="superscript"/>
                <w:lang w:val="en-GB" w:eastAsia="zh-CN"/>
              </w:rPr>
              <w:t>]</w:t>
            </w:r>
          </w:p>
        </w:tc>
        <w:tc>
          <w:tcPr>
            <w:tcW w:w="0" w:type="auto"/>
          </w:tcPr>
          <w:p w14:paraId="34477F5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2011</w:t>
            </w:r>
          </w:p>
        </w:tc>
        <w:tc>
          <w:tcPr>
            <w:tcW w:w="0" w:type="auto"/>
          </w:tcPr>
          <w:p w14:paraId="35EDC42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7D8B4DA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Pr>
          <w:p w14:paraId="642E198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Pr>
          <w:p w14:paraId="5796AD4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92%</w:t>
            </w:r>
          </w:p>
        </w:tc>
        <w:tc>
          <w:tcPr>
            <w:tcW w:w="0" w:type="auto"/>
          </w:tcPr>
          <w:p w14:paraId="4A8371E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96%</w:t>
            </w:r>
          </w:p>
        </w:tc>
        <w:tc>
          <w:tcPr>
            <w:tcW w:w="0" w:type="auto"/>
          </w:tcPr>
          <w:p w14:paraId="2FB6CD8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12F820A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40A0B6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0651D2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621B4E3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22%</w:t>
            </w:r>
          </w:p>
        </w:tc>
        <w:tc>
          <w:tcPr>
            <w:tcW w:w="0" w:type="auto"/>
          </w:tcPr>
          <w:p w14:paraId="4C95261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14%</w:t>
            </w:r>
          </w:p>
        </w:tc>
        <w:tc>
          <w:tcPr>
            <w:tcW w:w="0" w:type="auto"/>
            <w:shd w:val="clear" w:color="auto" w:fill="auto"/>
          </w:tcPr>
          <w:p w14:paraId="10E244F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537BF1E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4FBD34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BE62D8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86C835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tcPr>
          <w:p w14:paraId="65F81D9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 xml:space="preserve">80% </w:t>
            </w:r>
          </w:p>
        </w:tc>
      </w:tr>
      <w:tr w:rsidR="001D0D13" w:rsidRPr="00E10F07" w14:paraId="5C9A8111" w14:textId="77777777" w:rsidTr="00E10F07">
        <w:tc>
          <w:tcPr>
            <w:tcW w:w="0" w:type="auto"/>
          </w:tcPr>
          <w:p w14:paraId="7462565A"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Ali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35</w:t>
            </w:r>
            <w:r w:rsidR="00133832">
              <w:rPr>
                <w:rFonts w:ascii="Book Antiqua" w:eastAsiaTheme="minorEastAsia" w:hAnsi="Book Antiqua" w:cs="Calibri" w:hint="eastAsia"/>
                <w:vertAlign w:val="superscript"/>
                <w:lang w:val="en-GB" w:eastAsia="zh-CN"/>
              </w:rPr>
              <w:t>]</w:t>
            </w:r>
          </w:p>
        </w:tc>
        <w:tc>
          <w:tcPr>
            <w:tcW w:w="0" w:type="auto"/>
          </w:tcPr>
          <w:p w14:paraId="7B97B96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2017</w:t>
            </w:r>
          </w:p>
        </w:tc>
        <w:tc>
          <w:tcPr>
            <w:tcW w:w="0" w:type="auto"/>
          </w:tcPr>
          <w:p w14:paraId="06B05DE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124</w:t>
            </w:r>
          </w:p>
        </w:tc>
        <w:tc>
          <w:tcPr>
            <w:tcW w:w="0" w:type="auto"/>
          </w:tcPr>
          <w:p w14:paraId="370EB39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60</w:t>
            </w:r>
          </w:p>
        </w:tc>
        <w:tc>
          <w:tcPr>
            <w:tcW w:w="0" w:type="auto"/>
          </w:tcPr>
          <w:p w14:paraId="4A0C97C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64</w:t>
            </w:r>
          </w:p>
        </w:tc>
        <w:tc>
          <w:tcPr>
            <w:tcW w:w="0" w:type="auto"/>
          </w:tcPr>
          <w:p w14:paraId="6028552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0658D16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18653FE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87%</w:t>
            </w:r>
          </w:p>
        </w:tc>
        <w:tc>
          <w:tcPr>
            <w:tcW w:w="0" w:type="auto"/>
          </w:tcPr>
          <w:p w14:paraId="7F50FCD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6101D83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1ECFC04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30FE33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23%</w:t>
            </w:r>
          </w:p>
        </w:tc>
        <w:tc>
          <w:tcPr>
            <w:tcW w:w="0" w:type="auto"/>
          </w:tcPr>
          <w:p w14:paraId="338BBD9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28%</w:t>
            </w:r>
          </w:p>
        </w:tc>
        <w:tc>
          <w:tcPr>
            <w:tcW w:w="0" w:type="auto"/>
            <w:shd w:val="clear" w:color="auto" w:fill="auto"/>
          </w:tcPr>
          <w:p w14:paraId="12F6490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w:t>
            </w:r>
          </w:p>
        </w:tc>
        <w:tc>
          <w:tcPr>
            <w:tcW w:w="0" w:type="auto"/>
            <w:shd w:val="clear" w:color="auto" w:fill="auto"/>
          </w:tcPr>
          <w:p w14:paraId="0D5CDB0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27%</w:t>
            </w:r>
          </w:p>
        </w:tc>
        <w:tc>
          <w:tcPr>
            <w:tcW w:w="0" w:type="auto"/>
          </w:tcPr>
          <w:p w14:paraId="3E4B5F9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6C9E87E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18D0B2A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78%</w:t>
            </w:r>
          </w:p>
        </w:tc>
        <w:tc>
          <w:tcPr>
            <w:tcW w:w="0" w:type="auto"/>
          </w:tcPr>
          <w:p w14:paraId="1961EBA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72%</w:t>
            </w:r>
          </w:p>
        </w:tc>
      </w:tr>
    </w:tbl>
    <w:p w14:paraId="2E565EBD" w14:textId="0CD414CC" w:rsidR="00C67EC3" w:rsidRPr="00C67EC3" w:rsidRDefault="00C67EC3" w:rsidP="00C67EC3">
      <w:pPr>
        <w:adjustRightInd w:val="0"/>
        <w:snapToGrid w:val="0"/>
        <w:spacing w:line="360" w:lineRule="auto"/>
        <w:jc w:val="both"/>
        <w:rPr>
          <w:rFonts w:ascii="Book Antiqua" w:eastAsia="宋体" w:hAnsi="Book Antiqua" w:cs="Calibri"/>
          <w:lang w:val="en-GB" w:eastAsia="zh-CN"/>
        </w:rPr>
      </w:pPr>
      <w:r w:rsidRPr="00C67EC3">
        <w:rPr>
          <w:rFonts w:ascii="Book Antiqua" w:eastAsia="宋体" w:hAnsi="Book Antiqua" w:cs="Calibri"/>
          <w:lang w:val="en-GB" w:eastAsia="en-ZA"/>
        </w:rPr>
        <w:t>EVL</w:t>
      </w:r>
      <w:r w:rsidR="00E7303B">
        <w:rPr>
          <w:rFonts w:ascii="Book Antiqua" w:eastAsia="宋体" w:hAnsi="Book Antiqua" w:cs="Calibri" w:hint="eastAsia"/>
          <w:lang w:val="en-GB" w:eastAsia="zh-CN"/>
        </w:rPr>
        <w:t>:</w:t>
      </w:r>
      <w:r w:rsidR="00E7303B">
        <w:rPr>
          <w:rFonts w:ascii="Book Antiqua" w:eastAsia="宋体" w:hAnsi="Book Antiqua" w:cs="Calibri"/>
          <w:lang w:val="en-GB" w:eastAsia="en-ZA"/>
        </w:rPr>
        <w:t xml:space="preserve"> </w:t>
      </w:r>
      <w:r w:rsidR="00E7303B">
        <w:rPr>
          <w:rFonts w:ascii="Book Antiqua" w:eastAsia="宋体" w:hAnsi="Book Antiqua" w:cs="Calibri" w:hint="eastAsia"/>
          <w:lang w:val="en-GB" w:eastAsia="zh-CN"/>
        </w:rPr>
        <w:t>E</w:t>
      </w:r>
      <w:r w:rsidR="00E7303B">
        <w:rPr>
          <w:rFonts w:ascii="Book Antiqua" w:eastAsia="宋体" w:hAnsi="Book Antiqua" w:cs="Calibri"/>
          <w:lang w:val="en-GB" w:eastAsia="en-ZA"/>
        </w:rPr>
        <w:t>ndoscopic variceal ligation</w:t>
      </w:r>
      <w:r w:rsidR="00E7303B">
        <w:rPr>
          <w:rFonts w:ascii="Book Antiqua" w:eastAsia="宋体" w:hAnsi="Book Antiqua" w:cs="Calibri" w:hint="eastAsia"/>
          <w:lang w:val="en-GB" w:eastAsia="zh-CN"/>
        </w:rPr>
        <w:t>;</w:t>
      </w:r>
      <w:r w:rsidRPr="00C67EC3">
        <w:rPr>
          <w:rFonts w:ascii="Book Antiqua" w:eastAsia="宋体" w:hAnsi="Book Antiqua" w:cs="Calibri"/>
          <w:lang w:val="en-GB" w:eastAsia="en-ZA"/>
        </w:rPr>
        <w:t xml:space="preserve"> IST</w:t>
      </w:r>
      <w:r w:rsidR="00E7303B">
        <w:rPr>
          <w:rFonts w:ascii="Book Antiqua" w:eastAsia="宋体" w:hAnsi="Book Antiqua" w:cs="Calibri" w:hint="eastAsia"/>
          <w:lang w:val="en-GB" w:eastAsia="zh-CN"/>
        </w:rPr>
        <w:t>:</w:t>
      </w:r>
      <w:r w:rsidR="00E7303B">
        <w:rPr>
          <w:rFonts w:ascii="Book Antiqua" w:eastAsia="宋体" w:hAnsi="Book Antiqua" w:cs="Calibri"/>
          <w:lang w:val="en-GB" w:eastAsia="en-ZA"/>
        </w:rPr>
        <w:t xml:space="preserve"> </w:t>
      </w:r>
      <w:r w:rsidR="00E7303B">
        <w:rPr>
          <w:rFonts w:ascii="Book Antiqua" w:eastAsia="宋体" w:hAnsi="Book Antiqua" w:cs="Calibri" w:hint="eastAsia"/>
          <w:lang w:val="en-GB" w:eastAsia="zh-CN"/>
        </w:rPr>
        <w:t>I</w:t>
      </w:r>
      <w:r w:rsidRPr="00C67EC3">
        <w:rPr>
          <w:rFonts w:ascii="Book Antiqua" w:eastAsia="宋体" w:hAnsi="Book Antiqua" w:cs="Calibri"/>
          <w:lang w:val="en-GB" w:eastAsia="en-ZA"/>
        </w:rPr>
        <w:t xml:space="preserve">njection sclerotherapy. Bold </w:t>
      </w:r>
      <w:proofErr w:type="spellStart"/>
      <w:r w:rsidRPr="00C67EC3">
        <w:rPr>
          <w:rFonts w:ascii="Book Antiqua" w:eastAsia="宋体" w:hAnsi="Book Antiqua" w:cs="Calibri"/>
          <w:lang w:val="en-GB" w:eastAsia="en-ZA"/>
        </w:rPr>
        <w:t>color</w:t>
      </w:r>
      <w:proofErr w:type="spellEnd"/>
      <w:r w:rsidRPr="00C67EC3">
        <w:rPr>
          <w:rFonts w:ascii="Book Antiqua" w:eastAsia="宋体" w:hAnsi="Book Antiqua" w:cs="Calibri"/>
          <w:lang w:val="en-GB" w:eastAsia="en-ZA"/>
        </w:rPr>
        <w:t xml:space="preserve"> highlighted comparisons are significant</w:t>
      </w:r>
      <w:r w:rsidR="0094157E">
        <w:rPr>
          <w:rFonts w:ascii="Book Antiqua" w:eastAsia="宋体" w:hAnsi="Book Antiqua" w:cs="Calibri" w:hint="eastAsia"/>
          <w:lang w:val="en-GB" w:eastAsia="zh-CN"/>
        </w:rPr>
        <w:t>,</w:t>
      </w:r>
      <w:r w:rsidRPr="00C67EC3">
        <w:rPr>
          <w:rFonts w:ascii="Book Antiqua" w:eastAsia="宋体" w:hAnsi="Book Antiqua" w:cs="Calibri"/>
          <w:lang w:val="en-GB" w:eastAsia="en-ZA"/>
        </w:rPr>
        <w:t xml:space="preserve"> </w:t>
      </w:r>
      <w:r w:rsidR="00E7303B" w:rsidRPr="00E7303B">
        <w:rPr>
          <w:rFonts w:ascii="Book Antiqua" w:eastAsia="宋体" w:hAnsi="Book Antiqua" w:cs="Calibri" w:hint="eastAsia"/>
          <w:bCs/>
          <w:i/>
          <w:lang w:val="en-GB" w:eastAsia="zh-CN"/>
        </w:rPr>
        <w:t>P</w:t>
      </w:r>
      <w:r w:rsidR="00E7303B" w:rsidRPr="00E7303B">
        <w:rPr>
          <w:rFonts w:ascii="Book Antiqua" w:eastAsia="宋体" w:hAnsi="Book Antiqua" w:cs="Calibri" w:hint="eastAsia"/>
          <w:bCs/>
          <w:lang w:val="en-GB" w:eastAsia="zh-CN"/>
        </w:rPr>
        <w:t xml:space="preserve"> </w:t>
      </w:r>
      <w:r w:rsidRPr="00E7303B">
        <w:rPr>
          <w:rFonts w:ascii="Book Antiqua" w:eastAsia="宋体" w:hAnsi="Book Antiqua" w:cs="Calibri"/>
          <w:bCs/>
          <w:lang w:val="en-GB" w:eastAsia="en-ZA"/>
        </w:rPr>
        <w:t>&lt;</w:t>
      </w:r>
      <w:r w:rsidR="00E7303B" w:rsidRPr="00E7303B">
        <w:rPr>
          <w:rFonts w:ascii="Book Antiqua" w:eastAsia="宋体" w:hAnsi="Book Antiqua" w:cs="Calibri" w:hint="eastAsia"/>
          <w:bCs/>
          <w:lang w:val="en-GB" w:eastAsia="zh-CN"/>
        </w:rPr>
        <w:t xml:space="preserve"> </w:t>
      </w:r>
      <w:r w:rsidRPr="00E7303B">
        <w:rPr>
          <w:rFonts w:ascii="Book Antiqua" w:eastAsia="宋体" w:hAnsi="Book Antiqua" w:cs="Calibri"/>
          <w:bCs/>
          <w:lang w:val="en-GB" w:eastAsia="en-ZA"/>
        </w:rPr>
        <w:t>0.05</w:t>
      </w:r>
      <w:r w:rsidR="00E7303B">
        <w:rPr>
          <w:rFonts w:ascii="Book Antiqua" w:eastAsia="宋体" w:hAnsi="Book Antiqua" w:cs="Calibri" w:hint="eastAsia"/>
          <w:bCs/>
          <w:lang w:val="en-GB" w:eastAsia="zh-CN"/>
        </w:rPr>
        <w:t>.</w:t>
      </w:r>
    </w:p>
    <w:p w14:paraId="427D5246" w14:textId="77777777" w:rsidR="00A77B3E" w:rsidRPr="00C67EC3" w:rsidRDefault="00A77B3E" w:rsidP="00C67EC3">
      <w:pPr>
        <w:adjustRightInd w:val="0"/>
        <w:snapToGrid w:val="0"/>
        <w:spacing w:line="360" w:lineRule="auto"/>
        <w:jc w:val="both"/>
        <w:rPr>
          <w:rFonts w:ascii="Book Antiqua" w:hAnsi="Book Antiqua"/>
        </w:rPr>
      </w:pPr>
    </w:p>
    <w:sectPr w:rsidR="00A77B3E" w:rsidRPr="00C67EC3" w:rsidSect="002254BA">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A1014" w14:textId="77777777" w:rsidR="008806A6" w:rsidRDefault="008806A6">
      <w:r>
        <w:separator/>
      </w:r>
    </w:p>
  </w:endnote>
  <w:endnote w:type="continuationSeparator" w:id="0">
    <w:p w14:paraId="6E75C6F7" w14:textId="77777777"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42135"/>
      <w:docPartObj>
        <w:docPartGallery w:val="Page Numbers (Bottom of Page)"/>
        <w:docPartUnique/>
      </w:docPartObj>
    </w:sdtPr>
    <w:sdtEndPr/>
    <w:sdtContent>
      <w:sdt>
        <w:sdtPr>
          <w:id w:val="860082579"/>
          <w:docPartObj>
            <w:docPartGallery w:val="Page Numbers (Top of Page)"/>
            <w:docPartUnique/>
          </w:docPartObj>
        </w:sdtPr>
        <w:sdtEndPr/>
        <w:sdtContent>
          <w:p w14:paraId="1F148896" w14:textId="77777777" w:rsidR="009D0FCB" w:rsidRDefault="009D0FCB">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702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7028">
              <w:rPr>
                <w:b/>
                <w:bCs/>
                <w:noProof/>
              </w:rPr>
              <w:t>34</w:t>
            </w:r>
            <w:r>
              <w:rPr>
                <w:b/>
                <w:bCs/>
                <w:sz w:val="24"/>
                <w:szCs w:val="24"/>
              </w:rPr>
              <w:fldChar w:fldCharType="end"/>
            </w:r>
          </w:p>
        </w:sdtContent>
      </w:sdt>
    </w:sdtContent>
  </w:sdt>
  <w:p w14:paraId="71C8AC4B" w14:textId="77777777" w:rsidR="009D0FCB" w:rsidRDefault="009D0F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4DD6" w14:textId="77777777" w:rsidR="009D0FCB" w:rsidRDefault="009D0FC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10</w:t>
    </w:r>
    <w:r>
      <w:rPr>
        <w:rStyle w:val="ae"/>
      </w:rPr>
      <w:fldChar w:fldCharType="end"/>
    </w:r>
  </w:p>
  <w:p w14:paraId="4315D525" w14:textId="77777777" w:rsidR="009D0FCB" w:rsidRDefault="009D0FC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D162" w14:textId="77777777" w:rsidR="009D0FCB" w:rsidRDefault="009D0FC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33C5B">
      <w:rPr>
        <w:rStyle w:val="ae"/>
        <w:noProof/>
      </w:rPr>
      <w:t>27</w:t>
    </w:r>
    <w:r>
      <w:rPr>
        <w:rStyle w:val="ae"/>
      </w:rPr>
      <w:fldChar w:fldCharType="end"/>
    </w:r>
  </w:p>
  <w:p w14:paraId="7B9590BD" w14:textId="77777777" w:rsidR="009D0FCB" w:rsidRDefault="009D0FC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0DEB0" w14:textId="77777777" w:rsidR="008806A6" w:rsidRDefault="008806A6">
      <w:r>
        <w:separator/>
      </w:r>
    </w:p>
  </w:footnote>
  <w:footnote w:type="continuationSeparator" w:id="0">
    <w:p w14:paraId="62153E4C" w14:textId="77777777" w:rsidR="008806A6" w:rsidRDefault="0088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9A802" w14:textId="77777777" w:rsidR="009D0FCB" w:rsidRDefault="009D0FC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67F45DE" w14:textId="77777777" w:rsidR="009D0FCB" w:rsidRDefault="009D0FCB">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CDB8" w14:textId="77777777" w:rsidR="009D0FCB" w:rsidRDefault="009D0FCB" w:rsidP="00C21CBD">
    <w:pPr>
      <w:pStyle w:val="ac"/>
      <w:ind w:right="360"/>
      <w:jc w:val="lef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FEE"/>
    <w:rsid w:val="00010577"/>
    <w:rsid w:val="00015363"/>
    <w:rsid w:val="00033C5B"/>
    <w:rsid w:val="00037B5D"/>
    <w:rsid w:val="000405AE"/>
    <w:rsid w:val="0005326D"/>
    <w:rsid w:val="000567F2"/>
    <w:rsid w:val="00065C0A"/>
    <w:rsid w:val="000668A2"/>
    <w:rsid w:val="00096687"/>
    <w:rsid w:val="000A0C36"/>
    <w:rsid w:val="000B3386"/>
    <w:rsid w:val="000C57E7"/>
    <w:rsid w:val="000E2AE9"/>
    <w:rsid w:val="000F35D3"/>
    <w:rsid w:val="00131D84"/>
    <w:rsid w:val="00133832"/>
    <w:rsid w:val="0014200F"/>
    <w:rsid w:val="0015088E"/>
    <w:rsid w:val="00160B77"/>
    <w:rsid w:val="00162721"/>
    <w:rsid w:val="001816A8"/>
    <w:rsid w:val="001A54CC"/>
    <w:rsid w:val="001B35D8"/>
    <w:rsid w:val="001C37AA"/>
    <w:rsid w:val="001D0D13"/>
    <w:rsid w:val="001E2481"/>
    <w:rsid w:val="001E5D4E"/>
    <w:rsid w:val="00217C7F"/>
    <w:rsid w:val="002254BA"/>
    <w:rsid w:val="00227026"/>
    <w:rsid w:val="0023031A"/>
    <w:rsid w:val="00247D04"/>
    <w:rsid w:val="00250BCC"/>
    <w:rsid w:val="002641F1"/>
    <w:rsid w:val="002D03DD"/>
    <w:rsid w:val="002D5171"/>
    <w:rsid w:val="00301145"/>
    <w:rsid w:val="00322FBF"/>
    <w:rsid w:val="0032520A"/>
    <w:rsid w:val="00343006"/>
    <w:rsid w:val="00361678"/>
    <w:rsid w:val="00374CE7"/>
    <w:rsid w:val="003C3977"/>
    <w:rsid w:val="003D2DFE"/>
    <w:rsid w:val="003E1661"/>
    <w:rsid w:val="003F2250"/>
    <w:rsid w:val="004177EF"/>
    <w:rsid w:val="004204B4"/>
    <w:rsid w:val="00422B16"/>
    <w:rsid w:val="00462064"/>
    <w:rsid w:val="004A2A78"/>
    <w:rsid w:val="004B4405"/>
    <w:rsid w:val="004B47DB"/>
    <w:rsid w:val="004C73C7"/>
    <w:rsid w:val="00520CEE"/>
    <w:rsid w:val="00521F9A"/>
    <w:rsid w:val="00543CE5"/>
    <w:rsid w:val="0055108A"/>
    <w:rsid w:val="005860B0"/>
    <w:rsid w:val="00591A89"/>
    <w:rsid w:val="005A4E24"/>
    <w:rsid w:val="005B3054"/>
    <w:rsid w:val="005D75C4"/>
    <w:rsid w:val="005F1BFE"/>
    <w:rsid w:val="006320D9"/>
    <w:rsid w:val="0063757C"/>
    <w:rsid w:val="0066079C"/>
    <w:rsid w:val="006A71D4"/>
    <w:rsid w:val="006B096A"/>
    <w:rsid w:val="006B568E"/>
    <w:rsid w:val="006E4D7C"/>
    <w:rsid w:val="00711904"/>
    <w:rsid w:val="00716C49"/>
    <w:rsid w:val="0073347E"/>
    <w:rsid w:val="00740DAA"/>
    <w:rsid w:val="00750BF1"/>
    <w:rsid w:val="00785CEC"/>
    <w:rsid w:val="00787050"/>
    <w:rsid w:val="00792879"/>
    <w:rsid w:val="00797005"/>
    <w:rsid w:val="00801875"/>
    <w:rsid w:val="0083374A"/>
    <w:rsid w:val="00842B0D"/>
    <w:rsid w:val="00845897"/>
    <w:rsid w:val="008654C4"/>
    <w:rsid w:val="00870678"/>
    <w:rsid w:val="00880179"/>
    <w:rsid w:val="008806A6"/>
    <w:rsid w:val="0088164F"/>
    <w:rsid w:val="008E3525"/>
    <w:rsid w:val="008F544E"/>
    <w:rsid w:val="009273BB"/>
    <w:rsid w:val="009411B8"/>
    <w:rsid w:val="0094157E"/>
    <w:rsid w:val="009442C9"/>
    <w:rsid w:val="00950D58"/>
    <w:rsid w:val="0095216A"/>
    <w:rsid w:val="009553F9"/>
    <w:rsid w:val="00962DA9"/>
    <w:rsid w:val="009649D6"/>
    <w:rsid w:val="0098610F"/>
    <w:rsid w:val="009A17A0"/>
    <w:rsid w:val="009D0FCB"/>
    <w:rsid w:val="009D3F24"/>
    <w:rsid w:val="009D6DAC"/>
    <w:rsid w:val="00A17028"/>
    <w:rsid w:val="00A31C4B"/>
    <w:rsid w:val="00A65DEE"/>
    <w:rsid w:val="00A77B3E"/>
    <w:rsid w:val="00A90A1D"/>
    <w:rsid w:val="00A9220C"/>
    <w:rsid w:val="00AA1711"/>
    <w:rsid w:val="00AA76DA"/>
    <w:rsid w:val="00AB72B4"/>
    <w:rsid w:val="00AC7839"/>
    <w:rsid w:val="00AD232D"/>
    <w:rsid w:val="00AD2999"/>
    <w:rsid w:val="00AE56B8"/>
    <w:rsid w:val="00AF063C"/>
    <w:rsid w:val="00B078E1"/>
    <w:rsid w:val="00B35C6B"/>
    <w:rsid w:val="00B45A48"/>
    <w:rsid w:val="00B53E57"/>
    <w:rsid w:val="00B679CB"/>
    <w:rsid w:val="00B81B9C"/>
    <w:rsid w:val="00BB36EC"/>
    <w:rsid w:val="00BC454E"/>
    <w:rsid w:val="00BE2808"/>
    <w:rsid w:val="00C1279F"/>
    <w:rsid w:val="00C16887"/>
    <w:rsid w:val="00C21CBD"/>
    <w:rsid w:val="00C67EC3"/>
    <w:rsid w:val="00C76012"/>
    <w:rsid w:val="00C913F4"/>
    <w:rsid w:val="00C971E4"/>
    <w:rsid w:val="00CA2A55"/>
    <w:rsid w:val="00CD3763"/>
    <w:rsid w:val="00D26732"/>
    <w:rsid w:val="00D666D2"/>
    <w:rsid w:val="00DA6D6D"/>
    <w:rsid w:val="00DD3F21"/>
    <w:rsid w:val="00DD6BA4"/>
    <w:rsid w:val="00DE61FE"/>
    <w:rsid w:val="00DE6D5B"/>
    <w:rsid w:val="00DF3A50"/>
    <w:rsid w:val="00E10F07"/>
    <w:rsid w:val="00E175BC"/>
    <w:rsid w:val="00E366D7"/>
    <w:rsid w:val="00E47309"/>
    <w:rsid w:val="00E7303B"/>
    <w:rsid w:val="00E93A67"/>
    <w:rsid w:val="00EB53F1"/>
    <w:rsid w:val="00F03A1A"/>
    <w:rsid w:val="00F32328"/>
    <w:rsid w:val="00F42F93"/>
    <w:rsid w:val="00FA03ED"/>
    <w:rsid w:val="00FC3755"/>
    <w:rsid w:val="00FD5252"/>
    <w:rsid w:val="00FE1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F2C5C"/>
  <w15:docId w15:val="{1A465BDC-94A3-44A2-816C-A0283FEB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97005"/>
    <w:rPr>
      <w:sz w:val="21"/>
      <w:szCs w:val="21"/>
    </w:rPr>
  </w:style>
  <w:style w:type="paragraph" w:styleId="a4">
    <w:name w:val="annotation text"/>
    <w:basedOn w:val="a"/>
    <w:link w:val="a5"/>
    <w:rsid w:val="00797005"/>
  </w:style>
  <w:style w:type="character" w:customStyle="1" w:styleId="a5">
    <w:name w:val="批注文字 字符"/>
    <w:basedOn w:val="a0"/>
    <w:link w:val="a4"/>
    <w:rsid w:val="00797005"/>
    <w:rPr>
      <w:sz w:val="24"/>
      <w:szCs w:val="24"/>
    </w:rPr>
  </w:style>
  <w:style w:type="paragraph" w:styleId="a6">
    <w:name w:val="annotation subject"/>
    <w:basedOn w:val="a4"/>
    <w:next w:val="a4"/>
    <w:link w:val="a7"/>
    <w:rsid w:val="00797005"/>
    <w:rPr>
      <w:b/>
      <w:bCs/>
    </w:rPr>
  </w:style>
  <w:style w:type="character" w:customStyle="1" w:styleId="a7">
    <w:name w:val="批注主题 字符"/>
    <w:basedOn w:val="a5"/>
    <w:link w:val="a6"/>
    <w:rsid w:val="00797005"/>
    <w:rPr>
      <w:b/>
      <w:bCs/>
      <w:sz w:val="24"/>
      <w:szCs w:val="24"/>
    </w:rPr>
  </w:style>
  <w:style w:type="paragraph" w:styleId="a8">
    <w:name w:val="Balloon Text"/>
    <w:basedOn w:val="a"/>
    <w:link w:val="a9"/>
    <w:rsid w:val="00797005"/>
    <w:rPr>
      <w:sz w:val="18"/>
      <w:szCs w:val="18"/>
    </w:rPr>
  </w:style>
  <w:style w:type="character" w:customStyle="1" w:styleId="a9">
    <w:name w:val="批注框文本 字符"/>
    <w:basedOn w:val="a0"/>
    <w:link w:val="a8"/>
    <w:rsid w:val="00797005"/>
    <w:rPr>
      <w:sz w:val="18"/>
      <w:szCs w:val="18"/>
    </w:rPr>
  </w:style>
  <w:style w:type="paragraph" w:styleId="aa">
    <w:name w:val="footer"/>
    <w:basedOn w:val="a"/>
    <w:link w:val="ab"/>
    <w:uiPriority w:val="99"/>
    <w:rsid w:val="00C67EC3"/>
    <w:pPr>
      <w:tabs>
        <w:tab w:val="center" w:pos="4153"/>
        <w:tab w:val="right" w:pos="8306"/>
      </w:tabs>
      <w:snapToGrid w:val="0"/>
    </w:pPr>
    <w:rPr>
      <w:sz w:val="18"/>
      <w:szCs w:val="18"/>
    </w:rPr>
  </w:style>
  <w:style w:type="character" w:customStyle="1" w:styleId="ab">
    <w:name w:val="页脚 字符"/>
    <w:basedOn w:val="a0"/>
    <w:link w:val="aa"/>
    <w:uiPriority w:val="99"/>
    <w:rsid w:val="00C67EC3"/>
    <w:rPr>
      <w:sz w:val="18"/>
      <w:szCs w:val="18"/>
    </w:rPr>
  </w:style>
  <w:style w:type="paragraph" w:styleId="ac">
    <w:name w:val="header"/>
    <w:basedOn w:val="a"/>
    <w:link w:val="ad"/>
    <w:rsid w:val="00C67EC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67EC3"/>
    <w:rPr>
      <w:sz w:val="18"/>
      <w:szCs w:val="18"/>
    </w:rPr>
  </w:style>
  <w:style w:type="character" w:styleId="ae">
    <w:name w:val="page number"/>
    <w:basedOn w:val="a0"/>
    <w:rsid w:val="00C67EC3"/>
  </w:style>
  <w:style w:type="table" w:styleId="af">
    <w:name w:val="Table Grid"/>
    <w:basedOn w:val="a1"/>
    <w:uiPriority w:val="59"/>
    <w:rsid w:val="00C67EC3"/>
    <w:rPr>
      <w:rFonts w:ascii="Arial" w:eastAsia="Calibri" w:hAnsi="Arial"/>
      <w:sz w:val="24"/>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C3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8290-4E4D-4C68-A01C-1DEAC69F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7615</Words>
  <Characters>43410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2020-09-22T12:31:00Z</dcterms:created>
  <dcterms:modified xsi:type="dcterms:W3CDTF">2020-09-24T09:18:00Z</dcterms:modified>
</cp:coreProperties>
</file>