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DC82E"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 xml:space="preserve">Name of Journal: </w:t>
      </w:r>
      <w:r w:rsidRPr="00074CC2">
        <w:rPr>
          <w:rFonts w:ascii="Book Antiqua" w:eastAsia="Book Antiqua" w:hAnsi="Book Antiqua" w:cs="Book Antiqua"/>
          <w:i/>
          <w:color w:val="000000"/>
        </w:rPr>
        <w:t>World Journal of Clinical Cases</w:t>
      </w:r>
    </w:p>
    <w:p w14:paraId="2DF550F9"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 xml:space="preserve">Manuscript NO: </w:t>
      </w:r>
      <w:r w:rsidRPr="00074CC2">
        <w:rPr>
          <w:rFonts w:ascii="Book Antiqua" w:eastAsia="Book Antiqua" w:hAnsi="Book Antiqua" w:cs="Book Antiqua"/>
          <w:color w:val="000000"/>
        </w:rPr>
        <w:t>56435</w:t>
      </w:r>
    </w:p>
    <w:p w14:paraId="37302624"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 xml:space="preserve">Manuscript Type: </w:t>
      </w:r>
      <w:r w:rsidRPr="00074CC2">
        <w:rPr>
          <w:rFonts w:ascii="Book Antiqua" w:eastAsia="Book Antiqua" w:hAnsi="Book Antiqua" w:cs="Book Antiqua"/>
          <w:color w:val="000000"/>
        </w:rPr>
        <w:t>ORIGINAL ARTICLE</w:t>
      </w:r>
    </w:p>
    <w:p w14:paraId="4D340A12" w14:textId="77777777" w:rsidR="00A77B3E" w:rsidRPr="00074CC2" w:rsidRDefault="00A77B3E" w:rsidP="00E842BB">
      <w:pPr>
        <w:snapToGrid w:val="0"/>
        <w:spacing w:line="360" w:lineRule="auto"/>
        <w:jc w:val="both"/>
        <w:rPr>
          <w:rFonts w:ascii="Book Antiqua" w:hAnsi="Book Antiqua"/>
        </w:rPr>
      </w:pPr>
    </w:p>
    <w:p w14:paraId="607329F5"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i/>
          <w:color w:val="000000"/>
        </w:rPr>
        <w:t>Retrospective Cohort Study</w:t>
      </w:r>
    </w:p>
    <w:p w14:paraId="3D1D788A"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Oncological impact of different distal ureter managements during radical nephroureterectomy for primary upper urinary tract urothelial carcinoma</w:t>
      </w:r>
    </w:p>
    <w:p w14:paraId="2EA62C7C" w14:textId="77777777" w:rsidR="00A77B3E" w:rsidRPr="00074CC2" w:rsidRDefault="00A77B3E" w:rsidP="00E842BB">
      <w:pPr>
        <w:snapToGrid w:val="0"/>
        <w:spacing w:line="360" w:lineRule="auto"/>
        <w:jc w:val="both"/>
        <w:rPr>
          <w:rFonts w:ascii="Book Antiqua" w:hAnsi="Book Antiqua"/>
        </w:rPr>
      </w:pPr>
    </w:p>
    <w:p w14:paraId="38056F88"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Lai SC </w:t>
      </w:r>
      <w:r w:rsidRPr="00074CC2">
        <w:rPr>
          <w:rFonts w:ascii="Book Antiqua" w:eastAsia="Book Antiqua" w:hAnsi="Book Antiqua" w:cs="Book Antiqua"/>
          <w:i/>
          <w:iCs/>
          <w:color w:val="000000"/>
        </w:rPr>
        <w:t>et al</w:t>
      </w:r>
      <w:r w:rsidRPr="00074CC2">
        <w:rPr>
          <w:rFonts w:ascii="Book Antiqua" w:eastAsia="Book Antiqua" w:hAnsi="Book Antiqua" w:cs="Book Antiqua"/>
          <w:color w:val="000000"/>
        </w:rPr>
        <w:t>. Impact of distal ureter managements on primary UTUC</w:t>
      </w:r>
    </w:p>
    <w:p w14:paraId="4394901E" w14:textId="77777777" w:rsidR="00A77B3E" w:rsidRPr="00074CC2" w:rsidRDefault="00A77B3E" w:rsidP="00E842BB">
      <w:pPr>
        <w:snapToGrid w:val="0"/>
        <w:spacing w:line="360" w:lineRule="auto"/>
        <w:jc w:val="both"/>
        <w:rPr>
          <w:rFonts w:ascii="Book Antiqua" w:hAnsi="Book Antiqua"/>
        </w:rPr>
      </w:pPr>
    </w:p>
    <w:p w14:paraId="3569B554" w14:textId="1BD11E10"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Shi-Cong Lai, Peng</w:t>
      </w:r>
      <w:r w:rsidR="00935012" w:rsidRPr="00074CC2">
        <w:rPr>
          <w:rFonts w:ascii="Book Antiqua" w:eastAsia="Book Antiqua" w:hAnsi="Book Antiqua" w:cs="Book Antiqua"/>
          <w:color w:val="000000"/>
        </w:rPr>
        <w:t xml:space="preserve">-Jie </w:t>
      </w:r>
      <w:r w:rsidRPr="00074CC2">
        <w:rPr>
          <w:rFonts w:ascii="Book Antiqua" w:eastAsia="Book Antiqua" w:hAnsi="Book Antiqua" w:cs="Book Antiqua"/>
          <w:color w:val="000000"/>
        </w:rPr>
        <w:t>Wu, Jian</w:t>
      </w:r>
      <w:r w:rsidR="00935012" w:rsidRPr="00074CC2">
        <w:rPr>
          <w:rFonts w:ascii="Book Antiqua" w:eastAsia="Book Antiqua" w:hAnsi="Book Antiqua" w:cs="Book Antiqua"/>
          <w:color w:val="000000"/>
        </w:rPr>
        <w:t xml:space="preserve">-Yong </w:t>
      </w:r>
      <w:r w:rsidRPr="00074CC2">
        <w:rPr>
          <w:rFonts w:ascii="Book Antiqua" w:eastAsia="Book Antiqua" w:hAnsi="Book Antiqua" w:cs="Book Antiqua"/>
          <w:color w:val="000000"/>
        </w:rPr>
        <w:t>Liu, Samuel Seery, Sheng</w:t>
      </w:r>
      <w:r w:rsidR="00935012" w:rsidRPr="00074CC2">
        <w:rPr>
          <w:rFonts w:ascii="Book Antiqua" w:eastAsia="Book Antiqua" w:hAnsi="Book Antiqua" w:cs="Book Antiqua"/>
          <w:color w:val="000000"/>
        </w:rPr>
        <w:t xml:space="preserve">-Jie </w:t>
      </w:r>
      <w:r w:rsidRPr="00074CC2">
        <w:rPr>
          <w:rFonts w:ascii="Book Antiqua" w:eastAsia="Book Antiqua" w:hAnsi="Book Antiqua" w:cs="Book Antiqua"/>
          <w:color w:val="000000"/>
        </w:rPr>
        <w:t>Liu, Xing</w:t>
      </w:r>
      <w:r w:rsidR="00935012" w:rsidRPr="00074CC2">
        <w:rPr>
          <w:rFonts w:ascii="Book Antiqua" w:eastAsia="Book Antiqua" w:hAnsi="Book Antiqua" w:cs="Book Antiqua"/>
          <w:color w:val="000000"/>
        </w:rPr>
        <w:t xml:space="preserve">-Bo </w:t>
      </w:r>
      <w:r w:rsidRPr="00074CC2">
        <w:rPr>
          <w:rFonts w:ascii="Book Antiqua" w:eastAsia="Book Antiqua" w:hAnsi="Book Antiqua" w:cs="Book Antiqua"/>
          <w:color w:val="000000"/>
        </w:rPr>
        <w:t>Long, Ming Liu, Jian-Ye Wang</w:t>
      </w:r>
    </w:p>
    <w:p w14:paraId="335E169B" w14:textId="77777777" w:rsidR="00A77B3E" w:rsidRPr="00074CC2" w:rsidRDefault="00A77B3E" w:rsidP="00E842BB">
      <w:pPr>
        <w:snapToGrid w:val="0"/>
        <w:spacing w:line="360" w:lineRule="auto"/>
        <w:jc w:val="both"/>
        <w:rPr>
          <w:rFonts w:ascii="Book Antiqua" w:hAnsi="Book Antiqua"/>
        </w:rPr>
      </w:pPr>
    </w:p>
    <w:p w14:paraId="3B960FE6" w14:textId="6FF11FAC" w:rsidR="00A77B3E" w:rsidRPr="00074CC2" w:rsidRDefault="00CC0C82" w:rsidP="00E842BB">
      <w:pPr>
        <w:snapToGrid w:val="0"/>
        <w:spacing w:line="360" w:lineRule="auto"/>
        <w:jc w:val="both"/>
        <w:rPr>
          <w:rFonts w:ascii="Book Antiqua" w:hAnsi="Book Antiqua"/>
        </w:rPr>
      </w:pPr>
      <w:bookmarkStart w:id="0" w:name="_Hlk51343031"/>
      <w:r w:rsidRPr="00074CC2">
        <w:rPr>
          <w:rFonts w:ascii="Book Antiqua" w:eastAsia="Book Antiqua" w:hAnsi="Book Antiqua" w:cs="Book Antiqua"/>
          <w:b/>
          <w:bCs/>
          <w:color w:val="000000"/>
        </w:rPr>
        <w:t xml:space="preserve">Shi-Cong Lai, </w:t>
      </w:r>
      <w:bookmarkEnd w:id="0"/>
      <w:r w:rsidRPr="00074CC2">
        <w:rPr>
          <w:rFonts w:ascii="Book Antiqua" w:eastAsia="Book Antiqua" w:hAnsi="Book Antiqua" w:cs="Book Antiqua"/>
          <w:b/>
          <w:bCs/>
          <w:color w:val="000000"/>
        </w:rPr>
        <w:t>Peng</w:t>
      </w:r>
      <w:r w:rsidR="00935012" w:rsidRPr="00074CC2">
        <w:rPr>
          <w:rFonts w:ascii="Book Antiqua" w:eastAsia="Book Antiqua" w:hAnsi="Book Antiqua" w:cs="Book Antiqua"/>
          <w:b/>
          <w:bCs/>
          <w:color w:val="000000"/>
        </w:rPr>
        <w:t xml:space="preserve">-Jie </w:t>
      </w:r>
      <w:r w:rsidRPr="00074CC2">
        <w:rPr>
          <w:rFonts w:ascii="Book Antiqua" w:eastAsia="Book Antiqua" w:hAnsi="Book Antiqua" w:cs="Book Antiqua"/>
          <w:b/>
          <w:bCs/>
          <w:color w:val="000000"/>
        </w:rPr>
        <w:t>Wu, Jian</w:t>
      </w:r>
      <w:r w:rsidR="00935012" w:rsidRPr="00074CC2">
        <w:rPr>
          <w:rFonts w:ascii="Book Antiqua" w:eastAsia="Book Antiqua" w:hAnsi="Book Antiqua" w:cs="Book Antiqua"/>
          <w:b/>
          <w:bCs/>
          <w:color w:val="000000"/>
        </w:rPr>
        <w:t xml:space="preserve">-Yong </w:t>
      </w:r>
      <w:r w:rsidRPr="00074CC2">
        <w:rPr>
          <w:rFonts w:ascii="Book Antiqua" w:eastAsia="Book Antiqua" w:hAnsi="Book Antiqua" w:cs="Book Antiqua"/>
          <w:b/>
          <w:bCs/>
          <w:color w:val="000000"/>
        </w:rPr>
        <w:t>Liu, Sheng</w:t>
      </w:r>
      <w:r w:rsidR="00935012" w:rsidRPr="00074CC2">
        <w:rPr>
          <w:rFonts w:ascii="Book Antiqua" w:eastAsia="Book Antiqua" w:hAnsi="Book Antiqua" w:cs="Book Antiqua"/>
          <w:b/>
          <w:bCs/>
          <w:color w:val="000000"/>
        </w:rPr>
        <w:t xml:space="preserve">-Jie </w:t>
      </w:r>
      <w:r w:rsidRPr="00074CC2">
        <w:rPr>
          <w:rFonts w:ascii="Book Antiqua" w:eastAsia="Book Antiqua" w:hAnsi="Book Antiqua" w:cs="Book Antiqua"/>
          <w:b/>
          <w:bCs/>
          <w:color w:val="000000"/>
        </w:rPr>
        <w:t>Liu,</w:t>
      </w:r>
      <w:bookmarkStart w:id="1" w:name="_Hlk51343062"/>
      <w:r w:rsidRPr="00074CC2">
        <w:rPr>
          <w:rFonts w:ascii="Book Antiqua" w:eastAsia="Book Antiqua" w:hAnsi="Book Antiqua" w:cs="Book Antiqua"/>
          <w:b/>
          <w:bCs/>
          <w:color w:val="000000"/>
        </w:rPr>
        <w:t xml:space="preserve"> Xing</w:t>
      </w:r>
      <w:r w:rsidR="00935012" w:rsidRPr="00074CC2">
        <w:rPr>
          <w:rFonts w:ascii="Book Antiqua" w:eastAsia="Book Antiqua" w:hAnsi="Book Antiqua" w:cs="Book Antiqua"/>
          <w:b/>
          <w:bCs/>
          <w:color w:val="000000"/>
        </w:rPr>
        <w:t xml:space="preserve">-Bo </w:t>
      </w:r>
      <w:r w:rsidRPr="00074CC2">
        <w:rPr>
          <w:rFonts w:ascii="Book Antiqua" w:eastAsia="Book Antiqua" w:hAnsi="Book Antiqua" w:cs="Book Antiqua"/>
          <w:b/>
          <w:bCs/>
          <w:color w:val="000000"/>
        </w:rPr>
        <w:t xml:space="preserve">Long, </w:t>
      </w:r>
      <w:bookmarkEnd w:id="1"/>
      <w:r w:rsidR="00A61E07" w:rsidRPr="00074CC2">
        <w:rPr>
          <w:rFonts w:ascii="Book Antiqua" w:eastAsia="Book Antiqua" w:hAnsi="Book Antiqua" w:cs="Book Antiqua"/>
          <w:b/>
          <w:bCs/>
          <w:color w:val="000000"/>
        </w:rPr>
        <w:t>M</w:t>
      </w:r>
      <w:r w:rsidR="00A61E07" w:rsidRPr="00074CC2">
        <w:rPr>
          <w:rFonts w:ascii="Book Antiqua" w:hAnsi="Book Antiqua" w:cs="Book Antiqua"/>
          <w:b/>
          <w:bCs/>
          <w:color w:val="000000"/>
          <w:lang w:eastAsia="zh-CN"/>
        </w:rPr>
        <w:t>ing</w:t>
      </w:r>
      <w:r w:rsidR="00A61E07" w:rsidRPr="00074CC2">
        <w:rPr>
          <w:rFonts w:ascii="Book Antiqua" w:eastAsia="Book Antiqua" w:hAnsi="Book Antiqua" w:cs="Book Antiqua"/>
          <w:b/>
          <w:bCs/>
          <w:color w:val="000000"/>
        </w:rPr>
        <w:t xml:space="preserve"> Liu, </w:t>
      </w:r>
      <w:bookmarkStart w:id="2" w:name="_Hlk51343072"/>
      <w:r w:rsidRPr="00074CC2">
        <w:rPr>
          <w:rFonts w:ascii="Book Antiqua" w:eastAsia="Book Antiqua" w:hAnsi="Book Antiqua" w:cs="Book Antiqua"/>
          <w:b/>
          <w:bCs/>
          <w:color w:val="000000"/>
        </w:rPr>
        <w:t xml:space="preserve">Jian-Ye Wang, </w:t>
      </w:r>
      <w:bookmarkEnd w:id="2"/>
      <w:r w:rsidRPr="00074CC2">
        <w:rPr>
          <w:rFonts w:ascii="Book Antiqua" w:eastAsia="Book Antiqua" w:hAnsi="Book Antiqua" w:cs="Book Antiqua"/>
          <w:color w:val="000000"/>
        </w:rPr>
        <w:t xml:space="preserve">Department of Urology, </w:t>
      </w:r>
      <w:bookmarkStart w:id="3" w:name="OLE_LINK53"/>
      <w:bookmarkStart w:id="4" w:name="OLE_LINK54"/>
      <w:r w:rsidRPr="00074CC2">
        <w:rPr>
          <w:rFonts w:ascii="Book Antiqua" w:eastAsia="Book Antiqua" w:hAnsi="Book Antiqua" w:cs="Book Antiqua"/>
          <w:color w:val="000000"/>
        </w:rPr>
        <w:t xml:space="preserve">Beijing Hospital, National Center of Gerontology, </w:t>
      </w:r>
      <w:r w:rsidR="00A61E07" w:rsidRPr="00074CC2">
        <w:rPr>
          <w:rFonts w:ascii="Book Antiqua" w:eastAsia="Book Antiqua" w:hAnsi="Book Antiqua" w:cs="Book Antiqua"/>
          <w:bCs/>
          <w:color w:val="000000"/>
        </w:rPr>
        <w:t>Institute of Geriatric Medicine, Chinese Academy of Medical Sciences</w:t>
      </w:r>
      <w:bookmarkEnd w:id="3"/>
      <w:bookmarkEnd w:id="4"/>
      <w:r w:rsidR="00A61E07" w:rsidRPr="00074CC2">
        <w:rPr>
          <w:rFonts w:ascii="Book Antiqua" w:eastAsia="Book Antiqua" w:hAnsi="Book Antiqua" w:cs="Book Antiqua"/>
          <w:bCs/>
          <w:color w:val="000000"/>
        </w:rPr>
        <w:t xml:space="preserve">, </w:t>
      </w:r>
      <w:r w:rsidRPr="00074CC2">
        <w:rPr>
          <w:rFonts w:ascii="Book Antiqua" w:eastAsia="Book Antiqua" w:hAnsi="Book Antiqua" w:cs="Book Antiqua"/>
          <w:color w:val="000000"/>
        </w:rPr>
        <w:t>Beijing 100730, China</w:t>
      </w:r>
    </w:p>
    <w:p w14:paraId="18A9E043" w14:textId="77777777" w:rsidR="00A77B3E" w:rsidRPr="00074CC2" w:rsidRDefault="00A77B3E" w:rsidP="00E842BB">
      <w:pPr>
        <w:snapToGrid w:val="0"/>
        <w:spacing w:line="360" w:lineRule="auto"/>
        <w:jc w:val="both"/>
        <w:rPr>
          <w:rFonts w:ascii="Book Antiqua" w:hAnsi="Book Antiqua"/>
        </w:rPr>
      </w:pPr>
    </w:p>
    <w:p w14:paraId="480D2CA7" w14:textId="02AB85B5" w:rsidR="00A77B3E" w:rsidRPr="00074CC2" w:rsidRDefault="00A61E07" w:rsidP="00E842BB">
      <w:pPr>
        <w:snapToGrid w:val="0"/>
        <w:spacing w:line="360" w:lineRule="auto"/>
        <w:jc w:val="both"/>
        <w:rPr>
          <w:rFonts w:ascii="Book Antiqua" w:eastAsia="Book Antiqua" w:hAnsi="Book Antiqua" w:cs="Book Antiqua"/>
          <w:color w:val="000000"/>
        </w:rPr>
      </w:pPr>
      <w:r w:rsidRPr="00074CC2">
        <w:rPr>
          <w:rFonts w:ascii="Book Antiqua" w:eastAsia="Book Antiqua" w:hAnsi="Book Antiqua" w:cs="Book Antiqua"/>
          <w:b/>
          <w:bCs/>
          <w:color w:val="000000"/>
        </w:rPr>
        <w:t xml:space="preserve">Shi-Cong Lai, Jian-Yong Liu, Xing-Bo Long, </w:t>
      </w:r>
      <w:r w:rsidR="00CC0C82" w:rsidRPr="00074CC2">
        <w:rPr>
          <w:rFonts w:ascii="Book Antiqua" w:eastAsia="Book Antiqua" w:hAnsi="Book Antiqua" w:cs="Book Antiqua"/>
          <w:b/>
          <w:bCs/>
          <w:color w:val="000000"/>
        </w:rPr>
        <w:t xml:space="preserve">Ming Liu, </w:t>
      </w:r>
      <w:r w:rsidRPr="00074CC2">
        <w:rPr>
          <w:rFonts w:ascii="Book Antiqua" w:eastAsia="Book Antiqua" w:hAnsi="Book Antiqua" w:cs="Book Antiqua"/>
          <w:b/>
          <w:bCs/>
          <w:color w:val="000000"/>
        </w:rPr>
        <w:t xml:space="preserve">Jian-Ye Wang, </w:t>
      </w:r>
      <w:bookmarkStart w:id="5" w:name="OLE_LINK55"/>
      <w:bookmarkStart w:id="6" w:name="OLE_LINK56"/>
      <w:r w:rsidRPr="00074CC2">
        <w:rPr>
          <w:rFonts w:ascii="Book Antiqua" w:eastAsia="宋体" w:hAnsi="Book Antiqua"/>
          <w:bCs/>
          <w:kern w:val="36"/>
        </w:rPr>
        <w:t>Graduate School of Peking Union Medical College and Chinese Academy of Medical Sciences</w:t>
      </w:r>
      <w:bookmarkEnd w:id="5"/>
      <w:bookmarkEnd w:id="6"/>
      <w:r w:rsidR="00CC0C82" w:rsidRPr="00074CC2">
        <w:rPr>
          <w:rFonts w:ascii="Book Antiqua" w:eastAsia="Book Antiqua" w:hAnsi="Book Antiqua" w:cs="Book Antiqua"/>
          <w:color w:val="000000"/>
        </w:rPr>
        <w:t>, Beijing 100730, China</w:t>
      </w:r>
    </w:p>
    <w:p w14:paraId="0935134D" w14:textId="54321A56" w:rsidR="00B6292A" w:rsidRPr="00074CC2" w:rsidRDefault="00B6292A" w:rsidP="00E842BB">
      <w:pPr>
        <w:snapToGrid w:val="0"/>
        <w:spacing w:line="360" w:lineRule="auto"/>
        <w:jc w:val="both"/>
        <w:rPr>
          <w:rFonts w:ascii="Book Antiqua" w:eastAsia="Book Antiqua" w:hAnsi="Book Antiqua" w:cs="Book Antiqua"/>
          <w:color w:val="000000"/>
        </w:rPr>
      </w:pPr>
    </w:p>
    <w:p w14:paraId="43395736" w14:textId="77777777" w:rsidR="00B6292A" w:rsidRPr="00074CC2" w:rsidRDefault="00B6292A" w:rsidP="00B6292A">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Samuel Seery, </w:t>
      </w:r>
      <w:r w:rsidRPr="00074CC2">
        <w:rPr>
          <w:rFonts w:ascii="Book Antiqua" w:eastAsia="Book Antiqua" w:hAnsi="Book Antiqua" w:cs="Book Antiqua"/>
          <w:color w:val="000000"/>
        </w:rPr>
        <w:t>School of Humanities and Social Sciences, Chinese Academy of Medical Sciences and Peking Union Medical College, Beijing 100730, China</w:t>
      </w:r>
    </w:p>
    <w:p w14:paraId="3C76D2FE" w14:textId="77777777" w:rsidR="00A77B3E" w:rsidRPr="00074CC2" w:rsidRDefault="00A77B3E" w:rsidP="00E842BB">
      <w:pPr>
        <w:snapToGrid w:val="0"/>
        <w:spacing w:line="360" w:lineRule="auto"/>
        <w:jc w:val="both"/>
        <w:rPr>
          <w:rFonts w:ascii="Book Antiqua" w:hAnsi="Book Antiqua"/>
          <w:lang w:eastAsia="zh-CN"/>
        </w:rPr>
      </w:pPr>
    </w:p>
    <w:p w14:paraId="35892953" w14:textId="515D426A"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Author contributions: </w:t>
      </w:r>
      <w:r w:rsidRPr="00074CC2">
        <w:rPr>
          <w:rFonts w:ascii="Book Antiqua" w:eastAsia="Book Antiqua" w:hAnsi="Book Antiqua" w:cs="Book Antiqua"/>
          <w:color w:val="000000"/>
        </w:rPr>
        <w:t>Lai SC, Wu PJ</w:t>
      </w:r>
      <w:r w:rsidR="003B1D7C"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and Wang JY designed the study; Lai SC, Wu PJ, Liu JY, Liu SJ</w:t>
      </w:r>
      <w:r w:rsidR="003B1D7C"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and Long XB participated in collecting the data; Lai SC and Wu PJ partic</w:t>
      </w:r>
      <w:r w:rsidR="00935012" w:rsidRPr="00074CC2">
        <w:rPr>
          <w:rFonts w:ascii="Book Antiqua" w:eastAsia="Book Antiqua" w:hAnsi="Book Antiqua" w:cs="Book Antiqua"/>
          <w:color w:val="000000"/>
        </w:rPr>
        <w:t>ipated in interpreting the data;</w:t>
      </w:r>
      <w:r w:rsidRPr="00074CC2">
        <w:rPr>
          <w:rFonts w:ascii="Book Antiqua" w:eastAsia="Book Antiqua" w:hAnsi="Book Antiqua" w:cs="Book Antiqua"/>
          <w:color w:val="000000"/>
        </w:rPr>
        <w:t xml:space="preserve"> Lai SC and Seery </w:t>
      </w:r>
      <w:r w:rsidR="00935012" w:rsidRPr="00074CC2">
        <w:rPr>
          <w:rFonts w:ascii="Book Antiqua" w:eastAsia="Book Antiqua" w:hAnsi="Book Antiqua" w:cs="Book Antiqua"/>
          <w:color w:val="000000"/>
        </w:rPr>
        <w:t xml:space="preserve">S drafted and revised </w:t>
      </w:r>
      <w:r w:rsidR="00935012" w:rsidRPr="00074CC2">
        <w:rPr>
          <w:rFonts w:ascii="Book Antiqua" w:eastAsia="Book Antiqua" w:hAnsi="Book Antiqua" w:cs="Book Antiqua"/>
          <w:color w:val="000000"/>
        </w:rPr>
        <w:lastRenderedPageBreak/>
        <w:t>the paper;</w:t>
      </w:r>
      <w:r w:rsidRPr="00074CC2">
        <w:rPr>
          <w:rFonts w:ascii="Book Antiqua" w:eastAsia="Book Antiqua" w:hAnsi="Book Antiqua" w:cs="Book Antiqua"/>
          <w:color w:val="000000"/>
        </w:rPr>
        <w:t xml:space="preserve"> Liu M and Wang JY participated in critical</w:t>
      </w:r>
      <w:r w:rsidR="003B1D7C" w:rsidRPr="00074CC2">
        <w:rPr>
          <w:rFonts w:ascii="Book Antiqua" w:eastAsia="Book Antiqua" w:hAnsi="Book Antiqua" w:cs="Book Antiqua"/>
          <w:color w:val="000000"/>
        </w:rPr>
        <w:t xml:space="preserve">ly </w:t>
      </w:r>
      <w:r w:rsidRPr="00074CC2">
        <w:rPr>
          <w:rFonts w:ascii="Book Antiqua" w:eastAsia="Book Antiqua" w:hAnsi="Book Antiqua" w:cs="Book Antiqua"/>
          <w:color w:val="000000"/>
        </w:rPr>
        <w:t>reviewing the paper</w:t>
      </w:r>
      <w:r w:rsidR="00B6292A"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w:t>
      </w:r>
      <w:r w:rsidR="003B1D7C" w:rsidRPr="00074CC2">
        <w:rPr>
          <w:rFonts w:ascii="Book Antiqua" w:eastAsia="Book Antiqua" w:hAnsi="Book Antiqua" w:cs="Book Antiqua"/>
          <w:color w:val="000000"/>
        </w:rPr>
        <w:t>A</w:t>
      </w:r>
      <w:r w:rsidRPr="00074CC2">
        <w:rPr>
          <w:rFonts w:ascii="Book Antiqua" w:eastAsia="Book Antiqua" w:hAnsi="Book Antiqua" w:cs="Book Antiqua"/>
          <w:color w:val="000000"/>
        </w:rPr>
        <w:t>ll authors read and approved the final manuscript.</w:t>
      </w:r>
    </w:p>
    <w:p w14:paraId="6A0320D4" w14:textId="77777777" w:rsidR="00A77B3E" w:rsidRPr="00074CC2" w:rsidRDefault="00A77B3E" w:rsidP="00E842BB">
      <w:pPr>
        <w:snapToGrid w:val="0"/>
        <w:spacing w:line="360" w:lineRule="auto"/>
        <w:jc w:val="both"/>
        <w:rPr>
          <w:rFonts w:ascii="Book Antiqua" w:hAnsi="Book Antiqua"/>
        </w:rPr>
      </w:pPr>
    </w:p>
    <w:p w14:paraId="150F5064" w14:textId="465AFFCD"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Supported by</w:t>
      </w:r>
      <w:r w:rsidR="00935012" w:rsidRPr="00074CC2">
        <w:rPr>
          <w:rFonts w:ascii="Book Antiqua" w:eastAsia="Book Antiqua" w:hAnsi="Book Antiqua" w:cs="Book Antiqua"/>
          <w:b/>
          <w:bCs/>
          <w:color w:val="000000"/>
        </w:rPr>
        <w:t xml:space="preserve"> </w:t>
      </w:r>
      <w:bookmarkStart w:id="7" w:name="OLE_LINK8"/>
      <w:r w:rsidRPr="00074CC2">
        <w:rPr>
          <w:rFonts w:ascii="Book Antiqua" w:eastAsia="Book Antiqua" w:hAnsi="Book Antiqua" w:cs="Book Antiqua"/>
          <w:color w:val="000000"/>
        </w:rPr>
        <w:t>the Capital Clinical Characteristics Applications Research Program</w:t>
      </w:r>
      <w:r w:rsidR="00562CB2" w:rsidRPr="00074CC2">
        <w:rPr>
          <w:rFonts w:ascii="Book Antiqua" w:hAnsi="Book Antiqua" w:cs="Book Antiqua"/>
          <w:color w:val="000000"/>
          <w:lang w:eastAsia="zh-CN"/>
        </w:rPr>
        <w:t>,</w:t>
      </w:r>
      <w:r w:rsidRPr="00074CC2">
        <w:rPr>
          <w:rFonts w:ascii="Book Antiqua" w:eastAsia="Book Antiqua" w:hAnsi="Book Antiqua" w:cs="Book Antiqua"/>
          <w:color w:val="000000"/>
        </w:rPr>
        <w:t xml:space="preserve"> </w:t>
      </w:r>
      <w:r w:rsidR="00562CB2" w:rsidRPr="00074CC2">
        <w:rPr>
          <w:rFonts w:ascii="Book Antiqua" w:eastAsia="Book Antiqua" w:hAnsi="Book Antiqua" w:cs="Book Antiqua"/>
          <w:color w:val="000000"/>
        </w:rPr>
        <w:t>No. Z171100001017201</w:t>
      </w:r>
      <w:r w:rsidRPr="00074CC2">
        <w:rPr>
          <w:rFonts w:ascii="Book Antiqua" w:eastAsia="Book Antiqua" w:hAnsi="Book Antiqua" w:cs="Book Antiqua"/>
          <w:color w:val="000000"/>
        </w:rPr>
        <w:t>; the Beijing Hospital Clinical Research 121 Project</w:t>
      </w:r>
      <w:r w:rsidR="00562CB2"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w:t>
      </w:r>
      <w:r w:rsidR="00562CB2" w:rsidRPr="00074CC2">
        <w:rPr>
          <w:rFonts w:ascii="Book Antiqua" w:eastAsia="Book Antiqua" w:hAnsi="Book Antiqua" w:cs="Book Antiqua"/>
          <w:color w:val="000000"/>
        </w:rPr>
        <w:t>No. BJ-2018-090</w:t>
      </w:r>
      <w:r w:rsidRPr="00074CC2">
        <w:rPr>
          <w:rFonts w:ascii="Book Antiqua" w:eastAsia="Book Antiqua" w:hAnsi="Book Antiqua" w:cs="Book Antiqua"/>
          <w:color w:val="000000"/>
        </w:rPr>
        <w:t>; and the Beijing Hospital Clinical Research</w:t>
      </w:r>
      <w:r w:rsidR="00562CB2"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w:t>
      </w:r>
      <w:r w:rsidR="00562CB2" w:rsidRPr="00074CC2">
        <w:rPr>
          <w:rFonts w:ascii="Book Antiqua" w:eastAsia="Book Antiqua" w:hAnsi="Book Antiqua" w:cs="Book Antiqua"/>
          <w:color w:val="000000"/>
        </w:rPr>
        <w:t>No. BJ-2015-098</w:t>
      </w:r>
      <w:r w:rsidRPr="00074CC2">
        <w:rPr>
          <w:rFonts w:ascii="Book Antiqua" w:eastAsia="Book Antiqua" w:hAnsi="Book Antiqua" w:cs="Book Antiqua"/>
          <w:color w:val="000000"/>
        </w:rPr>
        <w:t>.</w:t>
      </w:r>
    </w:p>
    <w:bookmarkEnd w:id="7"/>
    <w:p w14:paraId="078BCAF9" w14:textId="77777777" w:rsidR="00A77B3E" w:rsidRPr="00074CC2" w:rsidRDefault="00A77B3E" w:rsidP="00E842BB">
      <w:pPr>
        <w:snapToGrid w:val="0"/>
        <w:spacing w:line="360" w:lineRule="auto"/>
        <w:jc w:val="both"/>
        <w:rPr>
          <w:rFonts w:ascii="Book Antiqua" w:hAnsi="Book Antiqua"/>
        </w:rPr>
      </w:pPr>
    </w:p>
    <w:p w14:paraId="18F6603E" w14:textId="7F984743"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Corresponding author: Jian-Ye Wang, MD, Professor, Surgeon, Surgical Oncologist, </w:t>
      </w:r>
      <w:r w:rsidRPr="00074CC2">
        <w:rPr>
          <w:rFonts w:ascii="Book Antiqua" w:eastAsia="Book Antiqua" w:hAnsi="Book Antiqua" w:cs="Book Antiqua"/>
          <w:color w:val="000000"/>
        </w:rPr>
        <w:t>Department of Urology, Beijing Hospital, National Center of Gerontology,</w:t>
      </w:r>
      <w:r w:rsidR="00C33636" w:rsidRPr="00074CC2">
        <w:rPr>
          <w:rFonts w:ascii="Book Antiqua" w:eastAsia="宋体" w:hAnsi="Book Antiqua"/>
          <w:bCs/>
          <w:kern w:val="36"/>
        </w:rPr>
        <w:t xml:space="preserve"> </w:t>
      </w:r>
      <w:r w:rsidR="00C33636" w:rsidRPr="00074CC2">
        <w:rPr>
          <w:rFonts w:ascii="Book Antiqua" w:eastAsia="Book Antiqua" w:hAnsi="Book Antiqua" w:cs="Book Antiqua"/>
          <w:bCs/>
          <w:color w:val="000000"/>
        </w:rPr>
        <w:t xml:space="preserve">Institute of Geriatric Medicine, Chinese Academy of Medical Sciences, </w:t>
      </w:r>
      <w:r w:rsidR="00B6292A" w:rsidRPr="00074CC2">
        <w:rPr>
          <w:rFonts w:ascii="Book Antiqua" w:eastAsia="Book Antiqua" w:hAnsi="Book Antiqua" w:cs="Book Antiqua"/>
          <w:bCs/>
          <w:color w:val="000000"/>
        </w:rPr>
        <w:t>No. 1 Dahua Road, C</w:t>
      </w:r>
      <w:r w:rsidR="00B6292A" w:rsidRPr="00074CC2">
        <w:rPr>
          <w:rFonts w:ascii="Book Antiqua" w:eastAsia="Book Antiqua" w:hAnsi="Book Antiqua" w:cs="Book Antiqua"/>
          <w:bCs/>
          <w:color w:val="000000"/>
          <w:lang w:eastAsia="zh-CN"/>
        </w:rPr>
        <w:t xml:space="preserve">haoyang District, </w:t>
      </w:r>
      <w:r w:rsidR="00C33636" w:rsidRPr="00074CC2">
        <w:rPr>
          <w:rFonts w:ascii="Book Antiqua" w:eastAsia="Book Antiqua" w:hAnsi="Book Antiqua" w:cs="Book Antiqua"/>
          <w:bCs/>
          <w:color w:val="000000"/>
        </w:rPr>
        <w:t>Beijing 100730, China</w:t>
      </w:r>
      <w:r w:rsidR="00E842BB" w:rsidRPr="00074CC2">
        <w:rPr>
          <w:rFonts w:ascii="Book Antiqua" w:eastAsia="Book Antiqua" w:hAnsi="Book Antiqua" w:cs="Book Antiqua"/>
          <w:bCs/>
          <w:color w:val="000000"/>
        </w:rPr>
        <w:t>.</w:t>
      </w:r>
      <w:r w:rsidR="00C33636" w:rsidRPr="00074CC2">
        <w:rPr>
          <w:rFonts w:ascii="Book Antiqua" w:eastAsia="Book Antiqua" w:hAnsi="Book Antiqua" w:cs="Book Antiqua"/>
          <w:color w:val="000000"/>
        </w:rPr>
        <w:t xml:space="preserve"> </w:t>
      </w:r>
      <w:hyperlink r:id="rId6" w:history="1">
        <w:r w:rsidR="00C33636" w:rsidRPr="00413E92">
          <w:rPr>
            <w:rStyle w:val="ab"/>
            <w:rFonts w:ascii="Book Antiqua" w:hAnsi="Book Antiqua"/>
            <w:u w:val="none"/>
          </w:rPr>
          <w:t>wangjy@bjhmoh.cn</w:t>
        </w:r>
      </w:hyperlink>
    </w:p>
    <w:p w14:paraId="3ED6DD53" w14:textId="77777777" w:rsidR="00A77B3E" w:rsidRPr="00074CC2" w:rsidRDefault="00A77B3E" w:rsidP="00E842BB">
      <w:pPr>
        <w:snapToGrid w:val="0"/>
        <w:spacing w:line="360" w:lineRule="auto"/>
        <w:jc w:val="both"/>
        <w:rPr>
          <w:rFonts w:ascii="Book Antiqua" w:hAnsi="Book Antiqua"/>
        </w:rPr>
      </w:pPr>
    </w:p>
    <w:p w14:paraId="53F598D6"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Received: </w:t>
      </w:r>
      <w:r w:rsidRPr="00074CC2">
        <w:rPr>
          <w:rFonts w:ascii="Book Antiqua" w:eastAsia="Book Antiqua" w:hAnsi="Book Antiqua" w:cs="Book Antiqua"/>
          <w:color w:val="000000"/>
        </w:rPr>
        <w:t>May 15, 2020</w:t>
      </w:r>
    </w:p>
    <w:p w14:paraId="0FF521DC"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Revised: </w:t>
      </w:r>
      <w:r w:rsidRPr="00074CC2">
        <w:rPr>
          <w:rFonts w:ascii="Book Antiqua" w:eastAsia="Book Antiqua" w:hAnsi="Book Antiqua" w:cs="Book Antiqua"/>
          <w:color w:val="000000"/>
        </w:rPr>
        <w:t>September 14, 2020</w:t>
      </w:r>
    </w:p>
    <w:p w14:paraId="4A20BFC6" w14:textId="03335B0A"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Accepted: </w:t>
      </w:r>
      <w:r w:rsidR="00F21075" w:rsidRPr="00074CC2">
        <w:rPr>
          <w:rFonts w:ascii="Book Antiqua" w:eastAsia="Book Antiqua" w:hAnsi="Book Antiqua" w:cs="Book Antiqua"/>
          <w:color w:val="000000"/>
        </w:rPr>
        <w:t>September 23, 2020</w:t>
      </w:r>
    </w:p>
    <w:p w14:paraId="6569FA60"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Published online: </w:t>
      </w:r>
    </w:p>
    <w:p w14:paraId="2DB720D9" w14:textId="77777777" w:rsidR="00A77B3E" w:rsidRPr="00074CC2" w:rsidRDefault="00A77B3E" w:rsidP="00E842BB">
      <w:pPr>
        <w:snapToGrid w:val="0"/>
        <w:spacing w:line="360" w:lineRule="auto"/>
        <w:jc w:val="both"/>
        <w:rPr>
          <w:rFonts w:ascii="Book Antiqua" w:hAnsi="Book Antiqua"/>
        </w:rPr>
        <w:sectPr w:rsidR="00A77B3E" w:rsidRPr="00074CC2" w:rsidSect="00C13252">
          <w:footerReference w:type="default" r:id="rId7"/>
          <w:type w:val="continuous"/>
          <w:pgSz w:w="12240" w:h="15840"/>
          <w:pgMar w:top="1440" w:right="1800" w:bottom="1440" w:left="1800" w:header="720" w:footer="720" w:gutter="0"/>
          <w:cols w:space="720"/>
          <w:docGrid w:linePitch="360"/>
        </w:sectPr>
      </w:pPr>
    </w:p>
    <w:p w14:paraId="6573F4DA" w14:textId="7BA63ECF" w:rsidR="00A77B3E" w:rsidRPr="00413E92" w:rsidRDefault="003F6DF7"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br w:type="page"/>
      </w:r>
      <w:r w:rsidR="00CC0C82" w:rsidRPr="00074CC2">
        <w:rPr>
          <w:rFonts w:ascii="Book Antiqua" w:eastAsia="Book Antiqua" w:hAnsi="Book Antiqua" w:cs="Book Antiqua"/>
          <w:b/>
          <w:color w:val="000000"/>
        </w:rPr>
        <w:lastRenderedPageBreak/>
        <w:t>Abstract</w:t>
      </w:r>
    </w:p>
    <w:p w14:paraId="2C854F19"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BACKGROUND</w:t>
      </w:r>
    </w:p>
    <w:p w14:paraId="11384E3F" w14:textId="38A551C4"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The current standard surgical treatment for non-metastatic upper urinary tract urothelial carcinoma (UTUC) is radical nephroureterectomy (RNU) with bladder cuff excision (BCE). Typically,</w:t>
      </w:r>
      <w:r w:rsidR="003B1D7C"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 xml:space="preserve">BCE techniques are classified </w:t>
      </w:r>
      <w:r w:rsidR="003B1D7C" w:rsidRPr="00074CC2">
        <w:rPr>
          <w:rFonts w:ascii="Book Antiqua" w:eastAsia="Book Antiqua" w:hAnsi="Book Antiqua" w:cs="Book Antiqua"/>
          <w:color w:val="000000"/>
        </w:rPr>
        <w:t xml:space="preserve">in </w:t>
      </w:r>
      <w:r w:rsidRPr="00074CC2">
        <w:rPr>
          <w:rFonts w:ascii="Book Antiqua" w:eastAsia="Book Antiqua" w:hAnsi="Book Antiqua" w:cs="Book Antiqua"/>
          <w:color w:val="000000"/>
        </w:rPr>
        <w:t xml:space="preserve">one of </w:t>
      </w:r>
      <w:r w:rsidR="003B1D7C" w:rsidRPr="00074CC2">
        <w:rPr>
          <w:rFonts w:ascii="Book Antiqua" w:eastAsia="Book Antiqua" w:hAnsi="Book Antiqua" w:cs="Book Antiqua"/>
          <w:color w:val="000000"/>
        </w:rPr>
        <w:t xml:space="preserve">the </w:t>
      </w:r>
      <w:r w:rsidRPr="00074CC2">
        <w:rPr>
          <w:rFonts w:ascii="Book Antiqua" w:eastAsia="Book Antiqua" w:hAnsi="Book Antiqua" w:cs="Book Antiqua"/>
          <w:color w:val="000000"/>
        </w:rPr>
        <w:t>following three categories: an open technique described as intrasvesical incision of the bladder cuff, a transurethral incision of the bladder cuff (TUBC)</w:t>
      </w:r>
      <w:r w:rsidR="003B1D7C"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and an extravesical incision of the bladder cuff (EVBC) method. Even though each of these management techniques are widely used</w:t>
      </w:r>
      <w:r w:rsidR="003B1D7C"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there is no consensus about which surgical intervention is superior, with the best oncologic outcomes.</w:t>
      </w:r>
    </w:p>
    <w:p w14:paraId="381E8A66" w14:textId="77777777" w:rsidR="00A77B3E" w:rsidRPr="00074CC2" w:rsidRDefault="00A77B3E" w:rsidP="00E842BB">
      <w:pPr>
        <w:snapToGrid w:val="0"/>
        <w:spacing w:line="360" w:lineRule="auto"/>
        <w:jc w:val="both"/>
        <w:rPr>
          <w:rFonts w:ascii="Book Antiqua" w:hAnsi="Book Antiqua"/>
        </w:rPr>
      </w:pPr>
    </w:p>
    <w:p w14:paraId="06B037C9"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AIM</w:t>
      </w:r>
    </w:p>
    <w:p w14:paraId="3158CD7F"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To investigate the oncological outcomes of three BCE methods during RNU for primary UTUC patients.</w:t>
      </w:r>
    </w:p>
    <w:p w14:paraId="36D052CF" w14:textId="77777777" w:rsidR="00A77B3E" w:rsidRPr="00074CC2" w:rsidRDefault="00A77B3E" w:rsidP="00E842BB">
      <w:pPr>
        <w:snapToGrid w:val="0"/>
        <w:spacing w:line="360" w:lineRule="auto"/>
        <w:jc w:val="both"/>
        <w:rPr>
          <w:rFonts w:ascii="Book Antiqua" w:hAnsi="Book Antiqua"/>
        </w:rPr>
      </w:pPr>
    </w:p>
    <w:p w14:paraId="7105A896"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METHODS</w:t>
      </w:r>
    </w:p>
    <w:p w14:paraId="01217716" w14:textId="553505E1"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We retrospectively analyzed </w:t>
      </w:r>
      <w:r w:rsidR="003B1D7C" w:rsidRPr="00074CC2">
        <w:rPr>
          <w:rFonts w:ascii="Book Antiqua" w:eastAsia="Book Antiqua" w:hAnsi="Book Antiqua" w:cs="Book Antiqua"/>
          <w:color w:val="000000"/>
        </w:rPr>
        <w:t xml:space="preserve">the </w:t>
      </w:r>
      <w:r w:rsidRPr="00074CC2">
        <w:rPr>
          <w:rFonts w:ascii="Book Antiqua" w:eastAsia="Book Antiqua" w:hAnsi="Book Antiqua" w:cs="Book Antiqua"/>
          <w:color w:val="000000"/>
        </w:rPr>
        <w:t>data of 248 primary UTUC patients</w:t>
      </w:r>
      <w:r w:rsidR="003B1D7C"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who underwent RNU with BCE between January 2004 to December 2018. Patients were analyzed according to each BCE method. Data extracted included patient demographics, perioperative parameters</w:t>
      </w:r>
      <w:r w:rsidR="003B1D7C"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and oncological outcomes. Statistical analyses were performed using chi-square and log-rank tests. The Cox proportional hazards regression model was utilized to identify independent predictors. </w:t>
      </w:r>
      <w:r w:rsidRPr="00074CC2">
        <w:rPr>
          <w:rFonts w:ascii="Book Antiqua" w:eastAsia="Book Antiqua" w:hAnsi="Book Antiqua" w:cs="Book Antiqua"/>
          <w:i/>
          <w:iCs/>
          <w:color w:val="000000"/>
        </w:rPr>
        <w:t>P</w:t>
      </w:r>
      <w:r w:rsidRPr="00074CC2">
        <w:rPr>
          <w:rFonts w:ascii="Book Antiqua" w:eastAsia="Book Antiqua" w:hAnsi="Book Antiqua" w:cs="Book Antiqua"/>
          <w:color w:val="000000"/>
        </w:rPr>
        <w:t xml:space="preserve"> &lt; 0.05 w</w:t>
      </w:r>
      <w:r w:rsidR="003B1D7C" w:rsidRPr="00074CC2">
        <w:rPr>
          <w:rFonts w:ascii="Book Antiqua" w:eastAsia="Book Antiqua" w:hAnsi="Book Antiqua" w:cs="Book Antiqua"/>
          <w:color w:val="000000"/>
        </w:rPr>
        <w:t>as</w:t>
      </w:r>
      <w:r w:rsidRPr="00074CC2">
        <w:rPr>
          <w:rFonts w:ascii="Book Antiqua" w:eastAsia="Book Antiqua" w:hAnsi="Book Antiqua" w:cs="Book Antiqua"/>
          <w:color w:val="000000"/>
        </w:rPr>
        <w:t xml:space="preserve"> considered statistically significant.</w:t>
      </w:r>
    </w:p>
    <w:p w14:paraId="7BE22C61" w14:textId="77777777" w:rsidR="00A77B3E" w:rsidRPr="00074CC2" w:rsidRDefault="00A77B3E" w:rsidP="00E842BB">
      <w:pPr>
        <w:snapToGrid w:val="0"/>
        <w:spacing w:line="360" w:lineRule="auto"/>
        <w:jc w:val="both"/>
        <w:rPr>
          <w:rFonts w:ascii="Book Antiqua" w:hAnsi="Book Antiqua"/>
        </w:rPr>
      </w:pPr>
    </w:p>
    <w:p w14:paraId="2ECD7795"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RESULTS</w:t>
      </w:r>
    </w:p>
    <w:p w14:paraId="1B715530" w14:textId="19B95B33"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Of the 248 participants, 39.9%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99) underwent intrasvesical incision of the bladder cuff, 38.7%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96) EVBC, and 21.4%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53) TUBC. At a median follow-up of 44.2 mo, bladder recurrence developed in 17.2%, 12.5%, and 13.2% of the cases, respectively. Cancer</w:t>
      </w:r>
      <w:r w:rsidR="005849FF" w:rsidRPr="00074CC2">
        <w:rPr>
          <w:rFonts w:ascii="Book Antiqua" w:eastAsia="Book Antiqua" w:hAnsi="Book Antiqua" w:cs="Book Antiqua"/>
          <w:color w:val="000000"/>
        </w:rPr>
        <w:t>-</w:t>
      </w:r>
      <w:r w:rsidRPr="00074CC2">
        <w:rPr>
          <w:rFonts w:ascii="Book Antiqua" w:eastAsia="Book Antiqua" w:hAnsi="Book Antiqua" w:cs="Book Antiqua"/>
          <w:color w:val="000000"/>
        </w:rPr>
        <w:t>specific deaths occurred in 11.1%, 5.2%, and 7.5%</w:t>
      </w:r>
      <w:r w:rsidR="005849FF" w:rsidRPr="00074CC2">
        <w:rPr>
          <w:rFonts w:ascii="Book Antiqua" w:eastAsia="Book Antiqua" w:hAnsi="Book Antiqua" w:cs="Book Antiqua"/>
          <w:color w:val="000000"/>
        </w:rPr>
        <w:t xml:space="preserve"> of </w:t>
      </w:r>
      <w:r w:rsidR="005849FF" w:rsidRPr="00074CC2">
        <w:rPr>
          <w:rFonts w:ascii="Book Antiqua" w:eastAsia="Book Antiqua" w:hAnsi="Book Antiqua" w:cs="Book Antiqua"/>
          <w:color w:val="000000"/>
        </w:rPr>
        <w:lastRenderedPageBreak/>
        <w:t>patients</w:t>
      </w:r>
      <w:r w:rsidRPr="00074CC2">
        <w:rPr>
          <w:rFonts w:ascii="Book Antiqua" w:eastAsia="Book Antiqua" w:hAnsi="Book Antiqua" w:cs="Book Antiqua"/>
          <w:color w:val="000000"/>
        </w:rPr>
        <w:t xml:space="preserve">, respectively. Kaplan-Meier survival curves with a log-rank test highlighted no significant differences in intravesical recurrence-free survival, cancer-specific survival, and overall survival among these approaches with </w:t>
      </w:r>
      <w:r w:rsidRPr="00074CC2">
        <w:rPr>
          <w:rFonts w:ascii="Book Antiqua" w:eastAsia="Book Antiqua" w:hAnsi="Book Antiqua" w:cs="Book Antiqua"/>
          <w:i/>
          <w:iCs/>
          <w:color w:val="000000"/>
        </w:rPr>
        <w:t>P</w:t>
      </w:r>
      <w:r w:rsidRPr="00074CC2">
        <w:rPr>
          <w:rFonts w:ascii="Book Antiqua" w:eastAsia="Book Antiqua" w:hAnsi="Book Antiqua" w:cs="Book Antiqua"/>
          <w:color w:val="000000"/>
        </w:rPr>
        <w:t xml:space="preserve"> values of 0.987, 0.825</w:t>
      </w:r>
      <w:r w:rsidR="005849FF"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and 0.497, respectively. </w:t>
      </w:r>
      <w:r w:rsidR="005849FF" w:rsidRPr="00074CC2">
        <w:rPr>
          <w:rFonts w:ascii="Book Antiqua" w:eastAsia="Book Antiqua" w:hAnsi="Book Antiqua" w:cs="Book Antiqua"/>
          <w:color w:val="000000"/>
        </w:rPr>
        <w:t>M</w:t>
      </w:r>
      <w:r w:rsidRPr="00074CC2">
        <w:rPr>
          <w:rFonts w:ascii="Book Antiqua" w:eastAsia="Book Antiqua" w:hAnsi="Book Antiqua" w:cs="Book Antiqua"/>
          <w:color w:val="000000"/>
        </w:rPr>
        <w:t>ultivariate analysis</w:t>
      </w:r>
      <w:r w:rsidR="005849FF" w:rsidRPr="00074CC2">
        <w:rPr>
          <w:rFonts w:ascii="Book Antiqua" w:eastAsia="Book Antiqua" w:hAnsi="Book Antiqua" w:cs="Book Antiqua"/>
          <w:color w:val="000000"/>
        </w:rPr>
        <w:t xml:space="preserve"> showed that</w:t>
      </w:r>
      <w:r w:rsidRPr="00074CC2">
        <w:rPr>
          <w:rFonts w:ascii="Book Antiqua" w:eastAsia="Book Antiqua" w:hAnsi="Book Antiqua" w:cs="Book Antiqua"/>
          <w:color w:val="000000"/>
        </w:rPr>
        <w:t xml:space="preserve"> the lower ureter location appears to have inferior intravesical recurrence-free survival (</w:t>
      </w:r>
      <w:r w:rsidRPr="00074CC2">
        <w:rPr>
          <w:rFonts w:ascii="Book Antiqua" w:eastAsia="Book Antiqua" w:hAnsi="Book Antiqua" w:cs="Book Antiqua"/>
          <w:i/>
          <w:iCs/>
          <w:color w:val="000000"/>
        </w:rPr>
        <w:t>P</w:t>
      </w:r>
      <w:r w:rsidRPr="00074CC2">
        <w:rPr>
          <w:rFonts w:ascii="Book Antiqua" w:eastAsia="Book Antiqua" w:hAnsi="Book Antiqua" w:cs="Book Antiqua"/>
          <w:color w:val="000000"/>
        </w:rPr>
        <w:t xml:space="preserve"> = 0.042). However, cancer-specific survival and overall survival were independently influenced by tumor stage (</w:t>
      </w:r>
      <w:r w:rsidR="005849FF" w:rsidRPr="00074CC2">
        <w:rPr>
          <w:rFonts w:ascii="Book Antiqua" w:hAnsi="Book Antiqua"/>
        </w:rPr>
        <w:t>h</w:t>
      </w:r>
      <w:r w:rsidR="005241A9" w:rsidRPr="00074CC2">
        <w:rPr>
          <w:rFonts w:ascii="Book Antiqua" w:hAnsi="Book Antiqua"/>
        </w:rPr>
        <w:t>azard ratio</w:t>
      </w:r>
      <w:r w:rsidR="005849FF" w:rsidRPr="00074CC2">
        <w:rPr>
          <w:rFonts w:ascii="Book Antiqua" w:hAnsi="Book Antiqua"/>
        </w:rPr>
        <w:t xml:space="preserve"> [HR]</w:t>
      </w:r>
      <w:r w:rsidRPr="00074CC2">
        <w:rPr>
          <w:rFonts w:ascii="Book Antiqua" w:eastAsia="Book Antiqua" w:hAnsi="Book Antiqua" w:cs="Book Antiqua"/>
          <w:color w:val="000000"/>
        </w:rPr>
        <w:t xml:space="preserve"> = 8.439; 95%</w:t>
      </w:r>
      <w:r w:rsidR="005241A9" w:rsidRPr="00074CC2">
        <w:rPr>
          <w:rFonts w:ascii="Book Antiqua" w:eastAsia="Book Antiqua" w:hAnsi="Book Antiqua" w:cs="Book Antiqua"/>
          <w:color w:val="000000"/>
        </w:rPr>
        <w:t xml:space="preserve"> </w:t>
      </w:r>
      <w:r w:rsidR="005241A9" w:rsidRPr="00074CC2">
        <w:rPr>
          <w:rFonts w:ascii="Book Antiqua" w:hAnsi="Book Antiqua"/>
        </w:rPr>
        <w:t>conﬁdence interval</w:t>
      </w:r>
      <w:r w:rsidR="00935012"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2.424-29.377;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 0.001) and lymph node status (</w:t>
      </w:r>
      <w:r w:rsidR="005849FF" w:rsidRPr="00074CC2">
        <w:rPr>
          <w:rFonts w:ascii="Book Antiqua" w:hAnsi="Book Antiqua"/>
        </w:rPr>
        <w:t>HR</w:t>
      </w:r>
      <w:r w:rsidRPr="00074CC2">
        <w:rPr>
          <w:rFonts w:ascii="Book Antiqua" w:eastAsia="Book Antiqua" w:hAnsi="Book Antiqua" w:cs="Book Antiqua"/>
          <w:color w:val="000000"/>
        </w:rPr>
        <w:t xml:space="preserve"> = 14.343; 95%</w:t>
      </w:r>
      <w:r w:rsidR="005241A9" w:rsidRPr="00074CC2">
        <w:rPr>
          <w:rFonts w:ascii="Book Antiqua" w:eastAsia="Book Antiqua" w:hAnsi="Book Antiqua" w:cs="Book Antiqua"/>
          <w:color w:val="000000"/>
        </w:rPr>
        <w:t xml:space="preserve"> </w:t>
      </w:r>
      <w:r w:rsidR="00935012" w:rsidRPr="00074CC2">
        <w:rPr>
          <w:rFonts w:ascii="Book Antiqua" w:eastAsia="Book Antiqua" w:hAnsi="Book Antiqua" w:cs="Book Antiqua"/>
          <w:color w:val="000000"/>
        </w:rPr>
        <w:t>CI:</w:t>
      </w:r>
      <w:r w:rsidRPr="00074CC2">
        <w:rPr>
          <w:rFonts w:ascii="Book Antiqua" w:eastAsia="Book Antiqua" w:hAnsi="Book Antiqua" w:cs="Book Antiqua"/>
          <w:color w:val="000000"/>
        </w:rPr>
        <w:t xml:space="preserve"> 5.176-39.745;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&lt; 0.001).</w:t>
      </w:r>
    </w:p>
    <w:p w14:paraId="65DDE5E8" w14:textId="77777777" w:rsidR="00A77B3E" w:rsidRPr="00074CC2" w:rsidRDefault="00A77B3E" w:rsidP="00E842BB">
      <w:pPr>
        <w:snapToGrid w:val="0"/>
        <w:spacing w:line="360" w:lineRule="auto"/>
        <w:jc w:val="both"/>
        <w:rPr>
          <w:rFonts w:ascii="Book Antiqua" w:hAnsi="Book Antiqua"/>
        </w:rPr>
      </w:pPr>
    </w:p>
    <w:p w14:paraId="0CC9DC76"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CONCLUSION</w:t>
      </w:r>
    </w:p>
    <w:p w14:paraId="371B52EA" w14:textId="675AB5F9"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All three techniques had comparable outcomes; although, EVBC and TUBC are minimally invasive. While based upon rather limited data, these findings will support urologists </w:t>
      </w:r>
      <w:r w:rsidR="005849FF" w:rsidRPr="00074CC2">
        <w:rPr>
          <w:rFonts w:ascii="Book Antiqua" w:eastAsia="Book Antiqua" w:hAnsi="Book Antiqua" w:cs="Book Antiqua"/>
          <w:color w:val="000000"/>
        </w:rPr>
        <w:t xml:space="preserve">in </w:t>
      </w:r>
      <w:r w:rsidRPr="00074CC2">
        <w:rPr>
          <w:rFonts w:ascii="Book Antiqua" w:eastAsia="Book Antiqua" w:hAnsi="Book Antiqua" w:cs="Book Antiqua"/>
          <w:color w:val="000000"/>
        </w:rPr>
        <w:t xml:space="preserve">blending experience with evidence to inform patient choices. </w:t>
      </w:r>
      <w:r w:rsidR="005849FF" w:rsidRPr="00074CC2">
        <w:rPr>
          <w:rFonts w:ascii="Book Antiqua" w:eastAsia="Book Antiqua" w:hAnsi="Book Antiqua" w:cs="Book Antiqua"/>
          <w:color w:val="000000"/>
        </w:rPr>
        <w:t>However, l</w:t>
      </w:r>
      <w:r w:rsidRPr="00074CC2">
        <w:rPr>
          <w:rFonts w:ascii="Book Antiqua" w:eastAsia="Book Antiqua" w:hAnsi="Book Antiqua" w:cs="Book Antiqua"/>
          <w:color w:val="000000"/>
        </w:rPr>
        <w:t>arger, rigorously designed, multicenter studies with long term outcomes are still required.</w:t>
      </w:r>
    </w:p>
    <w:p w14:paraId="2E48AFC1" w14:textId="77777777" w:rsidR="00A77B3E" w:rsidRPr="00074CC2" w:rsidRDefault="00A77B3E" w:rsidP="00E842BB">
      <w:pPr>
        <w:snapToGrid w:val="0"/>
        <w:spacing w:line="360" w:lineRule="auto"/>
        <w:jc w:val="both"/>
        <w:rPr>
          <w:rFonts w:ascii="Book Antiqua" w:hAnsi="Book Antiqua"/>
        </w:rPr>
      </w:pPr>
    </w:p>
    <w:p w14:paraId="358B434D"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Key Words: </w:t>
      </w:r>
      <w:r w:rsidRPr="00074CC2">
        <w:rPr>
          <w:rFonts w:ascii="Book Antiqua" w:eastAsia="Book Antiqua" w:hAnsi="Book Antiqua" w:cs="Book Antiqua"/>
          <w:color w:val="000000"/>
        </w:rPr>
        <w:t xml:space="preserve">Bladder cuff excision; Prognosis; Upper urinary tract urothelial carcinoma; </w:t>
      </w:r>
      <w:bookmarkStart w:id="8" w:name="OLE_LINK1"/>
      <w:r w:rsidRPr="00074CC2">
        <w:rPr>
          <w:rFonts w:ascii="Book Antiqua" w:eastAsia="Book Antiqua" w:hAnsi="Book Antiqua" w:cs="Book Antiqua"/>
          <w:color w:val="000000"/>
        </w:rPr>
        <w:t>Radical nephroureterectomy</w:t>
      </w:r>
      <w:bookmarkEnd w:id="8"/>
      <w:r w:rsidRPr="00074CC2">
        <w:rPr>
          <w:rFonts w:ascii="Book Antiqua" w:eastAsia="Book Antiqua" w:hAnsi="Book Antiqua" w:cs="Book Antiqua"/>
          <w:color w:val="000000"/>
        </w:rPr>
        <w:t>; Technique; Survival</w:t>
      </w:r>
    </w:p>
    <w:p w14:paraId="3AA19FB0" w14:textId="77777777" w:rsidR="00A77B3E" w:rsidRPr="00074CC2" w:rsidRDefault="00A77B3E" w:rsidP="00E842BB">
      <w:pPr>
        <w:snapToGrid w:val="0"/>
        <w:spacing w:line="360" w:lineRule="auto"/>
        <w:jc w:val="both"/>
        <w:rPr>
          <w:rFonts w:ascii="Book Antiqua" w:hAnsi="Book Antiqua"/>
        </w:rPr>
      </w:pPr>
    </w:p>
    <w:p w14:paraId="6577FE0C" w14:textId="37EB95C4" w:rsidR="00A77B3E" w:rsidRPr="00074CC2" w:rsidRDefault="00CC0C82" w:rsidP="00E842BB">
      <w:pPr>
        <w:snapToGrid w:val="0"/>
        <w:spacing w:line="360" w:lineRule="auto"/>
        <w:jc w:val="both"/>
        <w:rPr>
          <w:rFonts w:ascii="Book Antiqua" w:hAnsi="Book Antiqua"/>
        </w:rPr>
      </w:pPr>
      <w:bookmarkStart w:id="9" w:name="OLE_LINK5"/>
      <w:bookmarkStart w:id="10" w:name="OLE_LINK6"/>
      <w:r w:rsidRPr="00074CC2">
        <w:rPr>
          <w:rFonts w:ascii="Book Antiqua" w:eastAsia="Book Antiqua" w:hAnsi="Book Antiqua" w:cs="Book Antiqua"/>
          <w:color w:val="000000"/>
        </w:rPr>
        <w:t>Lai SC, Wu P</w:t>
      </w:r>
      <w:r w:rsidR="00935012" w:rsidRPr="00074CC2">
        <w:rPr>
          <w:rFonts w:ascii="Book Antiqua" w:eastAsia="Book Antiqua" w:hAnsi="Book Antiqua" w:cs="Book Antiqua"/>
          <w:color w:val="000000"/>
        </w:rPr>
        <w:t>J</w:t>
      </w:r>
      <w:r w:rsidRPr="00074CC2">
        <w:rPr>
          <w:rFonts w:ascii="Book Antiqua" w:eastAsia="Book Antiqua" w:hAnsi="Book Antiqua" w:cs="Book Antiqua"/>
          <w:color w:val="000000"/>
        </w:rPr>
        <w:t>, Liu J</w:t>
      </w:r>
      <w:r w:rsidR="00935012" w:rsidRPr="00074CC2">
        <w:rPr>
          <w:rFonts w:ascii="Book Antiqua" w:eastAsia="Book Antiqua" w:hAnsi="Book Antiqua" w:cs="Book Antiqua"/>
          <w:color w:val="000000"/>
        </w:rPr>
        <w:t>Y</w:t>
      </w:r>
      <w:r w:rsidRPr="00074CC2">
        <w:rPr>
          <w:rFonts w:ascii="Book Antiqua" w:eastAsia="Book Antiqua" w:hAnsi="Book Antiqua" w:cs="Book Antiqua"/>
          <w:color w:val="000000"/>
        </w:rPr>
        <w:t>, Seery S, Liu S</w:t>
      </w:r>
      <w:r w:rsidR="00935012" w:rsidRPr="00074CC2">
        <w:rPr>
          <w:rFonts w:ascii="Book Antiqua" w:eastAsia="Book Antiqua" w:hAnsi="Book Antiqua" w:cs="Book Antiqua"/>
          <w:color w:val="000000"/>
        </w:rPr>
        <w:t>J</w:t>
      </w:r>
      <w:r w:rsidRPr="00074CC2">
        <w:rPr>
          <w:rFonts w:ascii="Book Antiqua" w:eastAsia="Book Antiqua" w:hAnsi="Book Antiqua" w:cs="Book Antiqua"/>
          <w:color w:val="000000"/>
        </w:rPr>
        <w:t>, Long X</w:t>
      </w:r>
      <w:r w:rsidR="00935012" w:rsidRPr="00074CC2">
        <w:rPr>
          <w:rFonts w:ascii="Book Antiqua" w:eastAsia="Book Antiqua" w:hAnsi="Book Antiqua" w:cs="Book Antiqua"/>
          <w:color w:val="000000"/>
        </w:rPr>
        <w:t>B</w:t>
      </w:r>
      <w:r w:rsidRPr="00074CC2">
        <w:rPr>
          <w:rFonts w:ascii="Book Antiqua" w:eastAsia="Book Antiqua" w:hAnsi="Book Antiqua" w:cs="Book Antiqua"/>
          <w:color w:val="000000"/>
        </w:rPr>
        <w:t xml:space="preserve">, Liu M, Wang JY. Oncological impact of different distal ureter managements during radical nephroureterectomy for primary upper urinary tract urothelial carcinoma. </w:t>
      </w:r>
      <w:r w:rsidRPr="00074CC2">
        <w:rPr>
          <w:rFonts w:ascii="Book Antiqua" w:eastAsia="Book Antiqua" w:hAnsi="Book Antiqua" w:cs="Book Antiqua"/>
          <w:i/>
          <w:iCs/>
          <w:color w:val="000000"/>
        </w:rPr>
        <w:t>World J Clin Cases</w:t>
      </w:r>
      <w:r w:rsidRPr="00074CC2">
        <w:rPr>
          <w:rFonts w:ascii="Book Antiqua" w:eastAsia="Book Antiqua" w:hAnsi="Book Antiqua" w:cs="Book Antiqua"/>
          <w:color w:val="000000"/>
        </w:rPr>
        <w:t xml:space="preserve"> 2020; In press</w:t>
      </w:r>
    </w:p>
    <w:bookmarkEnd w:id="9"/>
    <w:bookmarkEnd w:id="10"/>
    <w:p w14:paraId="475A0DC4" w14:textId="77777777" w:rsidR="00A77B3E" w:rsidRPr="00074CC2" w:rsidRDefault="00A77B3E" w:rsidP="00E842BB">
      <w:pPr>
        <w:snapToGrid w:val="0"/>
        <w:spacing w:line="360" w:lineRule="auto"/>
        <w:jc w:val="both"/>
        <w:rPr>
          <w:rFonts w:ascii="Book Antiqua" w:hAnsi="Book Antiqua"/>
        </w:rPr>
      </w:pPr>
    </w:p>
    <w:p w14:paraId="64CEF842" w14:textId="1E03F0B1"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Core Tip: </w:t>
      </w:r>
      <w:bookmarkStart w:id="11" w:name="OLE_LINK7"/>
      <w:bookmarkStart w:id="12" w:name="OLE_LINK9"/>
      <w:r w:rsidRPr="00074CC2">
        <w:rPr>
          <w:rFonts w:ascii="Book Antiqua" w:eastAsia="Book Antiqua" w:hAnsi="Book Antiqua" w:cs="Book Antiqua"/>
          <w:color w:val="000000"/>
        </w:rPr>
        <w:t>In this work, by focusing on a Chinese population</w:t>
      </w:r>
      <w:r w:rsidR="005849FF"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w:t>
      </w:r>
      <w:r w:rsidR="00935012" w:rsidRPr="00074CC2">
        <w:rPr>
          <w:rFonts w:ascii="Book Antiqua" w:eastAsia="Book Antiqua" w:hAnsi="Book Antiqua" w:cs="Book Antiqua"/>
          <w:color w:val="000000"/>
        </w:rPr>
        <w:t>we intended to evaluated the</w:t>
      </w:r>
      <w:r w:rsidRPr="00074CC2">
        <w:rPr>
          <w:rFonts w:ascii="Book Antiqua" w:eastAsia="Book Antiqua" w:hAnsi="Book Antiqua" w:cs="Book Antiqua"/>
          <w:color w:val="000000"/>
        </w:rPr>
        <w:t xml:space="preserve"> oncological outcomes of three bladder cuff excision methods during radical nephroureterectomy for primary upper urinary tract urothelial carcinoma patients. Survival analysis suggests all three techniques had comparable outcomes</w:t>
      </w:r>
      <w:r w:rsidR="005849FF"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lastRenderedPageBreak/>
        <w:t xml:space="preserve">although, extravesical incision of the bladder cuff and transurethral incision of the bladder cuff are minimally invasive. We hope </w:t>
      </w:r>
      <w:r w:rsidR="005849FF" w:rsidRPr="00074CC2">
        <w:rPr>
          <w:rFonts w:ascii="Book Antiqua" w:eastAsia="Book Antiqua" w:hAnsi="Book Antiqua" w:cs="Book Antiqua"/>
          <w:color w:val="000000"/>
        </w:rPr>
        <w:t xml:space="preserve">that </w:t>
      </w:r>
      <w:r w:rsidRPr="00074CC2">
        <w:rPr>
          <w:rFonts w:ascii="Book Antiqua" w:eastAsia="Book Antiqua" w:hAnsi="Book Antiqua" w:cs="Book Antiqua"/>
          <w:color w:val="000000"/>
        </w:rPr>
        <w:t>current comparative knowledge can add further sophistication to the evidence base for this disease and intervention. Generating accurate estimations using long-term morbidity data benefits both clinicians and patients in terms of disease management and for shared decision-making.</w:t>
      </w:r>
    </w:p>
    <w:p w14:paraId="7316F6EE" w14:textId="77777777" w:rsidR="00A77B3E" w:rsidRPr="00074CC2" w:rsidRDefault="00A77B3E" w:rsidP="00E842BB">
      <w:pPr>
        <w:snapToGrid w:val="0"/>
        <w:spacing w:line="360" w:lineRule="auto"/>
        <w:jc w:val="both"/>
        <w:rPr>
          <w:rFonts w:ascii="Book Antiqua" w:hAnsi="Book Antiqua"/>
        </w:rPr>
      </w:pPr>
    </w:p>
    <w:bookmarkEnd w:id="11"/>
    <w:bookmarkEnd w:id="12"/>
    <w:p w14:paraId="530C0B6F" w14:textId="4B996828" w:rsidR="00A77B3E" w:rsidRPr="00074CC2" w:rsidRDefault="00B82087" w:rsidP="00E842BB">
      <w:pPr>
        <w:snapToGrid w:val="0"/>
        <w:spacing w:line="360" w:lineRule="auto"/>
        <w:jc w:val="both"/>
        <w:rPr>
          <w:rFonts w:ascii="Book Antiqua" w:hAnsi="Book Antiqua"/>
        </w:rPr>
      </w:pPr>
      <w:r w:rsidRPr="00074CC2">
        <w:rPr>
          <w:rFonts w:ascii="Book Antiqua" w:eastAsia="Book Antiqua" w:hAnsi="Book Antiqua" w:cs="Book Antiqua"/>
          <w:b/>
          <w:caps/>
          <w:color w:val="000000"/>
          <w:u w:val="single"/>
        </w:rPr>
        <w:br w:type="page"/>
      </w:r>
      <w:r w:rsidR="00CC0C82" w:rsidRPr="00074CC2">
        <w:rPr>
          <w:rFonts w:ascii="Book Antiqua" w:eastAsia="Book Antiqua" w:hAnsi="Book Antiqua" w:cs="Book Antiqua"/>
          <w:b/>
          <w:caps/>
          <w:color w:val="000000"/>
          <w:u w:val="single"/>
        </w:rPr>
        <w:lastRenderedPageBreak/>
        <w:t>INTRODUCTION</w:t>
      </w:r>
    </w:p>
    <w:p w14:paraId="101F8EA6" w14:textId="35B4CDCA" w:rsidR="00A77B3E" w:rsidRPr="00074CC2" w:rsidRDefault="00CC0C82" w:rsidP="00E842BB">
      <w:pPr>
        <w:snapToGrid w:val="0"/>
        <w:spacing w:line="360" w:lineRule="auto"/>
        <w:jc w:val="both"/>
        <w:rPr>
          <w:rFonts w:ascii="Book Antiqua" w:hAnsi="Book Antiqua"/>
        </w:rPr>
      </w:pPr>
      <w:bookmarkStart w:id="13" w:name="OLE_LINK10"/>
      <w:bookmarkStart w:id="14" w:name="OLE_LINK11"/>
      <w:r w:rsidRPr="00074CC2">
        <w:rPr>
          <w:rFonts w:ascii="Book Antiqua" w:eastAsia="Book Antiqua" w:hAnsi="Book Antiqua" w:cs="Book Antiqua"/>
          <w:color w:val="000000"/>
        </w:rPr>
        <w:t>Upper urinary tract urothelial carcinomas (UTUC) is a relatively uncommon disease</w:t>
      </w:r>
      <w:r w:rsid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which accounts for only 5</w:t>
      </w:r>
      <w:r w:rsidR="00935012" w:rsidRPr="00413E92">
        <w:rPr>
          <w:rFonts w:ascii="Book Antiqua" w:eastAsia="Book Antiqua" w:hAnsi="Book Antiqua" w:cs="Book Antiqua"/>
          <w:color w:val="000000"/>
        </w:rPr>
        <w:t>%</w:t>
      </w:r>
      <w:r w:rsidRPr="00413E92">
        <w:rPr>
          <w:rFonts w:ascii="Book Antiqua" w:eastAsia="Book Antiqua" w:hAnsi="Book Antiqua" w:cs="Book Antiqua"/>
          <w:color w:val="000000"/>
        </w:rPr>
        <w:t xml:space="preserve">-10% of all </w:t>
      </w:r>
      <w:r w:rsidRPr="00074CC2">
        <w:rPr>
          <w:rFonts w:ascii="Book Antiqua" w:eastAsia="Book Antiqua" w:hAnsi="Book Antiqua" w:cs="Book Antiqua"/>
          <w:color w:val="000000"/>
        </w:rPr>
        <w:t>urothelial carcinomas</w:t>
      </w:r>
      <w:r w:rsidRPr="00074CC2">
        <w:rPr>
          <w:rFonts w:ascii="Book Antiqua" w:eastAsia="Book Antiqua" w:hAnsi="Book Antiqua" w:cs="Book Antiqua"/>
          <w:color w:val="000000"/>
          <w:vertAlign w:val="superscript"/>
        </w:rPr>
        <w:t>[1-3]</w:t>
      </w:r>
      <w:r w:rsidRPr="00074CC2">
        <w:rPr>
          <w:rFonts w:ascii="Book Antiqua" w:eastAsia="Book Antiqua" w:hAnsi="Book Antiqua" w:cs="Book Antiqua"/>
          <w:color w:val="000000"/>
        </w:rPr>
        <w:t>. The current standard surgical treatment for non-metastatic UTUC is radical nephroureterectomy (RNU) with bladder cuff excision (BCE) which consists of two separate procedures,</w:t>
      </w:r>
      <w:r w:rsidRPr="00074CC2">
        <w:rPr>
          <w:rFonts w:ascii="Book Antiqua" w:eastAsia="Book Antiqua" w:hAnsi="Book Antiqua" w:cs="Book Antiqua"/>
          <w:i/>
          <w:iCs/>
          <w:color w:val="000000"/>
        </w:rPr>
        <w:t xml:space="preserve"> i.e.</w:t>
      </w:r>
      <w:r w:rsidRPr="00074CC2">
        <w:rPr>
          <w:rFonts w:ascii="Book Antiqua" w:eastAsia="Book Antiqua" w:hAnsi="Book Antiqua" w:cs="Book Antiqua"/>
          <w:color w:val="000000"/>
        </w:rPr>
        <w:t xml:space="preserve"> the removal of the ipsilateral distal ureter and partial cystectomy along with the ureteral </w:t>
      </w:r>
      <w:proofErr w:type="gramStart"/>
      <w:r w:rsidRPr="00074CC2">
        <w:rPr>
          <w:rFonts w:ascii="Book Antiqua" w:eastAsia="Book Antiqua" w:hAnsi="Book Antiqua" w:cs="Book Antiqua"/>
          <w:color w:val="000000"/>
        </w:rPr>
        <w:t>orifice</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3,4]</w:t>
      </w:r>
      <w:r w:rsidRPr="00074CC2">
        <w:rPr>
          <w:rFonts w:ascii="Book Antiqua" w:eastAsia="Book Antiqua" w:hAnsi="Book Antiqua" w:cs="Book Antiqua"/>
          <w:color w:val="000000"/>
        </w:rPr>
        <w:t>. Previous literature and the European Association of Urology guidelines purport that laparoscopic RNU has equivalent oncological efficacy compared to open RNU when adhering to strict oncological principles</w:t>
      </w:r>
      <w:r w:rsidRPr="00074CC2">
        <w:rPr>
          <w:rFonts w:ascii="Book Antiqua" w:eastAsia="Book Antiqua" w:hAnsi="Book Antiqua" w:cs="Book Antiqua"/>
          <w:color w:val="000000"/>
          <w:vertAlign w:val="superscript"/>
        </w:rPr>
        <w:t>[1,5]</w:t>
      </w:r>
      <w:r w:rsidRPr="00074CC2">
        <w:rPr>
          <w:rFonts w:ascii="Book Antiqua" w:eastAsia="Book Antiqua" w:hAnsi="Book Antiqua" w:cs="Book Antiqua"/>
          <w:color w:val="000000"/>
        </w:rPr>
        <w:t>. However, the safety and efficacy of the second step involved in the BCE method ha</w:t>
      </w:r>
      <w:r w:rsidR="00074CC2">
        <w:rPr>
          <w:rFonts w:ascii="Book Antiqua" w:eastAsia="Book Antiqua" w:hAnsi="Book Antiqua" w:cs="Book Antiqua"/>
          <w:color w:val="000000"/>
        </w:rPr>
        <w:t>ve</w:t>
      </w:r>
      <w:r w:rsidRPr="00074CC2">
        <w:rPr>
          <w:rFonts w:ascii="Book Antiqua" w:eastAsia="Book Antiqua" w:hAnsi="Book Antiqua" w:cs="Book Antiqua"/>
          <w:color w:val="000000"/>
        </w:rPr>
        <w:t xml:space="preserve"> been debated by urologists for a number of </w:t>
      </w:r>
      <w:proofErr w:type="gramStart"/>
      <w:r w:rsidRPr="00074CC2">
        <w:rPr>
          <w:rFonts w:ascii="Book Antiqua" w:eastAsia="Book Antiqua" w:hAnsi="Book Antiqua" w:cs="Book Antiqua"/>
          <w:color w:val="000000"/>
        </w:rPr>
        <w:t>years</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6]</w:t>
      </w:r>
      <w:r w:rsidRPr="00074CC2">
        <w:rPr>
          <w:rFonts w:ascii="Book Antiqua" w:eastAsia="Book Antiqua" w:hAnsi="Book Antiqua" w:cs="Book Antiqua"/>
          <w:color w:val="000000"/>
        </w:rPr>
        <w:t>.</w:t>
      </w:r>
    </w:p>
    <w:p w14:paraId="25B02A4F" w14:textId="1DAAB681"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 xml:space="preserve">Typically, methods are classified </w:t>
      </w:r>
      <w:r w:rsidR="00074CC2">
        <w:rPr>
          <w:rFonts w:ascii="Book Antiqua" w:eastAsia="Book Antiqua" w:hAnsi="Book Antiqua" w:cs="Book Antiqua"/>
          <w:color w:val="000000"/>
        </w:rPr>
        <w:t>in</w:t>
      </w:r>
      <w:r w:rsidR="00074CC2"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one of following three categories: an open technique described as intrasvesical incision of the bladder cuff (IVBC), transurethral incision of the bladder cuff (TUBC)</w:t>
      </w:r>
      <w:r w:rsid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and extravesical incision of the bladder cuff (EVBC</w:t>
      </w:r>
      <w:proofErr w:type="gramStart"/>
      <w:r w:rsidRPr="00074CC2">
        <w:rPr>
          <w:rFonts w:ascii="Book Antiqua" w:eastAsia="Book Antiqua" w:hAnsi="Book Antiqua" w:cs="Book Antiqua"/>
          <w:color w:val="000000"/>
        </w:rPr>
        <w:t>)</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7]</w:t>
      </w:r>
      <w:r w:rsidRPr="00074CC2">
        <w:rPr>
          <w:rFonts w:ascii="Book Antiqua" w:eastAsia="Book Antiqua" w:hAnsi="Book Antiqua" w:cs="Book Antiqua"/>
          <w:color w:val="000000"/>
        </w:rPr>
        <w:t>. Even though each of these management techniques are widely used</w:t>
      </w:r>
      <w:r w:rsid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there is no consensus about which surgical intervention is superior, </w:t>
      </w:r>
      <w:r w:rsidR="00074CC2">
        <w:rPr>
          <w:rFonts w:ascii="Book Antiqua" w:eastAsia="Book Antiqua" w:hAnsi="Book Antiqua" w:cs="Book Antiqua"/>
          <w:color w:val="000000"/>
        </w:rPr>
        <w:t>leading to</w:t>
      </w:r>
      <w:r w:rsidR="00074CC2"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 xml:space="preserve">the best oncologic </w:t>
      </w:r>
      <w:proofErr w:type="gramStart"/>
      <w:r w:rsidRPr="00074CC2">
        <w:rPr>
          <w:rFonts w:ascii="Book Antiqua" w:eastAsia="Book Antiqua" w:hAnsi="Book Antiqua" w:cs="Book Antiqua"/>
          <w:color w:val="000000"/>
        </w:rPr>
        <w:t>outcomes</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1,6]</w:t>
      </w:r>
      <w:r w:rsidRPr="00074CC2">
        <w:rPr>
          <w:rFonts w:ascii="Book Antiqua" w:eastAsia="Book Antiqua" w:hAnsi="Book Antiqua" w:cs="Book Antiqua"/>
          <w:color w:val="000000"/>
        </w:rPr>
        <w:t xml:space="preserve">. In a previous related meta-analysis, we found that IVBC </w:t>
      </w:r>
      <w:r w:rsidR="00074CC2">
        <w:rPr>
          <w:rFonts w:ascii="Book Antiqua" w:eastAsia="Book Antiqua" w:hAnsi="Book Antiqua" w:cs="Book Antiqua"/>
          <w:color w:val="000000"/>
        </w:rPr>
        <w:t>was</w:t>
      </w:r>
      <w:r w:rsidR="00074CC2"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 xml:space="preserve">more strongly associated with improved intravesical recurrence-free survival (IRFS) compared to EVBC and </w:t>
      </w:r>
      <w:proofErr w:type="gramStart"/>
      <w:r w:rsidRPr="00074CC2">
        <w:rPr>
          <w:rFonts w:ascii="Book Antiqua" w:eastAsia="Book Antiqua" w:hAnsi="Book Antiqua" w:cs="Book Antiqua"/>
          <w:color w:val="000000"/>
        </w:rPr>
        <w:t>TUBC</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8]</w:t>
      </w:r>
      <w:r w:rsidRPr="00074CC2">
        <w:rPr>
          <w:rFonts w:ascii="Book Antiqua" w:eastAsia="Book Antiqua" w:hAnsi="Book Antiqua" w:cs="Book Antiqua"/>
          <w:color w:val="000000"/>
        </w:rPr>
        <w:t xml:space="preserve">. </w:t>
      </w:r>
      <w:r w:rsidR="00074CC2">
        <w:rPr>
          <w:rFonts w:ascii="Book Antiqua" w:eastAsia="Book Antiqua" w:hAnsi="Book Antiqua" w:cs="Book Antiqua"/>
          <w:color w:val="000000"/>
        </w:rPr>
        <w:t>However</w:t>
      </w:r>
      <w:r w:rsidRPr="00074CC2">
        <w:rPr>
          <w:rFonts w:ascii="Book Antiqua" w:eastAsia="Book Antiqua" w:hAnsi="Book Antiqua" w:cs="Book Antiqua"/>
          <w:color w:val="000000"/>
        </w:rPr>
        <w:t>, the findings from that study can be criticized because pooled analysis did not adjust for other important clinicopathological parameters such as tumor multiplicity, location, stage, grade</w:t>
      </w:r>
      <w:r w:rsid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and gender. Additionally, the prevalence, biological behavior</w:t>
      </w:r>
      <w:r w:rsid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and UTUC prognos</w:t>
      </w:r>
      <w:r w:rsidR="00074CC2">
        <w:rPr>
          <w:rFonts w:ascii="Book Antiqua" w:eastAsia="Book Antiqua" w:hAnsi="Book Antiqua" w:cs="Book Antiqua"/>
          <w:color w:val="000000"/>
        </w:rPr>
        <w:t>i</w:t>
      </w:r>
      <w:r w:rsidRPr="00074CC2">
        <w:rPr>
          <w:rFonts w:ascii="Book Antiqua" w:eastAsia="Book Antiqua" w:hAnsi="Book Antiqua" w:cs="Book Antiqua"/>
          <w:color w:val="000000"/>
        </w:rPr>
        <w:t xml:space="preserve">s differ </w:t>
      </w:r>
      <w:r w:rsidR="00074CC2">
        <w:rPr>
          <w:rFonts w:ascii="Book Antiqua" w:eastAsia="Book Antiqua" w:hAnsi="Book Antiqua" w:cs="Book Antiqua"/>
          <w:color w:val="000000"/>
        </w:rPr>
        <w:t>among</w:t>
      </w:r>
      <w:r w:rsidR="00074CC2"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 xml:space="preserve">nationalities and </w:t>
      </w:r>
      <w:proofErr w:type="gramStart"/>
      <w:r w:rsidRPr="00074CC2">
        <w:rPr>
          <w:rFonts w:ascii="Book Antiqua" w:eastAsia="Book Antiqua" w:hAnsi="Book Antiqua" w:cs="Book Antiqua"/>
          <w:color w:val="000000"/>
        </w:rPr>
        <w:t>ethnicities</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1]</w:t>
      </w:r>
      <w:r w:rsidRPr="00074CC2">
        <w:rPr>
          <w:rFonts w:ascii="Book Antiqua" w:eastAsia="Book Antiqua" w:hAnsi="Book Antiqua" w:cs="Book Antiqua"/>
          <w:color w:val="000000"/>
        </w:rPr>
        <w:t xml:space="preserve">. That study generated only tentative recommendations since most of the included studies were conducted </w:t>
      </w:r>
      <w:r w:rsidR="009C4280">
        <w:rPr>
          <w:rFonts w:ascii="Book Antiqua" w:eastAsia="Book Antiqua" w:hAnsi="Book Antiqua" w:cs="Book Antiqua"/>
          <w:color w:val="000000"/>
        </w:rPr>
        <w:t>in</w:t>
      </w:r>
      <w:r w:rsidR="009C4280"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western populations</w:t>
      </w:r>
      <w:r w:rsidR="009C4280">
        <w:rPr>
          <w:rFonts w:ascii="Book Antiqua" w:eastAsia="Book Antiqua" w:hAnsi="Book Antiqua" w:cs="Book Antiqua"/>
          <w:color w:val="000000"/>
        </w:rPr>
        <w:t>, preventing</w:t>
      </w:r>
      <w:r w:rsidRPr="00074CC2">
        <w:rPr>
          <w:rFonts w:ascii="Book Antiqua" w:eastAsia="Book Antiqua" w:hAnsi="Book Antiqua" w:cs="Book Antiqua"/>
          <w:color w:val="000000"/>
        </w:rPr>
        <w:t xml:space="preserve"> generalizations to Asian and other populations.</w:t>
      </w:r>
    </w:p>
    <w:p w14:paraId="7253CE6C" w14:textId="248D4AAB" w:rsidR="00A77B3E" w:rsidRPr="009C4280" w:rsidRDefault="00CC0C82" w:rsidP="00E842BB">
      <w:pPr>
        <w:snapToGrid w:val="0"/>
        <w:spacing w:line="360" w:lineRule="auto"/>
        <w:ind w:firstLine="240"/>
        <w:jc w:val="both"/>
        <w:rPr>
          <w:rFonts w:ascii="Book Antiqua" w:hAnsi="Book Antiqua"/>
        </w:rPr>
      </w:pPr>
      <w:r w:rsidRPr="009C4280">
        <w:rPr>
          <w:rFonts w:ascii="Book Antiqua" w:eastAsia="Book Antiqua" w:hAnsi="Book Antiqua" w:cs="Book Antiqua"/>
          <w:color w:val="000000"/>
        </w:rPr>
        <w:t xml:space="preserve">As such, </w:t>
      </w:r>
      <w:r w:rsidR="009C4280">
        <w:rPr>
          <w:rFonts w:ascii="Book Antiqua" w:eastAsia="Book Antiqua" w:hAnsi="Book Antiqua" w:cs="Book Antiqua"/>
          <w:color w:val="000000"/>
        </w:rPr>
        <w:t>there is still a</w:t>
      </w:r>
      <w:r w:rsidRPr="009C4280">
        <w:rPr>
          <w:rFonts w:ascii="Book Antiqua" w:eastAsia="Book Antiqua" w:hAnsi="Book Antiqua" w:cs="Book Antiqua"/>
          <w:color w:val="000000"/>
        </w:rPr>
        <w:t xml:space="preserve"> need to fill this </w:t>
      </w:r>
      <w:r w:rsidR="009C4280">
        <w:rPr>
          <w:rFonts w:ascii="Book Antiqua" w:eastAsia="Book Antiqua" w:hAnsi="Book Antiqua" w:cs="Book Antiqua"/>
          <w:color w:val="000000"/>
        </w:rPr>
        <w:t xml:space="preserve">knowledge </w:t>
      </w:r>
      <w:r w:rsidRPr="009C4280">
        <w:rPr>
          <w:rFonts w:ascii="Book Antiqua" w:eastAsia="Book Antiqua" w:hAnsi="Book Antiqua" w:cs="Book Antiqua"/>
          <w:color w:val="000000"/>
        </w:rPr>
        <w:t>gap</w:t>
      </w:r>
      <w:r w:rsidR="009C4280">
        <w:rPr>
          <w:rFonts w:ascii="Book Antiqua" w:eastAsia="Book Antiqua" w:hAnsi="Book Antiqua" w:cs="Book Antiqua"/>
          <w:color w:val="000000"/>
        </w:rPr>
        <w:t>. Thus,</w:t>
      </w:r>
      <w:r w:rsidRPr="009C4280">
        <w:rPr>
          <w:rFonts w:ascii="Book Antiqua" w:eastAsia="Book Antiqua" w:hAnsi="Book Antiqua" w:cs="Book Antiqua"/>
          <w:color w:val="000000"/>
        </w:rPr>
        <w:t xml:space="preserve"> the aim of </w:t>
      </w:r>
      <w:r w:rsidR="009C4280">
        <w:rPr>
          <w:rFonts w:ascii="Book Antiqua" w:eastAsia="Book Antiqua" w:hAnsi="Book Antiqua" w:cs="Book Antiqua"/>
          <w:color w:val="000000"/>
        </w:rPr>
        <w:t>this</w:t>
      </w:r>
      <w:r w:rsidRPr="009C4280">
        <w:rPr>
          <w:rFonts w:ascii="Book Antiqua" w:eastAsia="Book Antiqua" w:hAnsi="Book Antiqua" w:cs="Book Antiqua"/>
          <w:color w:val="000000"/>
        </w:rPr>
        <w:t xml:space="preserve"> study </w:t>
      </w:r>
      <w:r w:rsidR="009C4280">
        <w:rPr>
          <w:rFonts w:ascii="Book Antiqua" w:eastAsia="Book Antiqua" w:hAnsi="Book Antiqua" w:cs="Book Antiqua"/>
          <w:color w:val="000000"/>
        </w:rPr>
        <w:t>was</w:t>
      </w:r>
      <w:r w:rsidRPr="009C4280">
        <w:rPr>
          <w:rFonts w:ascii="Book Antiqua" w:eastAsia="Book Antiqua" w:hAnsi="Book Antiqua" w:cs="Book Antiqua"/>
          <w:color w:val="000000"/>
        </w:rPr>
        <w:t xml:space="preserve"> to retrospectively collate data from a nationwide tertiary care center in mainland China, in order to investigate the oncological impact of the three, </w:t>
      </w:r>
      <w:r w:rsidRPr="009C4280">
        <w:rPr>
          <w:rFonts w:ascii="Book Antiqua" w:eastAsia="Book Antiqua" w:hAnsi="Book Antiqua" w:cs="Book Antiqua"/>
          <w:color w:val="000000"/>
        </w:rPr>
        <w:lastRenderedPageBreak/>
        <w:t xml:space="preserve">different BCE techniques on primary UTUC patients following RNU </w:t>
      </w:r>
      <w:r w:rsidR="009C4280">
        <w:rPr>
          <w:rFonts w:ascii="Book Antiqua" w:eastAsia="Book Antiqua" w:hAnsi="Book Antiqua" w:cs="Book Antiqua"/>
          <w:color w:val="000000"/>
        </w:rPr>
        <w:t>in</w:t>
      </w:r>
      <w:r w:rsidR="009C4280" w:rsidRPr="009C4280">
        <w:rPr>
          <w:rFonts w:ascii="Book Antiqua" w:eastAsia="Book Antiqua" w:hAnsi="Book Antiqua" w:cs="Book Antiqua"/>
          <w:color w:val="000000"/>
        </w:rPr>
        <w:t xml:space="preserve"> </w:t>
      </w:r>
      <w:r w:rsidRPr="009C4280">
        <w:rPr>
          <w:rFonts w:ascii="Book Antiqua" w:eastAsia="Book Antiqua" w:hAnsi="Book Antiqua" w:cs="Book Antiqua"/>
          <w:color w:val="000000"/>
        </w:rPr>
        <w:t>this Asian population.</w:t>
      </w:r>
    </w:p>
    <w:bookmarkEnd w:id="13"/>
    <w:bookmarkEnd w:id="14"/>
    <w:p w14:paraId="1422E825" w14:textId="77777777" w:rsidR="00A77B3E" w:rsidRPr="009C4280" w:rsidRDefault="00A77B3E" w:rsidP="00E842BB">
      <w:pPr>
        <w:snapToGrid w:val="0"/>
        <w:spacing w:line="360" w:lineRule="auto"/>
        <w:jc w:val="both"/>
        <w:rPr>
          <w:rFonts w:ascii="Book Antiqua" w:hAnsi="Book Antiqua"/>
        </w:rPr>
      </w:pPr>
    </w:p>
    <w:p w14:paraId="1A307DEE"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aps/>
          <w:color w:val="000000"/>
          <w:u w:val="single"/>
        </w:rPr>
        <w:t>MATERIALS AND METHODS</w:t>
      </w:r>
    </w:p>
    <w:p w14:paraId="515BC690" w14:textId="77777777" w:rsidR="00A77B3E" w:rsidRPr="00074CC2" w:rsidRDefault="00CC0C82" w:rsidP="00E842BB">
      <w:pPr>
        <w:snapToGrid w:val="0"/>
        <w:spacing w:line="360" w:lineRule="auto"/>
        <w:jc w:val="both"/>
        <w:rPr>
          <w:rFonts w:ascii="Book Antiqua" w:hAnsi="Book Antiqua"/>
        </w:rPr>
      </w:pPr>
      <w:bookmarkStart w:id="15" w:name="OLE_LINK12"/>
      <w:bookmarkStart w:id="16" w:name="OLE_LINK13"/>
      <w:r w:rsidRPr="00074CC2">
        <w:rPr>
          <w:rFonts w:ascii="Book Antiqua" w:eastAsia="Book Antiqua" w:hAnsi="Book Antiqua" w:cs="Book Antiqua"/>
          <w:b/>
          <w:bCs/>
          <w:i/>
          <w:iCs/>
          <w:color w:val="000000"/>
        </w:rPr>
        <w:t>Population</w:t>
      </w:r>
    </w:p>
    <w:p w14:paraId="48DD5781" w14:textId="13250942"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This monocentric, retrospective cohort study was approved by the institutional research ethics committee of our hospital (2019BJYYEC-237-01)</w:t>
      </w:r>
      <w:r w:rsidR="009C4280">
        <w:rPr>
          <w:rFonts w:ascii="Book Antiqua" w:eastAsia="Book Antiqua" w:hAnsi="Book Antiqua" w:cs="Book Antiqua"/>
          <w:color w:val="000000"/>
        </w:rPr>
        <w:t>,</w:t>
      </w:r>
      <w:r w:rsidRPr="009C4280">
        <w:rPr>
          <w:rFonts w:ascii="Book Antiqua" w:eastAsia="Book Antiqua" w:hAnsi="Book Antiqua" w:cs="Book Antiqua"/>
          <w:color w:val="000000"/>
        </w:rPr>
        <w:t xml:space="preserve"> and all procedures were conducted in accordance with Helsinki Declaration principles.</w:t>
      </w:r>
    </w:p>
    <w:p w14:paraId="6E72DDDB" w14:textId="58DF9CDA"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We retrospectively analyzed the prospectively collected data of patients with primary UTUC</w:t>
      </w:r>
      <w:r w:rsidR="009C4280">
        <w:rPr>
          <w:rFonts w:ascii="Book Antiqua" w:eastAsia="Book Antiqua" w:hAnsi="Book Antiqua" w:cs="Book Antiqua"/>
          <w:color w:val="000000"/>
        </w:rPr>
        <w:t>,</w:t>
      </w:r>
      <w:r w:rsidRPr="009C4280">
        <w:rPr>
          <w:rFonts w:ascii="Book Antiqua" w:eastAsia="Book Antiqua" w:hAnsi="Book Antiqua" w:cs="Book Antiqua"/>
          <w:color w:val="000000"/>
        </w:rPr>
        <w:t xml:space="preserve"> who</w:t>
      </w:r>
      <w:r w:rsidRPr="00074CC2">
        <w:rPr>
          <w:rFonts w:ascii="Book Antiqua" w:eastAsia="Book Antiqua" w:hAnsi="Book Antiqua" w:cs="Book Antiqua"/>
          <w:color w:val="000000"/>
        </w:rPr>
        <w:t xml:space="preserve"> underwent RNU with BCE in our hospital from January 2004 to December 2018. Patients who had previous or concomitant bladder cancer, systemic metastasis at presentation, bilateral synchronous UTUC, or prior cystectomy, ureterectomy</w:t>
      </w:r>
      <w:r w:rsidR="009C4280">
        <w:rPr>
          <w:rFonts w:ascii="Book Antiqua" w:eastAsia="Book Antiqua" w:hAnsi="Book Antiqua" w:cs="Book Antiqua"/>
          <w:color w:val="000000"/>
        </w:rPr>
        <w:t>,</w:t>
      </w:r>
      <w:r w:rsidRPr="009C4280">
        <w:rPr>
          <w:rFonts w:ascii="Book Antiqua" w:eastAsia="Book Antiqua" w:hAnsi="Book Antiqua" w:cs="Book Antiqua"/>
          <w:color w:val="000000"/>
        </w:rPr>
        <w:t xml:space="preserve"> or</w:t>
      </w:r>
      <w:r w:rsidRPr="00DB5098">
        <w:rPr>
          <w:rFonts w:ascii="Book Antiqua" w:eastAsia="Book Antiqua" w:hAnsi="Book Antiqua" w:cs="Book Antiqua"/>
          <w:color w:val="000000"/>
        </w:rPr>
        <w:t xml:space="preserve"> nephrectomy were excluded. In addition, patients whose follow-up period was less than 12 mo were also excluded, with exceptions for those who, within this time frame, encountered tumor recurrence or in the case of death.</w:t>
      </w:r>
    </w:p>
    <w:p w14:paraId="47B60D46" w14:textId="77777777" w:rsidR="00A77B3E" w:rsidRPr="00074CC2" w:rsidRDefault="00A77B3E" w:rsidP="00E842BB">
      <w:pPr>
        <w:snapToGrid w:val="0"/>
        <w:spacing w:line="360" w:lineRule="auto"/>
        <w:ind w:firstLine="240"/>
        <w:jc w:val="both"/>
        <w:rPr>
          <w:rFonts w:ascii="Book Antiqua" w:hAnsi="Book Antiqua"/>
        </w:rPr>
      </w:pPr>
    </w:p>
    <w:p w14:paraId="2E2813DE"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i/>
          <w:iCs/>
          <w:color w:val="000000"/>
        </w:rPr>
        <w:t>Surgical techniques</w:t>
      </w:r>
    </w:p>
    <w:p w14:paraId="528EF288"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RNU was performed either openly or laparoscopically at the discretion of the surgeon. The distal bladder cuff was removed using either an IVBC, EVBC, or TUBC approach.</w:t>
      </w:r>
    </w:p>
    <w:p w14:paraId="50FB1ECD" w14:textId="77777777"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 xml:space="preserve">The intravesical method is performed via a lower quadrant or midline incision after radical nephroureterectomy. This procedure involves creating an anterior cystotomy around the intramural ureter and ureteric orifice while confirming the contralateral ureteral orifice. Then, the nephroureterectomy specimen with the bladder cuff is removed </w:t>
      </w:r>
      <w:r w:rsidRPr="00074CC2">
        <w:rPr>
          <w:rFonts w:ascii="Book Antiqua" w:eastAsia="Book Antiqua" w:hAnsi="Book Antiqua" w:cs="Book Antiqua"/>
          <w:i/>
          <w:color w:val="000000"/>
        </w:rPr>
        <w:t>en bloc</w:t>
      </w:r>
      <w:r w:rsidRPr="00074CC2">
        <w:rPr>
          <w:rFonts w:ascii="Book Antiqua" w:eastAsia="Book Antiqua" w:hAnsi="Book Antiqua" w:cs="Book Antiqua"/>
          <w:color w:val="000000"/>
        </w:rPr>
        <w:t xml:space="preserve">, and the anterior cystotomy and residual defect is closed in two layers (Figure 1A). </w:t>
      </w:r>
    </w:p>
    <w:p w14:paraId="4CD97EAE" w14:textId="77777777"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 xml:space="preserve">In the extravesical technique on the other hand, the ureter is ligated or clamped early using a Ham-Lock, below the level of the tumor, and then the intramural </w:t>
      </w:r>
      <w:r w:rsidRPr="00074CC2">
        <w:rPr>
          <w:rFonts w:ascii="Book Antiqua" w:eastAsia="Book Antiqua" w:hAnsi="Book Antiqua" w:cs="Book Antiqua"/>
          <w:color w:val="000000"/>
        </w:rPr>
        <w:lastRenderedPageBreak/>
        <w:t>ureter is completely dissected with the bladder cuff approximately 1 cm around the ureteral orifice, extravesically after radical nephroureterectomy (Figure 1B).</w:t>
      </w:r>
    </w:p>
    <w:p w14:paraId="4EDDBBBE" w14:textId="15913A67"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The endoscopic approach is performed prior to nephrourete</w:t>
      </w:r>
      <w:r w:rsidR="00A6578B">
        <w:rPr>
          <w:rFonts w:ascii="Book Antiqua" w:eastAsia="Book Antiqua" w:hAnsi="Book Antiqua" w:cs="Book Antiqua"/>
          <w:color w:val="000000"/>
        </w:rPr>
        <w:t>re</w:t>
      </w:r>
      <w:r w:rsidRPr="00A6578B">
        <w:rPr>
          <w:rFonts w:ascii="Book Antiqua" w:eastAsia="Book Antiqua" w:hAnsi="Book Antiqua" w:cs="Book Antiqua"/>
          <w:color w:val="000000"/>
        </w:rPr>
        <w:t>ctomy. During this step, the ipsilateral ureteral orifice is endoscopically electrocauterized and a circumferential 10-mm cuff of bla</w:t>
      </w:r>
      <w:r w:rsidRPr="00074CC2">
        <w:rPr>
          <w:rFonts w:ascii="Book Antiqua" w:eastAsia="Book Antiqua" w:hAnsi="Book Antiqua" w:cs="Book Antiqua"/>
          <w:color w:val="000000"/>
        </w:rPr>
        <w:t>dder mucosa around the ureteral orifice is incised down to the perivesical fat using a resectoscope (Figure 1C). Then the patient is repositioned and the ureter below the distal border of the tumor is also ligated before performing nephrectomy.</w:t>
      </w:r>
    </w:p>
    <w:p w14:paraId="2B783C65" w14:textId="77777777"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None of the included patients received neo-adjuvant chemotherapy or radiotherapy, while adjuvant chemotherapy was administered at the clinicians’ discretion based on tumor stage and overall health status as well as patient preference.</w:t>
      </w:r>
    </w:p>
    <w:p w14:paraId="3EB1B666" w14:textId="77777777" w:rsidR="00A77B3E" w:rsidRPr="00074CC2" w:rsidRDefault="00A77B3E" w:rsidP="00E842BB">
      <w:pPr>
        <w:snapToGrid w:val="0"/>
        <w:spacing w:line="360" w:lineRule="auto"/>
        <w:jc w:val="both"/>
        <w:rPr>
          <w:rFonts w:ascii="Book Antiqua" w:hAnsi="Book Antiqua"/>
        </w:rPr>
      </w:pPr>
    </w:p>
    <w:p w14:paraId="42AF3A60"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i/>
          <w:iCs/>
          <w:color w:val="000000"/>
        </w:rPr>
        <w:t>Tumor stage and follow-up</w:t>
      </w:r>
    </w:p>
    <w:p w14:paraId="575F4E1D" w14:textId="7F7A47C6"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Tumors are generally staged according to the 2004 Union for International Cancer Control tumor node metastasis classification. Tumor grade is determined according to the 2004 World Health Organization classification.</w:t>
      </w:r>
    </w:p>
    <w:p w14:paraId="7E44952F" w14:textId="46BFF5CE" w:rsidR="00A77B3E" w:rsidRPr="00DB5098"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 xml:space="preserve">Postoperative follow-up generally includes interval history and physical examination, routine blood analysis, urine cytology, chest radiography, and computed tomography urograms. Cystoscopic evaluation and urinary cytology </w:t>
      </w:r>
      <w:r w:rsidR="00DB5098">
        <w:rPr>
          <w:rFonts w:ascii="Book Antiqua" w:eastAsia="Book Antiqua" w:hAnsi="Book Antiqua" w:cs="Book Antiqua"/>
          <w:color w:val="000000"/>
        </w:rPr>
        <w:t xml:space="preserve">are </w:t>
      </w:r>
      <w:r w:rsidRPr="00DB5098">
        <w:rPr>
          <w:rFonts w:ascii="Book Antiqua" w:eastAsia="Book Antiqua" w:hAnsi="Book Antiqua" w:cs="Book Antiqua"/>
          <w:color w:val="000000"/>
        </w:rPr>
        <w:t xml:space="preserve">performed every </w:t>
      </w:r>
      <w:r w:rsidR="00DB5098">
        <w:rPr>
          <w:rFonts w:ascii="Book Antiqua" w:eastAsia="Book Antiqua" w:hAnsi="Book Antiqua" w:cs="Book Antiqua"/>
          <w:color w:val="000000"/>
        </w:rPr>
        <w:t>3 mo</w:t>
      </w:r>
      <w:r w:rsidRPr="00DB5098">
        <w:rPr>
          <w:rFonts w:ascii="Book Antiqua" w:eastAsia="Book Antiqua" w:hAnsi="Book Antiqua" w:cs="Book Antiqua"/>
          <w:color w:val="000000"/>
        </w:rPr>
        <w:t xml:space="preserve"> for the first </w:t>
      </w:r>
      <w:r w:rsidR="00DB5098">
        <w:rPr>
          <w:rFonts w:ascii="Book Antiqua" w:eastAsia="Book Antiqua" w:hAnsi="Book Antiqua" w:cs="Book Antiqua"/>
          <w:color w:val="000000"/>
        </w:rPr>
        <w:t>2</w:t>
      </w:r>
      <w:r w:rsidR="00DB5098" w:rsidRPr="00DB5098">
        <w:rPr>
          <w:rFonts w:ascii="Book Antiqua" w:eastAsia="Book Antiqua" w:hAnsi="Book Antiqua" w:cs="Book Antiqua"/>
          <w:color w:val="000000"/>
        </w:rPr>
        <w:t xml:space="preserve"> </w:t>
      </w:r>
      <w:r w:rsidRPr="00DB5098">
        <w:rPr>
          <w:rFonts w:ascii="Book Antiqua" w:eastAsia="Book Antiqua" w:hAnsi="Book Antiqua" w:cs="Book Antiqua"/>
          <w:color w:val="000000"/>
        </w:rPr>
        <w:t xml:space="preserve">years following RNU, and every </w:t>
      </w:r>
      <w:r w:rsidR="00DB5098">
        <w:rPr>
          <w:rFonts w:ascii="Book Antiqua" w:eastAsia="Book Antiqua" w:hAnsi="Book Antiqua" w:cs="Book Antiqua"/>
          <w:color w:val="000000"/>
        </w:rPr>
        <w:t xml:space="preserve">6 </w:t>
      </w:r>
      <w:proofErr w:type="spellStart"/>
      <w:r w:rsidR="00DB5098">
        <w:rPr>
          <w:rFonts w:ascii="Book Antiqua" w:eastAsia="Book Antiqua" w:hAnsi="Book Antiqua" w:cs="Book Antiqua"/>
          <w:color w:val="000000"/>
        </w:rPr>
        <w:t>mo</w:t>
      </w:r>
      <w:proofErr w:type="spellEnd"/>
      <w:r w:rsidR="00DB5098">
        <w:rPr>
          <w:rFonts w:ascii="Book Antiqua" w:eastAsia="Book Antiqua" w:hAnsi="Book Antiqua" w:cs="Book Antiqua"/>
          <w:color w:val="000000"/>
        </w:rPr>
        <w:t xml:space="preserve"> </w:t>
      </w:r>
      <w:r w:rsidRPr="00DB5098">
        <w:rPr>
          <w:rFonts w:ascii="Book Antiqua" w:eastAsia="Book Antiqua" w:hAnsi="Book Antiqua" w:cs="Book Antiqua"/>
          <w:color w:val="000000"/>
        </w:rPr>
        <w:t xml:space="preserve">thereafter until </w:t>
      </w:r>
      <w:r w:rsidR="00DB5098">
        <w:rPr>
          <w:rFonts w:ascii="Book Antiqua" w:eastAsia="Book Antiqua" w:hAnsi="Book Antiqua" w:cs="Book Antiqua"/>
          <w:color w:val="000000"/>
        </w:rPr>
        <w:t xml:space="preserve">5 </w:t>
      </w:r>
      <w:r w:rsidRPr="00DB5098">
        <w:rPr>
          <w:rFonts w:ascii="Book Antiqua" w:eastAsia="Book Antiqua" w:hAnsi="Book Antiqua" w:cs="Book Antiqua"/>
          <w:color w:val="000000"/>
        </w:rPr>
        <w:t>years. Thereafter check-ups take place annually. Additional imaging such as chest computed tomography</w:t>
      </w:r>
      <w:r w:rsidR="00DB5098">
        <w:rPr>
          <w:rFonts w:ascii="Book Antiqua" w:eastAsia="Book Antiqua" w:hAnsi="Book Antiqua" w:cs="Book Antiqua"/>
          <w:color w:val="000000"/>
        </w:rPr>
        <w:t xml:space="preserve"> (CT)</w:t>
      </w:r>
      <w:r w:rsidRPr="00DB5098">
        <w:rPr>
          <w:rFonts w:ascii="Book Antiqua" w:eastAsia="Book Antiqua" w:hAnsi="Book Antiqua" w:cs="Book Antiqua"/>
          <w:color w:val="000000"/>
        </w:rPr>
        <w:t xml:space="preserve">, bone scans, or </w:t>
      </w:r>
      <w:r w:rsidR="00DB5098">
        <w:rPr>
          <w:rFonts w:ascii="Book Antiqua" w:eastAsia="Book Antiqua" w:hAnsi="Book Antiqua" w:cs="Book Antiqua"/>
          <w:color w:val="000000"/>
        </w:rPr>
        <w:t>position emission tomography/CT</w:t>
      </w:r>
      <w:r w:rsidRPr="00DB5098">
        <w:rPr>
          <w:rFonts w:ascii="Book Antiqua" w:eastAsia="Book Antiqua" w:hAnsi="Book Antiqua" w:cs="Book Antiqua"/>
          <w:color w:val="000000"/>
        </w:rPr>
        <w:t xml:space="preserve"> examination are also performed when clinically required.</w:t>
      </w:r>
    </w:p>
    <w:p w14:paraId="281C266F" w14:textId="77777777" w:rsidR="00A77B3E" w:rsidRPr="00074CC2" w:rsidRDefault="00A77B3E" w:rsidP="00E842BB">
      <w:pPr>
        <w:snapToGrid w:val="0"/>
        <w:spacing w:line="360" w:lineRule="auto"/>
        <w:jc w:val="both"/>
        <w:rPr>
          <w:rFonts w:ascii="Book Antiqua" w:hAnsi="Book Antiqua"/>
        </w:rPr>
      </w:pPr>
    </w:p>
    <w:p w14:paraId="5AFB3BA0" w14:textId="4D45C224"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i/>
          <w:iCs/>
          <w:color w:val="000000"/>
        </w:rPr>
        <w:t>Outcomes and data collect</w:t>
      </w:r>
      <w:r w:rsidR="00DB5098">
        <w:rPr>
          <w:rFonts w:ascii="Book Antiqua" w:eastAsia="Book Antiqua" w:hAnsi="Book Antiqua" w:cs="Book Antiqua"/>
          <w:b/>
          <w:bCs/>
          <w:i/>
          <w:iCs/>
          <w:color w:val="000000"/>
        </w:rPr>
        <w:t>ion</w:t>
      </w:r>
    </w:p>
    <w:p w14:paraId="732B5804" w14:textId="30FD6E98"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Oncological outcome parameters were assessed for IVR, as well as other recurrences (</w:t>
      </w:r>
      <w:r w:rsidRPr="00074CC2">
        <w:rPr>
          <w:rFonts w:ascii="Book Antiqua" w:eastAsia="Book Antiqua" w:hAnsi="Book Antiqua" w:cs="Book Antiqua"/>
          <w:i/>
          <w:iCs/>
          <w:color w:val="000000"/>
        </w:rPr>
        <w:t>i.e</w:t>
      </w:r>
      <w:r w:rsidRPr="00074CC2">
        <w:rPr>
          <w:rFonts w:ascii="Book Antiqua" w:eastAsia="Book Antiqua" w:hAnsi="Book Antiqua" w:cs="Book Antiqua"/>
          <w:color w:val="000000"/>
        </w:rPr>
        <w:t xml:space="preserve">. operative field which includes ureteric stump, retroperitoneum or </w:t>
      </w:r>
      <w:r w:rsidRPr="00074CC2">
        <w:rPr>
          <w:rFonts w:ascii="Book Antiqua" w:eastAsia="Book Antiqua" w:hAnsi="Book Antiqua" w:cs="Book Antiqua"/>
          <w:color w:val="000000"/>
        </w:rPr>
        <w:lastRenderedPageBreak/>
        <w:t>renal fossa, regional lymph nodes, contralateral recurrences, and/or distant metastasis), disease-specific mortality, and deaths related to other causes. Other demographic and clinicopathologic data including patient age, gender, American society of anesthesiologists scores, smoking status, distal ureter management approach, tumor side, tumor location, tumor stage, tumor grade</w:t>
      </w:r>
      <w:r w:rsidR="00DB5098">
        <w:rPr>
          <w:rFonts w:ascii="Book Antiqua" w:eastAsia="Book Antiqua" w:hAnsi="Book Antiqua" w:cs="Book Antiqua"/>
          <w:color w:val="000000"/>
        </w:rPr>
        <w:t>,</w:t>
      </w:r>
      <w:r w:rsidRPr="00DB5098">
        <w:rPr>
          <w:rFonts w:ascii="Book Antiqua" w:eastAsia="Book Antiqua" w:hAnsi="Book Antiqua" w:cs="Book Antiqua"/>
          <w:color w:val="000000"/>
        </w:rPr>
        <w:t xml:space="preserve"> and lymph nodal status were systematically recorded.</w:t>
      </w:r>
    </w:p>
    <w:p w14:paraId="60DC8B0F" w14:textId="77777777" w:rsidR="00A77B3E" w:rsidRPr="00074CC2" w:rsidRDefault="00A77B3E" w:rsidP="00E842BB">
      <w:pPr>
        <w:snapToGrid w:val="0"/>
        <w:spacing w:line="360" w:lineRule="auto"/>
        <w:jc w:val="both"/>
        <w:rPr>
          <w:rFonts w:ascii="Book Antiqua" w:hAnsi="Book Antiqua"/>
        </w:rPr>
      </w:pPr>
    </w:p>
    <w:p w14:paraId="07CFB72A" w14:textId="659D4FAA" w:rsidR="00A77B3E" w:rsidRPr="00074CC2" w:rsidRDefault="00B6292A" w:rsidP="00E842BB">
      <w:pPr>
        <w:snapToGrid w:val="0"/>
        <w:spacing w:line="360" w:lineRule="auto"/>
        <w:jc w:val="both"/>
        <w:rPr>
          <w:rFonts w:ascii="Book Antiqua" w:hAnsi="Book Antiqua"/>
        </w:rPr>
      </w:pPr>
      <w:r w:rsidRPr="00074CC2">
        <w:rPr>
          <w:rFonts w:ascii="Book Antiqua" w:eastAsia="Book Antiqua" w:hAnsi="Book Antiqua" w:cs="Book Antiqua"/>
          <w:b/>
          <w:bCs/>
          <w:i/>
          <w:iCs/>
          <w:color w:val="000000"/>
        </w:rPr>
        <w:t>Statistical analysis</w:t>
      </w:r>
    </w:p>
    <w:p w14:paraId="46B26B46" w14:textId="7B7ECADA" w:rsidR="00A77B3E" w:rsidRPr="00413E9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Data were collated using Excel 2013 (Microsoft Corporation, Redmond, </w:t>
      </w:r>
      <w:r w:rsidR="00DB5098">
        <w:rPr>
          <w:rFonts w:ascii="Book Antiqua" w:eastAsia="Book Antiqua" w:hAnsi="Book Antiqua" w:cs="Book Antiqua"/>
          <w:color w:val="000000"/>
        </w:rPr>
        <w:t>WA</w:t>
      </w:r>
      <w:r w:rsidRPr="00DB5098">
        <w:rPr>
          <w:rFonts w:ascii="Book Antiqua" w:eastAsia="Book Antiqua" w:hAnsi="Book Antiqua" w:cs="Book Antiqua"/>
          <w:color w:val="000000"/>
        </w:rPr>
        <w:t>, United States) and all statistical analyses were performed with SPSS (version 20, IBM, Armonk, NY</w:t>
      </w:r>
      <w:r w:rsidR="00935012" w:rsidRPr="00DB5098">
        <w:rPr>
          <w:rFonts w:ascii="Book Antiqua" w:eastAsia="Book Antiqua" w:hAnsi="Book Antiqua" w:cs="Book Antiqua"/>
          <w:color w:val="000000"/>
        </w:rPr>
        <w:t>, United States</w:t>
      </w:r>
      <w:r w:rsidRPr="00DB5098">
        <w:rPr>
          <w:rFonts w:ascii="Book Antiqua" w:eastAsia="Book Antiqua" w:hAnsi="Book Antiqua" w:cs="Book Antiqua"/>
          <w:color w:val="000000"/>
        </w:rPr>
        <w:t>). Fisher</w:t>
      </w:r>
      <w:r w:rsidR="00DB5098">
        <w:rPr>
          <w:rFonts w:ascii="Book Antiqua" w:eastAsia="Book Antiqua" w:hAnsi="Book Antiqua" w:cs="Book Antiqua"/>
          <w:color w:val="000000"/>
        </w:rPr>
        <w:t>’</w:t>
      </w:r>
      <w:r w:rsidRPr="00074CC2">
        <w:rPr>
          <w:rFonts w:ascii="Book Antiqua" w:eastAsia="Book Antiqua" w:hAnsi="Book Antiqua" w:cs="Book Antiqua"/>
          <w:color w:val="000000"/>
        </w:rPr>
        <w:t>s exact and chi-square tests were used to assess associations between clinicopathological variables and the three procedures. Survival curves were generated using the Kaplan-Meier method</w:t>
      </w:r>
      <w:r w:rsidR="00DB5098">
        <w:rPr>
          <w:rFonts w:ascii="Book Antiqua" w:eastAsia="Book Antiqua" w:hAnsi="Book Antiqua" w:cs="Book Antiqua"/>
          <w:color w:val="000000"/>
        </w:rPr>
        <w:t>,</w:t>
      </w:r>
      <w:r w:rsidRPr="00DB5098">
        <w:rPr>
          <w:rFonts w:ascii="Book Antiqua" w:eastAsia="Book Antiqua" w:hAnsi="Book Antiqua" w:cs="Book Antiqua"/>
          <w:color w:val="000000"/>
        </w:rPr>
        <w:t xml:space="preserve"> and the log rank test was used to compare oncological outcomes such as IRFS, cancer-specific survival (CSS)</w:t>
      </w:r>
      <w:r w:rsidR="00DB5098">
        <w:rPr>
          <w:rFonts w:ascii="Book Antiqua" w:eastAsia="Book Antiqua" w:hAnsi="Book Antiqua" w:cs="Book Antiqua"/>
          <w:color w:val="000000"/>
        </w:rPr>
        <w:t>,</w:t>
      </w:r>
      <w:r w:rsidRPr="00DB5098">
        <w:rPr>
          <w:rFonts w:ascii="Book Antiqua" w:eastAsia="Book Antiqua" w:hAnsi="Book Antiqua" w:cs="Book Antiqua"/>
          <w:color w:val="000000"/>
        </w:rPr>
        <w:t xml:space="preserve"> and overall survival (OS). Multivariate survival analysis was assessed using </w:t>
      </w:r>
      <w:r w:rsidR="004E501E">
        <w:rPr>
          <w:rFonts w:ascii="Book Antiqua" w:eastAsia="Book Antiqua" w:hAnsi="Book Antiqua" w:cs="Book Antiqua"/>
          <w:color w:val="000000"/>
        </w:rPr>
        <w:t xml:space="preserve">the </w:t>
      </w:r>
      <w:r w:rsidRPr="00DB5098">
        <w:rPr>
          <w:rFonts w:ascii="Book Antiqua" w:eastAsia="Book Antiqua" w:hAnsi="Book Antiqua" w:cs="Book Antiqua"/>
          <w:color w:val="000000"/>
        </w:rPr>
        <w:t xml:space="preserve">Cox proportional hazard regression model (a forward </w:t>
      </w:r>
      <w:r w:rsidRPr="004E501E">
        <w:rPr>
          <w:rFonts w:ascii="Book Antiqua" w:eastAsia="Book Antiqua" w:hAnsi="Book Antiqua" w:cs="Book Antiqua"/>
          <w:color w:val="000000"/>
        </w:rPr>
        <w:t>likelihood ratio</w:t>
      </w:r>
      <w:r w:rsidR="004E501E">
        <w:rPr>
          <w:rFonts w:ascii="Book Antiqua" w:eastAsia="Book Antiqua" w:hAnsi="Book Antiqua" w:cs="Book Antiqua"/>
          <w:color w:val="000000"/>
        </w:rPr>
        <w:t>-</w:t>
      </w:r>
      <w:r w:rsidRPr="004E501E">
        <w:rPr>
          <w:rFonts w:ascii="Book Antiqua" w:eastAsia="Book Antiqua" w:hAnsi="Book Antiqua" w:cs="Book Antiqua"/>
          <w:color w:val="000000"/>
        </w:rPr>
        <w:t xml:space="preserve">based model) to evaluate the risk of several independent factors. Statistical significance was determined around the standard threshold, </w:t>
      </w:r>
      <w:r w:rsidRPr="004E501E">
        <w:rPr>
          <w:rFonts w:ascii="Book Antiqua" w:eastAsia="Book Antiqua" w:hAnsi="Book Antiqua" w:cs="Book Antiqua"/>
          <w:i/>
          <w:iCs/>
          <w:color w:val="000000"/>
        </w:rPr>
        <w:t>P &lt;</w:t>
      </w:r>
      <w:r w:rsidRPr="00413E92">
        <w:rPr>
          <w:rFonts w:ascii="Book Antiqua" w:eastAsia="Book Antiqua" w:hAnsi="Book Antiqua" w:cs="Book Antiqua"/>
          <w:color w:val="000000"/>
        </w:rPr>
        <w:t xml:space="preserve"> 0.05.</w:t>
      </w:r>
    </w:p>
    <w:bookmarkEnd w:id="15"/>
    <w:bookmarkEnd w:id="16"/>
    <w:p w14:paraId="45CA2BEE" w14:textId="77777777" w:rsidR="00A77B3E" w:rsidRPr="00074CC2" w:rsidRDefault="00A77B3E" w:rsidP="00E842BB">
      <w:pPr>
        <w:snapToGrid w:val="0"/>
        <w:spacing w:line="360" w:lineRule="auto"/>
        <w:jc w:val="both"/>
        <w:rPr>
          <w:rFonts w:ascii="Book Antiqua" w:hAnsi="Book Antiqua"/>
        </w:rPr>
      </w:pPr>
    </w:p>
    <w:p w14:paraId="78041895"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aps/>
          <w:color w:val="000000"/>
          <w:u w:val="single"/>
        </w:rPr>
        <w:t>RESULTS</w:t>
      </w:r>
    </w:p>
    <w:p w14:paraId="50300523" w14:textId="77777777" w:rsidR="00A77B3E" w:rsidRPr="00074CC2" w:rsidRDefault="00CC0C82" w:rsidP="00E842BB">
      <w:pPr>
        <w:snapToGrid w:val="0"/>
        <w:spacing w:line="360" w:lineRule="auto"/>
        <w:jc w:val="both"/>
        <w:rPr>
          <w:rFonts w:ascii="Book Antiqua" w:hAnsi="Book Antiqua"/>
        </w:rPr>
      </w:pPr>
      <w:bookmarkStart w:id="17" w:name="OLE_LINK14"/>
      <w:bookmarkStart w:id="18" w:name="OLE_LINK15"/>
      <w:r w:rsidRPr="00074CC2">
        <w:rPr>
          <w:rFonts w:ascii="Book Antiqua" w:eastAsia="Book Antiqua" w:hAnsi="Book Antiqua" w:cs="Book Antiqua"/>
          <w:b/>
          <w:bCs/>
          <w:i/>
          <w:iCs/>
          <w:color w:val="000000"/>
        </w:rPr>
        <w:t>Baseline characteristics of the study population</w:t>
      </w:r>
    </w:p>
    <w:p w14:paraId="5D41F70A" w14:textId="55AA131B"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A total of 248 patients were included, of which 49.2% (</w:t>
      </w:r>
      <w:r w:rsidRPr="00074CC2">
        <w:rPr>
          <w:rFonts w:ascii="Book Antiqua" w:eastAsia="Book Antiqua" w:hAnsi="Book Antiqua" w:cs="Book Antiqua"/>
          <w:i/>
          <w:iCs/>
          <w:color w:val="000000"/>
        </w:rPr>
        <w:t xml:space="preserve">n </w:t>
      </w:r>
      <w:r w:rsidRPr="00074CC2">
        <w:rPr>
          <w:rFonts w:ascii="Book Antiqua" w:eastAsia="Book Antiqua" w:hAnsi="Book Antiqua" w:cs="Book Antiqua"/>
          <w:color w:val="000000"/>
        </w:rPr>
        <w:t>= 122) were men. The remaining 50.8%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126) were women. All participants underwent RNU for UTUC and met the predefined eligibility criteria. The median age was 69 years, ranging from 32</w:t>
      </w:r>
      <w:r w:rsidR="004E501E">
        <w:rPr>
          <w:rFonts w:ascii="Book Antiqua" w:eastAsia="Book Antiqua" w:hAnsi="Book Antiqua" w:cs="Book Antiqua"/>
          <w:color w:val="000000"/>
        </w:rPr>
        <w:t xml:space="preserve"> to </w:t>
      </w:r>
      <w:r w:rsidRPr="00074CC2">
        <w:rPr>
          <w:rFonts w:ascii="Book Antiqua" w:eastAsia="Book Antiqua" w:hAnsi="Book Antiqua" w:cs="Book Antiqua"/>
          <w:color w:val="000000"/>
        </w:rPr>
        <w:t xml:space="preserve">88 years. The most common symptom </w:t>
      </w:r>
      <w:r w:rsidR="004E501E">
        <w:rPr>
          <w:rFonts w:ascii="Book Antiqua" w:eastAsia="Book Antiqua" w:hAnsi="Book Antiqua" w:cs="Book Antiqua"/>
          <w:color w:val="000000"/>
        </w:rPr>
        <w:t>was</w:t>
      </w:r>
      <w:r w:rsidR="004E501E" w:rsidRPr="004E501E">
        <w:rPr>
          <w:rFonts w:ascii="Book Antiqua" w:eastAsia="Book Antiqua" w:hAnsi="Book Antiqua" w:cs="Book Antiqua"/>
          <w:color w:val="000000"/>
        </w:rPr>
        <w:t xml:space="preserve"> </w:t>
      </w:r>
      <w:r w:rsidRPr="004E501E">
        <w:rPr>
          <w:rFonts w:ascii="Book Antiqua" w:eastAsia="Book Antiqua" w:hAnsi="Book Antiqua" w:cs="Book Antiqua"/>
          <w:color w:val="000000"/>
        </w:rPr>
        <w:t>gross hematuria (68.1%) and flank pain occurred in approximately 20% of cases. Among these patients, 39.9%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99) underwent IVBC, 38.7%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96) received EVBC, and 21.4% (</w:t>
      </w:r>
      <w:r w:rsidRPr="00074CC2">
        <w:rPr>
          <w:rFonts w:ascii="Book Antiqua" w:eastAsia="Book Antiqua" w:hAnsi="Book Antiqua" w:cs="Book Antiqua"/>
          <w:i/>
          <w:iCs/>
          <w:color w:val="000000"/>
        </w:rPr>
        <w:t xml:space="preserve">n </w:t>
      </w:r>
      <w:r w:rsidRPr="00074CC2">
        <w:rPr>
          <w:rFonts w:ascii="Book Antiqua" w:eastAsia="Book Antiqua" w:hAnsi="Book Antiqua" w:cs="Book Antiqua"/>
          <w:color w:val="000000"/>
        </w:rPr>
        <w:t xml:space="preserve">= 53) utilized TUBC. Detailed demographics and clinicopathological characteristics including patient age, gender, American society of </w:t>
      </w:r>
      <w:r w:rsidRPr="00074CC2">
        <w:rPr>
          <w:rFonts w:ascii="Book Antiqua" w:eastAsia="Book Antiqua" w:hAnsi="Book Antiqua" w:cs="Book Antiqua"/>
          <w:color w:val="000000"/>
        </w:rPr>
        <w:lastRenderedPageBreak/>
        <w:t>anesthesiologists score, gross hematuria history, lymph node status, tumor side, location, stage, and grade of the entire populations are provided in Table 1.</w:t>
      </w:r>
    </w:p>
    <w:p w14:paraId="46AF26FB" w14:textId="78ABD93C"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All patients received successful operations with negative surgical margins.</w:t>
      </w:r>
      <w:r w:rsidR="00B82087"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None of the patients received neo-adjuvant chemotherapy, while 30 patients had previously received adjuvant chemotherapy with or without radiotherapy for advanced stage carcinomas. After surgery, 25 patients received a single dose of intravesical instillation and 52 received at least four doses of chemotherapy weekly.</w:t>
      </w:r>
    </w:p>
    <w:p w14:paraId="487737AF" w14:textId="77777777" w:rsidR="00A77B3E" w:rsidRPr="00074CC2" w:rsidRDefault="00A77B3E" w:rsidP="00E842BB">
      <w:pPr>
        <w:snapToGrid w:val="0"/>
        <w:spacing w:line="360" w:lineRule="auto"/>
        <w:jc w:val="both"/>
        <w:rPr>
          <w:rFonts w:ascii="Book Antiqua" w:hAnsi="Book Antiqua"/>
        </w:rPr>
      </w:pPr>
    </w:p>
    <w:p w14:paraId="491A69CB" w14:textId="77777777" w:rsidR="00C54216" w:rsidRPr="00074CC2" w:rsidRDefault="00C54216" w:rsidP="00E842BB">
      <w:pPr>
        <w:snapToGrid w:val="0"/>
        <w:spacing w:line="360" w:lineRule="auto"/>
        <w:jc w:val="both"/>
        <w:rPr>
          <w:rStyle w:val="a8"/>
          <w:rFonts w:ascii="Book Antiqua" w:hAnsi="Book Antiqua"/>
          <w:b/>
          <w:bCs/>
        </w:rPr>
      </w:pPr>
      <w:r w:rsidRPr="00074CC2">
        <w:rPr>
          <w:rStyle w:val="a8"/>
          <w:rFonts w:ascii="Book Antiqua" w:hAnsi="Book Antiqua"/>
          <w:b/>
          <w:bCs/>
        </w:rPr>
        <w:t>Long</w:t>
      </w:r>
      <w:r w:rsidRPr="00074CC2">
        <w:rPr>
          <w:rStyle w:val="a8"/>
          <w:rFonts w:ascii="Book Antiqua" w:hAnsi="Book Antiqua"/>
          <w:b/>
          <w:bCs/>
        </w:rPr>
        <w:noBreakHyphen/>
        <w:t>term oncological outcomes</w:t>
      </w:r>
    </w:p>
    <w:p w14:paraId="39F38C0C" w14:textId="75814542"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With a median follow-up of 44.2 mo (ranging from 3.4 to 172.1 mo), 76.6%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190) </w:t>
      </w:r>
      <w:r w:rsidR="009E33A6">
        <w:rPr>
          <w:rFonts w:ascii="Book Antiqua" w:eastAsia="Book Antiqua" w:hAnsi="Book Antiqua" w:cs="Book Antiqua"/>
          <w:color w:val="000000"/>
        </w:rPr>
        <w:t xml:space="preserve">of </w:t>
      </w:r>
      <w:r w:rsidRPr="009E33A6">
        <w:rPr>
          <w:rFonts w:ascii="Book Antiqua" w:eastAsia="Book Antiqua" w:hAnsi="Book Antiqua" w:cs="Book Antiqua"/>
          <w:color w:val="000000"/>
        </w:rPr>
        <w:t xml:space="preserve">patients were alive and disease-free. </w:t>
      </w:r>
      <w:r w:rsidR="004E501E">
        <w:rPr>
          <w:rFonts w:ascii="Book Antiqua" w:eastAsia="Book Antiqua" w:hAnsi="Book Antiqua" w:cs="Book Antiqua"/>
          <w:color w:val="000000"/>
        </w:rPr>
        <w:t>Thirty-one</w:t>
      </w:r>
      <w:r w:rsidRPr="004E501E">
        <w:rPr>
          <w:rFonts w:ascii="Book Antiqua" w:eastAsia="Book Antiqua" w:hAnsi="Book Antiqua" w:cs="Book Antiqua"/>
          <w:color w:val="000000"/>
        </w:rPr>
        <w:t xml:space="preserve"> (</w:t>
      </w:r>
      <w:r w:rsidRPr="004E501E">
        <w:rPr>
          <w:rFonts w:ascii="Book Antiqua" w:eastAsia="Book Antiqua" w:hAnsi="Book Antiqua" w:cs="Book Antiqua"/>
          <w:i/>
          <w:iCs/>
          <w:color w:val="000000"/>
        </w:rPr>
        <w:t>i.e.</w:t>
      </w:r>
      <w:r w:rsidRPr="00074CC2">
        <w:rPr>
          <w:rFonts w:ascii="Book Antiqua" w:eastAsia="Book Antiqua" w:hAnsi="Book Antiqua" w:cs="Book Antiqua"/>
          <w:color w:val="000000"/>
        </w:rPr>
        <w:t xml:space="preserve"> 12.5%) patients died, of </w:t>
      </w:r>
      <w:r w:rsidR="00CE7F6C">
        <w:rPr>
          <w:rFonts w:ascii="Book Antiqua" w:eastAsia="Book Antiqua" w:hAnsi="Book Antiqua" w:cs="Book Antiqua"/>
          <w:color w:val="000000"/>
        </w:rPr>
        <w:t>which</w:t>
      </w:r>
      <w:r w:rsidR="00CE7F6C" w:rsidRPr="00CE7F6C">
        <w:rPr>
          <w:rFonts w:ascii="Book Antiqua" w:eastAsia="Book Antiqua" w:hAnsi="Book Antiqua" w:cs="Book Antiqua"/>
          <w:color w:val="000000"/>
        </w:rPr>
        <w:t xml:space="preserve"> </w:t>
      </w:r>
      <w:r w:rsidRPr="00CE7F6C">
        <w:rPr>
          <w:rFonts w:ascii="Book Antiqua" w:eastAsia="Book Antiqua" w:hAnsi="Book Antiqua" w:cs="Book Antiqua"/>
          <w:color w:val="000000"/>
        </w:rPr>
        <w:t>8.1% (</w:t>
      </w:r>
      <w:r w:rsidRPr="00CE7F6C">
        <w:rPr>
          <w:rFonts w:ascii="Book Antiqua" w:eastAsia="Book Antiqua" w:hAnsi="Book Antiqua" w:cs="Book Antiqua"/>
          <w:i/>
          <w:iCs/>
          <w:color w:val="000000"/>
        </w:rPr>
        <w:t>n</w:t>
      </w:r>
      <w:r w:rsidRPr="00CE7F6C">
        <w:rPr>
          <w:rFonts w:ascii="Book Antiqua" w:eastAsia="Book Antiqua" w:hAnsi="Book Antiqua" w:cs="Book Antiqua"/>
          <w:color w:val="000000"/>
        </w:rPr>
        <w:t xml:space="preserve"> = 20) deaths were attributed to UTUC, whereas 11 </w:t>
      </w:r>
      <w:r w:rsidRPr="00074CC2">
        <w:rPr>
          <w:rFonts w:ascii="Book Antiqua" w:eastAsia="Book Antiqua" w:hAnsi="Book Antiqua" w:cs="Book Antiqua"/>
          <w:color w:val="000000"/>
        </w:rPr>
        <w:t>died from other causes. 19.4%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48) of the patients had some form of disease recurrence during follow-up, of which 14.5%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36) had recurrence within the bladder.</w:t>
      </w:r>
    </w:p>
    <w:p w14:paraId="4F5080A0" w14:textId="304863E9"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To analyze the factors associated with the oncology outcomes, univariate and multivariate Cox regression analyses were conducted (Table 2). Kaplan-Meier analysis suggest</w:t>
      </w:r>
      <w:r w:rsidR="009E33A6">
        <w:rPr>
          <w:rFonts w:ascii="Book Antiqua" w:eastAsia="Book Antiqua" w:hAnsi="Book Antiqua" w:cs="Book Antiqua"/>
          <w:color w:val="000000"/>
        </w:rPr>
        <w:t>ed that</w:t>
      </w:r>
      <w:r w:rsidRPr="00074CC2">
        <w:rPr>
          <w:rFonts w:ascii="Book Antiqua" w:eastAsia="Book Antiqua" w:hAnsi="Book Antiqua" w:cs="Book Antiqua"/>
          <w:color w:val="000000"/>
        </w:rPr>
        <w:t xml:space="preserve"> patients with lower ureter tumor location had significantly higher IVR (</w:t>
      </w:r>
      <w:r w:rsidRPr="00074CC2">
        <w:rPr>
          <w:rFonts w:ascii="Book Antiqua" w:eastAsia="Book Antiqua" w:hAnsi="Book Antiqua" w:cs="Book Antiqua"/>
          <w:i/>
          <w:iCs/>
          <w:color w:val="000000"/>
        </w:rPr>
        <w:t>P</w:t>
      </w:r>
      <w:r w:rsidRPr="00074CC2">
        <w:rPr>
          <w:rFonts w:ascii="Book Antiqua" w:eastAsia="Book Antiqua" w:hAnsi="Book Antiqua" w:cs="Book Antiqua"/>
          <w:color w:val="000000"/>
        </w:rPr>
        <w:t xml:space="preserve"> = 0.042</w:t>
      </w:r>
      <w:r w:rsidR="00CE7F6C">
        <w:rPr>
          <w:rFonts w:ascii="Book Antiqua" w:eastAsia="Book Antiqua" w:hAnsi="Book Antiqua" w:cs="Book Antiqua"/>
          <w:color w:val="000000"/>
        </w:rPr>
        <w:t>;</w:t>
      </w:r>
      <w:r w:rsidRPr="00074CC2">
        <w:rPr>
          <w:rFonts w:ascii="Book Antiqua" w:eastAsia="Book Antiqua" w:hAnsi="Book Antiqua" w:cs="Book Antiqua"/>
          <w:color w:val="000000"/>
        </w:rPr>
        <w:t xml:space="preserve"> Figure 2A), while the tumor stage and BCE methods appear</w:t>
      </w:r>
      <w:r w:rsidR="009E33A6">
        <w:rPr>
          <w:rFonts w:ascii="Book Antiqua" w:eastAsia="Book Antiqua" w:hAnsi="Book Antiqua" w:cs="Book Antiqua"/>
          <w:color w:val="000000"/>
        </w:rPr>
        <w:t>ed</w:t>
      </w:r>
      <w:r w:rsidRPr="009E33A6">
        <w:rPr>
          <w:rFonts w:ascii="Book Antiqua" w:eastAsia="Book Antiqua" w:hAnsi="Book Antiqua" w:cs="Book Antiqua"/>
          <w:color w:val="000000"/>
        </w:rPr>
        <w:t xml:space="preserve"> to have no influence on IRFS (all</w:t>
      </w:r>
      <w:r w:rsidRPr="009E33A6">
        <w:rPr>
          <w:rFonts w:ascii="Book Antiqua" w:eastAsia="Book Antiqua" w:hAnsi="Book Antiqua" w:cs="Book Antiqua"/>
          <w:i/>
          <w:iCs/>
          <w:color w:val="000000"/>
        </w:rPr>
        <w:t xml:space="preserve"> P &gt;</w:t>
      </w:r>
      <w:r w:rsidRPr="00CE7F6C">
        <w:rPr>
          <w:rFonts w:ascii="Book Antiqua" w:eastAsia="Book Antiqua" w:hAnsi="Book Antiqua" w:cs="Book Antiqua"/>
          <w:color w:val="000000"/>
        </w:rPr>
        <w:t xml:space="preserve"> 0.05</w:t>
      </w:r>
      <w:r w:rsidR="00CE7F6C">
        <w:rPr>
          <w:rFonts w:ascii="Book Antiqua" w:eastAsia="Book Antiqua" w:hAnsi="Book Antiqua" w:cs="Book Antiqua"/>
          <w:color w:val="000000"/>
        </w:rPr>
        <w:t>;</w:t>
      </w:r>
      <w:r w:rsidR="00407914" w:rsidRPr="00074CC2">
        <w:rPr>
          <w:rFonts w:ascii="Book Antiqua" w:eastAsia="Book Antiqua" w:hAnsi="Book Antiqua" w:cs="Book Antiqua"/>
          <w:color w:val="000000"/>
        </w:rPr>
        <w:t xml:space="preserve"> Figure 2B and </w:t>
      </w:r>
      <w:r w:rsidRPr="00074CC2">
        <w:rPr>
          <w:rFonts w:ascii="Book Antiqua" w:eastAsia="Book Antiqua" w:hAnsi="Book Antiqua" w:cs="Book Antiqua"/>
          <w:color w:val="000000"/>
        </w:rPr>
        <w:t>C).</w:t>
      </w:r>
    </w:p>
    <w:p w14:paraId="5E6352EA" w14:textId="1F21885C"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 xml:space="preserve">Regarding CSS, pathological tumor stage and lymph node status were identified as significant predictors </w:t>
      </w:r>
      <w:r w:rsidR="009E33A6">
        <w:rPr>
          <w:rFonts w:ascii="Book Antiqua" w:eastAsia="Book Antiqua" w:hAnsi="Book Antiqua" w:cs="Book Antiqua"/>
          <w:color w:val="000000"/>
        </w:rPr>
        <w:t>by</w:t>
      </w:r>
      <w:r w:rsidR="009E33A6" w:rsidRPr="009E33A6">
        <w:rPr>
          <w:rFonts w:ascii="Book Antiqua" w:eastAsia="Book Antiqua" w:hAnsi="Book Antiqua" w:cs="Book Antiqua"/>
          <w:color w:val="000000"/>
        </w:rPr>
        <w:t xml:space="preserve"> </w:t>
      </w:r>
      <w:r w:rsidRPr="009E33A6">
        <w:rPr>
          <w:rFonts w:ascii="Book Antiqua" w:eastAsia="Book Antiqua" w:hAnsi="Book Antiqua" w:cs="Book Antiqua"/>
          <w:color w:val="000000"/>
        </w:rPr>
        <w:t>univariate an</w:t>
      </w:r>
      <w:r w:rsidR="00407914" w:rsidRPr="00413E92">
        <w:rPr>
          <w:rFonts w:ascii="Book Antiqua" w:eastAsia="Book Antiqua" w:hAnsi="Book Antiqua" w:cs="Book Antiqua"/>
          <w:color w:val="000000"/>
        </w:rPr>
        <w:t xml:space="preserve">alysis (Figure 2D and </w:t>
      </w:r>
      <w:r w:rsidRPr="00413E92">
        <w:rPr>
          <w:rFonts w:ascii="Book Antiqua" w:eastAsia="Book Antiqua" w:hAnsi="Book Antiqua" w:cs="Book Antiqua"/>
          <w:color w:val="000000"/>
        </w:rPr>
        <w:t xml:space="preserve">E). Similarly, multivariate analysis also identified tumor stage </w:t>
      </w:r>
      <w:r w:rsidRPr="00074CC2">
        <w:rPr>
          <w:rFonts w:ascii="Book Antiqua" w:eastAsia="Book Antiqua" w:hAnsi="Book Antiqua" w:cs="Book Antiqua"/>
          <w:i/>
          <w:iCs/>
          <w:color w:val="000000"/>
        </w:rPr>
        <w:t>i.e.</w:t>
      </w:r>
      <w:r w:rsidRPr="00074CC2">
        <w:rPr>
          <w:rFonts w:ascii="Book Antiqua" w:eastAsia="Book Antiqua" w:hAnsi="Book Antiqua" w:cs="Book Antiqua"/>
          <w:color w:val="000000"/>
        </w:rPr>
        <w:t xml:space="preserve"> ≤ T2 </w:t>
      </w:r>
      <w:r w:rsidRPr="00074CC2">
        <w:rPr>
          <w:rFonts w:ascii="Book Antiqua" w:eastAsia="Book Antiqua" w:hAnsi="Book Antiqua" w:cs="Book Antiqua"/>
          <w:i/>
          <w:iCs/>
          <w:color w:val="000000"/>
        </w:rPr>
        <w:t>vs</w:t>
      </w:r>
      <w:r w:rsidRPr="00074CC2">
        <w:rPr>
          <w:rFonts w:ascii="Book Antiqua" w:eastAsia="Book Antiqua" w:hAnsi="Book Antiqua" w:cs="Book Antiqua"/>
          <w:color w:val="000000"/>
        </w:rPr>
        <w:t xml:space="preserve"> &gt; T2 </w:t>
      </w:r>
      <w:r w:rsidR="009E33A6">
        <w:rPr>
          <w:rFonts w:ascii="Book Antiqua" w:eastAsia="Book Antiqua" w:hAnsi="Book Antiqua" w:cs="Book Antiqua"/>
          <w:color w:val="000000"/>
        </w:rPr>
        <w:t>(</w:t>
      </w:r>
      <w:r w:rsidR="009E33A6">
        <w:rPr>
          <w:rFonts w:ascii="Book Antiqua" w:hAnsi="Book Antiqua"/>
        </w:rPr>
        <w:t>h</w:t>
      </w:r>
      <w:r w:rsidR="00993038" w:rsidRPr="00074CC2">
        <w:rPr>
          <w:rFonts w:ascii="Book Antiqua" w:hAnsi="Book Antiqua"/>
        </w:rPr>
        <w:t>azard ratio</w:t>
      </w:r>
      <w:r w:rsidR="00993038" w:rsidRPr="00074CC2">
        <w:rPr>
          <w:rFonts w:ascii="Book Antiqua" w:eastAsia="Book Antiqua" w:hAnsi="Book Antiqua" w:cs="Book Antiqua"/>
          <w:color w:val="000000"/>
        </w:rPr>
        <w:t xml:space="preserve"> </w:t>
      </w:r>
      <w:r w:rsidR="009E33A6">
        <w:rPr>
          <w:rFonts w:ascii="Book Antiqua" w:eastAsia="Book Antiqua" w:hAnsi="Book Antiqua" w:cs="Book Antiqua"/>
          <w:color w:val="000000"/>
        </w:rPr>
        <w:t>[</w:t>
      </w:r>
      <w:r w:rsidRPr="00074CC2">
        <w:rPr>
          <w:rFonts w:ascii="Book Antiqua" w:eastAsia="Book Antiqua" w:hAnsi="Book Antiqua" w:cs="Book Antiqua"/>
          <w:color w:val="000000"/>
        </w:rPr>
        <w:t>HR</w:t>
      </w:r>
      <w:r w:rsidR="009E33A6">
        <w:rPr>
          <w:rFonts w:ascii="Book Antiqua" w:eastAsia="Book Antiqua" w:hAnsi="Book Antiqua" w:cs="Book Antiqua"/>
          <w:color w:val="000000"/>
        </w:rPr>
        <w:t>]</w:t>
      </w:r>
      <w:r w:rsidRPr="00074CC2">
        <w:rPr>
          <w:rFonts w:ascii="Book Antiqua" w:eastAsia="Book Antiqua" w:hAnsi="Book Antiqua" w:cs="Book Antiqua"/>
          <w:color w:val="000000"/>
        </w:rPr>
        <w:t xml:space="preserve"> = 8.439; 95%</w:t>
      </w:r>
      <w:r w:rsidR="005241A9" w:rsidRPr="00074CC2">
        <w:rPr>
          <w:rFonts w:ascii="Book Antiqua" w:eastAsia="Book Antiqua" w:hAnsi="Book Antiqua" w:cs="Book Antiqua"/>
          <w:color w:val="000000"/>
        </w:rPr>
        <w:t xml:space="preserve"> </w:t>
      </w:r>
      <w:r w:rsidR="005241A9" w:rsidRPr="00074CC2">
        <w:rPr>
          <w:rFonts w:ascii="Book Antiqua" w:hAnsi="Book Antiqua"/>
        </w:rPr>
        <w:t xml:space="preserve">conﬁdence interval </w:t>
      </w:r>
      <w:r w:rsidR="005241A9" w:rsidRPr="00074CC2">
        <w:rPr>
          <w:rFonts w:ascii="Book Antiqua" w:eastAsia="Book Antiqua" w:hAnsi="Book Antiqua" w:cs="Book Antiqua"/>
          <w:color w:val="000000"/>
        </w:rPr>
        <w:t>(CI)</w:t>
      </w:r>
      <w:r w:rsidRPr="00074CC2">
        <w:rPr>
          <w:rFonts w:ascii="Book Antiqua" w:eastAsia="Book Antiqua" w:hAnsi="Book Antiqua" w:cs="Book Antiqua"/>
          <w:color w:val="000000"/>
        </w:rPr>
        <w:t xml:space="preserve">, 2.424-29.377; </w:t>
      </w:r>
      <w:r w:rsidRPr="00074CC2">
        <w:rPr>
          <w:rFonts w:ascii="Book Antiqua" w:eastAsia="Book Antiqua" w:hAnsi="Book Antiqua" w:cs="Book Antiqua"/>
          <w:i/>
          <w:iCs/>
          <w:color w:val="000000"/>
        </w:rPr>
        <w:t xml:space="preserve">P </w:t>
      </w:r>
      <w:r w:rsidR="00407914" w:rsidRPr="00074CC2">
        <w:rPr>
          <w:rFonts w:ascii="Book Antiqua" w:eastAsia="Book Antiqua" w:hAnsi="Book Antiqua" w:cs="Book Antiqua"/>
          <w:color w:val="000000"/>
        </w:rPr>
        <w:t>= 0.001</w:t>
      </w:r>
      <w:r w:rsidR="00CE7F6C">
        <w:rPr>
          <w:rFonts w:ascii="Book Antiqua" w:eastAsia="Book Antiqua" w:hAnsi="Book Antiqua" w:cs="Book Antiqua"/>
          <w:color w:val="000000"/>
        </w:rPr>
        <w:t>)</w:t>
      </w:r>
      <w:r w:rsidRPr="00074CC2">
        <w:rPr>
          <w:rFonts w:ascii="Book Antiqua" w:eastAsia="Book Antiqua" w:hAnsi="Book Antiqua" w:cs="Book Antiqua"/>
          <w:color w:val="000000"/>
        </w:rPr>
        <w:t xml:space="preserve"> and lymph node status</w:t>
      </w:r>
      <w:r w:rsidRPr="00074CC2">
        <w:rPr>
          <w:rFonts w:ascii="Book Antiqua" w:eastAsia="Book Antiqua" w:hAnsi="Book Antiqua" w:cs="Book Antiqua"/>
          <w:i/>
          <w:iCs/>
          <w:color w:val="000000"/>
        </w:rPr>
        <w:t xml:space="preserve"> i.e.</w:t>
      </w:r>
      <w:r w:rsidRPr="00074CC2">
        <w:rPr>
          <w:rFonts w:ascii="Book Antiqua" w:eastAsia="Book Antiqua" w:hAnsi="Book Antiqua" w:cs="Book Antiqua"/>
          <w:color w:val="000000"/>
        </w:rPr>
        <w:t xml:space="preserve"> negative </w:t>
      </w:r>
      <w:r w:rsidRPr="00074CC2">
        <w:rPr>
          <w:rFonts w:ascii="Book Antiqua" w:eastAsia="Book Antiqua" w:hAnsi="Book Antiqua" w:cs="Book Antiqua"/>
          <w:i/>
          <w:iCs/>
          <w:color w:val="000000"/>
        </w:rPr>
        <w:t>vs</w:t>
      </w:r>
      <w:r w:rsidR="00407914" w:rsidRPr="00074CC2">
        <w:rPr>
          <w:rFonts w:ascii="Book Antiqua" w:eastAsia="Book Antiqua" w:hAnsi="Book Antiqua" w:cs="Book Antiqua"/>
          <w:color w:val="000000"/>
        </w:rPr>
        <w:t xml:space="preserve"> positive (HR: </w:t>
      </w:r>
      <w:r w:rsidRPr="00074CC2">
        <w:rPr>
          <w:rFonts w:ascii="Book Antiqua" w:eastAsia="Book Antiqua" w:hAnsi="Book Antiqua" w:cs="Book Antiqua"/>
          <w:color w:val="000000"/>
        </w:rPr>
        <w:t>14.343; 95%</w:t>
      </w:r>
      <w:r w:rsidR="00407914" w:rsidRPr="00074CC2">
        <w:rPr>
          <w:rFonts w:ascii="Book Antiqua" w:eastAsia="Book Antiqua" w:hAnsi="Book Antiqua" w:cs="Book Antiqua"/>
          <w:color w:val="000000"/>
        </w:rPr>
        <w:t>CI:</w:t>
      </w:r>
      <w:r w:rsidRPr="00074CC2">
        <w:rPr>
          <w:rFonts w:ascii="Book Antiqua" w:eastAsia="Book Antiqua" w:hAnsi="Book Antiqua" w:cs="Book Antiqua"/>
          <w:color w:val="000000"/>
        </w:rPr>
        <w:t xml:space="preserve"> 5.176-39.745;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&lt; 0.001) as independent predictors of CSS</w:t>
      </w:r>
      <w:r w:rsidR="009E33A6">
        <w:rPr>
          <w:rFonts w:ascii="Book Antiqua" w:eastAsia="Book Antiqua" w:hAnsi="Book Antiqua" w:cs="Book Antiqua"/>
          <w:color w:val="000000"/>
        </w:rPr>
        <w:t>,</w:t>
      </w:r>
      <w:r w:rsidRPr="009E33A6">
        <w:rPr>
          <w:rFonts w:ascii="Book Antiqua" w:eastAsia="Book Antiqua" w:hAnsi="Book Antiqua" w:cs="Book Antiqua"/>
          <w:color w:val="000000"/>
        </w:rPr>
        <w:t xml:space="preserve"> even when adjusting for other important demographic and clinicopathological parameters such as age, gender, tumor location, tumor grade</w:t>
      </w:r>
      <w:r w:rsidR="009E33A6">
        <w:rPr>
          <w:rFonts w:ascii="Book Antiqua" w:eastAsia="Book Antiqua" w:hAnsi="Book Antiqua" w:cs="Book Antiqua"/>
          <w:color w:val="000000"/>
        </w:rPr>
        <w:t>,</w:t>
      </w:r>
      <w:r w:rsidRPr="009E33A6">
        <w:rPr>
          <w:rFonts w:ascii="Book Antiqua" w:eastAsia="Book Antiqua" w:hAnsi="Book Antiqua" w:cs="Book Antiqua"/>
          <w:color w:val="000000"/>
        </w:rPr>
        <w:t xml:space="preserve"> and lymphovascular invasion. Nevertheless, the BCE methods evaluated here with additional variables d</w:t>
      </w:r>
      <w:r w:rsidR="009E33A6">
        <w:rPr>
          <w:rFonts w:ascii="Book Antiqua" w:eastAsia="Book Antiqua" w:hAnsi="Book Antiqua" w:cs="Book Antiqua"/>
          <w:color w:val="000000"/>
        </w:rPr>
        <w:t>id</w:t>
      </w:r>
      <w:r w:rsidRPr="009E33A6">
        <w:rPr>
          <w:rFonts w:ascii="Book Antiqua" w:eastAsia="Book Antiqua" w:hAnsi="Book Antiqua" w:cs="Book Antiqua"/>
          <w:color w:val="000000"/>
        </w:rPr>
        <w:t xml:space="preserve"> not appear to have little impact on CSS (all</w:t>
      </w:r>
      <w:r w:rsidRPr="009E33A6">
        <w:rPr>
          <w:rFonts w:ascii="Book Antiqua" w:eastAsia="Book Antiqua" w:hAnsi="Book Antiqua" w:cs="Book Antiqua"/>
          <w:i/>
          <w:iCs/>
          <w:color w:val="000000"/>
        </w:rPr>
        <w:t xml:space="preserve"> P &gt; 0.05</w:t>
      </w:r>
      <w:r w:rsidR="009E33A6">
        <w:rPr>
          <w:rFonts w:ascii="Book Antiqua" w:eastAsia="Book Antiqua" w:hAnsi="Book Antiqua" w:cs="Book Antiqua"/>
          <w:i/>
          <w:iCs/>
          <w:color w:val="000000"/>
        </w:rPr>
        <w:t>;</w:t>
      </w:r>
      <w:r w:rsidRPr="00074CC2">
        <w:rPr>
          <w:rFonts w:ascii="Book Antiqua" w:eastAsia="Book Antiqua" w:hAnsi="Book Antiqua" w:cs="Book Antiqua"/>
          <w:i/>
          <w:iCs/>
          <w:color w:val="000000"/>
        </w:rPr>
        <w:t xml:space="preserve"> </w:t>
      </w:r>
      <w:r w:rsidRPr="00074CC2">
        <w:rPr>
          <w:rFonts w:ascii="Book Antiqua" w:eastAsia="Book Antiqua" w:hAnsi="Book Antiqua" w:cs="Book Antiqua"/>
          <w:color w:val="000000"/>
        </w:rPr>
        <w:t>Figure 2F, Table 2).</w:t>
      </w:r>
    </w:p>
    <w:p w14:paraId="2370BE37" w14:textId="37710A7F" w:rsidR="00A77B3E" w:rsidRPr="00CE7F6C"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lastRenderedPageBreak/>
        <w:t>Likewise, Kaplan-Meier analysis suggest</w:t>
      </w:r>
      <w:r w:rsidR="00CE7F6C">
        <w:rPr>
          <w:rFonts w:ascii="Book Antiqua" w:eastAsia="Book Antiqua" w:hAnsi="Book Antiqua" w:cs="Book Antiqua"/>
          <w:color w:val="000000"/>
        </w:rPr>
        <w:t>ed that</w:t>
      </w:r>
      <w:r w:rsidRPr="00074CC2">
        <w:rPr>
          <w:rFonts w:ascii="Book Antiqua" w:eastAsia="Book Antiqua" w:hAnsi="Book Antiqua" w:cs="Book Antiqua"/>
          <w:color w:val="000000"/>
        </w:rPr>
        <w:t xml:space="preserve"> the aforementioned two factors were significantly associated with OS (all</w:t>
      </w:r>
      <w:r w:rsidRPr="00074CC2">
        <w:rPr>
          <w:rFonts w:ascii="Book Antiqua" w:eastAsia="Book Antiqua" w:hAnsi="Book Antiqua" w:cs="Book Antiqua"/>
          <w:i/>
          <w:iCs/>
          <w:color w:val="000000"/>
        </w:rPr>
        <w:t xml:space="preserve"> P &lt; 0.05</w:t>
      </w:r>
      <w:r w:rsidR="00CE7F6C">
        <w:rPr>
          <w:rFonts w:ascii="Book Antiqua" w:eastAsia="Book Antiqua" w:hAnsi="Book Antiqua" w:cs="Book Antiqua"/>
          <w:i/>
          <w:iCs/>
          <w:color w:val="000000"/>
        </w:rPr>
        <w:t>;</w:t>
      </w:r>
      <w:r w:rsidRPr="00074CC2">
        <w:rPr>
          <w:rFonts w:ascii="Book Antiqua" w:eastAsia="Book Antiqua" w:hAnsi="Book Antiqua" w:cs="Book Antiqua"/>
          <w:i/>
          <w:iCs/>
          <w:color w:val="000000"/>
        </w:rPr>
        <w:t xml:space="preserve"> </w:t>
      </w:r>
      <w:r w:rsidR="00407914" w:rsidRPr="00074CC2">
        <w:rPr>
          <w:rFonts w:ascii="Book Antiqua" w:eastAsia="Book Antiqua" w:hAnsi="Book Antiqua" w:cs="Book Antiqua"/>
          <w:color w:val="000000"/>
        </w:rPr>
        <w:t xml:space="preserve">Figure 2G and </w:t>
      </w:r>
      <w:r w:rsidRPr="00074CC2">
        <w:rPr>
          <w:rFonts w:ascii="Book Antiqua" w:eastAsia="Book Antiqua" w:hAnsi="Book Antiqua" w:cs="Book Antiqua"/>
          <w:color w:val="000000"/>
        </w:rPr>
        <w:t xml:space="preserve">H). </w:t>
      </w:r>
      <w:r w:rsidR="00CE7F6C">
        <w:rPr>
          <w:rFonts w:ascii="Book Antiqua" w:eastAsia="Book Antiqua" w:hAnsi="Book Antiqua" w:cs="Book Antiqua"/>
          <w:color w:val="000000"/>
        </w:rPr>
        <w:t>By</w:t>
      </w:r>
      <w:r w:rsidR="00CE7F6C" w:rsidRPr="00CE7F6C">
        <w:rPr>
          <w:rFonts w:ascii="Book Antiqua" w:eastAsia="Book Antiqua" w:hAnsi="Book Antiqua" w:cs="Book Antiqua"/>
          <w:color w:val="000000"/>
        </w:rPr>
        <w:t xml:space="preserve"> </w:t>
      </w:r>
      <w:r w:rsidRPr="00CE7F6C">
        <w:rPr>
          <w:rFonts w:ascii="Book Antiqua" w:eastAsia="Book Antiqua" w:hAnsi="Book Antiqua" w:cs="Book Antiqua"/>
          <w:color w:val="000000"/>
        </w:rPr>
        <w:t>multivaria</w:t>
      </w:r>
      <w:r w:rsidR="00407914" w:rsidRPr="00413E92">
        <w:rPr>
          <w:rFonts w:ascii="Book Antiqua" w:eastAsia="Book Antiqua" w:hAnsi="Book Antiqua" w:cs="Book Antiqua"/>
          <w:color w:val="000000"/>
        </w:rPr>
        <w:t>te analysis, high tumor stage (</w:t>
      </w:r>
      <w:r w:rsidRPr="00413E92">
        <w:rPr>
          <w:rFonts w:ascii="Book Antiqua" w:eastAsia="Book Antiqua" w:hAnsi="Book Antiqua" w:cs="Book Antiqua"/>
          <w:color w:val="000000"/>
        </w:rPr>
        <w:t xml:space="preserve">≤ T2 </w:t>
      </w:r>
      <w:r w:rsidRPr="00074CC2">
        <w:rPr>
          <w:rFonts w:ascii="Book Antiqua" w:eastAsia="Book Antiqua" w:hAnsi="Book Antiqua" w:cs="Book Antiqua"/>
          <w:i/>
          <w:iCs/>
          <w:color w:val="000000"/>
        </w:rPr>
        <w:t xml:space="preserve">vs </w:t>
      </w:r>
      <w:r w:rsidRPr="00074CC2">
        <w:rPr>
          <w:rFonts w:ascii="Book Antiqua" w:eastAsia="Book Antiqua" w:hAnsi="Book Antiqua" w:cs="Book Antiqua"/>
          <w:color w:val="000000"/>
        </w:rPr>
        <w:t>&gt; T2) had an HR = 2.891 and 95%CI: 1.364-6.128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 xml:space="preserve">= 0.006) and positive lymph node status </w:t>
      </w:r>
      <w:r w:rsidRPr="00074CC2">
        <w:rPr>
          <w:rFonts w:ascii="Book Antiqua" w:eastAsia="Book Antiqua" w:hAnsi="Book Antiqua" w:cs="Book Antiqua"/>
          <w:i/>
          <w:iCs/>
          <w:color w:val="000000"/>
        </w:rPr>
        <w:t>i.e.</w:t>
      </w:r>
      <w:r w:rsidRPr="00074CC2">
        <w:rPr>
          <w:rFonts w:ascii="Book Antiqua" w:eastAsia="Book Antiqua" w:hAnsi="Book Antiqua" w:cs="Book Antiqua"/>
          <w:color w:val="000000"/>
        </w:rPr>
        <w:t xml:space="preserve"> negative </w:t>
      </w:r>
      <w:r w:rsidRPr="00074CC2">
        <w:rPr>
          <w:rFonts w:ascii="Book Antiqua" w:eastAsia="Book Antiqua" w:hAnsi="Book Antiqua" w:cs="Book Antiqua"/>
          <w:i/>
          <w:iCs/>
          <w:color w:val="000000"/>
        </w:rPr>
        <w:t>vs</w:t>
      </w:r>
      <w:r w:rsidRPr="00074CC2">
        <w:rPr>
          <w:rFonts w:ascii="Book Antiqua" w:eastAsia="Book Antiqua" w:hAnsi="Book Antiqua" w:cs="Book Antiqua"/>
          <w:color w:val="000000"/>
        </w:rPr>
        <w:t xml:space="preserve"> positive with an HR = 9.473 and 95%CI: 3.75-23.926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&lt; 0.001) have poorer OS. However, the BCE method evaluated here with additional variables d</w:t>
      </w:r>
      <w:r w:rsidR="00CE7F6C">
        <w:rPr>
          <w:rFonts w:ascii="Book Antiqua" w:eastAsia="Book Antiqua" w:hAnsi="Book Antiqua" w:cs="Book Antiqua"/>
          <w:color w:val="000000"/>
        </w:rPr>
        <w:t>id</w:t>
      </w:r>
      <w:r w:rsidRPr="00074CC2">
        <w:rPr>
          <w:rFonts w:ascii="Book Antiqua" w:eastAsia="Book Antiqua" w:hAnsi="Book Antiqua" w:cs="Book Antiqua"/>
          <w:color w:val="000000"/>
        </w:rPr>
        <w:t xml:space="preserve"> not appear to be associated with CSS and OS, all having </w:t>
      </w:r>
      <w:r w:rsidR="00CE7F6C">
        <w:rPr>
          <w:rFonts w:ascii="Book Antiqua" w:eastAsia="Book Antiqua" w:hAnsi="Book Antiqua" w:cs="Book Antiqua"/>
          <w:i/>
          <w:iCs/>
          <w:color w:val="000000"/>
        </w:rPr>
        <w:t>P</w:t>
      </w:r>
      <w:r w:rsidRPr="00074CC2">
        <w:rPr>
          <w:rFonts w:ascii="Book Antiqua" w:eastAsia="Book Antiqua" w:hAnsi="Book Antiqua" w:cs="Book Antiqua"/>
          <w:color w:val="000000"/>
        </w:rPr>
        <w:t xml:space="preserve"> values below the predetermined threshold (</w:t>
      </w:r>
      <w:r w:rsidRPr="00074CC2">
        <w:rPr>
          <w:rFonts w:ascii="Book Antiqua" w:eastAsia="Book Antiqua" w:hAnsi="Book Antiqua" w:cs="Book Antiqua"/>
          <w:i/>
          <w:iCs/>
          <w:color w:val="000000"/>
        </w:rPr>
        <w:t>i.e.</w:t>
      </w:r>
      <w:r w:rsidRPr="00074CC2">
        <w:rPr>
          <w:rFonts w:ascii="Book Antiqua" w:eastAsia="Book Antiqua" w:hAnsi="Book Antiqua" w:cs="Book Antiqua"/>
          <w:color w:val="000000"/>
        </w:rPr>
        <w:t xml:space="preserve">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 xml:space="preserve">&gt; 0.05). Please see Figure 2I </w:t>
      </w:r>
      <w:r w:rsidR="00CE7F6C">
        <w:rPr>
          <w:rFonts w:ascii="Book Antiqua" w:eastAsia="Book Antiqua" w:hAnsi="Book Antiqua" w:cs="Book Antiqua"/>
          <w:color w:val="000000"/>
        </w:rPr>
        <w:t>and</w:t>
      </w:r>
      <w:r w:rsidRPr="00CE7F6C">
        <w:rPr>
          <w:rFonts w:ascii="Book Antiqua" w:eastAsia="Book Antiqua" w:hAnsi="Book Antiqua" w:cs="Book Antiqua"/>
          <w:color w:val="000000"/>
        </w:rPr>
        <w:t xml:space="preserve"> Table 2 for more details.</w:t>
      </w:r>
    </w:p>
    <w:bookmarkEnd w:id="17"/>
    <w:bookmarkEnd w:id="18"/>
    <w:p w14:paraId="373E0A57" w14:textId="77777777" w:rsidR="00A77B3E" w:rsidRPr="00074CC2" w:rsidRDefault="00A77B3E" w:rsidP="00E842BB">
      <w:pPr>
        <w:snapToGrid w:val="0"/>
        <w:spacing w:line="360" w:lineRule="auto"/>
        <w:jc w:val="both"/>
        <w:rPr>
          <w:rFonts w:ascii="Book Antiqua" w:hAnsi="Book Antiqua"/>
        </w:rPr>
      </w:pPr>
    </w:p>
    <w:p w14:paraId="621F7495"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aps/>
          <w:color w:val="000000"/>
          <w:u w:val="single"/>
        </w:rPr>
        <w:t>DISCUSSION</w:t>
      </w:r>
    </w:p>
    <w:p w14:paraId="6BC8752F" w14:textId="1F1C80DA" w:rsidR="00A77B3E" w:rsidRPr="00074CC2" w:rsidRDefault="00A6578B" w:rsidP="00E842BB">
      <w:pPr>
        <w:snapToGrid w:val="0"/>
        <w:spacing w:line="360" w:lineRule="auto"/>
        <w:jc w:val="both"/>
        <w:rPr>
          <w:rFonts w:ascii="Book Antiqua" w:hAnsi="Book Antiqua"/>
        </w:rPr>
      </w:pPr>
      <w:bookmarkStart w:id="19" w:name="OLE_LINK16"/>
      <w:bookmarkStart w:id="20" w:name="OLE_LINK17"/>
      <w:r>
        <w:rPr>
          <w:rFonts w:ascii="Book Antiqua" w:eastAsia="Book Antiqua" w:hAnsi="Book Antiqua" w:cs="Book Antiqua"/>
          <w:color w:val="000000"/>
        </w:rPr>
        <w:t>Al</w:t>
      </w:r>
      <w:r w:rsidRPr="00A6578B">
        <w:rPr>
          <w:rFonts w:ascii="Book Antiqua" w:eastAsia="Book Antiqua" w:hAnsi="Book Antiqua" w:cs="Book Antiqua"/>
          <w:color w:val="000000"/>
        </w:rPr>
        <w:t>though</w:t>
      </w:r>
      <w:r w:rsidR="00CC0C82" w:rsidRPr="00074CC2">
        <w:rPr>
          <w:rFonts w:ascii="Book Antiqua" w:eastAsia="Book Antiqua" w:hAnsi="Book Antiqua" w:cs="Book Antiqua"/>
          <w:color w:val="000000"/>
        </w:rPr>
        <w:t xml:space="preserve"> RNU with </w:t>
      </w:r>
      <w:proofErr w:type="spellStart"/>
      <w:r w:rsidR="00CC0C82" w:rsidRPr="00074CC2">
        <w:rPr>
          <w:rFonts w:ascii="Book Antiqua" w:eastAsia="Book Antiqua" w:hAnsi="Book Antiqua" w:cs="Book Antiqua"/>
          <w:i/>
          <w:color w:val="000000"/>
        </w:rPr>
        <w:t>en</w:t>
      </w:r>
      <w:proofErr w:type="spellEnd"/>
      <w:r w:rsidR="00CC0C82" w:rsidRPr="00074CC2">
        <w:rPr>
          <w:rFonts w:ascii="Book Antiqua" w:eastAsia="Book Antiqua" w:hAnsi="Book Antiqua" w:cs="Book Antiqua"/>
          <w:i/>
          <w:color w:val="000000"/>
        </w:rPr>
        <w:t xml:space="preserve"> bloc</w:t>
      </w:r>
      <w:r w:rsidR="00CC0C82" w:rsidRPr="00074CC2">
        <w:rPr>
          <w:rFonts w:ascii="Book Antiqua" w:eastAsia="Book Antiqua" w:hAnsi="Book Antiqua" w:cs="Book Antiqua"/>
          <w:color w:val="000000"/>
        </w:rPr>
        <w:t xml:space="preserve"> resection of the ipsilateral bladder cuff is the standard surgical practice for patients with non-metastatic UTUC, the optimal BCE approach remains </w:t>
      </w:r>
      <w:proofErr w:type="gramStart"/>
      <w:r w:rsidR="00CC0C82" w:rsidRPr="00074CC2">
        <w:rPr>
          <w:rFonts w:ascii="Book Antiqua" w:eastAsia="Book Antiqua" w:hAnsi="Book Antiqua" w:cs="Book Antiqua"/>
          <w:color w:val="000000"/>
        </w:rPr>
        <w:t>controversial</w:t>
      </w:r>
      <w:r w:rsidR="00CC0C82" w:rsidRPr="00074CC2">
        <w:rPr>
          <w:rFonts w:ascii="Book Antiqua" w:eastAsia="Book Antiqua" w:hAnsi="Book Antiqua" w:cs="Book Antiqua"/>
          <w:color w:val="000000"/>
          <w:vertAlign w:val="superscript"/>
        </w:rPr>
        <w:t>[</w:t>
      </w:r>
      <w:proofErr w:type="gramEnd"/>
      <w:r w:rsidR="00CC0C82" w:rsidRPr="00074CC2">
        <w:rPr>
          <w:rFonts w:ascii="Book Antiqua" w:eastAsia="Book Antiqua" w:hAnsi="Book Antiqua" w:cs="Book Antiqua"/>
          <w:color w:val="000000"/>
          <w:vertAlign w:val="superscript"/>
        </w:rPr>
        <w:t>1,6,9]</w:t>
      </w:r>
      <w:r w:rsidR="00CC0C82" w:rsidRPr="00074CC2">
        <w:rPr>
          <w:rFonts w:ascii="Book Antiqua" w:eastAsia="Book Antiqua" w:hAnsi="Book Antiqua" w:cs="Book Antiqua"/>
          <w:color w:val="000000"/>
        </w:rPr>
        <w:t xml:space="preserve">. To the best of our knowledge, open removal of the distal ureter </w:t>
      </w:r>
      <w:r w:rsidR="00CE7F6C">
        <w:rPr>
          <w:rFonts w:ascii="Book Antiqua" w:eastAsia="Book Antiqua" w:hAnsi="Book Antiqua" w:cs="Book Antiqua"/>
          <w:color w:val="000000"/>
        </w:rPr>
        <w:t>i</w:t>
      </w:r>
      <w:r w:rsidR="00CE7F6C" w:rsidRPr="00CE7F6C">
        <w:rPr>
          <w:rFonts w:ascii="Book Antiqua" w:eastAsia="Book Antiqua" w:hAnsi="Book Antiqua" w:cs="Book Antiqua"/>
          <w:color w:val="000000"/>
        </w:rPr>
        <w:t xml:space="preserve">s </w:t>
      </w:r>
      <w:r w:rsidR="00CC0C82" w:rsidRPr="00CE7F6C">
        <w:rPr>
          <w:rFonts w:ascii="Book Antiqua" w:eastAsia="Book Antiqua" w:hAnsi="Book Antiqua" w:cs="Book Antiqua"/>
          <w:color w:val="000000"/>
        </w:rPr>
        <w:t>traditionally use</w:t>
      </w:r>
      <w:r w:rsidR="00CC0C82" w:rsidRPr="00413E92">
        <w:rPr>
          <w:rFonts w:ascii="Book Antiqua" w:eastAsia="Book Antiqua" w:hAnsi="Book Antiqua" w:cs="Book Antiqua"/>
          <w:color w:val="000000"/>
        </w:rPr>
        <w:t>d as the standard comparison for other techniques</w:t>
      </w:r>
      <w:r w:rsidR="00CE7F6C">
        <w:rPr>
          <w:rFonts w:ascii="Book Antiqua" w:eastAsia="Book Antiqua" w:hAnsi="Book Antiqua" w:cs="Book Antiqua"/>
          <w:color w:val="000000"/>
        </w:rPr>
        <w:t>,</w:t>
      </w:r>
      <w:r w:rsidR="00CC0C82" w:rsidRPr="00CE7F6C">
        <w:rPr>
          <w:rFonts w:ascii="Book Antiqua" w:eastAsia="Book Antiqua" w:hAnsi="Book Antiqua" w:cs="Book Antiqua"/>
          <w:color w:val="000000"/>
        </w:rPr>
        <w:t xml:space="preserve"> because this not only guarantees complete resection of the distal ureter but also does do not damage the contralateral ureteric </w:t>
      </w:r>
      <w:proofErr w:type="gramStart"/>
      <w:r w:rsidR="00CC0C82" w:rsidRPr="00CE7F6C">
        <w:rPr>
          <w:rFonts w:ascii="Book Antiqua" w:eastAsia="Book Antiqua" w:hAnsi="Book Antiqua" w:cs="Book Antiqua"/>
          <w:color w:val="000000"/>
        </w:rPr>
        <w:t>orifice</w:t>
      </w:r>
      <w:r w:rsidR="00CC0C82" w:rsidRPr="00074CC2">
        <w:rPr>
          <w:rFonts w:ascii="Book Antiqua" w:eastAsia="Book Antiqua" w:hAnsi="Book Antiqua" w:cs="Book Antiqua"/>
          <w:color w:val="000000"/>
          <w:vertAlign w:val="superscript"/>
        </w:rPr>
        <w:t>[</w:t>
      </w:r>
      <w:proofErr w:type="gramEnd"/>
      <w:r w:rsidR="00CC0C82" w:rsidRPr="00074CC2">
        <w:rPr>
          <w:rFonts w:ascii="Book Antiqua" w:eastAsia="Book Antiqua" w:hAnsi="Book Antiqua" w:cs="Book Antiqua"/>
          <w:color w:val="000000"/>
          <w:vertAlign w:val="superscript"/>
        </w:rPr>
        <w:t>7,10]</w:t>
      </w:r>
      <w:r w:rsidR="00CC0C82" w:rsidRPr="00074CC2">
        <w:rPr>
          <w:rFonts w:ascii="Book Antiqua" w:eastAsia="Book Antiqua" w:hAnsi="Book Antiqua" w:cs="Book Antiqua"/>
          <w:color w:val="000000"/>
        </w:rPr>
        <w:t>. While this approach is associated with a lower IVR rate, it has been criticized because of the significant postoperative complication and morbidity such as larger wounds, increased analgesic requirements and prolonged periods of hospitalization. While minimally invasive technology and equipment are under development, endoscopic and laparoscopic methods for resecting the distal ureter and bladder cuff have been proposed to complement RNU because these techniques reduce the number of abdominal incisions</w:t>
      </w:r>
      <w:r w:rsidR="00CC0C82" w:rsidRPr="00074CC2">
        <w:rPr>
          <w:rFonts w:ascii="Book Antiqua" w:eastAsia="Book Antiqua" w:hAnsi="Book Antiqua" w:cs="Book Antiqua"/>
          <w:color w:val="000000"/>
          <w:vertAlign w:val="superscript"/>
        </w:rPr>
        <w:t>[1,7]</w:t>
      </w:r>
      <w:r w:rsidR="00CC0C82" w:rsidRPr="00074CC2">
        <w:rPr>
          <w:rFonts w:ascii="Book Antiqua" w:eastAsia="Book Antiqua" w:hAnsi="Book Antiqua" w:cs="Book Antiqua"/>
          <w:color w:val="000000"/>
        </w:rPr>
        <w:t xml:space="preserve">. </w:t>
      </w:r>
      <w:r w:rsidR="00CE7F6C">
        <w:rPr>
          <w:rFonts w:ascii="Book Antiqua" w:eastAsia="Book Antiqua" w:hAnsi="Book Antiqua" w:cs="Book Antiqua"/>
          <w:color w:val="000000"/>
        </w:rPr>
        <w:t>Alt</w:t>
      </w:r>
      <w:r w:rsidR="00CC0C82" w:rsidRPr="00074CC2">
        <w:rPr>
          <w:rFonts w:ascii="Book Antiqua" w:eastAsia="Book Antiqua" w:hAnsi="Book Antiqua" w:cs="Book Antiqua"/>
          <w:color w:val="000000"/>
        </w:rPr>
        <w:t>hough these techniques continue to be widely used, current evidence do</w:t>
      </w:r>
      <w:r w:rsidR="00CE7F6C">
        <w:rPr>
          <w:rFonts w:ascii="Book Antiqua" w:eastAsia="Book Antiqua" w:hAnsi="Book Antiqua" w:cs="Book Antiqua"/>
          <w:color w:val="000000"/>
        </w:rPr>
        <w:t>es</w:t>
      </w:r>
      <w:r w:rsidR="00CC0C82" w:rsidRPr="00CE7F6C">
        <w:rPr>
          <w:rFonts w:ascii="Book Antiqua" w:eastAsia="Book Antiqua" w:hAnsi="Book Antiqua" w:cs="Book Antiqua"/>
          <w:color w:val="000000"/>
        </w:rPr>
        <w:t xml:space="preserve"> not overwhelmingly favor one technique over the others regarding oncological </w:t>
      </w:r>
      <w:proofErr w:type="gramStart"/>
      <w:r w:rsidR="00CC0C82" w:rsidRPr="00CE7F6C">
        <w:rPr>
          <w:rFonts w:ascii="Book Antiqua" w:eastAsia="Book Antiqua" w:hAnsi="Book Antiqua" w:cs="Book Antiqua"/>
          <w:color w:val="000000"/>
        </w:rPr>
        <w:t>safety</w:t>
      </w:r>
      <w:r w:rsidR="00CC0C82" w:rsidRPr="00074CC2">
        <w:rPr>
          <w:rFonts w:ascii="Book Antiqua" w:eastAsia="Book Antiqua" w:hAnsi="Book Antiqua" w:cs="Book Antiqua"/>
          <w:color w:val="000000"/>
          <w:vertAlign w:val="superscript"/>
        </w:rPr>
        <w:t>[</w:t>
      </w:r>
      <w:proofErr w:type="gramEnd"/>
      <w:r w:rsidR="00CC0C82" w:rsidRPr="00074CC2">
        <w:rPr>
          <w:rFonts w:ascii="Book Antiqua" w:eastAsia="Book Antiqua" w:hAnsi="Book Antiqua" w:cs="Book Antiqua"/>
          <w:color w:val="000000"/>
          <w:vertAlign w:val="superscript"/>
        </w:rPr>
        <w:t>6,7]</w:t>
      </w:r>
      <w:r w:rsidR="00CC0C82" w:rsidRPr="00074CC2">
        <w:rPr>
          <w:rFonts w:ascii="Book Antiqua" w:eastAsia="Book Antiqua" w:hAnsi="Book Antiqua" w:cs="Book Antiqua"/>
          <w:color w:val="000000"/>
        </w:rPr>
        <w:t>.</w:t>
      </w:r>
    </w:p>
    <w:p w14:paraId="04446BFD" w14:textId="2E67DECE"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We compared the oncological outcomes of three different techniques with a comparatively large cohort, over an adequate follow-up period in our hospital. Findings were generally consistent with the results of several previous studies</w:t>
      </w:r>
      <w:r w:rsidR="00CE7F6C">
        <w:rPr>
          <w:rFonts w:ascii="Book Antiqua" w:eastAsia="Book Antiqua" w:hAnsi="Book Antiqua" w:cs="Book Antiqua"/>
          <w:color w:val="000000"/>
        </w:rPr>
        <w:t>,</w:t>
      </w:r>
      <w:r w:rsidRPr="00CE7F6C">
        <w:rPr>
          <w:rFonts w:ascii="Book Antiqua" w:eastAsia="Book Antiqua" w:hAnsi="Book Antiqua" w:cs="Book Antiqua"/>
          <w:color w:val="000000"/>
        </w:rPr>
        <w:t xml:space="preserve"> which found that minimally invasive technologies (</w:t>
      </w:r>
      <w:r w:rsidRPr="00CE7F6C">
        <w:rPr>
          <w:rFonts w:ascii="Book Antiqua" w:eastAsia="Book Antiqua" w:hAnsi="Book Antiqua" w:cs="Book Antiqua"/>
          <w:i/>
          <w:iCs/>
          <w:color w:val="000000"/>
        </w:rPr>
        <w:t>i.e.</w:t>
      </w:r>
      <w:r w:rsidRPr="00074CC2">
        <w:rPr>
          <w:rFonts w:ascii="Book Antiqua" w:eastAsia="Book Antiqua" w:hAnsi="Book Antiqua" w:cs="Book Antiqua"/>
          <w:color w:val="000000"/>
        </w:rPr>
        <w:t xml:space="preserve"> EVBC and TUBC) are not </w:t>
      </w:r>
      <w:r w:rsidRPr="00074CC2">
        <w:rPr>
          <w:rFonts w:ascii="Book Antiqua" w:eastAsia="Book Antiqua" w:hAnsi="Book Antiqua" w:cs="Book Antiqua"/>
          <w:color w:val="000000"/>
        </w:rPr>
        <w:lastRenderedPageBreak/>
        <w:t xml:space="preserve">inferior in terms of oncological outcomes when compared to IVBC. Li </w:t>
      </w:r>
      <w:r w:rsidRPr="00074CC2">
        <w:rPr>
          <w:rFonts w:ascii="Book Antiqua" w:eastAsia="Book Antiqua" w:hAnsi="Book Antiqua" w:cs="Book Antiqua"/>
          <w:i/>
          <w:iCs/>
          <w:color w:val="000000"/>
        </w:rPr>
        <w:t>et al</w:t>
      </w:r>
      <w:r w:rsidRPr="00074CC2">
        <w:rPr>
          <w:rFonts w:ascii="Book Antiqua" w:eastAsia="Book Antiqua" w:hAnsi="Book Antiqua" w:cs="Book Antiqua"/>
          <w:color w:val="000000"/>
          <w:vertAlign w:val="superscript"/>
        </w:rPr>
        <w:t>[11]</w:t>
      </w:r>
      <w:r w:rsidRPr="00074CC2">
        <w:rPr>
          <w:rFonts w:ascii="Book Antiqua" w:eastAsia="Book Antiqua" w:hAnsi="Book Antiqua" w:cs="Book Antiqua"/>
          <w:color w:val="000000"/>
        </w:rPr>
        <w:t xml:space="preserve"> performed a large sample size retrospective study with 301 patients who underwent BCE with either IVBC, EVBC or the TUBC technique. They found that the three techniques had equivalent oncological outcomes including IVR, distant metastasis, and CSS. In a similar study </w:t>
      </w:r>
      <w:r w:rsidR="000425E1">
        <w:rPr>
          <w:rFonts w:ascii="Book Antiqua" w:eastAsia="Book Antiqua" w:hAnsi="Book Antiqua" w:cs="Book Antiqua"/>
          <w:color w:val="000000"/>
        </w:rPr>
        <w:t>that</w:t>
      </w:r>
      <w:r w:rsidR="000425E1" w:rsidRPr="000425E1">
        <w:rPr>
          <w:rFonts w:ascii="Book Antiqua" w:eastAsia="Book Antiqua" w:hAnsi="Book Antiqua" w:cs="Book Antiqua"/>
          <w:color w:val="000000"/>
        </w:rPr>
        <w:t xml:space="preserve"> </w:t>
      </w:r>
      <w:r w:rsidRPr="000425E1">
        <w:rPr>
          <w:rFonts w:ascii="Book Antiqua" w:eastAsia="Book Antiqua" w:hAnsi="Book Antiqua" w:cs="Book Antiqua"/>
          <w:color w:val="000000"/>
        </w:rPr>
        <w:t xml:space="preserve">compared the efficacy of TUBC and IVBC across a sample of 138 patients researchers found no significant differences in RFS and CSS </w:t>
      </w:r>
      <w:r w:rsidRPr="00074CC2">
        <w:rPr>
          <w:rFonts w:ascii="Book Antiqua" w:eastAsia="Book Antiqua" w:hAnsi="Book Antiqua" w:cs="Book Antiqua"/>
          <w:color w:val="000000"/>
          <w:shd w:val="clear" w:color="auto" w:fill="FFFFFF"/>
        </w:rPr>
        <w:t xml:space="preserve">between the two </w:t>
      </w:r>
      <w:proofErr w:type="gramStart"/>
      <w:r w:rsidRPr="00074CC2">
        <w:rPr>
          <w:rFonts w:ascii="Book Antiqua" w:eastAsia="Book Antiqua" w:hAnsi="Book Antiqua" w:cs="Book Antiqua"/>
          <w:color w:val="000000"/>
          <w:shd w:val="clear" w:color="auto" w:fill="FFFFFF"/>
        </w:rPr>
        <w:t>methods</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12]</w:t>
      </w:r>
      <w:r w:rsidRPr="00074CC2">
        <w:rPr>
          <w:rFonts w:ascii="Book Antiqua" w:eastAsia="Book Antiqua" w:hAnsi="Book Antiqua" w:cs="Book Antiqua"/>
          <w:color w:val="000000"/>
        </w:rPr>
        <w:t xml:space="preserve">. Likewise, the specific BCE method adopted during laparoscopic RNU appears to be associated with a higher risk of tumor recurrence and metastases. For example, </w:t>
      </w:r>
      <w:hyperlink r:id="rId8" w:history="1">
        <w:r w:rsidRPr="00DB5098">
          <w:rPr>
            <w:rFonts w:ascii="Book Antiqua" w:eastAsia="Book Antiqua" w:hAnsi="Book Antiqua" w:cs="Book Antiqua"/>
            <w:color w:val="000000"/>
            <w:u w:color="0000EE"/>
          </w:rPr>
          <w:t xml:space="preserve">Allard </w:t>
        </w:r>
      </w:hyperlink>
      <w:r w:rsidRPr="00074CC2">
        <w:rPr>
          <w:rFonts w:ascii="Book Antiqua" w:eastAsia="Book Antiqua" w:hAnsi="Book Antiqua" w:cs="Book Antiqua"/>
          <w:i/>
          <w:iCs/>
          <w:color w:val="000000"/>
        </w:rPr>
        <w:t>et al</w:t>
      </w:r>
      <w:r w:rsidRPr="00DB5098">
        <w:rPr>
          <w:rFonts w:ascii="Book Antiqua" w:eastAsia="Book Antiqua" w:hAnsi="Book Antiqua" w:cs="Book Antiqua"/>
          <w:color w:val="000000"/>
          <w:vertAlign w:val="superscript"/>
        </w:rPr>
        <w:t>[13]</w:t>
      </w:r>
      <w:r w:rsidR="00993038" w:rsidRPr="00CE7F6C">
        <w:rPr>
          <w:rFonts w:ascii="Book Antiqua" w:eastAsia="Book Antiqua" w:hAnsi="Book Antiqua" w:cs="Book Antiqua"/>
          <w:color w:val="000000"/>
          <w:vertAlign w:val="superscript"/>
        </w:rPr>
        <w:t xml:space="preserve"> </w:t>
      </w:r>
      <w:r w:rsidRPr="000425E1">
        <w:rPr>
          <w:rFonts w:ascii="Book Antiqua" w:eastAsia="Book Antiqua" w:hAnsi="Book Antiqua" w:cs="Book Antiqua"/>
          <w:color w:val="000000"/>
        </w:rPr>
        <w:t>conducted a retrospective review of all laparoscopic RNU performed within their center over a 10 year period. Their results further suggest that these three methods are oncologically valid with similar recurrence and metastases rates; however, conclusions are not consistent across all studies.</w:t>
      </w:r>
    </w:p>
    <w:p w14:paraId="4FEF6934" w14:textId="6C85D027"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 xml:space="preserve">Xylinas </w:t>
      </w:r>
      <w:r w:rsidRPr="00074CC2">
        <w:rPr>
          <w:rFonts w:ascii="Book Antiqua" w:eastAsia="Book Antiqua" w:hAnsi="Book Antiqua" w:cs="Book Antiqua"/>
          <w:i/>
          <w:iCs/>
          <w:color w:val="000000"/>
        </w:rPr>
        <w:t>et al</w:t>
      </w:r>
      <w:r w:rsidRPr="00074CC2">
        <w:rPr>
          <w:rFonts w:ascii="Book Antiqua" w:eastAsia="Book Antiqua" w:hAnsi="Book Antiqua" w:cs="Book Antiqua"/>
          <w:color w:val="000000"/>
          <w:vertAlign w:val="superscript"/>
        </w:rPr>
        <w:t>[10]</w:t>
      </w:r>
      <w:r w:rsidRPr="00074CC2">
        <w:rPr>
          <w:rFonts w:ascii="Book Antiqua" w:eastAsia="Book Antiqua" w:hAnsi="Book Antiqua" w:cs="Book Antiqua"/>
          <w:color w:val="000000"/>
        </w:rPr>
        <w:t xml:space="preserve"> conducted a</w:t>
      </w:r>
      <w:r w:rsidR="00407914" w:rsidRPr="00074CC2">
        <w:rPr>
          <w:rFonts w:ascii="Book Antiqua" w:eastAsia="Book Antiqua" w:hAnsi="Book Antiqua" w:cs="Book Antiqua"/>
          <w:color w:val="000000"/>
        </w:rPr>
        <w:t xml:space="preserve"> multi-center study involving 2</w:t>
      </w:r>
      <w:r w:rsidRPr="00074CC2">
        <w:rPr>
          <w:rFonts w:ascii="Book Antiqua" w:eastAsia="Book Antiqua" w:hAnsi="Book Antiqua" w:cs="Book Antiqua"/>
          <w:color w:val="000000"/>
        </w:rPr>
        <w:t>681 patients whom underwent RNU for UTUC between 1987 and 2007. Evidence from their study suggests that the TUBC technique is associated with a higher incidence of IVR (HR</w:t>
      </w:r>
      <w:r w:rsidR="00407914"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1.74,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 0.01). Equally controversial, the results from the Kapoor study found inferior RFS for patients undergoing TUBC compared to IVBC (HR</w:t>
      </w:r>
      <w:r w:rsidR="00407914"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1.488,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 0.0424)</w:t>
      </w:r>
      <w:r w:rsidRPr="00074CC2">
        <w:rPr>
          <w:rFonts w:ascii="Book Antiqua" w:eastAsia="Book Antiqua" w:hAnsi="Book Antiqua" w:cs="Book Antiqua"/>
          <w:color w:val="000000"/>
          <w:vertAlign w:val="superscript"/>
        </w:rPr>
        <w:t>[14]</w:t>
      </w:r>
      <w:r w:rsidRPr="00074CC2">
        <w:rPr>
          <w:rFonts w:ascii="Book Antiqua" w:eastAsia="Book Antiqua" w:hAnsi="Book Antiqua" w:cs="Book Antiqua"/>
          <w:color w:val="000000"/>
        </w:rPr>
        <w:t>. These inconsistencies may manifest through several factors. For example, one potential criticism may be that the sample size in TUBC groups in both studies mentioned were relatively small, representing only 12.0% (98/820) and 3.2% (85/2681) of the total sample, respectively. These groups were also very different in terms of primary tumor location,</w:t>
      </w:r>
      <w:r w:rsidRPr="00074CC2">
        <w:rPr>
          <w:rFonts w:ascii="Book Antiqua" w:eastAsia="Book Antiqua" w:hAnsi="Book Antiqua" w:cs="Book Antiqua"/>
          <w:b/>
          <w:bCs/>
          <w:color w:val="000000"/>
        </w:rPr>
        <w:t xml:space="preserve"> </w:t>
      </w:r>
      <w:r w:rsidRPr="00074CC2">
        <w:rPr>
          <w:rFonts w:ascii="Book Antiqua" w:eastAsia="Book Antiqua" w:hAnsi="Book Antiqua" w:cs="Book Antiqua"/>
          <w:color w:val="000000"/>
        </w:rPr>
        <w:t>tumor multifocality, pathologic staging</w:t>
      </w:r>
      <w:r w:rsidRPr="00074CC2">
        <w:rPr>
          <w:rFonts w:ascii="Book Antiqua" w:eastAsia="Book Antiqua" w:hAnsi="Book Antiqua" w:cs="Book Antiqua"/>
          <w:b/>
          <w:bCs/>
          <w:color w:val="000000"/>
        </w:rPr>
        <w:t xml:space="preserve"> </w:t>
      </w:r>
      <w:r w:rsidRPr="00074CC2">
        <w:rPr>
          <w:rFonts w:ascii="Book Antiqua" w:eastAsia="Book Antiqua" w:hAnsi="Book Antiqua" w:cs="Book Antiqua"/>
          <w:color w:val="000000"/>
        </w:rPr>
        <w:t xml:space="preserve">and grade, which logically reduces the generalizability of findings. Some of the studies also included patients with bladder tumor history which is likely to have greatly influenced IVR outcomes. In fact, even though the multicenter study involved dozens of international clinics and urology departments which would generally yield strong evidence, there were technical discrepancies regarding BCE </w:t>
      </w:r>
      <w:r w:rsidRPr="00074CC2">
        <w:rPr>
          <w:rFonts w:ascii="Book Antiqua" w:eastAsia="Book Antiqua" w:hAnsi="Book Antiqua" w:cs="Book Antiqua"/>
          <w:color w:val="000000"/>
        </w:rPr>
        <w:lastRenderedPageBreak/>
        <w:t>methods within groups</w:t>
      </w:r>
      <w:r w:rsidRPr="00074CC2">
        <w:rPr>
          <w:rFonts w:ascii="Book Antiqua" w:eastAsia="Book Antiqua" w:hAnsi="Book Antiqua" w:cs="Book Antiqua"/>
          <w:color w:val="000000"/>
          <w:vertAlign w:val="superscript"/>
        </w:rPr>
        <w:t>[6]</w:t>
      </w:r>
      <w:r w:rsidRPr="00074CC2">
        <w:rPr>
          <w:rFonts w:ascii="Book Antiqua" w:eastAsia="Book Antiqua" w:hAnsi="Book Antiqua" w:cs="Book Antiqua"/>
          <w:color w:val="000000"/>
        </w:rPr>
        <w:t>. Moreover, there is likely to have been variability in surgical skill and surgeons’ experience which greatly influences outcomes.</w:t>
      </w:r>
    </w:p>
    <w:p w14:paraId="2EA3D4BF" w14:textId="77341846"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Our study was designed to overcome some of the more obvious limitations identified in the foundational research mentioned. All three methods analyzed were performed by experienced surgeons using the same surgical technique in one hospital. These control measures are likely to have reduced encroaching study biases. We found the IVR rate reached 15%, which is comparatively lower than the aforementioned related studies. One reason for this may be that patients with contamination/previous bladder tumor history were excluded according to our study protocol. Another reason for the lower IVR rate may be that the transurethral management techniques in our hospital are not identical to other techniques administered in the related foundational research. As a matter of course, during TUBC, we not only coagulate</w:t>
      </w:r>
      <w:r w:rsidR="00413E92">
        <w:rPr>
          <w:rFonts w:ascii="Book Antiqua" w:eastAsia="Book Antiqua" w:hAnsi="Book Antiqua" w:cs="Book Antiqua"/>
          <w:color w:val="000000"/>
        </w:rPr>
        <w:t>d</w:t>
      </w:r>
      <w:r w:rsidRPr="00413E92">
        <w:rPr>
          <w:rFonts w:ascii="Book Antiqua" w:eastAsia="Book Antiqua" w:hAnsi="Book Antiqua" w:cs="Book Antiqua"/>
          <w:color w:val="000000"/>
        </w:rPr>
        <w:t xml:space="preserve"> the ureteric orifice but also ligate</w:t>
      </w:r>
      <w:r w:rsidR="00413E92">
        <w:rPr>
          <w:rFonts w:ascii="Book Antiqua" w:eastAsia="Book Antiqua" w:hAnsi="Book Antiqua" w:cs="Book Antiqua"/>
          <w:color w:val="000000"/>
        </w:rPr>
        <w:t>d</w:t>
      </w:r>
      <w:r w:rsidRPr="00413E92">
        <w:rPr>
          <w:rFonts w:ascii="Book Antiqua" w:eastAsia="Book Antiqua" w:hAnsi="Book Antiqua" w:cs="Book Antiqua"/>
          <w:color w:val="000000"/>
        </w:rPr>
        <w:t xml:space="preserve"> the ureter below the distal border of the tumor prior to renal manipulation. Evidence and indeed surgical experience show</w:t>
      </w:r>
      <w:r w:rsidRPr="00074CC2">
        <w:rPr>
          <w:rFonts w:ascii="Book Antiqua" w:eastAsia="Book Antiqua" w:hAnsi="Book Antiqua" w:cs="Book Antiqua"/>
          <w:color w:val="000000"/>
        </w:rPr>
        <w:t xml:space="preserve">s that early ligation of the ureter using a Ham-Lock provides superior closure of the ipsilateral collecting system which reduces the likelihood of urine leakage and prevents tumor seeding, thereby minimizing the postoperative risk of local tumor </w:t>
      </w:r>
      <w:proofErr w:type="gramStart"/>
      <w:r w:rsidRPr="00074CC2">
        <w:rPr>
          <w:rFonts w:ascii="Book Antiqua" w:eastAsia="Book Antiqua" w:hAnsi="Book Antiqua" w:cs="Book Antiqua"/>
          <w:color w:val="000000"/>
        </w:rPr>
        <w:t>recurrence</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15,16]</w:t>
      </w:r>
      <w:r w:rsidRPr="00074CC2">
        <w:rPr>
          <w:rFonts w:ascii="Book Antiqua" w:eastAsia="Book Antiqua" w:hAnsi="Book Antiqua" w:cs="Book Antiqua"/>
          <w:color w:val="000000"/>
        </w:rPr>
        <w:t>. Furthermore, some of our sample had received at least one dose of prophylactic intravesical instillation postoperatively which can decrease tumor recurrence either</w:t>
      </w:r>
      <w:r w:rsidRPr="00074CC2">
        <w:rPr>
          <w:rFonts w:ascii="Book Antiqua" w:eastAsia="Book Antiqua" w:hAnsi="Book Antiqua" w:cs="Book Antiqua"/>
          <w:color w:val="000000"/>
          <w:vertAlign w:val="superscript"/>
        </w:rPr>
        <w:t>[17,18]</w:t>
      </w:r>
      <w:r w:rsidRPr="00074CC2">
        <w:rPr>
          <w:rFonts w:ascii="Book Antiqua" w:eastAsia="Book Antiqua" w:hAnsi="Book Antiqua" w:cs="Book Antiqua"/>
          <w:color w:val="000000"/>
        </w:rPr>
        <w:t>.</w:t>
      </w:r>
    </w:p>
    <w:p w14:paraId="5E256998" w14:textId="24941BB5"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 xml:space="preserve">Evidence around independent risk factors for IVR in primary UTUC across the Chinese population involved in </w:t>
      </w:r>
      <w:r w:rsidR="00413E92">
        <w:rPr>
          <w:rFonts w:ascii="Book Antiqua" w:eastAsia="Book Antiqua" w:hAnsi="Book Antiqua" w:cs="Book Antiqua"/>
          <w:color w:val="000000"/>
        </w:rPr>
        <w:t>this</w:t>
      </w:r>
      <w:r w:rsidRPr="00413E92">
        <w:rPr>
          <w:rFonts w:ascii="Book Antiqua" w:eastAsia="Book Antiqua" w:hAnsi="Book Antiqua" w:cs="Book Antiqua"/>
          <w:color w:val="000000"/>
        </w:rPr>
        <w:t xml:space="preserve"> study appears to verify previously published data which suggests that tumor lesions involving lower ureter are independently associated with increased </w:t>
      </w:r>
      <w:proofErr w:type="gramStart"/>
      <w:r w:rsidRPr="00413E92">
        <w:rPr>
          <w:rFonts w:ascii="Book Antiqua" w:eastAsia="Book Antiqua" w:hAnsi="Book Antiqua" w:cs="Book Antiqua"/>
          <w:color w:val="000000"/>
        </w:rPr>
        <w:t>IVR</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19,20]</w:t>
      </w:r>
      <w:r w:rsidRPr="00074CC2">
        <w:rPr>
          <w:rFonts w:ascii="Book Antiqua" w:eastAsia="Book Antiqua" w:hAnsi="Book Antiqua" w:cs="Book Antiqua"/>
          <w:color w:val="000000"/>
        </w:rPr>
        <w:t>. Tumor cell implantation may be the mechanism which increases recurrence risk which is currently estimated to be between 16%</w:t>
      </w:r>
      <w:r w:rsidR="00266D03" w:rsidRPr="00074CC2">
        <w:rPr>
          <w:rFonts w:ascii="Book Antiqua" w:eastAsia="Book Antiqua" w:hAnsi="Book Antiqua" w:cs="Book Antiqua"/>
          <w:color w:val="000000"/>
        </w:rPr>
        <w:t>-</w:t>
      </w:r>
      <w:r w:rsidRPr="00074CC2">
        <w:rPr>
          <w:rFonts w:ascii="Book Antiqua" w:eastAsia="Book Antiqua" w:hAnsi="Book Antiqua" w:cs="Book Antiqua"/>
          <w:color w:val="000000"/>
        </w:rPr>
        <w:t>58% in the ureteric remnant considering the proximity of the primary tumor to the resection site</w:t>
      </w:r>
      <w:r w:rsidRPr="00074CC2">
        <w:rPr>
          <w:rFonts w:ascii="Book Antiqua" w:eastAsia="Book Antiqua" w:hAnsi="Book Antiqua" w:cs="Book Antiqua"/>
          <w:color w:val="000000"/>
          <w:vertAlign w:val="superscript"/>
        </w:rPr>
        <w:t>[13]</w:t>
      </w:r>
      <w:r w:rsidRPr="00074CC2">
        <w:rPr>
          <w:rFonts w:ascii="Book Antiqua" w:eastAsia="Book Antiqua" w:hAnsi="Book Antiqua" w:cs="Book Antiqua"/>
          <w:color w:val="000000"/>
        </w:rPr>
        <w:t xml:space="preserve">. This infers tumors located in the lower ureter can easily invade bladder mucosa, and patients with distal ureter carcinoma </w:t>
      </w:r>
      <w:r w:rsidRPr="00074CC2">
        <w:rPr>
          <w:rFonts w:ascii="Book Antiqua" w:eastAsia="Book Antiqua" w:hAnsi="Book Antiqua" w:cs="Book Antiqua"/>
          <w:color w:val="000000"/>
        </w:rPr>
        <w:lastRenderedPageBreak/>
        <w:t>may have residual microscopic tumor cells even after radical surgical interventions</w:t>
      </w:r>
      <w:r w:rsidRPr="00074CC2">
        <w:rPr>
          <w:rFonts w:ascii="Book Antiqua" w:eastAsia="Book Antiqua" w:hAnsi="Book Antiqua" w:cs="Book Antiqua"/>
          <w:color w:val="000000"/>
          <w:vertAlign w:val="superscript"/>
        </w:rPr>
        <w:t>[19]</w:t>
      </w:r>
      <w:r w:rsidRPr="00074CC2">
        <w:rPr>
          <w:rFonts w:ascii="Book Antiqua" w:eastAsia="Book Antiqua" w:hAnsi="Book Antiqua" w:cs="Book Antiqua"/>
          <w:color w:val="000000"/>
        </w:rPr>
        <w:t>. In our study, even though IVR after RNU did not appear to have a direct impact on survival across the sample, the relapse rate suggests urothelial carcinoma continue to proliferate. This appears to necessitate further adjuvant prophylactic intravesical instillation and continued close postoperative surveillance</w:t>
      </w:r>
      <w:r w:rsidRPr="00074CC2">
        <w:rPr>
          <w:rFonts w:ascii="Book Antiqua" w:eastAsia="Book Antiqua" w:hAnsi="Book Antiqua" w:cs="Book Antiqua"/>
          <w:color w:val="000000"/>
          <w:vertAlign w:val="superscript"/>
        </w:rPr>
        <w:t>[21]</w:t>
      </w:r>
      <w:r w:rsidRPr="00074CC2">
        <w:rPr>
          <w:rFonts w:ascii="Book Antiqua" w:eastAsia="Book Antiqua" w:hAnsi="Book Antiqua" w:cs="Book Antiqua"/>
          <w:color w:val="000000"/>
        </w:rPr>
        <w:t>.</w:t>
      </w:r>
    </w:p>
    <w:p w14:paraId="5C50CDA0" w14:textId="1CA0DB80" w:rsidR="00A77B3E" w:rsidRPr="00074CC2" w:rsidRDefault="00CC0C82" w:rsidP="00E842BB">
      <w:pPr>
        <w:snapToGrid w:val="0"/>
        <w:spacing w:line="360" w:lineRule="auto"/>
        <w:ind w:firstLine="240"/>
        <w:jc w:val="both"/>
        <w:rPr>
          <w:rFonts w:ascii="Book Antiqua" w:hAnsi="Book Antiqua"/>
        </w:rPr>
      </w:pPr>
      <w:r w:rsidRPr="00074CC2">
        <w:rPr>
          <w:rFonts w:ascii="Book Antiqua" w:eastAsia="Book Antiqua" w:hAnsi="Book Antiqua" w:cs="Book Antiqua"/>
          <w:color w:val="000000"/>
        </w:rPr>
        <w:t>Previous research ha</w:t>
      </w:r>
      <w:r w:rsidR="00413E92">
        <w:rPr>
          <w:rFonts w:ascii="Book Antiqua" w:eastAsia="Book Antiqua" w:hAnsi="Book Antiqua" w:cs="Book Antiqua"/>
          <w:color w:val="000000"/>
        </w:rPr>
        <w:t>s</w:t>
      </w:r>
      <w:r w:rsidRPr="00074CC2">
        <w:rPr>
          <w:rFonts w:ascii="Book Antiqua" w:eastAsia="Book Antiqua" w:hAnsi="Book Antiqua" w:cs="Book Antiqua"/>
          <w:color w:val="000000"/>
        </w:rPr>
        <w:t xml:space="preserve"> found that tumor stage and lymph node status are the most important predictors of CSS and OS in patients with </w:t>
      </w:r>
      <w:proofErr w:type="gramStart"/>
      <w:r w:rsidRPr="00074CC2">
        <w:rPr>
          <w:rFonts w:ascii="Book Antiqua" w:eastAsia="Book Antiqua" w:hAnsi="Book Antiqua" w:cs="Book Antiqua"/>
          <w:color w:val="000000"/>
        </w:rPr>
        <w:t>UTUC</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1,3,22]</w:t>
      </w:r>
      <w:r w:rsidR="00413E92">
        <w:rPr>
          <w:rFonts w:ascii="Book Antiqua" w:eastAsia="Book Antiqua" w:hAnsi="Book Antiqua" w:cs="Book Antiqua"/>
          <w:color w:val="000000"/>
          <w:vertAlign w:val="superscript"/>
        </w:rPr>
        <w:t>,</w:t>
      </w:r>
      <w:r w:rsidRPr="00413E92">
        <w:rPr>
          <w:rFonts w:ascii="Book Antiqua" w:eastAsia="Book Antiqua" w:hAnsi="Book Antiqua" w:cs="Book Antiqua"/>
          <w:color w:val="000000"/>
        </w:rPr>
        <w:t xml:space="preserve"> and our findings appear to confirm this. Higher tumor stages are certainly associated with more adverse oncologic outcomes which necessitates raising public awa</w:t>
      </w:r>
      <w:r w:rsidRPr="00074CC2">
        <w:rPr>
          <w:rFonts w:ascii="Book Antiqua" w:eastAsia="Book Antiqua" w:hAnsi="Book Antiqua" w:cs="Book Antiqua"/>
          <w:color w:val="000000"/>
        </w:rPr>
        <w:t>reness of the early signs of this potentially life changing disease. While beyond the remit of this study, we would encourage complementary qualitative research into the experiential elements involved in healthcare seeking behaviors related to this disease. While adjuvant therapies such as ra</w:t>
      </w:r>
      <w:r w:rsidR="00407914" w:rsidRPr="00074CC2">
        <w:rPr>
          <w:rFonts w:ascii="Book Antiqua" w:eastAsia="Book Antiqua" w:hAnsi="Book Antiqua" w:cs="Book Antiqua"/>
          <w:color w:val="000000"/>
        </w:rPr>
        <w:t xml:space="preserve">diotherapy and chemotherapy may </w:t>
      </w:r>
      <w:r w:rsidRPr="00074CC2">
        <w:rPr>
          <w:rFonts w:ascii="Book Antiqua" w:eastAsia="Book Antiqua" w:hAnsi="Book Antiqua" w:cs="Book Antiqua"/>
          <w:color w:val="000000"/>
        </w:rPr>
        <w:t>significantly improve overal</w:t>
      </w:r>
      <w:r w:rsidR="00413E92">
        <w:rPr>
          <w:rFonts w:ascii="Book Antiqua" w:eastAsia="Book Antiqua" w:hAnsi="Book Antiqua" w:cs="Book Antiqua"/>
          <w:color w:val="000000"/>
        </w:rPr>
        <w:t>l</w:t>
      </w:r>
      <w:r w:rsidRPr="00074CC2">
        <w:rPr>
          <w:rFonts w:ascii="Book Antiqua" w:eastAsia="Book Antiqua" w:hAnsi="Book Antiqua" w:cs="Book Antiqua"/>
          <w:color w:val="000000"/>
        </w:rPr>
        <w:t xml:space="preserve"> </w:t>
      </w:r>
      <w:proofErr w:type="gramStart"/>
      <w:r w:rsidRPr="00074CC2">
        <w:rPr>
          <w:rFonts w:ascii="Book Antiqua" w:eastAsia="Book Antiqua" w:hAnsi="Book Antiqua" w:cs="Book Antiqua"/>
          <w:color w:val="000000"/>
        </w:rPr>
        <w:t>survival</w:t>
      </w:r>
      <w:r w:rsidRPr="00074CC2">
        <w:rPr>
          <w:rFonts w:ascii="Book Antiqua" w:eastAsia="Book Antiqua" w:hAnsi="Book Antiqua" w:cs="Book Antiqua"/>
          <w:color w:val="000000"/>
          <w:vertAlign w:val="superscript"/>
        </w:rPr>
        <w:t>[</w:t>
      </w:r>
      <w:proofErr w:type="gramEnd"/>
      <w:r w:rsidRPr="00074CC2">
        <w:rPr>
          <w:rFonts w:ascii="Book Antiqua" w:eastAsia="Book Antiqua" w:hAnsi="Book Antiqua" w:cs="Book Antiqua"/>
          <w:color w:val="000000"/>
          <w:vertAlign w:val="superscript"/>
        </w:rPr>
        <w:t>1,22,23]</w:t>
      </w:r>
      <w:r w:rsidRPr="00074CC2">
        <w:rPr>
          <w:rFonts w:ascii="Book Antiqua" w:eastAsia="Book Antiqua" w:hAnsi="Book Antiqua" w:cs="Book Antiqua"/>
          <w:color w:val="000000"/>
        </w:rPr>
        <w:t>, we must balance the system to reduce perceived social stigma and encourage early identification which will improve overall outcomes</w:t>
      </w:r>
      <w:r w:rsidRPr="00074CC2">
        <w:rPr>
          <w:rFonts w:ascii="Book Antiqua" w:eastAsia="Book Antiqua" w:hAnsi="Book Antiqua" w:cs="Book Antiqua"/>
          <w:color w:val="000000"/>
          <w:vertAlign w:val="superscript"/>
        </w:rPr>
        <w:t>[23]</w:t>
      </w:r>
      <w:r w:rsidRPr="00074CC2">
        <w:rPr>
          <w:rFonts w:ascii="Book Antiqua" w:eastAsia="Book Antiqua" w:hAnsi="Book Antiqua" w:cs="Book Antiqua"/>
          <w:color w:val="000000"/>
        </w:rPr>
        <w:t>.</w:t>
      </w:r>
    </w:p>
    <w:p w14:paraId="22ED5210" w14:textId="77777777" w:rsidR="00A77B3E" w:rsidRPr="00074CC2" w:rsidRDefault="00A77B3E" w:rsidP="00E842BB">
      <w:pPr>
        <w:snapToGrid w:val="0"/>
        <w:spacing w:line="360" w:lineRule="auto"/>
        <w:ind w:firstLine="240"/>
        <w:jc w:val="both"/>
        <w:rPr>
          <w:rFonts w:ascii="Book Antiqua" w:hAnsi="Book Antiqua"/>
        </w:rPr>
      </w:pPr>
    </w:p>
    <w:p w14:paraId="0571E89D"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i/>
          <w:iCs/>
          <w:color w:val="000000"/>
        </w:rPr>
        <w:t>Limits of the study</w:t>
      </w:r>
    </w:p>
    <w:p w14:paraId="7DF5765E" w14:textId="0D647289" w:rsidR="00A77B3E" w:rsidRPr="00074CC2" w:rsidRDefault="00413E92" w:rsidP="00E842BB">
      <w:pPr>
        <w:snapToGrid w:val="0"/>
        <w:spacing w:line="360" w:lineRule="auto"/>
        <w:jc w:val="both"/>
        <w:rPr>
          <w:rFonts w:ascii="Book Antiqua" w:hAnsi="Book Antiqua"/>
        </w:rPr>
      </w:pPr>
      <w:r>
        <w:rPr>
          <w:rFonts w:ascii="Book Antiqua" w:eastAsia="Book Antiqua" w:hAnsi="Book Antiqua" w:cs="Book Antiqua"/>
          <w:color w:val="000000"/>
        </w:rPr>
        <w:t>O</w:t>
      </w:r>
      <w:r w:rsidR="00CC0C82" w:rsidRPr="00413E92">
        <w:rPr>
          <w:rFonts w:ascii="Book Antiqua" w:eastAsia="Book Antiqua" w:hAnsi="Book Antiqua" w:cs="Book Antiqua"/>
          <w:color w:val="000000"/>
        </w:rPr>
        <w:t xml:space="preserve">ur study </w:t>
      </w:r>
      <w:r>
        <w:rPr>
          <w:rFonts w:ascii="Book Antiqua" w:eastAsia="Book Antiqua" w:hAnsi="Book Antiqua" w:cs="Book Antiqua"/>
          <w:color w:val="000000"/>
        </w:rPr>
        <w:t>had</w:t>
      </w:r>
      <w:r w:rsidRPr="00413E92">
        <w:rPr>
          <w:rFonts w:ascii="Book Antiqua" w:eastAsia="Book Antiqua" w:hAnsi="Book Antiqua" w:cs="Book Antiqua"/>
          <w:color w:val="000000"/>
        </w:rPr>
        <w:t xml:space="preserve"> </w:t>
      </w:r>
      <w:r w:rsidR="00CC0C82" w:rsidRPr="00413E92">
        <w:rPr>
          <w:rFonts w:ascii="Book Antiqua" w:eastAsia="Book Antiqua" w:hAnsi="Book Antiqua" w:cs="Book Antiqua"/>
          <w:color w:val="000000"/>
        </w:rPr>
        <w:t>several limitations. The main limitation is inherent to retrospective study designs and analyses. Potential biases such as selection bias, information bias</w:t>
      </w:r>
      <w:r>
        <w:rPr>
          <w:rFonts w:ascii="Book Antiqua" w:eastAsia="Book Antiqua" w:hAnsi="Book Antiqua" w:cs="Book Antiqua"/>
          <w:color w:val="000000"/>
        </w:rPr>
        <w:t>,</w:t>
      </w:r>
      <w:r w:rsidR="00CC0C82" w:rsidRPr="00413E92">
        <w:rPr>
          <w:rFonts w:ascii="Book Antiqua" w:eastAsia="Book Antiqua" w:hAnsi="Book Antiqua" w:cs="Book Antiqua"/>
          <w:color w:val="000000"/>
        </w:rPr>
        <w:t xml:space="preserve"> and other confounding factors cannot be ignored. However, it is difficult to randomize patients to different surgical approaches due to its rareness, and clinicians have a duty to inform patients to make their own choices. In addition, postoperative adjuvant intravesical instillation may lower the IVR rate, thereby influencing the effects observed in our study. Even though the multivariate analysis was performed to adjust for possible confounding, caution must be given when drawing </w:t>
      </w:r>
      <w:r w:rsidR="00CC0C82" w:rsidRPr="00413E92">
        <w:rPr>
          <w:rFonts w:ascii="Book Antiqua" w:eastAsia="Book Antiqua" w:hAnsi="Book Antiqua" w:cs="Book Antiqua"/>
          <w:iCs/>
          <w:color w:val="000000"/>
        </w:rPr>
        <w:t>conclusions</w:t>
      </w:r>
      <w:r w:rsidR="00CC0C82" w:rsidRPr="00074CC2">
        <w:rPr>
          <w:rFonts w:ascii="Book Antiqua" w:eastAsia="Book Antiqua" w:hAnsi="Book Antiqua" w:cs="Book Antiqua"/>
          <w:color w:val="000000"/>
        </w:rPr>
        <w:t>. Therefore, further well-designed studies with an increased number of cases and a longer follow-up time are warranted.</w:t>
      </w:r>
    </w:p>
    <w:bookmarkEnd w:id="19"/>
    <w:bookmarkEnd w:id="20"/>
    <w:p w14:paraId="4CCB0236" w14:textId="77777777" w:rsidR="00A77B3E" w:rsidRPr="00074CC2" w:rsidRDefault="00A77B3E" w:rsidP="00E842BB">
      <w:pPr>
        <w:snapToGrid w:val="0"/>
        <w:spacing w:line="360" w:lineRule="auto"/>
        <w:jc w:val="both"/>
        <w:rPr>
          <w:rFonts w:ascii="Book Antiqua" w:hAnsi="Book Antiqua"/>
        </w:rPr>
      </w:pPr>
    </w:p>
    <w:p w14:paraId="2320BA72"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aps/>
          <w:color w:val="000000"/>
          <w:u w:val="single"/>
        </w:rPr>
        <w:t>CONCLUSION</w:t>
      </w:r>
    </w:p>
    <w:p w14:paraId="399D5F50" w14:textId="7FE86AFE" w:rsidR="00A77B3E" w:rsidRPr="00413E9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EVBC and TUBC appear to have equivalent oncologic outcomes to IVBC for treating UTUC when adhering to strict oncological principles</w:t>
      </w:r>
      <w:r w:rsidR="00413E92">
        <w:rPr>
          <w:rFonts w:ascii="Book Antiqua" w:eastAsia="Book Antiqua" w:hAnsi="Book Antiqua" w:cs="Book Antiqua"/>
          <w:color w:val="000000"/>
        </w:rPr>
        <w:t>,</w:t>
      </w:r>
      <w:r w:rsidRPr="00074CC2">
        <w:rPr>
          <w:rFonts w:ascii="Book Antiqua" w:eastAsia="Book Antiqua" w:hAnsi="Book Antiqua" w:cs="Book Antiqua"/>
          <w:color w:val="000000"/>
        </w:rPr>
        <w:t xml:space="preserve"> although these methods have the advantage of being minimally invasive. Selecting which of these methods to implement is dependent upon a surgeon’s experience, patient’s individual characteristics</w:t>
      </w:r>
      <w:r w:rsidR="00413E92">
        <w:rPr>
          <w:rFonts w:ascii="Book Antiqua" w:eastAsia="Book Antiqua" w:hAnsi="Book Antiqua" w:cs="Book Antiqua"/>
          <w:color w:val="000000"/>
        </w:rPr>
        <w:t>,</w:t>
      </w:r>
      <w:r w:rsidRPr="00413E92">
        <w:rPr>
          <w:rFonts w:ascii="Book Antiqua" w:eastAsia="Book Antiqua" w:hAnsi="Book Antiqua" w:cs="Book Antiqua"/>
          <w:color w:val="000000"/>
        </w:rPr>
        <w:t xml:space="preserve"> and imparting </w:t>
      </w:r>
      <w:r w:rsidR="00413E92">
        <w:rPr>
          <w:rFonts w:ascii="Book Antiqua" w:eastAsia="Book Antiqua" w:hAnsi="Book Antiqua" w:cs="Book Antiqua"/>
          <w:color w:val="000000"/>
        </w:rPr>
        <w:t xml:space="preserve">the </w:t>
      </w:r>
      <w:r w:rsidRPr="00413E92">
        <w:rPr>
          <w:rFonts w:ascii="Book Antiqua" w:eastAsia="Book Antiqua" w:hAnsi="Book Antiqua" w:cs="Book Antiqua"/>
          <w:color w:val="000000"/>
        </w:rPr>
        <w:t>best evidence to inform patient choices. This study adds to the evidence</w:t>
      </w:r>
      <w:r w:rsidR="00413E92">
        <w:rPr>
          <w:rFonts w:ascii="Book Antiqua" w:eastAsia="Book Antiqua" w:hAnsi="Book Antiqua" w:cs="Book Antiqua"/>
          <w:color w:val="000000"/>
        </w:rPr>
        <w:t xml:space="preserve"> </w:t>
      </w:r>
      <w:r w:rsidRPr="00413E92">
        <w:rPr>
          <w:rFonts w:ascii="Book Antiqua" w:eastAsia="Book Antiqua" w:hAnsi="Book Antiqua" w:cs="Book Antiqua"/>
          <w:color w:val="000000"/>
        </w:rPr>
        <w:t>base and will support urologists; however, larger, rigorously designed, multicenter studies with long term outcomes are still required.</w:t>
      </w:r>
    </w:p>
    <w:p w14:paraId="655E46DE" w14:textId="77777777" w:rsidR="00A77B3E" w:rsidRPr="00074CC2" w:rsidRDefault="00A77B3E" w:rsidP="00E842BB">
      <w:pPr>
        <w:snapToGrid w:val="0"/>
        <w:spacing w:line="360" w:lineRule="auto"/>
        <w:jc w:val="both"/>
        <w:rPr>
          <w:rFonts w:ascii="Book Antiqua" w:hAnsi="Book Antiqua"/>
        </w:rPr>
      </w:pPr>
    </w:p>
    <w:p w14:paraId="6CD1A570"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aps/>
          <w:color w:val="000000"/>
          <w:u w:val="single"/>
        </w:rPr>
        <w:t>ARTICLE HIGHLIGHTS</w:t>
      </w:r>
    </w:p>
    <w:p w14:paraId="41C49E04"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i/>
          <w:color w:val="000000"/>
        </w:rPr>
        <w:t>Research background</w:t>
      </w:r>
    </w:p>
    <w:p w14:paraId="2EEEE1AF" w14:textId="125D91CE"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Upper urinary tract urothelial carcinomas (UTUC) is a relatively uncommon disease accounting for only 5</w:t>
      </w:r>
      <w:r w:rsidR="00407914" w:rsidRPr="00074CC2">
        <w:rPr>
          <w:rFonts w:ascii="Book Antiqua" w:eastAsia="Book Antiqua" w:hAnsi="Book Antiqua" w:cs="Book Antiqua"/>
          <w:color w:val="000000"/>
        </w:rPr>
        <w:t>%</w:t>
      </w:r>
      <w:r w:rsidRPr="00074CC2">
        <w:rPr>
          <w:rFonts w:ascii="Book Antiqua" w:eastAsia="Book Antiqua" w:hAnsi="Book Antiqua" w:cs="Book Antiqua"/>
          <w:color w:val="000000"/>
        </w:rPr>
        <w:t>-10% of all urothelial carcinomas. The current standard surgical treatment is radical nephroureterectomy (RNU) with bladder cuff excision (BCE)</w:t>
      </w:r>
      <w:r w:rsidR="00413E92">
        <w:rPr>
          <w:rFonts w:ascii="Book Antiqua" w:eastAsia="Book Antiqua" w:hAnsi="Book Antiqua" w:cs="Book Antiqua"/>
          <w:color w:val="000000"/>
        </w:rPr>
        <w:t>,</w:t>
      </w:r>
      <w:r w:rsidRPr="00413E92">
        <w:rPr>
          <w:rFonts w:ascii="Book Antiqua" w:eastAsia="Book Antiqua" w:hAnsi="Book Antiqua" w:cs="Book Antiqua"/>
          <w:color w:val="000000"/>
        </w:rPr>
        <w:t xml:space="preserve"> which consists of two separate procedures, </w:t>
      </w:r>
      <w:r w:rsidRPr="00074CC2">
        <w:rPr>
          <w:rFonts w:ascii="Book Antiqua" w:eastAsia="Book Antiqua" w:hAnsi="Book Antiqua" w:cs="Book Antiqua"/>
          <w:i/>
          <w:iCs/>
          <w:color w:val="000000"/>
        </w:rPr>
        <w:t>i.e</w:t>
      </w:r>
      <w:r w:rsidRPr="00074CC2">
        <w:rPr>
          <w:rFonts w:ascii="Book Antiqua" w:eastAsia="Book Antiqua" w:hAnsi="Book Antiqua" w:cs="Book Antiqua"/>
          <w:color w:val="000000"/>
        </w:rPr>
        <w:t>. the removal of the ipsilateral distal ureter and partial cystectomy along with the ureteral orifice. Guidelines purport that laparoscopic RNU has equivalent oncological efficacy compared to open RNU when adhering to strict oncological principles. Although, the safety and efficacy of the second step involved in the BCE method, has been debated by urologists for a number of years.</w:t>
      </w:r>
    </w:p>
    <w:p w14:paraId="1D54D570" w14:textId="77777777" w:rsidR="00A77B3E" w:rsidRPr="00074CC2" w:rsidRDefault="00A77B3E" w:rsidP="00E842BB">
      <w:pPr>
        <w:snapToGrid w:val="0"/>
        <w:spacing w:line="360" w:lineRule="auto"/>
        <w:jc w:val="both"/>
        <w:rPr>
          <w:rFonts w:ascii="Book Antiqua" w:hAnsi="Book Antiqua"/>
        </w:rPr>
      </w:pPr>
    </w:p>
    <w:p w14:paraId="5A8CDB83"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i/>
          <w:color w:val="000000"/>
        </w:rPr>
        <w:t>Research motivation</w:t>
      </w:r>
    </w:p>
    <w:p w14:paraId="68CE28C6" w14:textId="2AAF454F"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There is currently no consensus about which management technique is superior for treating primary UTUC. We previously found that intrasvesical incision of the bladder cuff (IVBC) is more strongly associated with improved intravesical recurrence-free survival, compared to EVBC and TUBC. Although, the findings can be criticized because pooled analysis did not adjust for other important </w:t>
      </w:r>
      <w:r w:rsidRPr="00074CC2">
        <w:rPr>
          <w:rFonts w:ascii="Book Antiqua" w:eastAsia="Book Antiqua" w:hAnsi="Book Antiqua" w:cs="Book Antiqua"/>
          <w:color w:val="000000"/>
        </w:rPr>
        <w:lastRenderedPageBreak/>
        <w:t>clinicopathological parameters, such as tumor multiplicity, location, stage, grade, gender.</w:t>
      </w:r>
    </w:p>
    <w:p w14:paraId="47FF1B41" w14:textId="77777777" w:rsidR="00A77B3E" w:rsidRPr="00074CC2" w:rsidRDefault="00A77B3E" w:rsidP="00E842BB">
      <w:pPr>
        <w:snapToGrid w:val="0"/>
        <w:spacing w:line="360" w:lineRule="auto"/>
        <w:jc w:val="both"/>
        <w:rPr>
          <w:rFonts w:ascii="Book Antiqua" w:hAnsi="Book Antiqua"/>
        </w:rPr>
      </w:pPr>
    </w:p>
    <w:p w14:paraId="20C578F6"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i/>
          <w:color w:val="000000"/>
        </w:rPr>
        <w:t>Research objectives</w:t>
      </w:r>
    </w:p>
    <w:p w14:paraId="52BE41DE"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To retrospectively collate data from a nationwide tertiary care center in mainland China, in order to investigate the oncological impact of the three, different BCE techniques on primary UTUC patients following RNU across this Asian population.</w:t>
      </w:r>
    </w:p>
    <w:p w14:paraId="67F1CCF2" w14:textId="77777777" w:rsidR="00A77B3E" w:rsidRPr="00074CC2" w:rsidRDefault="00A77B3E" w:rsidP="00E842BB">
      <w:pPr>
        <w:snapToGrid w:val="0"/>
        <w:spacing w:line="360" w:lineRule="auto"/>
        <w:jc w:val="both"/>
        <w:rPr>
          <w:rFonts w:ascii="Book Antiqua" w:hAnsi="Book Antiqua"/>
        </w:rPr>
      </w:pPr>
    </w:p>
    <w:p w14:paraId="42503DF3"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i/>
          <w:color w:val="000000"/>
        </w:rPr>
        <w:t>Research methods</w:t>
      </w:r>
    </w:p>
    <w:p w14:paraId="1B656B8C" w14:textId="7DDC69F0" w:rsidR="00A77B3E" w:rsidRPr="00413E9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Data from 248 primary UTUC patients who underwent RNU with BCE between January 2004 to December 2018 were retrospectively analyzed. Patients were analyzed according to each BCE methods. Data extracted included patient demographics, perioperative parameters and oncological outcomes. Statistical analyses were performed using chi-square and log-rank tests. The Cox proportional hazards regression model was utilized to identify independent predictors. </w:t>
      </w:r>
      <w:r w:rsidRPr="00074CC2">
        <w:rPr>
          <w:rFonts w:ascii="Book Antiqua" w:eastAsia="Book Antiqua" w:hAnsi="Book Antiqua" w:cs="Book Antiqua"/>
          <w:i/>
          <w:iCs/>
          <w:color w:val="000000"/>
        </w:rPr>
        <w:t>P</w:t>
      </w:r>
      <w:r w:rsidRPr="00074CC2">
        <w:rPr>
          <w:rFonts w:ascii="Book Antiqua" w:eastAsia="Book Antiqua" w:hAnsi="Book Antiqua" w:cs="Book Antiqua"/>
          <w:color w:val="000000"/>
        </w:rPr>
        <w:t xml:space="preserve"> &lt; 0.05 </w:t>
      </w:r>
      <w:r w:rsidR="00413E92">
        <w:rPr>
          <w:rFonts w:ascii="Book Antiqua" w:eastAsia="Book Antiqua" w:hAnsi="Book Antiqua" w:cs="Book Antiqua"/>
          <w:color w:val="000000"/>
        </w:rPr>
        <w:t xml:space="preserve">was </w:t>
      </w:r>
      <w:r w:rsidRPr="00413E92">
        <w:rPr>
          <w:rFonts w:ascii="Book Antiqua" w:eastAsia="Book Antiqua" w:hAnsi="Book Antiqua" w:cs="Book Antiqua"/>
          <w:color w:val="000000"/>
        </w:rPr>
        <w:t>considered statistically significant.</w:t>
      </w:r>
    </w:p>
    <w:p w14:paraId="1CDB8C4A" w14:textId="77777777" w:rsidR="00A77B3E" w:rsidRPr="00074CC2" w:rsidRDefault="00A77B3E" w:rsidP="00E842BB">
      <w:pPr>
        <w:snapToGrid w:val="0"/>
        <w:spacing w:line="360" w:lineRule="auto"/>
        <w:jc w:val="both"/>
        <w:rPr>
          <w:rFonts w:ascii="Book Antiqua" w:hAnsi="Book Antiqua"/>
        </w:rPr>
      </w:pPr>
    </w:p>
    <w:p w14:paraId="2DA1AFBA"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i/>
          <w:color w:val="000000"/>
        </w:rPr>
        <w:t>Research results</w:t>
      </w:r>
    </w:p>
    <w:p w14:paraId="2EDF38EE" w14:textId="43728761" w:rsidR="00A77B3E" w:rsidRPr="00074CC2" w:rsidRDefault="00CC0C82" w:rsidP="00E842BB">
      <w:pPr>
        <w:snapToGrid w:val="0"/>
        <w:spacing w:line="360" w:lineRule="auto"/>
        <w:jc w:val="both"/>
        <w:rPr>
          <w:rFonts w:ascii="Book Antiqua" w:hAnsi="Book Antiqua"/>
        </w:rPr>
      </w:pPr>
      <w:bookmarkStart w:id="21" w:name="OLE_LINK18"/>
      <w:bookmarkStart w:id="22" w:name="OLE_LINK19"/>
      <w:r w:rsidRPr="00074CC2">
        <w:rPr>
          <w:rFonts w:ascii="Book Antiqua" w:eastAsia="Book Antiqua" w:hAnsi="Book Antiqua" w:cs="Book Antiqua"/>
          <w:color w:val="000000"/>
        </w:rPr>
        <w:t>Of the 248 participants, 39.9%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99) underwent IVBC, 38.7%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96) EVBC, and 21.4% (</w:t>
      </w:r>
      <w:r w:rsidRPr="00074CC2">
        <w:rPr>
          <w:rFonts w:ascii="Book Antiqua" w:eastAsia="Book Antiqua" w:hAnsi="Book Antiqua" w:cs="Book Antiqua"/>
          <w:i/>
          <w:iCs/>
          <w:color w:val="000000"/>
        </w:rPr>
        <w:t>n</w:t>
      </w:r>
      <w:r w:rsidRPr="00074CC2">
        <w:rPr>
          <w:rFonts w:ascii="Book Antiqua" w:eastAsia="Book Antiqua" w:hAnsi="Book Antiqua" w:cs="Book Antiqua"/>
          <w:color w:val="000000"/>
        </w:rPr>
        <w:t xml:space="preserve"> = 53) TUBC. At a median follow-up of 44.2 mo, bladder recurrence developed in 17.2%, 12.5%, and 13.2% of the cases, respectively. Cancer specific deaths occurred in 11.1%, 5.2%, and 7.5%, respectively. Kaplan-Meier survival curves with a log-rank test highlighted no significant differences in intravesical recurrence-free survival, cancer-specific survival, and overall survival among these approaches with </w:t>
      </w:r>
      <w:r w:rsidR="00993038" w:rsidRPr="00074CC2">
        <w:rPr>
          <w:rFonts w:ascii="Book Antiqua" w:eastAsia="Book Antiqua" w:hAnsi="Book Antiqua" w:cs="Book Antiqua"/>
          <w:i/>
          <w:iCs/>
          <w:color w:val="000000"/>
        </w:rPr>
        <w:t>P</w:t>
      </w:r>
      <w:r w:rsidRPr="00074CC2">
        <w:rPr>
          <w:rFonts w:ascii="Book Antiqua" w:eastAsia="Book Antiqua" w:hAnsi="Book Antiqua" w:cs="Book Antiqua"/>
          <w:color w:val="000000"/>
        </w:rPr>
        <w:t xml:space="preserve"> values of 0.987, 0.825 and 0.497, respectively. Under multivariate analysis, the lower ureter location appears to have inferior intravesical recurrence-free survival (</w:t>
      </w:r>
      <w:r w:rsidRPr="00074CC2">
        <w:rPr>
          <w:rFonts w:ascii="Book Antiqua" w:eastAsia="Book Antiqua" w:hAnsi="Book Antiqua" w:cs="Book Antiqua"/>
          <w:i/>
          <w:iCs/>
          <w:color w:val="000000"/>
        </w:rPr>
        <w:t>P</w:t>
      </w:r>
      <w:r w:rsidRPr="00074CC2">
        <w:rPr>
          <w:rFonts w:ascii="Book Antiqua" w:eastAsia="Book Antiqua" w:hAnsi="Book Antiqua" w:cs="Book Antiqua"/>
          <w:color w:val="000000"/>
        </w:rPr>
        <w:t xml:space="preserve"> = 0.042). However, cancer-specific survival and overall survival were independently</w:t>
      </w:r>
      <w:r w:rsidR="00407914" w:rsidRPr="00074CC2">
        <w:rPr>
          <w:rFonts w:ascii="Book Antiqua" w:eastAsia="Book Antiqua" w:hAnsi="Book Antiqua" w:cs="Book Antiqua"/>
          <w:color w:val="000000"/>
        </w:rPr>
        <w:t xml:space="preserve"> influenced by tumor stage (HR:</w:t>
      </w:r>
      <w:r w:rsidRPr="00074CC2">
        <w:rPr>
          <w:rFonts w:ascii="Book Antiqua" w:eastAsia="Book Antiqua" w:hAnsi="Book Antiqua" w:cs="Book Antiqua"/>
          <w:color w:val="000000"/>
        </w:rPr>
        <w:t xml:space="preserve"> 8.439; </w:t>
      </w:r>
      <w:r w:rsidRPr="00074CC2">
        <w:rPr>
          <w:rFonts w:ascii="Book Antiqua" w:eastAsia="Book Antiqua" w:hAnsi="Book Antiqua" w:cs="Book Antiqua"/>
          <w:color w:val="000000"/>
        </w:rPr>
        <w:lastRenderedPageBreak/>
        <w:t>95%</w:t>
      </w:r>
      <w:r w:rsidR="00407914" w:rsidRPr="00074CC2">
        <w:rPr>
          <w:rFonts w:ascii="Book Antiqua" w:eastAsia="Book Antiqua" w:hAnsi="Book Antiqua" w:cs="Book Antiqua"/>
          <w:color w:val="000000"/>
        </w:rPr>
        <w:t>CI:</w:t>
      </w:r>
      <w:r w:rsidRPr="00074CC2">
        <w:rPr>
          <w:rFonts w:ascii="Book Antiqua" w:eastAsia="Book Antiqua" w:hAnsi="Book Antiqua" w:cs="Book Antiqua"/>
          <w:color w:val="000000"/>
        </w:rPr>
        <w:t xml:space="preserve"> 2.424-29.377;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 0.001) and lymph node status</w:t>
      </w:r>
      <w:r w:rsidR="00B82087"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(HR</w:t>
      </w:r>
      <w:r w:rsidR="00407914" w:rsidRPr="00074CC2">
        <w:rPr>
          <w:rFonts w:ascii="Book Antiqua" w:eastAsia="Book Antiqua" w:hAnsi="Book Antiqua" w:cs="Book Antiqua"/>
          <w:color w:val="000000"/>
        </w:rPr>
        <w:t xml:space="preserve">: </w:t>
      </w:r>
      <w:r w:rsidRPr="00074CC2">
        <w:rPr>
          <w:rFonts w:ascii="Book Antiqua" w:eastAsia="Book Antiqua" w:hAnsi="Book Antiqua" w:cs="Book Antiqua"/>
          <w:color w:val="000000"/>
        </w:rPr>
        <w:t>14.343; 95%</w:t>
      </w:r>
      <w:r w:rsidR="00407914" w:rsidRPr="00074CC2">
        <w:rPr>
          <w:rFonts w:ascii="Book Antiqua" w:eastAsia="Book Antiqua" w:hAnsi="Book Antiqua" w:cs="Book Antiqua"/>
          <w:color w:val="000000"/>
        </w:rPr>
        <w:t>CI:</w:t>
      </w:r>
      <w:r w:rsidRPr="00074CC2">
        <w:rPr>
          <w:rFonts w:ascii="Book Antiqua" w:eastAsia="Book Antiqua" w:hAnsi="Book Antiqua" w:cs="Book Antiqua"/>
          <w:color w:val="000000"/>
        </w:rPr>
        <w:t xml:space="preserve"> 5.176-39.745; </w:t>
      </w:r>
      <w:r w:rsidRPr="00074CC2">
        <w:rPr>
          <w:rFonts w:ascii="Book Antiqua" w:eastAsia="Book Antiqua" w:hAnsi="Book Antiqua" w:cs="Book Antiqua"/>
          <w:i/>
          <w:iCs/>
          <w:color w:val="000000"/>
        </w:rPr>
        <w:t xml:space="preserve">P </w:t>
      </w:r>
      <w:r w:rsidRPr="00074CC2">
        <w:rPr>
          <w:rFonts w:ascii="Book Antiqua" w:eastAsia="Book Antiqua" w:hAnsi="Book Antiqua" w:cs="Book Antiqua"/>
          <w:color w:val="000000"/>
        </w:rPr>
        <w:t>&lt; 0.001).</w:t>
      </w:r>
    </w:p>
    <w:bookmarkEnd w:id="21"/>
    <w:bookmarkEnd w:id="22"/>
    <w:p w14:paraId="4497CB71" w14:textId="77777777" w:rsidR="00A77B3E" w:rsidRPr="00074CC2" w:rsidRDefault="00A77B3E" w:rsidP="00E842BB">
      <w:pPr>
        <w:snapToGrid w:val="0"/>
        <w:spacing w:line="360" w:lineRule="auto"/>
        <w:jc w:val="both"/>
        <w:rPr>
          <w:rFonts w:ascii="Book Antiqua" w:hAnsi="Book Antiqua"/>
        </w:rPr>
      </w:pPr>
    </w:p>
    <w:p w14:paraId="0E6484BF"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i/>
          <w:color w:val="000000"/>
        </w:rPr>
        <w:t>Research conclusions</w:t>
      </w:r>
    </w:p>
    <w:p w14:paraId="41454CEF" w14:textId="0BD90863"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EVBC and TUBC appear to have equivalent oncologic outcomes to IVBC for treating UTUC when adhering to strict oncological principles</w:t>
      </w:r>
      <w:r w:rsidR="00413E92">
        <w:rPr>
          <w:rFonts w:ascii="Book Antiqua" w:eastAsia="Book Antiqua" w:hAnsi="Book Antiqua" w:cs="Book Antiqua"/>
          <w:color w:val="000000"/>
        </w:rPr>
        <w:t>,</w:t>
      </w:r>
      <w:r w:rsidRPr="00074CC2">
        <w:rPr>
          <w:rFonts w:ascii="Book Antiqua" w:eastAsia="Book Antiqua" w:hAnsi="Book Antiqua" w:cs="Book Antiqua"/>
          <w:color w:val="000000"/>
        </w:rPr>
        <w:t xml:space="preserve"> although these methods have the advantage of being minimally invasive. Selecting which of these methods to implement is dependent upon a surgeon’s experience, patient’s individual characteristics and imparting best evidence to inform patient choices.</w:t>
      </w:r>
    </w:p>
    <w:p w14:paraId="1AA5337C" w14:textId="77777777" w:rsidR="00A77B3E" w:rsidRPr="00074CC2" w:rsidRDefault="00A77B3E" w:rsidP="00E842BB">
      <w:pPr>
        <w:snapToGrid w:val="0"/>
        <w:spacing w:line="360" w:lineRule="auto"/>
        <w:jc w:val="both"/>
        <w:rPr>
          <w:rFonts w:ascii="Book Antiqua" w:hAnsi="Book Antiqua"/>
        </w:rPr>
      </w:pPr>
    </w:p>
    <w:p w14:paraId="4EB4DA89"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i/>
          <w:color w:val="000000"/>
        </w:rPr>
        <w:t>Research perspectives</w:t>
      </w:r>
    </w:p>
    <w:p w14:paraId="0B30A658" w14:textId="20237C88"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This study adds to the evidence-base and will support urologists; however, larger, rigorously designed, multicenter studies with long</w:t>
      </w:r>
      <w:r w:rsidR="00413E92">
        <w:rPr>
          <w:rFonts w:ascii="Book Antiqua" w:eastAsia="Book Antiqua" w:hAnsi="Book Antiqua" w:cs="Book Antiqua"/>
          <w:color w:val="000000"/>
        </w:rPr>
        <w:t>-</w:t>
      </w:r>
      <w:r w:rsidRPr="00074CC2">
        <w:rPr>
          <w:rFonts w:ascii="Book Antiqua" w:eastAsia="Book Antiqua" w:hAnsi="Book Antiqua" w:cs="Book Antiqua"/>
          <w:color w:val="000000"/>
        </w:rPr>
        <w:t>term outcomes are still required.</w:t>
      </w:r>
    </w:p>
    <w:p w14:paraId="646A3903" w14:textId="77777777" w:rsidR="00A77B3E" w:rsidRPr="00074CC2" w:rsidRDefault="00A77B3E" w:rsidP="00E842BB">
      <w:pPr>
        <w:snapToGrid w:val="0"/>
        <w:spacing w:line="360" w:lineRule="auto"/>
        <w:jc w:val="both"/>
        <w:rPr>
          <w:rFonts w:ascii="Book Antiqua" w:hAnsi="Book Antiqua"/>
        </w:rPr>
      </w:pPr>
    </w:p>
    <w:p w14:paraId="5A1A0706"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REFERENCES</w:t>
      </w:r>
    </w:p>
    <w:p w14:paraId="338C5057" w14:textId="77777777" w:rsidR="00A77B3E" w:rsidRPr="00074CC2" w:rsidRDefault="00CC0C82" w:rsidP="00E842BB">
      <w:pPr>
        <w:snapToGrid w:val="0"/>
        <w:spacing w:line="360" w:lineRule="auto"/>
        <w:jc w:val="both"/>
        <w:rPr>
          <w:rFonts w:ascii="Book Antiqua" w:hAnsi="Book Antiqua"/>
        </w:rPr>
      </w:pPr>
      <w:bookmarkStart w:id="23" w:name="OLE_LINK4"/>
      <w:bookmarkStart w:id="24" w:name="OLE_LINK20"/>
      <w:bookmarkStart w:id="25" w:name="OLE_LINK2108"/>
      <w:r w:rsidRPr="00074CC2">
        <w:rPr>
          <w:rFonts w:ascii="Book Antiqua" w:eastAsia="Book Antiqua" w:hAnsi="Book Antiqua" w:cs="Book Antiqua"/>
          <w:color w:val="000000"/>
        </w:rPr>
        <w:t xml:space="preserve">1 </w:t>
      </w:r>
      <w:proofErr w:type="spellStart"/>
      <w:r w:rsidRPr="00074CC2">
        <w:rPr>
          <w:rFonts w:ascii="Book Antiqua" w:eastAsia="Book Antiqua" w:hAnsi="Book Antiqua" w:cs="Book Antiqua"/>
          <w:b/>
          <w:bCs/>
          <w:color w:val="000000"/>
        </w:rPr>
        <w:t>Rouprêt</w:t>
      </w:r>
      <w:proofErr w:type="spellEnd"/>
      <w:r w:rsidRPr="00074CC2">
        <w:rPr>
          <w:rFonts w:ascii="Book Antiqua" w:eastAsia="Book Antiqua" w:hAnsi="Book Antiqua" w:cs="Book Antiqua"/>
          <w:b/>
          <w:bCs/>
          <w:color w:val="000000"/>
        </w:rPr>
        <w:t xml:space="preserve"> M</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Babjuk</w:t>
      </w:r>
      <w:proofErr w:type="spellEnd"/>
      <w:r w:rsidRPr="00074CC2">
        <w:rPr>
          <w:rFonts w:ascii="Book Antiqua" w:eastAsia="Book Antiqua" w:hAnsi="Book Antiqua" w:cs="Book Antiqua"/>
          <w:color w:val="000000"/>
        </w:rPr>
        <w:t xml:space="preserve"> M, </w:t>
      </w:r>
      <w:proofErr w:type="spellStart"/>
      <w:r w:rsidRPr="00074CC2">
        <w:rPr>
          <w:rFonts w:ascii="Book Antiqua" w:eastAsia="Book Antiqua" w:hAnsi="Book Antiqua" w:cs="Book Antiqua"/>
          <w:color w:val="000000"/>
        </w:rPr>
        <w:t>Compérat</w:t>
      </w:r>
      <w:proofErr w:type="spellEnd"/>
      <w:r w:rsidRPr="00074CC2">
        <w:rPr>
          <w:rFonts w:ascii="Book Antiqua" w:eastAsia="Book Antiqua" w:hAnsi="Book Antiqua" w:cs="Book Antiqua"/>
          <w:color w:val="000000"/>
        </w:rPr>
        <w:t xml:space="preserve"> E, </w:t>
      </w:r>
      <w:proofErr w:type="spellStart"/>
      <w:r w:rsidRPr="00074CC2">
        <w:rPr>
          <w:rFonts w:ascii="Book Antiqua" w:eastAsia="Book Antiqua" w:hAnsi="Book Antiqua" w:cs="Book Antiqua"/>
          <w:color w:val="000000"/>
        </w:rPr>
        <w:t>Zigeuner</w:t>
      </w:r>
      <w:proofErr w:type="spellEnd"/>
      <w:r w:rsidRPr="00074CC2">
        <w:rPr>
          <w:rFonts w:ascii="Book Antiqua" w:eastAsia="Book Antiqua" w:hAnsi="Book Antiqua" w:cs="Book Antiqua"/>
          <w:color w:val="000000"/>
        </w:rPr>
        <w:t xml:space="preserve"> R, Sylvester RJ, Burger M, Cowan NC, </w:t>
      </w:r>
      <w:proofErr w:type="spellStart"/>
      <w:r w:rsidRPr="00074CC2">
        <w:rPr>
          <w:rFonts w:ascii="Book Antiqua" w:eastAsia="Book Antiqua" w:hAnsi="Book Antiqua" w:cs="Book Antiqua"/>
          <w:color w:val="000000"/>
        </w:rPr>
        <w:t>Gontero</w:t>
      </w:r>
      <w:proofErr w:type="spellEnd"/>
      <w:r w:rsidRPr="00074CC2">
        <w:rPr>
          <w:rFonts w:ascii="Book Antiqua" w:eastAsia="Book Antiqua" w:hAnsi="Book Antiqua" w:cs="Book Antiqua"/>
          <w:color w:val="000000"/>
        </w:rPr>
        <w:t xml:space="preserve"> P, Van </w:t>
      </w:r>
      <w:proofErr w:type="spellStart"/>
      <w:r w:rsidRPr="00074CC2">
        <w:rPr>
          <w:rFonts w:ascii="Book Antiqua" w:eastAsia="Book Antiqua" w:hAnsi="Book Antiqua" w:cs="Book Antiqua"/>
          <w:color w:val="000000"/>
        </w:rPr>
        <w:t>Rhijn</w:t>
      </w:r>
      <w:proofErr w:type="spellEnd"/>
      <w:r w:rsidRPr="00074CC2">
        <w:rPr>
          <w:rFonts w:ascii="Book Antiqua" w:eastAsia="Book Antiqua" w:hAnsi="Book Antiqua" w:cs="Book Antiqua"/>
          <w:color w:val="000000"/>
        </w:rPr>
        <w:t xml:space="preserve"> BWG, </w:t>
      </w:r>
      <w:proofErr w:type="spellStart"/>
      <w:r w:rsidRPr="00074CC2">
        <w:rPr>
          <w:rFonts w:ascii="Book Antiqua" w:eastAsia="Book Antiqua" w:hAnsi="Book Antiqua" w:cs="Book Antiqua"/>
          <w:color w:val="000000"/>
        </w:rPr>
        <w:t>Mostafid</w:t>
      </w:r>
      <w:proofErr w:type="spellEnd"/>
      <w:r w:rsidRPr="00074CC2">
        <w:rPr>
          <w:rFonts w:ascii="Book Antiqua" w:eastAsia="Book Antiqua" w:hAnsi="Book Antiqua" w:cs="Book Antiqua"/>
          <w:color w:val="000000"/>
        </w:rPr>
        <w:t xml:space="preserve"> AH, Palou J, </w:t>
      </w:r>
      <w:proofErr w:type="spellStart"/>
      <w:r w:rsidRPr="00074CC2">
        <w:rPr>
          <w:rFonts w:ascii="Book Antiqua" w:eastAsia="Book Antiqua" w:hAnsi="Book Antiqua" w:cs="Book Antiqua"/>
          <w:color w:val="000000"/>
        </w:rPr>
        <w:t>Shariat</w:t>
      </w:r>
      <w:proofErr w:type="spellEnd"/>
      <w:r w:rsidRPr="00074CC2">
        <w:rPr>
          <w:rFonts w:ascii="Book Antiqua" w:eastAsia="Book Antiqua" w:hAnsi="Book Antiqua" w:cs="Book Antiqua"/>
          <w:color w:val="000000"/>
        </w:rPr>
        <w:t xml:space="preserve"> SF. European Association of Urology Guidelines on Upper Urinary Tract Urothelial Carcinoma: 2017 Update. </w:t>
      </w:r>
      <w:r w:rsidRPr="00074CC2">
        <w:rPr>
          <w:rFonts w:ascii="Book Antiqua" w:eastAsia="Book Antiqua" w:hAnsi="Book Antiqua" w:cs="Book Antiqua"/>
          <w:i/>
          <w:iCs/>
          <w:color w:val="000000"/>
        </w:rPr>
        <w:t xml:space="preserve">Eur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2018; </w:t>
      </w:r>
      <w:r w:rsidRPr="00074CC2">
        <w:rPr>
          <w:rFonts w:ascii="Book Antiqua" w:eastAsia="Book Antiqua" w:hAnsi="Book Antiqua" w:cs="Book Antiqua"/>
          <w:b/>
          <w:bCs/>
          <w:color w:val="000000"/>
        </w:rPr>
        <w:t>73</w:t>
      </w:r>
      <w:r w:rsidRPr="00074CC2">
        <w:rPr>
          <w:rFonts w:ascii="Book Antiqua" w:eastAsia="Book Antiqua" w:hAnsi="Book Antiqua" w:cs="Book Antiqua"/>
          <w:color w:val="000000"/>
        </w:rPr>
        <w:t>: 111-122 [PMID: 28867446 DOI: 10.1016/j.eururo.2017.07.036]</w:t>
      </w:r>
    </w:p>
    <w:p w14:paraId="28F2E74F"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2 </w:t>
      </w:r>
      <w:r w:rsidRPr="00074CC2">
        <w:rPr>
          <w:rFonts w:ascii="Book Antiqua" w:eastAsia="Book Antiqua" w:hAnsi="Book Antiqua" w:cs="Book Antiqua"/>
          <w:b/>
          <w:bCs/>
          <w:color w:val="000000"/>
        </w:rPr>
        <w:t>Munoz JJ</w:t>
      </w:r>
      <w:r w:rsidRPr="00074CC2">
        <w:rPr>
          <w:rFonts w:ascii="Book Antiqua" w:eastAsia="Book Antiqua" w:hAnsi="Book Antiqua" w:cs="Book Antiqua"/>
          <w:color w:val="000000"/>
        </w:rPr>
        <w:t xml:space="preserve">, Ellison LM. Upper tract urothelial neoplasms: incidence and survival during the last 2 decades. </w:t>
      </w:r>
      <w:r w:rsidRPr="00074CC2">
        <w:rPr>
          <w:rFonts w:ascii="Book Antiqua" w:eastAsia="Book Antiqua" w:hAnsi="Book Antiqua" w:cs="Book Antiqua"/>
          <w:i/>
          <w:iCs/>
          <w:color w:val="000000"/>
        </w:rPr>
        <w:t xml:space="preserve">J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2000; </w:t>
      </w:r>
      <w:r w:rsidRPr="00074CC2">
        <w:rPr>
          <w:rFonts w:ascii="Book Antiqua" w:eastAsia="Book Antiqua" w:hAnsi="Book Antiqua" w:cs="Book Antiqua"/>
          <w:b/>
          <w:bCs/>
          <w:color w:val="000000"/>
        </w:rPr>
        <w:t>164</w:t>
      </w:r>
      <w:r w:rsidRPr="00074CC2">
        <w:rPr>
          <w:rFonts w:ascii="Book Antiqua" w:eastAsia="Book Antiqua" w:hAnsi="Book Antiqua" w:cs="Book Antiqua"/>
          <w:color w:val="000000"/>
        </w:rPr>
        <w:t>: 1523-1525 [PMID: 11025695]</w:t>
      </w:r>
    </w:p>
    <w:p w14:paraId="09A0830A"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3 </w:t>
      </w:r>
      <w:r w:rsidRPr="00074CC2">
        <w:rPr>
          <w:rFonts w:ascii="Book Antiqua" w:eastAsia="Book Antiqua" w:hAnsi="Book Antiqua" w:cs="Book Antiqua"/>
          <w:b/>
          <w:bCs/>
          <w:color w:val="000000"/>
        </w:rPr>
        <w:t>Margulis V</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Shariat</w:t>
      </w:r>
      <w:proofErr w:type="spellEnd"/>
      <w:r w:rsidRPr="00074CC2">
        <w:rPr>
          <w:rFonts w:ascii="Book Antiqua" w:eastAsia="Book Antiqua" w:hAnsi="Book Antiqua" w:cs="Book Antiqua"/>
          <w:color w:val="000000"/>
        </w:rPr>
        <w:t xml:space="preserve"> SF, Matin SF, </w:t>
      </w:r>
      <w:proofErr w:type="spellStart"/>
      <w:r w:rsidRPr="00074CC2">
        <w:rPr>
          <w:rFonts w:ascii="Book Antiqua" w:eastAsia="Book Antiqua" w:hAnsi="Book Antiqua" w:cs="Book Antiqua"/>
          <w:color w:val="000000"/>
        </w:rPr>
        <w:t>Kamat</w:t>
      </w:r>
      <w:proofErr w:type="spellEnd"/>
      <w:r w:rsidRPr="00074CC2">
        <w:rPr>
          <w:rFonts w:ascii="Book Antiqua" w:eastAsia="Book Antiqua" w:hAnsi="Book Antiqua" w:cs="Book Antiqua"/>
          <w:color w:val="000000"/>
        </w:rPr>
        <w:t xml:space="preserve"> AM, </w:t>
      </w:r>
      <w:proofErr w:type="spellStart"/>
      <w:r w:rsidRPr="00074CC2">
        <w:rPr>
          <w:rFonts w:ascii="Book Antiqua" w:eastAsia="Book Antiqua" w:hAnsi="Book Antiqua" w:cs="Book Antiqua"/>
          <w:color w:val="000000"/>
        </w:rPr>
        <w:t>Zigeuner</w:t>
      </w:r>
      <w:proofErr w:type="spellEnd"/>
      <w:r w:rsidRPr="00074CC2">
        <w:rPr>
          <w:rFonts w:ascii="Book Antiqua" w:eastAsia="Book Antiqua" w:hAnsi="Book Antiqua" w:cs="Book Antiqua"/>
          <w:color w:val="000000"/>
        </w:rPr>
        <w:t xml:space="preserve"> R, Kikuchi E, Lotan Y, </w:t>
      </w:r>
      <w:proofErr w:type="spellStart"/>
      <w:r w:rsidRPr="00074CC2">
        <w:rPr>
          <w:rFonts w:ascii="Book Antiqua" w:eastAsia="Book Antiqua" w:hAnsi="Book Antiqua" w:cs="Book Antiqua"/>
          <w:color w:val="000000"/>
        </w:rPr>
        <w:t>Weizer</w:t>
      </w:r>
      <w:proofErr w:type="spellEnd"/>
      <w:r w:rsidRPr="00074CC2">
        <w:rPr>
          <w:rFonts w:ascii="Book Antiqua" w:eastAsia="Book Antiqua" w:hAnsi="Book Antiqua" w:cs="Book Antiqua"/>
          <w:color w:val="000000"/>
        </w:rPr>
        <w:t xml:space="preserve"> A, Raman JD, Wood CG; Upper Tract Urothelial Carcinoma </w:t>
      </w:r>
      <w:proofErr w:type="spellStart"/>
      <w:r w:rsidRPr="00074CC2">
        <w:rPr>
          <w:rFonts w:ascii="Book Antiqua" w:eastAsia="Book Antiqua" w:hAnsi="Book Antiqua" w:cs="Book Antiqua"/>
          <w:color w:val="000000"/>
        </w:rPr>
        <w:t>CollaborationThe</w:t>
      </w:r>
      <w:proofErr w:type="spellEnd"/>
      <w:r w:rsidRPr="00074CC2">
        <w:rPr>
          <w:rFonts w:ascii="Book Antiqua" w:eastAsia="Book Antiqua" w:hAnsi="Book Antiqua" w:cs="Book Antiqua"/>
          <w:color w:val="000000"/>
        </w:rPr>
        <w:t xml:space="preserve"> Upper Tract Urothelial Carcinoma Collaboration. Outcomes of radical nephroureterectomy: a series from the Upper Tract Urothelial Carcinoma Collaboration. </w:t>
      </w:r>
      <w:r w:rsidRPr="00074CC2">
        <w:rPr>
          <w:rFonts w:ascii="Book Antiqua" w:eastAsia="Book Antiqua" w:hAnsi="Book Antiqua" w:cs="Book Antiqua"/>
          <w:i/>
          <w:iCs/>
          <w:color w:val="000000"/>
        </w:rPr>
        <w:t>Cancer</w:t>
      </w:r>
      <w:r w:rsidRPr="00074CC2">
        <w:rPr>
          <w:rFonts w:ascii="Book Antiqua" w:eastAsia="Book Antiqua" w:hAnsi="Book Antiqua" w:cs="Book Antiqua"/>
          <w:color w:val="000000"/>
        </w:rPr>
        <w:t xml:space="preserve"> 2009; </w:t>
      </w:r>
      <w:r w:rsidRPr="00074CC2">
        <w:rPr>
          <w:rFonts w:ascii="Book Antiqua" w:eastAsia="Book Antiqua" w:hAnsi="Book Antiqua" w:cs="Book Antiqua"/>
          <w:b/>
          <w:bCs/>
          <w:color w:val="000000"/>
        </w:rPr>
        <w:t>115</w:t>
      </w:r>
      <w:r w:rsidRPr="00074CC2">
        <w:rPr>
          <w:rFonts w:ascii="Book Antiqua" w:eastAsia="Book Antiqua" w:hAnsi="Book Antiqua" w:cs="Book Antiqua"/>
          <w:color w:val="000000"/>
        </w:rPr>
        <w:t>: 1224-1233 [PMID: 19156917 DOI: 10.1002/cncr.24135]</w:t>
      </w:r>
    </w:p>
    <w:p w14:paraId="6DCFD917"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lastRenderedPageBreak/>
        <w:t xml:space="preserve">4 </w:t>
      </w:r>
      <w:proofErr w:type="spellStart"/>
      <w:r w:rsidRPr="00074CC2">
        <w:rPr>
          <w:rFonts w:ascii="Book Antiqua" w:eastAsia="Book Antiqua" w:hAnsi="Book Antiqua" w:cs="Book Antiqua"/>
          <w:b/>
          <w:bCs/>
          <w:color w:val="000000"/>
        </w:rPr>
        <w:t>Rouprêt</w:t>
      </w:r>
      <w:proofErr w:type="spellEnd"/>
      <w:r w:rsidRPr="00074CC2">
        <w:rPr>
          <w:rFonts w:ascii="Book Antiqua" w:eastAsia="Book Antiqua" w:hAnsi="Book Antiqua" w:cs="Book Antiqua"/>
          <w:b/>
          <w:bCs/>
          <w:color w:val="000000"/>
        </w:rPr>
        <w:t xml:space="preserve"> M</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Zigeuner</w:t>
      </w:r>
      <w:proofErr w:type="spellEnd"/>
      <w:r w:rsidRPr="00074CC2">
        <w:rPr>
          <w:rFonts w:ascii="Book Antiqua" w:eastAsia="Book Antiqua" w:hAnsi="Book Antiqua" w:cs="Book Antiqua"/>
          <w:color w:val="000000"/>
        </w:rPr>
        <w:t xml:space="preserve"> R, Palou J, </w:t>
      </w:r>
      <w:proofErr w:type="spellStart"/>
      <w:r w:rsidRPr="00074CC2">
        <w:rPr>
          <w:rFonts w:ascii="Book Antiqua" w:eastAsia="Book Antiqua" w:hAnsi="Book Antiqua" w:cs="Book Antiqua"/>
          <w:color w:val="000000"/>
        </w:rPr>
        <w:t>Boehle</w:t>
      </w:r>
      <w:proofErr w:type="spellEnd"/>
      <w:r w:rsidRPr="00074CC2">
        <w:rPr>
          <w:rFonts w:ascii="Book Antiqua" w:eastAsia="Book Antiqua" w:hAnsi="Book Antiqua" w:cs="Book Antiqua"/>
          <w:color w:val="000000"/>
        </w:rPr>
        <w:t xml:space="preserve"> A, </w:t>
      </w:r>
      <w:proofErr w:type="spellStart"/>
      <w:r w:rsidRPr="00074CC2">
        <w:rPr>
          <w:rFonts w:ascii="Book Antiqua" w:eastAsia="Book Antiqua" w:hAnsi="Book Antiqua" w:cs="Book Antiqua"/>
          <w:color w:val="000000"/>
        </w:rPr>
        <w:t>Kaasinen</w:t>
      </w:r>
      <w:proofErr w:type="spellEnd"/>
      <w:r w:rsidRPr="00074CC2">
        <w:rPr>
          <w:rFonts w:ascii="Book Antiqua" w:eastAsia="Book Antiqua" w:hAnsi="Book Antiqua" w:cs="Book Antiqua"/>
          <w:color w:val="000000"/>
        </w:rPr>
        <w:t xml:space="preserve"> E, Sylvester R, </w:t>
      </w:r>
      <w:proofErr w:type="spellStart"/>
      <w:r w:rsidRPr="00074CC2">
        <w:rPr>
          <w:rFonts w:ascii="Book Antiqua" w:eastAsia="Book Antiqua" w:hAnsi="Book Antiqua" w:cs="Book Antiqua"/>
          <w:color w:val="000000"/>
        </w:rPr>
        <w:t>Babjuk</w:t>
      </w:r>
      <w:proofErr w:type="spellEnd"/>
      <w:r w:rsidRPr="00074CC2">
        <w:rPr>
          <w:rFonts w:ascii="Book Antiqua" w:eastAsia="Book Antiqua" w:hAnsi="Book Antiqua" w:cs="Book Antiqua"/>
          <w:color w:val="000000"/>
        </w:rPr>
        <w:t xml:space="preserve"> M, </w:t>
      </w:r>
      <w:proofErr w:type="spellStart"/>
      <w:r w:rsidRPr="00074CC2">
        <w:rPr>
          <w:rFonts w:ascii="Book Antiqua" w:eastAsia="Book Antiqua" w:hAnsi="Book Antiqua" w:cs="Book Antiqua"/>
          <w:color w:val="000000"/>
        </w:rPr>
        <w:t>Oosterlinck</w:t>
      </w:r>
      <w:proofErr w:type="spellEnd"/>
      <w:r w:rsidRPr="00074CC2">
        <w:rPr>
          <w:rFonts w:ascii="Book Antiqua" w:eastAsia="Book Antiqua" w:hAnsi="Book Antiqua" w:cs="Book Antiqua"/>
          <w:color w:val="000000"/>
        </w:rPr>
        <w:t xml:space="preserve"> W. European guidelines for the diagnosis and management of upper urinary tract urothelial cell carcinomas: 2011 update. </w:t>
      </w:r>
      <w:r w:rsidRPr="00074CC2">
        <w:rPr>
          <w:rFonts w:ascii="Book Antiqua" w:eastAsia="Book Antiqua" w:hAnsi="Book Antiqua" w:cs="Book Antiqua"/>
          <w:i/>
          <w:iCs/>
          <w:color w:val="000000"/>
        </w:rPr>
        <w:t xml:space="preserve">Eur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2011; </w:t>
      </w:r>
      <w:r w:rsidRPr="00074CC2">
        <w:rPr>
          <w:rFonts w:ascii="Book Antiqua" w:eastAsia="Book Antiqua" w:hAnsi="Book Antiqua" w:cs="Book Antiqua"/>
          <w:b/>
          <w:bCs/>
          <w:color w:val="000000"/>
        </w:rPr>
        <w:t>59</w:t>
      </w:r>
      <w:r w:rsidRPr="00074CC2">
        <w:rPr>
          <w:rFonts w:ascii="Book Antiqua" w:eastAsia="Book Antiqua" w:hAnsi="Book Antiqua" w:cs="Book Antiqua"/>
          <w:color w:val="000000"/>
        </w:rPr>
        <w:t>: 584-594 [PMID: 21269756 DOI: 10.1016/j.eururo.2010.12.042]</w:t>
      </w:r>
    </w:p>
    <w:p w14:paraId="59C84BFA"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5 </w:t>
      </w:r>
      <w:r w:rsidRPr="00074CC2">
        <w:rPr>
          <w:rFonts w:ascii="Book Antiqua" w:eastAsia="Book Antiqua" w:hAnsi="Book Antiqua" w:cs="Book Antiqua"/>
          <w:b/>
          <w:bCs/>
          <w:color w:val="000000"/>
        </w:rPr>
        <w:t>Ni S</w:t>
      </w:r>
      <w:r w:rsidRPr="00074CC2">
        <w:rPr>
          <w:rFonts w:ascii="Book Antiqua" w:eastAsia="Book Antiqua" w:hAnsi="Book Antiqua" w:cs="Book Antiqua"/>
          <w:color w:val="000000"/>
        </w:rPr>
        <w:t xml:space="preserve">, Tao W, Chen Q, Liu L, Jiang H, Hu H, Han R, Wang C. Laparoscopic </w:t>
      </w:r>
      <w:r w:rsidRPr="00074CC2">
        <w:rPr>
          <w:rFonts w:ascii="Book Antiqua" w:eastAsia="Book Antiqua" w:hAnsi="Book Antiqua" w:cs="Book Antiqua"/>
          <w:i/>
          <w:iCs/>
          <w:color w:val="000000"/>
        </w:rPr>
        <w:t>vs</w:t>
      </w:r>
      <w:r w:rsidRPr="00074CC2">
        <w:rPr>
          <w:rFonts w:ascii="Book Antiqua" w:eastAsia="Book Antiqua" w:hAnsi="Book Antiqua" w:cs="Book Antiqua"/>
          <w:color w:val="000000"/>
        </w:rPr>
        <w:t xml:space="preserve"> open nephroureterectomy for the treatment of upper urinary tract urothelial carcinoma: a systematic review and cumulative analysis of comparative studies. </w:t>
      </w:r>
      <w:r w:rsidRPr="00074CC2">
        <w:rPr>
          <w:rFonts w:ascii="Book Antiqua" w:eastAsia="Book Antiqua" w:hAnsi="Book Antiqua" w:cs="Book Antiqua"/>
          <w:i/>
          <w:iCs/>
          <w:color w:val="000000"/>
        </w:rPr>
        <w:t xml:space="preserve">Eur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2012; </w:t>
      </w:r>
      <w:r w:rsidRPr="00074CC2">
        <w:rPr>
          <w:rFonts w:ascii="Book Antiqua" w:eastAsia="Book Antiqua" w:hAnsi="Book Antiqua" w:cs="Book Antiqua"/>
          <w:b/>
          <w:bCs/>
          <w:color w:val="000000"/>
        </w:rPr>
        <w:t>61</w:t>
      </w:r>
      <w:r w:rsidRPr="00074CC2">
        <w:rPr>
          <w:rFonts w:ascii="Book Antiqua" w:eastAsia="Book Antiqua" w:hAnsi="Book Antiqua" w:cs="Book Antiqua"/>
          <w:color w:val="000000"/>
        </w:rPr>
        <w:t>: 1142-1153 [PMID: 22349569 DOI: 10.1016/j.eururo.2012.02.019]</w:t>
      </w:r>
    </w:p>
    <w:p w14:paraId="7417A323"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6 </w:t>
      </w:r>
      <w:r w:rsidRPr="00074CC2">
        <w:rPr>
          <w:rFonts w:ascii="Book Antiqua" w:eastAsia="Book Antiqua" w:hAnsi="Book Antiqua" w:cs="Book Antiqua"/>
          <w:b/>
          <w:bCs/>
          <w:color w:val="000000"/>
        </w:rPr>
        <w:t>Lee SM</w:t>
      </w:r>
      <w:r w:rsidRPr="00074CC2">
        <w:rPr>
          <w:rFonts w:ascii="Book Antiqua" w:eastAsia="Book Antiqua" w:hAnsi="Book Antiqua" w:cs="Book Antiqua"/>
          <w:color w:val="000000"/>
        </w:rPr>
        <w:t xml:space="preserve">, McKay A, Grimes N, </w:t>
      </w:r>
      <w:proofErr w:type="spellStart"/>
      <w:r w:rsidRPr="00074CC2">
        <w:rPr>
          <w:rFonts w:ascii="Book Antiqua" w:eastAsia="Book Antiqua" w:hAnsi="Book Antiqua" w:cs="Book Antiqua"/>
          <w:color w:val="000000"/>
        </w:rPr>
        <w:t>Umez-Eronini</w:t>
      </w:r>
      <w:proofErr w:type="spellEnd"/>
      <w:r w:rsidRPr="00074CC2">
        <w:rPr>
          <w:rFonts w:ascii="Book Antiqua" w:eastAsia="Book Antiqua" w:hAnsi="Book Antiqua" w:cs="Book Antiqua"/>
          <w:color w:val="000000"/>
        </w:rPr>
        <w:t xml:space="preserve"> N, </w:t>
      </w:r>
      <w:proofErr w:type="spellStart"/>
      <w:r w:rsidRPr="00074CC2">
        <w:rPr>
          <w:rFonts w:ascii="Book Antiqua" w:eastAsia="Book Antiqua" w:hAnsi="Book Antiqua" w:cs="Book Antiqua"/>
          <w:color w:val="000000"/>
        </w:rPr>
        <w:t>Aboumarzouk</w:t>
      </w:r>
      <w:proofErr w:type="spellEnd"/>
      <w:r w:rsidRPr="00074CC2">
        <w:rPr>
          <w:rFonts w:ascii="Book Antiqua" w:eastAsia="Book Antiqua" w:hAnsi="Book Antiqua" w:cs="Book Antiqua"/>
          <w:color w:val="000000"/>
        </w:rPr>
        <w:t xml:space="preserve"> OM. Distal Ureter Management During Nephroureterectomy: Evidence from a Systematic Review and Cumulative Analysis. </w:t>
      </w:r>
      <w:r w:rsidRPr="00074CC2">
        <w:rPr>
          <w:rFonts w:ascii="Book Antiqua" w:eastAsia="Book Antiqua" w:hAnsi="Book Antiqua" w:cs="Book Antiqua"/>
          <w:i/>
          <w:iCs/>
          <w:color w:val="000000"/>
        </w:rPr>
        <w:t xml:space="preserve">J </w:t>
      </w:r>
      <w:proofErr w:type="spellStart"/>
      <w:r w:rsidRPr="00074CC2">
        <w:rPr>
          <w:rFonts w:ascii="Book Antiqua" w:eastAsia="Book Antiqua" w:hAnsi="Book Antiqua" w:cs="Book Antiqua"/>
          <w:i/>
          <w:iCs/>
          <w:color w:val="000000"/>
        </w:rPr>
        <w:t>Endourol</w:t>
      </w:r>
      <w:proofErr w:type="spellEnd"/>
      <w:r w:rsidRPr="00074CC2">
        <w:rPr>
          <w:rFonts w:ascii="Book Antiqua" w:eastAsia="Book Antiqua" w:hAnsi="Book Antiqua" w:cs="Book Antiqua"/>
          <w:color w:val="000000"/>
        </w:rPr>
        <w:t xml:space="preserve"> 2019; </w:t>
      </w:r>
      <w:r w:rsidRPr="00074CC2">
        <w:rPr>
          <w:rFonts w:ascii="Book Antiqua" w:eastAsia="Book Antiqua" w:hAnsi="Book Antiqua" w:cs="Book Antiqua"/>
          <w:b/>
          <w:bCs/>
          <w:color w:val="000000"/>
        </w:rPr>
        <w:t>33</w:t>
      </w:r>
      <w:r w:rsidRPr="00074CC2">
        <w:rPr>
          <w:rFonts w:ascii="Book Antiqua" w:eastAsia="Book Antiqua" w:hAnsi="Book Antiqua" w:cs="Book Antiqua"/>
          <w:color w:val="000000"/>
        </w:rPr>
        <w:t>: 263-273 [PMID: 30793934 DOI: 10.1089/end.2018.0819]</w:t>
      </w:r>
    </w:p>
    <w:p w14:paraId="49DA7671"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7 </w:t>
      </w:r>
      <w:r w:rsidRPr="00074CC2">
        <w:rPr>
          <w:rFonts w:ascii="Book Antiqua" w:eastAsia="Book Antiqua" w:hAnsi="Book Antiqua" w:cs="Book Antiqua"/>
          <w:b/>
          <w:bCs/>
          <w:color w:val="000000"/>
        </w:rPr>
        <w:t>Steinberg JR</w:t>
      </w:r>
      <w:r w:rsidRPr="00074CC2">
        <w:rPr>
          <w:rFonts w:ascii="Book Antiqua" w:eastAsia="Book Antiqua" w:hAnsi="Book Antiqua" w:cs="Book Antiqua"/>
          <w:color w:val="000000"/>
        </w:rPr>
        <w:t xml:space="preserve">, Matin SF. Laparoscopic radical nephroureterectomy: dilemma of the distal ureter. </w:t>
      </w:r>
      <w:proofErr w:type="spellStart"/>
      <w:r w:rsidRPr="00074CC2">
        <w:rPr>
          <w:rFonts w:ascii="Book Antiqua" w:eastAsia="Book Antiqua" w:hAnsi="Book Antiqua" w:cs="Book Antiqua"/>
          <w:i/>
          <w:iCs/>
          <w:color w:val="000000"/>
        </w:rPr>
        <w:t>Curr</w:t>
      </w:r>
      <w:proofErr w:type="spellEnd"/>
      <w:r w:rsidRPr="00074CC2">
        <w:rPr>
          <w:rFonts w:ascii="Book Antiqua" w:eastAsia="Book Antiqua" w:hAnsi="Book Antiqua" w:cs="Book Antiqua"/>
          <w:i/>
          <w:iCs/>
          <w:color w:val="000000"/>
        </w:rPr>
        <w:t xml:space="preserve"> </w:t>
      </w:r>
      <w:proofErr w:type="spellStart"/>
      <w:r w:rsidRPr="00074CC2">
        <w:rPr>
          <w:rFonts w:ascii="Book Antiqua" w:eastAsia="Book Antiqua" w:hAnsi="Book Antiqua" w:cs="Book Antiqua"/>
          <w:i/>
          <w:iCs/>
          <w:color w:val="000000"/>
        </w:rPr>
        <w:t>Opin</w:t>
      </w:r>
      <w:proofErr w:type="spellEnd"/>
      <w:r w:rsidRPr="00074CC2">
        <w:rPr>
          <w:rFonts w:ascii="Book Antiqua" w:eastAsia="Book Antiqua" w:hAnsi="Book Antiqua" w:cs="Book Antiqua"/>
          <w:i/>
          <w:iCs/>
          <w:color w:val="000000"/>
        </w:rPr>
        <w:t xml:space="preserve">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2004; </w:t>
      </w:r>
      <w:r w:rsidRPr="00074CC2">
        <w:rPr>
          <w:rFonts w:ascii="Book Antiqua" w:eastAsia="Book Antiqua" w:hAnsi="Book Antiqua" w:cs="Book Antiqua"/>
          <w:b/>
          <w:bCs/>
          <w:color w:val="000000"/>
        </w:rPr>
        <w:t>14</w:t>
      </w:r>
      <w:r w:rsidRPr="00074CC2">
        <w:rPr>
          <w:rFonts w:ascii="Book Antiqua" w:eastAsia="Book Antiqua" w:hAnsi="Book Antiqua" w:cs="Book Antiqua"/>
          <w:color w:val="000000"/>
        </w:rPr>
        <w:t>: 61-65 [PMID: 15075832 DOI: 10.1097/00042307-200403000-00003]</w:t>
      </w:r>
    </w:p>
    <w:p w14:paraId="5CFEA949"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8 </w:t>
      </w:r>
      <w:r w:rsidRPr="00074CC2">
        <w:rPr>
          <w:rFonts w:ascii="Book Antiqua" w:eastAsia="Book Antiqua" w:hAnsi="Book Antiqua" w:cs="Book Antiqua"/>
          <w:b/>
          <w:bCs/>
          <w:color w:val="000000"/>
        </w:rPr>
        <w:t>Lai S</w:t>
      </w:r>
      <w:r w:rsidRPr="00074CC2">
        <w:rPr>
          <w:rFonts w:ascii="Book Antiqua" w:eastAsia="Book Antiqua" w:hAnsi="Book Antiqua" w:cs="Book Antiqua"/>
          <w:color w:val="000000"/>
        </w:rPr>
        <w:t xml:space="preserve">, Guo R, Seery S, Wu P, Liu J, Zhang Y, Zhu S, Li X, Liu M, Wang J. Assessing the impact of different distal ureter management techniques during radical nephroureterectomy for primary upper urinary tract urothelial carcinoma on oncological outcomes: A systematic review and meta-analysis. </w:t>
      </w:r>
      <w:r w:rsidRPr="00074CC2">
        <w:rPr>
          <w:rFonts w:ascii="Book Antiqua" w:eastAsia="Book Antiqua" w:hAnsi="Book Antiqua" w:cs="Book Antiqua"/>
          <w:i/>
          <w:iCs/>
          <w:color w:val="000000"/>
        </w:rPr>
        <w:t>Int J Surg</w:t>
      </w:r>
      <w:r w:rsidRPr="00074CC2">
        <w:rPr>
          <w:rFonts w:ascii="Book Antiqua" w:eastAsia="Book Antiqua" w:hAnsi="Book Antiqua" w:cs="Book Antiqua"/>
          <w:color w:val="000000"/>
        </w:rPr>
        <w:t xml:space="preserve"> 2020; </w:t>
      </w:r>
      <w:r w:rsidRPr="00074CC2">
        <w:rPr>
          <w:rFonts w:ascii="Book Antiqua" w:eastAsia="Book Antiqua" w:hAnsi="Book Antiqua" w:cs="Book Antiqua"/>
          <w:b/>
          <w:bCs/>
          <w:color w:val="000000"/>
        </w:rPr>
        <w:t>75</w:t>
      </w:r>
      <w:r w:rsidRPr="00074CC2">
        <w:rPr>
          <w:rFonts w:ascii="Book Antiqua" w:eastAsia="Book Antiqua" w:hAnsi="Book Antiqua" w:cs="Book Antiqua"/>
          <w:color w:val="000000"/>
        </w:rPr>
        <w:t>: 165-173 [PMID: 31978650 DOI: 10.1016/j.ijsu.2020.01.016]</w:t>
      </w:r>
    </w:p>
    <w:p w14:paraId="30B1465D"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9 </w:t>
      </w:r>
      <w:proofErr w:type="spellStart"/>
      <w:r w:rsidRPr="00074CC2">
        <w:rPr>
          <w:rFonts w:ascii="Book Antiqua" w:eastAsia="Book Antiqua" w:hAnsi="Book Antiqua" w:cs="Book Antiqua"/>
          <w:b/>
          <w:bCs/>
          <w:color w:val="000000"/>
        </w:rPr>
        <w:t>Phé</w:t>
      </w:r>
      <w:proofErr w:type="spellEnd"/>
      <w:r w:rsidRPr="00074CC2">
        <w:rPr>
          <w:rFonts w:ascii="Book Antiqua" w:eastAsia="Book Antiqua" w:hAnsi="Book Antiqua" w:cs="Book Antiqua"/>
          <w:b/>
          <w:bCs/>
          <w:color w:val="000000"/>
        </w:rPr>
        <w:t xml:space="preserve"> V</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Cussenot</w:t>
      </w:r>
      <w:proofErr w:type="spellEnd"/>
      <w:r w:rsidRPr="00074CC2">
        <w:rPr>
          <w:rFonts w:ascii="Book Antiqua" w:eastAsia="Book Antiqua" w:hAnsi="Book Antiqua" w:cs="Book Antiqua"/>
          <w:color w:val="000000"/>
        </w:rPr>
        <w:t xml:space="preserve"> O, </w:t>
      </w:r>
      <w:proofErr w:type="spellStart"/>
      <w:r w:rsidRPr="00074CC2">
        <w:rPr>
          <w:rFonts w:ascii="Book Antiqua" w:eastAsia="Book Antiqua" w:hAnsi="Book Antiqua" w:cs="Book Antiqua"/>
          <w:color w:val="000000"/>
        </w:rPr>
        <w:t>Bitker</w:t>
      </w:r>
      <w:proofErr w:type="spellEnd"/>
      <w:r w:rsidRPr="00074CC2">
        <w:rPr>
          <w:rFonts w:ascii="Book Antiqua" w:eastAsia="Book Antiqua" w:hAnsi="Book Antiqua" w:cs="Book Antiqua"/>
          <w:color w:val="000000"/>
        </w:rPr>
        <w:t xml:space="preserve"> MO, </w:t>
      </w:r>
      <w:proofErr w:type="spellStart"/>
      <w:r w:rsidRPr="00074CC2">
        <w:rPr>
          <w:rFonts w:ascii="Book Antiqua" w:eastAsia="Book Antiqua" w:hAnsi="Book Antiqua" w:cs="Book Antiqua"/>
          <w:color w:val="000000"/>
        </w:rPr>
        <w:t>Rouprêt</w:t>
      </w:r>
      <w:proofErr w:type="spellEnd"/>
      <w:r w:rsidRPr="00074CC2">
        <w:rPr>
          <w:rFonts w:ascii="Book Antiqua" w:eastAsia="Book Antiqua" w:hAnsi="Book Antiqua" w:cs="Book Antiqua"/>
          <w:color w:val="000000"/>
        </w:rPr>
        <w:t xml:space="preserve"> M. Does the surgical technique for management of the distal ureter influence the outcome after nephroureterectomy? </w:t>
      </w:r>
      <w:r w:rsidRPr="00074CC2">
        <w:rPr>
          <w:rFonts w:ascii="Book Antiqua" w:eastAsia="Book Antiqua" w:hAnsi="Book Antiqua" w:cs="Book Antiqua"/>
          <w:i/>
          <w:iCs/>
          <w:color w:val="000000"/>
        </w:rPr>
        <w:t>BJU Int</w:t>
      </w:r>
      <w:r w:rsidRPr="00074CC2">
        <w:rPr>
          <w:rFonts w:ascii="Book Antiqua" w:eastAsia="Book Antiqua" w:hAnsi="Book Antiqua" w:cs="Book Antiqua"/>
          <w:color w:val="000000"/>
        </w:rPr>
        <w:t xml:space="preserve"> 2011; </w:t>
      </w:r>
      <w:r w:rsidRPr="00074CC2">
        <w:rPr>
          <w:rFonts w:ascii="Book Antiqua" w:eastAsia="Book Antiqua" w:hAnsi="Book Antiqua" w:cs="Book Antiqua"/>
          <w:b/>
          <w:bCs/>
          <w:color w:val="000000"/>
        </w:rPr>
        <w:t>108</w:t>
      </w:r>
      <w:r w:rsidRPr="00074CC2">
        <w:rPr>
          <w:rFonts w:ascii="Book Antiqua" w:eastAsia="Book Antiqua" w:hAnsi="Book Antiqua" w:cs="Book Antiqua"/>
          <w:color w:val="000000"/>
        </w:rPr>
        <w:t>: 130-138 [PMID: 21070580 DOI: 10.1111/j.1464-410X.2010.09835.x]</w:t>
      </w:r>
    </w:p>
    <w:p w14:paraId="1BE52665"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10 </w:t>
      </w:r>
      <w:r w:rsidRPr="00074CC2">
        <w:rPr>
          <w:rFonts w:ascii="Book Antiqua" w:eastAsia="Book Antiqua" w:hAnsi="Book Antiqua" w:cs="Book Antiqua"/>
          <w:b/>
          <w:bCs/>
          <w:color w:val="000000"/>
        </w:rPr>
        <w:t>Xylinas E</w:t>
      </w:r>
      <w:r w:rsidRPr="00074CC2">
        <w:rPr>
          <w:rFonts w:ascii="Book Antiqua" w:eastAsia="Book Antiqua" w:hAnsi="Book Antiqua" w:cs="Book Antiqua"/>
          <w:color w:val="000000"/>
        </w:rPr>
        <w:t xml:space="preserve">, Rink M, Cha EK, </w:t>
      </w:r>
      <w:proofErr w:type="spellStart"/>
      <w:r w:rsidRPr="00074CC2">
        <w:rPr>
          <w:rFonts w:ascii="Book Antiqua" w:eastAsia="Book Antiqua" w:hAnsi="Book Antiqua" w:cs="Book Antiqua"/>
          <w:color w:val="000000"/>
        </w:rPr>
        <w:t>Clozel</w:t>
      </w:r>
      <w:proofErr w:type="spellEnd"/>
      <w:r w:rsidRPr="00074CC2">
        <w:rPr>
          <w:rFonts w:ascii="Book Antiqua" w:eastAsia="Book Antiqua" w:hAnsi="Book Antiqua" w:cs="Book Antiqua"/>
          <w:color w:val="000000"/>
        </w:rPr>
        <w:t xml:space="preserve"> T, Lee RK, </w:t>
      </w:r>
      <w:proofErr w:type="spellStart"/>
      <w:r w:rsidRPr="00074CC2">
        <w:rPr>
          <w:rFonts w:ascii="Book Antiqua" w:eastAsia="Book Antiqua" w:hAnsi="Book Antiqua" w:cs="Book Antiqua"/>
          <w:color w:val="000000"/>
        </w:rPr>
        <w:t>Fajkovic</w:t>
      </w:r>
      <w:proofErr w:type="spellEnd"/>
      <w:r w:rsidRPr="00074CC2">
        <w:rPr>
          <w:rFonts w:ascii="Book Antiqua" w:eastAsia="Book Antiqua" w:hAnsi="Book Antiqua" w:cs="Book Antiqua"/>
          <w:color w:val="000000"/>
        </w:rPr>
        <w:t xml:space="preserve"> H, </w:t>
      </w:r>
      <w:proofErr w:type="spellStart"/>
      <w:r w:rsidRPr="00074CC2">
        <w:rPr>
          <w:rFonts w:ascii="Book Antiqua" w:eastAsia="Book Antiqua" w:hAnsi="Book Antiqua" w:cs="Book Antiqua"/>
          <w:color w:val="000000"/>
        </w:rPr>
        <w:t>Comploj</w:t>
      </w:r>
      <w:proofErr w:type="spellEnd"/>
      <w:r w:rsidRPr="00074CC2">
        <w:rPr>
          <w:rFonts w:ascii="Book Antiqua" w:eastAsia="Book Antiqua" w:hAnsi="Book Antiqua" w:cs="Book Antiqua"/>
          <w:color w:val="000000"/>
        </w:rPr>
        <w:t xml:space="preserve"> E, Novara G, Margulis V, Raman JD, Lotan Y, </w:t>
      </w:r>
      <w:proofErr w:type="spellStart"/>
      <w:r w:rsidRPr="00074CC2">
        <w:rPr>
          <w:rFonts w:ascii="Book Antiqua" w:eastAsia="Book Antiqua" w:hAnsi="Book Antiqua" w:cs="Book Antiqua"/>
          <w:color w:val="000000"/>
        </w:rPr>
        <w:t>Kassouf</w:t>
      </w:r>
      <w:proofErr w:type="spellEnd"/>
      <w:r w:rsidRPr="00074CC2">
        <w:rPr>
          <w:rFonts w:ascii="Book Antiqua" w:eastAsia="Book Antiqua" w:hAnsi="Book Antiqua" w:cs="Book Antiqua"/>
          <w:color w:val="000000"/>
        </w:rPr>
        <w:t xml:space="preserve"> W, Fritsche HM, </w:t>
      </w:r>
      <w:proofErr w:type="spellStart"/>
      <w:r w:rsidRPr="00074CC2">
        <w:rPr>
          <w:rFonts w:ascii="Book Antiqua" w:eastAsia="Book Antiqua" w:hAnsi="Book Antiqua" w:cs="Book Antiqua"/>
          <w:color w:val="000000"/>
        </w:rPr>
        <w:t>Weizer</w:t>
      </w:r>
      <w:proofErr w:type="spellEnd"/>
      <w:r w:rsidRPr="00074CC2">
        <w:rPr>
          <w:rFonts w:ascii="Book Antiqua" w:eastAsia="Book Antiqua" w:hAnsi="Book Antiqua" w:cs="Book Antiqua"/>
          <w:color w:val="000000"/>
        </w:rPr>
        <w:t xml:space="preserve"> A, Martinez-Salamanca JI, Matsumoto K, </w:t>
      </w:r>
      <w:proofErr w:type="spellStart"/>
      <w:r w:rsidRPr="00074CC2">
        <w:rPr>
          <w:rFonts w:ascii="Book Antiqua" w:eastAsia="Book Antiqua" w:hAnsi="Book Antiqua" w:cs="Book Antiqua"/>
          <w:color w:val="000000"/>
        </w:rPr>
        <w:t>Zigeuner</w:t>
      </w:r>
      <w:proofErr w:type="spellEnd"/>
      <w:r w:rsidRPr="00074CC2">
        <w:rPr>
          <w:rFonts w:ascii="Book Antiqua" w:eastAsia="Book Antiqua" w:hAnsi="Book Antiqua" w:cs="Book Antiqua"/>
          <w:color w:val="000000"/>
        </w:rPr>
        <w:t xml:space="preserve"> R, </w:t>
      </w:r>
      <w:proofErr w:type="spellStart"/>
      <w:r w:rsidRPr="00074CC2">
        <w:rPr>
          <w:rFonts w:ascii="Book Antiqua" w:eastAsia="Book Antiqua" w:hAnsi="Book Antiqua" w:cs="Book Antiqua"/>
          <w:color w:val="000000"/>
        </w:rPr>
        <w:t>Pycha</w:t>
      </w:r>
      <w:proofErr w:type="spellEnd"/>
      <w:r w:rsidRPr="00074CC2">
        <w:rPr>
          <w:rFonts w:ascii="Book Antiqua" w:eastAsia="Book Antiqua" w:hAnsi="Book Antiqua" w:cs="Book Antiqua"/>
          <w:color w:val="000000"/>
        </w:rPr>
        <w:t xml:space="preserve"> A, Scherr DS, Seitz C, Walton T, Trinh QD, </w:t>
      </w:r>
      <w:proofErr w:type="spellStart"/>
      <w:r w:rsidRPr="00074CC2">
        <w:rPr>
          <w:rFonts w:ascii="Book Antiqua" w:eastAsia="Book Antiqua" w:hAnsi="Book Antiqua" w:cs="Book Antiqua"/>
          <w:color w:val="000000"/>
        </w:rPr>
        <w:t>Karakiewicz</w:t>
      </w:r>
      <w:proofErr w:type="spellEnd"/>
      <w:r w:rsidRPr="00074CC2">
        <w:rPr>
          <w:rFonts w:ascii="Book Antiqua" w:eastAsia="Book Antiqua" w:hAnsi="Book Antiqua" w:cs="Book Antiqua"/>
          <w:color w:val="000000"/>
        </w:rPr>
        <w:t xml:space="preserve"> PI, Matin S, </w:t>
      </w:r>
      <w:proofErr w:type="spellStart"/>
      <w:r w:rsidRPr="00074CC2">
        <w:rPr>
          <w:rFonts w:ascii="Book Antiqua" w:eastAsia="Book Antiqua" w:hAnsi="Book Antiqua" w:cs="Book Antiqua"/>
          <w:color w:val="000000"/>
        </w:rPr>
        <w:t>Montorsi</w:t>
      </w:r>
      <w:proofErr w:type="spellEnd"/>
      <w:r w:rsidRPr="00074CC2">
        <w:rPr>
          <w:rFonts w:ascii="Book Antiqua" w:eastAsia="Book Antiqua" w:hAnsi="Book Antiqua" w:cs="Book Antiqua"/>
          <w:color w:val="000000"/>
        </w:rPr>
        <w:t xml:space="preserve"> F, </w:t>
      </w:r>
      <w:proofErr w:type="spellStart"/>
      <w:r w:rsidRPr="00074CC2">
        <w:rPr>
          <w:rFonts w:ascii="Book Antiqua" w:eastAsia="Book Antiqua" w:hAnsi="Book Antiqua" w:cs="Book Antiqua"/>
          <w:color w:val="000000"/>
        </w:rPr>
        <w:t>Zerbib</w:t>
      </w:r>
      <w:proofErr w:type="spellEnd"/>
      <w:r w:rsidRPr="00074CC2">
        <w:rPr>
          <w:rFonts w:ascii="Book Antiqua" w:eastAsia="Book Antiqua" w:hAnsi="Book Antiqua" w:cs="Book Antiqua"/>
          <w:color w:val="000000"/>
        </w:rPr>
        <w:t xml:space="preserve"> M, </w:t>
      </w:r>
      <w:proofErr w:type="spellStart"/>
      <w:r w:rsidRPr="00074CC2">
        <w:rPr>
          <w:rFonts w:ascii="Book Antiqua" w:eastAsia="Book Antiqua" w:hAnsi="Book Antiqua" w:cs="Book Antiqua"/>
          <w:color w:val="000000"/>
        </w:rPr>
        <w:t>Shariat</w:t>
      </w:r>
      <w:proofErr w:type="spellEnd"/>
      <w:r w:rsidRPr="00074CC2">
        <w:rPr>
          <w:rFonts w:ascii="Book Antiqua" w:eastAsia="Book Antiqua" w:hAnsi="Book Antiqua" w:cs="Book Antiqua"/>
          <w:color w:val="000000"/>
        </w:rPr>
        <w:t xml:space="preserve"> SF; Upper Tract Urothelial Carcinoma Collaboration. Impact of distal ureter management on oncologic outcomes following radical nephroureterectomy for upper tract </w:t>
      </w:r>
      <w:r w:rsidRPr="00074CC2">
        <w:rPr>
          <w:rFonts w:ascii="Book Antiqua" w:eastAsia="Book Antiqua" w:hAnsi="Book Antiqua" w:cs="Book Antiqua"/>
          <w:color w:val="000000"/>
        </w:rPr>
        <w:lastRenderedPageBreak/>
        <w:t xml:space="preserve">urothelial carcinoma. </w:t>
      </w:r>
      <w:r w:rsidRPr="00074CC2">
        <w:rPr>
          <w:rFonts w:ascii="Book Antiqua" w:eastAsia="Book Antiqua" w:hAnsi="Book Antiqua" w:cs="Book Antiqua"/>
          <w:i/>
          <w:iCs/>
          <w:color w:val="000000"/>
        </w:rPr>
        <w:t xml:space="preserve">Eur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2014; </w:t>
      </w:r>
      <w:r w:rsidRPr="00074CC2">
        <w:rPr>
          <w:rFonts w:ascii="Book Antiqua" w:eastAsia="Book Antiqua" w:hAnsi="Book Antiqua" w:cs="Book Antiqua"/>
          <w:b/>
          <w:bCs/>
          <w:color w:val="000000"/>
        </w:rPr>
        <w:t>65</w:t>
      </w:r>
      <w:r w:rsidRPr="00074CC2">
        <w:rPr>
          <w:rFonts w:ascii="Book Antiqua" w:eastAsia="Book Antiqua" w:hAnsi="Book Antiqua" w:cs="Book Antiqua"/>
          <w:color w:val="000000"/>
        </w:rPr>
        <w:t>: 210-217 [PMID: 22579047 DOI: 10.1016/j.eururo.2012.04.052]</w:t>
      </w:r>
    </w:p>
    <w:p w14:paraId="40FEA48B"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11 </w:t>
      </w:r>
      <w:r w:rsidRPr="00074CC2">
        <w:rPr>
          <w:rFonts w:ascii="Book Antiqua" w:eastAsia="Book Antiqua" w:hAnsi="Book Antiqua" w:cs="Book Antiqua"/>
          <w:b/>
          <w:bCs/>
          <w:color w:val="000000"/>
        </w:rPr>
        <w:t>Li WM</w:t>
      </w:r>
      <w:r w:rsidRPr="00074CC2">
        <w:rPr>
          <w:rFonts w:ascii="Book Antiqua" w:eastAsia="Book Antiqua" w:hAnsi="Book Antiqua" w:cs="Book Antiqua"/>
          <w:color w:val="000000"/>
        </w:rPr>
        <w:t xml:space="preserve">, Shen JT, Li CC, </w:t>
      </w:r>
      <w:proofErr w:type="spellStart"/>
      <w:r w:rsidRPr="00074CC2">
        <w:rPr>
          <w:rFonts w:ascii="Book Antiqua" w:eastAsia="Book Antiqua" w:hAnsi="Book Antiqua" w:cs="Book Antiqua"/>
          <w:color w:val="000000"/>
        </w:rPr>
        <w:t>Ke</w:t>
      </w:r>
      <w:proofErr w:type="spellEnd"/>
      <w:r w:rsidRPr="00074CC2">
        <w:rPr>
          <w:rFonts w:ascii="Book Antiqua" w:eastAsia="Book Antiqua" w:hAnsi="Book Antiqua" w:cs="Book Antiqua"/>
          <w:color w:val="000000"/>
        </w:rPr>
        <w:t xml:space="preserve"> HL, Wei YC, Wu WJ, Chou YH, Huang CH. Oncologic outcomes following three different approaches to the distal ureter and bladder cuff in nephroureterectomy for primary upper urinary tract urothelial carcinoma. </w:t>
      </w:r>
      <w:r w:rsidRPr="00074CC2">
        <w:rPr>
          <w:rFonts w:ascii="Book Antiqua" w:eastAsia="Book Antiqua" w:hAnsi="Book Antiqua" w:cs="Book Antiqua"/>
          <w:i/>
          <w:iCs/>
          <w:color w:val="000000"/>
        </w:rPr>
        <w:t xml:space="preserve">Eur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2010; </w:t>
      </w:r>
      <w:r w:rsidRPr="00074CC2">
        <w:rPr>
          <w:rFonts w:ascii="Book Antiqua" w:eastAsia="Book Antiqua" w:hAnsi="Book Antiqua" w:cs="Book Antiqua"/>
          <w:b/>
          <w:bCs/>
          <w:color w:val="000000"/>
        </w:rPr>
        <w:t>57</w:t>
      </w:r>
      <w:r w:rsidRPr="00074CC2">
        <w:rPr>
          <w:rFonts w:ascii="Book Antiqua" w:eastAsia="Book Antiqua" w:hAnsi="Book Antiqua" w:cs="Book Antiqua"/>
          <w:color w:val="000000"/>
        </w:rPr>
        <w:t>: 963-969 [PMID: 20079965 DOI: 10.1016/j.eururo.2009.12.032]</w:t>
      </w:r>
    </w:p>
    <w:p w14:paraId="03FB36A6"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12 </w:t>
      </w:r>
      <w:r w:rsidRPr="00074CC2">
        <w:rPr>
          <w:rFonts w:ascii="Book Antiqua" w:eastAsia="Book Antiqua" w:hAnsi="Book Antiqua" w:cs="Book Antiqua"/>
          <w:b/>
          <w:bCs/>
          <w:color w:val="000000"/>
        </w:rPr>
        <w:t>Walton TJ</w:t>
      </w:r>
      <w:r w:rsidRPr="00074CC2">
        <w:rPr>
          <w:rFonts w:ascii="Book Antiqua" w:eastAsia="Book Antiqua" w:hAnsi="Book Antiqua" w:cs="Book Antiqua"/>
          <w:color w:val="000000"/>
        </w:rPr>
        <w:t xml:space="preserve">, Sherwood BT, Parkinson RJ, </w:t>
      </w:r>
      <w:proofErr w:type="spellStart"/>
      <w:r w:rsidRPr="00074CC2">
        <w:rPr>
          <w:rFonts w:ascii="Book Antiqua" w:eastAsia="Book Antiqua" w:hAnsi="Book Antiqua" w:cs="Book Antiqua"/>
          <w:color w:val="000000"/>
        </w:rPr>
        <w:t>Obakponovwe</w:t>
      </w:r>
      <w:proofErr w:type="spellEnd"/>
      <w:r w:rsidRPr="00074CC2">
        <w:rPr>
          <w:rFonts w:ascii="Book Antiqua" w:eastAsia="Book Antiqua" w:hAnsi="Book Antiqua" w:cs="Book Antiqua"/>
          <w:color w:val="000000"/>
        </w:rPr>
        <w:t xml:space="preserve"> O, Thomas SA, Taylor MC, England RC, Lemberger RJ. Comparative outcomes following endoscopic ureteral detachment and formal bladder cuff excision in open nephroureterectomy for upper urinary tract transitional cell carcinoma. </w:t>
      </w:r>
      <w:r w:rsidRPr="00074CC2">
        <w:rPr>
          <w:rFonts w:ascii="Book Antiqua" w:eastAsia="Book Antiqua" w:hAnsi="Book Antiqua" w:cs="Book Antiqua"/>
          <w:i/>
          <w:iCs/>
          <w:color w:val="000000"/>
        </w:rPr>
        <w:t xml:space="preserve">J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2009; </w:t>
      </w:r>
      <w:r w:rsidRPr="00074CC2">
        <w:rPr>
          <w:rFonts w:ascii="Book Antiqua" w:eastAsia="Book Antiqua" w:hAnsi="Book Antiqua" w:cs="Book Antiqua"/>
          <w:b/>
          <w:bCs/>
          <w:color w:val="000000"/>
        </w:rPr>
        <w:t>181</w:t>
      </w:r>
      <w:r w:rsidRPr="00074CC2">
        <w:rPr>
          <w:rFonts w:ascii="Book Antiqua" w:eastAsia="Book Antiqua" w:hAnsi="Book Antiqua" w:cs="Book Antiqua"/>
          <w:color w:val="000000"/>
        </w:rPr>
        <w:t>: 532-539 [PMID: 19084866 DOI: 10.1016/j.juro.2008.10.032]</w:t>
      </w:r>
    </w:p>
    <w:p w14:paraId="576C4316"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13 </w:t>
      </w:r>
      <w:r w:rsidRPr="00074CC2">
        <w:rPr>
          <w:rFonts w:ascii="Book Antiqua" w:eastAsia="Book Antiqua" w:hAnsi="Book Antiqua" w:cs="Book Antiqua"/>
          <w:b/>
          <w:bCs/>
          <w:color w:val="000000"/>
        </w:rPr>
        <w:t>Allard CB</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Alamri</w:t>
      </w:r>
      <w:proofErr w:type="spellEnd"/>
      <w:r w:rsidRPr="00074CC2">
        <w:rPr>
          <w:rFonts w:ascii="Book Antiqua" w:eastAsia="Book Antiqua" w:hAnsi="Book Antiqua" w:cs="Book Antiqua"/>
          <w:color w:val="000000"/>
        </w:rPr>
        <w:t xml:space="preserve"> A, </w:t>
      </w:r>
      <w:proofErr w:type="spellStart"/>
      <w:r w:rsidRPr="00074CC2">
        <w:rPr>
          <w:rFonts w:ascii="Book Antiqua" w:eastAsia="Book Antiqua" w:hAnsi="Book Antiqua" w:cs="Book Antiqua"/>
          <w:color w:val="000000"/>
        </w:rPr>
        <w:t>Dason</w:t>
      </w:r>
      <w:proofErr w:type="spellEnd"/>
      <w:r w:rsidRPr="00074CC2">
        <w:rPr>
          <w:rFonts w:ascii="Book Antiqua" w:eastAsia="Book Antiqua" w:hAnsi="Book Antiqua" w:cs="Book Antiqua"/>
          <w:color w:val="000000"/>
        </w:rPr>
        <w:t xml:space="preserve"> S, </w:t>
      </w:r>
      <w:proofErr w:type="spellStart"/>
      <w:r w:rsidRPr="00074CC2">
        <w:rPr>
          <w:rFonts w:ascii="Book Antiqua" w:eastAsia="Book Antiqua" w:hAnsi="Book Antiqua" w:cs="Book Antiqua"/>
          <w:color w:val="000000"/>
        </w:rPr>
        <w:t>Farrokhyar</w:t>
      </w:r>
      <w:proofErr w:type="spellEnd"/>
      <w:r w:rsidRPr="00074CC2">
        <w:rPr>
          <w:rFonts w:ascii="Book Antiqua" w:eastAsia="Book Antiqua" w:hAnsi="Book Antiqua" w:cs="Book Antiqua"/>
          <w:color w:val="000000"/>
        </w:rPr>
        <w:t xml:space="preserve"> F, Matsumoto ED, Kapoor A. The method of bladder cuff excision during laparoscopic radical nephroureterectomy does not affect oncologic outcomes in upper tract urothelial carcinoma. </w:t>
      </w:r>
      <w:r w:rsidRPr="00074CC2">
        <w:rPr>
          <w:rFonts w:ascii="Book Antiqua" w:eastAsia="Book Antiqua" w:hAnsi="Book Antiqua" w:cs="Book Antiqua"/>
          <w:i/>
          <w:iCs/>
          <w:color w:val="000000"/>
        </w:rPr>
        <w:t xml:space="preserve">World J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2013; </w:t>
      </w:r>
      <w:r w:rsidRPr="00074CC2">
        <w:rPr>
          <w:rFonts w:ascii="Book Antiqua" w:eastAsia="Book Antiqua" w:hAnsi="Book Antiqua" w:cs="Book Antiqua"/>
          <w:b/>
          <w:bCs/>
          <w:color w:val="000000"/>
        </w:rPr>
        <w:t>31</w:t>
      </w:r>
      <w:r w:rsidRPr="00074CC2">
        <w:rPr>
          <w:rFonts w:ascii="Book Antiqua" w:eastAsia="Book Antiqua" w:hAnsi="Book Antiqua" w:cs="Book Antiqua"/>
          <w:color w:val="000000"/>
        </w:rPr>
        <w:t>: 175-181 [PMID: 22843075 DOI: 10.1007/s00345-012-0915-0]</w:t>
      </w:r>
    </w:p>
    <w:p w14:paraId="6F569974"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14 </w:t>
      </w:r>
      <w:r w:rsidRPr="00074CC2">
        <w:rPr>
          <w:rFonts w:ascii="Book Antiqua" w:eastAsia="Book Antiqua" w:hAnsi="Book Antiqua" w:cs="Book Antiqua"/>
          <w:b/>
          <w:bCs/>
          <w:color w:val="000000"/>
        </w:rPr>
        <w:t>Kapoor A</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Dason</w:t>
      </w:r>
      <w:proofErr w:type="spellEnd"/>
      <w:r w:rsidRPr="00074CC2">
        <w:rPr>
          <w:rFonts w:ascii="Book Antiqua" w:eastAsia="Book Antiqua" w:hAnsi="Book Antiqua" w:cs="Book Antiqua"/>
          <w:color w:val="000000"/>
        </w:rPr>
        <w:t xml:space="preserve"> S, Allard CB, </w:t>
      </w:r>
      <w:proofErr w:type="spellStart"/>
      <w:r w:rsidRPr="00074CC2">
        <w:rPr>
          <w:rFonts w:ascii="Book Antiqua" w:eastAsia="Book Antiqua" w:hAnsi="Book Antiqua" w:cs="Book Antiqua"/>
          <w:color w:val="000000"/>
        </w:rPr>
        <w:t>Shayegan</w:t>
      </w:r>
      <w:proofErr w:type="spellEnd"/>
      <w:r w:rsidRPr="00074CC2">
        <w:rPr>
          <w:rFonts w:ascii="Book Antiqua" w:eastAsia="Book Antiqua" w:hAnsi="Book Antiqua" w:cs="Book Antiqua"/>
          <w:color w:val="000000"/>
        </w:rPr>
        <w:t xml:space="preserve"> B, Lacombe L, Rendon R, Jacobsen NE, Fairey A, Izawa J, Black P, </w:t>
      </w:r>
      <w:proofErr w:type="spellStart"/>
      <w:r w:rsidRPr="00074CC2">
        <w:rPr>
          <w:rFonts w:ascii="Book Antiqua" w:eastAsia="Book Antiqua" w:hAnsi="Book Antiqua" w:cs="Book Antiqua"/>
          <w:color w:val="000000"/>
        </w:rPr>
        <w:t>Tanguay</w:t>
      </w:r>
      <w:proofErr w:type="spellEnd"/>
      <w:r w:rsidRPr="00074CC2">
        <w:rPr>
          <w:rFonts w:ascii="Book Antiqua" w:eastAsia="Book Antiqua" w:hAnsi="Book Antiqua" w:cs="Book Antiqua"/>
          <w:color w:val="000000"/>
        </w:rPr>
        <w:t xml:space="preserve"> S, Chin J, So A, </w:t>
      </w:r>
      <w:proofErr w:type="spellStart"/>
      <w:r w:rsidRPr="00074CC2">
        <w:rPr>
          <w:rFonts w:ascii="Book Antiqua" w:eastAsia="Book Antiqua" w:hAnsi="Book Antiqua" w:cs="Book Antiqua"/>
          <w:color w:val="000000"/>
        </w:rPr>
        <w:t>Lattouf</w:t>
      </w:r>
      <w:proofErr w:type="spellEnd"/>
      <w:r w:rsidRPr="00074CC2">
        <w:rPr>
          <w:rFonts w:ascii="Book Antiqua" w:eastAsia="Book Antiqua" w:hAnsi="Book Antiqua" w:cs="Book Antiqua"/>
          <w:color w:val="000000"/>
        </w:rPr>
        <w:t xml:space="preserve"> JB, Bell D, Saad F, Drachenberg D, </w:t>
      </w:r>
      <w:proofErr w:type="spellStart"/>
      <w:r w:rsidRPr="00074CC2">
        <w:rPr>
          <w:rFonts w:ascii="Book Antiqua" w:eastAsia="Book Antiqua" w:hAnsi="Book Antiqua" w:cs="Book Antiqua"/>
          <w:color w:val="000000"/>
        </w:rPr>
        <w:t>Cagiannos</w:t>
      </w:r>
      <w:proofErr w:type="spellEnd"/>
      <w:r w:rsidRPr="00074CC2">
        <w:rPr>
          <w:rFonts w:ascii="Book Antiqua" w:eastAsia="Book Antiqua" w:hAnsi="Book Antiqua" w:cs="Book Antiqua"/>
          <w:color w:val="000000"/>
        </w:rPr>
        <w:t xml:space="preserve"> I, </w:t>
      </w:r>
      <w:proofErr w:type="spellStart"/>
      <w:r w:rsidRPr="00074CC2">
        <w:rPr>
          <w:rFonts w:ascii="Book Antiqua" w:eastAsia="Book Antiqua" w:hAnsi="Book Antiqua" w:cs="Book Antiqua"/>
          <w:color w:val="000000"/>
        </w:rPr>
        <w:t>Fradet</w:t>
      </w:r>
      <w:proofErr w:type="spellEnd"/>
      <w:r w:rsidRPr="00074CC2">
        <w:rPr>
          <w:rFonts w:ascii="Book Antiqua" w:eastAsia="Book Antiqua" w:hAnsi="Book Antiqua" w:cs="Book Antiqua"/>
          <w:color w:val="000000"/>
        </w:rPr>
        <w:t xml:space="preserve"> Y, </w:t>
      </w:r>
      <w:proofErr w:type="spellStart"/>
      <w:r w:rsidRPr="00074CC2">
        <w:rPr>
          <w:rFonts w:ascii="Book Antiqua" w:eastAsia="Book Antiqua" w:hAnsi="Book Antiqua" w:cs="Book Antiqua"/>
          <w:color w:val="000000"/>
        </w:rPr>
        <w:t>Alamri</w:t>
      </w:r>
      <w:proofErr w:type="spellEnd"/>
      <w:r w:rsidRPr="00074CC2">
        <w:rPr>
          <w:rFonts w:ascii="Book Antiqua" w:eastAsia="Book Antiqua" w:hAnsi="Book Antiqua" w:cs="Book Antiqua"/>
          <w:color w:val="000000"/>
        </w:rPr>
        <w:t xml:space="preserve"> A, </w:t>
      </w:r>
      <w:proofErr w:type="spellStart"/>
      <w:r w:rsidRPr="00074CC2">
        <w:rPr>
          <w:rFonts w:ascii="Book Antiqua" w:eastAsia="Book Antiqua" w:hAnsi="Book Antiqua" w:cs="Book Antiqua"/>
          <w:color w:val="000000"/>
        </w:rPr>
        <w:t>Kassouf</w:t>
      </w:r>
      <w:proofErr w:type="spellEnd"/>
      <w:r w:rsidRPr="00074CC2">
        <w:rPr>
          <w:rFonts w:ascii="Book Antiqua" w:eastAsia="Book Antiqua" w:hAnsi="Book Antiqua" w:cs="Book Antiqua"/>
          <w:color w:val="000000"/>
        </w:rPr>
        <w:t xml:space="preserve"> W. The impact of method of distal ureter management during radical nephroureterectomy on </w:t>
      </w:r>
      <w:proofErr w:type="spellStart"/>
      <w:r w:rsidRPr="00074CC2">
        <w:rPr>
          <w:rFonts w:ascii="Book Antiqua" w:eastAsia="Book Antiqua" w:hAnsi="Book Antiqua" w:cs="Book Antiqua"/>
          <w:color w:val="000000"/>
        </w:rPr>
        <w:t>tumour</w:t>
      </w:r>
      <w:proofErr w:type="spellEnd"/>
      <w:r w:rsidRPr="00074CC2">
        <w:rPr>
          <w:rFonts w:ascii="Book Antiqua" w:eastAsia="Book Antiqua" w:hAnsi="Book Antiqua" w:cs="Book Antiqua"/>
          <w:color w:val="000000"/>
        </w:rPr>
        <w:t xml:space="preserve"> recurrence. </w:t>
      </w:r>
      <w:r w:rsidRPr="00074CC2">
        <w:rPr>
          <w:rFonts w:ascii="Book Antiqua" w:eastAsia="Book Antiqua" w:hAnsi="Book Antiqua" w:cs="Book Antiqua"/>
          <w:i/>
          <w:iCs/>
          <w:color w:val="000000"/>
        </w:rPr>
        <w:t xml:space="preserve">Can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i/>
          <w:iCs/>
          <w:color w:val="000000"/>
        </w:rPr>
        <w:t xml:space="preserve"> Assoc J</w:t>
      </w:r>
      <w:r w:rsidRPr="00074CC2">
        <w:rPr>
          <w:rFonts w:ascii="Book Antiqua" w:eastAsia="Book Antiqua" w:hAnsi="Book Antiqua" w:cs="Book Antiqua"/>
          <w:color w:val="000000"/>
        </w:rPr>
        <w:t xml:space="preserve"> 2014; </w:t>
      </w:r>
      <w:r w:rsidRPr="00074CC2">
        <w:rPr>
          <w:rFonts w:ascii="Book Antiqua" w:eastAsia="Book Antiqua" w:hAnsi="Book Antiqua" w:cs="Book Antiqua"/>
          <w:b/>
          <w:bCs/>
          <w:color w:val="000000"/>
        </w:rPr>
        <w:t>8</w:t>
      </w:r>
      <w:r w:rsidRPr="00074CC2">
        <w:rPr>
          <w:rFonts w:ascii="Book Antiqua" w:eastAsia="Book Antiqua" w:hAnsi="Book Antiqua" w:cs="Book Antiqua"/>
          <w:color w:val="000000"/>
        </w:rPr>
        <w:t>: E845-E852 [PMID: 25485014 DOI: 10.5489/cuaj.1985]</w:t>
      </w:r>
    </w:p>
    <w:p w14:paraId="6849D7A5"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15 </w:t>
      </w:r>
      <w:r w:rsidRPr="00074CC2">
        <w:rPr>
          <w:rFonts w:ascii="Book Antiqua" w:eastAsia="Book Antiqua" w:hAnsi="Book Antiqua" w:cs="Book Antiqua"/>
          <w:b/>
          <w:bCs/>
          <w:color w:val="000000"/>
        </w:rPr>
        <w:t>Gill IS</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Soble</w:t>
      </w:r>
      <w:proofErr w:type="spellEnd"/>
      <w:r w:rsidRPr="00074CC2">
        <w:rPr>
          <w:rFonts w:ascii="Book Antiqua" w:eastAsia="Book Antiqua" w:hAnsi="Book Antiqua" w:cs="Book Antiqua"/>
          <w:color w:val="000000"/>
        </w:rPr>
        <w:t xml:space="preserve"> JJ, Miller SD, Sung GT. A novel technique for management of the en bloc bladder cuff and distal ureter during laparoscopic nephroureterectomy. </w:t>
      </w:r>
      <w:r w:rsidRPr="00074CC2">
        <w:rPr>
          <w:rFonts w:ascii="Book Antiqua" w:eastAsia="Book Antiqua" w:hAnsi="Book Antiqua" w:cs="Book Antiqua"/>
          <w:i/>
          <w:iCs/>
          <w:color w:val="000000"/>
        </w:rPr>
        <w:t xml:space="preserve">J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1999; </w:t>
      </w:r>
      <w:r w:rsidRPr="00074CC2">
        <w:rPr>
          <w:rFonts w:ascii="Book Antiqua" w:eastAsia="Book Antiqua" w:hAnsi="Book Antiqua" w:cs="Book Antiqua"/>
          <w:b/>
          <w:bCs/>
          <w:color w:val="000000"/>
        </w:rPr>
        <w:t>161</w:t>
      </w:r>
      <w:r w:rsidRPr="00074CC2">
        <w:rPr>
          <w:rFonts w:ascii="Book Antiqua" w:eastAsia="Book Antiqua" w:hAnsi="Book Antiqua" w:cs="Book Antiqua"/>
          <w:color w:val="000000"/>
        </w:rPr>
        <w:t>: 430-434 [PMID: 9915419]</w:t>
      </w:r>
    </w:p>
    <w:p w14:paraId="73E2D358"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16 </w:t>
      </w:r>
      <w:proofErr w:type="spellStart"/>
      <w:r w:rsidRPr="00074CC2">
        <w:rPr>
          <w:rFonts w:ascii="Book Antiqua" w:eastAsia="Book Antiqua" w:hAnsi="Book Antiqua" w:cs="Book Antiqua"/>
          <w:b/>
          <w:bCs/>
          <w:color w:val="000000"/>
        </w:rPr>
        <w:t>Kurzer</w:t>
      </w:r>
      <w:proofErr w:type="spellEnd"/>
      <w:r w:rsidRPr="00074CC2">
        <w:rPr>
          <w:rFonts w:ascii="Book Antiqua" w:eastAsia="Book Antiqua" w:hAnsi="Book Antiqua" w:cs="Book Antiqua"/>
          <w:b/>
          <w:bCs/>
          <w:color w:val="000000"/>
        </w:rPr>
        <w:t xml:space="preserve"> E</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Leveillee</w:t>
      </w:r>
      <w:proofErr w:type="spellEnd"/>
      <w:r w:rsidRPr="00074CC2">
        <w:rPr>
          <w:rFonts w:ascii="Book Antiqua" w:eastAsia="Book Antiqua" w:hAnsi="Book Antiqua" w:cs="Book Antiqua"/>
          <w:color w:val="000000"/>
        </w:rPr>
        <w:t xml:space="preserve"> RJ, Bird VG. Combining hand assisted laparoscopic nephroureterectomy with </w:t>
      </w:r>
      <w:proofErr w:type="spellStart"/>
      <w:r w:rsidRPr="00074CC2">
        <w:rPr>
          <w:rFonts w:ascii="Book Antiqua" w:eastAsia="Book Antiqua" w:hAnsi="Book Antiqua" w:cs="Book Antiqua"/>
          <w:color w:val="000000"/>
        </w:rPr>
        <w:t>cystoscopic</w:t>
      </w:r>
      <w:proofErr w:type="spellEnd"/>
      <w:r w:rsidRPr="00074CC2">
        <w:rPr>
          <w:rFonts w:ascii="Book Antiqua" w:eastAsia="Book Antiqua" w:hAnsi="Book Antiqua" w:cs="Book Antiqua"/>
          <w:color w:val="000000"/>
        </w:rPr>
        <w:t xml:space="preserve"> circumferential excision of the distal ureter without primary closure of the bladder cuff--is it safe? </w:t>
      </w:r>
      <w:r w:rsidRPr="00074CC2">
        <w:rPr>
          <w:rFonts w:ascii="Book Antiqua" w:eastAsia="Book Antiqua" w:hAnsi="Book Antiqua" w:cs="Book Antiqua"/>
          <w:i/>
          <w:iCs/>
          <w:color w:val="000000"/>
        </w:rPr>
        <w:t xml:space="preserve">J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2006; </w:t>
      </w:r>
      <w:r w:rsidRPr="00074CC2">
        <w:rPr>
          <w:rFonts w:ascii="Book Antiqua" w:eastAsia="Book Antiqua" w:hAnsi="Book Antiqua" w:cs="Book Antiqua"/>
          <w:b/>
          <w:bCs/>
          <w:color w:val="000000"/>
        </w:rPr>
        <w:t>175</w:t>
      </w:r>
      <w:r w:rsidRPr="00074CC2">
        <w:rPr>
          <w:rFonts w:ascii="Book Antiqua" w:eastAsia="Book Antiqua" w:hAnsi="Book Antiqua" w:cs="Book Antiqua"/>
          <w:color w:val="000000"/>
        </w:rPr>
        <w:t>: 63-7; discussion 67-8 [PMID: 16406870 DOI: 10.1016/S0022-5347(05)00046-7]</w:t>
      </w:r>
    </w:p>
    <w:p w14:paraId="5FD2C137"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lastRenderedPageBreak/>
        <w:t xml:space="preserve">17 </w:t>
      </w:r>
      <w:r w:rsidRPr="00074CC2">
        <w:rPr>
          <w:rFonts w:ascii="Book Antiqua" w:eastAsia="Book Antiqua" w:hAnsi="Book Antiqua" w:cs="Book Antiqua"/>
          <w:b/>
          <w:bCs/>
          <w:color w:val="000000"/>
        </w:rPr>
        <w:t>Wu P</w:t>
      </w:r>
      <w:r w:rsidRPr="00074CC2">
        <w:rPr>
          <w:rFonts w:ascii="Book Antiqua" w:eastAsia="Book Antiqua" w:hAnsi="Book Antiqua" w:cs="Book Antiqua"/>
          <w:color w:val="000000"/>
        </w:rPr>
        <w:t xml:space="preserve">, Zhu G, Wei D, Liu S, Walsh K, Li D, </w:t>
      </w:r>
      <w:proofErr w:type="spellStart"/>
      <w:r w:rsidRPr="00074CC2">
        <w:rPr>
          <w:rFonts w:ascii="Book Antiqua" w:eastAsia="Book Antiqua" w:hAnsi="Book Antiqua" w:cs="Book Antiqua"/>
          <w:color w:val="000000"/>
        </w:rPr>
        <w:t>Harron</w:t>
      </w:r>
      <w:proofErr w:type="spellEnd"/>
      <w:r w:rsidRPr="00074CC2">
        <w:rPr>
          <w:rFonts w:ascii="Book Antiqua" w:eastAsia="Book Antiqua" w:hAnsi="Book Antiqua" w:cs="Book Antiqua"/>
          <w:color w:val="000000"/>
        </w:rPr>
        <w:t xml:space="preserve"> U, Wang X, Ma H, Wan B, Sun L, Yang Z, Wang J. Prophylactic intravesical chemotherapy decreases bladder tumor recurrence after nephroureterectomy for primary upper tract urothelial carcinoma: A systematic review and meta-analysis. </w:t>
      </w:r>
      <w:r w:rsidRPr="00074CC2">
        <w:rPr>
          <w:rFonts w:ascii="Book Antiqua" w:eastAsia="Book Antiqua" w:hAnsi="Book Antiqua" w:cs="Book Antiqua"/>
          <w:i/>
          <w:iCs/>
          <w:color w:val="000000"/>
        </w:rPr>
        <w:t>J BUON</w:t>
      </w:r>
      <w:r w:rsidRPr="00074CC2">
        <w:rPr>
          <w:rFonts w:ascii="Book Antiqua" w:eastAsia="Book Antiqua" w:hAnsi="Book Antiqua" w:cs="Book Antiqua"/>
          <w:color w:val="000000"/>
        </w:rPr>
        <w:t xml:space="preserve"> 2015; </w:t>
      </w:r>
      <w:r w:rsidRPr="00074CC2">
        <w:rPr>
          <w:rFonts w:ascii="Book Antiqua" w:eastAsia="Book Antiqua" w:hAnsi="Book Antiqua" w:cs="Book Antiqua"/>
          <w:b/>
          <w:bCs/>
          <w:color w:val="000000"/>
        </w:rPr>
        <w:t>20</w:t>
      </w:r>
      <w:r w:rsidRPr="00074CC2">
        <w:rPr>
          <w:rFonts w:ascii="Book Antiqua" w:eastAsia="Book Antiqua" w:hAnsi="Book Antiqua" w:cs="Book Antiqua"/>
          <w:color w:val="000000"/>
        </w:rPr>
        <w:t>: 1229-1238 [PMID: 26537069]</w:t>
      </w:r>
    </w:p>
    <w:p w14:paraId="334B4AB3"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18 </w:t>
      </w:r>
      <w:r w:rsidRPr="00074CC2">
        <w:rPr>
          <w:rFonts w:ascii="Book Antiqua" w:eastAsia="Book Antiqua" w:hAnsi="Book Antiqua" w:cs="Book Antiqua"/>
          <w:b/>
          <w:bCs/>
          <w:color w:val="000000"/>
        </w:rPr>
        <w:t>Wu WJ</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Ke</w:t>
      </w:r>
      <w:proofErr w:type="spellEnd"/>
      <w:r w:rsidRPr="00074CC2">
        <w:rPr>
          <w:rFonts w:ascii="Book Antiqua" w:eastAsia="Book Antiqua" w:hAnsi="Book Antiqua" w:cs="Book Antiqua"/>
          <w:color w:val="000000"/>
        </w:rPr>
        <w:t xml:space="preserve"> HL, Yang YH, Li CC, Chou YH, Huang CH. Should patients with primary upper urinary tract cancer receive prophylactic intravesical chemotherapy after nephroureterectomy? </w:t>
      </w:r>
      <w:r w:rsidRPr="00074CC2">
        <w:rPr>
          <w:rFonts w:ascii="Book Antiqua" w:eastAsia="Book Antiqua" w:hAnsi="Book Antiqua" w:cs="Book Antiqua"/>
          <w:i/>
          <w:iCs/>
          <w:color w:val="000000"/>
        </w:rPr>
        <w:t xml:space="preserve">J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2010; </w:t>
      </w:r>
      <w:r w:rsidRPr="00074CC2">
        <w:rPr>
          <w:rFonts w:ascii="Book Antiqua" w:eastAsia="Book Antiqua" w:hAnsi="Book Antiqua" w:cs="Book Antiqua"/>
          <w:b/>
          <w:bCs/>
          <w:color w:val="000000"/>
        </w:rPr>
        <w:t>183</w:t>
      </w:r>
      <w:r w:rsidRPr="00074CC2">
        <w:rPr>
          <w:rFonts w:ascii="Book Antiqua" w:eastAsia="Book Antiqua" w:hAnsi="Book Antiqua" w:cs="Book Antiqua"/>
          <w:color w:val="000000"/>
        </w:rPr>
        <w:t>: 56-61 [PMID: 19913833 DOI: 10.1016/j.juro.2009.08.154]</w:t>
      </w:r>
    </w:p>
    <w:p w14:paraId="6A7D8832"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19 </w:t>
      </w:r>
      <w:r w:rsidRPr="00074CC2">
        <w:rPr>
          <w:rFonts w:ascii="Book Antiqua" w:eastAsia="Book Antiqua" w:hAnsi="Book Antiqua" w:cs="Book Antiqua"/>
          <w:b/>
          <w:bCs/>
          <w:color w:val="000000"/>
        </w:rPr>
        <w:t>Luo HL</w:t>
      </w:r>
      <w:r w:rsidRPr="00074CC2">
        <w:rPr>
          <w:rFonts w:ascii="Book Antiqua" w:eastAsia="Book Antiqua" w:hAnsi="Book Antiqua" w:cs="Book Antiqua"/>
          <w:color w:val="000000"/>
        </w:rPr>
        <w:t xml:space="preserve">, Kang CH, Chen YT, Chuang YC, Cheng YT, Lee WC, Chiang PH. Oncological impact of endoscopic bladder cuff management during nephroureterectomy varies according to upper urinary tract tumor location. </w:t>
      </w:r>
      <w:r w:rsidRPr="00074CC2">
        <w:rPr>
          <w:rFonts w:ascii="Book Antiqua" w:eastAsia="Book Antiqua" w:hAnsi="Book Antiqua" w:cs="Book Antiqua"/>
          <w:i/>
          <w:iCs/>
          <w:color w:val="000000"/>
        </w:rPr>
        <w:t xml:space="preserve">Int J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2014; </w:t>
      </w:r>
      <w:r w:rsidRPr="00074CC2">
        <w:rPr>
          <w:rFonts w:ascii="Book Antiqua" w:eastAsia="Book Antiqua" w:hAnsi="Book Antiqua" w:cs="Book Antiqua"/>
          <w:b/>
          <w:bCs/>
          <w:color w:val="000000"/>
        </w:rPr>
        <w:t>21</w:t>
      </w:r>
      <w:r w:rsidRPr="00074CC2">
        <w:rPr>
          <w:rFonts w:ascii="Book Antiqua" w:eastAsia="Book Antiqua" w:hAnsi="Book Antiqua" w:cs="Book Antiqua"/>
          <w:color w:val="000000"/>
        </w:rPr>
        <w:t>: 366-369 [PMID: 24118071 DOI: 10.1111/iju.12285]</w:t>
      </w:r>
    </w:p>
    <w:p w14:paraId="6CDED7D4"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20 </w:t>
      </w:r>
      <w:proofErr w:type="spellStart"/>
      <w:r w:rsidRPr="00074CC2">
        <w:rPr>
          <w:rFonts w:ascii="Book Antiqua" w:eastAsia="Book Antiqua" w:hAnsi="Book Antiqua" w:cs="Book Antiqua"/>
          <w:b/>
          <w:bCs/>
          <w:color w:val="000000"/>
        </w:rPr>
        <w:t>Zigeuner</w:t>
      </w:r>
      <w:proofErr w:type="spellEnd"/>
      <w:r w:rsidRPr="00074CC2">
        <w:rPr>
          <w:rFonts w:ascii="Book Antiqua" w:eastAsia="Book Antiqua" w:hAnsi="Book Antiqua" w:cs="Book Antiqua"/>
          <w:b/>
          <w:bCs/>
          <w:color w:val="000000"/>
        </w:rPr>
        <w:t xml:space="preserve"> RE</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Hutterer</w:t>
      </w:r>
      <w:proofErr w:type="spellEnd"/>
      <w:r w:rsidRPr="00074CC2">
        <w:rPr>
          <w:rFonts w:ascii="Book Antiqua" w:eastAsia="Book Antiqua" w:hAnsi="Book Antiqua" w:cs="Book Antiqua"/>
          <w:color w:val="000000"/>
        </w:rPr>
        <w:t xml:space="preserve"> G, </w:t>
      </w:r>
      <w:proofErr w:type="spellStart"/>
      <w:r w:rsidRPr="00074CC2">
        <w:rPr>
          <w:rFonts w:ascii="Book Antiqua" w:eastAsia="Book Antiqua" w:hAnsi="Book Antiqua" w:cs="Book Antiqua"/>
          <w:color w:val="000000"/>
        </w:rPr>
        <w:t>Chromecki</w:t>
      </w:r>
      <w:proofErr w:type="spellEnd"/>
      <w:r w:rsidRPr="00074CC2">
        <w:rPr>
          <w:rFonts w:ascii="Book Antiqua" w:eastAsia="Book Antiqua" w:hAnsi="Book Antiqua" w:cs="Book Antiqua"/>
          <w:color w:val="000000"/>
        </w:rPr>
        <w:t xml:space="preserve"> T, </w:t>
      </w:r>
      <w:proofErr w:type="spellStart"/>
      <w:r w:rsidRPr="00074CC2">
        <w:rPr>
          <w:rFonts w:ascii="Book Antiqua" w:eastAsia="Book Antiqua" w:hAnsi="Book Antiqua" w:cs="Book Antiqua"/>
          <w:color w:val="000000"/>
        </w:rPr>
        <w:t>Rehak</w:t>
      </w:r>
      <w:proofErr w:type="spellEnd"/>
      <w:r w:rsidRPr="00074CC2">
        <w:rPr>
          <w:rFonts w:ascii="Book Antiqua" w:eastAsia="Book Antiqua" w:hAnsi="Book Antiqua" w:cs="Book Antiqua"/>
          <w:color w:val="000000"/>
        </w:rPr>
        <w:t xml:space="preserve"> P, </w:t>
      </w:r>
      <w:proofErr w:type="spellStart"/>
      <w:r w:rsidRPr="00074CC2">
        <w:rPr>
          <w:rFonts w:ascii="Book Antiqua" w:eastAsia="Book Antiqua" w:hAnsi="Book Antiqua" w:cs="Book Antiqua"/>
          <w:color w:val="000000"/>
        </w:rPr>
        <w:t>Langner</w:t>
      </w:r>
      <w:proofErr w:type="spellEnd"/>
      <w:r w:rsidRPr="00074CC2">
        <w:rPr>
          <w:rFonts w:ascii="Book Antiqua" w:eastAsia="Book Antiqua" w:hAnsi="Book Antiqua" w:cs="Book Antiqua"/>
          <w:color w:val="000000"/>
        </w:rPr>
        <w:t xml:space="preserve"> C. Bladder </w:t>
      </w:r>
      <w:proofErr w:type="spellStart"/>
      <w:r w:rsidRPr="00074CC2">
        <w:rPr>
          <w:rFonts w:ascii="Book Antiqua" w:eastAsia="Book Antiqua" w:hAnsi="Book Antiqua" w:cs="Book Antiqua"/>
          <w:color w:val="000000"/>
        </w:rPr>
        <w:t>tumour</w:t>
      </w:r>
      <w:proofErr w:type="spellEnd"/>
      <w:r w:rsidRPr="00074CC2">
        <w:rPr>
          <w:rFonts w:ascii="Book Antiqua" w:eastAsia="Book Antiqua" w:hAnsi="Book Antiqua" w:cs="Book Antiqua"/>
          <w:color w:val="000000"/>
        </w:rPr>
        <w:t xml:space="preserve"> development after urothelial carcinoma of the upper urinary tract is related to primary </w:t>
      </w:r>
      <w:proofErr w:type="spellStart"/>
      <w:r w:rsidRPr="00074CC2">
        <w:rPr>
          <w:rFonts w:ascii="Book Antiqua" w:eastAsia="Book Antiqua" w:hAnsi="Book Antiqua" w:cs="Book Antiqua"/>
          <w:color w:val="000000"/>
        </w:rPr>
        <w:t>tumour</w:t>
      </w:r>
      <w:proofErr w:type="spellEnd"/>
      <w:r w:rsidRPr="00074CC2">
        <w:rPr>
          <w:rFonts w:ascii="Book Antiqua" w:eastAsia="Book Antiqua" w:hAnsi="Book Antiqua" w:cs="Book Antiqua"/>
          <w:color w:val="000000"/>
        </w:rPr>
        <w:t xml:space="preserve"> location. </w:t>
      </w:r>
      <w:r w:rsidRPr="00074CC2">
        <w:rPr>
          <w:rFonts w:ascii="Book Antiqua" w:eastAsia="Book Antiqua" w:hAnsi="Book Antiqua" w:cs="Book Antiqua"/>
          <w:i/>
          <w:iCs/>
          <w:color w:val="000000"/>
        </w:rPr>
        <w:t>BJU Int</w:t>
      </w:r>
      <w:r w:rsidRPr="00074CC2">
        <w:rPr>
          <w:rFonts w:ascii="Book Antiqua" w:eastAsia="Book Antiqua" w:hAnsi="Book Antiqua" w:cs="Book Antiqua"/>
          <w:color w:val="000000"/>
        </w:rPr>
        <w:t xml:space="preserve"> 2006; </w:t>
      </w:r>
      <w:r w:rsidRPr="00074CC2">
        <w:rPr>
          <w:rFonts w:ascii="Book Antiqua" w:eastAsia="Book Antiqua" w:hAnsi="Book Antiqua" w:cs="Book Antiqua"/>
          <w:b/>
          <w:bCs/>
          <w:color w:val="000000"/>
        </w:rPr>
        <w:t>98</w:t>
      </w:r>
      <w:r w:rsidRPr="00074CC2">
        <w:rPr>
          <w:rFonts w:ascii="Book Antiqua" w:eastAsia="Book Antiqua" w:hAnsi="Book Antiqua" w:cs="Book Antiqua"/>
          <w:color w:val="000000"/>
        </w:rPr>
        <w:t>: 1181-1186 [PMID: 17125475 DOI: 10.1111/j.1464-410X.2006.06519.x]</w:t>
      </w:r>
    </w:p>
    <w:p w14:paraId="3C0ACEE9"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21 </w:t>
      </w:r>
      <w:r w:rsidRPr="00074CC2">
        <w:rPr>
          <w:rFonts w:ascii="Book Antiqua" w:eastAsia="Book Antiqua" w:hAnsi="Book Antiqua" w:cs="Book Antiqua"/>
          <w:b/>
          <w:bCs/>
          <w:color w:val="000000"/>
        </w:rPr>
        <w:t>O'Brien T</w:t>
      </w:r>
      <w:r w:rsidRPr="00074CC2">
        <w:rPr>
          <w:rFonts w:ascii="Book Antiqua" w:eastAsia="Book Antiqua" w:hAnsi="Book Antiqua" w:cs="Book Antiqua"/>
          <w:color w:val="000000"/>
        </w:rPr>
        <w:t xml:space="preserve">, Ray E, Singh R, Coker B, Beard R; British Association of Urological Surgeons Section of Oncology. Prevention of bladder </w:t>
      </w:r>
      <w:proofErr w:type="spellStart"/>
      <w:r w:rsidRPr="00074CC2">
        <w:rPr>
          <w:rFonts w:ascii="Book Antiqua" w:eastAsia="Book Antiqua" w:hAnsi="Book Antiqua" w:cs="Book Antiqua"/>
          <w:color w:val="000000"/>
        </w:rPr>
        <w:t>tumours</w:t>
      </w:r>
      <w:proofErr w:type="spellEnd"/>
      <w:r w:rsidRPr="00074CC2">
        <w:rPr>
          <w:rFonts w:ascii="Book Antiqua" w:eastAsia="Book Antiqua" w:hAnsi="Book Antiqua" w:cs="Book Antiqua"/>
          <w:color w:val="000000"/>
        </w:rPr>
        <w:t xml:space="preserve"> after nephroureterectomy for primary upper urinary tract urothelial carcinoma: a prospective, </w:t>
      </w:r>
      <w:proofErr w:type="spellStart"/>
      <w:r w:rsidRPr="00074CC2">
        <w:rPr>
          <w:rFonts w:ascii="Book Antiqua" w:eastAsia="Book Antiqua" w:hAnsi="Book Antiqua" w:cs="Book Antiqua"/>
          <w:color w:val="000000"/>
        </w:rPr>
        <w:t>multicentre</w:t>
      </w:r>
      <w:proofErr w:type="spellEnd"/>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randomised</w:t>
      </w:r>
      <w:proofErr w:type="spellEnd"/>
      <w:r w:rsidRPr="00074CC2">
        <w:rPr>
          <w:rFonts w:ascii="Book Antiqua" w:eastAsia="Book Antiqua" w:hAnsi="Book Antiqua" w:cs="Book Antiqua"/>
          <w:color w:val="000000"/>
        </w:rPr>
        <w:t xml:space="preserve"> clinical trial of a single postoperative intravesical dose of mitomycin C (the ODMIT-C Trial). </w:t>
      </w:r>
      <w:r w:rsidRPr="00074CC2">
        <w:rPr>
          <w:rFonts w:ascii="Book Antiqua" w:eastAsia="Book Antiqua" w:hAnsi="Book Antiqua" w:cs="Book Antiqua"/>
          <w:i/>
          <w:iCs/>
          <w:color w:val="000000"/>
        </w:rPr>
        <w:t xml:space="preserve">Eur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2011; </w:t>
      </w:r>
      <w:r w:rsidRPr="00074CC2">
        <w:rPr>
          <w:rFonts w:ascii="Book Antiqua" w:eastAsia="Book Antiqua" w:hAnsi="Book Antiqua" w:cs="Book Antiqua"/>
          <w:b/>
          <w:bCs/>
          <w:color w:val="000000"/>
        </w:rPr>
        <w:t>60</w:t>
      </w:r>
      <w:r w:rsidRPr="00074CC2">
        <w:rPr>
          <w:rFonts w:ascii="Book Antiqua" w:eastAsia="Book Antiqua" w:hAnsi="Book Antiqua" w:cs="Book Antiqua"/>
          <w:color w:val="000000"/>
        </w:rPr>
        <w:t>: 703-710 [PMID: 21684068 DOI: 10.1016/j.eururo.2011.05.064]</w:t>
      </w:r>
    </w:p>
    <w:p w14:paraId="05B093E5"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22 </w:t>
      </w:r>
      <w:proofErr w:type="spellStart"/>
      <w:r w:rsidRPr="00074CC2">
        <w:rPr>
          <w:rFonts w:ascii="Book Antiqua" w:eastAsia="Book Antiqua" w:hAnsi="Book Antiqua" w:cs="Book Antiqua"/>
          <w:b/>
          <w:bCs/>
          <w:color w:val="000000"/>
        </w:rPr>
        <w:t>Chromecki</w:t>
      </w:r>
      <w:proofErr w:type="spellEnd"/>
      <w:r w:rsidRPr="00074CC2">
        <w:rPr>
          <w:rFonts w:ascii="Book Antiqua" w:eastAsia="Book Antiqua" w:hAnsi="Book Antiqua" w:cs="Book Antiqua"/>
          <w:b/>
          <w:bCs/>
          <w:color w:val="000000"/>
        </w:rPr>
        <w:t xml:space="preserve"> TF</w:t>
      </w:r>
      <w:r w:rsidRPr="00074CC2">
        <w:rPr>
          <w:rFonts w:ascii="Book Antiqua" w:eastAsia="Book Antiqua" w:hAnsi="Book Antiqua" w:cs="Book Antiqua"/>
          <w:color w:val="000000"/>
        </w:rPr>
        <w:t xml:space="preserve">, </w:t>
      </w:r>
      <w:proofErr w:type="spellStart"/>
      <w:r w:rsidRPr="00074CC2">
        <w:rPr>
          <w:rFonts w:ascii="Book Antiqua" w:eastAsia="Book Antiqua" w:hAnsi="Book Antiqua" w:cs="Book Antiqua"/>
          <w:color w:val="000000"/>
        </w:rPr>
        <w:t>Bensalah</w:t>
      </w:r>
      <w:proofErr w:type="spellEnd"/>
      <w:r w:rsidRPr="00074CC2">
        <w:rPr>
          <w:rFonts w:ascii="Book Antiqua" w:eastAsia="Book Antiqua" w:hAnsi="Book Antiqua" w:cs="Book Antiqua"/>
          <w:color w:val="000000"/>
        </w:rPr>
        <w:t xml:space="preserve"> K, </w:t>
      </w:r>
      <w:proofErr w:type="spellStart"/>
      <w:r w:rsidRPr="00074CC2">
        <w:rPr>
          <w:rFonts w:ascii="Book Antiqua" w:eastAsia="Book Antiqua" w:hAnsi="Book Antiqua" w:cs="Book Antiqua"/>
          <w:color w:val="000000"/>
        </w:rPr>
        <w:t>Remzi</w:t>
      </w:r>
      <w:proofErr w:type="spellEnd"/>
      <w:r w:rsidRPr="00074CC2">
        <w:rPr>
          <w:rFonts w:ascii="Book Antiqua" w:eastAsia="Book Antiqua" w:hAnsi="Book Antiqua" w:cs="Book Antiqua"/>
          <w:color w:val="000000"/>
        </w:rPr>
        <w:t xml:space="preserve"> M, </w:t>
      </w:r>
      <w:proofErr w:type="spellStart"/>
      <w:r w:rsidRPr="00074CC2">
        <w:rPr>
          <w:rFonts w:ascii="Book Antiqua" w:eastAsia="Book Antiqua" w:hAnsi="Book Antiqua" w:cs="Book Antiqua"/>
          <w:color w:val="000000"/>
        </w:rPr>
        <w:t>Verhoest</w:t>
      </w:r>
      <w:proofErr w:type="spellEnd"/>
      <w:r w:rsidRPr="00074CC2">
        <w:rPr>
          <w:rFonts w:ascii="Book Antiqua" w:eastAsia="Book Antiqua" w:hAnsi="Book Antiqua" w:cs="Book Antiqua"/>
          <w:color w:val="000000"/>
        </w:rPr>
        <w:t xml:space="preserve"> G, Cha EK, Scherr DS, Novara G, </w:t>
      </w:r>
      <w:proofErr w:type="spellStart"/>
      <w:r w:rsidRPr="00074CC2">
        <w:rPr>
          <w:rFonts w:ascii="Book Antiqua" w:eastAsia="Book Antiqua" w:hAnsi="Book Antiqua" w:cs="Book Antiqua"/>
          <w:color w:val="000000"/>
        </w:rPr>
        <w:t>Karakiewicz</w:t>
      </w:r>
      <w:proofErr w:type="spellEnd"/>
      <w:r w:rsidRPr="00074CC2">
        <w:rPr>
          <w:rFonts w:ascii="Book Antiqua" w:eastAsia="Book Antiqua" w:hAnsi="Book Antiqua" w:cs="Book Antiqua"/>
          <w:color w:val="000000"/>
        </w:rPr>
        <w:t xml:space="preserve"> PI, </w:t>
      </w:r>
      <w:proofErr w:type="spellStart"/>
      <w:r w:rsidRPr="00074CC2">
        <w:rPr>
          <w:rFonts w:ascii="Book Antiqua" w:eastAsia="Book Antiqua" w:hAnsi="Book Antiqua" w:cs="Book Antiqua"/>
          <w:color w:val="000000"/>
        </w:rPr>
        <w:t>Shariat</w:t>
      </w:r>
      <w:proofErr w:type="spellEnd"/>
      <w:r w:rsidRPr="00074CC2">
        <w:rPr>
          <w:rFonts w:ascii="Book Antiqua" w:eastAsia="Book Antiqua" w:hAnsi="Book Antiqua" w:cs="Book Antiqua"/>
          <w:color w:val="000000"/>
        </w:rPr>
        <w:t xml:space="preserve"> SF. Prognostic factors for upper urinary tract urothelial carcinoma. </w:t>
      </w:r>
      <w:r w:rsidRPr="00074CC2">
        <w:rPr>
          <w:rFonts w:ascii="Book Antiqua" w:eastAsia="Book Antiqua" w:hAnsi="Book Antiqua" w:cs="Book Antiqua"/>
          <w:i/>
          <w:iCs/>
          <w:color w:val="000000"/>
        </w:rPr>
        <w:t xml:space="preserve">Nat Rev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2011; </w:t>
      </w:r>
      <w:r w:rsidRPr="00074CC2">
        <w:rPr>
          <w:rFonts w:ascii="Book Antiqua" w:eastAsia="Book Antiqua" w:hAnsi="Book Antiqua" w:cs="Book Antiqua"/>
          <w:b/>
          <w:bCs/>
          <w:color w:val="000000"/>
        </w:rPr>
        <w:t>8</w:t>
      </w:r>
      <w:r w:rsidRPr="00074CC2">
        <w:rPr>
          <w:rFonts w:ascii="Book Antiqua" w:eastAsia="Book Antiqua" w:hAnsi="Book Antiqua" w:cs="Book Antiqua"/>
          <w:color w:val="000000"/>
        </w:rPr>
        <w:t>: 440-447 [PMID: 21727942 DOI: 10.1038/nrurol.2011.96]</w:t>
      </w:r>
    </w:p>
    <w:p w14:paraId="62266419"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 xml:space="preserve">23 </w:t>
      </w:r>
      <w:r w:rsidRPr="00074CC2">
        <w:rPr>
          <w:rFonts w:ascii="Book Antiqua" w:eastAsia="Book Antiqua" w:hAnsi="Book Antiqua" w:cs="Book Antiqua"/>
          <w:b/>
          <w:bCs/>
          <w:color w:val="000000"/>
        </w:rPr>
        <w:t>Hasan MN</w:t>
      </w:r>
      <w:r w:rsidRPr="00074CC2">
        <w:rPr>
          <w:rFonts w:ascii="Book Antiqua" w:eastAsia="Book Antiqua" w:hAnsi="Book Antiqua" w:cs="Book Antiqua"/>
          <w:color w:val="000000"/>
        </w:rPr>
        <w:t xml:space="preserve">, Rouprêt M, Keeley F, </w:t>
      </w:r>
      <w:proofErr w:type="spellStart"/>
      <w:r w:rsidRPr="00074CC2">
        <w:rPr>
          <w:rFonts w:ascii="Book Antiqua" w:eastAsia="Book Antiqua" w:hAnsi="Book Antiqua" w:cs="Book Antiqua"/>
          <w:color w:val="000000"/>
        </w:rPr>
        <w:t>Cracco</w:t>
      </w:r>
      <w:proofErr w:type="spellEnd"/>
      <w:r w:rsidRPr="00074CC2">
        <w:rPr>
          <w:rFonts w:ascii="Book Antiqua" w:eastAsia="Book Antiqua" w:hAnsi="Book Antiqua" w:cs="Book Antiqua"/>
          <w:color w:val="000000"/>
        </w:rPr>
        <w:t xml:space="preserve"> C, Jones R, Straub M, </w:t>
      </w:r>
      <w:proofErr w:type="spellStart"/>
      <w:r w:rsidRPr="00074CC2">
        <w:rPr>
          <w:rFonts w:ascii="Book Antiqua" w:eastAsia="Book Antiqua" w:hAnsi="Book Antiqua" w:cs="Book Antiqua"/>
          <w:color w:val="000000"/>
        </w:rPr>
        <w:t>Traxer</w:t>
      </w:r>
      <w:proofErr w:type="spellEnd"/>
      <w:r w:rsidRPr="00074CC2">
        <w:rPr>
          <w:rFonts w:ascii="Book Antiqua" w:eastAsia="Book Antiqua" w:hAnsi="Book Antiqua" w:cs="Book Antiqua"/>
          <w:color w:val="000000"/>
        </w:rPr>
        <w:t xml:space="preserve"> O, </w:t>
      </w:r>
      <w:proofErr w:type="spellStart"/>
      <w:r w:rsidRPr="00074CC2">
        <w:rPr>
          <w:rFonts w:ascii="Book Antiqua" w:eastAsia="Book Antiqua" w:hAnsi="Book Antiqua" w:cs="Book Antiqua"/>
          <w:color w:val="000000"/>
        </w:rPr>
        <w:t>Osther</w:t>
      </w:r>
      <w:proofErr w:type="spellEnd"/>
      <w:r w:rsidRPr="00074CC2">
        <w:rPr>
          <w:rFonts w:ascii="Book Antiqua" w:eastAsia="Book Antiqua" w:hAnsi="Book Antiqua" w:cs="Book Antiqua"/>
          <w:color w:val="000000"/>
        </w:rPr>
        <w:t xml:space="preserve"> PJS, </w:t>
      </w:r>
      <w:proofErr w:type="spellStart"/>
      <w:r w:rsidRPr="00074CC2">
        <w:rPr>
          <w:rFonts w:ascii="Book Antiqua" w:eastAsia="Book Antiqua" w:hAnsi="Book Antiqua" w:cs="Book Antiqua"/>
          <w:color w:val="000000"/>
        </w:rPr>
        <w:t>Brehmer</w:t>
      </w:r>
      <w:proofErr w:type="spellEnd"/>
      <w:r w:rsidRPr="00074CC2">
        <w:rPr>
          <w:rFonts w:ascii="Book Antiqua" w:eastAsia="Book Antiqua" w:hAnsi="Book Antiqua" w:cs="Book Antiqua"/>
          <w:color w:val="000000"/>
        </w:rPr>
        <w:t xml:space="preserve"> M. Consultation on UTUC, Stockholm 2018 aspects of risk </w:t>
      </w:r>
      <w:r w:rsidRPr="00074CC2">
        <w:rPr>
          <w:rFonts w:ascii="Book Antiqua" w:eastAsia="Book Antiqua" w:hAnsi="Book Antiqua" w:cs="Book Antiqua"/>
          <w:color w:val="000000"/>
        </w:rPr>
        <w:lastRenderedPageBreak/>
        <w:t xml:space="preserve">stratification: long-term results and follow-up. </w:t>
      </w:r>
      <w:r w:rsidRPr="00074CC2">
        <w:rPr>
          <w:rFonts w:ascii="Book Antiqua" w:eastAsia="Book Antiqua" w:hAnsi="Book Antiqua" w:cs="Book Antiqua"/>
          <w:i/>
          <w:iCs/>
          <w:color w:val="000000"/>
        </w:rPr>
        <w:t xml:space="preserve">World J </w:t>
      </w:r>
      <w:proofErr w:type="spellStart"/>
      <w:r w:rsidRPr="00074CC2">
        <w:rPr>
          <w:rFonts w:ascii="Book Antiqua" w:eastAsia="Book Antiqua" w:hAnsi="Book Antiqua" w:cs="Book Antiqua"/>
          <w:i/>
          <w:iCs/>
          <w:color w:val="000000"/>
        </w:rPr>
        <w:t>Urol</w:t>
      </w:r>
      <w:proofErr w:type="spellEnd"/>
      <w:r w:rsidRPr="00074CC2">
        <w:rPr>
          <w:rFonts w:ascii="Book Antiqua" w:eastAsia="Book Antiqua" w:hAnsi="Book Antiqua" w:cs="Book Antiqua"/>
          <w:color w:val="000000"/>
        </w:rPr>
        <w:t xml:space="preserve"> 2019; </w:t>
      </w:r>
      <w:r w:rsidRPr="00074CC2">
        <w:rPr>
          <w:rFonts w:ascii="Book Antiqua" w:eastAsia="Book Antiqua" w:hAnsi="Book Antiqua" w:cs="Book Antiqua"/>
          <w:b/>
          <w:bCs/>
          <w:color w:val="000000"/>
        </w:rPr>
        <w:t>37</w:t>
      </w:r>
      <w:r w:rsidRPr="00074CC2">
        <w:rPr>
          <w:rFonts w:ascii="Book Antiqua" w:eastAsia="Book Antiqua" w:hAnsi="Book Antiqua" w:cs="Book Antiqua"/>
          <w:color w:val="000000"/>
        </w:rPr>
        <w:t>: 2289-2296 [PMID: 30944969 DOI: 10.1007/s00345-019-02739-1]</w:t>
      </w:r>
    </w:p>
    <w:bookmarkEnd w:id="23"/>
    <w:bookmarkEnd w:id="24"/>
    <w:bookmarkEnd w:id="25"/>
    <w:p w14:paraId="75DAFDDA" w14:textId="77777777" w:rsidR="00A77B3E" w:rsidRPr="00074CC2" w:rsidRDefault="00A77B3E" w:rsidP="00E842BB">
      <w:pPr>
        <w:snapToGrid w:val="0"/>
        <w:spacing w:line="360" w:lineRule="auto"/>
        <w:jc w:val="both"/>
        <w:rPr>
          <w:rFonts w:ascii="Book Antiqua" w:hAnsi="Book Antiqua"/>
        </w:rPr>
        <w:sectPr w:rsidR="00A77B3E" w:rsidRPr="00074CC2" w:rsidSect="00C13252">
          <w:type w:val="continuous"/>
          <w:pgSz w:w="12240" w:h="15840"/>
          <w:pgMar w:top="1440" w:right="1800" w:bottom="1440" w:left="1800" w:header="720" w:footer="720" w:gutter="0"/>
          <w:cols w:space="720"/>
          <w:docGrid w:linePitch="360"/>
        </w:sectPr>
      </w:pPr>
    </w:p>
    <w:p w14:paraId="6D498E2D" w14:textId="33C47F44" w:rsidR="00A77B3E" w:rsidRPr="00413E92" w:rsidRDefault="003F6DF7"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br w:type="page"/>
      </w:r>
      <w:r w:rsidR="00CC0C82" w:rsidRPr="00074CC2">
        <w:rPr>
          <w:rFonts w:ascii="Book Antiqua" w:eastAsia="Book Antiqua" w:hAnsi="Book Antiqua" w:cs="Book Antiqua"/>
          <w:b/>
          <w:color w:val="000000"/>
        </w:rPr>
        <w:lastRenderedPageBreak/>
        <w:t>Footnotes</w:t>
      </w:r>
    </w:p>
    <w:p w14:paraId="39E04976"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Institutional review board statement: </w:t>
      </w:r>
      <w:r w:rsidRPr="00074CC2">
        <w:rPr>
          <w:rFonts w:ascii="Book Antiqua" w:eastAsia="Book Antiqua" w:hAnsi="Book Antiqua" w:cs="Book Antiqua"/>
          <w:color w:val="000000"/>
        </w:rPr>
        <w:t xml:space="preserve">This study was approved by the institutional research ethics committee of our hospital (2019BJYYEC-237-01) and all procedures were conducted in accordance with Helsinki Declaration principles. </w:t>
      </w:r>
    </w:p>
    <w:p w14:paraId="398E2F1E" w14:textId="77777777" w:rsidR="00266D03" w:rsidRPr="00074CC2" w:rsidRDefault="00266D03" w:rsidP="00E842BB">
      <w:pPr>
        <w:snapToGrid w:val="0"/>
        <w:spacing w:line="360" w:lineRule="auto"/>
        <w:jc w:val="both"/>
        <w:rPr>
          <w:rFonts w:ascii="Book Antiqua" w:hAnsi="Book Antiqua"/>
        </w:rPr>
      </w:pPr>
    </w:p>
    <w:p w14:paraId="7AE3B0A1"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Conflict-of-interest statement: </w:t>
      </w:r>
      <w:r w:rsidRPr="00074CC2">
        <w:rPr>
          <w:rFonts w:ascii="Book Antiqua" w:eastAsia="Book Antiqua" w:hAnsi="Book Antiqua" w:cs="Book Antiqua"/>
          <w:color w:val="000000"/>
        </w:rPr>
        <w:t>All authors report no conflicts of interest regarding this study or report.</w:t>
      </w:r>
    </w:p>
    <w:p w14:paraId="0BFC1663" w14:textId="77777777" w:rsidR="00A77B3E" w:rsidRPr="00074CC2" w:rsidRDefault="00A77B3E" w:rsidP="00E842BB">
      <w:pPr>
        <w:snapToGrid w:val="0"/>
        <w:spacing w:line="360" w:lineRule="auto"/>
        <w:jc w:val="both"/>
        <w:rPr>
          <w:rFonts w:ascii="Book Antiqua" w:hAnsi="Book Antiqua"/>
        </w:rPr>
      </w:pPr>
    </w:p>
    <w:p w14:paraId="60F39E38"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Data sharing statement: </w:t>
      </w:r>
      <w:r w:rsidRPr="00074CC2">
        <w:rPr>
          <w:rFonts w:ascii="Book Antiqua" w:eastAsia="Book Antiqua" w:hAnsi="Book Antiqua" w:cs="Book Antiqua"/>
          <w:color w:val="000000"/>
        </w:rPr>
        <w:t>The original anonymous dataset is available on reasonable request from the corresponding author.</w:t>
      </w:r>
    </w:p>
    <w:p w14:paraId="7D09A467" w14:textId="77777777" w:rsidR="00A77B3E" w:rsidRPr="00074CC2" w:rsidRDefault="00A77B3E" w:rsidP="00E842BB">
      <w:pPr>
        <w:snapToGrid w:val="0"/>
        <w:spacing w:line="360" w:lineRule="auto"/>
        <w:jc w:val="both"/>
        <w:rPr>
          <w:rFonts w:ascii="Book Antiqua" w:hAnsi="Book Antiqua"/>
        </w:rPr>
      </w:pPr>
    </w:p>
    <w:p w14:paraId="75F5105B"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STROBE statement: </w:t>
      </w:r>
      <w:r w:rsidRPr="00074CC2">
        <w:rPr>
          <w:rFonts w:ascii="Book Antiqua" w:eastAsia="Book Antiqua" w:hAnsi="Book Antiqua" w:cs="Book Antiqua"/>
          <w:color w:val="000000"/>
        </w:rPr>
        <w:t>The guidelines provided in the STROBE Statement have been adopted.</w:t>
      </w:r>
    </w:p>
    <w:p w14:paraId="55816686" w14:textId="77777777" w:rsidR="00A77B3E" w:rsidRPr="00074CC2" w:rsidRDefault="00A77B3E" w:rsidP="00E842BB">
      <w:pPr>
        <w:snapToGrid w:val="0"/>
        <w:spacing w:line="360" w:lineRule="auto"/>
        <w:jc w:val="both"/>
        <w:rPr>
          <w:rFonts w:ascii="Book Antiqua" w:hAnsi="Book Antiqua"/>
        </w:rPr>
      </w:pPr>
    </w:p>
    <w:p w14:paraId="6046F912"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bCs/>
          <w:color w:val="000000"/>
        </w:rPr>
        <w:t xml:space="preserve">Open-Access: </w:t>
      </w:r>
      <w:bookmarkStart w:id="26" w:name="OLE_LINK2"/>
      <w:bookmarkStart w:id="27" w:name="OLE_LINK3"/>
      <w:r w:rsidRPr="00074C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4CC2">
        <w:rPr>
          <w:rFonts w:ascii="Book Antiqua" w:eastAsia="Book Antiqua" w:hAnsi="Book Antiqua" w:cs="Book Antiqua"/>
          <w:color w:val="000000"/>
        </w:rPr>
        <w:t>NonCommercial</w:t>
      </w:r>
      <w:proofErr w:type="spellEnd"/>
      <w:r w:rsidRPr="00074C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6"/>
    <w:bookmarkEnd w:id="27"/>
    <w:p w14:paraId="1DCE11F1" w14:textId="77777777" w:rsidR="00A77B3E" w:rsidRPr="00074CC2" w:rsidRDefault="00A77B3E" w:rsidP="00E842BB">
      <w:pPr>
        <w:snapToGrid w:val="0"/>
        <w:spacing w:line="360" w:lineRule="auto"/>
        <w:jc w:val="both"/>
        <w:rPr>
          <w:rFonts w:ascii="Book Antiqua" w:hAnsi="Book Antiqua"/>
        </w:rPr>
      </w:pPr>
    </w:p>
    <w:p w14:paraId="0592FB55" w14:textId="714A52CC"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 xml:space="preserve">Manuscript source: </w:t>
      </w:r>
      <w:r w:rsidRPr="00074CC2">
        <w:rPr>
          <w:rFonts w:ascii="Book Antiqua" w:eastAsia="Book Antiqua" w:hAnsi="Book Antiqua" w:cs="Book Antiqua"/>
          <w:color w:val="000000"/>
        </w:rPr>
        <w:t xml:space="preserve">Unsolicited </w:t>
      </w:r>
      <w:r w:rsidR="00407914" w:rsidRPr="00074CC2">
        <w:rPr>
          <w:rFonts w:ascii="Book Antiqua" w:eastAsia="Book Antiqua" w:hAnsi="Book Antiqua" w:cs="Book Antiqua"/>
          <w:color w:val="000000"/>
        </w:rPr>
        <w:t>manuscript</w:t>
      </w:r>
    </w:p>
    <w:p w14:paraId="72C0A8DE" w14:textId="77777777" w:rsidR="00A77B3E" w:rsidRPr="00074CC2" w:rsidRDefault="00A77B3E" w:rsidP="00E842BB">
      <w:pPr>
        <w:snapToGrid w:val="0"/>
        <w:spacing w:line="360" w:lineRule="auto"/>
        <w:jc w:val="both"/>
        <w:rPr>
          <w:rFonts w:ascii="Book Antiqua" w:hAnsi="Book Antiqua"/>
        </w:rPr>
      </w:pPr>
    </w:p>
    <w:p w14:paraId="641B474E"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 xml:space="preserve">Peer-review started: </w:t>
      </w:r>
      <w:r w:rsidRPr="00074CC2">
        <w:rPr>
          <w:rFonts w:ascii="Book Antiqua" w:eastAsia="Book Antiqua" w:hAnsi="Book Antiqua" w:cs="Book Antiqua"/>
          <w:color w:val="000000"/>
        </w:rPr>
        <w:t>May 15, 2020</w:t>
      </w:r>
    </w:p>
    <w:p w14:paraId="058B6284"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 xml:space="preserve">First decision: </w:t>
      </w:r>
      <w:r w:rsidRPr="00074CC2">
        <w:rPr>
          <w:rFonts w:ascii="Book Antiqua" w:eastAsia="Book Antiqua" w:hAnsi="Book Antiqua" w:cs="Book Antiqua"/>
          <w:color w:val="000000"/>
        </w:rPr>
        <w:t>September 12, 2020</w:t>
      </w:r>
    </w:p>
    <w:p w14:paraId="4F4F1A00"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 xml:space="preserve">Article in press: </w:t>
      </w:r>
    </w:p>
    <w:p w14:paraId="28A546BF" w14:textId="77777777" w:rsidR="00A77B3E" w:rsidRPr="00074CC2" w:rsidRDefault="00A77B3E" w:rsidP="00E842BB">
      <w:pPr>
        <w:snapToGrid w:val="0"/>
        <w:spacing w:line="360" w:lineRule="auto"/>
        <w:jc w:val="both"/>
        <w:rPr>
          <w:rFonts w:ascii="Book Antiqua" w:hAnsi="Book Antiqua"/>
        </w:rPr>
      </w:pPr>
    </w:p>
    <w:p w14:paraId="6797D192" w14:textId="7B2FCFEE"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 xml:space="preserve">Specialty type: </w:t>
      </w:r>
      <w:r w:rsidR="00407914" w:rsidRPr="00074CC2">
        <w:rPr>
          <w:rFonts w:ascii="Book Antiqua" w:eastAsia="Book Antiqua" w:hAnsi="Book Antiqua" w:cs="Book Antiqua"/>
          <w:color w:val="000000"/>
        </w:rPr>
        <w:t>Medicine, research and experimental</w:t>
      </w:r>
    </w:p>
    <w:p w14:paraId="464FB31E"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lastRenderedPageBreak/>
        <w:t xml:space="preserve">Country/Territory of origin: </w:t>
      </w:r>
      <w:r w:rsidRPr="00074CC2">
        <w:rPr>
          <w:rFonts w:ascii="Book Antiqua" w:eastAsia="Book Antiqua" w:hAnsi="Book Antiqua" w:cs="Book Antiqua"/>
          <w:color w:val="000000"/>
        </w:rPr>
        <w:t>China</w:t>
      </w:r>
    </w:p>
    <w:p w14:paraId="7A976102"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b/>
          <w:color w:val="000000"/>
        </w:rPr>
        <w:t>Peer-review report’s scientific quality classification</w:t>
      </w:r>
    </w:p>
    <w:p w14:paraId="1C718523"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Grade A (Excellent): 0</w:t>
      </w:r>
    </w:p>
    <w:p w14:paraId="4A0D497C"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Grade B (Very good): 0</w:t>
      </w:r>
    </w:p>
    <w:p w14:paraId="7AC8F59B"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Grade C (Good): C</w:t>
      </w:r>
    </w:p>
    <w:p w14:paraId="0A833A2A"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Grade D (Fair): 0</w:t>
      </w:r>
    </w:p>
    <w:p w14:paraId="675B24AA" w14:textId="77777777" w:rsidR="00A77B3E" w:rsidRPr="00074CC2" w:rsidRDefault="00CC0C82" w:rsidP="00E842BB">
      <w:pPr>
        <w:snapToGrid w:val="0"/>
        <w:spacing w:line="360" w:lineRule="auto"/>
        <w:jc w:val="both"/>
        <w:rPr>
          <w:rFonts w:ascii="Book Antiqua" w:hAnsi="Book Antiqua"/>
        </w:rPr>
      </w:pPr>
      <w:r w:rsidRPr="00074CC2">
        <w:rPr>
          <w:rFonts w:ascii="Book Antiqua" w:eastAsia="Book Antiqua" w:hAnsi="Book Antiqua" w:cs="Book Antiqua"/>
          <w:color w:val="000000"/>
        </w:rPr>
        <w:t>Grade E (Poor): 0</w:t>
      </w:r>
    </w:p>
    <w:p w14:paraId="2E9A6B92" w14:textId="77777777" w:rsidR="00A77B3E" w:rsidRPr="00074CC2" w:rsidRDefault="00A77B3E" w:rsidP="00E842BB">
      <w:pPr>
        <w:snapToGrid w:val="0"/>
        <w:spacing w:line="360" w:lineRule="auto"/>
        <w:jc w:val="both"/>
        <w:rPr>
          <w:rFonts w:ascii="Book Antiqua" w:hAnsi="Book Antiqua"/>
        </w:rPr>
      </w:pPr>
    </w:p>
    <w:p w14:paraId="751D8366" w14:textId="5C1A5545" w:rsidR="00A77B3E" w:rsidRPr="00074CC2" w:rsidRDefault="00CC0C82" w:rsidP="00E842BB">
      <w:pPr>
        <w:snapToGrid w:val="0"/>
        <w:spacing w:line="360" w:lineRule="auto"/>
        <w:jc w:val="both"/>
        <w:rPr>
          <w:rFonts w:ascii="Book Antiqua" w:eastAsia="Book Antiqua" w:hAnsi="Book Antiqua" w:cs="Book Antiqua"/>
          <w:b/>
          <w:color w:val="000000"/>
        </w:rPr>
      </w:pPr>
      <w:r w:rsidRPr="00074CC2">
        <w:rPr>
          <w:rFonts w:ascii="Book Antiqua" w:eastAsia="Book Antiqua" w:hAnsi="Book Antiqua" w:cs="Book Antiqua"/>
          <w:b/>
          <w:color w:val="000000"/>
        </w:rPr>
        <w:t xml:space="preserve">P-Reviewer: </w:t>
      </w:r>
      <w:r w:rsidRPr="00074CC2">
        <w:rPr>
          <w:rFonts w:ascii="Book Antiqua" w:eastAsia="Book Antiqua" w:hAnsi="Book Antiqua" w:cs="Book Antiqua"/>
          <w:color w:val="000000"/>
        </w:rPr>
        <w:t>Patel HR</w:t>
      </w:r>
      <w:r w:rsidRPr="00074CC2">
        <w:rPr>
          <w:rFonts w:ascii="Book Antiqua" w:eastAsia="Book Antiqua" w:hAnsi="Book Antiqua" w:cs="Book Antiqua"/>
          <w:b/>
          <w:color w:val="000000"/>
        </w:rPr>
        <w:t xml:space="preserve"> S-Editor: </w:t>
      </w:r>
      <w:r w:rsidRPr="00074CC2">
        <w:rPr>
          <w:rFonts w:ascii="Book Antiqua" w:eastAsia="Book Antiqua" w:hAnsi="Book Antiqua" w:cs="Book Antiqua"/>
          <w:color w:val="000000"/>
        </w:rPr>
        <w:t>Zhang L</w:t>
      </w:r>
      <w:r w:rsidRPr="00074CC2">
        <w:rPr>
          <w:rFonts w:ascii="Book Antiqua" w:eastAsia="Book Antiqua" w:hAnsi="Book Antiqua" w:cs="Book Antiqua"/>
          <w:b/>
          <w:color w:val="000000"/>
        </w:rPr>
        <w:t xml:space="preserve"> L-Editor:</w:t>
      </w:r>
      <w:r w:rsidR="00B82087" w:rsidRPr="00074CC2">
        <w:rPr>
          <w:rFonts w:ascii="Book Antiqua" w:eastAsia="Book Antiqua" w:hAnsi="Book Antiqua" w:cs="Book Antiqua"/>
          <w:b/>
          <w:color w:val="000000"/>
        </w:rPr>
        <w:t xml:space="preserve"> </w:t>
      </w:r>
      <w:r w:rsidR="002D6C61" w:rsidRPr="00074CC2">
        <w:rPr>
          <w:rFonts w:ascii="Book Antiqua" w:eastAsia="Book Antiqua" w:hAnsi="Book Antiqua" w:cs="Book Antiqua"/>
          <w:bCs/>
          <w:color w:val="000000"/>
        </w:rPr>
        <w:t xml:space="preserve">Filipodia </w:t>
      </w:r>
      <w:r w:rsidRPr="00074CC2">
        <w:rPr>
          <w:rFonts w:ascii="Book Antiqua" w:eastAsia="Book Antiqua" w:hAnsi="Book Antiqua" w:cs="Book Antiqua"/>
          <w:b/>
          <w:color w:val="000000"/>
        </w:rPr>
        <w:t xml:space="preserve">P-Editor: </w:t>
      </w:r>
    </w:p>
    <w:p w14:paraId="7448C77B" w14:textId="77777777" w:rsidR="00407914" w:rsidRPr="00074CC2" w:rsidRDefault="00407914" w:rsidP="00E842BB">
      <w:pPr>
        <w:snapToGrid w:val="0"/>
        <w:spacing w:line="360" w:lineRule="auto"/>
        <w:jc w:val="both"/>
        <w:rPr>
          <w:rFonts w:ascii="Book Antiqua" w:hAnsi="Book Antiqua"/>
        </w:rPr>
        <w:sectPr w:rsidR="00407914" w:rsidRPr="00074CC2" w:rsidSect="00C13252">
          <w:type w:val="continuous"/>
          <w:pgSz w:w="12240" w:h="15840"/>
          <w:pgMar w:top="1440" w:right="1800" w:bottom="1440" w:left="1800" w:header="720" w:footer="720" w:gutter="0"/>
          <w:cols w:space="720"/>
          <w:docGrid w:linePitch="360"/>
        </w:sectPr>
      </w:pPr>
    </w:p>
    <w:p w14:paraId="0846C536" w14:textId="1453151E" w:rsidR="00A77B3E" w:rsidRPr="00413E92" w:rsidRDefault="003F6DF7" w:rsidP="00E842BB">
      <w:pPr>
        <w:snapToGrid w:val="0"/>
        <w:spacing w:line="360" w:lineRule="auto"/>
        <w:jc w:val="both"/>
        <w:rPr>
          <w:rFonts w:ascii="Book Antiqua" w:eastAsia="Book Antiqua" w:hAnsi="Book Antiqua" w:cs="Book Antiqua"/>
          <w:b/>
          <w:color w:val="000000"/>
        </w:rPr>
      </w:pPr>
      <w:r w:rsidRPr="00074CC2">
        <w:rPr>
          <w:rFonts w:ascii="Book Antiqua" w:eastAsia="Book Antiqua" w:hAnsi="Book Antiqua" w:cs="Book Antiqua"/>
          <w:b/>
          <w:color w:val="000000"/>
        </w:rPr>
        <w:br w:type="page"/>
      </w:r>
      <w:r w:rsidR="00CC0C82" w:rsidRPr="00074CC2">
        <w:rPr>
          <w:rFonts w:ascii="Book Antiqua" w:eastAsia="Book Antiqua" w:hAnsi="Book Antiqua" w:cs="Book Antiqua"/>
          <w:b/>
          <w:color w:val="000000"/>
        </w:rPr>
        <w:lastRenderedPageBreak/>
        <w:t>Figure Legends</w:t>
      </w:r>
    </w:p>
    <w:p w14:paraId="5FA27E31" w14:textId="391E45FB" w:rsidR="00B82087" w:rsidRPr="00074CC2" w:rsidRDefault="00B66578" w:rsidP="00E842BB">
      <w:pPr>
        <w:snapToGrid w:val="0"/>
        <w:spacing w:line="360" w:lineRule="auto"/>
        <w:jc w:val="both"/>
        <w:rPr>
          <w:rFonts w:ascii="Book Antiqua" w:hAnsi="Book Antiqua"/>
        </w:rPr>
      </w:pPr>
      <w:r w:rsidRPr="00074CC2">
        <w:rPr>
          <w:rFonts w:ascii="Book Antiqua" w:hAnsi="Book Antiqua"/>
          <w:noProof/>
          <w:lang w:eastAsia="zh-CN"/>
        </w:rPr>
        <w:drawing>
          <wp:inline distT="0" distB="0" distL="0" distR="0" wp14:anchorId="596F8B9E" wp14:editId="3AE09D73">
            <wp:extent cx="5943600" cy="1822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5943600" cy="1822450"/>
                    </a:xfrm>
                    <a:prstGeom prst="rect">
                      <a:avLst/>
                    </a:prstGeom>
                  </pic:spPr>
                </pic:pic>
              </a:graphicData>
            </a:graphic>
          </wp:inline>
        </w:drawing>
      </w:r>
    </w:p>
    <w:p w14:paraId="1E08647D" w14:textId="0C6D3A96" w:rsidR="00407914" w:rsidRPr="00074CC2" w:rsidRDefault="00CC0C82" w:rsidP="00E842BB">
      <w:pPr>
        <w:snapToGrid w:val="0"/>
        <w:spacing w:line="360" w:lineRule="auto"/>
        <w:jc w:val="both"/>
        <w:rPr>
          <w:rFonts w:ascii="Book Antiqua" w:eastAsia="Book Antiqua" w:hAnsi="Book Antiqua" w:cs="Book Antiqua"/>
          <w:b/>
          <w:bCs/>
          <w:color w:val="000000"/>
        </w:rPr>
      </w:pPr>
      <w:bookmarkStart w:id="28" w:name="OLE_LINK21"/>
      <w:bookmarkStart w:id="29" w:name="OLE_LINK22"/>
      <w:r w:rsidRPr="00074CC2">
        <w:rPr>
          <w:rFonts w:ascii="Book Antiqua" w:eastAsia="Book Antiqua" w:hAnsi="Book Antiqua" w:cs="Book Antiqua"/>
          <w:b/>
          <w:bCs/>
          <w:color w:val="000000"/>
        </w:rPr>
        <w:t xml:space="preserve">Figure 1 </w:t>
      </w:r>
      <w:r w:rsidR="00407914" w:rsidRPr="00074CC2">
        <w:rPr>
          <w:rFonts w:ascii="Book Antiqua" w:eastAsia="Book Antiqua" w:hAnsi="Book Antiqua" w:cs="Book Antiqua"/>
          <w:b/>
          <w:color w:val="000000"/>
        </w:rPr>
        <w:t>Surgical procedure.</w:t>
      </w:r>
      <w:r w:rsidR="00407914" w:rsidRPr="00074CC2">
        <w:rPr>
          <w:rFonts w:ascii="Book Antiqua" w:hAnsi="Book Antiqua" w:cs="Book Antiqua"/>
          <w:b/>
          <w:bCs/>
          <w:color w:val="000000"/>
          <w:lang w:eastAsia="zh-CN"/>
        </w:rPr>
        <w:t xml:space="preserve"> </w:t>
      </w:r>
      <w:r w:rsidRPr="00074CC2">
        <w:rPr>
          <w:rFonts w:ascii="Book Antiqua" w:eastAsia="Book Antiqua" w:hAnsi="Book Antiqua" w:cs="Book Antiqua"/>
          <w:color w:val="000000"/>
        </w:rPr>
        <w:t xml:space="preserve">A: An overview of </w:t>
      </w:r>
      <w:r w:rsidR="00FC75E0" w:rsidRPr="00074CC2">
        <w:rPr>
          <w:rFonts w:ascii="Book Antiqua" w:eastAsia="Book Antiqua" w:hAnsi="Book Antiqua" w:cs="Book Antiqua"/>
          <w:color w:val="000000"/>
        </w:rPr>
        <w:t xml:space="preserve">the </w:t>
      </w:r>
      <w:r w:rsidRPr="00074CC2">
        <w:rPr>
          <w:rFonts w:ascii="Book Antiqua" w:eastAsia="Book Antiqua" w:hAnsi="Book Antiqua" w:cs="Book Antiqua"/>
          <w:color w:val="000000"/>
        </w:rPr>
        <w:t xml:space="preserve">surgical procedure of </w:t>
      </w:r>
      <w:proofErr w:type="spellStart"/>
      <w:r w:rsidR="00FC75E0" w:rsidRPr="00074CC2">
        <w:rPr>
          <w:rFonts w:ascii="Book Antiqua" w:eastAsia="Book Antiqua" w:hAnsi="Book Antiqua" w:cs="Book Antiqua"/>
          <w:color w:val="000000"/>
        </w:rPr>
        <w:t>i</w:t>
      </w:r>
      <w:r w:rsidRPr="00074CC2">
        <w:rPr>
          <w:rFonts w:ascii="Book Antiqua" w:eastAsia="Book Antiqua" w:hAnsi="Book Antiqua" w:cs="Book Antiqua"/>
          <w:color w:val="000000"/>
        </w:rPr>
        <w:t>ntrasvesical</w:t>
      </w:r>
      <w:proofErr w:type="spellEnd"/>
      <w:r w:rsidRPr="00074CC2">
        <w:rPr>
          <w:rFonts w:ascii="Book Antiqua" w:eastAsia="Book Antiqua" w:hAnsi="Book Antiqua" w:cs="Book Antiqua"/>
          <w:color w:val="000000"/>
        </w:rPr>
        <w:t xml:space="preserve"> incision of the bladder cuff; B: An overview of </w:t>
      </w:r>
      <w:r w:rsidR="00FC75E0" w:rsidRPr="00074CC2">
        <w:rPr>
          <w:rFonts w:ascii="Book Antiqua" w:eastAsia="Book Antiqua" w:hAnsi="Book Antiqua" w:cs="Book Antiqua"/>
          <w:color w:val="000000"/>
        </w:rPr>
        <w:t xml:space="preserve">the </w:t>
      </w:r>
      <w:r w:rsidRPr="00074CC2">
        <w:rPr>
          <w:rFonts w:ascii="Book Antiqua" w:eastAsia="Book Antiqua" w:hAnsi="Book Antiqua" w:cs="Book Antiqua"/>
          <w:color w:val="000000"/>
        </w:rPr>
        <w:t xml:space="preserve">surgical procedure of extravesical incision of the bladder cuff; C: An overview of </w:t>
      </w:r>
      <w:r w:rsidR="00FC75E0" w:rsidRPr="00074CC2">
        <w:rPr>
          <w:rFonts w:ascii="Book Antiqua" w:eastAsia="Book Antiqua" w:hAnsi="Book Antiqua" w:cs="Book Antiqua"/>
          <w:color w:val="000000"/>
        </w:rPr>
        <w:t xml:space="preserve">the </w:t>
      </w:r>
      <w:r w:rsidRPr="00074CC2">
        <w:rPr>
          <w:rFonts w:ascii="Book Antiqua" w:eastAsia="Book Antiqua" w:hAnsi="Book Antiqua" w:cs="Book Antiqua"/>
          <w:color w:val="000000"/>
        </w:rPr>
        <w:t>surgical procedure of transurethral incision of the bladder cuff.</w:t>
      </w:r>
    </w:p>
    <w:bookmarkEnd w:id="28"/>
    <w:bookmarkEnd w:id="29"/>
    <w:p w14:paraId="7C581601" w14:textId="77777777" w:rsidR="00CC0C82" w:rsidRPr="00074CC2" w:rsidRDefault="00407914" w:rsidP="00E842BB">
      <w:pPr>
        <w:snapToGrid w:val="0"/>
        <w:spacing w:line="360" w:lineRule="auto"/>
        <w:jc w:val="both"/>
        <w:rPr>
          <w:rFonts w:ascii="Book Antiqua" w:hAnsi="Book Antiqua"/>
        </w:rPr>
      </w:pPr>
      <w:r w:rsidRPr="00074CC2">
        <w:rPr>
          <w:rFonts w:ascii="Book Antiqua" w:eastAsia="Book Antiqua" w:hAnsi="Book Antiqua" w:cs="Book Antiqua"/>
          <w:color w:val="000000"/>
        </w:rPr>
        <w:br w:type="page"/>
      </w:r>
    </w:p>
    <w:p w14:paraId="1EC1D612" w14:textId="7E50D0FB" w:rsidR="00A77B3E" w:rsidRPr="00074CC2" w:rsidRDefault="00B66578" w:rsidP="00E842BB">
      <w:pPr>
        <w:snapToGrid w:val="0"/>
        <w:spacing w:line="360" w:lineRule="auto"/>
        <w:jc w:val="both"/>
        <w:rPr>
          <w:rFonts w:ascii="Book Antiqua" w:hAnsi="Book Antiqua"/>
        </w:rPr>
      </w:pPr>
      <w:r w:rsidRPr="00074CC2">
        <w:rPr>
          <w:rFonts w:ascii="Book Antiqua" w:hAnsi="Book Antiqua"/>
          <w:noProof/>
          <w:lang w:eastAsia="zh-CN"/>
        </w:rPr>
        <w:lastRenderedPageBreak/>
        <w:drawing>
          <wp:inline distT="0" distB="0" distL="0" distR="0" wp14:anchorId="7E4FA66C" wp14:editId="152794C4">
            <wp:extent cx="5031059" cy="44392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3192" cy="4441147"/>
                    </a:xfrm>
                    <a:prstGeom prst="rect">
                      <a:avLst/>
                    </a:prstGeom>
                  </pic:spPr>
                </pic:pic>
              </a:graphicData>
            </a:graphic>
          </wp:inline>
        </w:drawing>
      </w:r>
    </w:p>
    <w:p w14:paraId="4303C7E8" w14:textId="1D97225A" w:rsidR="00CC0C82" w:rsidRPr="00074CC2" w:rsidRDefault="00CC0C82" w:rsidP="00E842BB">
      <w:pPr>
        <w:snapToGrid w:val="0"/>
        <w:spacing w:line="360" w:lineRule="auto"/>
        <w:jc w:val="both"/>
        <w:rPr>
          <w:rFonts w:ascii="Book Antiqua" w:eastAsia="Book Antiqua" w:hAnsi="Book Antiqua" w:cs="Book Antiqua"/>
          <w:color w:val="000000"/>
        </w:rPr>
      </w:pPr>
      <w:r w:rsidRPr="00413E92">
        <w:rPr>
          <w:rFonts w:ascii="Book Antiqua" w:eastAsia="Book Antiqua" w:hAnsi="Book Antiqua" w:cs="Book Antiqua"/>
          <w:b/>
          <w:bCs/>
          <w:color w:val="000000"/>
        </w:rPr>
        <w:t xml:space="preserve">Figure 2 Survival curves for 248 primary </w:t>
      </w:r>
      <w:r w:rsidR="00407914" w:rsidRPr="00074CC2">
        <w:rPr>
          <w:rFonts w:ascii="Book Antiqua" w:eastAsia="Book Antiqua" w:hAnsi="Book Antiqua" w:cs="Book Antiqua"/>
          <w:b/>
          <w:color w:val="000000"/>
        </w:rPr>
        <w:t>urinary tract urothelial carcinoma</w:t>
      </w:r>
      <w:r w:rsidRPr="00074CC2">
        <w:rPr>
          <w:rFonts w:ascii="Book Antiqua" w:eastAsia="Book Antiqua" w:hAnsi="Book Antiqua" w:cs="Book Antiqua"/>
          <w:b/>
          <w:bCs/>
          <w:color w:val="000000"/>
        </w:rPr>
        <w:t xml:space="preserve"> patients.</w:t>
      </w:r>
      <w:r w:rsidRPr="00074CC2">
        <w:rPr>
          <w:rFonts w:ascii="Book Antiqua" w:eastAsia="Book Antiqua" w:hAnsi="Book Antiqua" w:cs="Book Antiqua"/>
          <w:color w:val="000000"/>
        </w:rPr>
        <w:t xml:space="preserve"> A: Intravesical recurrence-free survival (IRFS) by tumor location; B: IRFS by pathological tumor (</w:t>
      </w:r>
      <w:proofErr w:type="spellStart"/>
      <w:r w:rsidRPr="00074CC2">
        <w:rPr>
          <w:rFonts w:ascii="Book Antiqua" w:eastAsia="Book Antiqua" w:hAnsi="Book Antiqua" w:cs="Book Antiqua"/>
          <w:color w:val="000000"/>
        </w:rPr>
        <w:t>pT</w:t>
      </w:r>
      <w:proofErr w:type="spellEnd"/>
      <w:r w:rsidRPr="00074CC2">
        <w:rPr>
          <w:rFonts w:ascii="Book Antiqua" w:eastAsia="Book Antiqua" w:hAnsi="Book Antiqua" w:cs="Book Antiqua"/>
          <w:color w:val="000000"/>
        </w:rPr>
        <w:t xml:space="preserve">) stage; C: IRFS by different bladder cuff excision (BCE) techniques; D: Cancer-specific survival (CSS) by </w:t>
      </w:r>
      <w:proofErr w:type="spellStart"/>
      <w:r w:rsidRPr="00074CC2">
        <w:rPr>
          <w:rFonts w:ascii="Book Antiqua" w:eastAsia="Book Antiqua" w:hAnsi="Book Antiqua" w:cs="Book Antiqua"/>
          <w:color w:val="000000"/>
        </w:rPr>
        <w:t>pT</w:t>
      </w:r>
      <w:proofErr w:type="spellEnd"/>
      <w:r w:rsidRPr="00074CC2">
        <w:rPr>
          <w:rFonts w:ascii="Book Antiqua" w:eastAsia="Book Antiqua" w:hAnsi="Book Antiqua" w:cs="Book Antiqua"/>
          <w:color w:val="000000"/>
        </w:rPr>
        <w:t xml:space="preserve"> stage; E: CSS by lymph node status; F: CSS by different BCE techniques; G: </w:t>
      </w:r>
      <w:r w:rsidR="00407914" w:rsidRPr="00074CC2">
        <w:rPr>
          <w:rFonts w:ascii="Book Antiqua" w:eastAsia="Book Antiqua" w:hAnsi="Book Antiqua" w:cs="Book Antiqua"/>
          <w:color w:val="000000"/>
        </w:rPr>
        <w:t>Overall survival (</w:t>
      </w:r>
      <w:r w:rsidRPr="00074CC2">
        <w:rPr>
          <w:rFonts w:ascii="Book Antiqua" w:eastAsia="Book Antiqua" w:hAnsi="Book Antiqua" w:cs="Book Antiqua"/>
          <w:color w:val="000000"/>
        </w:rPr>
        <w:t>OS</w:t>
      </w:r>
      <w:r w:rsidR="00407914" w:rsidRPr="00074CC2">
        <w:rPr>
          <w:rFonts w:ascii="Book Antiqua" w:eastAsia="Book Antiqua" w:hAnsi="Book Antiqua" w:cs="Book Antiqua"/>
          <w:color w:val="000000"/>
        </w:rPr>
        <w:t>)</w:t>
      </w:r>
      <w:r w:rsidRPr="00074CC2">
        <w:rPr>
          <w:rFonts w:ascii="Book Antiqua" w:eastAsia="Book Antiqua" w:hAnsi="Book Antiqua" w:cs="Book Antiqua"/>
          <w:color w:val="000000"/>
        </w:rPr>
        <w:t xml:space="preserve"> by </w:t>
      </w:r>
      <w:proofErr w:type="spellStart"/>
      <w:r w:rsidRPr="00074CC2">
        <w:rPr>
          <w:rFonts w:ascii="Book Antiqua" w:eastAsia="Book Antiqua" w:hAnsi="Book Antiqua" w:cs="Book Antiqua"/>
          <w:color w:val="000000"/>
        </w:rPr>
        <w:t>pT</w:t>
      </w:r>
      <w:proofErr w:type="spellEnd"/>
      <w:r w:rsidRPr="00074CC2">
        <w:rPr>
          <w:rFonts w:ascii="Book Antiqua" w:eastAsia="Book Antiqua" w:hAnsi="Book Antiqua" w:cs="Book Antiqua"/>
          <w:color w:val="000000"/>
        </w:rPr>
        <w:t xml:space="preserve"> stage; H: OS by lymph node status; I: OS by different BCE techniques. EVBC: Extravesical incision of the bladder cuff; IVBC: Intrasvesical incision of the bladder cuff; TUBC: Transurethral incision of the bladder cuff.</w:t>
      </w:r>
    </w:p>
    <w:p w14:paraId="519B37AF" w14:textId="77777777" w:rsidR="00CC0C82" w:rsidRPr="00074CC2" w:rsidRDefault="00CC0C82" w:rsidP="00E842BB">
      <w:pPr>
        <w:snapToGrid w:val="0"/>
        <w:spacing w:line="360" w:lineRule="auto"/>
        <w:jc w:val="both"/>
        <w:rPr>
          <w:rFonts w:ascii="Book Antiqua" w:hAnsi="Book Antiqua"/>
          <w:b/>
          <w:bCs/>
        </w:rPr>
      </w:pPr>
      <w:r w:rsidRPr="00074CC2">
        <w:rPr>
          <w:rFonts w:ascii="Book Antiqua" w:eastAsia="Book Antiqua" w:hAnsi="Book Antiqua" w:cs="Book Antiqua"/>
          <w:color w:val="000000"/>
        </w:rPr>
        <w:br w:type="page"/>
      </w:r>
      <w:bookmarkStart w:id="30" w:name="_Hlk50826822"/>
      <w:r w:rsidRPr="00074CC2">
        <w:rPr>
          <w:rFonts w:ascii="Book Antiqua" w:hAnsi="Book Antiqua"/>
          <w:b/>
          <w:bCs/>
        </w:rPr>
        <w:lastRenderedPageBreak/>
        <w:t>Table 1 Baseline characters of all patients treated with radical nephroureterectomy for upper urinary tract urothelial carcinoma</w:t>
      </w:r>
    </w:p>
    <w:tbl>
      <w:tblPr>
        <w:tblStyle w:val="41"/>
        <w:tblW w:w="0" w:type="auto"/>
        <w:tblLook w:val="04A0" w:firstRow="1" w:lastRow="0" w:firstColumn="1" w:lastColumn="0" w:noHBand="0" w:noVBand="1"/>
      </w:tblPr>
      <w:tblGrid>
        <w:gridCol w:w="2299"/>
        <w:gridCol w:w="1233"/>
        <w:gridCol w:w="1370"/>
        <w:gridCol w:w="1266"/>
        <w:gridCol w:w="1370"/>
        <w:gridCol w:w="1102"/>
      </w:tblGrid>
      <w:tr w:rsidR="00CC0C82" w:rsidRPr="00074CC2" w14:paraId="28030E6A" w14:textId="77777777" w:rsidTr="003601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bottom w:val="single" w:sz="4" w:space="0" w:color="auto"/>
            </w:tcBorders>
            <w:shd w:val="clear" w:color="auto" w:fill="auto"/>
          </w:tcPr>
          <w:p w14:paraId="4AB41BD3" w14:textId="77777777" w:rsidR="00CC0C82" w:rsidRPr="00074CC2" w:rsidRDefault="00CC0C82" w:rsidP="00E842BB">
            <w:pPr>
              <w:snapToGrid w:val="0"/>
              <w:spacing w:line="360" w:lineRule="auto"/>
              <w:jc w:val="both"/>
              <w:rPr>
                <w:rFonts w:ascii="Book Antiqua" w:hAnsi="Book Antiqua" w:cs="Times New Roman"/>
              </w:rPr>
            </w:pPr>
            <w:r w:rsidRPr="00074CC2">
              <w:rPr>
                <w:rFonts w:ascii="Book Antiqua" w:hAnsi="Book Antiqua"/>
              </w:rPr>
              <w:t>Variable</w:t>
            </w:r>
          </w:p>
        </w:tc>
        <w:tc>
          <w:tcPr>
            <w:tcW w:w="1250" w:type="dxa"/>
            <w:tcBorders>
              <w:top w:val="single" w:sz="4" w:space="0" w:color="auto"/>
              <w:bottom w:val="single" w:sz="4" w:space="0" w:color="auto"/>
            </w:tcBorders>
            <w:shd w:val="clear" w:color="auto" w:fill="auto"/>
          </w:tcPr>
          <w:p w14:paraId="5A2A2A87" w14:textId="23E9D125" w:rsidR="00CC0C82" w:rsidRPr="00074CC2" w:rsidRDefault="00CC0C82" w:rsidP="00E842B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074CC2">
              <w:rPr>
                <w:rFonts w:ascii="Book Antiqua" w:hAnsi="Book Antiqua"/>
              </w:rPr>
              <w:t>All patients</w:t>
            </w:r>
            <w:r w:rsidR="00407914" w:rsidRPr="00074CC2">
              <w:rPr>
                <w:rFonts w:ascii="Book Antiqua" w:hAnsi="Book Antiqua"/>
              </w:rPr>
              <w:t xml:space="preserve"> </w:t>
            </w:r>
            <w:r w:rsidRPr="00074CC2">
              <w:rPr>
                <w:rFonts w:ascii="Book Antiqua" w:hAnsi="Book Antiqua"/>
              </w:rPr>
              <w:t>(</w:t>
            </w:r>
            <w:r w:rsidRPr="00074CC2">
              <w:rPr>
                <w:rFonts w:ascii="Book Antiqua" w:hAnsi="Book Antiqua"/>
                <w:i/>
                <w:iCs/>
              </w:rPr>
              <w:t>n</w:t>
            </w:r>
            <w:r w:rsidR="00D264D2" w:rsidRPr="00074CC2">
              <w:rPr>
                <w:rFonts w:ascii="Book Antiqua" w:hAnsi="Book Antiqua"/>
              </w:rPr>
              <w:t xml:space="preserve"> </w:t>
            </w:r>
            <w:r w:rsidRPr="00074CC2">
              <w:rPr>
                <w:rFonts w:ascii="Book Antiqua" w:hAnsi="Book Antiqua"/>
              </w:rPr>
              <w:t>=</w:t>
            </w:r>
            <w:r w:rsidR="00D264D2" w:rsidRPr="00074CC2">
              <w:rPr>
                <w:rFonts w:ascii="Book Antiqua" w:hAnsi="Book Antiqua"/>
              </w:rPr>
              <w:t xml:space="preserve"> </w:t>
            </w:r>
            <w:r w:rsidRPr="00074CC2">
              <w:rPr>
                <w:rFonts w:ascii="Book Antiqua" w:hAnsi="Book Antiqua"/>
              </w:rPr>
              <w:t>248)</w:t>
            </w:r>
          </w:p>
        </w:tc>
        <w:tc>
          <w:tcPr>
            <w:tcW w:w="1412" w:type="dxa"/>
            <w:tcBorders>
              <w:top w:val="single" w:sz="4" w:space="0" w:color="auto"/>
              <w:bottom w:val="single" w:sz="4" w:space="0" w:color="auto"/>
            </w:tcBorders>
            <w:shd w:val="clear" w:color="auto" w:fill="auto"/>
          </w:tcPr>
          <w:p w14:paraId="23D7504A" w14:textId="7D1CC436" w:rsidR="00CC0C82" w:rsidRPr="00074CC2" w:rsidRDefault="00CC0C82" w:rsidP="00E842B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074CC2">
              <w:rPr>
                <w:rFonts w:ascii="Book Antiqua" w:hAnsi="Book Antiqua"/>
              </w:rPr>
              <w:t>IVBC group</w:t>
            </w:r>
            <w:r w:rsidR="00407914" w:rsidRPr="00074CC2">
              <w:rPr>
                <w:rFonts w:ascii="Book Antiqua" w:hAnsi="Book Antiqua"/>
              </w:rPr>
              <w:t xml:space="preserve"> </w:t>
            </w:r>
            <w:r w:rsidRPr="00074CC2">
              <w:rPr>
                <w:rFonts w:ascii="Book Antiqua" w:hAnsi="Book Antiqua"/>
              </w:rPr>
              <w:t>(</w:t>
            </w:r>
            <w:r w:rsidRPr="00074CC2">
              <w:rPr>
                <w:rFonts w:ascii="Book Antiqua" w:hAnsi="Book Antiqua"/>
                <w:i/>
                <w:iCs/>
              </w:rPr>
              <w:t>n</w:t>
            </w:r>
            <w:r w:rsidR="00D264D2" w:rsidRPr="00074CC2">
              <w:rPr>
                <w:rFonts w:ascii="Book Antiqua" w:hAnsi="Book Antiqua"/>
              </w:rPr>
              <w:t xml:space="preserve"> </w:t>
            </w:r>
            <w:r w:rsidRPr="00074CC2">
              <w:rPr>
                <w:rFonts w:ascii="Book Antiqua" w:hAnsi="Book Antiqua"/>
              </w:rPr>
              <w:t>=</w:t>
            </w:r>
            <w:r w:rsidR="00D264D2" w:rsidRPr="00074CC2">
              <w:rPr>
                <w:rFonts w:ascii="Book Antiqua" w:hAnsi="Book Antiqua"/>
              </w:rPr>
              <w:t xml:space="preserve"> </w:t>
            </w:r>
            <w:r w:rsidRPr="00074CC2">
              <w:rPr>
                <w:rFonts w:ascii="Book Antiqua" w:hAnsi="Book Antiqua"/>
              </w:rPr>
              <w:t>99)</w:t>
            </w:r>
          </w:p>
        </w:tc>
        <w:tc>
          <w:tcPr>
            <w:tcW w:w="1314" w:type="dxa"/>
            <w:tcBorders>
              <w:top w:val="single" w:sz="4" w:space="0" w:color="auto"/>
              <w:bottom w:val="single" w:sz="4" w:space="0" w:color="auto"/>
            </w:tcBorders>
            <w:shd w:val="clear" w:color="auto" w:fill="auto"/>
          </w:tcPr>
          <w:p w14:paraId="47B2EC3F" w14:textId="7FC9D48E" w:rsidR="00CC0C82" w:rsidRPr="00074CC2" w:rsidRDefault="00CC0C82" w:rsidP="00E842B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074CC2">
              <w:rPr>
                <w:rFonts w:ascii="Book Antiqua" w:hAnsi="Book Antiqua"/>
              </w:rPr>
              <w:t>EVBC group</w:t>
            </w:r>
            <w:r w:rsidR="00407914" w:rsidRPr="00074CC2">
              <w:rPr>
                <w:rFonts w:ascii="Book Antiqua" w:hAnsi="Book Antiqua"/>
              </w:rPr>
              <w:t xml:space="preserve"> </w:t>
            </w:r>
            <w:r w:rsidRPr="00074CC2">
              <w:rPr>
                <w:rFonts w:ascii="Book Antiqua" w:hAnsi="Book Antiqua"/>
              </w:rPr>
              <w:t>(</w:t>
            </w:r>
            <w:r w:rsidRPr="00074CC2">
              <w:rPr>
                <w:rFonts w:ascii="Book Antiqua" w:hAnsi="Book Antiqua"/>
                <w:i/>
                <w:iCs/>
              </w:rPr>
              <w:t>n</w:t>
            </w:r>
            <w:r w:rsidR="00D264D2" w:rsidRPr="00074CC2">
              <w:rPr>
                <w:rFonts w:ascii="Book Antiqua" w:hAnsi="Book Antiqua"/>
              </w:rPr>
              <w:t xml:space="preserve"> </w:t>
            </w:r>
            <w:r w:rsidRPr="00074CC2">
              <w:rPr>
                <w:rFonts w:ascii="Book Antiqua" w:hAnsi="Book Antiqua"/>
              </w:rPr>
              <w:t>=</w:t>
            </w:r>
            <w:r w:rsidR="00D264D2" w:rsidRPr="00074CC2">
              <w:rPr>
                <w:rFonts w:ascii="Book Antiqua" w:hAnsi="Book Antiqua"/>
              </w:rPr>
              <w:t xml:space="preserve"> </w:t>
            </w:r>
            <w:r w:rsidRPr="00074CC2">
              <w:rPr>
                <w:rFonts w:ascii="Book Antiqua" w:hAnsi="Book Antiqua"/>
              </w:rPr>
              <w:t>96)</w:t>
            </w:r>
          </w:p>
        </w:tc>
        <w:tc>
          <w:tcPr>
            <w:tcW w:w="1412" w:type="dxa"/>
            <w:tcBorders>
              <w:top w:val="single" w:sz="4" w:space="0" w:color="auto"/>
              <w:bottom w:val="single" w:sz="4" w:space="0" w:color="auto"/>
            </w:tcBorders>
            <w:shd w:val="clear" w:color="auto" w:fill="auto"/>
          </w:tcPr>
          <w:p w14:paraId="373FF2E7" w14:textId="6A706804" w:rsidR="00CC0C82" w:rsidRPr="00074CC2" w:rsidRDefault="00CC0C82" w:rsidP="00E842B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074CC2">
              <w:rPr>
                <w:rFonts w:ascii="Book Antiqua" w:hAnsi="Book Antiqua"/>
              </w:rPr>
              <w:t>TVBC group (</w:t>
            </w:r>
            <w:r w:rsidRPr="00074CC2">
              <w:rPr>
                <w:rFonts w:ascii="Book Antiqua" w:hAnsi="Book Antiqua"/>
                <w:i/>
                <w:iCs/>
              </w:rPr>
              <w:t>n</w:t>
            </w:r>
            <w:r w:rsidR="00D264D2" w:rsidRPr="00074CC2">
              <w:rPr>
                <w:rFonts w:ascii="Book Antiqua" w:hAnsi="Book Antiqua"/>
              </w:rPr>
              <w:t xml:space="preserve"> </w:t>
            </w:r>
            <w:r w:rsidRPr="00074CC2">
              <w:rPr>
                <w:rFonts w:ascii="Book Antiqua" w:hAnsi="Book Antiqua"/>
              </w:rPr>
              <w:t>=</w:t>
            </w:r>
            <w:r w:rsidR="00D264D2" w:rsidRPr="00074CC2">
              <w:rPr>
                <w:rFonts w:ascii="Book Antiqua" w:hAnsi="Book Antiqua"/>
              </w:rPr>
              <w:t xml:space="preserve"> </w:t>
            </w:r>
            <w:r w:rsidRPr="00074CC2">
              <w:rPr>
                <w:rFonts w:ascii="Book Antiqua" w:hAnsi="Book Antiqua"/>
              </w:rPr>
              <w:t>53)</w:t>
            </w:r>
          </w:p>
        </w:tc>
        <w:tc>
          <w:tcPr>
            <w:tcW w:w="1138" w:type="dxa"/>
            <w:tcBorders>
              <w:top w:val="single" w:sz="4" w:space="0" w:color="auto"/>
              <w:bottom w:val="single" w:sz="4" w:space="0" w:color="auto"/>
            </w:tcBorders>
            <w:shd w:val="clear" w:color="auto" w:fill="auto"/>
          </w:tcPr>
          <w:p w14:paraId="2B564789" w14:textId="4B5DD991" w:rsidR="00CC0C82" w:rsidRPr="00074CC2" w:rsidRDefault="00CC0C82" w:rsidP="00E842BB">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i/>
                <w:iCs/>
              </w:rPr>
            </w:pPr>
            <w:r w:rsidRPr="00074CC2">
              <w:rPr>
                <w:rFonts w:ascii="Book Antiqua" w:hAnsi="Book Antiqua"/>
                <w:i/>
                <w:iCs/>
              </w:rPr>
              <w:t>P</w:t>
            </w:r>
            <w:r w:rsidR="00407914" w:rsidRPr="00074CC2">
              <w:rPr>
                <w:rFonts w:ascii="Book Antiqua" w:hAnsi="Book Antiqua"/>
                <w:i/>
                <w:iCs/>
              </w:rPr>
              <w:t xml:space="preserve"> </w:t>
            </w:r>
            <w:r w:rsidR="00407914" w:rsidRPr="00074CC2">
              <w:rPr>
                <w:rFonts w:ascii="Book Antiqua" w:hAnsi="Book Antiqua"/>
                <w:iCs/>
              </w:rPr>
              <w:t>value</w:t>
            </w:r>
          </w:p>
        </w:tc>
      </w:tr>
      <w:tr w:rsidR="00CC0C82" w:rsidRPr="00074CC2" w14:paraId="3D49C231" w14:textId="77777777" w:rsidTr="0036013D">
        <w:tc>
          <w:tcPr>
            <w:cnfStyle w:val="001000000000" w:firstRow="0" w:lastRow="0" w:firstColumn="1" w:lastColumn="0" w:oddVBand="0" w:evenVBand="0" w:oddHBand="0" w:evenHBand="0" w:firstRowFirstColumn="0" w:firstRowLastColumn="0" w:lastRowFirstColumn="0" w:lastRowLastColumn="0"/>
            <w:tcW w:w="2330" w:type="dxa"/>
            <w:tcBorders>
              <w:top w:val="single" w:sz="4" w:space="0" w:color="auto"/>
            </w:tcBorders>
            <w:shd w:val="clear" w:color="auto" w:fill="auto"/>
          </w:tcPr>
          <w:p w14:paraId="184CC277"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Age</w:t>
            </w:r>
          </w:p>
        </w:tc>
        <w:tc>
          <w:tcPr>
            <w:tcW w:w="1250" w:type="dxa"/>
            <w:tcBorders>
              <w:top w:val="single" w:sz="4" w:space="0" w:color="auto"/>
            </w:tcBorders>
            <w:shd w:val="clear" w:color="auto" w:fill="auto"/>
          </w:tcPr>
          <w:p w14:paraId="53CD0D6C"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tcBorders>
              <w:top w:val="single" w:sz="4" w:space="0" w:color="auto"/>
            </w:tcBorders>
            <w:shd w:val="clear" w:color="auto" w:fill="auto"/>
          </w:tcPr>
          <w:p w14:paraId="7C88B8E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tcBorders>
              <w:top w:val="single" w:sz="4" w:space="0" w:color="auto"/>
            </w:tcBorders>
            <w:shd w:val="clear" w:color="auto" w:fill="auto"/>
          </w:tcPr>
          <w:p w14:paraId="242B745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tcBorders>
              <w:top w:val="single" w:sz="4" w:space="0" w:color="auto"/>
            </w:tcBorders>
            <w:shd w:val="clear" w:color="auto" w:fill="auto"/>
          </w:tcPr>
          <w:p w14:paraId="321B7E2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tcBorders>
              <w:top w:val="single" w:sz="4" w:space="0" w:color="auto"/>
            </w:tcBorders>
            <w:shd w:val="clear" w:color="auto" w:fill="auto"/>
          </w:tcPr>
          <w:p w14:paraId="63C2A53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5B23D864"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51ABB202" w14:textId="6B19B7AC" w:rsidR="00CC0C82" w:rsidRPr="00074CC2" w:rsidRDefault="00407914"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&lt;</w:t>
            </w:r>
            <w:r w:rsidR="00D264D2" w:rsidRPr="00074CC2">
              <w:rPr>
                <w:rFonts w:ascii="Book Antiqua" w:hAnsi="Book Antiqua"/>
              </w:rPr>
              <w:t xml:space="preserve"> </w:t>
            </w:r>
            <w:r w:rsidR="00CC0C82" w:rsidRPr="00074CC2">
              <w:rPr>
                <w:rFonts w:ascii="Book Antiqua" w:hAnsi="Book Antiqua"/>
              </w:rPr>
              <w:t xml:space="preserve">70 </w:t>
            </w:r>
            <w:proofErr w:type="spellStart"/>
            <w:r w:rsidR="00CC0C82" w:rsidRPr="00074CC2">
              <w:rPr>
                <w:rFonts w:ascii="Book Antiqua" w:hAnsi="Book Antiqua"/>
              </w:rPr>
              <w:t>yr</w:t>
            </w:r>
            <w:proofErr w:type="spellEnd"/>
          </w:p>
        </w:tc>
        <w:tc>
          <w:tcPr>
            <w:tcW w:w="1250" w:type="dxa"/>
            <w:shd w:val="clear" w:color="auto" w:fill="auto"/>
          </w:tcPr>
          <w:p w14:paraId="42D8D94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128 (51.6)</w:t>
            </w:r>
          </w:p>
        </w:tc>
        <w:tc>
          <w:tcPr>
            <w:tcW w:w="1412" w:type="dxa"/>
            <w:shd w:val="clear" w:color="auto" w:fill="auto"/>
          </w:tcPr>
          <w:p w14:paraId="14138D59"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51 (51.5)</w:t>
            </w:r>
          </w:p>
        </w:tc>
        <w:tc>
          <w:tcPr>
            <w:tcW w:w="1314" w:type="dxa"/>
            <w:shd w:val="clear" w:color="auto" w:fill="auto"/>
          </w:tcPr>
          <w:p w14:paraId="4D22570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56 (58.3)</w:t>
            </w:r>
          </w:p>
        </w:tc>
        <w:tc>
          <w:tcPr>
            <w:tcW w:w="1412" w:type="dxa"/>
            <w:shd w:val="clear" w:color="auto" w:fill="auto"/>
          </w:tcPr>
          <w:p w14:paraId="3971EDF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21 (39.6)</w:t>
            </w:r>
          </w:p>
        </w:tc>
        <w:tc>
          <w:tcPr>
            <w:tcW w:w="1138" w:type="dxa"/>
            <w:shd w:val="clear" w:color="auto" w:fill="auto"/>
          </w:tcPr>
          <w:p w14:paraId="62C282E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0.09</w:t>
            </w:r>
          </w:p>
        </w:tc>
      </w:tr>
      <w:tr w:rsidR="00CC0C82" w:rsidRPr="00074CC2" w14:paraId="012DEE46"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09314854" w14:textId="5050232E"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hint="eastAsia"/>
              </w:rPr>
              <w:t>≥</w:t>
            </w:r>
            <w:r w:rsidR="00D264D2" w:rsidRPr="00074CC2">
              <w:rPr>
                <w:rFonts w:ascii="Book Antiqua" w:hAnsi="Book Antiqua"/>
              </w:rPr>
              <w:t xml:space="preserve"> </w:t>
            </w:r>
            <w:r w:rsidRPr="00074CC2">
              <w:rPr>
                <w:rFonts w:ascii="Book Antiqua" w:hAnsi="Book Antiqua"/>
              </w:rPr>
              <w:t xml:space="preserve">70 </w:t>
            </w:r>
            <w:proofErr w:type="spellStart"/>
            <w:r w:rsidRPr="00074CC2">
              <w:rPr>
                <w:rFonts w:ascii="Book Antiqua" w:hAnsi="Book Antiqua"/>
              </w:rPr>
              <w:t>yr</w:t>
            </w:r>
            <w:proofErr w:type="spellEnd"/>
          </w:p>
        </w:tc>
        <w:tc>
          <w:tcPr>
            <w:tcW w:w="1250" w:type="dxa"/>
            <w:shd w:val="clear" w:color="auto" w:fill="auto"/>
          </w:tcPr>
          <w:p w14:paraId="42B0636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120 (48.4)</w:t>
            </w:r>
          </w:p>
        </w:tc>
        <w:tc>
          <w:tcPr>
            <w:tcW w:w="1412" w:type="dxa"/>
            <w:shd w:val="clear" w:color="auto" w:fill="auto"/>
          </w:tcPr>
          <w:p w14:paraId="03E1682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48 (48.5)</w:t>
            </w:r>
          </w:p>
        </w:tc>
        <w:tc>
          <w:tcPr>
            <w:tcW w:w="1314" w:type="dxa"/>
            <w:shd w:val="clear" w:color="auto" w:fill="auto"/>
          </w:tcPr>
          <w:p w14:paraId="7965EA9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40 (41.7)</w:t>
            </w:r>
          </w:p>
        </w:tc>
        <w:tc>
          <w:tcPr>
            <w:tcW w:w="1412" w:type="dxa"/>
            <w:shd w:val="clear" w:color="auto" w:fill="auto"/>
          </w:tcPr>
          <w:p w14:paraId="55E6CE0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32 (60.4)</w:t>
            </w:r>
          </w:p>
        </w:tc>
        <w:tc>
          <w:tcPr>
            <w:tcW w:w="1138" w:type="dxa"/>
            <w:shd w:val="clear" w:color="auto" w:fill="auto"/>
          </w:tcPr>
          <w:p w14:paraId="127A843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0E376938"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5A1A95D2"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ASA</w:t>
            </w:r>
          </w:p>
        </w:tc>
        <w:tc>
          <w:tcPr>
            <w:tcW w:w="1250" w:type="dxa"/>
            <w:shd w:val="clear" w:color="auto" w:fill="auto"/>
          </w:tcPr>
          <w:p w14:paraId="48F2817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1A5C9D6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6E101C1C"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7B13633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31D3322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5ACE92D6"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7ECC5086" w14:textId="54D8DB19"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I</w:t>
            </w:r>
          </w:p>
        </w:tc>
        <w:tc>
          <w:tcPr>
            <w:tcW w:w="1250" w:type="dxa"/>
            <w:shd w:val="clear" w:color="auto" w:fill="auto"/>
          </w:tcPr>
          <w:p w14:paraId="7F3A13F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23 (9.3)</w:t>
            </w:r>
          </w:p>
        </w:tc>
        <w:tc>
          <w:tcPr>
            <w:tcW w:w="1412" w:type="dxa"/>
            <w:shd w:val="clear" w:color="auto" w:fill="auto"/>
          </w:tcPr>
          <w:p w14:paraId="721C211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9 (9.1)</w:t>
            </w:r>
          </w:p>
        </w:tc>
        <w:tc>
          <w:tcPr>
            <w:tcW w:w="1314" w:type="dxa"/>
            <w:shd w:val="clear" w:color="auto" w:fill="auto"/>
          </w:tcPr>
          <w:p w14:paraId="3C2DC0F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10 (10.4)</w:t>
            </w:r>
          </w:p>
        </w:tc>
        <w:tc>
          <w:tcPr>
            <w:tcW w:w="1412" w:type="dxa"/>
            <w:shd w:val="clear" w:color="auto" w:fill="auto"/>
          </w:tcPr>
          <w:p w14:paraId="4251000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 (7.5)</w:t>
            </w:r>
          </w:p>
        </w:tc>
        <w:tc>
          <w:tcPr>
            <w:tcW w:w="1138" w:type="dxa"/>
            <w:shd w:val="clear" w:color="auto" w:fill="auto"/>
          </w:tcPr>
          <w:p w14:paraId="387AD1C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0.07</w:t>
            </w:r>
          </w:p>
        </w:tc>
      </w:tr>
      <w:tr w:rsidR="00CC0C82" w:rsidRPr="00074CC2" w14:paraId="6FFF7DA7"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1E409E3"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II</w:t>
            </w:r>
          </w:p>
        </w:tc>
        <w:tc>
          <w:tcPr>
            <w:tcW w:w="1250" w:type="dxa"/>
            <w:shd w:val="clear" w:color="auto" w:fill="auto"/>
          </w:tcPr>
          <w:p w14:paraId="645C23C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167 (67.3)</w:t>
            </w:r>
          </w:p>
        </w:tc>
        <w:tc>
          <w:tcPr>
            <w:tcW w:w="1412" w:type="dxa"/>
            <w:shd w:val="clear" w:color="auto" w:fill="auto"/>
          </w:tcPr>
          <w:p w14:paraId="3DD4783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68 (68.7)</w:t>
            </w:r>
          </w:p>
        </w:tc>
        <w:tc>
          <w:tcPr>
            <w:tcW w:w="1314" w:type="dxa"/>
            <w:shd w:val="clear" w:color="auto" w:fill="auto"/>
          </w:tcPr>
          <w:p w14:paraId="1B15567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70 (72.9)</w:t>
            </w:r>
          </w:p>
        </w:tc>
        <w:tc>
          <w:tcPr>
            <w:tcW w:w="1412" w:type="dxa"/>
            <w:shd w:val="clear" w:color="auto" w:fill="auto"/>
          </w:tcPr>
          <w:p w14:paraId="1CA2BD5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29 (54.7)</w:t>
            </w:r>
          </w:p>
        </w:tc>
        <w:tc>
          <w:tcPr>
            <w:tcW w:w="1138" w:type="dxa"/>
            <w:shd w:val="clear" w:color="auto" w:fill="auto"/>
          </w:tcPr>
          <w:p w14:paraId="2A468F9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7AC7DEF0"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37845BCA"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III</w:t>
            </w:r>
          </w:p>
        </w:tc>
        <w:tc>
          <w:tcPr>
            <w:tcW w:w="1250" w:type="dxa"/>
            <w:shd w:val="clear" w:color="auto" w:fill="auto"/>
          </w:tcPr>
          <w:p w14:paraId="6BC2326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58 (23.4)</w:t>
            </w:r>
          </w:p>
        </w:tc>
        <w:tc>
          <w:tcPr>
            <w:tcW w:w="1412" w:type="dxa"/>
            <w:shd w:val="clear" w:color="auto" w:fill="auto"/>
          </w:tcPr>
          <w:p w14:paraId="14150B2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22 (22.2)</w:t>
            </w:r>
          </w:p>
        </w:tc>
        <w:tc>
          <w:tcPr>
            <w:tcW w:w="1314" w:type="dxa"/>
            <w:shd w:val="clear" w:color="auto" w:fill="auto"/>
          </w:tcPr>
          <w:p w14:paraId="065916A9"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16 (16.7)</w:t>
            </w:r>
          </w:p>
        </w:tc>
        <w:tc>
          <w:tcPr>
            <w:tcW w:w="1412" w:type="dxa"/>
            <w:shd w:val="clear" w:color="auto" w:fill="auto"/>
          </w:tcPr>
          <w:p w14:paraId="22C6F5D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20 (37.7)</w:t>
            </w:r>
          </w:p>
        </w:tc>
        <w:tc>
          <w:tcPr>
            <w:tcW w:w="1138" w:type="dxa"/>
            <w:shd w:val="clear" w:color="auto" w:fill="auto"/>
          </w:tcPr>
          <w:p w14:paraId="45D0EAA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78D7D4E9"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60C09333"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Gender</w:t>
            </w:r>
          </w:p>
        </w:tc>
        <w:tc>
          <w:tcPr>
            <w:tcW w:w="1250" w:type="dxa"/>
            <w:shd w:val="clear" w:color="auto" w:fill="auto"/>
          </w:tcPr>
          <w:p w14:paraId="56DBE8A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4D79932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4C0E3CD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5941EF5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518866A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0FDC3986"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0B0FD53A"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Male</w:t>
            </w:r>
          </w:p>
        </w:tc>
        <w:tc>
          <w:tcPr>
            <w:tcW w:w="1250" w:type="dxa"/>
            <w:shd w:val="clear" w:color="auto" w:fill="auto"/>
          </w:tcPr>
          <w:p w14:paraId="7973B8C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122 (49.2)</w:t>
            </w:r>
          </w:p>
        </w:tc>
        <w:tc>
          <w:tcPr>
            <w:tcW w:w="1412" w:type="dxa"/>
            <w:shd w:val="clear" w:color="auto" w:fill="auto"/>
          </w:tcPr>
          <w:p w14:paraId="6785B38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52 (52.5)</w:t>
            </w:r>
          </w:p>
        </w:tc>
        <w:tc>
          <w:tcPr>
            <w:tcW w:w="1314" w:type="dxa"/>
            <w:shd w:val="clear" w:color="auto" w:fill="auto"/>
          </w:tcPr>
          <w:p w14:paraId="0F44B26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46 (47.9)</w:t>
            </w:r>
          </w:p>
        </w:tc>
        <w:tc>
          <w:tcPr>
            <w:tcW w:w="1412" w:type="dxa"/>
            <w:shd w:val="clear" w:color="auto" w:fill="auto"/>
          </w:tcPr>
          <w:p w14:paraId="597C34D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24 (45.3)</w:t>
            </w:r>
          </w:p>
        </w:tc>
        <w:tc>
          <w:tcPr>
            <w:tcW w:w="1138" w:type="dxa"/>
            <w:shd w:val="clear" w:color="auto" w:fill="auto"/>
          </w:tcPr>
          <w:p w14:paraId="0D04E54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0.66</w:t>
            </w:r>
          </w:p>
        </w:tc>
      </w:tr>
      <w:tr w:rsidR="00CC0C82" w:rsidRPr="00074CC2" w14:paraId="3B39B7E3"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0E9778AA"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Female</w:t>
            </w:r>
          </w:p>
        </w:tc>
        <w:tc>
          <w:tcPr>
            <w:tcW w:w="1250" w:type="dxa"/>
            <w:shd w:val="clear" w:color="auto" w:fill="auto"/>
          </w:tcPr>
          <w:p w14:paraId="63FCC0F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126 (50.8)</w:t>
            </w:r>
          </w:p>
        </w:tc>
        <w:tc>
          <w:tcPr>
            <w:tcW w:w="1412" w:type="dxa"/>
            <w:shd w:val="clear" w:color="auto" w:fill="auto"/>
          </w:tcPr>
          <w:p w14:paraId="728387D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47 (47.5)</w:t>
            </w:r>
          </w:p>
        </w:tc>
        <w:tc>
          <w:tcPr>
            <w:tcW w:w="1314" w:type="dxa"/>
            <w:shd w:val="clear" w:color="auto" w:fill="auto"/>
          </w:tcPr>
          <w:p w14:paraId="3AFF213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50 (52.1)</w:t>
            </w:r>
          </w:p>
        </w:tc>
        <w:tc>
          <w:tcPr>
            <w:tcW w:w="1412" w:type="dxa"/>
            <w:shd w:val="clear" w:color="auto" w:fill="auto"/>
          </w:tcPr>
          <w:p w14:paraId="68AA1A3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29 (54.7)</w:t>
            </w:r>
          </w:p>
        </w:tc>
        <w:tc>
          <w:tcPr>
            <w:tcW w:w="1138" w:type="dxa"/>
            <w:shd w:val="clear" w:color="auto" w:fill="auto"/>
          </w:tcPr>
          <w:p w14:paraId="60BC84A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0E251B57" w14:textId="77777777" w:rsidTr="0036013D">
        <w:trPr>
          <w:trHeight w:val="175"/>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3050424D"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Smoke</w:t>
            </w:r>
          </w:p>
        </w:tc>
        <w:tc>
          <w:tcPr>
            <w:tcW w:w="1250" w:type="dxa"/>
            <w:shd w:val="clear" w:color="auto" w:fill="auto"/>
          </w:tcPr>
          <w:p w14:paraId="120C5EB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7F9A44A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5C49BBD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13B9532C"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47B88DC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695E5EBB"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096839D"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No</w:t>
            </w:r>
          </w:p>
        </w:tc>
        <w:tc>
          <w:tcPr>
            <w:tcW w:w="1250" w:type="dxa"/>
            <w:shd w:val="clear" w:color="auto" w:fill="auto"/>
          </w:tcPr>
          <w:p w14:paraId="694401E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204 (82.3)</w:t>
            </w:r>
          </w:p>
        </w:tc>
        <w:tc>
          <w:tcPr>
            <w:tcW w:w="1412" w:type="dxa"/>
            <w:shd w:val="clear" w:color="auto" w:fill="auto"/>
          </w:tcPr>
          <w:p w14:paraId="710A4CB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79 (79.8)</w:t>
            </w:r>
          </w:p>
        </w:tc>
        <w:tc>
          <w:tcPr>
            <w:tcW w:w="1314" w:type="dxa"/>
            <w:shd w:val="clear" w:color="auto" w:fill="auto"/>
          </w:tcPr>
          <w:p w14:paraId="332DF919"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83 (86.5)</w:t>
            </w:r>
            <w:r w:rsidRPr="00074CC2">
              <w:rPr>
                <w:rFonts w:ascii="Book Antiqua" w:hAnsi="Book Antiqua"/>
              </w:rPr>
              <w:tab/>
            </w:r>
          </w:p>
        </w:tc>
        <w:tc>
          <w:tcPr>
            <w:tcW w:w="1412" w:type="dxa"/>
            <w:shd w:val="clear" w:color="auto" w:fill="auto"/>
          </w:tcPr>
          <w:p w14:paraId="05BA0E3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42 (79.2)</w:t>
            </w:r>
          </w:p>
        </w:tc>
        <w:tc>
          <w:tcPr>
            <w:tcW w:w="1138" w:type="dxa"/>
            <w:shd w:val="clear" w:color="auto" w:fill="auto"/>
          </w:tcPr>
          <w:p w14:paraId="4DC067E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0.39</w:t>
            </w:r>
          </w:p>
        </w:tc>
      </w:tr>
      <w:tr w:rsidR="00CC0C82" w:rsidRPr="00074CC2" w14:paraId="17CE72D1"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64652205"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Yes</w:t>
            </w:r>
          </w:p>
        </w:tc>
        <w:tc>
          <w:tcPr>
            <w:tcW w:w="1250" w:type="dxa"/>
            <w:shd w:val="clear" w:color="auto" w:fill="auto"/>
          </w:tcPr>
          <w:p w14:paraId="16D6FDD9" w14:textId="40064A62" w:rsidR="00CC0C82" w:rsidRPr="00074CC2" w:rsidRDefault="0036013D"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44 (17.7)</w:t>
            </w:r>
          </w:p>
        </w:tc>
        <w:tc>
          <w:tcPr>
            <w:tcW w:w="1412" w:type="dxa"/>
            <w:shd w:val="clear" w:color="auto" w:fill="auto"/>
          </w:tcPr>
          <w:p w14:paraId="50D5341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20 (20.2)</w:t>
            </w:r>
          </w:p>
        </w:tc>
        <w:tc>
          <w:tcPr>
            <w:tcW w:w="1314" w:type="dxa"/>
            <w:shd w:val="clear" w:color="auto" w:fill="auto"/>
          </w:tcPr>
          <w:p w14:paraId="1E3D24E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13 (13.5)</w:t>
            </w:r>
          </w:p>
        </w:tc>
        <w:tc>
          <w:tcPr>
            <w:tcW w:w="1412" w:type="dxa"/>
            <w:shd w:val="clear" w:color="auto" w:fill="auto"/>
          </w:tcPr>
          <w:p w14:paraId="2ABDD97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11 (20.8)</w:t>
            </w:r>
          </w:p>
        </w:tc>
        <w:tc>
          <w:tcPr>
            <w:tcW w:w="1138" w:type="dxa"/>
            <w:shd w:val="clear" w:color="auto" w:fill="auto"/>
          </w:tcPr>
          <w:p w14:paraId="504C3D09"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5DD80B67"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661768A8"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Gross hematuria</w:t>
            </w:r>
          </w:p>
        </w:tc>
        <w:tc>
          <w:tcPr>
            <w:tcW w:w="1250" w:type="dxa"/>
            <w:shd w:val="clear" w:color="auto" w:fill="auto"/>
          </w:tcPr>
          <w:p w14:paraId="2B16DFB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2791D59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20BBAE5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5B1CFB9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01EC35C9"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79334067"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43A4EC7"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No</w:t>
            </w:r>
          </w:p>
        </w:tc>
        <w:tc>
          <w:tcPr>
            <w:tcW w:w="1250" w:type="dxa"/>
            <w:shd w:val="clear" w:color="auto" w:fill="auto"/>
          </w:tcPr>
          <w:p w14:paraId="0BED096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79 (31.9)</w:t>
            </w:r>
          </w:p>
        </w:tc>
        <w:tc>
          <w:tcPr>
            <w:tcW w:w="1412" w:type="dxa"/>
            <w:shd w:val="clear" w:color="auto" w:fill="auto"/>
          </w:tcPr>
          <w:p w14:paraId="1F8E777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31 (31.3)</w:t>
            </w:r>
          </w:p>
        </w:tc>
        <w:tc>
          <w:tcPr>
            <w:tcW w:w="1314" w:type="dxa"/>
            <w:shd w:val="clear" w:color="auto" w:fill="auto"/>
          </w:tcPr>
          <w:p w14:paraId="378A72F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28 (29.2)</w:t>
            </w:r>
          </w:p>
        </w:tc>
        <w:tc>
          <w:tcPr>
            <w:tcW w:w="1412" w:type="dxa"/>
            <w:shd w:val="clear" w:color="auto" w:fill="auto"/>
          </w:tcPr>
          <w:p w14:paraId="556939E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20 (37.7)</w:t>
            </w:r>
          </w:p>
        </w:tc>
        <w:tc>
          <w:tcPr>
            <w:tcW w:w="1138" w:type="dxa"/>
            <w:shd w:val="clear" w:color="auto" w:fill="auto"/>
          </w:tcPr>
          <w:p w14:paraId="40E0554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0.56</w:t>
            </w:r>
          </w:p>
        </w:tc>
      </w:tr>
      <w:tr w:rsidR="00CC0C82" w:rsidRPr="00074CC2" w14:paraId="2F36086C"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3E3AAC8C"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Yes</w:t>
            </w:r>
          </w:p>
        </w:tc>
        <w:tc>
          <w:tcPr>
            <w:tcW w:w="1250" w:type="dxa"/>
            <w:shd w:val="clear" w:color="auto" w:fill="auto"/>
          </w:tcPr>
          <w:p w14:paraId="6BFA5DE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169 (68.1)</w:t>
            </w:r>
          </w:p>
        </w:tc>
        <w:tc>
          <w:tcPr>
            <w:tcW w:w="1412" w:type="dxa"/>
            <w:shd w:val="clear" w:color="auto" w:fill="auto"/>
          </w:tcPr>
          <w:p w14:paraId="7EF09DE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68 (68.7)</w:t>
            </w:r>
          </w:p>
        </w:tc>
        <w:tc>
          <w:tcPr>
            <w:tcW w:w="1314" w:type="dxa"/>
            <w:shd w:val="clear" w:color="auto" w:fill="auto"/>
          </w:tcPr>
          <w:p w14:paraId="6FE7DD5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68 (70.8)</w:t>
            </w:r>
          </w:p>
        </w:tc>
        <w:tc>
          <w:tcPr>
            <w:tcW w:w="1412" w:type="dxa"/>
            <w:shd w:val="clear" w:color="auto" w:fill="auto"/>
          </w:tcPr>
          <w:p w14:paraId="2D228A9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33 (62.3)</w:t>
            </w:r>
          </w:p>
        </w:tc>
        <w:tc>
          <w:tcPr>
            <w:tcW w:w="1138" w:type="dxa"/>
            <w:shd w:val="clear" w:color="auto" w:fill="auto"/>
          </w:tcPr>
          <w:p w14:paraId="212BFA8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44E45B40"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6EDDDBE"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Urinary cytology</w:t>
            </w:r>
          </w:p>
        </w:tc>
        <w:tc>
          <w:tcPr>
            <w:tcW w:w="1250" w:type="dxa"/>
            <w:shd w:val="clear" w:color="auto" w:fill="auto"/>
          </w:tcPr>
          <w:p w14:paraId="2E6098F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4AD8240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60E9F4A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0A5BB70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7B88A9B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7C5650BB"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078D8AE2"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Negative</w:t>
            </w:r>
          </w:p>
        </w:tc>
        <w:tc>
          <w:tcPr>
            <w:tcW w:w="1250" w:type="dxa"/>
            <w:shd w:val="clear" w:color="auto" w:fill="auto"/>
          </w:tcPr>
          <w:p w14:paraId="5C15B16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77 (31.0)</w:t>
            </w:r>
          </w:p>
        </w:tc>
        <w:tc>
          <w:tcPr>
            <w:tcW w:w="1412" w:type="dxa"/>
            <w:shd w:val="clear" w:color="auto" w:fill="auto"/>
          </w:tcPr>
          <w:p w14:paraId="4743AA3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28 (28.3)</w:t>
            </w:r>
          </w:p>
        </w:tc>
        <w:tc>
          <w:tcPr>
            <w:tcW w:w="1314" w:type="dxa"/>
            <w:shd w:val="clear" w:color="auto" w:fill="auto"/>
          </w:tcPr>
          <w:p w14:paraId="09E4D14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34 (35.4)</w:t>
            </w:r>
          </w:p>
        </w:tc>
        <w:tc>
          <w:tcPr>
            <w:tcW w:w="1412" w:type="dxa"/>
            <w:shd w:val="clear" w:color="auto" w:fill="auto"/>
          </w:tcPr>
          <w:p w14:paraId="2A3C479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15 (28.3)</w:t>
            </w:r>
          </w:p>
        </w:tc>
        <w:tc>
          <w:tcPr>
            <w:tcW w:w="1138" w:type="dxa"/>
            <w:shd w:val="clear" w:color="auto" w:fill="auto"/>
          </w:tcPr>
          <w:p w14:paraId="659410D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0.50</w:t>
            </w:r>
          </w:p>
        </w:tc>
      </w:tr>
      <w:tr w:rsidR="00CC0C82" w:rsidRPr="00074CC2" w14:paraId="5B1F4F48"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16640D39"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Positive</w:t>
            </w:r>
          </w:p>
        </w:tc>
        <w:tc>
          <w:tcPr>
            <w:tcW w:w="1250" w:type="dxa"/>
            <w:shd w:val="clear" w:color="auto" w:fill="auto"/>
          </w:tcPr>
          <w:p w14:paraId="175BFDC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171 (69.0)</w:t>
            </w:r>
          </w:p>
        </w:tc>
        <w:tc>
          <w:tcPr>
            <w:tcW w:w="1412" w:type="dxa"/>
            <w:shd w:val="clear" w:color="auto" w:fill="auto"/>
          </w:tcPr>
          <w:p w14:paraId="3F238C5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71(71.7)</w:t>
            </w:r>
          </w:p>
        </w:tc>
        <w:tc>
          <w:tcPr>
            <w:tcW w:w="1314" w:type="dxa"/>
            <w:shd w:val="clear" w:color="auto" w:fill="auto"/>
          </w:tcPr>
          <w:p w14:paraId="51CCBA2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62 (64.6)</w:t>
            </w:r>
          </w:p>
        </w:tc>
        <w:tc>
          <w:tcPr>
            <w:tcW w:w="1412" w:type="dxa"/>
            <w:shd w:val="clear" w:color="auto" w:fill="auto"/>
          </w:tcPr>
          <w:p w14:paraId="360E595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38 (71.7)</w:t>
            </w:r>
          </w:p>
        </w:tc>
        <w:tc>
          <w:tcPr>
            <w:tcW w:w="1138" w:type="dxa"/>
            <w:shd w:val="clear" w:color="auto" w:fill="auto"/>
          </w:tcPr>
          <w:p w14:paraId="5F870D8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56C23D04"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5B31696D"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Tumor side</w:t>
            </w:r>
          </w:p>
        </w:tc>
        <w:tc>
          <w:tcPr>
            <w:tcW w:w="1250" w:type="dxa"/>
            <w:shd w:val="clear" w:color="auto" w:fill="auto"/>
          </w:tcPr>
          <w:p w14:paraId="11A6667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37B6DF3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7D9D387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138BE2A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78830E2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10A0EDF9"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74AB964C"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Left</w:t>
            </w:r>
          </w:p>
        </w:tc>
        <w:tc>
          <w:tcPr>
            <w:tcW w:w="1250" w:type="dxa"/>
            <w:shd w:val="clear" w:color="auto" w:fill="auto"/>
          </w:tcPr>
          <w:p w14:paraId="75B1C54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134 (54.0)</w:t>
            </w:r>
          </w:p>
        </w:tc>
        <w:tc>
          <w:tcPr>
            <w:tcW w:w="1412" w:type="dxa"/>
            <w:shd w:val="clear" w:color="auto" w:fill="auto"/>
          </w:tcPr>
          <w:p w14:paraId="3FE98BA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50 (50.5)</w:t>
            </w:r>
          </w:p>
        </w:tc>
        <w:tc>
          <w:tcPr>
            <w:tcW w:w="1314" w:type="dxa"/>
            <w:shd w:val="clear" w:color="auto" w:fill="auto"/>
          </w:tcPr>
          <w:p w14:paraId="7D9F90A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52 (54.2)</w:t>
            </w:r>
          </w:p>
        </w:tc>
        <w:tc>
          <w:tcPr>
            <w:tcW w:w="1412" w:type="dxa"/>
            <w:shd w:val="clear" w:color="auto" w:fill="auto"/>
          </w:tcPr>
          <w:p w14:paraId="6D7D7B0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32 (60.4)</w:t>
            </w:r>
          </w:p>
        </w:tc>
        <w:tc>
          <w:tcPr>
            <w:tcW w:w="1138" w:type="dxa"/>
            <w:shd w:val="clear" w:color="auto" w:fill="auto"/>
          </w:tcPr>
          <w:p w14:paraId="01E6DC6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0.51</w:t>
            </w:r>
          </w:p>
        </w:tc>
      </w:tr>
      <w:tr w:rsidR="00CC0C82" w:rsidRPr="00074CC2" w14:paraId="0FD9A5FC"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08D62B8D"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Right</w:t>
            </w:r>
          </w:p>
        </w:tc>
        <w:tc>
          <w:tcPr>
            <w:tcW w:w="1250" w:type="dxa"/>
            <w:shd w:val="clear" w:color="auto" w:fill="auto"/>
          </w:tcPr>
          <w:p w14:paraId="1B516C4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114 (46.0)</w:t>
            </w:r>
          </w:p>
        </w:tc>
        <w:tc>
          <w:tcPr>
            <w:tcW w:w="1412" w:type="dxa"/>
            <w:shd w:val="clear" w:color="auto" w:fill="auto"/>
          </w:tcPr>
          <w:p w14:paraId="1DB3D88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49 (49.5)</w:t>
            </w:r>
          </w:p>
        </w:tc>
        <w:tc>
          <w:tcPr>
            <w:tcW w:w="1314" w:type="dxa"/>
            <w:shd w:val="clear" w:color="auto" w:fill="auto"/>
          </w:tcPr>
          <w:p w14:paraId="1785983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44 (45.8)</w:t>
            </w:r>
          </w:p>
        </w:tc>
        <w:tc>
          <w:tcPr>
            <w:tcW w:w="1412" w:type="dxa"/>
            <w:shd w:val="clear" w:color="auto" w:fill="auto"/>
          </w:tcPr>
          <w:p w14:paraId="7B2E520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21 (39.6)</w:t>
            </w:r>
          </w:p>
        </w:tc>
        <w:tc>
          <w:tcPr>
            <w:tcW w:w="1138" w:type="dxa"/>
            <w:shd w:val="clear" w:color="auto" w:fill="auto"/>
          </w:tcPr>
          <w:p w14:paraId="3B0D7F4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78DB6C7A"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2BC17570"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Tumor location</w:t>
            </w:r>
          </w:p>
        </w:tc>
        <w:tc>
          <w:tcPr>
            <w:tcW w:w="1250" w:type="dxa"/>
            <w:shd w:val="clear" w:color="auto" w:fill="auto"/>
          </w:tcPr>
          <w:p w14:paraId="37C308B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5031B20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1D87080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604B3CA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416272D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06D404C4"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14DD7923"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lastRenderedPageBreak/>
              <w:t>Renal pelvis</w:t>
            </w:r>
          </w:p>
        </w:tc>
        <w:tc>
          <w:tcPr>
            <w:tcW w:w="1250" w:type="dxa"/>
            <w:shd w:val="clear" w:color="auto" w:fill="auto"/>
          </w:tcPr>
          <w:p w14:paraId="0F7CEE1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111 (44.8)</w:t>
            </w:r>
          </w:p>
        </w:tc>
        <w:tc>
          <w:tcPr>
            <w:tcW w:w="1412" w:type="dxa"/>
            <w:shd w:val="clear" w:color="auto" w:fill="auto"/>
          </w:tcPr>
          <w:p w14:paraId="46C6889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37 (37.4)</w:t>
            </w:r>
          </w:p>
        </w:tc>
        <w:tc>
          <w:tcPr>
            <w:tcW w:w="1314" w:type="dxa"/>
            <w:shd w:val="clear" w:color="auto" w:fill="auto"/>
          </w:tcPr>
          <w:p w14:paraId="49724D4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42 (43.8)</w:t>
            </w:r>
          </w:p>
        </w:tc>
        <w:tc>
          <w:tcPr>
            <w:tcW w:w="1412" w:type="dxa"/>
            <w:shd w:val="clear" w:color="auto" w:fill="auto"/>
          </w:tcPr>
          <w:p w14:paraId="410BDA3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32 (60.4)</w:t>
            </w:r>
          </w:p>
        </w:tc>
        <w:tc>
          <w:tcPr>
            <w:tcW w:w="1138" w:type="dxa"/>
            <w:shd w:val="clear" w:color="auto" w:fill="auto"/>
          </w:tcPr>
          <w:p w14:paraId="7EBF2AA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0.03</w:t>
            </w:r>
          </w:p>
        </w:tc>
      </w:tr>
      <w:tr w:rsidR="00CC0C82" w:rsidRPr="00074CC2" w14:paraId="01D775E9"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0EC77A65"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Upper and middle ureter</w:t>
            </w:r>
          </w:p>
        </w:tc>
        <w:tc>
          <w:tcPr>
            <w:tcW w:w="1250" w:type="dxa"/>
            <w:shd w:val="clear" w:color="auto" w:fill="auto"/>
          </w:tcPr>
          <w:p w14:paraId="15AF281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66 (26.6)</w:t>
            </w:r>
          </w:p>
        </w:tc>
        <w:tc>
          <w:tcPr>
            <w:tcW w:w="1412" w:type="dxa"/>
            <w:shd w:val="clear" w:color="auto" w:fill="auto"/>
          </w:tcPr>
          <w:p w14:paraId="7BA1EB6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25 (25.3)</w:t>
            </w:r>
          </w:p>
        </w:tc>
        <w:tc>
          <w:tcPr>
            <w:tcW w:w="1314" w:type="dxa"/>
            <w:shd w:val="clear" w:color="auto" w:fill="auto"/>
          </w:tcPr>
          <w:p w14:paraId="0DD16BC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25 (26.0)</w:t>
            </w:r>
          </w:p>
        </w:tc>
        <w:tc>
          <w:tcPr>
            <w:tcW w:w="1412" w:type="dxa"/>
            <w:shd w:val="clear" w:color="auto" w:fill="auto"/>
          </w:tcPr>
          <w:p w14:paraId="361F4C3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16 (30.2)</w:t>
            </w:r>
          </w:p>
        </w:tc>
        <w:tc>
          <w:tcPr>
            <w:tcW w:w="1138" w:type="dxa"/>
            <w:shd w:val="clear" w:color="auto" w:fill="auto"/>
          </w:tcPr>
          <w:p w14:paraId="69BC8F6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214F5337"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1D3244A"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Lower ureter</w:t>
            </w:r>
          </w:p>
        </w:tc>
        <w:tc>
          <w:tcPr>
            <w:tcW w:w="1250" w:type="dxa"/>
            <w:shd w:val="clear" w:color="auto" w:fill="auto"/>
          </w:tcPr>
          <w:p w14:paraId="5C24110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49 (19.8)</w:t>
            </w:r>
          </w:p>
        </w:tc>
        <w:tc>
          <w:tcPr>
            <w:tcW w:w="1412" w:type="dxa"/>
            <w:shd w:val="clear" w:color="auto" w:fill="auto"/>
          </w:tcPr>
          <w:p w14:paraId="6EAD80A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26 (26.3)</w:t>
            </w:r>
          </w:p>
        </w:tc>
        <w:tc>
          <w:tcPr>
            <w:tcW w:w="1314" w:type="dxa"/>
            <w:shd w:val="clear" w:color="auto" w:fill="auto"/>
          </w:tcPr>
          <w:p w14:paraId="112E257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20 (20.8)</w:t>
            </w:r>
          </w:p>
        </w:tc>
        <w:tc>
          <w:tcPr>
            <w:tcW w:w="1412" w:type="dxa"/>
            <w:shd w:val="clear" w:color="auto" w:fill="auto"/>
          </w:tcPr>
          <w:p w14:paraId="326138E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 (5.7)</w:t>
            </w:r>
          </w:p>
        </w:tc>
        <w:tc>
          <w:tcPr>
            <w:tcW w:w="1138" w:type="dxa"/>
            <w:shd w:val="clear" w:color="auto" w:fill="auto"/>
          </w:tcPr>
          <w:p w14:paraId="56D0BF7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2B89FE9B"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7B3823EB"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Multiple</w:t>
            </w:r>
          </w:p>
        </w:tc>
        <w:tc>
          <w:tcPr>
            <w:tcW w:w="1250" w:type="dxa"/>
            <w:shd w:val="clear" w:color="auto" w:fill="auto"/>
          </w:tcPr>
          <w:p w14:paraId="33C6DE6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22 (8.9)</w:t>
            </w:r>
          </w:p>
        </w:tc>
        <w:tc>
          <w:tcPr>
            <w:tcW w:w="1412" w:type="dxa"/>
            <w:shd w:val="clear" w:color="auto" w:fill="auto"/>
          </w:tcPr>
          <w:p w14:paraId="6F4E6B1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11 (11.1)</w:t>
            </w:r>
          </w:p>
        </w:tc>
        <w:tc>
          <w:tcPr>
            <w:tcW w:w="1314" w:type="dxa"/>
            <w:shd w:val="clear" w:color="auto" w:fill="auto"/>
          </w:tcPr>
          <w:p w14:paraId="2E6EECC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9 (9.4)</w:t>
            </w:r>
          </w:p>
        </w:tc>
        <w:tc>
          <w:tcPr>
            <w:tcW w:w="1412" w:type="dxa"/>
            <w:shd w:val="clear" w:color="auto" w:fill="auto"/>
          </w:tcPr>
          <w:p w14:paraId="707E7AB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 (3.8)</w:t>
            </w:r>
          </w:p>
        </w:tc>
        <w:tc>
          <w:tcPr>
            <w:tcW w:w="1138" w:type="dxa"/>
            <w:shd w:val="clear" w:color="auto" w:fill="auto"/>
          </w:tcPr>
          <w:p w14:paraId="3F3691F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21AECD07"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67F9464A" w14:textId="77777777" w:rsidR="00CC0C82" w:rsidRPr="00074CC2" w:rsidRDefault="00CC0C82" w:rsidP="00E842BB">
            <w:pPr>
              <w:snapToGrid w:val="0"/>
              <w:spacing w:line="360" w:lineRule="auto"/>
              <w:jc w:val="both"/>
              <w:rPr>
                <w:rFonts w:ascii="Book Antiqua" w:hAnsi="Book Antiqua" w:cs="Times New Roman"/>
                <w:b w:val="0"/>
                <w:bCs w:val="0"/>
              </w:rPr>
            </w:pPr>
            <w:proofErr w:type="spellStart"/>
            <w:r w:rsidRPr="00074CC2">
              <w:rPr>
                <w:rFonts w:ascii="Book Antiqua" w:hAnsi="Book Antiqua"/>
              </w:rPr>
              <w:t>pT</w:t>
            </w:r>
            <w:proofErr w:type="spellEnd"/>
            <w:r w:rsidRPr="00074CC2">
              <w:rPr>
                <w:rFonts w:ascii="Book Antiqua" w:hAnsi="Book Antiqua"/>
              </w:rPr>
              <w:t xml:space="preserve"> stage</w:t>
            </w:r>
          </w:p>
        </w:tc>
        <w:tc>
          <w:tcPr>
            <w:tcW w:w="1250" w:type="dxa"/>
            <w:shd w:val="clear" w:color="auto" w:fill="auto"/>
          </w:tcPr>
          <w:p w14:paraId="610A77B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69A0C5A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57CCA89C"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616D40F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37610FF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1B1B20DD"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9FC4BE6"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pT0-pTa-pT1-pTis</w:t>
            </w:r>
          </w:p>
        </w:tc>
        <w:tc>
          <w:tcPr>
            <w:tcW w:w="1250" w:type="dxa"/>
            <w:shd w:val="clear" w:color="auto" w:fill="auto"/>
          </w:tcPr>
          <w:p w14:paraId="6EF8A5E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69 (27.8)</w:t>
            </w:r>
          </w:p>
        </w:tc>
        <w:tc>
          <w:tcPr>
            <w:tcW w:w="1412" w:type="dxa"/>
            <w:shd w:val="clear" w:color="auto" w:fill="auto"/>
          </w:tcPr>
          <w:p w14:paraId="54013F3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27 (27.3)</w:t>
            </w:r>
          </w:p>
        </w:tc>
        <w:tc>
          <w:tcPr>
            <w:tcW w:w="1314" w:type="dxa"/>
            <w:shd w:val="clear" w:color="auto" w:fill="auto"/>
          </w:tcPr>
          <w:p w14:paraId="4EE433D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23 (24.0)</w:t>
            </w:r>
          </w:p>
        </w:tc>
        <w:tc>
          <w:tcPr>
            <w:tcW w:w="1412" w:type="dxa"/>
            <w:shd w:val="clear" w:color="auto" w:fill="auto"/>
          </w:tcPr>
          <w:p w14:paraId="23A6BFA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19 (35.8)</w:t>
            </w:r>
          </w:p>
        </w:tc>
        <w:tc>
          <w:tcPr>
            <w:tcW w:w="1138" w:type="dxa"/>
            <w:shd w:val="clear" w:color="auto" w:fill="auto"/>
          </w:tcPr>
          <w:p w14:paraId="4F12B0F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0.17</w:t>
            </w:r>
          </w:p>
        </w:tc>
      </w:tr>
      <w:tr w:rsidR="00CC0C82" w:rsidRPr="00074CC2" w14:paraId="7DD62C92"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7AC875CE"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pT2</w:t>
            </w:r>
          </w:p>
        </w:tc>
        <w:tc>
          <w:tcPr>
            <w:tcW w:w="1250" w:type="dxa"/>
            <w:shd w:val="clear" w:color="auto" w:fill="auto"/>
          </w:tcPr>
          <w:p w14:paraId="775C508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69 (27.8)</w:t>
            </w:r>
          </w:p>
        </w:tc>
        <w:tc>
          <w:tcPr>
            <w:tcW w:w="1412" w:type="dxa"/>
            <w:shd w:val="clear" w:color="auto" w:fill="auto"/>
          </w:tcPr>
          <w:p w14:paraId="2B8A2C1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31 (31.3)</w:t>
            </w:r>
          </w:p>
        </w:tc>
        <w:tc>
          <w:tcPr>
            <w:tcW w:w="1314" w:type="dxa"/>
            <w:shd w:val="clear" w:color="auto" w:fill="auto"/>
          </w:tcPr>
          <w:p w14:paraId="6EC9B76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22 (22.9)</w:t>
            </w:r>
          </w:p>
        </w:tc>
        <w:tc>
          <w:tcPr>
            <w:tcW w:w="1412" w:type="dxa"/>
            <w:shd w:val="clear" w:color="auto" w:fill="auto"/>
          </w:tcPr>
          <w:p w14:paraId="4B8EF1B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16 (30.2)</w:t>
            </w:r>
          </w:p>
        </w:tc>
        <w:tc>
          <w:tcPr>
            <w:tcW w:w="1138" w:type="dxa"/>
            <w:shd w:val="clear" w:color="auto" w:fill="auto"/>
          </w:tcPr>
          <w:p w14:paraId="45DB018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0D7473BA"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1C78D467"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pT3</w:t>
            </w:r>
          </w:p>
        </w:tc>
        <w:tc>
          <w:tcPr>
            <w:tcW w:w="1250" w:type="dxa"/>
            <w:shd w:val="clear" w:color="auto" w:fill="auto"/>
          </w:tcPr>
          <w:p w14:paraId="6279348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107 (43.1)</w:t>
            </w:r>
          </w:p>
        </w:tc>
        <w:tc>
          <w:tcPr>
            <w:tcW w:w="1412" w:type="dxa"/>
            <w:shd w:val="clear" w:color="auto" w:fill="auto"/>
          </w:tcPr>
          <w:p w14:paraId="5EE1195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39 (39.4)</w:t>
            </w:r>
          </w:p>
        </w:tc>
        <w:tc>
          <w:tcPr>
            <w:tcW w:w="1314" w:type="dxa"/>
            <w:shd w:val="clear" w:color="auto" w:fill="auto"/>
          </w:tcPr>
          <w:p w14:paraId="7C956FC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51 (53.1)</w:t>
            </w:r>
          </w:p>
        </w:tc>
        <w:tc>
          <w:tcPr>
            <w:tcW w:w="1412" w:type="dxa"/>
            <w:shd w:val="clear" w:color="auto" w:fill="auto"/>
          </w:tcPr>
          <w:p w14:paraId="0BEDEAF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17 (32.1)</w:t>
            </w:r>
          </w:p>
        </w:tc>
        <w:tc>
          <w:tcPr>
            <w:tcW w:w="1138" w:type="dxa"/>
            <w:shd w:val="clear" w:color="auto" w:fill="auto"/>
          </w:tcPr>
          <w:p w14:paraId="415C4FF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358A07FD"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7885480"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pT4</w:t>
            </w:r>
          </w:p>
        </w:tc>
        <w:tc>
          <w:tcPr>
            <w:tcW w:w="1250" w:type="dxa"/>
            <w:shd w:val="clear" w:color="auto" w:fill="auto"/>
          </w:tcPr>
          <w:p w14:paraId="541E999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 (1.2)</w:t>
            </w:r>
          </w:p>
        </w:tc>
        <w:tc>
          <w:tcPr>
            <w:tcW w:w="1412" w:type="dxa"/>
            <w:shd w:val="clear" w:color="auto" w:fill="auto"/>
          </w:tcPr>
          <w:p w14:paraId="34F7806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 (2.0)</w:t>
            </w:r>
          </w:p>
        </w:tc>
        <w:tc>
          <w:tcPr>
            <w:tcW w:w="1314" w:type="dxa"/>
            <w:shd w:val="clear" w:color="auto" w:fill="auto"/>
          </w:tcPr>
          <w:p w14:paraId="16052ED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 (0.0)</w:t>
            </w:r>
          </w:p>
        </w:tc>
        <w:tc>
          <w:tcPr>
            <w:tcW w:w="1412" w:type="dxa"/>
            <w:shd w:val="clear" w:color="auto" w:fill="auto"/>
          </w:tcPr>
          <w:p w14:paraId="5FE2653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 (1.9)</w:t>
            </w:r>
          </w:p>
        </w:tc>
        <w:tc>
          <w:tcPr>
            <w:tcW w:w="1138" w:type="dxa"/>
            <w:shd w:val="clear" w:color="auto" w:fill="auto"/>
          </w:tcPr>
          <w:p w14:paraId="0B50CB0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77D8EB52"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0B614816"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LN status</w:t>
            </w:r>
          </w:p>
        </w:tc>
        <w:tc>
          <w:tcPr>
            <w:tcW w:w="1250" w:type="dxa"/>
            <w:shd w:val="clear" w:color="auto" w:fill="auto"/>
          </w:tcPr>
          <w:p w14:paraId="2E1718E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4724515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5751E34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7B89F99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77399A1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4DB5A39E"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57C8A4F2" w14:textId="4A0DA79E"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LN</w:t>
            </w:r>
            <w:r w:rsidR="00074CC2" w:rsidRPr="00074CC2">
              <w:rPr>
                <w:rFonts w:ascii="Book Antiqua" w:hAnsi="Book Antiqua"/>
              </w:rPr>
              <w:t>-</w:t>
            </w:r>
            <w:r w:rsidRPr="00074CC2">
              <w:rPr>
                <w:rFonts w:ascii="Book Antiqua" w:hAnsi="Book Antiqua"/>
              </w:rPr>
              <w:t>negative</w:t>
            </w:r>
          </w:p>
        </w:tc>
        <w:tc>
          <w:tcPr>
            <w:tcW w:w="1250" w:type="dxa"/>
            <w:shd w:val="clear" w:color="auto" w:fill="auto"/>
          </w:tcPr>
          <w:p w14:paraId="476CB10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238 (96.0)</w:t>
            </w:r>
          </w:p>
        </w:tc>
        <w:tc>
          <w:tcPr>
            <w:tcW w:w="1412" w:type="dxa"/>
            <w:shd w:val="clear" w:color="auto" w:fill="auto"/>
          </w:tcPr>
          <w:p w14:paraId="2FCF4C1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94 (94.9)</w:t>
            </w:r>
          </w:p>
        </w:tc>
        <w:tc>
          <w:tcPr>
            <w:tcW w:w="1314" w:type="dxa"/>
            <w:shd w:val="clear" w:color="auto" w:fill="auto"/>
          </w:tcPr>
          <w:p w14:paraId="3EA6778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93 (96.9)</w:t>
            </w:r>
          </w:p>
        </w:tc>
        <w:tc>
          <w:tcPr>
            <w:tcW w:w="1412" w:type="dxa"/>
            <w:shd w:val="clear" w:color="auto" w:fill="auto"/>
          </w:tcPr>
          <w:p w14:paraId="13435A5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51(96.2)</w:t>
            </w:r>
          </w:p>
        </w:tc>
        <w:tc>
          <w:tcPr>
            <w:tcW w:w="1138" w:type="dxa"/>
            <w:shd w:val="clear" w:color="auto" w:fill="auto"/>
          </w:tcPr>
          <w:p w14:paraId="19EDAA9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0.787</w:t>
            </w:r>
          </w:p>
        </w:tc>
      </w:tr>
      <w:tr w:rsidR="00CC0C82" w:rsidRPr="00074CC2" w14:paraId="4B85141B"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C52B28C" w14:textId="08E438D6"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LN</w:t>
            </w:r>
            <w:r w:rsidR="00074CC2" w:rsidRPr="00074CC2">
              <w:rPr>
                <w:rFonts w:ascii="Book Antiqua" w:hAnsi="Book Antiqua"/>
              </w:rPr>
              <w:t>-</w:t>
            </w:r>
            <w:r w:rsidRPr="00074CC2">
              <w:rPr>
                <w:rFonts w:ascii="Book Antiqua" w:hAnsi="Book Antiqua"/>
              </w:rPr>
              <w:t>positive</w:t>
            </w:r>
          </w:p>
        </w:tc>
        <w:tc>
          <w:tcPr>
            <w:tcW w:w="1250" w:type="dxa"/>
            <w:shd w:val="clear" w:color="auto" w:fill="auto"/>
          </w:tcPr>
          <w:p w14:paraId="1B98900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10 (4.0)</w:t>
            </w:r>
          </w:p>
        </w:tc>
        <w:tc>
          <w:tcPr>
            <w:tcW w:w="1412" w:type="dxa"/>
            <w:shd w:val="clear" w:color="auto" w:fill="auto"/>
          </w:tcPr>
          <w:p w14:paraId="46D96CD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 (5.1)</w:t>
            </w:r>
          </w:p>
        </w:tc>
        <w:tc>
          <w:tcPr>
            <w:tcW w:w="1314" w:type="dxa"/>
            <w:shd w:val="clear" w:color="auto" w:fill="auto"/>
          </w:tcPr>
          <w:p w14:paraId="1E30BB2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 (3.1)</w:t>
            </w:r>
          </w:p>
        </w:tc>
        <w:tc>
          <w:tcPr>
            <w:tcW w:w="1412" w:type="dxa"/>
            <w:shd w:val="clear" w:color="auto" w:fill="auto"/>
          </w:tcPr>
          <w:p w14:paraId="4E88EBE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 (3.8)</w:t>
            </w:r>
          </w:p>
        </w:tc>
        <w:tc>
          <w:tcPr>
            <w:tcW w:w="1138" w:type="dxa"/>
            <w:shd w:val="clear" w:color="auto" w:fill="auto"/>
          </w:tcPr>
          <w:p w14:paraId="75D01A1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55FBEE6B"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B613B7B"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Tumor grade</w:t>
            </w:r>
          </w:p>
        </w:tc>
        <w:tc>
          <w:tcPr>
            <w:tcW w:w="1250" w:type="dxa"/>
            <w:shd w:val="clear" w:color="auto" w:fill="auto"/>
          </w:tcPr>
          <w:p w14:paraId="6C33B83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172E403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64614C2C"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03B432E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3312094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2C8FBC08"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3CF66D17"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Low</w:t>
            </w:r>
          </w:p>
        </w:tc>
        <w:tc>
          <w:tcPr>
            <w:tcW w:w="1250" w:type="dxa"/>
            <w:shd w:val="clear" w:color="auto" w:fill="auto"/>
          </w:tcPr>
          <w:p w14:paraId="54C3EC9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29 (11.7)</w:t>
            </w:r>
          </w:p>
        </w:tc>
        <w:tc>
          <w:tcPr>
            <w:tcW w:w="1412" w:type="dxa"/>
            <w:shd w:val="clear" w:color="auto" w:fill="auto"/>
          </w:tcPr>
          <w:p w14:paraId="7B59140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14 (14.1)</w:t>
            </w:r>
          </w:p>
        </w:tc>
        <w:tc>
          <w:tcPr>
            <w:tcW w:w="1314" w:type="dxa"/>
            <w:shd w:val="clear" w:color="auto" w:fill="auto"/>
          </w:tcPr>
          <w:p w14:paraId="23625E4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9 (9.4)</w:t>
            </w:r>
          </w:p>
        </w:tc>
        <w:tc>
          <w:tcPr>
            <w:tcW w:w="1412" w:type="dxa"/>
            <w:shd w:val="clear" w:color="auto" w:fill="auto"/>
          </w:tcPr>
          <w:p w14:paraId="0FC8C9A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 (11.3)</w:t>
            </w:r>
          </w:p>
        </w:tc>
        <w:tc>
          <w:tcPr>
            <w:tcW w:w="1138" w:type="dxa"/>
            <w:shd w:val="clear" w:color="auto" w:fill="auto"/>
          </w:tcPr>
          <w:p w14:paraId="24ECD40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0.58</w:t>
            </w:r>
          </w:p>
        </w:tc>
      </w:tr>
      <w:tr w:rsidR="00CC0C82" w:rsidRPr="00074CC2" w14:paraId="6451A449"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212D596C"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High</w:t>
            </w:r>
          </w:p>
        </w:tc>
        <w:tc>
          <w:tcPr>
            <w:tcW w:w="1250" w:type="dxa"/>
            <w:shd w:val="clear" w:color="auto" w:fill="auto"/>
          </w:tcPr>
          <w:p w14:paraId="63CC47E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221 (88.3)</w:t>
            </w:r>
          </w:p>
        </w:tc>
        <w:tc>
          <w:tcPr>
            <w:tcW w:w="1412" w:type="dxa"/>
            <w:shd w:val="clear" w:color="auto" w:fill="auto"/>
          </w:tcPr>
          <w:p w14:paraId="2EEEF6D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85 (85.9)</w:t>
            </w:r>
          </w:p>
        </w:tc>
        <w:tc>
          <w:tcPr>
            <w:tcW w:w="1314" w:type="dxa"/>
            <w:shd w:val="clear" w:color="auto" w:fill="auto"/>
          </w:tcPr>
          <w:p w14:paraId="2081012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87 (90.6)</w:t>
            </w:r>
          </w:p>
        </w:tc>
        <w:tc>
          <w:tcPr>
            <w:tcW w:w="1412" w:type="dxa"/>
            <w:shd w:val="clear" w:color="auto" w:fill="auto"/>
          </w:tcPr>
          <w:p w14:paraId="10162DF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47 (88.7)</w:t>
            </w:r>
          </w:p>
        </w:tc>
        <w:tc>
          <w:tcPr>
            <w:tcW w:w="1138" w:type="dxa"/>
            <w:shd w:val="clear" w:color="auto" w:fill="auto"/>
          </w:tcPr>
          <w:p w14:paraId="3DEDBBF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30888CC8"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2B187A62"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LVI</w:t>
            </w:r>
          </w:p>
        </w:tc>
        <w:tc>
          <w:tcPr>
            <w:tcW w:w="1250" w:type="dxa"/>
            <w:shd w:val="clear" w:color="auto" w:fill="auto"/>
          </w:tcPr>
          <w:p w14:paraId="651BD0B9"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7723423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1EB01F3C"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65AAFFF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6C2A5EE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7547675A"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018D90AE"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 xml:space="preserve">Negative </w:t>
            </w:r>
          </w:p>
        </w:tc>
        <w:tc>
          <w:tcPr>
            <w:tcW w:w="1250" w:type="dxa"/>
            <w:shd w:val="clear" w:color="auto" w:fill="auto"/>
          </w:tcPr>
          <w:p w14:paraId="2EF4034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223 (89.9)</w:t>
            </w:r>
          </w:p>
        </w:tc>
        <w:tc>
          <w:tcPr>
            <w:tcW w:w="1412" w:type="dxa"/>
            <w:shd w:val="clear" w:color="auto" w:fill="auto"/>
          </w:tcPr>
          <w:p w14:paraId="622EB11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92 (92.9)</w:t>
            </w:r>
          </w:p>
        </w:tc>
        <w:tc>
          <w:tcPr>
            <w:tcW w:w="1314" w:type="dxa"/>
            <w:shd w:val="clear" w:color="auto" w:fill="auto"/>
          </w:tcPr>
          <w:p w14:paraId="344D36E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84 (87.5)</w:t>
            </w:r>
          </w:p>
        </w:tc>
        <w:tc>
          <w:tcPr>
            <w:tcW w:w="1412" w:type="dxa"/>
            <w:shd w:val="clear" w:color="auto" w:fill="auto"/>
          </w:tcPr>
          <w:p w14:paraId="113F44A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47 (88.7)</w:t>
            </w:r>
          </w:p>
        </w:tc>
        <w:tc>
          <w:tcPr>
            <w:tcW w:w="1138" w:type="dxa"/>
            <w:shd w:val="clear" w:color="auto" w:fill="auto"/>
          </w:tcPr>
          <w:p w14:paraId="4338CE19"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0.43</w:t>
            </w:r>
          </w:p>
        </w:tc>
      </w:tr>
      <w:tr w:rsidR="00CC0C82" w:rsidRPr="00074CC2" w14:paraId="713E246F"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4F54D278"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Positive</w:t>
            </w:r>
          </w:p>
        </w:tc>
        <w:tc>
          <w:tcPr>
            <w:tcW w:w="1250" w:type="dxa"/>
            <w:shd w:val="clear" w:color="auto" w:fill="auto"/>
          </w:tcPr>
          <w:p w14:paraId="041B194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25 (10.1)</w:t>
            </w:r>
          </w:p>
        </w:tc>
        <w:tc>
          <w:tcPr>
            <w:tcW w:w="1412" w:type="dxa"/>
            <w:shd w:val="clear" w:color="auto" w:fill="auto"/>
          </w:tcPr>
          <w:p w14:paraId="1EA6019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7 (7.1)</w:t>
            </w:r>
          </w:p>
        </w:tc>
        <w:tc>
          <w:tcPr>
            <w:tcW w:w="1314" w:type="dxa"/>
            <w:shd w:val="clear" w:color="auto" w:fill="auto"/>
          </w:tcPr>
          <w:p w14:paraId="619842FD"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12 (12.5)</w:t>
            </w:r>
          </w:p>
        </w:tc>
        <w:tc>
          <w:tcPr>
            <w:tcW w:w="1412" w:type="dxa"/>
            <w:shd w:val="clear" w:color="auto" w:fill="auto"/>
          </w:tcPr>
          <w:p w14:paraId="294EE02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 (11.3)</w:t>
            </w:r>
          </w:p>
        </w:tc>
        <w:tc>
          <w:tcPr>
            <w:tcW w:w="1138" w:type="dxa"/>
            <w:shd w:val="clear" w:color="auto" w:fill="auto"/>
          </w:tcPr>
          <w:p w14:paraId="51F9A50F"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18511A3E"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7808BD6B"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Intravesical chemotherapy</w:t>
            </w:r>
          </w:p>
        </w:tc>
        <w:tc>
          <w:tcPr>
            <w:tcW w:w="1250" w:type="dxa"/>
            <w:shd w:val="clear" w:color="auto" w:fill="auto"/>
          </w:tcPr>
          <w:p w14:paraId="02579EE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767775C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5FED60A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30A1DB0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4C5C9F1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2D0E1BD1"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7A6875EA"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No</w:t>
            </w:r>
          </w:p>
        </w:tc>
        <w:tc>
          <w:tcPr>
            <w:tcW w:w="1250" w:type="dxa"/>
            <w:shd w:val="clear" w:color="auto" w:fill="auto"/>
          </w:tcPr>
          <w:p w14:paraId="1480977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171 (69.0)</w:t>
            </w:r>
          </w:p>
        </w:tc>
        <w:tc>
          <w:tcPr>
            <w:tcW w:w="1412" w:type="dxa"/>
            <w:shd w:val="clear" w:color="auto" w:fill="auto"/>
          </w:tcPr>
          <w:p w14:paraId="243F2A5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75 (75.8)</w:t>
            </w:r>
          </w:p>
        </w:tc>
        <w:tc>
          <w:tcPr>
            <w:tcW w:w="1314" w:type="dxa"/>
            <w:shd w:val="clear" w:color="auto" w:fill="auto"/>
          </w:tcPr>
          <w:p w14:paraId="26470B7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66 (68.8)</w:t>
            </w:r>
          </w:p>
        </w:tc>
        <w:tc>
          <w:tcPr>
            <w:tcW w:w="1412" w:type="dxa"/>
            <w:shd w:val="clear" w:color="auto" w:fill="auto"/>
          </w:tcPr>
          <w:p w14:paraId="0E909EB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30 (56.6)</w:t>
            </w:r>
          </w:p>
        </w:tc>
        <w:tc>
          <w:tcPr>
            <w:tcW w:w="1138" w:type="dxa"/>
            <w:shd w:val="clear" w:color="auto" w:fill="auto"/>
          </w:tcPr>
          <w:p w14:paraId="5D269AD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0.05</w:t>
            </w:r>
          </w:p>
        </w:tc>
      </w:tr>
      <w:tr w:rsidR="00CC0C82" w:rsidRPr="00074CC2" w14:paraId="14492AE4" w14:textId="77777777" w:rsidTr="0036013D">
        <w:trPr>
          <w:trHeight w:val="276"/>
        </w:trPr>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114DFD3E"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Yes</w:t>
            </w:r>
          </w:p>
        </w:tc>
        <w:tc>
          <w:tcPr>
            <w:tcW w:w="1250" w:type="dxa"/>
            <w:shd w:val="clear" w:color="auto" w:fill="auto"/>
          </w:tcPr>
          <w:p w14:paraId="77F8DE9B"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77 (31.0)</w:t>
            </w:r>
          </w:p>
        </w:tc>
        <w:tc>
          <w:tcPr>
            <w:tcW w:w="1412" w:type="dxa"/>
            <w:shd w:val="clear" w:color="auto" w:fill="auto"/>
          </w:tcPr>
          <w:p w14:paraId="2180CB29"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24 (24.2)</w:t>
            </w:r>
          </w:p>
        </w:tc>
        <w:tc>
          <w:tcPr>
            <w:tcW w:w="1314" w:type="dxa"/>
            <w:shd w:val="clear" w:color="auto" w:fill="auto"/>
          </w:tcPr>
          <w:p w14:paraId="64FE984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30 (31.2)</w:t>
            </w:r>
          </w:p>
        </w:tc>
        <w:tc>
          <w:tcPr>
            <w:tcW w:w="1412" w:type="dxa"/>
            <w:shd w:val="clear" w:color="auto" w:fill="auto"/>
          </w:tcPr>
          <w:p w14:paraId="162467A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 3 (43.4)</w:t>
            </w:r>
          </w:p>
        </w:tc>
        <w:tc>
          <w:tcPr>
            <w:tcW w:w="1138" w:type="dxa"/>
            <w:shd w:val="clear" w:color="auto" w:fill="auto"/>
          </w:tcPr>
          <w:p w14:paraId="0DA8802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1447F607"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55FF34AF" w14:textId="77777777" w:rsidR="00CC0C82" w:rsidRPr="00074CC2" w:rsidRDefault="00CC0C82" w:rsidP="00E842BB">
            <w:pPr>
              <w:snapToGrid w:val="0"/>
              <w:spacing w:line="360" w:lineRule="auto"/>
              <w:jc w:val="both"/>
              <w:rPr>
                <w:rFonts w:ascii="Book Antiqua" w:hAnsi="Book Antiqua" w:cs="Times New Roman"/>
                <w:b w:val="0"/>
                <w:bCs w:val="0"/>
              </w:rPr>
            </w:pPr>
            <w:r w:rsidRPr="00074CC2">
              <w:rPr>
                <w:rFonts w:ascii="Book Antiqua" w:hAnsi="Book Antiqua"/>
              </w:rPr>
              <w:t>Adjuvant therapy</w:t>
            </w:r>
          </w:p>
        </w:tc>
        <w:tc>
          <w:tcPr>
            <w:tcW w:w="1250" w:type="dxa"/>
            <w:shd w:val="clear" w:color="auto" w:fill="auto"/>
          </w:tcPr>
          <w:p w14:paraId="3A94FED5"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01010261"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314" w:type="dxa"/>
            <w:shd w:val="clear" w:color="auto" w:fill="auto"/>
          </w:tcPr>
          <w:p w14:paraId="1EC5044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12" w:type="dxa"/>
            <w:shd w:val="clear" w:color="auto" w:fill="auto"/>
          </w:tcPr>
          <w:p w14:paraId="0741E4C0"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8" w:type="dxa"/>
            <w:shd w:val="clear" w:color="auto" w:fill="auto"/>
          </w:tcPr>
          <w:p w14:paraId="05F1474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CC0C82" w:rsidRPr="00074CC2" w14:paraId="49691DFE" w14:textId="77777777" w:rsidTr="0036013D">
        <w:tc>
          <w:tcPr>
            <w:cnfStyle w:val="001000000000" w:firstRow="0" w:lastRow="0" w:firstColumn="1" w:lastColumn="0" w:oddVBand="0" w:evenVBand="0" w:oddHBand="0" w:evenHBand="0" w:firstRowFirstColumn="0" w:firstRowLastColumn="0" w:lastRowFirstColumn="0" w:lastRowLastColumn="0"/>
            <w:tcW w:w="2330" w:type="dxa"/>
            <w:shd w:val="clear" w:color="auto" w:fill="auto"/>
          </w:tcPr>
          <w:p w14:paraId="27B61F1B"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No</w:t>
            </w:r>
          </w:p>
        </w:tc>
        <w:tc>
          <w:tcPr>
            <w:tcW w:w="1250" w:type="dxa"/>
            <w:shd w:val="clear" w:color="auto" w:fill="auto"/>
          </w:tcPr>
          <w:p w14:paraId="10D4259E"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218 (87.9)</w:t>
            </w:r>
          </w:p>
        </w:tc>
        <w:tc>
          <w:tcPr>
            <w:tcW w:w="1412" w:type="dxa"/>
            <w:shd w:val="clear" w:color="auto" w:fill="auto"/>
          </w:tcPr>
          <w:p w14:paraId="35B3CF3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90 (90.9)</w:t>
            </w:r>
          </w:p>
        </w:tc>
        <w:tc>
          <w:tcPr>
            <w:tcW w:w="1314" w:type="dxa"/>
            <w:shd w:val="clear" w:color="auto" w:fill="auto"/>
          </w:tcPr>
          <w:p w14:paraId="4E2144A3"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80 (83.3)</w:t>
            </w:r>
          </w:p>
        </w:tc>
        <w:tc>
          <w:tcPr>
            <w:tcW w:w="1412" w:type="dxa"/>
            <w:shd w:val="clear" w:color="auto" w:fill="auto"/>
          </w:tcPr>
          <w:p w14:paraId="6D5306AA"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48 (90.6)</w:t>
            </w:r>
          </w:p>
        </w:tc>
        <w:tc>
          <w:tcPr>
            <w:tcW w:w="1138" w:type="dxa"/>
            <w:shd w:val="clear" w:color="auto" w:fill="auto"/>
          </w:tcPr>
          <w:p w14:paraId="2533A5B7"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0.21</w:t>
            </w:r>
          </w:p>
        </w:tc>
      </w:tr>
      <w:tr w:rsidR="00CC0C82" w:rsidRPr="00074CC2" w14:paraId="0E8A559B" w14:textId="77777777" w:rsidTr="0036013D">
        <w:tc>
          <w:tcPr>
            <w:cnfStyle w:val="001000000000" w:firstRow="0" w:lastRow="0" w:firstColumn="1" w:lastColumn="0" w:oddVBand="0" w:evenVBand="0" w:oddHBand="0" w:evenHBand="0" w:firstRowFirstColumn="0" w:firstRowLastColumn="0" w:lastRowFirstColumn="0" w:lastRowLastColumn="0"/>
            <w:tcW w:w="2330" w:type="dxa"/>
            <w:tcBorders>
              <w:bottom w:val="single" w:sz="4" w:space="0" w:color="auto"/>
            </w:tcBorders>
            <w:shd w:val="clear" w:color="auto" w:fill="auto"/>
          </w:tcPr>
          <w:p w14:paraId="60B0822C" w14:textId="77777777" w:rsidR="00CC0C82" w:rsidRPr="00074CC2" w:rsidRDefault="00CC0C82" w:rsidP="00E842BB">
            <w:pPr>
              <w:snapToGrid w:val="0"/>
              <w:spacing w:line="360" w:lineRule="auto"/>
              <w:ind w:firstLineChars="50" w:firstLine="120"/>
              <w:jc w:val="both"/>
              <w:rPr>
                <w:rFonts w:ascii="Book Antiqua" w:hAnsi="Book Antiqua" w:cs="Times New Roman"/>
                <w:b w:val="0"/>
                <w:bCs w:val="0"/>
              </w:rPr>
            </w:pPr>
            <w:r w:rsidRPr="00074CC2">
              <w:rPr>
                <w:rFonts w:ascii="Book Antiqua" w:hAnsi="Book Antiqua"/>
              </w:rPr>
              <w:t>Yes</w:t>
            </w:r>
          </w:p>
        </w:tc>
        <w:tc>
          <w:tcPr>
            <w:tcW w:w="1250" w:type="dxa"/>
            <w:tcBorders>
              <w:bottom w:val="single" w:sz="4" w:space="0" w:color="auto"/>
            </w:tcBorders>
            <w:shd w:val="clear" w:color="auto" w:fill="auto"/>
          </w:tcPr>
          <w:p w14:paraId="6E7EB736"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30 (12.1)</w:t>
            </w:r>
          </w:p>
        </w:tc>
        <w:tc>
          <w:tcPr>
            <w:tcW w:w="1412" w:type="dxa"/>
            <w:tcBorders>
              <w:bottom w:val="single" w:sz="4" w:space="0" w:color="auto"/>
            </w:tcBorders>
            <w:shd w:val="clear" w:color="auto" w:fill="auto"/>
          </w:tcPr>
          <w:p w14:paraId="0E477BAC"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9 (9.1)</w:t>
            </w:r>
          </w:p>
        </w:tc>
        <w:tc>
          <w:tcPr>
            <w:tcW w:w="1314" w:type="dxa"/>
            <w:tcBorders>
              <w:bottom w:val="single" w:sz="4" w:space="0" w:color="auto"/>
            </w:tcBorders>
            <w:shd w:val="clear" w:color="auto" w:fill="auto"/>
          </w:tcPr>
          <w:p w14:paraId="67601C12"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16 (16.7)</w:t>
            </w:r>
          </w:p>
        </w:tc>
        <w:tc>
          <w:tcPr>
            <w:tcW w:w="1412" w:type="dxa"/>
            <w:tcBorders>
              <w:bottom w:val="single" w:sz="4" w:space="0" w:color="auto"/>
            </w:tcBorders>
            <w:shd w:val="clear" w:color="auto" w:fill="auto"/>
          </w:tcPr>
          <w:p w14:paraId="6D21CD48"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074CC2">
              <w:rPr>
                <w:rFonts w:ascii="Book Antiqua" w:hAnsi="Book Antiqua"/>
              </w:rPr>
              <w:t>5 (9.4)</w:t>
            </w:r>
          </w:p>
        </w:tc>
        <w:tc>
          <w:tcPr>
            <w:tcW w:w="1138" w:type="dxa"/>
            <w:tcBorders>
              <w:bottom w:val="single" w:sz="4" w:space="0" w:color="auto"/>
            </w:tcBorders>
            <w:shd w:val="clear" w:color="auto" w:fill="auto"/>
          </w:tcPr>
          <w:p w14:paraId="44CD2ED4" w14:textId="77777777" w:rsidR="00CC0C82" w:rsidRPr="00074CC2" w:rsidRDefault="00CC0C82" w:rsidP="00E842BB">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bl>
    <w:bookmarkEnd w:id="30"/>
    <w:p w14:paraId="1F805398" w14:textId="1841E5F9" w:rsidR="00CC0C82" w:rsidRPr="00074CC2" w:rsidRDefault="0036013D" w:rsidP="00E842BB">
      <w:pPr>
        <w:snapToGrid w:val="0"/>
        <w:spacing w:line="360" w:lineRule="auto"/>
        <w:jc w:val="both"/>
        <w:rPr>
          <w:rFonts w:ascii="Book Antiqua" w:hAnsi="Book Antiqua"/>
        </w:rPr>
      </w:pPr>
      <w:r w:rsidRPr="00074CC2">
        <w:rPr>
          <w:rFonts w:ascii="Book Antiqua" w:hAnsi="Book Antiqua"/>
        </w:rPr>
        <w:t xml:space="preserve">Data are shown as </w:t>
      </w:r>
      <w:r w:rsidRPr="00074CC2">
        <w:rPr>
          <w:rFonts w:ascii="Book Antiqua" w:hAnsi="Book Antiqua"/>
          <w:i/>
          <w:iCs/>
        </w:rPr>
        <w:t>n</w:t>
      </w:r>
      <w:r w:rsidRPr="00074CC2">
        <w:rPr>
          <w:rFonts w:ascii="Book Antiqua" w:hAnsi="Book Antiqua"/>
        </w:rPr>
        <w:t xml:space="preserve"> (%).</w:t>
      </w:r>
      <w:r w:rsidRPr="00074CC2">
        <w:rPr>
          <w:rFonts w:ascii="Book Antiqua" w:hAnsi="Book Antiqua"/>
          <w:lang w:eastAsia="zh-CN"/>
        </w:rPr>
        <w:t xml:space="preserve"> </w:t>
      </w:r>
      <w:r w:rsidR="00D264D2" w:rsidRPr="00074CC2">
        <w:rPr>
          <w:rFonts w:ascii="Book Antiqua" w:hAnsi="Book Antiqua"/>
        </w:rPr>
        <w:t xml:space="preserve">ASA: American society of anesthesiologists; EVBC: </w:t>
      </w:r>
      <w:r w:rsidRPr="00074CC2">
        <w:rPr>
          <w:rFonts w:ascii="Book Antiqua" w:hAnsi="Book Antiqua"/>
        </w:rPr>
        <w:t xml:space="preserve">Extravesical </w:t>
      </w:r>
      <w:r w:rsidR="00D264D2" w:rsidRPr="00074CC2">
        <w:rPr>
          <w:rFonts w:ascii="Book Antiqua" w:hAnsi="Book Antiqua"/>
        </w:rPr>
        <w:t xml:space="preserve">incision of the bladder cuff; IVBC: </w:t>
      </w:r>
      <w:r w:rsidRPr="00074CC2">
        <w:rPr>
          <w:rFonts w:ascii="Book Antiqua" w:hAnsi="Book Antiqua"/>
        </w:rPr>
        <w:t xml:space="preserve">Intrasvesical </w:t>
      </w:r>
      <w:r w:rsidR="00D264D2" w:rsidRPr="00074CC2">
        <w:rPr>
          <w:rFonts w:ascii="Book Antiqua" w:hAnsi="Book Antiqua"/>
        </w:rPr>
        <w:t xml:space="preserve">incision of the bladder </w:t>
      </w:r>
      <w:r w:rsidR="00D264D2" w:rsidRPr="00074CC2">
        <w:rPr>
          <w:rFonts w:ascii="Book Antiqua" w:hAnsi="Book Antiqua"/>
        </w:rPr>
        <w:lastRenderedPageBreak/>
        <w:t>cuff</w:t>
      </w:r>
      <w:r w:rsidR="00D264D2" w:rsidRPr="00074CC2">
        <w:rPr>
          <w:rFonts w:ascii="Book Antiqua" w:hAnsi="Book Antiqua"/>
          <w:lang w:eastAsia="zh-CN"/>
        </w:rPr>
        <w:t xml:space="preserve">; </w:t>
      </w:r>
      <w:r w:rsidR="00D264D2" w:rsidRPr="00074CC2">
        <w:rPr>
          <w:rFonts w:ascii="Book Antiqua" w:hAnsi="Book Antiqua"/>
        </w:rPr>
        <w:t xml:space="preserve">TUBC: </w:t>
      </w:r>
      <w:r w:rsidRPr="00074CC2">
        <w:rPr>
          <w:rFonts w:ascii="Book Antiqua" w:hAnsi="Book Antiqua"/>
        </w:rPr>
        <w:t xml:space="preserve">Transurethral </w:t>
      </w:r>
      <w:r w:rsidR="00D264D2" w:rsidRPr="00074CC2">
        <w:rPr>
          <w:rFonts w:ascii="Book Antiqua" w:hAnsi="Book Antiqua"/>
        </w:rPr>
        <w:t xml:space="preserve">incision of the bladder cuff; LN: </w:t>
      </w:r>
      <w:r w:rsidRPr="00074CC2">
        <w:rPr>
          <w:rFonts w:ascii="Book Antiqua" w:hAnsi="Book Antiqua"/>
        </w:rPr>
        <w:t xml:space="preserve">Lymph node; LVI: </w:t>
      </w:r>
      <w:proofErr w:type="spellStart"/>
      <w:r w:rsidRPr="00074CC2">
        <w:rPr>
          <w:rFonts w:ascii="Book Antiqua" w:hAnsi="Book Antiqua"/>
        </w:rPr>
        <w:t>Lymphovascular</w:t>
      </w:r>
      <w:proofErr w:type="spellEnd"/>
      <w:r w:rsidRPr="00074CC2">
        <w:rPr>
          <w:rFonts w:ascii="Book Antiqua" w:hAnsi="Book Antiqua"/>
        </w:rPr>
        <w:t xml:space="preserve"> </w:t>
      </w:r>
      <w:r w:rsidR="00D264D2" w:rsidRPr="00074CC2">
        <w:rPr>
          <w:rFonts w:ascii="Book Antiqua" w:hAnsi="Book Antiqua"/>
        </w:rPr>
        <w:t xml:space="preserve">invasion; </w:t>
      </w:r>
      <w:proofErr w:type="spellStart"/>
      <w:r w:rsidR="00D264D2" w:rsidRPr="00074CC2">
        <w:rPr>
          <w:rFonts w:ascii="Book Antiqua" w:hAnsi="Book Antiqua"/>
        </w:rPr>
        <w:t>pT</w:t>
      </w:r>
      <w:proofErr w:type="spellEnd"/>
      <w:r w:rsidR="00D264D2" w:rsidRPr="00074CC2">
        <w:rPr>
          <w:rFonts w:ascii="Book Antiqua" w:hAnsi="Book Antiqua"/>
        </w:rPr>
        <w:t xml:space="preserve">: </w:t>
      </w:r>
      <w:r w:rsidRPr="00074CC2">
        <w:rPr>
          <w:rFonts w:ascii="Book Antiqua" w:hAnsi="Book Antiqua"/>
        </w:rPr>
        <w:t xml:space="preserve">Pathological </w:t>
      </w:r>
      <w:r w:rsidR="00D264D2" w:rsidRPr="00074CC2">
        <w:rPr>
          <w:rFonts w:ascii="Book Antiqua" w:hAnsi="Book Antiqua"/>
        </w:rPr>
        <w:t xml:space="preserve">tumor. </w:t>
      </w:r>
    </w:p>
    <w:p w14:paraId="6D325CF5" w14:textId="08577DC3" w:rsidR="00D264D2" w:rsidRPr="00074CC2" w:rsidRDefault="00D264D2" w:rsidP="00E842BB">
      <w:pPr>
        <w:snapToGrid w:val="0"/>
        <w:spacing w:line="360" w:lineRule="auto"/>
        <w:jc w:val="both"/>
        <w:rPr>
          <w:rFonts w:ascii="Book Antiqua" w:hAnsi="Book Antiqua"/>
        </w:rPr>
        <w:sectPr w:rsidR="00D264D2" w:rsidRPr="00074CC2" w:rsidSect="00C13252">
          <w:type w:val="continuous"/>
          <w:pgSz w:w="12240" w:h="15840"/>
          <w:pgMar w:top="1440" w:right="1800" w:bottom="1440" w:left="1800" w:header="720" w:footer="720" w:gutter="0"/>
          <w:cols w:space="720"/>
          <w:docGrid w:linePitch="360"/>
        </w:sectPr>
      </w:pPr>
    </w:p>
    <w:p w14:paraId="7358818E" w14:textId="3320433F" w:rsidR="00D264D2" w:rsidRPr="00074CC2" w:rsidRDefault="00D264D2" w:rsidP="00E842BB">
      <w:pPr>
        <w:snapToGrid w:val="0"/>
        <w:spacing w:line="360" w:lineRule="auto"/>
        <w:jc w:val="both"/>
        <w:rPr>
          <w:rFonts w:ascii="Book Antiqua" w:hAnsi="Book Antiqua"/>
          <w:b/>
          <w:bCs/>
        </w:rPr>
      </w:pPr>
      <w:bookmarkStart w:id="31" w:name="_Hlk51163254"/>
      <w:r w:rsidRPr="00074CC2">
        <w:rPr>
          <w:rFonts w:ascii="Book Antiqua" w:hAnsi="Book Antiqua"/>
          <w:b/>
          <w:bCs/>
        </w:rPr>
        <w:lastRenderedPageBreak/>
        <w:t xml:space="preserve">Table 2 Univariate and multivariate Cox regression analyses for predicting oncological outcomes </w:t>
      </w:r>
      <w:r w:rsidR="00074CC2">
        <w:rPr>
          <w:rFonts w:ascii="Book Antiqua" w:hAnsi="Book Antiqua"/>
          <w:b/>
          <w:bCs/>
        </w:rPr>
        <w:t>in</w:t>
      </w:r>
      <w:r w:rsidR="00074CC2" w:rsidRPr="00074CC2">
        <w:rPr>
          <w:rFonts w:ascii="Book Antiqua" w:hAnsi="Book Antiqua"/>
          <w:b/>
          <w:bCs/>
        </w:rPr>
        <w:t xml:space="preserve"> </w:t>
      </w:r>
      <w:r w:rsidRPr="00074CC2">
        <w:rPr>
          <w:rFonts w:ascii="Book Antiqua" w:hAnsi="Book Antiqua"/>
          <w:b/>
          <w:bCs/>
        </w:rPr>
        <w:t>patients treated with radical nephroureterectomy for upper urinary tract urothelial carcinoma</w:t>
      </w:r>
    </w:p>
    <w:tbl>
      <w:tblPr>
        <w:tblStyle w:val="a7"/>
        <w:tblW w:w="19953" w:type="dxa"/>
        <w:tblLayout w:type="fixed"/>
        <w:tblLook w:val="04A0" w:firstRow="1" w:lastRow="0" w:firstColumn="1" w:lastColumn="0" w:noHBand="0" w:noVBand="1"/>
      </w:tblPr>
      <w:tblGrid>
        <w:gridCol w:w="2208"/>
        <w:gridCol w:w="756"/>
        <w:gridCol w:w="1258"/>
        <w:gridCol w:w="816"/>
        <w:gridCol w:w="756"/>
        <w:gridCol w:w="1258"/>
        <w:gridCol w:w="853"/>
        <w:gridCol w:w="839"/>
        <w:gridCol w:w="1442"/>
        <w:gridCol w:w="808"/>
        <w:gridCol w:w="876"/>
        <w:gridCol w:w="1197"/>
        <w:gridCol w:w="649"/>
        <w:gridCol w:w="1038"/>
        <w:gridCol w:w="1303"/>
        <w:gridCol w:w="901"/>
        <w:gridCol w:w="862"/>
        <w:gridCol w:w="1146"/>
        <w:gridCol w:w="987"/>
      </w:tblGrid>
      <w:tr w:rsidR="003D1E91" w:rsidRPr="00074CC2" w14:paraId="7179B5B3" w14:textId="2B7738D0" w:rsidTr="003D1E91">
        <w:trPr>
          <w:trHeight w:val="381"/>
        </w:trPr>
        <w:tc>
          <w:tcPr>
            <w:tcW w:w="2208" w:type="dxa"/>
            <w:vMerge w:val="restart"/>
            <w:tcBorders>
              <w:top w:val="single" w:sz="4" w:space="0" w:color="auto"/>
              <w:left w:val="nil"/>
              <w:bottom w:val="nil"/>
              <w:right w:val="nil"/>
            </w:tcBorders>
            <w:shd w:val="clear" w:color="auto" w:fill="auto"/>
          </w:tcPr>
          <w:p w14:paraId="5DAB67B7" w14:textId="77777777" w:rsidR="003D1E91" w:rsidRPr="00074CC2" w:rsidRDefault="003D1E91" w:rsidP="00E842BB">
            <w:pPr>
              <w:snapToGrid w:val="0"/>
              <w:spacing w:line="360" w:lineRule="auto"/>
              <w:jc w:val="both"/>
              <w:rPr>
                <w:rFonts w:ascii="Book Antiqua" w:hAnsi="Book Antiqua" w:cs="Times New Roman"/>
                <w:b/>
              </w:rPr>
            </w:pPr>
          </w:p>
          <w:p w14:paraId="13B6AF99"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Variable</w:t>
            </w:r>
          </w:p>
        </w:tc>
        <w:tc>
          <w:tcPr>
            <w:tcW w:w="5697" w:type="dxa"/>
            <w:gridSpan w:val="6"/>
            <w:tcBorders>
              <w:top w:val="single" w:sz="4" w:space="0" w:color="auto"/>
              <w:left w:val="nil"/>
              <w:bottom w:val="single" w:sz="4" w:space="0" w:color="auto"/>
              <w:right w:val="nil"/>
            </w:tcBorders>
            <w:shd w:val="clear" w:color="auto" w:fill="auto"/>
          </w:tcPr>
          <w:p w14:paraId="782058E4" w14:textId="553AB2A3" w:rsidR="003D1E91" w:rsidRPr="00074CC2" w:rsidRDefault="003D1E91" w:rsidP="00E842BB">
            <w:pPr>
              <w:snapToGrid w:val="0"/>
              <w:spacing w:line="360" w:lineRule="auto"/>
              <w:jc w:val="both"/>
              <w:rPr>
                <w:rFonts w:ascii="Book Antiqua" w:hAnsi="Book Antiqua"/>
                <w:b/>
              </w:rPr>
            </w:pPr>
            <w:r w:rsidRPr="00074CC2">
              <w:rPr>
                <w:rFonts w:ascii="Book Antiqua" w:hAnsi="Book Antiqua"/>
                <w:b/>
              </w:rPr>
              <w:t>IRFS</w:t>
            </w:r>
          </w:p>
        </w:tc>
        <w:tc>
          <w:tcPr>
            <w:tcW w:w="5811" w:type="dxa"/>
            <w:gridSpan w:val="6"/>
            <w:tcBorders>
              <w:top w:val="single" w:sz="4" w:space="0" w:color="auto"/>
              <w:left w:val="nil"/>
              <w:bottom w:val="single" w:sz="4" w:space="0" w:color="auto"/>
              <w:right w:val="nil"/>
            </w:tcBorders>
            <w:shd w:val="clear" w:color="auto" w:fill="auto"/>
          </w:tcPr>
          <w:p w14:paraId="02826B4B" w14:textId="7711F65C" w:rsidR="003D1E91" w:rsidRPr="00074CC2" w:rsidRDefault="003D1E91" w:rsidP="00E842BB">
            <w:pPr>
              <w:snapToGrid w:val="0"/>
              <w:spacing w:line="360" w:lineRule="auto"/>
              <w:jc w:val="both"/>
              <w:rPr>
                <w:rFonts w:ascii="Book Antiqua" w:hAnsi="Book Antiqua"/>
                <w:b/>
              </w:rPr>
            </w:pPr>
            <w:r w:rsidRPr="00074CC2">
              <w:rPr>
                <w:rFonts w:ascii="Book Antiqua" w:hAnsi="Book Antiqua"/>
                <w:b/>
              </w:rPr>
              <w:t>CSS</w:t>
            </w:r>
          </w:p>
        </w:tc>
        <w:tc>
          <w:tcPr>
            <w:tcW w:w="6237" w:type="dxa"/>
            <w:gridSpan w:val="6"/>
            <w:tcBorders>
              <w:left w:val="nil"/>
            </w:tcBorders>
            <w:shd w:val="clear" w:color="auto" w:fill="auto"/>
          </w:tcPr>
          <w:p w14:paraId="17CB4700" w14:textId="2012CF86" w:rsidR="003D1E91" w:rsidRPr="00074CC2" w:rsidRDefault="00A75ABA" w:rsidP="00E842BB">
            <w:pPr>
              <w:snapToGrid w:val="0"/>
              <w:spacing w:line="360" w:lineRule="auto"/>
              <w:jc w:val="both"/>
              <w:rPr>
                <w:rFonts w:ascii="Book Antiqua" w:hAnsi="Book Antiqua"/>
                <w:b/>
              </w:rPr>
            </w:pPr>
            <w:r w:rsidRPr="00074CC2">
              <w:rPr>
                <w:rFonts w:ascii="Book Antiqua" w:hAnsi="Book Antiqua"/>
                <w:b/>
              </w:rPr>
              <w:t>OS</w:t>
            </w:r>
          </w:p>
        </w:tc>
      </w:tr>
      <w:tr w:rsidR="003D1E91" w:rsidRPr="00074CC2" w14:paraId="1733B5FC" w14:textId="77777777" w:rsidTr="003D1E91">
        <w:trPr>
          <w:trHeight w:val="274"/>
        </w:trPr>
        <w:tc>
          <w:tcPr>
            <w:tcW w:w="2208" w:type="dxa"/>
            <w:vMerge/>
            <w:tcBorders>
              <w:top w:val="nil"/>
              <w:left w:val="nil"/>
              <w:bottom w:val="nil"/>
              <w:right w:val="nil"/>
            </w:tcBorders>
            <w:shd w:val="clear" w:color="auto" w:fill="auto"/>
          </w:tcPr>
          <w:p w14:paraId="653C7DE6" w14:textId="77777777" w:rsidR="003D1E91" w:rsidRPr="00074CC2" w:rsidRDefault="003D1E91" w:rsidP="00E842BB">
            <w:pPr>
              <w:snapToGrid w:val="0"/>
              <w:spacing w:line="360" w:lineRule="auto"/>
              <w:jc w:val="both"/>
              <w:rPr>
                <w:rFonts w:ascii="Book Antiqua" w:hAnsi="Book Antiqua" w:cs="Times New Roman"/>
                <w:b/>
              </w:rPr>
            </w:pPr>
          </w:p>
        </w:tc>
        <w:tc>
          <w:tcPr>
            <w:tcW w:w="2830" w:type="dxa"/>
            <w:gridSpan w:val="3"/>
            <w:tcBorders>
              <w:top w:val="single" w:sz="4" w:space="0" w:color="auto"/>
              <w:left w:val="nil"/>
              <w:bottom w:val="single" w:sz="4" w:space="0" w:color="auto"/>
              <w:right w:val="nil"/>
            </w:tcBorders>
            <w:shd w:val="clear" w:color="auto" w:fill="auto"/>
          </w:tcPr>
          <w:p w14:paraId="5CB6D3B8"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Univariate analysis</w:t>
            </w:r>
          </w:p>
        </w:tc>
        <w:tc>
          <w:tcPr>
            <w:tcW w:w="2867" w:type="dxa"/>
            <w:gridSpan w:val="3"/>
            <w:tcBorders>
              <w:top w:val="single" w:sz="4" w:space="0" w:color="auto"/>
              <w:left w:val="nil"/>
              <w:bottom w:val="single" w:sz="4" w:space="0" w:color="auto"/>
              <w:right w:val="nil"/>
            </w:tcBorders>
            <w:shd w:val="clear" w:color="auto" w:fill="auto"/>
          </w:tcPr>
          <w:p w14:paraId="2C3C4638"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Multivariate analysis</w:t>
            </w:r>
          </w:p>
        </w:tc>
        <w:tc>
          <w:tcPr>
            <w:tcW w:w="3089" w:type="dxa"/>
            <w:gridSpan w:val="3"/>
            <w:tcBorders>
              <w:top w:val="single" w:sz="4" w:space="0" w:color="auto"/>
              <w:left w:val="nil"/>
              <w:bottom w:val="single" w:sz="4" w:space="0" w:color="auto"/>
              <w:right w:val="nil"/>
            </w:tcBorders>
            <w:shd w:val="clear" w:color="auto" w:fill="auto"/>
          </w:tcPr>
          <w:p w14:paraId="0E0058C0"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Univariate analysis</w:t>
            </w:r>
          </w:p>
        </w:tc>
        <w:tc>
          <w:tcPr>
            <w:tcW w:w="2722" w:type="dxa"/>
            <w:gridSpan w:val="3"/>
            <w:tcBorders>
              <w:top w:val="single" w:sz="4" w:space="0" w:color="auto"/>
              <w:left w:val="nil"/>
              <w:bottom w:val="single" w:sz="4" w:space="0" w:color="auto"/>
              <w:right w:val="nil"/>
            </w:tcBorders>
            <w:shd w:val="clear" w:color="auto" w:fill="auto"/>
          </w:tcPr>
          <w:p w14:paraId="08485086"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Multivariate analysis</w:t>
            </w:r>
          </w:p>
        </w:tc>
        <w:tc>
          <w:tcPr>
            <w:tcW w:w="3242" w:type="dxa"/>
            <w:gridSpan w:val="3"/>
            <w:tcBorders>
              <w:top w:val="single" w:sz="4" w:space="0" w:color="auto"/>
              <w:left w:val="nil"/>
              <w:bottom w:val="single" w:sz="4" w:space="0" w:color="auto"/>
              <w:right w:val="nil"/>
            </w:tcBorders>
            <w:shd w:val="clear" w:color="auto" w:fill="auto"/>
          </w:tcPr>
          <w:p w14:paraId="6565E084"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Univariate analysis</w:t>
            </w:r>
          </w:p>
        </w:tc>
        <w:tc>
          <w:tcPr>
            <w:tcW w:w="2995" w:type="dxa"/>
            <w:gridSpan w:val="3"/>
            <w:tcBorders>
              <w:top w:val="single" w:sz="4" w:space="0" w:color="auto"/>
              <w:left w:val="nil"/>
              <w:bottom w:val="single" w:sz="4" w:space="0" w:color="auto"/>
              <w:right w:val="nil"/>
            </w:tcBorders>
            <w:shd w:val="clear" w:color="auto" w:fill="auto"/>
          </w:tcPr>
          <w:p w14:paraId="4256CE43"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Multivariate analysis</w:t>
            </w:r>
          </w:p>
        </w:tc>
      </w:tr>
      <w:tr w:rsidR="003D1E91" w:rsidRPr="00074CC2" w14:paraId="75DA3C93" w14:textId="77777777" w:rsidTr="003D1E91">
        <w:trPr>
          <w:trHeight w:val="391"/>
        </w:trPr>
        <w:tc>
          <w:tcPr>
            <w:tcW w:w="2208" w:type="dxa"/>
            <w:vMerge/>
            <w:tcBorders>
              <w:top w:val="nil"/>
              <w:left w:val="nil"/>
              <w:bottom w:val="single" w:sz="4" w:space="0" w:color="auto"/>
              <w:right w:val="nil"/>
            </w:tcBorders>
            <w:shd w:val="clear" w:color="auto" w:fill="auto"/>
          </w:tcPr>
          <w:p w14:paraId="35D94FA0" w14:textId="77777777" w:rsidR="003D1E91" w:rsidRPr="00074CC2" w:rsidRDefault="003D1E91" w:rsidP="00E842BB">
            <w:pPr>
              <w:snapToGrid w:val="0"/>
              <w:spacing w:line="360" w:lineRule="auto"/>
              <w:jc w:val="both"/>
              <w:rPr>
                <w:rFonts w:ascii="Book Antiqua" w:hAnsi="Book Antiqua" w:cs="Times New Roman"/>
                <w:b/>
              </w:rPr>
            </w:pPr>
          </w:p>
        </w:tc>
        <w:tc>
          <w:tcPr>
            <w:tcW w:w="756" w:type="dxa"/>
            <w:tcBorders>
              <w:top w:val="single" w:sz="4" w:space="0" w:color="auto"/>
              <w:left w:val="nil"/>
              <w:bottom w:val="single" w:sz="4" w:space="0" w:color="auto"/>
              <w:right w:val="nil"/>
            </w:tcBorders>
            <w:shd w:val="clear" w:color="auto" w:fill="auto"/>
          </w:tcPr>
          <w:p w14:paraId="6CD0871D"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HR</w:t>
            </w:r>
          </w:p>
        </w:tc>
        <w:tc>
          <w:tcPr>
            <w:tcW w:w="1258" w:type="dxa"/>
            <w:tcBorders>
              <w:top w:val="single" w:sz="4" w:space="0" w:color="auto"/>
              <w:left w:val="nil"/>
              <w:bottom w:val="single" w:sz="4" w:space="0" w:color="auto"/>
              <w:right w:val="nil"/>
            </w:tcBorders>
            <w:shd w:val="clear" w:color="auto" w:fill="auto"/>
          </w:tcPr>
          <w:p w14:paraId="16DC4326"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95%CI</w:t>
            </w:r>
          </w:p>
        </w:tc>
        <w:tc>
          <w:tcPr>
            <w:tcW w:w="816" w:type="dxa"/>
            <w:tcBorders>
              <w:top w:val="single" w:sz="4" w:space="0" w:color="auto"/>
              <w:left w:val="nil"/>
              <w:bottom w:val="single" w:sz="4" w:space="0" w:color="auto"/>
              <w:right w:val="nil"/>
            </w:tcBorders>
            <w:shd w:val="clear" w:color="auto" w:fill="auto"/>
          </w:tcPr>
          <w:p w14:paraId="1B08B397" w14:textId="0780906D" w:rsidR="003D1E91" w:rsidRPr="00074CC2" w:rsidRDefault="003D1E91" w:rsidP="00E842BB">
            <w:pPr>
              <w:snapToGrid w:val="0"/>
              <w:spacing w:line="360" w:lineRule="auto"/>
              <w:jc w:val="both"/>
              <w:rPr>
                <w:rFonts w:ascii="Book Antiqua" w:hAnsi="Book Antiqua" w:cs="Times New Roman"/>
                <w:b/>
                <w:i/>
                <w:iCs/>
              </w:rPr>
            </w:pPr>
            <w:r w:rsidRPr="00074CC2">
              <w:rPr>
                <w:rFonts w:ascii="Book Antiqua" w:hAnsi="Book Antiqua"/>
                <w:b/>
                <w:i/>
                <w:iCs/>
              </w:rPr>
              <w:t xml:space="preserve">P </w:t>
            </w:r>
            <w:r w:rsidRPr="00074CC2">
              <w:rPr>
                <w:rFonts w:ascii="Book Antiqua" w:hAnsi="Book Antiqua"/>
                <w:b/>
                <w:iCs/>
              </w:rPr>
              <w:t>value</w:t>
            </w:r>
            <w:r w:rsidRPr="00074CC2">
              <w:rPr>
                <w:rFonts w:ascii="Book Antiqua" w:hAnsi="Book Antiqua"/>
                <w:b/>
                <w:i/>
                <w:iCs/>
              </w:rPr>
              <w:t xml:space="preserve"> </w:t>
            </w:r>
          </w:p>
        </w:tc>
        <w:tc>
          <w:tcPr>
            <w:tcW w:w="756" w:type="dxa"/>
            <w:tcBorders>
              <w:top w:val="single" w:sz="4" w:space="0" w:color="auto"/>
              <w:left w:val="nil"/>
              <w:bottom w:val="single" w:sz="4" w:space="0" w:color="auto"/>
              <w:right w:val="nil"/>
            </w:tcBorders>
            <w:shd w:val="clear" w:color="auto" w:fill="auto"/>
          </w:tcPr>
          <w:p w14:paraId="6C818E16"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HR</w:t>
            </w:r>
          </w:p>
        </w:tc>
        <w:tc>
          <w:tcPr>
            <w:tcW w:w="1258" w:type="dxa"/>
            <w:tcBorders>
              <w:top w:val="single" w:sz="4" w:space="0" w:color="auto"/>
              <w:left w:val="nil"/>
              <w:bottom w:val="single" w:sz="4" w:space="0" w:color="auto"/>
              <w:right w:val="nil"/>
            </w:tcBorders>
            <w:shd w:val="clear" w:color="auto" w:fill="auto"/>
          </w:tcPr>
          <w:p w14:paraId="4134D17C"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95%CI</w:t>
            </w:r>
          </w:p>
        </w:tc>
        <w:tc>
          <w:tcPr>
            <w:tcW w:w="853" w:type="dxa"/>
            <w:tcBorders>
              <w:top w:val="single" w:sz="4" w:space="0" w:color="auto"/>
              <w:left w:val="nil"/>
              <w:bottom w:val="single" w:sz="4" w:space="0" w:color="auto"/>
              <w:right w:val="nil"/>
            </w:tcBorders>
            <w:shd w:val="clear" w:color="auto" w:fill="auto"/>
          </w:tcPr>
          <w:p w14:paraId="225566AD" w14:textId="733B8895" w:rsidR="003D1E91" w:rsidRPr="00074CC2" w:rsidRDefault="003D1E91" w:rsidP="00E842BB">
            <w:pPr>
              <w:snapToGrid w:val="0"/>
              <w:spacing w:line="360" w:lineRule="auto"/>
              <w:jc w:val="both"/>
              <w:rPr>
                <w:rFonts w:ascii="Book Antiqua" w:hAnsi="Book Antiqua" w:cs="Times New Roman"/>
                <w:b/>
                <w:i/>
                <w:iCs/>
              </w:rPr>
            </w:pPr>
            <w:r w:rsidRPr="00074CC2">
              <w:rPr>
                <w:rFonts w:ascii="Book Antiqua" w:hAnsi="Book Antiqua"/>
                <w:b/>
                <w:i/>
                <w:iCs/>
              </w:rPr>
              <w:t xml:space="preserve">P </w:t>
            </w:r>
            <w:r w:rsidRPr="00074CC2">
              <w:rPr>
                <w:rFonts w:ascii="Book Antiqua" w:hAnsi="Book Antiqua"/>
                <w:b/>
                <w:iCs/>
              </w:rPr>
              <w:t>value</w:t>
            </w:r>
          </w:p>
        </w:tc>
        <w:tc>
          <w:tcPr>
            <w:tcW w:w="839" w:type="dxa"/>
            <w:tcBorders>
              <w:top w:val="single" w:sz="4" w:space="0" w:color="auto"/>
              <w:left w:val="nil"/>
              <w:bottom w:val="single" w:sz="4" w:space="0" w:color="auto"/>
              <w:right w:val="nil"/>
            </w:tcBorders>
            <w:shd w:val="clear" w:color="auto" w:fill="auto"/>
          </w:tcPr>
          <w:p w14:paraId="54A8D95C"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HR</w:t>
            </w:r>
          </w:p>
        </w:tc>
        <w:tc>
          <w:tcPr>
            <w:tcW w:w="1442" w:type="dxa"/>
            <w:tcBorders>
              <w:top w:val="single" w:sz="4" w:space="0" w:color="auto"/>
              <w:left w:val="nil"/>
              <w:bottom w:val="single" w:sz="4" w:space="0" w:color="auto"/>
              <w:right w:val="nil"/>
            </w:tcBorders>
            <w:shd w:val="clear" w:color="auto" w:fill="auto"/>
          </w:tcPr>
          <w:p w14:paraId="6CA77C3B"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95%CI</w:t>
            </w:r>
          </w:p>
        </w:tc>
        <w:tc>
          <w:tcPr>
            <w:tcW w:w="808" w:type="dxa"/>
            <w:tcBorders>
              <w:top w:val="single" w:sz="4" w:space="0" w:color="auto"/>
              <w:left w:val="nil"/>
              <w:bottom w:val="single" w:sz="4" w:space="0" w:color="auto"/>
              <w:right w:val="nil"/>
            </w:tcBorders>
            <w:shd w:val="clear" w:color="auto" w:fill="auto"/>
          </w:tcPr>
          <w:p w14:paraId="7055CD28" w14:textId="190E8BE7" w:rsidR="003D1E91" w:rsidRPr="00074CC2" w:rsidRDefault="003D1E91" w:rsidP="00E842BB">
            <w:pPr>
              <w:snapToGrid w:val="0"/>
              <w:spacing w:line="360" w:lineRule="auto"/>
              <w:jc w:val="both"/>
              <w:rPr>
                <w:rFonts w:ascii="Book Antiqua" w:hAnsi="Book Antiqua" w:cs="Times New Roman"/>
                <w:b/>
                <w:i/>
                <w:iCs/>
              </w:rPr>
            </w:pPr>
            <w:r w:rsidRPr="00074CC2">
              <w:rPr>
                <w:rFonts w:ascii="Book Antiqua" w:hAnsi="Book Antiqua"/>
                <w:b/>
                <w:i/>
                <w:iCs/>
              </w:rPr>
              <w:t xml:space="preserve">P </w:t>
            </w:r>
            <w:r w:rsidRPr="00074CC2">
              <w:rPr>
                <w:rFonts w:ascii="Book Antiqua" w:hAnsi="Book Antiqua"/>
                <w:b/>
                <w:iCs/>
              </w:rPr>
              <w:t>value</w:t>
            </w:r>
          </w:p>
        </w:tc>
        <w:tc>
          <w:tcPr>
            <w:tcW w:w="876" w:type="dxa"/>
            <w:tcBorders>
              <w:top w:val="single" w:sz="4" w:space="0" w:color="auto"/>
              <w:left w:val="nil"/>
              <w:bottom w:val="single" w:sz="4" w:space="0" w:color="auto"/>
              <w:right w:val="nil"/>
            </w:tcBorders>
            <w:shd w:val="clear" w:color="auto" w:fill="auto"/>
          </w:tcPr>
          <w:p w14:paraId="3D6F679A"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HR</w:t>
            </w:r>
          </w:p>
        </w:tc>
        <w:tc>
          <w:tcPr>
            <w:tcW w:w="1197" w:type="dxa"/>
            <w:tcBorders>
              <w:top w:val="single" w:sz="4" w:space="0" w:color="auto"/>
              <w:left w:val="nil"/>
              <w:bottom w:val="single" w:sz="4" w:space="0" w:color="auto"/>
              <w:right w:val="nil"/>
            </w:tcBorders>
            <w:shd w:val="clear" w:color="auto" w:fill="auto"/>
          </w:tcPr>
          <w:p w14:paraId="75E652B6"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95%CI</w:t>
            </w:r>
          </w:p>
        </w:tc>
        <w:tc>
          <w:tcPr>
            <w:tcW w:w="649" w:type="dxa"/>
            <w:tcBorders>
              <w:top w:val="single" w:sz="4" w:space="0" w:color="auto"/>
              <w:left w:val="nil"/>
              <w:bottom w:val="single" w:sz="4" w:space="0" w:color="auto"/>
              <w:right w:val="nil"/>
            </w:tcBorders>
            <w:shd w:val="clear" w:color="auto" w:fill="auto"/>
          </w:tcPr>
          <w:p w14:paraId="2000132B" w14:textId="23087A13" w:rsidR="003D1E91" w:rsidRPr="00074CC2" w:rsidRDefault="003D1E91" w:rsidP="00E842BB">
            <w:pPr>
              <w:snapToGrid w:val="0"/>
              <w:spacing w:line="360" w:lineRule="auto"/>
              <w:jc w:val="both"/>
              <w:rPr>
                <w:rFonts w:ascii="Book Antiqua" w:hAnsi="Book Antiqua" w:cs="Times New Roman"/>
                <w:b/>
                <w:i/>
                <w:iCs/>
              </w:rPr>
            </w:pPr>
            <w:r w:rsidRPr="00074CC2">
              <w:rPr>
                <w:rFonts w:ascii="Book Antiqua" w:hAnsi="Book Antiqua"/>
                <w:b/>
                <w:i/>
                <w:iCs/>
              </w:rPr>
              <w:t xml:space="preserve">P </w:t>
            </w:r>
            <w:r w:rsidRPr="00074CC2">
              <w:rPr>
                <w:rFonts w:ascii="Book Antiqua" w:hAnsi="Book Antiqua"/>
                <w:b/>
                <w:iCs/>
              </w:rPr>
              <w:t>value</w:t>
            </w:r>
          </w:p>
        </w:tc>
        <w:tc>
          <w:tcPr>
            <w:tcW w:w="1038" w:type="dxa"/>
            <w:tcBorders>
              <w:top w:val="single" w:sz="4" w:space="0" w:color="auto"/>
              <w:left w:val="nil"/>
              <w:bottom w:val="single" w:sz="4" w:space="0" w:color="auto"/>
              <w:right w:val="nil"/>
            </w:tcBorders>
            <w:shd w:val="clear" w:color="auto" w:fill="auto"/>
          </w:tcPr>
          <w:p w14:paraId="27927EF9"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HR</w:t>
            </w:r>
          </w:p>
        </w:tc>
        <w:tc>
          <w:tcPr>
            <w:tcW w:w="1303" w:type="dxa"/>
            <w:tcBorders>
              <w:top w:val="single" w:sz="4" w:space="0" w:color="auto"/>
              <w:left w:val="nil"/>
              <w:bottom w:val="single" w:sz="4" w:space="0" w:color="auto"/>
              <w:right w:val="nil"/>
            </w:tcBorders>
            <w:shd w:val="clear" w:color="auto" w:fill="auto"/>
          </w:tcPr>
          <w:p w14:paraId="3A1DEECC"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95%CI</w:t>
            </w:r>
          </w:p>
        </w:tc>
        <w:tc>
          <w:tcPr>
            <w:tcW w:w="901" w:type="dxa"/>
            <w:tcBorders>
              <w:top w:val="single" w:sz="4" w:space="0" w:color="auto"/>
              <w:left w:val="nil"/>
              <w:bottom w:val="single" w:sz="4" w:space="0" w:color="auto"/>
              <w:right w:val="nil"/>
            </w:tcBorders>
            <w:shd w:val="clear" w:color="auto" w:fill="auto"/>
          </w:tcPr>
          <w:p w14:paraId="295EE7DF" w14:textId="0D36A7E1" w:rsidR="003D1E91" w:rsidRPr="00074CC2" w:rsidRDefault="003D1E91" w:rsidP="00E842BB">
            <w:pPr>
              <w:snapToGrid w:val="0"/>
              <w:spacing w:line="360" w:lineRule="auto"/>
              <w:jc w:val="both"/>
              <w:rPr>
                <w:rFonts w:ascii="Book Antiqua" w:hAnsi="Book Antiqua" w:cs="Times New Roman"/>
                <w:b/>
                <w:i/>
                <w:iCs/>
              </w:rPr>
            </w:pPr>
            <w:r w:rsidRPr="00074CC2">
              <w:rPr>
                <w:rFonts w:ascii="Book Antiqua" w:hAnsi="Book Antiqua"/>
                <w:b/>
                <w:i/>
                <w:iCs/>
              </w:rPr>
              <w:t xml:space="preserve">P </w:t>
            </w:r>
            <w:r w:rsidRPr="00074CC2">
              <w:rPr>
                <w:rFonts w:ascii="Book Antiqua" w:hAnsi="Book Antiqua"/>
                <w:b/>
                <w:iCs/>
              </w:rPr>
              <w:t>value</w:t>
            </w:r>
          </w:p>
        </w:tc>
        <w:tc>
          <w:tcPr>
            <w:tcW w:w="862" w:type="dxa"/>
            <w:tcBorders>
              <w:top w:val="nil"/>
              <w:left w:val="nil"/>
              <w:bottom w:val="single" w:sz="4" w:space="0" w:color="auto"/>
              <w:right w:val="nil"/>
            </w:tcBorders>
            <w:shd w:val="clear" w:color="auto" w:fill="auto"/>
          </w:tcPr>
          <w:p w14:paraId="392C0908"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HR</w:t>
            </w:r>
          </w:p>
        </w:tc>
        <w:tc>
          <w:tcPr>
            <w:tcW w:w="1146" w:type="dxa"/>
            <w:tcBorders>
              <w:top w:val="nil"/>
              <w:left w:val="nil"/>
              <w:bottom w:val="single" w:sz="4" w:space="0" w:color="auto"/>
              <w:right w:val="nil"/>
            </w:tcBorders>
            <w:shd w:val="clear" w:color="auto" w:fill="auto"/>
          </w:tcPr>
          <w:p w14:paraId="69633D5D" w14:textId="77777777" w:rsidR="003D1E91" w:rsidRPr="00074CC2" w:rsidRDefault="003D1E91" w:rsidP="00E842BB">
            <w:pPr>
              <w:snapToGrid w:val="0"/>
              <w:spacing w:line="360" w:lineRule="auto"/>
              <w:jc w:val="both"/>
              <w:rPr>
                <w:rFonts w:ascii="Book Antiqua" w:hAnsi="Book Antiqua" w:cs="Times New Roman"/>
                <w:b/>
              </w:rPr>
            </w:pPr>
            <w:r w:rsidRPr="00074CC2">
              <w:rPr>
                <w:rFonts w:ascii="Book Antiqua" w:hAnsi="Book Antiqua"/>
                <w:b/>
              </w:rPr>
              <w:t>95%CI</w:t>
            </w:r>
          </w:p>
        </w:tc>
        <w:tc>
          <w:tcPr>
            <w:tcW w:w="987" w:type="dxa"/>
            <w:tcBorders>
              <w:top w:val="nil"/>
              <w:left w:val="nil"/>
              <w:bottom w:val="single" w:sz="4" w:space="0" w:color="auto"/>
              <w:right w:val="nil"/>
            </w:tcBorders>
            <w:shd w:val="clear" w:color="auto" w:fill="auto"/>
          </w:tcPr>
          <w:p w14:paraId="1F36013D" w14:textId="349184EA" w:rsidR="003D1E91" w:rsidRPr="00074CC2" w:rsidRDefault="003D1E91" w:rsidP="00E842BB">
            <w:pPr>
              <w:snapToGrid w:val="0"/>
              <w:spacing w:line="360" w:lineRule="auto"/>
              <w:jc w:val="both"/>
              <w:rPr>
                <w:rFonts w:ascii="Book Antiqua" w:hAnsi="Book Antiqua" w:cs="Times New Roman"/>
                <w:b/>
                <w:i/>
                <w:iCs/>
              </w:rPr>
            </w:pPr>
            <w:r w:rsidRPr="00074CC2">
              <w:rPr>
                <w:rFonts w:ascii="Book Antiqua" w:hAnsi="Book Antiqua"/>
                <w:b/>
                <w:i/>
                <w:iCs/>
              </w:rPr>
              <w:t xml:space="preserve">P </w:t>
            </w:r>
            <w:r w:rsidRPr="00074CC2">
              <w:rPr>
                <w:rFonts w:ascii="Book Antiqua" w:hAnsi="Book Antiqua"/>
                <w:b/>
                <w:iCs/>
              </w:rPr>
              <w:t>value</w:t>
            </w:r>
          </w:p>
        </w:tc>
      </w:tr>
      <w:tr w:rsidR="003D1E91" w:rsidRPr="00074CC2" w14:paraId="2B1DECBC" w14:textId="77777777" w:rsidTr="003D1E91">
        <w:trPr>
          <w:trHeight w:val="411"/>
        </w:trPr>
        <w:tc>
          <w:tcPr>
            <w:tcW w:w="2208" w:type="dxa"/>
            <w:tcBorders>
              <w:top w:val="single" w:sz="4" w:space="0" w:color="auto"/>
              <w:left w:val="nil"/>
              <w:bottom w:val="nil"/>
              <w:right w:val="nil"/>
            </w:tcBorders>
            <w:shd w:val="clear" w:color="auto" w:fill="auto"/>
          </w:tcPr>
          <w:p w14:paraId="5052D52D" w14:textId="7939D8D8"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Age &lt; 70</w:t>
            </w:r>
            <w:r w:rsidR="00266D03" w:rsidRPr="00074CC2">
              <w:rPr>
                <w:rFonts w:ascii="Book Antiqua" w:hAnsi="Book Antiqua"/>
              </w:rPr>
              <w:t xml:space="preserve"> </w:t>
            </w:r>
            <w:proofErr w:type="spellStart"/>
            <w:r w:rsidRPr="00074CC2">
              <w:rPr>
                <w:rFonts w:ascii="Book Antiqua" w:hAnsi="Book Antiqua"/>
              </w:rPr>
              <w:t>y</w:t>
            </w:r>
            <w:r w:rsidR="00266D03" w:rsidRPr="00074CC2">
              <w:rPr>
                <w:rFonts w:ascii="Book Antiqua" w:hAnsi="Book Antiqua"/>
              </w:rPr>
              <w:t>r</w:t>
            </w:r>
            <w:proofErr w:type="spellEnd"/>
            <w:r w:rsidRPr="00074CC2">
              <w:rPr>
                <w:rFonts w:ascii="Book Antiqua" w:hAnsi="Book Antiqua"/>
              </w:rPr>
              <w:t xml:space="preserve"> </w:t>
            </w:r>
            <w:r w:rsidRPr="00074CC2">
              <w:rPr>
                <w:rFonts w:ascii="Book Antiqua" w:hAnsi="Book Antiqua"/>
                <w:i/>
              </w:rPr>
              <w:t>vs</w:t>
            </w:r>
            <w:r w:rsidRPr="00074CC2">
              <w:rPr>
                <w:rFonts w:ascii="Book Antiqua" w:hAnsi="Book Antiqua" w:hint="eastAsia"/>
              </w:rPr>
              <w:t xml:space="preserve"> age </w:t>
            </w:r>
            <w:r w:rsidRPr="00074CC2">
              <w:rPr>
                <w:rFonts w:ascii="Book Antiqua" w:hAnsi="Book Antiqua" w:hint="eastAsia"/>
              </w:rPr>
              <w:t>≥</w:t>
            </w:r>
            <w:r w:rsidRPr="00074CC2">
              <w:rPr>
                <w:rFonts w:ascii="Book Antiqua" w:hAnsi="Book Antiqua" w:hint="eastAsia"/>
              </w:rPr>
              <w:t xml:space="preserve"> 70</w:t>
            </w:r>
            <w:r w:rsidR="00266D03" w:rsidRPr="00074CC2">
              <w:rPr>
                <w:rFonts w:ascii="Book Antiqua" w:hAnsi="Book Antiqua"/>
              </w:rPr>
              <w:t xml:space="preserve"> </w:t>
            </w:r>
            <w:proofErr w:type="spellStart"/>
            <w:r w:rsidRPr="00074CC2">
              <w:rPr>
                <w:rFonts w:ascii="Book Antiqua" w:hAnsi="Book Antiqua"/>
              </w:rPr>
              <w:t>y</w:t>
            </w:r>
            <w:r w:rsidR="00266D03" w:rsidRPr="00074CC2">
              <w:rPr>
                <w:rFonts w:ascii="Book Antiqua" w:hAnsi="Book Antiqua"/>
              </w:rPr>
              <w:t>r</w:t>
            </w:r>
            <w:proofErr w:type="spellEnd"/>
          </w:p>
        </w:tc>
        <w:tc>
          <w:tcPr>
            <w:tcW w:w="756" w:type="dxa"/>
            <w:tcBorders>
              <w:top w:val="single" w:sz="4" w:space="0" w:color="auto"/>
              <w:left w:val="nil"/>
              <w:bottom w:val="nil"/>
              <w:right w:val="nil"/>
            </w:tcBorders>
            <w:shd w:val="clear" w:color="auto" w:fill="auto"/>
          </w:tcPr>
          <w:p w14:paraId="14C9104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0.799</w:t>
            </w:r>
          </w:p>
        </w:tc>
        <w:tc>
          <w:tcPr>
            <w:tcW w:w="1258" w:type="dxa"/>
            <w:tcBorders>
              <w:top w:val="single" w:sz="4" w:space="0" w:color="auto"/>
              <w:left w:val="nil"/>
              <w:bottom w:val="nil"/>
              <w:right w:val="nil"/>
            </w:tcBorders>
            <w:shd w:val="clear" w:color="auto" w:fill="auto"/>
          </w:tcPr>
          <w:p w14:paraId="0081D04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0.412-1.550</w:t>
            </w:r>
          </w:p>
        </w:tc>
        <w:tc>
          <w:tcPr>
            <w:tcW w:w="816" w:type="dxa"/>
            <w:tcBorders>
              <w:top w:val="single" w:sz="4" w:space="0" w:color="auto"/>
              <w:left w:val="nil"/>
              <w:bottom w:val="nil"/>
              <w:right w:val="nil"/>
            </w:tcBorders>
            <w:shd w:val="clear" w:color="auto" w:fill="auto"/>
          </w:tcPr>
          <w:p w14:paraId="0F2009E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0.507</w:t>
            </w:r>
          </w:p>
        </w:tc>
        <w:tc>
          <w:tcPr>
            <w:tcW w:w="756" w:type="dxa"/>
            <w:tcBorders>
              <w:top w:val="single" w:sz="4" w:space="0" w:color="auto"/>
              <w:left w:val="nil"/>
              <w:bottom w:val="nil"/>
              <w:right w:val="nil"/>
            </w:tcBorders>
            <w:shd w:val="clear" w:color="auto" w:fill="auto"/>
          </w:tcPr>
          <w:p w14:paraId="2C2D380A"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single" w:sz="4" w:space="0" w:color="auto"/>
              <w:left w:val="nil"/>
              <w:bottom w:val="nil"/>
              <w:right w:val="nil"/>
            </w:tcBorders>
            <w:shd w:val="clear" w:color="auto" w:fill="auto"/>
          </w:tcPr>
          <w:p w14:paraId="5DCBA1CF"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single" w:sz="4" w:space="0" w:color="auto"/>
              <w:left w:val="nil"/>
              <w:bottom w:val="nil"/>
              <w:right w:val="nil"/>
            </w:tcBorders>
            <w:shd w:val="clear" w:color="auto" w:fill="auto"/>
          </w:tcPr>
          <w:p w14:paraId="680B7BA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39" w:type="dxa"/>
            <w:tcBorders>
              <w:top w:val="single" w:sz="4" w:space="0" w:color="auto"/>
              <w:left w:val="nil"/>
              <w:bottom w:val="nil"/>
              <w:right w:val="nil"/>
            </w:tcBorders>
            <w:shd w:val="clear" w:color="auto" w:fill="auto"/>
          </w:tcPr>
          <w:p w14:paraId="0F3BC09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0.968</w:t>
            </w:r>
          </w:p>
        </w:tc>
        <w:tc>
          <w:tcPr>
            <w:tcW w:w="1442" w:type="dxa"/>
            <w:tcBorders>
              <w:top w:val="single" w:sz="4" w:space="0" w:color="auto"/>
              <w:left w:val="nil"/>
              <w:bottom w:val="nil"/>
              <w:right w:val="nil"/>
            </w:tcBorders>
            <w:shd w:val="clear" w:color="auto" w:fill="auto"/>
          </w:tcPr>
          <w:p w14:paraId="02580D5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0.398-2.353</w:t>
            </w:r>
          </w:p>
        </w:tc>
        <w:tc>
          <w:tcPr>
            <w:tcW w:w="808" w:type="dxa"/>
            <w:tcBorders>
              <w:top w:val="single" w:sz="4" w:space="0" w:color="auto"/>
              <w:left w:val="nil"/>
              <w:bottom w:val="nil"/>
              <w:right w:val="nil"/>
            </w:tcBorders>
            <w:shd w:val="clear" w:color="auto" w:fill="auto"/>
          </w:tcPr>
          <w:p w14:paraId="07057E9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0.943</w:t>
            </w:r>
          </w:p>
        </w:tc>
        <w:tc>
          <w:tcPr>
            <w:tcW w:w="876" w:type="dxa"/>
            <w:tcBorders>
              <w:top w:val="single" w:sz="4" w:space="0" w:color="auto"/>
              <w:left w:val="nil"/>
              <w:bottom w:val="nil"/>
              <w:right w:val="nil"/>
            </w:tcBorders>
            <w:shd w:val="clear" w:color="auto" w:fill="auto"/>
          </w:tcPr>
          <w:p w14:paraId="3D1DFD66"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single" w:sz="4" w:space="0" w:color="auto"/>
              <w:left w:val="nil"/>
              <w:bottom w:val="nil"/>
              <w:right w:val="nil"/>
            </w:tcBorders>
            <w:shd w:val="clear" w:color="auto" w:fill="auto"/>
          </w:tcPr>
          <w:p w14:paraId="428EFA36"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single" w:sz="4" w:space="0" w:color="auto"/>
              <w:left w:val="nil"/>
              <w:bottom w:val="nil"/>
              <w:right w:val="nil"/>
            </w:tcBorders>
            <w:shd w:val="clear" w:color="auto" w:fill="auto"/>
          </w:tcPr>
          <w:p w14:paraId="0221C063"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single" w:sz="4" w:space="0" w:color="auto"/>
              <w:left w:val="nil"/>
              <w:bottom w:val="nil"/>
              <w:right w:val="nil"/>
            </w:tcBorders>
            <w:shd w:val="clear" w:color="auto" w:fill="auto"/>
          </w:tcPr>
          <w:p w14:paraId="63A86F3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1.340</w:t>
            </w:r>
          </w:p>
        </w:tc>
        <w:tc>
          <w:tcPr>
            <w:tcW w:w="1303" w:type="dxa"/>
            <w:tcBorders>
              <w:top w:val="single" w:sz="4" w:space="0" w:color="auto"/>
              <w:left w:val="nil"/>
              <w:bottom w:val="nil"/>
              <w:right w:val="nil"/>
            </w:tcBorders>
            <w:shd w:val="clear" w:color="auto" w:fill="auto"/>
          </w:tcPr>
          <w:p w14:paraId="4FBFB39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0.656-2.737</w:t>
            </w:r>
          </w:p>
        </w:tc>
        <w:tc>
          <w:tcPr>
            <w:tcW w:w="901" w:type="dxa"/>
            <w:tcBorders>
              <w:top w:val="single" w:sz="4" w:space="0" w:color="auto"/>
              <w:left w:val="nil"/>
              <w:bottom w:val="nil"/>
              <w:right w:val="nil"/>
            </w:tcBorders>
            <w:shd w:val="clear" w:color="auto" w:fill="auto"/>
          </w:tcPr>
          <w:p w14:paraId="0858EE6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0.421</w:t>
            </w:r>
          </w:p>
        </w:tc>
        <w:tc>
          <w:tcPr>
            <w:tcW w:w="862" w:type="dxa"/>
            <w:tcBorders>
              <w:top w:val="single" w:sz="4" w:space="0" w:color="auto"/>
              <w:left w:val="nil"/>
              <w:bottom w:val="nil"/>
              <w:right w:val="nil"/>
            </w:tcBorders>
            <w:shd w:val="clear" w:color="auto" w:fill="auto"/>
          </w:tcPr>
          <w:p w14:paraId="55E89696"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single" w:sz="4" w:space="0" w:color="auto"/>
              <w:left w:val="nil"/>
              <w:bottom w:val="nil"/>
              <w:right w:val="nil"/>
            </w:tcBorders>
            <w:shd w:val="clear" w:color="auto" w:fill="auto"/>
          </w:tcPr>
          <w:p w14:paraId="56E5E570"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4C9FD792"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0618E52D" w14:textId="77777777" w:rsidTr="003D1E91">
        <w:trPr>
          <w:trHeight w:val="432"/>
        </w:trPr>
        <w:tc>
          <w:tcPr>
            <w:tcW w:w="2208" w:type="dxa"/>
            <w:tcBorders>
              <w:top w:val="nil"/>
              <w:left w:val="nil"/>
              <w:bottom w:val="nil"/>
              <w:right w:val="nil"/>
            </w:tcBorders>
            <w:shd w:val="clear" w:color="auto" w:fill="auto"/>
          </w:tcPr>
          <w:p w14:paraId="360FA2F7" w14:textId="77C08DCB"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 xml:space="preserve">Male </w:t>
            </w:r>
            <w:r w:rsidRPr="00074CC2">
              <w:rPr>
                <w:rFonts w:ascii="Book Antiqua" w:hAnsi="Book Antiqua"/>
                <w:i/>
              </w:rPr>
              <w:t xml:space="preserve">vs </w:t>
            </w:r>
            <w:r w:rsidR="00074CC2">
              <w:rPr>
                <w:rFonts w:ascii="Book Antiqua" w:hAnsi="Book Antiqua" w:cs="Times New Roman"/>
              </w:rPr>
              <w:t>f</w:t>
            </w:r>
            <w:r w:rsidRPr="00074CC2">
              <w:rPr>
                <w:rFonts w:ascii="Book Antiqua" w:hAnsi="Book Antiqua"/>
              </w:rPr>
              <w:t>emale</w:t>
            </w:r>
          </w:p>
        </w:tc>
        <w:tc>
          <w:tcPr>
            <w:tcW w:w="756" w:type="dxa"/>
            <w:tcBorders>
              <w:top w:val="nil"/>
              <w:left w:val="nil"/>
              <w:bottom w:val="nil"/>
              <w:right w:val="nil"/>
            </w:tcBorders>
            <w:shd w:val="clear" w:color="auto" w:fill="auto"/>
          </w:tcPr>
          <w:p w14:paraId="10EBC03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0.535</w:t>
            </w:r>
          </w:p>
        </w:tc>
        <w:tc>
          <w:tcPr>
            <w:tcW w:w="1258" w:type="dxa"/>
            <w:tcBorders>
              <w:top w:val="nil"/>
              <w:left w:val="nil"/>
              <w:bottom w:val="nil"/>
              <w:right w:val="nil"/>
            </w:tcBorders>
            <w:shd w:val="clear" w:color="auto" w:fill="auto"/>
          </w:tcPr>
          <w:p w14:paraId="3F38BED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0.273-1.047</w:t>
            </w:r>
          </w:p>
        </w:tc>
        <w:tc>
          <w:tcPr>
            <w:tcW w:w="816" w:type="dxa"/>
            <w:tcBorders>
              <w:top w:val="nil"/>
              <w:left w:val="nil"/>
              <w:bottom w:val="nil"/>
              <w:right w:val="nil"/>
            </w:tcBorders>
            <w:shd w:val="clear" w:color="auto" w:fill="auto"/>
          </w:tcPr>
          <w:p w14:paraId="7EFE09E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0.068</w:t>
            </w:r>
          </w:p>
        </w:tc>
        <w:tc>
          <w:tcPr>
            <w:tcW w:w="756" w:type="dxa"/>
            <w:tcBorders>
              <w:top w:val="nil"/>
              <w:left w:val="nil"/>
              <w:bottom w:val="nil"/>
              <w:right w:val="nil"/>
            </w:tcBorders>
            <w:shd w:val="clear" w:color="auto" w:fill="auto"/>
          </w:tcPr>
          <w:p w14:paraId="2D21AA67"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7F930D5A"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4774310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39" w:type="dxa"/>
            <w:tcBorders>
              <w:top w:val="nil"/>
              <w:left w:val="nil"/>
              <w:bottom w:val="nil"/>
              <w:right w:val="nil"/>
            </w:tcBorders>
            <w:shd w:val="clear" w:color="auto" w:fill="auto"/>
          </w:tcPr>
          <w:p w14:paraId="709C894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0.820</w:t>
            </w:r>
          </w:p>
        </w:tc>
        <w:tc>
          <w:tcPr>
            <w:tcW w:w="1442" w:type="dxa"/>
            <w:tcBorders>
              <w:top w:val="nil"/>
              <w:left w:val="nil"/>
              <w:bottom w:val="nil"/>
              <w:right w:val="nil"/>
            </w:tcBorders>
            <w:shd w:val="clear" w:color="auto" w:fill="auto"/>
          </w:tcPr>
          <w:p w14:paraId="404C6FB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0.339-1.986</w:t>
            </w:r>
          </w:p>
        </w:tc>
        <w:tc>
          <w:tcPr>
            <w:tcW w:w="808" w:type="dxa"/>
            <w:tcBorders>
              <w:top w:val="nil"/>
              <w:left w:val="nil"/>
              <w:bottom w:val="nil"/>
              <w:right w:val="nil"/>
            </w:tcBorders>
            <w:shd w:val="clear" w:color="auto" w:fill="auto"/>
          </w:tcPr>
          <w:p w14:paraId="4F65CAF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0.661</w:t>
            </w:r>
          </w:p>
        </w:tc>
        <w:tc>
          <w:tcPr>
            <w:tcW w:w="876" w:type="dxa"/>
            <w:tcBorders>
              <w:top w:val="nil"/>
              <w:left w:val="nil"/>
              <w:bottom w:val="nil"/>
              <w:right w:val="nil"/>
            </w:tcBorders>
            <w:shd w:val="clear" w:color="auto" w:fill="auto"/>
          </w:tcPr>
          <w:p w14:paraId="1943515F"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46957BC8"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6FBA926D"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33C977E1"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0.644</w:t>
            </w:r>
          </w:p>
        </w:tc>
        <w:tc>
          <w:tcPr>
            <w:tcW w:w="1303" w:type="dxa"/>
            <w:tcBorders>
              <w:top w:val="nil"/>
              <w:left w:val="nil"/>
              <w:bottom w:val="nil"/>
              <w:right w:val="nil"/>
            </w:tcBorders>
            <w:shd w:val="clear" w:color="auto" w:fill="auto"/>
          </w:tcPr>
          <w:p w14:paraId="5308C8E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0.315-1.319</w:t>
            </w:r>
          </w:p>
        </w:tc>
        <w:tc>
          <w:tcPr>
            <w:tcW w:w="901" w:type="dxa"/>
            <w:tcBorders>
              <w:top w:val="nil"/>
              <w:left w:val="nil"/>
              <w:bottom w:val="nil"/>
              <w:right w:val="nil"/>
            </w:tcBorders>
            <w:shd w:val="clear" w:color="auto" w:fill="auto"/>
          </w:tcPr>
          <w:p w14:paraId="131041C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0.229</w:t>
            </w:r>
          </w:p>
        </w:tc>
        <w:tc>
          <w:tcPr>
            <w:tcW w:w="862" w:type="dxa"/>
            <w:tcBorders>
              <w:top w:val="nil"/>
              <w:left w:val="nil"/>
              <w:bottom w:val="nil"/>
              <w:right w:val="nil"/>
            </w:tcBorders>
            <w:shd w:val="clear" w:color="auto" w:fill="auto"/>
          </w:tcPr>
          <w:p w14:paraId="418D808E"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6C89A685"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77C61B79"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73681A7B" w14:textId="77777777" w:rsidTr="003D1E91">
        <w:trPr>
          <w:trHeight w:val="285"/>
        </w:trPr>
        <w:tc>
          <w:tcPr>
            <w:tcW w:w="2208" w:type="dxa"/>
            <w:tcBorders>
              <w:top w:val="nil"/>
              <w:left w:val="nil"/>
              <w:bottom w:val="nil"/>
              <w:right w:val="nil"/>
            </w:tcBorders>
            <w:shd w:val="clear" w:color="auto" w:fill="auto"/>
          </w:tcPr>
          <w:p w14:paraId="041C985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BCE methods</w:t>
            </w:r>
          </w:p>
        </w:tc>
        <w:tc>
          <w:tcPr>
            <w:tcW w:w="756" w:type="dxa"/>
            <w:tcBorders>
              <w:top w:val="nil"/>
              <w:left w:val="nil"/>
              <w:bottom w:val="nil"/>
              <w:right w:val="nil"/>
            </w:tcBorders>
            <w:shd w:val="clear" w:color="auto" w:fill="auto"/>
          </w:tcPr>
          <w:p w14:paraId="580CDC6E"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007142DA" w14:textId="77777777" w:rsidR="003D1E91" w:rsidRPr="00074CC2" w:rsidRDefault="003D1E91" w:rsidP="00E842BB">
            <w:pPr>
              <w:snapToGrid w:val="0"/>
              <w:spacing w:line="360" w:lineRule="auto"/>
              <w:jc w:val="both"/>
              <w:rPr>
                <w:rFonts w:ascii="Book Antiqua" w:hAnsi="Book Antiqua" w:cs="Times New Roman"/>
              </w:rPr>
            </w:pPr>
          </w:p>
        </w:tc>
        <w:tc>
          <w:tcPr>
            <w:tcW w:w="816" w:type="dxa"/>
            <w:tcBorders>
              <w:top w:val="nil"/>
              <w:left w:val="nil"/>
              <w:bottom w:val="nil"/>
              <w:right w:val="nil"/>
            </w:tcBorders>
            <w:shd w:val="clear" w:color="auto" w:fill="auto"/>
          </w:tcPr>
          <w:p w14:paraId="141E655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0.987</w:t>
            </w:r>
          </w:p>
        </w:tc>
        <w:tc>
          <w:tcPr>
            <w:tcW w:w="756" w:type="dxa"/>
            <w:tcBorders>
              <w:top w:val="nil"/>
              <w:left w:val="nil"/>
              <w:bottom w:val="nil"/>
              <w:right w:val="nil"/>
            </w:tcBorders>
            <w:shd w:val="clear" w:color="auto" w:fill="auto"/>
          </w:tcPr>
          <w:p w14:paraId="59EF1AF1"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44E9856A"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4DB002A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39" w:type="dxa"/>
            <w:tcBorders>
              <w:top w:val="nil"/>
              <w:left w:val="nil"/>
              <w:bottom w:val="nil"/>
              <w:right w:val="nil"/>
            </w:tcBorders>
            <w:shd w:val="clear" w:color="auto" w:fill="auto"/>
          </w:tcPr>
          <w:p w14:paraId="67FB9663" w14:textId="77777777" w:rsidR="003D1E91" w:rsidRPr="00074CC2" w:rsidRDefault="003D1E91" w:rsidP="00E842BB">
            <w:pPr>
              <w:snapToGrid w:val="0"/>
              <w:spacing w:line="360" w:lineRule="auto"/>
              <w:jc w:val="both"/>
              <w:rPr>
                <w:rFonts w:ascii="Book Antiqua" w:hAnsi="Book Antiqua" w:cs="Times New Roman"/>
              </w:rPr>
            </w:pPr>
          </w:p>
        </w:tc>
        <w:tc>
          <w:tcPr>
            <w:tcW w:w="1442" w:type="dxa"/>
            <w:tcBorders>
              <w:top w:val="nil"/>
              <w:left w:val="nil"/>
              <w:bottom w:val="nil"/>
              <w:right w:val="nil"/>
            </w:tcBorders>
            <w:shd w:val="clear" w:color="auto" w:fill="auto"/>
          </w:tcPr>
          <w:p w14:paraId="39C5397E" w14:textId="77777777" w:rsidR="003D1E91" w:rsidRPr="00074CC2" w:rsidRDefault="003D1E91" w:rsidP="00E842BB">
            <w:pPr>
              <w:snapToGrid w:val="0"/>
              <w:spacing w:line="360" w:lineRule="auto"/>
              <w:jc w:val="both"/>
              <w:rPr>
                <w:rFonts w:ascii="Book Antiqua" w:hAnsi="Book Antiqua" w:cs="Times New Roman"/>
              </w:rPr>
            </w:pPr>
          </w:p>
        </w:tc>
        <w:tc>
          <w:tcPr>
            <w:tcW w:w="808" w:type="dxa"/>
            <w:tcBorders>
              <w:top w:val="nil"/>
              <w:left w:val="nil"/>
              <w:bottom w:val="nil"/>
              <w:right w:val="nil"/>
            </w:tcBorders>
            <w:shd w:val="clear" w:color="auto" w:fill="auto"/>
          </w:tcPr>
          <w:p w14:paraId="5E3B755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0.826</w:t>
            </w:r>
          </w:p>
        </w:tc>
        <w:tc>
          <w:tcPr>
            <w:tcW w:w="876" w:type="dxa"/>
            <w:tcBorders>
              <w:top w:val="nil"/>
              <w:left w:val="nil"/>
              <w:bottom w:val="nil"/>
              <w:right w:val="nil"/>
            </w:tcBorders>
            <w:shd w:val="clear" w:color="auto" w:fill="auto"/>
          </w:tcPr>
          <w:p w14:paraId="6E1AF041"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1A7FD372"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34DF6A32"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01134B34" w14:textId="77777777" w:rsidR="003D1E91" w:rsidRPr="00074CC2" w:rsidRDefault="003D1E91" w:rsidP="00E842BB">
            <w:pPr>
              <w:snapToGrid w:val="0"/>
              <w:spacing w:line="360" w:lineRule="auto"/>
              <w:jc w:val="both"/>
              <w:rPr>
                <w:rFonts w:ascii="Book Antiqua" w:hAnsi="Book Antiqua" w:cs="Times New Roman"/>
              </w:rPr>
            </w:pPr>
          </w:p>
        </w:tc>
        <w:tc>
          <w:tcPr>
            <w:tcW w:w="1303" w:type="dxa"/>
            <w:tcBorders>
              <w:top w:val="nil"/>
              <w:left w:val="nil"/>
              <w:bottom w:val="nil"/>
              <w:right w:val="nil"/>
            </w:tcBorders>
            <w:shd w:val="clear" w:color="auto" w:fill="auto"/>
          </w:tcPr>
          <w:p w14:paraId="5C38BBB7" w14:textId="77777777" w:rsidR="003D1E91" w:rsidRPr="00074CC2" w:rsidRDefault="003D1E91" w:rsidP="00E842BB">
            <w:pPr>
              <w:snapToGrid w:val="0"/>
              <w:spacing w:line="360" w:lineRule="auto"/>
              <w:jc w:val="both"/>
              <w:rPr>
                <w:rFonts w:ascii="Book Antiqua" w:hAnsi="Book Antiqua" w:cs="Times New Roman"/>
              </w:rPr>
            </w:pPr>
          </w:p>
        </w:tc>
        <w:tc>
          <w:tcPr>
            <w:tcW w:w="901" w:type="dxa"/>
            <w:tcBorders>
              <w:top w:val="nil"/>
              <w:left w:val="nil"/>
              <w:bottom w:val="nil"/>
              <w:right w:val="nil"/>
            </w:tcBorders>
            <w:shd w:val="clear" w:color="auto" w:fill="auto"/>
          </w:tcPr>
          <w:p w14:paraId="078653A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0.503</w:t>
            </w:r>
          </w:p>
        </w:tc>
        <w:tc>
          <w:tcPr>
            <w:tcW w:w="862" w:type="dxa"/>
            <w:tcBorders>
              <w:top w:val="nil"/>
              <w:left w:val="nil"/>
              <w:bottom w:val="nil"/>
              <w:right w:val="nil"/>
            </w:tcBorders>
            <w:shd w:val="clear" w:color="auto" w:fill="auto"/>
          </w:tcPr>
          <w:p w14:paraId="2CDD4631"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3FDA8198"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3CAA7C1C"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61D2E5FA" w14:textId="77777777" w:rsidTr="003D1E91">
        <w:trPr>
          <w:trHeight w:val="270"/>
        </w:trPr>
        <w:tc>
          <w:tcPr>
            <w:tcW w:w="2208" w:type="dxa"/>
            <w:tcBorders>
              <w:top w:val="nil"/>
              <w:left w:val="nil"/>
              <w:bottom w:val="nil"/>
              <w:right w:val="nil"/>
            </w:tcBorders>
            <w:shd w:val="clear" w:color="auto" w:fill="auto"/>
          </w:tcPr>
          <w:p w14:paraId="7BCCD87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IVBC</w:t>
            </w:r>
          </w:p>
        </w:tc>
        <w:tc>
          <w:tcPr>
            <w:tcW w:w="756" w:type="dxa"/>
            <w:tcBorders>
              <w:top w:val="nil"/>
              <w:left w:val="nil"/>
              <w:bottom w:val="nil"/>
              <w:right w:val="nil"/>
            </w:tcBorders>
            <w:shd w:val="clear" w:color="auto" w:fill="auto"/>
          </w:tcPr>
          <w:p w14:paraId="7C9A44B1"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w:t>
            </w:r>
          </w:p>
        </w:tc>
        <w:tc>
          <w:tcPr>
            <w:tcW w:w="1258" w:type="dxa"/>
            <w:tcBorders>
              <w:top w:val="nil"/>
              <w:left w:val="nil"/>
              <w:bottom w:val="nil"/>
              <w:right w:val="nil"/>
            </w:tcBorders>
            <w:shd w:val="clear" w:color="auto" w:fill="auto"/>
          </w:tcPr>
          <w:p w14:paraId="454A424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Reference</w:t>
            </w:r>
          </w:p>
        </w:tc>
        <w:tc>
          <w:tcPr>
            <w:tcW w:w="816" w:type="dxa"/>
            <w:tcBorders>
              <w:top w:val="nil"/>
              <w:left w:val="nil"/>
              <w:bottom w:val="nil"/>
              <w:right w:val="nil"/>
            </w:tcBorders>
            <w:shd w:val="clear" w:color="auto" w:fill="auto"/>
          </w:tcPr>
          <w:p w14:paraId="4CDE2B2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756" w:type="dxa"/>
            <w:tcBorders>
              <w:top w:val="nil"/>
              <w:left w:val="nil"/>
              <w:bottom w:val="nil"/>
              <w:right w:val="nil"/>
            </w:tcBorders>
            <w:shd w:val="clear" w:color="auto" w:fill="auto"/>
          </w:tcPr>
          <w:p w14:paraId="37EF2719"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6CBBC798"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7AE4F71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39" w:type="dxa"/>
            <w:tcBorders>
              <w:top w:val="nil"/>
              <w:left w:val="nil"/>
              <w:bottom w:val="nil"/>
              <w:right w:val="nil"/>
            </w:tcBorders>
            <w:shd w:val="clear" w:color="auto" w:fill="auto"/>
          </w:tcPr>
          <w:p w14:paraId="127E856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w:t>
            </w:r>
          </w:p>
        </w:tc>
        <w:tc>
          <w:tcPr>
            <w:tcW w:w="1442" w:type="dxa"/>
            <w:tcBorders>
              <w:top w:val="nil"/>
              <w:left w:val="nil"/>
              <w:bottom w:val="nil"/>
              <w:right w:val="nil"/>
            </w:tcBorders>
            <w:shd w:val="clear" w:color="auto" w:fill="auto"/>
          </w:tcPr>
          <w:p w14:paraId="1AD0515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Reference</w:t>
            </w:r>
          </w:p>
        </w:tc>
        <w:tc>
          <w:tcPr>
            <w:tcW w:w="808" w:type="dxa"/>
            <w:tcBorders>
              <w:top w:val="nil"/>
              <w:left w:val="nil"/>
              <w:bottom w:val="nil"/>
              <w:right w:val="nil"/>
            </w:tcBorders>
            <w:shd w:val="clear" w:color="auto" w:fill="auto"/>
          </w:tcPr>
          <w:p w14:paraId="44CDC57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76" w:type="dxa"/>
            <w:tcBorders>
              <w:top w:val="nil"/>
              <w:left w:val="nil"/>
              <w:bottom w:val="nil"/>
              <w:right w:val="nil"/>
            </w:tcBorders>
            <w:shd w:val="clear" w:color="auto" w:fill="auto"/>
          </w:tcPr>
          <w:p w14:paraId="081CF99A"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5AA03A8C"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4FF2F024"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5512F4A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w:t>
            </w:r>
          </w:p>
        </w:tc>
        <w:tc>
          <w:tcPr>
            <w:tcW w:w="1303" w:type="dxa"/>
            <w:tcBorders>
              <w:top w:val="nil"/>
              <w:left w:val="nil"/>
              <w:bottom w:val="nil"/>
              <w:right w:val="nil"/>
            </w:tcBorders>
            <w:shd w:val="clear" w:color="auto" w:fill="auto"/>
          </w:tcPr>
          <w:p w14:paraId="53400EA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Reference</w:t>
            </w:r>
          </w:p>
        </w:tc>
        <w:tc>
          <w:tcPr>
            <w:tcW w:w="901" w:type="dxa"/>
            <w:tcBorders>
              <w:top w:val="nil"/>
              <w:left w:val="nil"/>
              <w:bottom w:val="nil"/>
              <w:right w:val="nil"/>
            </w:tcBorders>
            <w:shd w:val="clear" w:color="auto" w:fill="auto"/>
          </w:tcPr>
          <w:p w14:paraId="5B7EAC5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62" w:type="dxa"/>
            <w:tcBorders>
              <w:top w:val="nil"/>
              <w:left w:val="nil"/>
              <w:bottom w:val="nil"/>
              <w:right w:val="nil"/>
            </w:tcBorders>
            <w:shd w:val="clear" w:color="auto" w:fill="auto"/>
          </w:tcPr>
          <w:p w14:paraId="6932932F"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54457366"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0768FD87"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5FD74C53" w14:textId="77777777" w:rsidTr="003D1E91">
        <w:trPr>
          <w:trHeight w:val="318"/>
        </w:trPr>
        <w:tc>
          <w:tcPr>
            <w:tcW w:w="2208" w:type="dxa"/>
            <w:tcBorders>
              <w:top w:val="nil"/>
              <w:left w:val="nil"/>
              <w:bottom w:val="nil"/>
              <w:right w:val="nil"/>
            </w:tcBorders>
            <w:shd w:val="clear" w:color="auto" w:fill="auto"/>
          </w:tcPr>
          <w:p w14:paraId="72CDA20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EVBC</w:t>
            </w:r>
          </w:p>
        </w:tc>
        <w:tc>
          <w:tcPr>
            <w:tcW w:w="756" w:type="dxa"/>
            <w:tcBorders>
              <w:top w:val="nil"/>
              <w:left w:val="nil"/>
              <w:bottom w:val="nil"/>
              <w:right w:val="nil"/>
            </w:tcBorders>
            <w:shd w:val="clear" w:color="auto" w:fill="auto"/>
          </w:tcPr>
          <w:p w14:paraId="55CDCA3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1.032</w:t>
            </w:r>
          </w:p>
        </w:tc>
        <w:tc>
          <w:tcPr>
            <w:tcW w:w="1258" w:type="dxa"/>
            <w:tcBorders>
              <w:top w:val="nil"/>
              <w:left w:val="nil"/>
              <w:bottom w:val="nil"/>
              <w:right w:val="nil"/>
            </w:tcBorders>
            <w:shd w:val="clear" w:color="auto" w:fill="auto"/>
          </w:tcPr>
          <w:p w14:paraId="52D2D07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0.474-2.246</w:t>
            </w:r>
          </w:p>
        </w:tc>
        <w:tc>
          <w:tcPr>
            <w:tcW w:w="816" w:type="dxa"/>
            <w:tcBorders>
              <w:top w:val="nil"/>
              <w:left w:val="nil"/>
              <w:bottom w:val="nil"/>
              <w:right w:val="nil"/>
            </w:tcBorders>
            <w:shd w:val="clear" w:color="auto" w:fill="auto"/>
          </w:tcPr>
          <w:p w14:paraId="7C94E33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0.937</w:t>
            </w:r>
          </w:p>
        </w:tc>
        <w:tc>
          <w:tcPr>
            <w:tcW w:w="756" w:type="dxa"/>
            <w:tcBorders>
              <w:top w:val="nil"/>
              <w:left w:val="nil"/>
              <w:bottom w:val="nil"/>
              <w:right w:val="nil"/>
            </w:tcBorders>
            <w:shd w:val="clear" w:color="auto" w:fill="auto"/>
          </w:tcPr>
          <w:p w14:paraId="4DDCA286"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2453D329"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3ED895A0" w14:textId="77777777" w:rsidR="003D1E91" w:rsidRPr="00074CC2" w:rsidRDefault="003D1E91" w:rsidP="00E842BB">
            <w:pPr>
              <w:snapToGrid w:val="0"/>
              <w:spacing w:line="360" w:lineRule="auto"/>
              <w:jc w:val="both"/>
              <w:rPr>
                <w:rFonts w:ascii="Book Antiqua" w:hAnsi="Book Antiqua" w:cs="Times New Roman"/>
              </w:rPr>
            </w:pPr>
          </w:p>
        </w:tc>
        <w:tc>
          <w:tcPr>
            <w:tcW w:w="839" w:type="dxa"/>
            <w:tcBorders>
              <w:top w:val="nil"/>
              <w:left w:val="nil"/>
              <w:bottom w:val="nil"/>
              <w:right w:val="nil"/>
            </w:tcBorders>
            <w:shd w:val="clear" w:color="auto" w:fill="auto"/>
          </w:tcPr>
          <w:p w14:paraId="566B8AFD"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0.707</w:t>
            </w:r>
          </w:p>
        </w:tc>
        <w:tc>
          <w:tcPr>
            <w:tcW w:w="1442" w:type="dxa"/>
            <w:tcBorders>
              <w:top w:val="nil"/>
              <w:left w:val="nil"/>
              <w:bottom w:val="nil"/>
              <w:right w:val="nil"/>
            </w:tcBorders>
            <w:shd w:val="clear" w:color="auto" w:fill="auto"/>
          </w:tcPr>
          <w:p w14:paraId="76BFFCAD"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0.235-2.128</w:t>
            </w:r>
          </w:p>
        </w:tc>
        <w:tc>
          <w:tcPr>
            <w:tcW w:w="808" w:type="dxa"/>
            <w:tcBorders>
              <w:top w:val="nil"/>
              <w:left w:val="nil"/>
              <w:bottom w:val="nil"/>
              <w:right w:val="nil"/>
            </w:tcBorders>
            <w:shd w:val="clear" w:color="auto" w:fill="auto"/>
          </w:tcPr>
          <w:p w14:paraId="3E4D60D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0.537</w:t>
            </w:r>
          </w:p>
        </w:tc>
        <w:tc>
          <w:tcPr>
            <w:tcW w:w="876" w:type="dxa"/>
            <w:tcBorders>
              <w:top w:val="nil"/>
              <w:left w:val="nil"/>
              <w:bottom w:val="nil"/>
              <w:right w:val="nil"/>
            </w:tcBorders>
            <w:shd w:val="clear" w:color="auto" w:fill="auto"/>
          </w:tcPr>
          <w:p w14:paraId="61E29665"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4CB08F5C"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2C78A121"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2850F8A1"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0.587</w:t>
            </w:r>
          </w:p>
        </w:tc>
        <w:tc>
          <w:tcPr>
            <w:tcW w:w="1303" w:type="dxa"/>
            <w:tcBorders>
              <w:top w:val="nil"/>
              <w:left w:val="nil"/>
              <w:bottom w:val="nil"/>
              <w:right w:val="nil"/>
            </w:tcBorders>
            <w:shd w:val="clear" w:color="auto" w:fill="auto"/>
          </w:tcPr>
          <w:p w14:paraId="455EF04F"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0.223-1.542</w:t>
            </w:r>
          </w:p>
        </w:tc>
        <w:tc>
          <w:tcPr>
            <w:tcW w:w="901" w:type="dxa"/>
            <w:tcBorders>
              <w:top w:val="nil"/>
              <w:left w:val="nil"/>
              <w:bottom w:val="nil"/>
              <w:right w:val="nil"/>
            </w:tcBorders>
            <w:shd w:val="clear" w:color="auto" w:fill="auto"/>
          </w:tcPr>
          <w:p w14:paraId="6635ECE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0.280</w:t>
            </w:r>
          </w:p>
        </w:tc>
        <w:tc>
          <w:tcPr>
            <w:tcW w:w="862" w:type="dxa"/>
            <w:tcBorders>
              <w:top w:val="nil"/>
              <w:left w:val="nil"/>
              <w:bottom w:val="nil"/>
              <w:right w:val="nil"/>
            </w:tcBorders>
            <w:shd w:val="clear" w:color="auto" w:fill="auto"/>
          </w:tcPr>
          <w:p w14:paraId="293FFB30"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16941FC1"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4B92F53F"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1CAEEAFF" w14:textId="77777777" w:rsidTr="003D1E91">
        <w:trPr>
          <w:trHeight w:val="182"/>
        </w:trPr>
        <w:tc>
          <w:tcPr>
            <w:tcW w:w="2208" w:type="dxa"/>
            <w:tcBorders>
              <w:top w:val="nil"/>
              <w:left w:val="nil"/>
              <w:bottom w:val="nil"/>
              <w:right w:val="nil"/>
            </w:tcBorders>
            <w:shd w:val="clear" w:color="auto" w:fill="auto"/>
          </w:tcPr>
          <w:p w14:paraId="6197EF3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TUBC</w:t>
            </w:r>
          </w:p>
        </w:tc>
        <w:tc>
          <w:tcPr>
            <w:tcW w:w="756" w:type="dxa"/>
            <w:tcBorders>
              <w:top w:val="nil"/>
              <w:left w:val="nil"/>
              <w:bottom w:val="nil"/>
              <w:right w:val="nil"/>
            </w:tcBorders>
            <w:shd w:val="clear" w:color="auto" w:fill="auto"/>
          </w:tcPr>
          <w:p w14:paraId="1CC0A30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0.954</w:t>
            </w:r>
          </w:p>
        </w:tc>
        <w:tc>
          <w:tcPr>
            <w:tcW w:w="1258" w:type="dxa"/>
            <w:tcBorders>
              <w:top w:val="nil"/>
              <w:left w:val="nil"/>
              <w:bottom w:val="nil"/>
              <w:right w:val="nil"/>
            </w:tcBorders>
            <w:shd w:val="clear" w:color="auto" w:fill="auto"/>
          </w:tcPr>
          <w:p w14:paraId="253B87D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0.392-2.323</w:t>
            </w:r>
          </w:p>
        </w:tc>
        <w:tc>
          <w:tcPr>
            <w:tcW w:w="816" w:type="dxa"/>
            <w:tcBorders>
              <w:top w:val="nil"/>
              <w:left w:val="nil"/>
              <w:bottom w:val="nil"/>
              <w:right w:val="nil"/>
            </w:tcBorders>
            <w:shd w:val="clear" w:color="auto" w:fill="auto"/>
          </w:tcPr>
          <w:p w14:paraId="77D7B28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0.917</w:t>
            </w:r>
          </w:p>
        </w:tc>
        <w:tc>
          <w:tcPr>
            <w:tcW w:w="756" w:type="dxa"/>
            <w:tcBorders>
              <w:top w:val="nil"/>
              <w:left w:val="nil"/>
              <w:bottom w:val="nil"/>
              <w:right w:val="nil"/>
            </w:tcBorders>
            <w:shd w:val="clear" w:color="auto" w:fill="auto"/>
          </w:tcPr>
          <w:p w14:paraId="5DA88ECB"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267AF0CB"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55745690" w14:textId="77777777" w:rsidR="003D1E91" w:rsidRPr="00074CC2" w:rsidRDefault="003D1E91" w:rsidP="00E842BB">
            <w:pPr>
              <w:snapToGrid w:val="0"/>
              <w:spacing w:line="360" w:lineRule="auto"/>
              <w:jc w:val="both"/>
              <w:rPr>
                <w:rFonts w:ascii="Book Antiqua" w:hAnsi="Book Antiqua" w:cs="Times New Roman"/>
              </w:rPr>
            </w:pPr>
          </w:p>
        </w:tc>
        <w:tc>
          <w:tcPr>
            <w:tcW w:w="839" w:type="dxa"/>
            <w:tcBorders>
              <w:top w:val="nil"/>
              <w:left w:val="nil"/>
              <w:bottom w:val="nil"/>
              <w:right w:val="nil"/>
            </w:tcBorders>
            <w:shd w:val="clear" w:color="auto" w:fill="auto"/>
          </w:tcPr>
          <w:p w14:paraId="3C1F5EE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0.879</w:t>
            </w:r>
          </w:p>
        </w:tc>
        <w:tc>
          <w:tcPr>
            <w:tcW w:w="1442" w:type="dxa"/>
            <w:tcBorders>
              <w:top w:val="nil"/>
              <w:left w:val="nil"/>
              <w:bottom w:val="nil"/>
              <w:right w:val="nil"/>
            </w:tcBorders>
            <w:shd w:val="clear" w:color="auto" w:fill="auto"/>
          </w:tcPr>
          <w:p w14:paraId="1A8903A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0.276-2.797</w:t>
            </w:r>
          </w:p>
        </w:tc>
        <w:tc>
          <w:tcPr>
            <w:tcW w:w="808" w:type="dxa"/>
            <w:tcBorders>
              <w:top w:val="nil"/>
              <w:left w:val="nil"/>
              <w:bottom w:val="nil"/>
              <w:right w:val="nil"/>
            </w:tcBorders>
            <w:shd w:val="clear" w:color="auto" w:fill="auto"/>
          </w:tcPr>
          <w:p w14:paraId="155E3D4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0.828</w:t>
            </w:r>
          </w:p>
        </w:tc>
        <w:tc>
          <w:tcPr>
            <w:tcW w:w="876" w:type="dxa"/>
            <w:tcBorders>
              <w:top w:val="nil"/>
              <w:left w:val="nil"/>
              <w:bottom w:val="nil"/>
              <w:right w:val="nil"/>
            </w:tcBorders>
            <w:shd w:val="clear" w:color="auto" w:fill="auto"/>
          </w:tcPr>
          <w:p w14:paraId="3A67F427"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410E4DEA"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5CCFEA5D"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661AA3BD"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0.695</w:t>
            </w:r>
          </w:p>
        </w:tc>
        <w:tc>
          <w:tcPr>
            <w:tcW w:w="1303" w:type="dxa"/>
            <w:tcBorders>
              <w:top w:val="nil"/>
              <w:left w:val="nil"/>
              <w:bottom w:val="nil"/>
              <w:right w:val="nil"/>
            </w:tcBorders>
            <w:shd w:val="clear" w:color="auto" w:fill="auto"/>
          </w:tcPr>
          <w:p w14:paraId="2708787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0.256-1.884</w:t>
            </w:r>
          </w:p>
        </w:tc>
        <w:tc>
          <w:tcPr>
            <w:tcW w:w="901" w:type="dxa"/>
            <w:tcBorders>
              <w:top w:val="nil"/>
              <w:left w:val="nil"/>
              <w:bottom w:val="nil"/>
              <w:right w:val="nil"/>
            </w:tcBorders>
            <w:shd w:val="clear" w:color="auto" w:fill="auto"/>
          </w:tcPr>
          <w:p w14:paraId="0B02D2F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0.474</w:t>
            </w:r>
          </w:p>
        </w:tc>
        <w:tc>
          <w:tcPr>
            <w:tcW w:w="862" w:type="dxa"/>
            <w:tcBorders>
              <w:top w:val="nil"/>
              <w:left w:val="nil"/>
              <w:bottom w:val="nil"/>
              <w:right w:val="nil"/>
            </w:tcBorders>
            <w:shd w:val="clear" w:color="auto" w:fill="auto"/>
          </w:tcPr>
          <w:p w14:paraId="450AE5E0"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4E219984"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7A0B404E"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4B0DE3BE" w14:textId="77777777" w:rsidTr="003D1E91">
        <w:trPr>
          <w:trHeight w:val="287"/>
        </w:trPr>
        <w:tc>
          <w:tcPr>
            <w:tcW w:w="2208" w:type="dxa"/>
            <w:tcBorders>
              <w:top w:val="nil"/>
              <w:left w:val="nil"/>
              <w:bottom w:val="nil"/>
              <w:right w:val="nil"/>
            </w:tcBorders>
            <w:shd w:val="clear" w:color="auto" w:fill="auto"/>
          </w:tcPr>
          <w:p w14:paraId="7D79F97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Tumor location</w:t>
            </w:r>
          </w:p>
        </w:tc>
        <w:tc>
          <w:tcPr>
            <w:tcW w:w="756" w:type="dxa"/>
            <w:tcBorders>
              <w:top w:val="nil"/>
              <w:left w:val="nil"/>
              <w:bottom w:val="nil"/>
              <w:right w:val="nil"/>
            </w:tcBorders>
            <w:shd w:val="clear" w:color="auto" w:fill="auto"/>
          </w:tcPr>
          <w:p w14:paraId="4B638F30"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4578F92E" w14:textId="77777777" w:rsidR="003D1E91" w:rsidRPr="00074CC2" w:rsidRDefault="003D1E91" w:rsidP="00E842BB">
            <w:pPr>
              <w:snapToGrid w:val="0"/>
              <w:spacing w:line="360" w:lineRule="auto"/>
              <w:jc w:val="both"/>
              <w:rPr>
                <w:rFonts w:ascii="Book Antiqua" w:hAnsi="Book Antiqua" w:cs="Times New Roman"/>
              </w:rPr>
            </w:pPr>
          </w:p>
        </w:tc>
        <w:tc>
          <w:tcPr>
            <w:tcW w:w="816" w:type="dxa"/>
            <w:tcBorders>
              <w:top w:val="nil"/>
              <w:left w:val="nil"/>
              <w:bottom w:val="nil"/>
              <w:right w:val="nil"/>
            </w:tcBorders>
            <w:shd w:val="clear" w:color="auto" w:fill="auto"/>
          </w:tcPr>
          <w:p w14:paraId="4CFC444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0.042</w:t>
            </w:r>
          </w:p>
        </w:tc>
        <w:tc>
          <w:tcPr>
            <w:tcW w:w="756" w:type="dxa"/>
            <w:tcBorders>
              <w:top w:val="nil"/>
              <w:left w:val="nil"/>
              <w:bottom w:val="nil"/>
              <w:right w:val="nil"/>
            </w:tcBorders>
            <w:shd w:val="clear" w:color="auto" w:fill="auto"/>
          </w:tcPr>
          <w:p w14:paraId="40715D33"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58114292"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2933BB1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0.042</w:t>
            </w:r>
          </w:p>
        </w:tc>
        <w:tc>
          <w:tcPr>
            <w:tcW w:w="839" w:type="dxa"/>
            <w:tcBorders>
              <w:top w:val="nil"/>
              <w:left w:val="nil"/>
              <w:bottom w:val="nil"/>
              <w:right w:val="nil"/>
            </w:tcBorders>
            <w:shd w:val="clear" w:color="auto" w:fill="auto"/>
          </w:tcPr>
          <w:p w14:paraId="75AB0375" w14:textId="77777777" w:rsidR="003D1E91" w:rsidRPr="00074CC2" w:rsidRDefault="003D1E91" w:rsidP="00E842BB">
            <w:pPr>
              <w:snapToGrid w:val="0"/>
              <w:spacing w:line="360" w:lineRule="auto"/>
              <w:jc w:val="both"/>
              <w:rPr>
                <w:rFonts w:ascii="Book Antiqua" w:hAnsi="Book Antiqua" w:cs="Times New Roman"/>
              </w:rPr>
            </w:pPr>
          </w:p>
        </w:tc>
        <w:tc>
          <w:tcPr>
            <w:tcW w:w="1442" w:type="dxa"/>
            <w:tcBorders>
              <w:top w:val="nil"/>
              <w:left w:val="nil"/>
              <w:bottom w:val="nil"/>
              <w:right w:val="nil"/>
            </w:tcBorders>
            <w:shd w:val="clear" w:color="auto" w:fill="auto"/>
          </w:tcPr>
          <w:p w14:paraId="3CB08CD3" w14:textId="77777777" w:rsidR="003D1E91" w:rsidRPr="00074CC2" w:rsidRDefault="003D1E91" w:rsidP="00E842BB">
            <w:pPr>
              <w:snapToGrid w:val="0"/>
              <w:spacing w:line="360" w:lineRule="auto"/>
              <w:jc w:val="both"/>
              <w:rPr>
                <w:rFonts w:ascii="Book Antiqua" w:hAnsi="Book Antiqua" w:cs="Times New Roman"/>
              </w:rPr>
            </w:pPr>
          </w:p>
        </w:tc>
        <w:tc>
          <w:tcPr>
            <w:tcW w:w="808" w:type="dxa"/>
            <w:tcBorders>
              <w:top w:val="nil"/>
              <w:left w:val="nil"/>
              <w:bottom w:val="nil"/>
              <w:right w:val="nil"/>
            </w:tcBorders>
            <w:shd w:val="clear" w:color="auto" w:fill="auto"/>
          </w:tcPr>
          <w:p w14:paraId="5C17551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0.564</w:t>
            </w:r>
          </w:p>
        </w:tc>
        <w:tc>
          <w:tcPr>
            <w:tcW w:w="876" w:type="dxa"/>
            <w:tcBorders>
              <w:top w:val="nil"/>
              <w:left w:val="nil"/>
              <w:bottom w:val="nil"/>
              <w:right w:val="nil"/>
            </w:tcBorders>
            <w:shd w:val="clear" w:color="auto" w:fill="auto"/>
          </w:tcPr>
          <w:p w14:paraId="4FBC38EE"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02E0D3B0"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0625B685"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44DCC0C8" w14:textId="77777777" w:rsidR="003D1E91" w:rsidRPr="00074CC2" w:rsidRDefault="003D1E91" w:rsidP="00E842BB">
            <w:pPr>
              <w:snapToGrid w:val="0"/>
              <w:spacing w:line="360" w:lineRule="auto"/>
              <w:jc w:val="both"/>
              <w:rPr>
                <w:rFonts w:ascii="Book Antiqua" w:hAnsi="Book Antiqua" w:cs="Times New Roman"/>
              </w:rPr>
            </w:pPr>
          </w:p>
        </w:tc>
        <w:tc>
          <w:tcPr>
            <w:tcW w:w="1303" w:type="dxa"/>
            <w:tcBorders>
              <w:top w:val="nil"/>
              <w:left w:val="nil"/>
              <w:bottom w:val="nil"/>
              <w:right w:val="nil"/>
            </w:tcBorders>
            <w:shd w:val="clear" w:color="auto" w:fill="auto"/>
          </w:tcPr>
          <w:p w14:paraId="63DC818F" w14:textId="77777777" w:rsidR="003D1E91" w:rsidRPr="00074CC2" w:rsidRDefault="003D1E91" w:rsidP="00E842BB">
            <w:pPr>
              <w:snapToGrid w:val="0"/>
              <w:spacing w:line="360" w:lineRule="auto"/>
              <w:jc w:val="both"/>
              <w:rPr>
                <w:rFonts w:ascii="Book Antiqua" w:hAnsi="Book Antiqua" w:cs="Times New Roman"/>
              </w:rPr>
            </w:pPr>
          </w:p>
        </w:tc>
        <w:tc>
          <w:tcPr>
            <w:tcW w:w="901" w:type="dxa"/>
            <w:tcBorders>
              <w:top w:val="nil"/>
              <w:left w:val="nil"/>
              <w:bottom w:val="nil"/>
              <w:right w:val="nil"/>
            </w:tcBorders>
            <w:shd w:val="clear" w:color="auto" w:fill="auto"/>
          </w:tcPr>
          <w:p w14:paraId="1D63410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0.161</w:t>
            </w:r>
          </w:p>
        </w:tc>
        <w:tc>
          <w:tcPr>
            <w:tcW w:w="862" w:type="dxa"/>
            <w:tcBorders>
              <w:top w:val="nil"/>
              <w:left w:val="nil"/>
              <w:bottom w:val="nil"/>
              <w:right w:val="nil"/>
            </w:tcBorders>
            <w:shd w:val="clear" w:color="auto" w:fill="auto"/>
          </w:tcPr>
          <w:p w14:paraId="653D8241"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03BADFFE"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332FC7B9"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5BE08A3D" w14:textId="77777777" w:rsidTr="003D1E91">
        <w:trPr>
          <w:trHeight w:val="425"/>
        </w:trPr>
        <w:tc>
          <w:tcPr>
            <w:tcW w:w="2208" w:type="dxa"/>
            <w:tcBorders>
              <w:top w:val="nil"/>
              <w:left w:val="nil"/>
              <w:bottom w:val="nil"/>
              <w:right w:val="nil"/>
            </w:tcBorders>
            <w:shd w:val="clear" w:color="auto" w:fill="auto"/>
          </w:tcPr>
          <w:p w14:paraId="6EE6BA3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Lower ureter</w:t>
            </w:r>
          </w:p>
        </w:tc>
        <w:tc>
          <w:tcPr>
            <w:tcW w:w="756" w:type="dxa"/>
            <w:tcBorders>
              <w:top w:val="nil"/>
              <w:left w:val="nil"/>
              <w:bottom w:val="nil"/>
              <w:right w:val="nil"/>
            </w:tcBorders>
            <w:shd w:val="clear" w:color="auto" w:fill="auto"/>
          </w:tcPr>
          <w:p w14:paraId="24822FFD"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w:t>
            </w:r>
          </w:p>
        </w:tc>
        <w:tc>
          <w:tcPr>
            <w:tcW w:w="1258" w:type="dxa"/>
            <w:tcBorders>
              <w:top w:val="nil"/>
              <w:left w:val="nil"/>
              <w:bottom w:val="nil"/>
              <w:right w:val="nil"/>
            </w:tcBorders>
            <w:shd w:val="clear" w:color="auto" w:fill="auto"/>
          </w:tcPr>
          <w:p w14:paraId="3177C15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Reference</w:t>
            </w:r>
          </w:p>
        </w:tc>
        <w:tc>
          <w:tcPr>
            <w:tcW w:w="816" w:type="dxa"/>
            <w:tcBorders>
              <w:top w:val="nil"/>
              <w:left w:val="nil"/>
              <w:bottom w:val="nil"/>
              <w:right w:val="nil"/>
            </w:tcBorders>
            <w:shd w:val="clear" w:color="auto" w:fill="auto"/>
          </w:tcPr>
          <w:p w14:paraId="5A403A6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756" w:type="dxa"/>
            <w:tcBorders>
              <w:top w:val="nil"/>
              <w:left w:val="nil"/>
              <w:bottom w:val="nil"/>
              <w:right w:val="nil"/>
            </w:tcBorders>
            <w:shd w:val="clear" w:color="auto" w:fill="auto"/>
          </w:tcPr>
          <w:p w14:paraId="3E48D35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w:t>
            </w:r>
          </w:p>
        </w:tc>
        <w:tc>
          <w:tcPr>
            <w:tcW w:w="1258" w:type="dxa"/>
            <w:tcBorders>
              <w:top w:val="nil"/>
              <w:left w:val="nil"/>
              <w:bottom w:val="nil"/>
              <w:right w:val="nil"/>
            </w:tcBorders>
            <w:shd w:val="clear" w:color="auto" w:fill="auto"/>
          </w:tcPr>
          <w:p w14:paraId="0AE1461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Reference</w:t>
            </w:r>
          </w:p>
        </w:tc>
        <w:tc>
          <w:tcPr>
            <w:tcW w:w="853" w:type="dxa"/>
            <w:tcBorders>
              <w:top w:val="nil"/>
              <w:left w:val="nil"/>
              <w:bottom w:val="nil"/>
              <w:right w:val="nil"/>
            </w:tcBorders>
            <w:shd w:val="clear" w:color="auto" w:fill="auto"/>
          </w:tcPr>
          <w:p w14:paraId="7F49C54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39" w:type="dxa"/>
            <w:tcBorders>
              <w:top w:val="nil"/>
              <w:left w:val="nil"/>
              <w:bottom w:val="nil"/>
              <w:right w:val="nil"/>
            </w:tcBorders>
            <w:shd w:val="clear" w:color="auto" w:fill="auto"/>
          </w:tcPr>
          <w:p w14:paraId="2F1F7BA1"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w:t>
            </w:r>
          </w:p>
        </w:tc>
        <w:tc>
          <w:tcPr>
            <w:tcW w:w="1442" w:type="dxa"/>
            <w:tcBorders>
              <w:top w:val="nil"/>
              <w:left w:val="nil"/>
              <w:bottom w:val="nil"/>
              <w:right w:val="nil"/>
            </w:tcBorders>
            <w:shd w:val="clear" w:color="auto" w:fill="auto"/>
          </w:tcPr>
          <w:p w14:paraId="65D6A79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Reference</w:t>
            </w:r>
          </w:p>
        </w:tc>
        <w:tc>
          <w:tcPr>
            <w:tcW w:w="808" w:type="dxa"/>
            <w:tcBorders>
              <w:top w:val="nil"/>
              <w:left w:val="nil"/>
              <w:bottom w:val="nil"/>
              <w:right w:val="nil"/>
            </w:tcBorders>
            <w:shd w:val="clear" w:color="auto" w:fill="auto"/>
          </w:tcPr>
          <w:p w14:paraId="76E8B02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76" w:type="dxa"/>
            <w:tcBorders>
              <w:top w:val="nil"/>
              <w:left w:val="nil"/>
              <w:bottom w:val="nil"/>
              <w:right w:val="nil"/>
            </w:tcBorders>
            <w:shd w:val="clear" w:color="auto" w:fill="auto"/>
          </w:tcPr>
          <w:p w14:paraId="3C08F5BA"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3EC7BE88"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0FE538B5"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5FA622CD"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w:t>
            </w:r>
          </w:p>
        </w:tc>
        <w:tc>
          <w:tcPr>
            <w:tcW w:w="1303" w:type="dxa"/>
            <w:tcBorders>
              <w:top w:val="nil"/>
              <w:left w:val="nil"/>
              <w:bottom w:val="nil"/>
              <w:right w:val="nil"/>
            </w:tcBorders>
            <w:shd w:val="clear" w:color="auto" w:fill="auto"/>
          </w:tcPr>
          <w:p w14:paraId="039202B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Reference</w:t>
            </w:r>
          </w:p>
        </w:tc>
        <w:tc>
          <w:tcPr>
            <w:tcW w:w="901" w:type="dxa"/>
            <w:tcBorders>
              <w:top w:val="nil"/>
              <w:left w:val="nil"/>
              <w:bottom w:val="nil"/>
              <w:right w:val="nil"/>
            </w:tcBorders>
            <w:shd w:val="clear" w:color="auto" w:fill="auto"/>
          </w:tcPr>
          <w:p w14:paraId="137F041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w:t>
            </w:r>
          </w:p>
        </w:tc>
        <w:tc>
          <w:tcPr>
            <w:tcW w:w="862" w:type="dxa"/>
            <w:tcBorders>
              <w:top w:val="nil"/>
              <w:left w:val="nil"/>
              <w:bottom w:val="nil"/>
              <w:right w:val="nil"/>
            </w:tcBorders>
            <w:shd w:val="clear" w:color="auto" w:fill="auto"/>
          </w:tcPr>
          <w:p w14:paraId="48B705CA"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3065F757"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52CEA018"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79F869F9" w14:textId="77777777" w:rsidTr="003D1E91">
        <w:trPr>
          <w:trHeight w:val="416"/>
        </w:trPr>
        <w:tc>
          <w:tcPr>
            <w:tcW w:w="2208" w:type="dxa"/>
            <w:tcBorders>
              <w:top w:val="nil"/>
              <w:left w:val="nil"/>
              <w:bottom w:val="nil"/>
              <w:right w:val="nil"/>
            </w:tcBorders>
            <w:shd w:val="clear" w:color="auto" w:fill="auto"/>
          </w:tcPr>
          <w:p w14:paraId="502437F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Middle and upper ureter</w:t>
            </w:r>
          </w:p>
        </w:tc>
        <w:tc>
          <w:tcPr>
            <w:tcW w:w="756" w:type="dxa"/>
            <w:tcBorders>
              <w:top w:val="nil"/>
              <w:left w:val="nil"/>
              <w:bottom w:val="nil"/>
              <w:right w:val="nil"/>
            </w:tcBorders>
            <w:shd w:val="clear" w:color="auto" w:fill="auto"/>
          </w:tcPr>
          <w:p w14:paraId="1884484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0.421</w:t>
            </w:r>
          </w:p>
        </w:tc>
        <w:tc>
          <w:tcPr>
            <w:tcW w:w="1258" w:type="dxa"/>
            <w:tcBorders>
              <w:top w:val="nil"/>
              <w:left w:val="nil"/>
              <w:bottom w:val="nil"/>
              <w:right w:val="nil"/>
            </w:tcBorders>
            <w:shd w:val="clear" w:color="auto" w:fill="auto"/>
          </w:tcPr>
          <w:p w14:paraId="25D609E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0.177-1.002</w:t>
            </w:r>
          </w:p>
        </w:tc>
        <w:tc>
          <w:tcPr>
            <w:tcW w:w="816" w:type="dxa"/>
            <w:tcBorders>
              <w:top w:val="nil"/>
              <w:left w:val="nil"/>
              <w:bottom w:val="nil"/>
              <w:right w:val="nil"/>
            </w:tcBorders>
            <w:shd w:val="clear" w:color="auto" w:fill="auto"/>
          </w:tcPr>
          <w:p w14:paraId="1F461C7D"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0.051</w:t>
            </w:r>
          </w:p>
        </w:tc>
        <w:tc>
          <w:tcPr>
            <w:tcW w:w="756" w:type="dxa"/>
            <w:tcBorders>
              <w:top w:val="nil"/>
              <w:left w:val="nil"/>
              <w:bottom w:val="nil"/>
              <w:right w:val="nil"/>
            </w:tcBorders>
            <w:shd w:val="clear" w:color="auto" w:fill="auto"/>
          </w:tcPr>
          <w:p w14:paraId="56213711"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0.421</w:t>
            </w:r>
          </w:p>
        </w:tc>
        <w:tc>
          <w:tcPr>
            <w:tcW w:w="1258" w:type="dxa"/>
            <w:tcBorders>
              <w:top w:val="nil"/>
              <w:left w:val="nil"/>
              <w:bottom w:val="nil"/>
              <w:right w:val="nil"/>
            </w:tcBorders>
            <w:shd w:val="clear" w:color="auto" w:fill="auto"/>
          </w:tcPr>
          <w:p w14:paraId="534A59A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0.177-1.002</w:t>
            </w:r>
          </w:p>
        </w:tc>
        <w:tc>
          <w:tcPr>
            <w:tcW w:w="853" w:type="dxa"/>
            <w:tcBorders>
              <w:top w:val="nil"/>
              <w:left w:val="nil"/>
              <w:bottom w:val="nil"/>
              <w:right w:val="nil"/>
            </w:tcBorders>
            <w:shd w:val="clear" w:color="auto" w:fill="auto"/>
          </w:tcPr>
          <w:p w14:paraId="665EF4C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0.051</w:t>
            </w:r>
          </w:p>
        </w:tc>
        <w:tc>
          <w:tcPr>
            <w:tcW w:w="839" w:type="dxa"/>
            <w:tcBorders>
              <w:top w:val="nil"/>
              <w:left w:val="nil"/>
              <w:bottom w:val="nil"/>
              <w:right w:val="nil"/>
            </w:tcBorders>
            <w:shd w:val="clear" w:color="auto" w:fill="auto"/>
          </w:tcPr>
          <w:p w14:paraId="75818CC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0.930</w:t>
            </w:r>
          </w:p>
        </w:tc>
        <w:tc>
          <w:tcPr>
            <w:tcW w:w="1442" w:type="dxa"/>
            <w:tcBorders>
              <w:top w:val="nil"/>
              <w:left w:val="nil"/>
              <w:bottom w:val="nil"/>
              <w:right w:val="nil"/>
            </w:tcBorders>
            <w:shd w:val="clear" w:color="auto" w:fill="auto"/>
          </w:tcPr>
          <w:p w14:paraId="0603ACC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0.295-2.933</w:t>
            </w:r>
          </w:p>
        </w:tc>
        <w:tc>
          <w:tcPr>
            <w:tcW w:w="808" w:type="dxa"/>
            <w:tcBorders>
              <w:top w:val="nil"/>
              <w:left w:val="nil"/>
              <w:bottom w:val="nil"/>
              <w:right w:val="nil"/>
            </w:tcBorders>
            <w:shd w:val="clear" w:color="auto" w:fill="auto"/>
          </w:tcPr>
          <w:p w14:paraId="560918F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0.901</w:t>
            </w:r>
          </w:p>
        </w:tc>
        <w:tc>
          <w:tcPr>
            <w:tcW w:w="876" w:type="dxa"/>
            <w:tcBorders>
              <w:top w:val="nil"/>
              <w:left w:val="nil"/>
              <w:bottom w:val="nil"/>
              <w:right w:val="nil"/>
            </w:tcBorders>
            <w:shd w:val="clear" w:color="auto" w:fill="auto"/>
          </w:tcPr>
          <w:p w14:paraId="7B409628"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77CD7FF4"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21B2A48F"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3FF8B7A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1.148</w:t>
            </w:r>
          </w:p>
        </w:tc>
        <w:tc>
          <w:tcPr>
            <w:tcW w:w="1303" w:type="dxa"/>
            <w:tcBorders>
              <w:top w:val="nil"/>
              <w:left w:val="nil"/>
              <w:bottom w:val="nil"/>
              <w:right w:val="nil"/>
            </w:tcBorders>
            <w:shd w:val="clear" w:color="auto" w:fill="auto"/>
          </w:tcPr>
          <w:p w14:paraId="43A9FF5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0.451-2.920</w:t>
            </w:r>
          </w:p>
        </w:tc>
        <w:tc>
          <w:tcPr>
            <w:tcW w:w="901" w:type="dxa"/>
            <w:tcBorders>
              <w:top w:val="nil"/>
              <w:left w:val="nil"/>
              <w:bottom w:val="nil"/>
              <w:right w:val="nil"/>
            </w:tcBorders>
            <w:shd w:val="clear" w:color="auto" w:fill="auto"/>
          </w:tcPr>
          <w:p w14:paraId="6BB5BAF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0.772</w:t>
            </w:r>
          </w:p>
        </w:tc>
        <w:tc>
          <w:tcPr>
            <w:tcW w:w="862" w:type="dxa"/>
            <w:tcBorders>
              <w:top w:val="nil"/>
              <w:left w:val="nil"/>
              <w:bottom w:val="nil"/>
              <w:right w:val="nil"/>
            </w:tcBorders>
            <w:shd w:val="clear" w:color="auto" w:fill="auto"/>
          </w:tcPr>
          <w:p w14:paraId="6B7B3BCF"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71B269D5"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64931779"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6BFDFE80" w14:textId="77777777" w:rsidTr="003D1E91">
        <w:trPr>
          <w:trHeight w:val="408"/>
        </w:trPr>
        <w:tc>
          <w:tcPr>
            <w:tcW w:w="2208" w:type="dxa"/>
            <w:tcBorders>
              <w:top w:val="nil"/>
              <w:left w:val="nil"/>
              <w:bottom w:val="nil"/>
              <w:right w:val="nil"/>
            </w:tcBorders>
            <w:shd w:val="clear" w:color="auto" w:fill="auto"/>
          </w:tcPr>
          <w:p w14:paraId="4A0680A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Renal pelvis or calyx</w:t>
            </w:r>
          </w:p>
        </w:tc>
        <w:tc>
          <w:tcPr>
            <w:tcW w:w="756" w:type="dxa"/>
            <w:tcBorders>
              <w:top w:val="nil"/>
              <w:left w:val="nil"/>
              <w:bottom w:val="nil"/>
              <w:right w:val="nil"/>
            </w:tcBorders>
            <w:shd w:val="clear" w:color="auto" w:fill="auto"/>
          </w:tcPr>
          <w:p w14:paraId="7683333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0.339</w:t>
            </w:r>
          </w:p>
        </w:tc>
        <w:tc>
          <w:tcPr>
            <w:tcW w:w="1258" w:type="dxa"/>
            <w:tcBorders>
              <w:top w:val="nil"/>
              <w:left w:val="nil"/>
              <w:bottom w:val="nil"/>
              <w:right w:val="nil"/>
            </w:tcBorders>
            <w:shd w:val="clear" w:color="auto" w:fill="auto"/>
          </w:tcPr>
          <w:p w14:paraId="2250413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0.153-0.750</w:t>
            </w:r>
          </w:p>
        </w:tc>
        <w:tc>
          <w:tcPr>
            <w:tcW w:w="816" w:type="dxa"/>
            <w:tcBorders>
              <w:top w:val="nil"/>
              <w:left w:val="nil"/>
              <w:bottom w:val="nil"/>
              <w:right w:val="nil"/>
            </w:tcBorders>
            <w:shd w:val="clear" w:color="auto" w:fill="auto"/>
          </w:tcPr>
          <w:p w14:paraId="7BE371A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0.008</w:t>
            </w:r>
          </w:p>
        </w:tc>
        <w:tc>
          <w:tcPr>
            <w:tcW w:w="756" w:type="dxa"/>
            <w:tcBorders>
              <w:top w:val="nil"/>
              <w:left w:val="nil"/>
              <w:bottom w:val="nil"/>
              <w:right w:val="nil"/>
            </w:tcBorders>
            <w:shd w:val="clear" w:color="auto" w:fill="auto"/>
          </w:tcPr>
          <w:p w14:paraId="0223EC6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0.339</w:t>
            </w:r>
          </w:p>
        </w:tc>
        <w:tc>
          <w:tcPr>
            <w:tcW w:w="1258" w:type="dxa"/>
            <w:tcBorders>
              <w:top w:val="nil"/>
              <w:left w:val="nil"/>
              <w:bottom w:val="nil"/>
              <w:right w:val="nil"/>
            </w:tcBorders>
            <w:shd w:val="clear" w:color="auto" w:fill="auto"/>
          </w:tcPr>
          <w:p w14:paraId="3730126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0.153-0.750</w:t>
            </w:r>
          </w:p>
        </w:tc>
        <w:tc>
          <w:tcPr>
            <w:tcW w:w="853" w:type="dxa"/>
            <w:tcBorders>
              <w:top w:val="nil"/>
              <w:left w:val="nil"/>
              <w:bottom w:val="nil"/>
              <w:right w:val="nil"/>
            </w:tcBorders>
            <w:shd w:val="clear" w:color="auto" w:fill="auto"/>
          </w:tcPr>
          <w:p w14:paraId="4A3F49C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0.008</w:t>
            </w:r>
          </w:p>
        </w:tc>
        <w:tc>
          <w:tcPr>
            <w:tcW w:w="839" w:type="dxa"/>
            <w:tcBorders>
              <w:top w:val="nil"/>
              <w:left w:val="nil"/>
              <w:bottom w:val="nil"/>
              <w:right w:val="nil"/>
            </w:tcBorders>
            <w:shd w:val="clear" w:color="auto" w:fill="auto"/>
          </w:tcPr>
          <w:p w14:paraId="65F2FD0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0.505</w:t>
            </w:r>
          </w:p>
        </w:tc>
        <w:tc>
          <w:tcPr>
            <w:tcW w:w="1442" w:type="dxa"/>
            <w:tcBorders>
              <w:top w:val="nil"/>
              <w:left w:val="nil"/>
              <w:bottom w:val="nil"/>
              <w:right w:val="nil"/>
            </w:tcBorders>
            <w:shd w:val="clear" w:color="auto" w:fill="auto"/>
          </w:tcPr>
          <w:p w14:paraId="35E1894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0.160-1.598</w:t>
            </w:r>
          </w:p>
        </w:tc>
        <w:tc>
          <w:tcPr>
            <w:tcW w:w="808" w:type="dxa"/>
            <w:tcBorders>
              <w:top w:val="nil"/>
              <w:left w:val="nil"/>
              <w:bottom w:val="nil"/>
              <w:right w:val="nil"/>
            </w:tcBorders>
            <w:shd w:val="clear" w:color="auto" w:fill="auto"/>
          </w:tcPr>
          <w:p w14:paraId="285B2D5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0.245</w:t>
            </w:r>
          </w:p>
        </w:tc>
        <w:tc>
          <w:tcPr>
            <w:tcW w:w="876" w:type="dxa"/>
            <w:tcBorders>
              <w:top w:val="nil"/>
              <w:left w:val="nil"/>
              <w:bottom w:val="nil"/>
              <w:right w:val="nil"/>
            </w:tcBorders>
            <w:shd w:val="clear" w:color="auto" w:fill="auto"/>
          </w:tcPr>
          <w:p w14:paraId="445B9ABA"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094B9A54"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346C4A4E"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66252E6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0.466</w:t>
            </w:r>
          </w:p>
        </w:tc>
        <w:tc>
          <w:tcPr>
            <w:tcW w:w="1303" w:type="dxa"/>
            <w:tcBorders>
              <w:top w:val="nil"/>
              <w:left w:val="nil"/>
              <w:bottom w:val="nil"/>
              <w:right w:val="nil"/>
            </w:tcBorders>
            <w:shd w:val="clear" w:color="auto" w:fill="auto"/>
          </w:tcPr>
          <w:p w14:paraId="3B72AE4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0.176-1.230</w:t>
            </w:r>
          </w:p>
        </w:tc>
        <w:tc>
          <w:tcPr>
            <w:tcW w:w="901" w:type="dxa"/>
            <w:tcBorders>
              <w:top w:val="nil"/>
              <w:left w:val="nil"/>
              <w:bottom w:val="nil"/>
              <w:right w:val="nil"/>
            </w:tcBorders>
            <w:shd w:val="clear" w:color="auto" w:fill="auto"/>
          </w:tcPr>
          <w:p w14:paraId="39952A8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0.123</w:t>
            </w:r>
          </w:p>
        </w:tc>
        <w:tc>
          <w:tcPr>
            <w:tcW w:w="862" w:type="dxa"/>
            <w:tcBorders>
              <w:top w:val="nil"/>
              <w:left w:val="nil"/>
              <w:bottom w:val="nil"/>
              <w:right w:val="nil"/>
            </w:tcBorders>
            <w:shd w:val="clear" w:color="auto" w:fill="auto"/>
          </w:tcPr>
          <w:p w14:paraId="2294A18E"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3B067F8E"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0358428E"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3CAECEB6" w14:textId="77777777" w:rsidTr="003D1E91">
        <w:trPr>
          <w:trHeight w:val="414"/>
        </w:trPr>
        <w:tc>
          <w:tcPr>
            <w:tcW w:w="2208" w:type="dxa"/>
            <w:tcBorders>
              <w:top w:val="nil"/>
              <w:left w:val="nil"/>
              <w:bottom w:val="nil"/>
              <w:right w:val="nil"/>
            </w:tcBorders>
            <w:shd w:val="clear" w:color="auto" w:fill="auto"/>
          </w:tcPr>
          <w:p w14:paraId="0A196831"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Multiple</w:t>
            </w:r>
          </w:p>
        </w:tc>
        <w:tc>
          <w:tcPr>
            <w:tcW w:w="756" w:type="dxa"/>
            <w:tcBorders>
              <w:top w:val="nil"/>
              <w:left w:val="nil"/>
              <w:bottom w:val="nil"/>
              <w:right w:val="nil"/>
            </w:tcBorders>
            <w:shd w:val="clear" w:color="auto" w:fill="auto"/>
          </w:tcPr>
          <w:p w14:paraId="0BBEE4A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0.315</w:t>
            </w:r>
          </w:p>
        </w:tc>
        <w:tc>
          <w:tcPr>
            <w:tcW w:w="1258" w:type="dxa"/>
            <w:tcBorders>
              <w:top w:val="nil"/>
              <w:left w:val="nil"/>
              <w:bottom w:val="nil"/>
              <w:right w:val="nil"/>
            </w:tcBorders>
            <w:shd w:val="clear" w:color="auto" w:fill="auto"/>
          </w:tcPr>
          <w:p w14:paraId="3556FE7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0.007-1.416</w:t>
            </w:r>
          </w:p>
        </w:tc>
        <w:tc>
          <w:tcPr>
            <w:tcW w:w="816" w:type="dxa"/>
            <w:tcBorders>
              <w:top w:val="nil"/>
              <w:left w:val="nil"/>
              <w:bottom w:val="nil"/>
              <w:right w:val="nil"/>
            </w:tcBorders>
            <w:shd w:val="clear" w:color="auto" w:fill="auto"/>
          </w:tcPr>
          <w:p w14:paraId="656CD14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0.132</w:t>
            </w:r>
          </w:p>
        </w:tc>
        <w:tc>
          <w:tcPr>
            <w:tcW w:w="756" w:type="dxa"/>
            <w:tcBorders>
              <w:top w:val="nil"/>
              <w:left w:val="nil"/>
              <w:bottom w:val="nil"/>
              <w:right w:val="nil"/>
            </w:tcBorders>
            <w:shd w:val="clear" w:color="auto" w:fill="auto"/>
          </w:tcPr>
          <w:p w14:paraId="34438A4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0.315</w:t>
            </w:r>
          </w:p>
        </w:tc>
        <w:tc>
          <w:tcPr>
            <w:tcW w:w="1258" w:type="dxa"/>
            <w:tcBorders>
              <w:top w:val="nil"/>
              <w:left w:val="nil"/>
              <w:bottom w:val="nil"/>
              <w:right w:val="nil"/>
            </w:tcBorders>
            <w:shd w:val="clear" w:color="auto" w:fill="auto"/>
          </w:tcPr>
          <w:p w14:paraId="1E1C540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0.007-1.416</w:t>
            </w:r>
          </w:p>
        </w:tc>
        <w:tc>
          <w:tcPr>
            <w:tcW w:w="853" w:type="dxa"/>
            <w:tcBorders>
              <w:top w:val="nil"/>
              <w:left w:val="nil"/>
              <w:bottom w:val="nil"/>
              <w:right w:val="nil"/>
            </w:tcBorders>
            <w:shd w:val="clear" w:color="auto" w:fill="auto"/>
          </w:tcPr>
          <w:p w14:paraId="3FD07E0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0.132</w:t>
            </w:r>
          </w:p>
        </w:tc>
        <w:tc>
          <w:tcPr>
            <w:tcW w:w="839" w:type="dxa"/>
            <w:tcBorders>
              <w:top w:val="nil"/>
              <w:left w:val="nil"/>
              <w:bottom w:val="nil"/>
              <w:right w:val="nil"/>
            </w:tcBorders>
            <w:shd w:val="clear" w:color="auto" w:fill="auto"/>
          </w:tcPr>
          <w:p w14:paraId="7430CD2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0.459</w:t>
            </w:r>
          </w:p>
        </w:tc>
        <w:tc>
          <w:tcPr>
            <w:tcW w:w="1442" w:type="dxa"/>
            <w:tcBorders>
              <w:top w:val="nil"/>
              <w:left w:val="nil"/>
              <w:bottom w:val="nil"/>
              <w:right w:val="nil"/>
            </w:tcBorders>
            <w:shd w:val="clear" w:color="auto" w:fill="auto"/>
          </w:tcPr>
          <w:p w14:paraId="0F3BF4A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0.053-3.973</w:t>
            </w:r>
          </w:p>
        </w:tc>
        <w:tc>
          <w:tcPr>
            <w:tcW w:w="808" w:type="dxa"/>
            <w:tcBorders>
              <w:top w:val="nil"/>
              <w:left w:val="nil"/>
              <w:bottom w:val="nil"/>
              <w:right w:val="nil"/>
            </w:tcBorders>
            <w:shd w:val="clear" w:color="auto" w:fill="auto"/>
          </w:tcPr>
          <w:p w14:paraId="0A25018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0.479</w:t>
            </w:r>
          </w:p>
        </w:tc>
        <w:tc>
          <w:tcPr>
            <w:tcW w:w="876" w:type="dxa"/>
            <w:tcBorders>
              <w:top w:val="nil"/>
              <w:left w:val="nil"/>
              <w:bottom w:val="nil"/>
              <w:right w:val="nil"/>
            </w:tcBorders>
            <w:shd w:val="clear" w:color="auto" w:fill="auto"/>
          </w:tcPr>
          <w:p w14:paraId="6E508810"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2280BFB5"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404739D4"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2B008AF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0.500</w:t>
            </w:r>
          </w:p>
        </w:tc>
        <w:tc>
          <w:tcPr>
            <w:tcW w:w="1303" w:type="dxa"/>
            <w:tcBorders>
              <w:top w:val="nil"/>
              <w:left w:val="nil"/>
              <w:bottom w:val="nil"/>
              <w:right w:val="nil"/>
            </w:tcBorders>
            <w:shd w:val="clear" w:color="auto" w:fill="auto"/>
          </w:tcPr>
          <w:p w14:paraId="4EDF6C7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0.102-2.462</w:t>
            </w:r>
          </w:p>
        </w:tc>
        <w:tc>
          <w:tcPr>
            <w:tcW w:w="901" w:type="dxa"/>
            <w:tcBorders>
              <w:top w:val="nil"/>
              <w:left w:val="nil"/>
              <w:bottom w:val="nil"/>
              <w:right w:val="nil"/>
            </w:tcBorders>
            <w:shd w:val="clear" w:color="auto" w:fill="auto"/>
          </w:tcPr>
          <w:p w14:paraId="6C51B39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0.394</w:t>
            </w:r>
          </w:p>
        </w:tc>
        <w:tc>
          <w:tcPr>
            <w:tcW w:w="862" w:type="dxa"/>
            <w:tcBorders>
              <w:top w:val="nil"/>
              <w:left w:val="nil"/>
              <w:bottom w:val="nil"/>
              <w:right w:val="nil"/>
            </w:tcBorders>
            <w:shd w:val="clear" w:color="auto" w:fill="auto"/>
          </w:tcPr>
          <w:p w14:paraId="13624B93"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3CFA014C"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5E10919B"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2D18D5D9" w14:textId="77777777" w:rsidTr="003D1E91">
        <w:trPr>
          <w:trHeight w:val="342"/>
        </w:trPr>
        <w:tc>
          <w:tcPr>
            <w:tcW w:w="2208" w:type="dxa"/>
            <w:tcBorders>
              <w:top w:val="nil"/>
              <w:left w:val="nil"/>
              <w:bottom w:val="nil"/>
              <w:right w:val="nil"/>
            </w:tcBorders>
            <w:shd w:val="clear" w:color="auto" w:fill="auto"/>
          </w:tcPr>
          <w:p w14:paraId="193CE912" w14:textId="52165405" w:rsidR="003D1E91" w:rsidRPr="00074CC2" w:rsidRDefault="003D1E91" w:rsidP="00E842BB">
            <w:pPr>
              <w:snapToGrid w:val="0"/>
              <w:spacing w:line="360" w:lineRule="auto"/>
              <w:jc w:val="both"/>
              <w:rPr>
                <w:rFonts w:ascii="Book Antiqua" w:hAnsi="Book Antiqua" w:cs="Times New Roman"/>
              </w:rPr>
            </w:pPr>
            <w:proofErr w:type="spellStart"/>
            <w:r w:rsidRPr="00074CC2">
              <w:rPr>
                <w:rFonts w:ascii="Book Antiqua" w:hAnsi="Book Antiqua"/>
              </w:rPr>
              <w:t>pT</w:t>
            </w:r>
            <w:proofErr w:type="spellEnd"/>
            <w:r w:rsidRPr="00074CC2">
              <w:rPr>
                <w:rFonts w:ascii="Book Antiqua" w:hAnsi="Book Antiqua" w:hint="eastAsia"/>
              </w:rPr>
              <w:t xml:space="preserve"> </w:t>
            </w:r>
            <w:r w:rsidRPr="00074CC2">
              <w:rPr>
                <w:rFonts w:ascii="Book Antiqua" w:hAnsi="Book Antiqua" w:hint="eastAsia"/>
              </w:rPr>
              <w:t>≤</w:t>
            </w:r>
            <w:r w:rsidRPr="00074CC2">
              <w:rPr>
                <w:rFonts w:ascii="Book Antiqua" w:hAnsi="Book Antiqua" w:hint="eastAsia"/>
              </w:rPr>
              <w:t xml:space="preserve"> 2 </w:t>
            </w:r>
            <w:r w:rsidRPr="00074CC2">
              <w:rPr>
                <w:rFonts w:ascii="Book Antiqua" w:hAnsi="Book Antiqua"/>
                <w:i/>
              </w:rPr>
              <w:t>vs</w:t>
            </w:r>
            <w:r w:rsidRPr="00074CC2">
              <w:rPr>
                <w:rFonts w:ascii="Book Antiqua" w:hAnsi="Book Antiqua"/>
              </w:rPr>
              <w:t xml:space="preserve"> </w:t>
            </w:r>
            <w:proofErr w:type="spellStart"/>
            <w:r w:rsidRPr="00074CC2">
              <w:rPr>
                <w:rFonts w:ascii="Book Antiqua" w:hAnsi="Book Antiqua"/>
              </w:rPr>
              <w:t>pT</w:t>
            </w:r>
            <w:proofErr w:type="spellEnd"/>
            <w:r w:rsidRPr="00074CC2">
              <w:rPr>
                <w:rFonts w:ascii="Book Antiqua" w:hAnsi="Book Antiqua"/>
              </w:rPr>
              <w:t xml:space="preserve"> &gt; 2</w:t>
            </w:r>
          </w:p>
        </w:tc>
        <w:tc>
          <w:tcPr>
            <w:tcW w:w="756" w:type="dxa"/>
            <w:tcBorders>
              <w:top w:val="nil"/>
              <w:left w:val="nil"/>
              <w:bottom w:val="nil"/>
              <w:right w:val="nil"/>
            </w:tcBorders>
            <w:shd w:val="clear" w:color="auto" w:fill="auto"/>
          </w:tcPr>
          <w:p w14:paraId="50C61FE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0.567</w:t>
            </w:r>
          </w:p>
        </w:tc>
        <w:tc>
          <w:tcPr>
            <w:tcW w:w="1258" w:type="dxa"/>
            <w:tcBorders>
              <w:top w:val="nil"/>
              <w:left w:val="nil"/>
              <w:bottom w:val="nil"/>
              <w:right w:val="nil"/>
            </w:tcBorders>
            <w:shd w:val="clear" w:color="auto" w:fill="auto"/>
          </w:tcPr>
          <w:p w14:paraId="5BC3660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0.273-1.178</w:t>
            </w:r>
          </w:p>
        </w:tc>
        <w:tc>
          <w:tcPr>
            <w:tcW w:w="816" w:type="dxa"/>
            <w:tcBorders>
              <w:top w:val="nil"/>
              <w:left w:val="nil"/>
              <w:bottom w:val="nil"/>
              <w:right w:val="nil"/>
            </w:tcBorders>
            <w:shd w:val="clear" w:color="auto" w:fill="auto"/>
          </w:tcPr>
          <w:p w14:paraId="722E8E8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0.128</w:t>
            </w:r>
          </w:p>
        </w:tc>
        <w:tc>
          <w:tcPr>
            <w:tcW w:w="756" w:type="dxa"/>
            <w:tcBorders>
              <w:top w:val="nil"/>
              <w:left w:val="nil"/>
              <w:bottom w:val="nil"/>
              <w:right w:val="nil"/>
            </w:tcBorders>
            <w:shd w:val="clear" w:color="auto" w:fill="auto"/>
          </w:tcPr>
          <w:p w14:paraId="3C3CA0FD"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7CF8E28C"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7318107D" w14:textId="77777777" w:rsidR="003D1E91" w:rsidRPr="00074CC2" w:rsidRDefault="003D1E91" w:rsidP="00E842BB">
            <w:pPr>
              <w:snapToGrid w:val="0"/>
              <w:spacing w:line="360" w:lineRule="auto"/>
              <w:jc w:val="both"/>
              <w:rPr>
                <w:rFonts w:ascii="Book Antiqua" w:hAnsi="Book Antiqua" w:cs="Times New Roman"/>
              </w:rPr>
            </w:pPr>
          </w:p>
        </w:tc>
        <w:tc>
          <w:tcPr>
            <w:tcW w:w="839" w:type="dxa"/>
            <w:tcBorders>
              <w:top w:val="nil"/>
              <w:left w:val="nil"/>
              <w:bottom w:val="nil"/>
              <w:right w:val="nil"/>
            </w:tcBorders>
            <w:shd w:val="clear" w:color="auto" w:fill="auto"/>
          </w:tcPr>
          <w:p w14:paraId="3B786AE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9.156</w:t>
            </w:r>
          </w:p>
        </w:tc>
        <w:tc>
          <w:tcPr>
            <w:tcW w:w="1442" w:type="dxa"/>
            <w:tcBorders>
              <w:top w:val="nil"/>
              <w:left w:val="nil"/>
              <w:bottom w:val="nil"/>
              <w:right w:val="nil"/>
            </w:tcBorders>
            <w:shd w:val="clear" w:color="auto" w:fill="auto"/>
          </w:tcPr>
          <w:p w14:paraId="15AABC4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2.673-31.358</w:t>
            </w:r>
          </w:p>
        </w:tc>
        <w:tc>
          <w:tcPr>
            <w:tcW w:w="808" w:type="dxa"/>
            <w:tcBorders>
              <w:top w:val="nil"/>
              <w:left w:val="nil"/>
              <w:bottom w:val="nil"/>
              <w:right w:val="nil"/>
            </w:tcBorders>
            <w:shd w:val="clear" w:color="auto" w:fill="auto"/>
          </w:tcPr>
          <w:p w14:paraId="5205896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0.000</w:t>
            </w:r>
          </w:p>
        </w:tc>
        <w:tc>
          <w:tcPr>
            <w:tcW w:w="876" w:type="dxa"/>
            <w:tcBorders>
              <w:top w:val="nil"/>
              <w:left w:val="nil"/>
              <w:bottom w:val="nil"/>
              <w:right w:val="nil"/>
            </w:tcBorders>
            <w:shd w:val="clear" w:color="auto" w:fill="auto"/>
          </w:tcPr>
          <w:p w14:paraId="7261FAC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8.439</w:t>
            </w:r>
          </w:p>
        </w:tc>
        <w:tc>
          <w:tcPr>
            <w:tcW w:w="1197" w:type="dxa"/>
            <w:tcBorders>
              <w:top w:val="nil"/>
              <w:left w:val="nil"/>
              <w:bottom w:val="nil"/>
              <w:right w:val="nil"/>
            </w:tcBorders>
            <w:shd w:val="clear" w:color="auto" w:fill="auto"/>
          </w:tcPr>
          <w:p w14:paraId="33DE3DFF"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2.424-29.377</w:t>
            </w:r>
          </w:p>
        </w:tc>
        <w:tc>
          <w:tcPr>
            <w:tcW w:w="649" w:type="dxa"/>
            <w:tcBorders>
              <w:top w:val="nil"/>
              <w:left w:val="nil"/>
              <w:bottom w:val="nil"/>
              <w:right w:val="nil"/>
            </w:tcBorders>
            <w:shd w:val="clear" w:color="auto" w:fill="auto"/>
          </w:tcPr>
          <w:p w14:paraId="6FFD1EC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0.001</w:t>
            </w:r>
          </w:p>
        </w:tc>
        <w:tc>
          <w:tcPr>
            <w:tcW w:w="1038" w:type="dxa"/>
            <w:tcBorders>
              <w:top w:val="nil"/>
              <w:left w:val="nil"/>
              <w:bottom w:val="nil"/>
              <w:right w:val="nil"/>
            </w:tcBorders>
            <w:shd w:val="clear" w:color="auto" w:fill="auto"/>
          </w:tcPr>
          <w:p w14:paraId="21307EBD"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2.970</w:t>
            </w:r>
          </w:p>
        </w:tc>
        <w:tc>
          <w:tcPr>
            <w:tcW w:w="1303" w:type="dxa"/>
            <w:tcBorders>
              <w:top w:val="nil"/>
              <w:left w:val="nil"/>
              <w:bottom w:val="nil"/>
              <w:right w:val="nil"/>
            </w:tcBorders>
            <w:shd w:val="clear" w:color="auto" w:fill="auto"/>
          </w:tcPr>
          <w:p w14:paraId="5C7AE28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1.417-6.225</w:t>
            </w:r>
          </w:p>
        </w:tc>
        <w:tc>
          <w:tcPr>
            <w:tcW w:w="901" w:type="dxa"/>
            <w:tcBorders>
              <w:top w:val="nil"/>
              <w:left w:val="nil"/>
              <w:bottom w:val="nil"/>
              <w:right w:val="nil"/>
            </w:tcBorders>
            <w:shd w:val="clear" w:color="auto" w:fill="auto"/>
          </w:tcPr>
          <w:p w14:paraId="7151A5B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0.004</w:t>
            </w:r>
          </w:p>
        </w:tc>
        <w:tc>
          <w:tcPr>
            <w:tcW w:w="862" w:type="dxa"/>
            <w:tcBorders>
              <w:top w:val="nil"/>
              <w:left w:val="nil"/>
              <w:bottom w:val="nil"/>
              <w:right w:val="nil"/>
            </w:tcBorders>
            <w:shd w:val="clear" w:color="auto" w:fill="auto"/>
          </w:tcPr>
          <w:p w14:paraId="53093CE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2.891</w:t>
            </w:r>
          </w:p>
        </w:tc>
        <w:tc>
          <w:tcPr>
            <w:tcW w:w="1146" w:type="dxa"/>
            <w:tcBorders>
              <w:top w:val="nil"/>
              <w:left w:val="nil"/>
              <w:bottom w:val="nil"/>
              <w:right w:val="nil"/>
            </w:tcBorders>
            <w:shd w:val="clear" w:color="auto" w:fill="auto"/>
          </w:tcPr>
          <w:p w14:paraId="2472979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1.364-6.128</w:t>
            </w:r>
          </w:p>
        </w:tc>
        <w:tc>
          <w:tcPr>
            <w:tcW w:w="987" w:type="dxa"/>
            <w:tcBorders>
              <w:top w:val="nil"/>
              <w:left w:val="nil"/>
              <w:bottom w:val="nil"/>
              <w:right w:val="nil"/>
            </w:tcBorders>
            <w:shd w:val="clear" w:color="auto" w:fill="auto"/>
          </w:tcPr>
          <w:p w14:paraId="5B2ECA6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0.006</w:t>
            </w:r>
          </w:p>
        </w:tc>
      </w:tr>
      <w:tr w:rsidR="003D1E91" w:rsidRPr="00074CC2" w14:paraId="43D0D61D" w14:textId="77777777" w:rsidTr="003D1E91">
        <w:trPr>
          <w:trHeight w:val="276"/>
        </w:trPr>
        <w:tc>
          <w:tcPr>
            <w:tcW w:w="2208" w:type="dxa"/>
            <w:tcBorders>
              <w:top w:val="nil"/>
              <w:left w:val="nil"/>
              <w:bottom w:val="nil"/>
              <w:right w:val="nil"/>
            </w:tcBorders>
            <w:shd w:val="clear" w:color="auto" w:fill="auto"/>
          </w:tcPr>
          <w:p w14:paraId="2CD0B149" w14:textId="12666488"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 xml:space="preserve">LN (-/x) </w:t>
            </w:r>
            <w:r w:rsidRPr="00074CC2">
              <w:rPr>
                <w:rFonts w:ascii="Book Antiqua" w:hAnsi="Book Antiqua"/>
                <w:i/>
              </w:rPr>
              <w:t>vs</w:t>
            </w:r>
            <w:r w:rsidRPr="00074CC2">
              <w:rPr>
                <w:rFonts w:ascii="Book Antiqua" w:hAnsi="Book Antiqua"/>
              </w:rPr>
              <w:t xml:space="preserve"> LN (+)</w:t>
            </w:r>
          </w:p>
        </w:tc>
        <w:tc>
          <w:tcPr>
            <w:tcW w:w="756" w:type="dxa"/>
            <w:tcBorders>
              <w:top w:val="nil"/>
              <w:left w:val="nil"/>
              <w:bottom w:val="nil"/>
              <w:right w:val="nil"/>
            </w:tcBorders>
            <w:shd w:val="clear" w:color="auto" w:fill="auto"/>
          </w:tcPr>
          <w:p w14:paraId="5D2E13F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0.901</w:t>
            </w:r>
          </w:p>
        </w:tc>
        <w:tc>
          <w:tcPr>
            <w:tcW w:w="1258" w:type="dxa"/>
            <w:tcBorders>
              <w:top w:val="nil"/>
              <w:left w:val="nil"/>
              <w:bottom w:val="nil"/>
              <w:right w:val="nil"/>
            </w:tcBorders>
            <w:shd w:val="clear" w:color="auto" w:fill="auto"/>
          </w:tcPr>
          <w:p w14:paraId="4BC19BE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0.123-6.586</w:t>
            </w:r>
          </w:p>
        </w:tc>
        <w:tc>
          <w:tcPr>
            <w:tcW w:w="816" w:type="dxa"/>
            <w:tcBorders>
              <w:top w:val="nil"/>
              <w:left w:val="nil"/>
              <w:bottom w:val="nil"/>
              <w:right w:val="nil"/>
            </w:tcBorders>
            <w:shd w:val="clear" w:color="auto" w:fill="auto"/>
          </w:tcPr>
          <w:p w14:paraId="5D87330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0.918</w:t>
            </w:r>
          </w:p>
        </w:tc>
        <w:tc>
          <w:tcPr>
            <w:tcW w:w="756" w:type="dxa"/>
            <w:tcBorders>
              <w:top w:val="nil"/>
              <w:left w:val="nil"/>
              <w:bottom w:val="nil"/>
              <w:right w:val="nil"/>
            </w:tcBorders>
            <w:shd w:val="clear" w:color="auto" w:fill="auto"/>
          </w:tcPr>
          <w:p w14:paraId="4D958934"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7CBD6262"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08744948" w14:textId="77777777" w:rsidR="003D1E91" w:rsidRPr="00074CC2" w:rsidRDefault="003D1E91" w:rsidP="00E842BB">
            <w:pPr>
              <w:snapToGrid w:val="0"/>
              <w:spacing w:line="360" w:lineRule="auto"/>
              <w:jc w:val="both"/>
              <w:rPr>
                <w:rFonts w:ascii="Book Antiqua" w:hAnsi="Book Antiqua" w:cs="Times New Roman"/>
              </w:rPr>
            </w:pPr>
          </w:p>
        </w:tc>
        <w:tc>
          <w:tcPr>
            <w:tcW w:w="839" w:type="dxa"/>
            <w:tcBorders>
              <w:top w:val="nil"/>
              <w:left w:val="nil"/>
              <w:bottom w:val="nil"/>
              <w:right w:val="nil"/>
            </w:tcBorders>
            <w:shd w:val="clear" w:color="auto" w:fill="auto"/>
          </w:tcPr>
          <w:p w14:paraId="6664B061"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16.793</w:t>
            </w:r>
          </w:p>
        </w:tc>
        <w:tc>
          <w:tcPr>
            <w:tcW w:w="1442" w:type="dxa"/>
            <w:tcBorders>
              <w:top w:val="nil"/>
              <w:left w:val="nil"/>
              <w:bottom w:val="nil"/>
              <w:right w:val="nil"/>
            </w:tcBorders>
            <w:shd w:val="clear" w:color="auto" w:fill="auto"/>
          </w:tcPr>
          <w:p w14:paraId="3FCF6B5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6.328-44.568</w:t>
            </w:r>
          </w:p>
        </w:tc>
        <w:tc>
          <w:tcPr>
            <w:tcW w:w="808" w:type="dxa"/>
            <w:tcBorders>
              <w:top w:val="nil"/>
              <w:left w:val="nil"/>
              <w:bottom w:val="nil"/>
              <w:right w:val="nil"/>
            </w:tcBorders>
            <w:shd w:val="clear" w:color="auto" w:fill="auto"/>
          </w:tcPr>
          <w:p w14:paraId="13564E0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0.000</w:t>
            </w:r>
          </w:p>
        </w:tc>
        <w:tc>
          <w:tcPr>
            <w:tcW w:w="876" w:type="dxa"/>
            <w:tcBorders>
              <w:top w:val="nil"/>
              <w:left w:val="nil"/>
              <w:bottom w:val="nil"/>
              <w:right w:val="nil"/>
            </w:tcBorders>
            <w:shd w:val="clear" w:color="auto" w:fill="auto"/>
          </w:tcPr>
          <w:p w14:paraId="2432FCB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14.343</w:t>
            </w:r>
          </w:p>
        </w:tc>
        <w:tc>
          <w:tcPr>
            <w:tcW w:w="1197" w:type="dxa"/>
            <w:tcBorders>
              <w:top w:val="nil"/>
              <w:left w:val="nil"/>
              <w:bottom w:val="nil"/>
              <w:right w:val="nil"/>
            </w:tcBorders>
            <w:shd w:val="clear" w:color="auto" w:fill="auto"/>
          </w:tcPr>
          <w:p w14:paraId="5314C19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5.176-39.745</w:t>
            </w:r>
          </w:p>
        </w:tc>
        <w:tc>
          <w:tcPr>
            <w:tcW w:w="649" w:type="dxa"/>
            <w:tcBorders>
              <w:top w:val="nil"/>
              <w:left w:val="nil"/>
              <w:bottom w:val="nil"/>
              <w:right w:val="nil"/>
            </w:tcBorders>
            <w:shd w:val="clear" w:color="auto" w:fill="auto"/>
          </w:tcPr>
          <w:p w14:paraId="5E533C35" w14:textId="0CB00D9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&lt;</w:t>
            </w:r>
            <w:r w:rsidR="00A75ABA" w:rsidRPr="00074CC2">
              <w:rPr>
                <w:rFonts w:ascii="Book Antiqua" w:hAnsi="Book Antiqua"/>
              </w:rPr>
              <w:t xml:space="preserve"> </w:t>
            </w:r>
            <w:r w:rsidRPr="00074CC2">
              <w:rPr>
                <w:rFonts w:ascii="Book Antiqua" w:hAnsi="Book Antiqua"/>
              </w:rPr>
              <w:t>0.001</w:t>
            </w:r>
          </w:p>
        </w:tc>
        <w:tc>
          <w:tcPr>
            <w:tcW w:w="1038" w:type="dxa"/>
            <w:tcBorders>
              <w:top w:val="nil"/>
              <w:left w:val="nil"/>
              <w:bottom w:val="nil"/>
              <w:right w:val="nil"/>
            </w:tcBorders>
            <w:shd w:val="clear" w:color="auto" w:fill="auto"/>
          </w:tcPr>
          <w:p w14:paraId="4E6C052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9.917</w:t>
            </w:r>
          </w:p>
        </w:tc>
        <w:tc>
          <w:tcPr>
            <w:tcW w:w="1303" w:type="dxa"/>
            <w:tcBorders>
              <w:top w:val="nil"/>
              <w:left w:val="nil"/>
              <w:bottom w:val="nil"/>
              <w:right w:val="nil"/>
            </w:tcBorders>
            <w:shd w:val="clear" w:color="auto" w:fill="auto"/>
          </w:tcPr>
          <w:p w14:paraId="210DBA8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3.995-24.621</w:t>
            </w:r>
          </w:p>
        </w:tc>
        <w:tc>
          <w:tcPr>
            <w:tcW w:w="901" w:type="dxa"/>
            <w:tcBorders>
              <w:top w:val="nil"/>
              <w:left w:val="nil"/>
              <w:bottom w:val="nil"/>
              <w:right w:val="nil"/>
            </w:tcBorders>
            <w:shd w:val="clear" w:color="auto" w:fill="auto"/>
          </w:tcPr>
          <w:p w14:paraId="26B88F7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0.000</w:t>
            </w:r>
          </w:p>
        </w:tc>
        <w:tc>
          <w:tcPr>
            <w:tcW w:w="862" w:type="dxa"/>
            <w:tcBorders>
              <w:top w:val="nil"/>
              <w:left w:val="nil"/>
              <w:bottom w:val="nil"/>
              <w:right w:val="nil"/>
            </w:tcBorders>
            <w:shd w:val="clear" w:color="auto" w:fill="auto"/>
          </w:tcPr>
          <w:p w14:paraId="6ABEFC0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9.473</w:t>
            </w:r>
          </w:p>
        </w:tc>
        <w:tc>
          <w:tcPr>
            <w:tcW w:w="1146" w:type="dxa"/>
            <w:tcBorders>
              <w:top w:val="nil"/>
              <w:left w:val="nil"/>
              <w:bottom w:val="nil"/>
              <w:right w:val="nil"/>
            </w:tcBorders>
            <w:shd w:val="clear" w:color="auto" w:fill="auto"/>
          </w:tcPr>
          <w:p w14:paraId="3BD7C9E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3.75-23.926</w:t>
            </w:r>
          </w:p>
        </w:tc>
        <w:tc>
          <w:tcPr>
            <w:tcW w:w="987" w:type="dxa"/>
            <w:tcBorders>
              <w:top w:val="nil"/>
              <w:left w:val="nil"/>
              <w:bottom w:val="nil"/>
              <w:right w:val="nil"/>
            </w:tcBorders>
            <w:shd w:val="clear" w:color="auto" w:fill="auto"/>
          </w:tcPr>
          <w:p w14:paraId="60695438" w14:textId="59061F63"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&lt;</w:t>
            </w:r>
            <w:r w:rsidR="00A75ABA" w:rsidRPr="00074CC2">
              <w:rPr>
                <w:rFonts w:ascii="Book Antiqua" w:hAnsi="Book Antiqua"/>
              </w:rPr>
              <w:t xml:space="preserve"> </w:t>
            </w:r>
            <w:r w:rsidRPr="00074CC2">
              <w:rPr>
                <w:rFonts w:ascii="Book Antiqua" w:hAnsi="Book Antiqua"/>
              </w:rPr>
              <w:t>0.001</w:t>
            </w:r>
          </w:p>
        </w:tc>
      </w:tr>
      <w:tr w:rsidR="003D1E91" w:rsidRPr="00074CC2" w14:paraId="38120E32" w14:textId="77777777" w:rsidTr="003D1E91">
        <w:trPr>
          <w:trHeight w:val="224"/>
        </w:trPr>
        <w:tc>
          <w:tcPr>
            <w:tcW w:w="2208" w:type="dxa"/>
            <w:tcBorders>
              <w:top w:val="nil"/>
              <w:left w:val="nil"/>
              <w:bottom w:val="nil"/>
              <w:right w:val="nil"/>
            </w:tcBorders>
            <w:shd w:val="clear" w:color="auto" w:fill="auto"/>
          </w:tcPr>
          <w:p w14:paraId="3DB2F45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lastRenderedPageBreak/>
              <w:t xml:space="preserve">Tumor grade </w:t>
            </w:r>
          </w:p>
        </w:tc>
        <w:tc>
          <w:tcPr>
            <w:tcW w:w="756" w:type="dxa"/>
            <w:tcBorders>
              <w:top w:val="nil"/>
              <w:left w:val="nil"/>
              <w:bottom w:val="nil"/>
              <w:right w:val="nil"/>
            </w:tcBorders>
            <w:shd w:val="clear" w:color="auto" w:fill="auto"/>
          </w:tcPr>
          <w:p w14:paraId="1554BDB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0.988</w:t>
            </w:r>
          </w:p>
        </w:tc>
        <w:tc>
          <w:tcPr>
            <w:tcW w:w="1258" w:type="dxa"/>
            <w:tcBorders>
              <w:top w:val="nil"/>
              <w:left w:val="nil"/>
              <w:bottom w:val="nil"/>
              <w:right w:val="nil"/>
            </w:tcBorders>
            <w:shd w:val="clear" w:color="auto" w:fill="auto"/>
          </w:tcPr>
          <w:p w14:paraId="6EFE147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0.383-2.547</w:t>
            </w:r>
          </w:p>
        </w:tc>
        <w:tc>
          <w:tcPr>
            <w:tcW w:w="816" w:type="dxa"/>
            <w:tcBorders>
              <w:top w:val="nil"/>
              <w:left w:val="nil"/>
              <w:bottom w:val="nil"/>
              <w:right w:val="nil"/>
            </w:tcBorders>
            <w:shd w:val="clear" w:color="auto" w:fill="auto"/>
          </w:tcPr>
          <w:p w14:paraId="2463883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0.980</w:t>
            </w:r>
          </w:p>
        </w:tc>
        <w:tc>
          <w:tcPr>
            <w:tcW w:w="756" w:type="dxa"/>
            <w:tcBorders>
              <w:top w:val="nil"/>
              <w:left w:val="nil"/>
              <w:bottom w:val="nil"/>
              <w:right w:val="nil"/>
            </w:tcBorders>
            <w:shd w:val="clear" w:color="auto" w:fill="auto"/>
          </w:tcPr>
          <w:p w14:paraId="22F9B7CB"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610CB3B2"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3F56A269" w14:textId="77777777" w:rsidR="003D1E91" w:rsidRPr="00074CC2" w:rsidRDefault="003D1E91" w:rsidP="00E842BB">
            <w:pPr>
              <w:snapToGrid w:val="0"/>
              <w:spacing w:line="360" w:lineRule="auto"/>
              <w:jc w:val="both"/>
              <w:rPr>
                <w:rFonts w:ascii="Book Antiqua" w:hAnsi="Book Antiqua" w:cs="Times New Roman"/>
              </w:rPr>
            </w:pPr>
          </w:p>
        </w:tc>
        <w:tc>
          <w:tcPr>
            <w:tcW w:w="839" w:type="dxa"/>
            <w:tcBorders>
              <w:top w:val="nil"/>
              <w:left w:val="nil"/>
              <w:bottom w:val="nil"/>
              <w:right w:val="nil"/>
            </w:tcBorders>
            <w:shd w:val="clear" w:color="auto" w:fill="auto"/>
          </w:tcPr>
          <w:p w14:paraId="3E3E4BA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25.367</w:t>
            </w:r>
          </w:p>
        </w:tc>
        <w:tc>
          <w:tcPr>
            <w:tcW w:w="1442" w:type="dxa"/>
            <w:tcBorders>
              <w:top w:val="nil"/>
              <w:left w:val="nil"/>
              <w:bottom w:val="nil"/>
              <w:right w:val="nil"/>
            </w:tcBorders>
            <w:shd w:val="clear" w:color="auto" w:fill="auto"/>
          </w:tcPr>
          <w:p w14:paraId="76E92FB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0.083-7755.852</w:t>
            </w:r>
          </w:p>
        </w:tc>
        <w:tc>
          <w:tcPr>
            <w:tcW w:w="808" w:type="dxa"/>
            <w:tcBorders>
              <w:top w:val="nil"/>
              <w:left w:val="nil"/>
              <w:bottom w:val="nil"/>
              <w:right w:val="nil"/>
            </w:tcBorders>
            <w:shd w:val="clear" w:color="auto" w:fill="auto"/>
          </w:tcPr>
          <w:p w14:paraId="6AD773F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0.268</w:t>
            </w:r>
          </w:p>
        </w:tc>
        <w:tc>
          <w:tcPr>
            <w:tcW w:w="876" w:type="dxa"/>
            <w:tcBorders>
              <w:top w:val="nil"/>
              <w:left w:val="nil"/>
              <w:bottom w:val="nil"/>
              <w:right w:val="nil"/>
            </w:tcBorders>
            <w:shd w:val="clear" w:color="auto" w:fill="auto"/>
          </w:tcPr>
          <w:p w14:paraId="21E7D4C1"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55D9C12F"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1DD51672"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0B7025A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0.981</w:t>
            </w:r>
          </w:p>
        </w:tc>
        <w:tc>
          <w:tcPr>
            <w:tcW w:w="1303" w:type="dxa"/>
            <w:tcBorders>
              <w:top w:val="nil"/>
              <w:left w:val="nil"/>
              <w:bottom w:val="nil"/>
              <w:right w:val="nil"/>
            </w:tcBorders>
            <w:shd w:val="clear" w:color="auto" w:fill="auto"/>
          </w:tcPr>
          <w:p w14:paraId="6860ECB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0.341-2.826</w:t>
            </w:r>
          </w:p>
        </w:tc>
        <w:tc>
          <w:tcPr>
            <w:tcW w:w="901" w:type="dxa"/>
            <w:tcBorders>
              <w:top w:val="nil"/>
              <w:left w:val="nil"/>
              <w:bottom w:val="nil"/>
              <w:right w:val="nil"/>
            </w:tcBorders>
            <w:shd w:val="clear" w:color="auto" w:fill="auto"/>
          </w:tcPr>
          <w:p w14:paraId="696687D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0.972</w:t>
            </w:r>
          </w:p>
        </w:tc>
        <w:tc>
          <w:tcPr>
            <w:tcW w:w="862" w:type="dxa"/>
            <w:tcBorders>
              <w:top w:val="nil"/>
              <w:left w:val="nil"/>
              <w:bottom w:val="nil"/>
              <w:right w:val="nil"/>
            </w:tcBorders>
            <w:shd w:val="clear" w:color="auto" w:fill="auto"/>
          </w:tcPr>
          <w:p w14:paraId="59F6026B"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4DC7A088"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7E665D31"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7B9A7D87" w14:textId="77777777" w:rsidTr="003D1E91">
        <w:trPr>
          <w:trHeight w:val="414"/>
        </w:trPr>
        <w:tc>
          <w:tcPr>
            <w:tcW w:w="2208" w:type="dxa"/>
            <w:tcBorders>
              <w:top w:val="nil"/>
              <w:left w:val="nil"/>
              <w:bottom w:val="nil"/>
              <w:right w:val="nil"/>
            </w:tcBorders>
            <w:shd w:val="clear" w:color="auto" w:fill="auto"/>
          </w:tcPr>
          <w:p w14:paraId="27B7757F" w14:textId="0410470A"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 xml:space="preserve">LV (-) </w:t>
            </w:r>
            <w:r w:rsidRPr="00074CC2">
              <w:rPr>
                <w:rFonts w:ascii="Book Antiqua" w:hAnsi="Book Antiqua"/>
                <w:i/>
              </w:rPr>
              <w:t>vs</w:t>
            </w:r>
            <w:r w:rsidRPr="00074CC2">
              <w:rPr>
                <w:rFonts w:ascii="Book Antiqua" w:hAnsi="Book Antiqua"/>
              </w:rPr>
              <w:t xml:space="preserve"> LV (+)</w:t>
            </w:r>
          </w:p>
        </w:tc>
        <w:tc>
          <w:tcPr>
            <w:tcW w:w="756" w:type="dxa"/>
            <w:tcBorders>
              <w:top w:val="nil"/>
              <w:left w:val="nil"/>
              <w:bottom w:val="nil"/>
              <w:right w:val="nil"/>
            </w:tcBorders>
            <w:shd w:val="clear" w:color="auto" w:fill="auto"/>
          </w:tcPr>
          <w:p w14:paraId="4423611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0.611</w:t>
            </w:r>
          </w:p>
        </w:tc>
        <w:tc>
          <w:tcPr>
            <w:tcW w:w="1258" w:type="dxa"/>
            <w:tcBorders>
              <w:top w:val="nil"/>
              <w:left w:val="nil"/>
              <w:bottom w:val="nil"/>
              <w:right w:val="nil"/>
            </w:tcBorders>
            <w:shd w:val="clear" w:color="auto" w:fill="auto"/>
          </w:tcPr>
          <w:p w14:paraId="1C5105B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0.146-2.552</w:t>
            </w:r>
          </w:p>
        </w:tc>
        <w:tc>
          <w:tcPr>
            <w:tcW w:w="816" w:type="dxa"/>
            <w:tcBorders>
              <w:top w:val="nil"/>
              <w:left w:val="nil"/>
              <w:bottom w:val="nil"/>
              <w:right w:val="nil"/>
            </w:tcBorders>
            <w:shd w:val="clear" w:color="auto" w:fill="auto"/>
          </w:tcPr>
          <w:p w14:paraId="6B557DE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0.499</w:t>
            </w:r>
          </w:p>
        </w:tc>
        <w:tc>
          <w:tcPr>
            <w:tcW w:w="756" w:type="dxa"/>
            <w:tcBorders>
              <w:top w:val="nil"/>
              <w:left w:val="nil"/>
              <w:bottom w:val="nil"/>
              <w:right w:val="nil"/>
            </w:tcBorders>
            <w:shd w:val="clear" w:color="auto" w:fill="auto"/>
          </w:tcPr>
          <w:p w14:paraId="2495AAA7"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1CC085A9"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20D478B1" w14:textId="77777777" w:rsidR="003D1E91" w:rsidRPr="00074CC2" w:rsidRDefault="003D1E91" w:rsidP="00E842BB">
            <w:pPr>
              <w:snapToGrid w:val="0"/>
              <w:spacing w:line="360" w:lineRule="auto"/>
              <w:jc w:val="both"/>
              <w:rPr>
                <w:rFonts w:ascii="Book Antiqua" w:hAnsi="Book Antiqua" w:cs="Times New Roman"/>
              </w:rPr>
            </w:pPr>
          </w:p>
        </w:tc>
        <w:tc>
          <w:tcPr>
            <w:tcW w:w="839" w:type="dxa"/>
            <w:tcBorders>
              <w:top w:val="nil"/>
              <w:left w:val="nil"/>
              <w:bottom w:val="nil"/>
              <w:right w:val="nil"/>
            </w:tcBorders>
            <w:shd w:val="clear" w:color="auto" w:fill="auto"/>
          </w:tcPr>
          <w:p w14:paraId="78475A1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2.933</w:t>
            </w:r>
          </w:p>
        </w:tc>
        <w:tc>
          <w:tcPr>
            <w:tcW w:w="1442" w:type="dxa"/>
            <w:tcBorders>
              <w:top w:val="nil"/>
              <w:left w:val="nil"/>
              <w:bottom w:val="nil"/>
              <w:right w:val="nil"/>
            </w:tcBorders>
            <w:shd w:val="clear" w:color="auto" w:fill="auto"/>
          </w:tcPr>
          <w:p w14:paraId="645763C4"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0.969-8.881</w:t>
            </w:r>
          </w:p>
        </w:tc>
        <w:tc>
          <w:tcPr>
            <w:tcW w:w="808" w:type="dxa"/>
            <w:tcBorders>
              <w:top w:val="nil"/>
              <w:left w:val="nil"/>
              <w:bottom w:val="nil"/>
              <w:right w:val="nil"/>
            </w:tcBorders>
            <w:shd w:val="clear" w:color="auto" w:fill="auto"/>
          </w:tcPr>
          <w:p w14:paraId="079B408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0.057</w:t>
            </w:r>
          </w:p>
        </w:tc>
        <w:tc>
          <w:tcPr>
            <w:tcW w:w="876" w:type="dxa"/>
            <w:tcBorders>
              <w:top w:val="nil"/>
              <w:left w:val="nil"/>
              <w:bottom w:val="nil"/>
              <w:right w:val="nil"/>
            </w:tcBorders>
            <w:shd w:val="clear" w:color="auto" w:fill="auto"/>
          </w:tcPr>
          <w:p w14:paraId="34DD6475"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2C63B06D"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077409DC"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008FCB4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2.385</w:t>
            </w:r>
          </w:p>
        </w:tc>
        <w:tc>
          <w:tcPr>
            <w:tcW w:w="1303" w:type="dxa"/>
            <w:tcBorders>
              <w:top w:val="nil"/>
              <w:left w:val="nil"/>
              <w:bottom w:val="nil"/>
              <w:right w:val="nil"/>
            </w:tcBorders>
            <w:shd w:val="clear" w:color="auto" w:fill="auto"/>
          </w:tcPr>
          <w:p w14:paraId="27771E6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0.907-6.273</w:t>
            </w:r>
          </w:p>
        </w:tc>
        <w:tc>
          <w:tcPr>
            <w:tcW w:w="901" w:type="dxa"/>
            <w:tcBorders>
              <w:top w:val="nil"/>
              <w:left w:val="nil"/>
              <w:bottom w:val="nil"/>
              <w:right w:val="nil"/>
            </w:tcBorders>
            <w:shd w:val="clear" w:color="auto" w:fill="auto"/>
          </w:tcPr>
          <w:p w14:paraId="1FD5BED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0.078</w:t>
            </w:r>
          </w:p>
        </w:tc>
        <w:tc>
          <w:tcPr>
            <w:tcW w:w="862" w:type="dxa"/>
            <w:tcBorders>
              <w:top w:val="nil"/>
              <w:left w:val="nil"/>
              <w:bottom w:val="nil"/>
              <w:right w:val="nil"/>
            </w:tcBorders>
            <w:shd w:val="clear" w:color="auto" w:fill="auto"/>
          </w:tcPr>
          <w:p w14:paraId="5F4629D9"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21C045FF"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684A0B25"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14E77207" w14:textId="77777777" w:rsidTr="003D1E91">
        <w:trPr>
          <w:trHeight w:val="276"/>
        </w:trPr>
        <w:tc>
          <w:tcPr>
            <w:tcW w:w="2208" w:type="dxa"/>
            <w:tcBorders>
              <w:top w:val="nil"/>
              <w:left w:val="nil"/>
              <w:bottom w:val="nil"/>
              <w:right w:val="nil"/>
            </w:tcBorders>
            <w:shd w:val="clear" w:color="auto" w:fill="auto"/>
          </w:tcPr>
          <w:p w14:paraId="70CEA43E"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 xml:space="preserve">Urinary cytology </w:t>
            </w:r>
          </w:p>
        </w:tc>
        <w:tc>
          <w:tcPr>
            <w:tcW w:w="756" w:type="dxa"/>
            <w:tcBorders>
              <w:top w:val="nil"/>
              <w:left w:val="nil"/>
              <w:bottom w:val="nil"/>
              <w:right w:val="nil"/>
            </w:tcBorders>
            <w:shd w:val="clear" w:color="auto" w:fill="auto"/>
          </w:tcPr>
          <w:p w14:paraId="427FD6A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0.993</w:t>
            </w:r>
          </w:p>
        </w:tc>
        <w:tc>
          <w:tcPr>
            <w:tcW w:w="1258" w:type="dxa"/>
            <w:tcBorders>
              <w:top w:val="nil"/>
              <w:left w:val="nil"/>
              <w:bottom w:val="nil"/>
              <w:right w:val="nil"/>
            </w:tcBorders>
            <w:shd w:val="clear" w:color="auto" w:fill="auto"/>
          </w:tcPr>
          <w:p w14:paraId="3D59E549"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0.478-2.064</w:t>
            </w:r>
          </w:p>
        </w:tc>
        <w:tc>
          <w:tcPr>
            <w:tcW w:w="816" w:type="dxa"/>
            <w:tcBorders>
              <w:top w:val="nil"/>
              <w:left w:val="nil"/>
              <w:bottom w:val="nil"/>
              <w:right w:val="nil"/>
            </w:tcBorders>
            <w:shd w:val="clear" w:color="auto" w:fill="auto"/>
          </w:tcPr>
          <w:p w14:paraId="3CBDF29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0.986</w:t>
            </w:r>
          </w:p>
        </w:tc>
        <w:tc>
          <w:tcPr>
            <w:tcW w:w="756" w:type="dxa"/>
            <w:tcBorders>
              <w:top w:val="nil"/>
              <w:left w:val="nil"/>
              <w:bottom w:val="nil"/>
              <w:right w:val="nil"/>
            </w:tcBorders>
            <w:shd w:val="clear" w:color="auto" w:fill="auto"/>
          </w:tcPr>
          <w:p w14:paraId="39076EE7"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nil"/>
              <w:right w:val="nil"/>
            </w:tcBorders>
            <w:shd w:val="clear" w:color="auto" w:fill="auto"/>
          </w:tcPr>
          <w:p w14:paraId="6D365CAC"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nil"/>
              <w:right w:val="nil"/>
            </w:tcBorders>
            <w:shd w:val="clear" w:color="auto" w:fill="auto"/>
          </w:tcPr>
          <w:p w14:paraId="598E1AA2" w14:textId="77777777" w:rsidR="003D1E91" w:rsidRPr="00074CC2" w:rsidRDefault="003D1E91" w:rsidP="00E842BB">
            <w:pPr>
              <w:snapToGrid w:val="0"/>
              <w:spacing w:line="360" w:lineRule="auto"/>
              <w:jc w:val="both"/>
              <w:rPr>
                <w:rFonts w:ascii="Book Antiqua" w:hAnsi="Book Antiqua" w:cs="Times New Roman"/>
              </w:rPr>
            </w:pPr>
          </w:p>
        </w:tc>
        <w:tc>
          <w:tcPr>
            <w:tcW w:w="839" w:type="dxa"/>
            <w:tcBorders>
              <w:top w:val="nil"/>
              <w:left w:val="nil"/>
              <w:bottom w:val="nil"/>
              <w:right w:val="nil"/>
            </w:tcBorders>
            <w:shd w:val="clear" w:color="auto" w:fill="auto"/>
          </w:tcPr>
          <w:p w14:paraId="1CF141E7"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1.474</w:t>
            </w:r>
          </w:p>
        </w:tc>
        <w:tc>
          <w:tcPr>
            <w:tcW w:w="1442" w:type="dxa"/>
            <w:tcBorders>
              <w:top w:val="nil"/>
              <w:left w:val="nil"/>
              <w:bottom w:val="nil"/>
              <w:right w:val="nil"/>
            </w:tcBorders>
            <w:shd w:val="clear" w:color="auto" w:fill="auto"/>
          </w:tcPr>
          <w:p w14:paraId="6E79FBB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0.492-4.419</w:t>
            </w:r>
          </w:p>
        </w:tc>
        <w:tc>
          <w:tcPr>
            <w:tcW w:w="808" w:type="dxa"/>
            <w:tcBorders>
              <w:top w:val="nil"/>
              <w:left w:val="nil"/>
              <w:bottom w:val="nil"/>
              <w:right w:val="nil"/>
            </w:tcBorders>
            <w:shd w:val="clear" w:color="auto" w:fill="auto"/>
          </w:tcPr>
          <w:p w14:paraId="58BB1358"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0.488</w:t>
            </w:r>
          </w:p>
        </w:tc>
        <w:tc>
          <w:tcPr>
            <w:tcW w:w="876" w:type="dxa"/>
            <w:tcBorders>
              <w:top w:val="nil"/>
              <w:left w:val="nil"/>
              <w:bottom w:val="nil"/>
              <w:right w:val="nil"/>
            </w:tcBorders>
            <w:shd w:val="clear" w:color="auto" w:fill="auto"/>
          </w:tcPr>
          <w:p w14:paraId="451C8FAA"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nil"/>
              <w:right w:val="nil"/>
            </w:tcBorders>
            <w:shd w:val="clear" w:color="auto" w:fill="auto"/>
          </w:tcPr>
          <w:p w14:paraId="73C051D5"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nil"/>
              <w:right w:val="nil"/>
            </w:tcBorders>
            <w:shd w:val="clear" w:color="auto" w:fill="auto"/>
          </w:tcPr>
          <w:p w14:paraId="341059DB"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nil"/>
              <w:right w:val="nil"/>
            </w:tcBorders>
            <w:shd w:val="clear" w:color="auto" w:fill="auto"/>
          </w:tcPr>
          <w:p w14:paraId="1AE8230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1.446</w:t>
            </w:r>
          </w:p>
        </w:tc>
        <w:tc>
          <w:tcPr>
            <w:tcW w:w="1303" w:type="dxa"/>
            <w:tcBorders>
              <w:top w:val="nil"/>
              <w:left w:val="nil"/>
              <w:bottom w:val="nil"/>
              <w:right w:val="nil"/>
            </w:tcBorders>
            <w:shd w:val="clear" w:color="auto" w:fill="auto"/>
          </w:tcPr>
          <w:p w14:paraId="5693B21B"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0.592-3.532</w:t>
            </w:r>
          </w:p>
        </w:tc>
        <w:tc>
          <w:tcPr>
            <w:tcW w:w="901" w:type="dxa"/>
            <w:tcBorders>
              <w:top w:val="nil"/>
              <w:left w:val="nil"/>
              <w:bottom w:val="nil"/>
              <w:right w:val="nil"/>
            </w:tcBorders>
            <w:shd w:val="clear" w:color="auto" w:fill="auto"/>
          </w:tcPr>
          <w:p w14:paraId="7B24A05A"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0.418</w:t>
            </w:r>
          </w:p>
        </w:tc>
        <w:tc>
          <w:tcPr>
            <w:tcW w:w="862" w:type="dxa"/>
            <w:tcBorders>
              <w:top w:val="nil"/>
              <w:left w:val="nil"/>
              <w:bottom w:val="nil"/>
              <w:right w:val="nil"/>
            </w:tcBorders>
            <w:shd w:val="clear" w:color="auto" w:fill="auto"/>
          </w:tcPr>
          <w:p w14:paraId="7DC721E6"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nil"/>
              <w:right w:val="nil"/>
            </w:tcBorders>
            <w:shd w:val="clear" w:color="auto" w:fill="auto"/>
          </w:tcPr>
          <w:p w14:paraId="5B6C76EE"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nil"/>
              <w:right w:val="nil"/>
            </w:tcBorders>
            <w:shd w:val="clear" w:color="auto" w:fill="auto"/>
          </w:tcPr>
          <w:p w14:paraId="6B1B6465" w14:textId="77777777" w:rsidR="003D1E91" w:rsidRPr="00074CC2" w:rsidRDefault="003D1E91" w:rsidP="00E842BB">
            <w:pPr>
              <w:snapToGrid w:val="0"/>
              <w:spacing w:line="360" w:lineRule="auto"/>
              <w:jc w:val="both"/>
              <w:rPr>
                <w:rFonts w:ascii="Book Antiqua" w:hAnsi="Book Antiqua" w:cs="Times New Roman"/>
              </w:rPr>
            </w:pPr>
          </w:p>
        </w:tc>
      </w:tr>
      <w:tr w:rsidR="003D1E91" w:rsidRPr="00074CC2" w14:paraId="2F7C026B" w14:textId="77777777" w:rsidTr="003D1E91">
        <w:trPr>
          <w:trHeight w:val="522"/>
        </w:trPr>
        <w:tc>
          <w:tcPr>
            <w:tcW w:w="2208" w:type="dxa"/>
            <w:tcBorders>
              <w:top w:val="nil"/>
              <w:left w:val="nil"/>
              <w:bottom w:val="single" w:sz="4" w:space="0" w:color="auto"/>
              <w:right w:val="nil"/>
            </w:tcBorders>
            <w:shd w:val="clear" w:color="auto" w:fill="auto"/>
          </w:tcPr>
          <w:p w14:paraId="0E0E296C" w14:textId="370FE01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 xml:space="preserve">Intravesical chemotherapy (yes </w:t>
            </w:r>
            <w:r w:rsidRPr="00074CC2">
              <w:rPr>
                <w:rFonts w:ascii="Book Antiqua" w:hAnsi="Book Antiqua"/>
                <w:i/>
              </w:rPr>
              <w:t>vs</w:t>
            </w:r>
            <w:r w:rsidRPr="00074CC2">
              <w:rPr>
                <w:rFonts w:ascii="Book Antiqua" w:hAnsi="Book Antiqua"/>
              </w:rPr>
              <w:t xml:space="preserve"> no)</w:t>
            </w:r>
          </w:p>
        </w:tc>
        <w:tc>
          <w:tcPr>
            <w:tcW w:w="756" w:type="dxa"/>
            <w:tcBorders>
              <w:top w:val="nil"/>
              <w:left w:val="nil"/>
              <w:bottom w:val="single" w:sz="4" w:space="0" w:color="auto"/>
              <w:right w:val="nil"/>
            </w:tcBorders>
            <w:shd w:val="clear" w:color="auto" w:fill="auto"/>
          </w:tcPr>
          <w:p w14:paraId="5057D486"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1.023</w:t>
            </w:r>
          </w:p>
        </w:tc>
        <w:tc>
          <w:tcPr>
            <w:tcW w:w="1258" w:type="dxa"/>
            <w:tcBorders>
              <w:top w:val="nil"/>
              <w:left w:val="nil"/>
              <w:bottom w:val="single" w:sz="4" w:space="0" w:color="auto"/>
              <w:right w:val="nil"/>
            </w:tcBorders>
            <w:shd w:val="clear" w:color="auto" w:fill="auto"/>
          </w:tcPr>
          <w:p w14:paraId="5480ECAC"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0.503-2.081</w:t>
            </w:r>
          </w:p>
        </w:tc>
        <w:tc>
          <w:tcPr>
            <w:tcW w:w="816" w:type="dxa"/>
            <w:tcBorders>
              <w:top w:val="nil"/>
              <w:left w:val="nil"/>
              <w:bottom w:val="single" w:sz="4" w:space="0" w:color="auto"/>
              <w:right w:val="nil"/>
            </w:tcBorders>
            <w:shd w:val="clear" w:color="auto" w:fill="auto"/>
          </w:tcPr>
          <w:p w14:paraId="71047413"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0.950</w:t>
            </w:r>
          </w:p>
        </w:tc>
        <w:tc>
          <w:tcPr>
            <w:tcW w:w="756" w:type="dxa"/>
            <w:tcBorders>
              <w:top w:val="nil"/>
              <w:left w:val="nil"/>
              <w:bottom w:val="single" w:sz="4" w:space="0" w:color="auto"/>
              <w:right w:val="nil"/>
            </w:tcBorders>
            <w:shd w:val="clear" w:color="auto" w:fill="auto"/>
          </w:tcPr>
          <w:p w14:paraId="58887075" w14:textId="77777777" w:rsidR="003D1E91" w:rsidRPr="00074CC2" w:rsidRDefault="003D1E91" w:rsidP="00E842BB">
            <w:pPr>
              <w:snapToGrid w:val="0"/>
              <w:spacing w:line="360" w:lineRule="auto"/>
              <w:jc w:val="both"/>
              <w:rPr>
                <w:rFonts w:ascii="Book Antiqua" w:hAnsi="Book Antiqua" w:cs="Times New Roman"/>
              </w:rPr>
            </w:pPr>
          </w:p>
        </w:tc>
        <w:tc>
          <w:tcPr>
            <w:tcW w:w="1258" w:type="dxa"/>
            <w:tcBorders>
              <w:top w:val="nil"/>
              <w:left w:val="nil"/>
              <w:bottom w:val="single" w:sz="4" w:space="0" w:color="auto"/>
              <w:right w:val="nil"/>
            </w:tcBorders>
            <w:shd w:val="clear" w:color="auto" w:fill="auto"/>
          </w:tcPr>
          <w:p w14:paraId="054F115F" w14:textId="77777777" w:rsidR="003D1E91" w:rsidRPr="00074CC2" w:rsidRDefault="003D1E91" w:rsidP="00E842BB">
            <w:pPr>
              <w:snapToGrid w:val="0"/>
              <w:spacing w:line="360" w:lineRule="auto"/>
              <w:jc w:val="both"/>
              <w:rPr>
                <w:rFonts w:ascii="Book Antiqua" w:hAnsi="Book Antiqua" w:cs="Times New Roman"/>
              </w:rPr>
            </w:pPr>
          </w:p>
        </w:tc>
        <w:tc>
          <w:tcPr>
            <w:tcW w:w="853" w:type="dxa"/>
            <w:tcBorders>
              <w:top w:val="nil"/>
              <w:left w:val="nil"/>
              <w:bottom w:val="single" w:sz="4" w:space="0" w:color="auto"/>
              <w:right w:val="nil"/>
            </w:tcBorders>
            <w:shd w:val="clear" w:color="auto" w:fill="auto"/>
          </w:tcPr>
          <w:p w14:paraId="455A2D52" w14:textId="77777777" w:rsidR="003D1E91" w:rsidRPr="00074CC2" w:rsidRDefault="003D1E91" w:rsidP="00E842BB">
            <w:pPr>
              <w:snapToGrid w:val="0"/>
              <w:spacing w:line="360" w:lineRule="auto"/>
              <w:jc w:val="both"/>
              <w:rPr>
                <w:rFonts w:ascii="Book Antiqua" w:hAnsi="Book Antiqua" w:cs="Times New Roman"/>
              </w:rPr>
            </w:pPr>
          </w:p>
        </w:tc>
        <w:tc>
          <w:tcPr>
            <w:tcW w:w="839" w:type="dxa"/>
            <w:tcBorders>
              <w:top w:val="nil"/>
              <w:left w:val="nil"/>
              <w:bottom w:val="single" w:sz="4" w:space="0" w:color="auto"/>
              <w:right w:val="nil"/>
            </w:tcBorders>
            <w:shd w:val="clear" w:color="auto" w:fill="auto"/>
          </w:tcPr>
          <w:p w14:paraId="4AB544AF"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0.606</w:t>
            </w:r>
          </w:p>
        </w:tc>
        <w:tc>
          <w:tcPr>
            <w:tcW w:w="1442" w:type="dxa"/>
            <w:tcBorders>
              <w:top w:val="nil"/>
              <w:left w:val="nil"/>
              <w:bottom w:val="single" w:sz="4" w:space="0" w:color="auto"/>
              <w:right w:val="nil"/>
            </w:tcBorders>
            <w:shd w:val="clear" w:color="auto" w:fill="auto"/>
          </w:tcPr>
          <w:p w14:paraId="2718C0BF"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0.202-1.816</w:t>
            </w:r>
          </w:p>
        </w:tc>
        <w:tc>
          <w:tcPr>
            <w:tcW w:w="808" w:type="dxa"/>
            <w:tcBorders>
              <w:top w:val="nil"/>
              <w:left w:val="nil"/>
              <w:bottom w:val="single" w:sz="4" w:space="0" w:color="auto"/>
              <w:right w:val="nil"/>
            </w:tcBorders>
            <w:shd w:val="clear" w:color="auto" w:fill="auto"/>
          </w:tcPr>
          <w:p w14:paraId="7BA72AB0"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0.371</w:t>
            </w:r>
          </w:p>
        </w:tc>
        <w:tc>
          <w:tcPr>
            <w:tcW w:w="876" w:type="dxa"/>
            <w:tcBorders>
              <w:top w:val="nil"/>
              <w:left w:val="nil"/>
              <w:bottom w:val="single" w:sz="4" w:space="0" w:color="auto"/>
              <w:right w:val="nil"/>
            </w:tcBorders>
            <w:shd w:val="clear" w:color="auto" w:fill="auto"/>
          </w:tcPr>
          <w:p w14:paraId="244A0EA0" w14:textId="77777777" w:rsidR="003D1E91" w:rsidRPr="00074CC2" w:rsidRDefault="003D1E91" w:rsidP="00E842BB">
            <w:pPr>
              <w:snapToGrid w:val="0"/>
              <w:spacing w:line="360" w:lineRule="auto"/>
              <w:jc w:val="both"/>
              <w:rPr>
                <w:rFonts w:ascii="Book Antiqua" w:hAnsi="Book Antiqua" w:cs="Times New Roman"/>
              </w:rPr>
            </w:pPr>
          </w:p>
        </w:tc>
        <w:tc>
          <w:tcPr>
            <w:tcW w:w="1197" w:type="dxa"/>
            <w:tcBorders>
              <w:top w:val="nil"/>
              <w:left w:val="nil"/>
              <w:bottom w:val="single" w:sz="4" w:space="0" w:color="auto"/>
              <w:right w:val="nil"/>
            </w:tcBorders>
            <w:shd w:val="clear" w:color="auto" w:fill="auto"/>
          </w:tcPr>
          <w:p w14:paraId="481FE265" w14:textId="77777777" w:rsidR="003D1E91" w:rsidRPr="00074CC2" w:rsidRDefault="003D1E91" w:rsidP="00E842BB">
            <w:pPr>
              <w:snapToGrid w:val="0"/>
              <w:spacing w:line="360" w:lineRule="auto"/>
              <w:jc w:val="both"/>
              <w:rPr>
                <w:rFonts w:ascii="Book Antiqua" w:hAnsi="Book Antiqua" w:cs="Times New Roman"/>
              </w:rPr>
            </w:pPr>
          </w:p>
        </w:tc>
        <w:tc>
          <w:tcPr>
            <w:tcW w:w="649" w:type="dxa"/>
            <w:tcBorders>
              <w:top w:val="nil"/>
              <w:left w:val="nil"/>
              <w:bottom w:val="single" w:sz="4" w:space="0" w:color="auto"/>
              <w:right w:val="nil"/>
            </w:tcBorders>
            <w:shd w:val="clear" w:color="auto" w:fill="auto"/>
          </w:tcPr>
          <w:p w14:paraId="0A3D2778" w14:textId="77777777" w:rsidR="003D1E91" w:rsidRPr="00074CC2" w:rsidRDefault="003D1E91" w:rsidP="00E842BB">
            <w:pPr>
              <w:snapToGrid w:val="0"/>
              <w:spacing w:line="360" w:lineRule="auto"/>
              <w:jc w:val="both"/>
              <w:rPr>
                <w:rFonts w:ascii="Book Antiqua" w:hAnsi="Book Antiqua" w:cs="Times New Roman"/>
              </w:rPr>
            </w:pPr>
          </w:p>
        </w:tc>
        <w:tc>
          <w:tcPr>
            <w:tcW w:w="1038" w:type="dxa"/>
            <w:tcBorders>
              <w:top w:val="nil"/>
              <w:left w:val="nil"/>
              <w:bottom w:val="single" w:sz="4" w:space="0" w:color="auto"/>
              <w:right w:val="nil"/>
            </w:tcBorders>
            <w:shd w:val="clear" w:color="auto" w:fill="auto"/>
          </w:tcPr>
          <w:p w14:paraId="4B0F20F2"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0.852</w:t>
            </w:r>
          </w:p>
        </w:tc>
        <w:tc>
          <w:tcPr>
            <w:tcW w:w="1303" w:type="dxa"/>
            <w:tcBorders>
              <w:top w:val="nil"/>
              <w:left w:val="nil"/>
              <w:bottom w:val="single" w:sz="4" w:space="0" w:color="auto"/>
              <w:right w:val="nil"/>
            </w:tcBorders>
            <w:shd w:val="clear" w:color="auto" w:fill="auto"/>
          </w:tcPr>
          <w:p w14:paraId="1E6FBA15"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0.380-1.909</w:t>
            </w:r>
          </w:p>
        </w:tc>
        <w:tc>
          <w:tcPr>
            <w:tcW w:w="901" w:type="dxa"/>
            <w:tcBorders>
              <w:top w:val="nil"/>
              <w:left w:val="nil"/>
              <w:bottom w:val="single" w:sz="4" w:space="0" w:color="auto"/>
              <w:right w:val="nil"/>
            </w:tcBorders>
            <w:shd w:val="clear" w:color="auto" w:fill="auto"/>
          </w:tcPr>
          <w:p w14:paraId="3F428D1F" w14:textId="77777777" w:rsidR="003D1E91" w:rsidRPr="00074CC2" w:rsidRDefault="003D1E91" w:rsidP="00E842BB">
            <w:pPr>
              <w:snapToGrid w:val="0"/>
              <w:spacing w:line="360" w:lineRule="auto"/>
              <w:jc w:val="both"/>
              <w:rPr>
                <w:rFonts w:ascii="Book Antiqua" w:hAnsi="Book Antiqua" w:cs="Times New Roman"/>
              </w:rPr>
            </w:pPr>
            <w:r w:rsidRPr="00074CC2">
              <w:rPr>
                <w:rFonts w:ascii="Book Antiqua" w:hAnsi="Book Antiqua"/>
              </w:rPr>
              <w:t>0.697</w:t>
            </w:r>
          </w:p>
        </w:tc>
        <w:tc>
          <w:tcPr>
            <w:tcW w:w="862" w:type="dxa"/>
            <w:tcBorders>
              <w:top w:val="nil"/>
              <w:left w:val="nil"/>
              <w:bottom w:val="single" w:sz="4" w:space="0" w:color="auto"/>
              <w:right w:val="nil"/>
            </w:tcBorders>
            <w:shd w:val="clear" w:color="auto" w:fill="auto"/>
          </w:tcPr>
          <w:p w14:paraId="0B125E70" w14:textId="77777777" w:rsidR="003D1E91" w:rsidRPr="00074CC2" w:rsidRDefault="003D1E91" w:rsidP="00E842BB">
            <w:pPr>
              <w:snapToGrid w:val="0"/>
              <w:spacing w:line="360" w:lineRule="auto"/>
              <w:jc w:val="both"/>
              <w:rPr>
                <w:rFonts w:ascii="Book Antiqua" w:hAnsi="Book Antiqua" w:cs="Times New Roman"/>
              </w:rPr>
            </w:pPr>
          </w:p>
        </w:tc>
        <w:tc>
          <w:tcPr>
            <w:tcW w:w="1146" w:type="dxa"/>
            <w:tcBorders>
              <w:top w:val="nil"/>
              <w:left w:val="nil"/>
              <w:bottom w:val="single" w:sz="4" w:space="0" w:color="auto"/>
              <w:right w:val="nil"/>
            </w:tcBorders>
            <w:shd w:val="clear" w:color="auto" w:fill="auto"/>
          </w:tcPr>
          <w:p w14:paraId="5ABDA742" w14:textId="77777777" w:rsidR="003D1E91" w:rsidRPr="00074CC2" w:rsidRDefault="003D1E91" w:rsidP="00E842BB">
            <w:pPr>
              <w:snapToGrid w:val="0"/>
              <w:spacing w:line="360" w:lineRule="auto"/>
              <w:jc w:val="both"/>
              <w:rPr>
                <w:rFonts w:ascii="Book Antiqua" w:hAnsi="Book Antiqua" w:cs="Times New Roman"/>
              </w:rPr>
            </w:pPr>
          </w:p>
        </w:tc>
        <w:tc>
          <w:tcPr>
            <w:tcW w:w="987" w:type="dxa"/>
            <w:tcBorders>
              <w:top w:val="nil"/>
              <w:left w:val="nil"/>
              <w:bottom w:val="single" w:sz="4" w:space="0" w:color="auto"/>
              <w:right w:val="nil"/>
            </w:tcBorders>
            <w:shd w:val="clear" w:color="auto" w:fill="auto"/>
          </w:tcPr>
          <w:p w14:paraId="38C66E23" w14:textId="77777777" w:rsidR="003D1E91" w:rsidRPr="00074CC2" w:rsidRDefault="003D1E91" w:rsidP="00E842BB">
            <w:pPr>
              <w:snapToGrid w:val="0"/>
              <w:spacing w:line="360" w:lineRule="auto"/>
              <w:jc w:val="both"/>
              <w:rPr>
                <w:rFonts w:ascii="Book Antiqua" w:hAnsi="Book Antiqua" w:cs="Times New Roman"/>
              </w:rPr>
            </w:pPr>
          </w:p>
        </w:tc>
      </w:tr>
    </w:tbl>
    <w:bookmarkEnd w:id="31"/>
    <w:p w14:paraId="223686FA" w14:textId="1DA0C117" w:rsidR="00A77B3E" w:rsidRPr="00074CC2" w:rsidRDefault="00A12ABA" w:rsidP="00E842BB">
      <w:pPr>
        <w:snapToGrid w:val="0"/>
        <w:spacing w:line="360" w:lineRule="auto"/>
        <w:jc w:val="both"/>
        <w:rPr>
          <w:rFonts w:ascii="Book Antiqua" w:hAnsi="Book Antiqua"/>
        </w:rPr>
      </w:pPr>
      <w:r w:rsidRPr="00074CC2">
        <w:rPr>
          <w:rFonts w:ascii="Book Antiqua" w:hAnsi="Book Antiqua"/>
        </w:rPr>
        <w:t>CSS: Cancer-specific survival</w:t>
      </w:r>
      <w:r w:rsidRPr="00074CC2">
        <w:rPr>
          <w:rFonts w:ascii="Book Antiqua" w:hAnsi="Book Antiqua"/>
          <w:lang w:eastAsia="zh-CN"/>
        </w:rPr>
        <w:t xml:space="preserve">; </w:t>
      </w:r>
      <w:r w:rsidRPr="00074CC2">
        <w:rPr>
          <w:rFonts w:ascii="Book Antiqua" w:hAnsi="Book Antiqua"/>
        </w:rPr>
        <w:t>EVBC: Extravesical incision of the bladder cuff; IVBC: Intrasvesical incision of the bladder cuff</w:t>
      </w:r>
      <w:r w:rsidRPr="00074CC2">
        <w:rPr>
          <w:rFonts w:ascii="Book Antiqua" w:hAnsi="Book Antiqua"/>
          <w:lang w:eastAsia="zh-CN"/>
        </w:rPr>
        <w:t xml:space="preserve">; </w:t>
      </w:r>
      <w:r w:rsidRPr="00074CC2">
        <w:rPr>
          <w:rFonts w:ascii="Book Antiqua" w:hAnsi="Book Antiqua"/>
        </w:rPr>
        <w:t>IRFS: Intravesical recurrence-free survival</w:t>
      </w:r>
      <w:r w:rsidRPr="00074CC2">
        <w:rPr>
          <w:rFonts w:ascii="Book Antiqua" w:hAnsi="Book Antiqua"/>
          <w:lang w:eastAsia="zh-CN"/>
        </w:rPr>
        <w:t xml:space="preserve">; </w:t>
      </w:r>
      <w:r w:rsidRPr="00074CC2">
        <w:rPr>
          <w:rFonts w:ascii="Book Antiqua" w:hAnsi="Book Antiqua"/>
        </w:rPr>
        <w:t xml:space="preserve">OS: Overall survival; TUBC: Transurethral incision of the bladder cuff; LN: Lymph node; </w:t>
      </w:r>
      <w:proofErr w:type="spellStart"/>
      <w:r w:rsidRPr="00074CC2">
        <w:rPr>
          <w:rFonts w:ascii="Book Antiqua" w:hAnsi="Book Antiqua"/>
        </w:rPr>
        <w:t>pT</w:t>
      </w:r>
      <w:proofErr w:type="spellEnd"/>
      <w:r w:rsidRPr="00074CC2">
        <w:rPr>
          <w:rFonts w:ascii="Book Antiqua" w:hAnsi="Book Antiqua"/>
        </w:rPr>
        <w:t xml:space="preserve">: </w:t>
      </w:r>
      <w:r w:rsidR="00074CC2">
        <w:rPr>
          <w:rFonts w:ascii="Book Antiqua" w:hAnsi="Book Antiqua"/>
        </w:rPr>
        <w:t>P</w:t>
      </w:r>
      <w:r w:rsidRPr="00074CC2">
        <w:rPr>
          <w:rFonts w:ascii="Book Antiqua" w:hAnsi="Book Antiqua"/>
        </w:rPr>
        <w:t xml:space="preserve">athological tumor; LVI: </w:t>
      </w:r>
      <w:proofErr w:type="spellStart"/>
      <w:r w:rsidRPr="00074CC2">
        <w:rPr>
          <w:rFonts w:ascii="Book Antiqua" w:hAnsi="Book Antiqua"/>
        </w:rPr>
        <w:t>Lymphovascular</w:t>
      </w:r>
      <w:proofErr w:type="spellEnd"/>
      <w:r w:rsidRPr="00074CC2">
        <w:rPr>
          <w:rFonts w:ascii="Book Antiqua" w:hAnsi="Book Antiqua"/>
        </w:rPr>
        <w:t xml:space="preserve"> invasion; HR: Hazard ratio; CI: Conﬁdence interval.</w:t>
      </w:r>
    </w:p>
    <w:sectPr w:rsidR="00A77B3E" w:rsidRPr="00074CC2" w:rsidSect="00C13252">
      <w:footerReference w:type="default" r:id="rId11"/>
      <w:type w:val="continuous"/>
      <w:pgSz w:w="23811" w:h="16838" w:orient="landscape"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CA64A" w14:textId="77777777" w:rsidR="009B64B1" w:rsidRDefault="009B64B1" w:rsidP="00B82087">
      <w:r>
        <w:separator/>
      </w:r>
    </w:p>
  </w:endnote>
  <w:endnote w:type="continuationSeparator" w:id="0">
    <w:p w14:paraId="389026B8" w14:textId="77777777" w:rsidR="009B64B1" w:rsidRDefault="009B64B1" w:rsidP="00B8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089718"/>
      <w:docPartObj>
        <w:docPartGallery w:val="Page Numbers (Bottom of Page)"/>
        <w:docPartUnique/>
      </w:docPartObj>
    </w:sdtPr>
    <w:sdtEndPr>
      <w:rPr>
        <w:rFonts w:ascii="Book Antiqua" w:hAnsi="Book Antiqua"/>
        <w:sz w:val="20"/>
        <w:szCs w:val="20"/>
      </w:rPr>
    </w:sdtEndPr>
    <w:sdtContent>
      <w:sdt>
        <w:sdtPr>
          <w:id w:val="-1769616900"/>
          <w:docPartObj>
            <w:docPartGallery w:val="Page Numbers (Top of Page)"/>
            <w:docPartUnique/>
          </w:docPartObj>
        </w:sdtPr>
        <w:sdtEndPr>
          <w:rPr>
            <w:rFonts w:ascii="Book Antiqua" w:hAnsi="Book Antiqua"/>
            <w:sz w:val="20"/>
            <w:szCs w:val="20"/>
          </w:rPr>
        </w:sdtEndPr>
        <w:sdtContent>
          <w:p w14:paraId="788B34F7" w14:textId="2077A266" w:rsidR="00935012" w:rsidRPr="001740BC" w:rsidRDefault="00935012">
            <w:pPr>
              <w:pStyle w:val="a5"/>
              <w:jc w:val="right"/>
              <w:rPr>
                <w:rFonts w:ascii="Book Antiqua" w:hAnsi="Book Antiqua"/>
                <w:sz w:val="20"/>
                <w:szCs w:val="20"/>
              </w:rPr>
            </w:pPr>
            <w:r>
              <w:rPr>
                <w:lang w:val="zh-CN" w:eastAsia="zh-CN"/>
              </w:rPr>
              <w:t xml:space="preserve"> </w:t>
            </w:r>
            <w:r w:rsidRPr="001740BC">
              <w:rPr>
                <w:rFonts w:ascii="Book Antiqua" w:hAnsi="Book Antiqua"/>
                <w:b/>
                <w:bCs/>
                <w:sz w:val="20"/>
                <w:szCs w:val="20"/>
              </w:rPr>
              <w:fldChar w:fldCharType="begin"/>
            </w:r>
            <w:r w:rsidRPr="001740BC">
              <w:rPr>
                <w:rFonts w:ascii="Book Antiqua" w:hAnsi="Book Antiqua"/>
                <w:b/>
                <w:bCs/>
                <w:sz w:val="20"/>
                <w:szCs w:val="20"/>
              </w:rPr>
              <w:instrText>PAGE</w:instrText>
            </w:r>
            <w:r w:rsidRPr="001740BC">
              <w:rPr>
                <w:rFonts w:ascii="Book Antiqua" w:hAnsi="Book Antiqua"/>
                <w:b/>
                <w:bCs/>
                <w:sz w:val="20"/>
                <w:szCs w:val="20"/>
              </w:rPr>
              <w:fldChar w:fldCharType="separate"/>
            </w:r>
            <w:r w:rsidR="006F712E" w:rsidRPr="001740BC">
              <w:rPr>
                <w:rFonts w:ascii="Book Antiqua" w:hAnsi="Book Antiqua"/>
                <w:b/>
                <w:bCs/>
                <w:noProof/>
                <w:sz w:val="20"/>
                <w:szCs w:val="20"/>
              </w:rPr>
              <w:t>21</w:t>
            </w:r>
            <w:r w:rsidRPr="001740BC">
              <w:rPr>
                <w:rFonts w:ascii="Book Antiqua" w:hAnsi="Book Antiqua"/>
                <w:b/>
                <w:bCs/>
                <w:sz w:val="20"/>
                <w:szCs w:val="20"/>
              </w:rPr>
              <w:fldChar w:fldCharType="end"/>
            </w:r>
            <w:r w:rsidRPr="001740BC">
              <w:rPr>
                <w:rFonts w:ascii="Book Antiqua" w:hAnsi="Book Antiqua"/>
                <w:sz w:val="20"/>
                <w:szCs w:val="20"/>
                <w:lang w:val="zh-CN" w:eastAsia="zh-CN"/>
              </w:rPr>
              <w:t xml:space="preserve"> / </w:t>
            </w:r>
            <w:r w:rsidRPr="001740BC">
              <w:rPr>
                <w:rFonts w:ascii="Book Antiqua" w:hAnsi="Book Antiqua"/>
                <w:b/>
                <w:bCs/>
                <w:sz w:val="20"/>
                <w:szCs w:val="20"/>
              </w:rPr>
              <w:fldChar w:fldCharType="begin"/>
            </w:r>
            <w:r w:rsidRPr="001740BC">
              <w:rPr>
                <w:rFonts w:ascii="Book Antiqua" w:hAnsi="Book Antiqua"/>
                <w:b/>
                <w:bCs/>
                <w:sz w:val="20"/>
                <w:szCs w:val="20"/>
              </w:rPr>
              <w:instrText>NUMPAGES</w:instrText>
            </w:r>
            <w:r w:rsidRPr="001740BC">
              <w:rPr>
                <w:rFonts w:ascii="Book Antiqua" w:hAnsi="Book Antiqua"/>
                <w:b/>
                <w:bCs/>
                <w:sz w:val="20"/>
                <w:szCs w:val="20"/>
              </w:rPr>
              <w:fldChar w:fldCharType="separate"/>
            </w:r>
            <w:r w:rsidR="006F712E" w:rsidRPr="001740BC">
              <w:rPr>
                <w:rFonts w:ascii="Book Antiqua" w:hAnsi="Book Antiqua"/>
                <w:b/>
                <w:bCs/>
                <w:noProof/>
                <w:sz w:val="20"/>
                <w:szCs w:val="20"/>
              </w:rPr>
              <w:t>30</w:t>
            </w:r>
            <w:r w:rsidRPr="001740BC">
              <w:rPr>
                <w:rFonts w:ascii="Book Antiqua" w:hAnsi="Book Antiqua"/>
                <w:b/>
                <w:bCs/>
                <w:sz w:val="20"/>
                <w:szCs w:val="20"/>
              </w:rPr>
              <w:fldChar w:fldCharType="end"/>
            </w:r>
          </w:p>
        </w:sdtContent>
      </w:sdt>
    </w:sdtContent>
  </w:sdt>
  <w:p w14:paraId="6D96B76F" w14:textId="77777777" w:rsidR="00935012" w:rsidRDefault="009350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1985353"/>
      <w:docPartObj>
        <w:docPartGallery w:val="Page Numbers (Bottom of Page)"/>
        <w:docPartUnique/>
      </w:docPartObj>
    </w:sdtPr>
    <w:sdtEndPr/>
    <w:sdtContent>
      <w:sdt>
        <w:sdtPr>
          <w:id w:val="1422442820"/>
          <w:docPartObj>
            <w:docPartGallery w:val="Page Numbers (Top of Page)"/>
            <w:docPartUnique/>
          </w:docPartObj>
        </w:sdtPr>
        <w:sdtEndPr/>
        <w:sdtContent>
          <w:p w14:paraId="542E1E05" w14:textId="7E2D3367" w:rsidR="00935012" w:rsidRDefault="0093501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91146">
              <w:rPr>
                <w:b/>
                <w:bCs/>
                <w:noProof/>
              </w:rPr>
              <w:t>30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91146">
              <w:rPr>
                <w:b/>
                <w:bCs/>
                <w:noProof/>
              </w:rPr>
              <w:t>30</w:t>
            </w:r>
            <w:r>
              <w:rPr>
                <w:b/>
                <w:bCs/>
                <w:sz w:val="24"/>
                <w:szCs w:val="24"/>
              </w:rPr>
              <w:fldChar w:fldCharType="end"/>
            </w:r>
          </w:p>
        </w:sdtContent>
      </w:sdt>
    </w:sdtContent>
  </w:sdt>
  <w:sdt>
    <w:sdtPr>
      <w:id w:val="988679023"/>
      <w:docPartObj>
        <w:docPartGallery w:val="AutoText"/>
      </w:docPartObj>
    </w:sdtPr>
    <w:sdtEndPr/>
    <w:sdtContent>
      <w:sdt>
        <w:sdtPr>
          <w:id w:val="-1705238520"/>
          <w:docPartObj>
            <w:docPartGallery w:val="AutoText"/>
          </w:docPartObj>
        </w:sdtPr>
        <w:sdtEndPr/>
        <w:sdtContent>
          <w:p w14:paraId="5996FFC6" w14:textId="77777777" w:rsidR="00935012" w:rsidRDefault="00935012">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91146">
              <w:rPr>
                <w:b/>
                <w:bCs/>
                <w:noProof/>
              </w:rPr>
              <w:t>30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91146">
              <w:rPr>
                <w:b/>
                <w:bCs/>
                <w:noProof/>
              </w:rPr>
              <w:t>30</w:t>
            </w:r>
            <w:r>
              <w:rPr>
                <w:b/>
                <w:bCs/>
                <w:sz w:val="24"/>
                <w:szCs w:val="24"/>
              </w:rPr>
              <w:fldChar w:fldCharType="end"/>
            </w:r>
          </w:p>
        </w:sdtContent>
      </w:sdt>
    </w:sdtContent>
  </w:sdt>
  <w:p w14:paraId="10DF2327" w14:textId="77777777" w:rsidR="00935012" w:rsidRDefault="009350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75A70" w14:textId="77777777" w:rsidR="009B64B1" w:rsidRDefault="009B64B1" w:rsidP="00B82087">
      <w:r>
        <w:separator/>
      </w:r>
    </w:p>
  </w:footnote>
  <w:footnote w:type="continuationSeparator" w:id="0">
    <w:p w14:paraId="40B28642" w14:textId="77777777" w:rsidR="009B64B1" w:rsidRDefault="009B64B1" w:rsidP="00B820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932BCD58-F5A5-47F7-911E-CA245B8111B7}"/>
    <w:docVar w:name="KY_MEDREF_VERSION" w:val="3"/>
  </w:docVars>
  <w:rsids>
    <w:rsidRoot w:val="00A77B3E"/>
    <w:rsid w:val="000425E1"/>
    <w:rsid w:val="00074CC2"/>
    <w:rsid w:val="0009280A"/>
    <w:rsid w:val="00132A37"/>
    <w:rsid w:val="00150F68"/>
    <w:rsid w:val="001740BC"/>
    <w:rsid w:val="002155D1"/>
    <w:rsid w:val="00266D03"/>
    <w:rsid w:val="00283A60"/>
    <w:rsid w:val="00286881"/>
    <w:rsid w:val="002960F4"/>
    <w:rsid w:val="002A3C99"/>
    <w:rsid w:val="002C3351"/>
    <w:rsid w:val="002D6C61"/>
    <w:rsid w:val="00302D0A"/>
    <w:rsid w:val="00352B43"/>
    <w:rsid w:val="0036013D"/>
    <w:rsid w:val="003A1D3F"/>
    <w:rsid w:val="003B1D7C"/>
    <w:rsid w:val="003D175D"/>
    <w:rsid w:val="003D1E91"/>
    <w:rsid w:val="003F184E"/>
    <w:rsid w:val="003F6DF7"/>
    <w:rsid w:val="00407914"/>
    <w:rsid w:val="00413E92"/>
    <w:rsid w:val="00425520"/>
    <w:rsid w:val="004908E4"/>
    <w:rsid w:val="004B2671"/>
    <w:rsid w:val="004E501E"/>
    <w:rsid w:val="005241A9"/>
    <w:rsid w:val="00562CB2"/>
    <w:rsid w:val="00580A8D"/>
    <w:rsid w:val="005849FF"/>
    <w:rsid w:val="006F712E"/>
    <w:rsid w:val="00755F15"/>
    <w:rsid w:val="00785C44"/>
    <w:rsid w:val="007B6664"/>
    <w:rsid w:val="00832830"/>
    <w:rsid w:val="00935012"/>
    <w:rsid w:val="00952906"/>
    <w:rsid w:val="00993038"/>
    <w:rsid w:val="009B64B1"/>
    <w:rsid w:val="009C4280"/>
    <w:rsid w:val="009E33A6"/>
    <w:rsid w:val="00A12ABA"/>
    <w:rsid w:val="00A32372"/>
    <w:rsid w:val="00A61E07"/>
    <w:rsid w:val="00A6578B"/>
    <w:rsid w:val="00A75ABA"/>
    <w:rsid w:val="00A77B3E"/>
    <w:rsid w:val="00A91146"/>
    <w:rsid w:val="00B6292A"/>
    <w:rsid w:val="00B66578"/>
    <w:rsid w:val="00B82087"/>
    <w:rsid w:val="00B971F6"/>
    <w:rsid w:val="00BA7615"/>
    <w:rsid w:val="00BC4C43"/>
    <w:rsid w:val="00C13252"/>
    <w:rsid w:val="00C33636"/>
    <w:rsid w:val="00C54216"/>
    <w:rsid w:val="00CA2A55"/>
    <w:rsid w:val="00CC0C82"/>
    <w:rsid w:val="00CD4A7C"/>
    <w:rsid w:val="00CE7F6C"/>
    <w:rsid w:val="00D264D2"/>
    <w:rsid w:val="00D35E16"/>
    <w:rsid w:val="00DB068D"/>
    <w:rsid w:val="00DB5098"/>
    <w:rsid w:val="00E45826"/>
    <w:rsid w:val="00E842BB"/>
    <w:rsid w:val="00EB180F"/>
    <w:rsid w:val="00EE0A85"/>
    <w:rsid w:val="00F11BCF"/>
    <w:rsid w:val="00F1793A"/>
    <w:rsid w:val="00F21075"/>
    <w:rsid w:val="00FC7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4DEC7"/>
  <w15:docId w15:val="{947A6F73-C2C1-4081-9C37-59D628B7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0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2087"/>
    <w:rPr>
      <w:sz w:val="18"/>
      <w:szCs w:val="18"/>
    </w:rPr>
  </w:style>
  <w:style w:type="paragraph" w:styleId="a5">
    <w:name w:val="footer"/>
    <w:basedOn w:val="a"/>
    <w:link w:val="a6"/>
    <w:uiPriority w:val="99"/>
    <w:unhideWhenUsed/>
    <w:rsid w:val="00B82087"/>
    <w:pPr>
      <w:tabs>
        <w:tab w:val="center" w:pos="4153"/>
        <w:tab w:val="right" w:pos="8306"/>
      </w:tabs>
      <w:snapToGrid w:val="0"/>
    </w:pPr>
    <w:rPr>
      <w:sz w:val="18"/>
      <w:szCs w:val="18"/>
    </w:rPr>
  </w:style>
  <w:style w:type="character" w:customStyle="1" w:styleId="a6">
    <w:name w:val="页脚 字符"/>
    <w:basedOn w:val="a0"/>
    <w:link w:val="a5"/>
    <w:uiPriority w:val="99"/>
    <w:rsid w:val="00B82087"/>
    <w:rPr>
      <w:sz w:val="18"/>
      <w:szCs w:val="18"/>
    </w:rPr>
  </w:style>
  <w:style w:type="table" w:customStyle="1" w:styleId="41">
    <w:name w:val="无格式表格 41"/>
    <w:basedOn w:val="a1"/>
    <w:uiPriority w:val="44"/>
    <w:qFormat/>
    <w:rsid w:val="00CC0C82"/>
    <w:rPr>
      <w:rFonts w:asciiTheme="minorHAnsi" w:hAnsiTheme="minorHAnsi" w:cstheme="minorBidi"/>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7">
    <w:name w:val="Table Grid"/>
    <w:basedOn w:val="a1"/>
    <w:uiPriority w:val="59"/>
    <w:unhideWhenUsed/>
    <w:rsid w:val="00CC0C8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C54216"/>
    <w:rPr>
      <w:i/>
      <w:iCs/>
    </w:rPr>
  </w:style>
  <w:style w:type="paragraph" w:styleId="a9">
    <w:name w:val="Balloon Text"/>
    <w:basedOn w:val="a"/>
    <w:link w:val="aa"/>
    <w:semiHidden/>
    <w:unhideWhenUsed/>
    <w:rsid w:val="00A61E07"/>
    <w:rPr>
      <w:sz w:val="18"/>
      <w:szCs w:val="18"/>
    </w:rPr>
  </w:style>
  <w:style w:type="character" w:customStyle="1" w:styleId="aa">
    <w:name w:val="批注框文本 字符"/>
    <w:basedOn w:val="a0"/>
    <w:link w:val="a9"/>
    <w:semiHidden/>
    <w:rsid w:val="00A61E07"/>
    <w:rPr>
      <w:sz w:val="18"/>
      <w:szCs w:val="18"/>
    </w:rPr>
  </w:style>
  <w:style w:type="character" w:styleId="ab">
    <w:name w:val="Hyperlink"/>
    <w:basedOn w:val="a0"/>
    <w:unhideWhenUsed/>
    <w:rsid w:val="00C33636"/>
    <w:rPr>
      <w:color w:val="0000FF" w:themeColor="hyperlink"/>
      <w:u w:val="single"/>
    </w:rPr>
  </w:style>
  <w:style w:type="character" w:customStyle="1" w:styleId="1">
    <w:name w:val="未处理的提及1"/>
    <w:basedOn w:val="a0"/>
    <w:uiPriority w:val="99"/>
    <w:semiHidden/>
    <w:unhideWhenUsed/>
    <w:rsid w:val="00C33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Allard%20CB%5BAuthor%5D&amp;cauthor=true&amp;cauthor_uid=2284307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ngjy@bjhmoh.c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30</Pages>
  <Words>6354</Words>
  <Characters>36220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17</cp:revision>
  <dcterms:created xsi:type="dcterms:W3CDTF">2020-09-26T06:31:00Z</dcterms:created>
  <dcterms:modified xsi:type="dcterms:W3CDTF">2020-10-10T08:00:00Z</dcterms:modified>
</cp:coreProperties>
</file>